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360" w:lineRule="auto"/>
        <w:ind w:right="4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合同编号：</w:t>
      </w:r>
    </w:p>
    <w:p>
      <w:pPr>
        <w:spacing w:line="360" w:lineRule="auto"/>
        <w:rPr>
          <w:rFonts w:hint="eastAsia" w:ascii="仿宋_GB2312" w:hAnsi="仿宋_GB2312" w:eastAsia="仿宋_GB2312" w:cs="仿宋_GB2312"/>
          <w:sz w:val="36"/>
          <w:szCs w:val="36"/>
        </w:rPr>
      </w:pPr>
    </w:p>
    <w:p>
      <w:pPr>
        <w:spacing w:line="360" w:lineRule="auto"/>
        <w:rPr>
          <w:rFonts w:hint="eastAsia" w:ascii="仿宋_GB2312" w:hAnsi="仿宋_GB2312" w:eastAsia="仿宋_GB2312" w:cs="仿宋_GB2312"/>
          <w:sz w:val="36"/>
          <w:szCs w:val="36"/>
        </w:rPr>
      </w:pPr>
    </w:p>
    <w:p>
      <w:pPr>
        <w:spacing w:line="600" w:lineRule="auto"/>
        <w:jc w:val="center"/>
        <w:rPr>
          <w:rFonts w:hint="eastAsia" w:ascii="仿宋_GB2312" w:hAnsi="仿宋_GB2312" w:eastAsia="仿宋_GB2312" w:cs="仿宋_GB2312"/>
          <w:b/>
          <w:sz w:val="48"/>
          <w:szCs w:val="48"/>
        </w:rPr>
      </w:pPr>
      <w:r>
        <w:rPr>
          <w:rFonts w:ascii="仿宋_GB2312" w:hAnsi="仿宋_GB2312" w:eastAsia="仿宋_GB2312" w:cs="仿宋_GB2312"/>
          <w:b/>
          <w:sz w:val="48"/>
          <w:szCs w:val="48"/>
        </w:rPr>
        <w:fldChar w:fldCharType="begin"/>
      </w:r>
      <w:r>
        <w:rPr>
          <w:rFonts w:ascii="仿宋_GB2312" w:hAnsi="仿宋_GB2312" w:eastAsia="仿宋_GB2312" w:cs="仿宋_GB2312"/>
          <w:b/>
          <w:sz w:val="48"/>
          <w:szCs w:val="48"/>
        </w:rPr>
        <w:instrText xml:space="preserve"> DocVariable ZBR</w:instrText>
      </w:r>
      <w:r>
        <w:rPr>
          <w:rFonts w:ascii="仿宋_GB2312" w:hAnsi="仿宋_GB2312" w:eastAsia="仿宋_GB2312" w:cs="仿宋_GB2312"/>
          <w:b/>
          <w:sz w:val="48"/>
          <w:szCs w:val="48"/>
        </w:rPr>
        <w:fldChar w:fldCharType="separate"/>
      </w:r>
      <w:r>
        <w:rPr>
          <w:rFonts w:ascii="仿宋_GB2312" w:hAnsi="仿宋_GB2312" w:eastAsia="仿宋_GB2312" w:cs="仿宋_GB2312"/>
          <w:b/>
          <w:sz w:val="48"/>
          <w:szCs w:val="48"/>
        </w:rPr>
        <w:t>[项目公司]</w:t>
      </w:r>
      <w:r>
        <w:rPr>
          <w:rFonts w:ascii="仿宋_GB2312" w:hAnsi="仿宋_GB2312" w:eastAsia="仿宋_GB2312" w:cs="仿宋_GB2312"/>
          <w:b/>
          <w:sz w:val="48"/>
          <w:szCs w:val="48"/>
        </w:rPr>
        <w:fldChar w:fldCharType="end"/>
      </w:r>
    </w:p>
    <w:p>
      <w:pPr>
        <w:spacing w:line="60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与</w:t>
      </w:r>
    </w:p>
    <w:p>
      <w:pPr>
        <w:spacing w:line="60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[乙方名称]</w:t>
      </w:r>
    </w:p>
    <w:p>
      <w:pPr>
        <w:spacing w:line="360" w:lineRule="auto"/>
        <w:jc w:val="center"/>
        <w:rPr>
          <w:rFonts w:hint="eastAsia" w:ascii="仿宋_GB2312" w:hAnsi="仿宋_GB2312" w:eastAsia="仿宋_GB2312" w:cs="仿宋_GB2312"/>
          <w:b/>
          <w:sz w:val="48"/>
          <w:szCs w:val="48"/>
        </w:rPr>
      </w:pPr>
    </w:p>
    <w:p>
      <w:pPr>
        <w:pStyle w:val="6"/>
        <w:spacing w:line="360" w:lineRule="auto"/>
        <w:rPr>
          <w:rFonts w:hint="eastAsia" w:ascii="仿宋_GB2312" w:hAnsi="仿宋_GB2312" w:eastAsia="仿宋_GB2312" w:cs="仿宋_GB2312"/>
        </w:rPr>
      </w:pPr>
    </w:p>
    <w:p>
      <w:pPr>
        <w:spacing w:line="360" w:lineRule="auto"/>
        <w:jc w:val="center"/>
        <w:rPr>
          <w:rFonts w:hint="eastAsia" w:ascii="仿宋_GB2312" w:hAnsi="仿宋_GB2312" w:eastAsia="仿宋_GB2312" w:cs="仿宋_GB2312"/>
          <w:b/>
          <w:w w:val="90"/>
          <w:sz w:val="48"/>
          <w:szCs w:val="48"/>
        </w:rPr>
      </w:pPr>
      <w:r>
        <w:rPr>
          <w:rFonts w:hint="eastAsia" w:ascii="仿宋_GB2312" w:hAnsi="仿宋_GB2312" w:eastAsia="仿宋_GB2312" w:cs="仿宋_GB2312"/>
          <w:b/>
          <w:sz w:val="48"/>
          <w:szCs w:val="48"/>
        </w:rPr>
        <w:t>花都区中央商务区组团综合开发地块项目分地块一（A区）施工图设计</w:t>
      </w:r>
      <w:r>
        <w:rPr>
          <w:rFonts w:ascii="仿宋_GB2312" w:hAnsi="仿宋_GB2312" w:eastAsia="仿宋_GB2312" w:cs="仿宋_GB2312"/>
          <w:b/>
          <w:w w:val="90"/>
          <w:sz w:val="48"/>
          <w:szCs w:val="48"/>
        </w:rPr>
        <w:fldChar w:fldCharType="begin"/>
      </w:r>
      <w:r>
        <w:rPr>
          <w:rFonts w:ascii="仿宋_GB2312" w:hAnsi="仿宋_GB2312" w:eastAsia="仿宋_GB2312" w:cs="仿宋_GB2312"/>
          <w:b/>
          <w:w w:val="90"/>
          <w:sz w:val="48"/>
          <w:szCs w:val="48"/>
        </w:rPr>
        <w:instrText xml:space="preserve"> DocVariable HTXZ </w:instrText>
      </w:r>
      <w:r>
        <w:rPr>
          <w:rFonts w:ascii="仿宋_GB2312" w:hAnsi="仿宋_GB2312" w:eastAsia="仿宋_GB2312" w:cs="仿宋_GB2312"/>
          <w:b/>
          <w:w w:val="90"/>
          <w:sz w:val="48"/>
          <w:szCs w:val="48"/>
        </w:rPr>
        <w:fldChar w:fldCharType="separate"/>
      </w:r>
      <w:r>
        <w:rPr>
          <w:rFonts w:ascii="仿宋_GB2312" w:hAnsi="仿宋_GB2312" w:eastAsia="仿宋_GB2312" w:cs="仿宋_GB2312"/>
          <w:b/>
          <w:w w:val="90"/>
          <w:sz w:val="48"/>
          <w:szCs w:val="48"/>
        </w:rPr>
        <w:t>合同</w:t>
      </w:r>
      <w:r>
        <w:rPr>
          <w:rFonts w:ascii="仿宋_GB2312" w:hAnsi="仿宋_GB2312" w:eastAsia="仿宋_GB2312" w:cs="仿宋_GB2312"/>
          <w:b/>
          <w:w w:val="90"/>
          <w:sz w:val="48"/>
          <w:szCs w:val="48"/>
        </w:rPr>
        <w:fldChar w:fldCharType="end"/>
      </w:r>
    </w:p>
    <w:p>
      <w:pPr>
        <w:spacing w:line="360" w:lineRule="auto"/>
        <w:jc w:val="center"/>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52"/>
          <w:szCs w:val="52"/>
        </w:rPr>
      </w:pPr>
    </w:p>
    <w:p>
      <w:pPr>
        <w:spacing w:line="360" w:lineRule="auto"/>
        <w:jc w:val="center"/>
        <w:rPr>
          <w:rFonts w:hint="eastAsia" w:ascii="仿宋_GB2312" w:hAnsi="仿宋_GB2312" w:eastAsia="仿宋_GB2312" w:cs="仿宋_GB2312"/>
          <w:sz w:val="52"/>
          <w:szCs w:val="52"/>
        </w:rPr>
      </w:pPr>
    </w:p>
    <w:p>
      <w:pPr>
        <w:pStyle w:val="5"/>
      </w:pPr>
    </w:p>
    <w:p>
      <w:pPr>
        <w:pStyle w:val="5"/>
      </w:pPr>
    </w:p>
    <w:p>
      <w:pPr>
        <w:spacing w:line="360" w:lineRule="auto"/>
        <w:jc w:val="center"/>
        <w:rPr>
          <w:rFonts w:hint="eastAsia" w:ascii="仿宋_GB2312" w:hAnsi="仿宋_GB2312" w:eastAsia="仿宋_GB2312" w:cs="仿宋_GB2312"/>
          <w:sz w:val="52"/>
          <w:szCs w:val="52"/>
        </w:rPr>
      </w:pPr>
    </w:p>
    <w:p>
      <w:pPr>
        <w:pStyle w:val="10"/>
        <w:spacing w:line="360" w:lineRule="auto"/>
        <w:ind w:firstLine="1875" w:firstLineChars="6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签约时间：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pStyle w:val="10"/>
        <w:spacing w:line="360" w:lineRule="auto"/>
        <w:ind w:firstLine="1875" w:firstLineChars="667"/>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签约地点：</w:t>
      </w:r>
      <w:r>
        <w:rPr>
          <w:rFonts w:hint="eastAsia" w:ascii="仿宋_GB2312" w:hAnsi="仿宋_GB2312" w:eastAsia="仿宋_GB2312" w:cs="仿宋_GB2312"/>
          <w:b/>
          <w:sz w:val="28"/>
          <w:szCs w:val="28"/>
          <w:u w:val="single"/>
        </w:rPr>
        <w:t xml:space="preserve">             </w:t>
      </w:r>
    </w:p>
    <w:p>
      <w:pPr>
        <w:pStyle w:val="5"/>
      </w:pPr>
      <w:r>
        <w:br w:type="page"/>
      </w:r>
    </w:p>
    <w:p>
      <w:pPr>
        <w:pStyle w:val="10"/>
        <w:spacing w:line="360" w:lineRule="auto"/>
        <w:ind w:firstLine="1875" w:firstLineChars="667"/>
        <w:rPr>
          <w:rFonts w:hint="eastAsia" w:ascii="仿宋_GB2312" w:hAnsi="仿宋_GB2312" w:eastAsia="仿宋_GB2312" w:cs="仿宋_GB2312"/>
          <w:b/>
          <w:sz w:val="28"/>
          <w:szCs w:val="28"/>
          <w:u w:val="single"/>
        </w:rPr>
      </w:pPr>
    </w:p>
    <w:p>
      <w:pPr>
        <w:pStyle w:val="10"/>
        <w:spacing w:line="360" w:lineRule="auto"/>
        <w:rPr>
          <w:rFonts w:hint="eastAsia" w:ascii="仿宋_GB2312" w:hAnsi="仿宋_GB2312" w:eastAsia="仿宋_GB2312" w:cs="仿宋_GB2312"/>
          <w:b/>
          <w:sz w:val="18"/>
          <w:szCs w:val="28"/>
        </w:rPr>
      </w:pPr>
      <w:r>
        <w:rPr>
          <w:rFonts w:hint="eastAsia" w:ascii="仿宋_GB2312" w:hAnsi="仿宋_GB2312" w:eastAsia="仿宋_GB2312" w:cs="仿宋_GB2312"/>
          <w:b/>
          <w:sz w:val="18"/>
          <w:szCs w:val="28"/>
        </w:rPr>
        <w:br w:type="page"/>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目  录</w:t>
      </w:r>
    </w:p>
    <w:p>
      <w:pPr>
        <w:spacing w:line="360" w:lineRule="auto"/>
        <w:jc w:val="left"/>
        <w:rPr>
          <w:rFonts w:hint="eastAsia" w:ascii="仿宋_GB2312" w:hAnsi="仿宋_GB2312" w:eastAsia="仿宋_GB2312" w:cs="仿宋_GB2312"/>
          <w:b/>
          <w:sz w:val="28"/>
          <w:szCs w:val="28"/>
        </w:rPr>
      </w:pP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合同签订依据</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项目概况</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合同解释顺序</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合同范围及内容</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发包人应向设计人提交的有关资料及文件</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设计周期及向发包人交付的设计资料及文件</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合同价款、支付及结算</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双方责任</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设计变更</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争议解决</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通知与送达</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不可抗力</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联系人</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保密条款</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合同的解除</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其他</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合同附件</w:t>
      </w:r>
    </w:p>
    <w:p>
      <w:pPr>
        <w:spacing w:line="360" w:lineRule="auto"/>
        <w:ind w:firstLine="562" w:firstLineChars="200"/>
        <w:jc w:val="left"/>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花都区中央商务区组团综合开发地块项目分地块一（A区）施工图设计</w:t>
      </w:r>
      <w:r>
        <w:rPr>
          <w:rFonts w:ascii="仿宋_GB2312" w:hAnsi="仿宋_GB2312" w:eastAsia="仿宋_GB2312" w:cs="仿宋_GB2312"/>
          <w:b/>
          <w:sz w:val="32"/>
          <w:szCs w:val="32"/>
        </w:rPr>
        <w:fldChar w:fldCharType="begin"/>
      </w:r>
      <w:r>
        <w:rPr>
          <w:rFonts w:ascii="仿宋_GB2312" w:hAnsi="仿宋_GB2312" w:eastAsia="仿宋_GB2312" w:cs="仿宋_GB2312"/>
          <w:b/>
          <w:sz w:val="32"/>
          <w:szCs w:val="32"/>
        </w:rPr>
        <w:instrText xml:space="preserve"> DocVariable HTXZ </w:instrText>
      </w:r>
      <w:r>
        <w:rPr>
          <w:rFonts w:ascii="仿宋_GB2312" w:hAnsi="仿宋_GB2312" w:eastAsia="仿宋_GB2312" w:cs="仿宋_GB2312"/>
          <w:b/>
          <w:sz w:val="32"/>
          <w:szCs w:val="32"/>
        </w:rPr>
        <w:fldChar w:fldCharType="separate"/>
      </w:r>
      <w:r>
        <w:rPr>
          <w:rFonts w:ascii="仿宋_GB2312" w:hAnsi="仿宋_GB2312" w:eastAsia="仿宋_GB2312" w:cs="仿宋_GB2312"/>
          <w:b/>
          <w:sz w:val="32"/>
          <w:szCs w:val="32"/>
        </w:rPr>
        <w:t>合同</w:t>
      </w:r>
      <w:r>
        <w:rPr>
          <w:rFonts w:ascii="仿宋_GB2312" w:hAnsi="仿宋_GB2312" w:eastAsia="仿宋_GB2312" w:cs="仿宋_GB2312"/>
          <w:b/>
          <w:sz w:val="32"/>
          <w:szCs w:val="32"/>
        </w:rPr>
        <w:fldChar w:fldCharType="end"/>
      </w:r>
    </w:p>
    <w:p>
      <w:pPr>
        <w:spacing w:line="360" w:lineRule="auto"/>
        <w:ind w:firstLine="562" w:firstLineChars="200"/>
        <w:rPr>
          <w:rFonts w:hint="eastAsia" w:ascii="仿宋_GB2312" w:hAnsi="仿宋_GB2312" w:eastAsia="仿宋_GB2312" w:cs="仿宋_GB2312"/>
          <w:b/>
          <w:sz w:val="28"/>
          <w:szCs w:val="28"/>
        </w:rPr>
      </w:pPr>
    </w:p>
    <w:tbl>
      <w:tblPr>
        <w:tblStyle w:val="17"/>
        <w:tblW w:w="8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292"/>
        <w:gridCol w:w="3441"/>
        <w:gridCol w:w="910"/>
        <w:gridCol w:w="24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甲方</w:t>
            </w:r>
          </w:p>
          <w:p>
            <w:pPr>
              <w:pStyle w:val="32"/>
              <w:jc w:val="distribute"/>
              <w:rPr>
                <w:rFonts w:hint="eastAsia" w:ascii="仿宋_GB2312" w:eastAsia="仿宋_GB2312"/>
                <w:b/>
                <w:bCs/>
                <w:sz w:val="28"/>
                <w:szCs w:val="28"/>
              </w:rPr>
            </w:pPr>
            <w:r>
              <w:rPr>
                <w:rFonts w:hint="eastAsia" w:ascii="仿宋_GB2312" w:eastAsia="仿宋_GB2312"/>
                <w:b/>
                <w:bCs/>
                <w:sz w:val="28"/>
                <w:szCs w:val="28"/>
              </w:rPr>
              <w:t>[发包人</w:t>
            </w:r>
            <w:r>
              <w:rPr>
                <w:rFonts w:ascii="仿宋_GB2312" w:eastAsia="仿宋_GB2312"/>
                <w:b/>
                <w:bCs/>
                <w:sz w:val="28"/>
                <w:szCs w:val="28"/>
              </w:rPr>
              <w:t>]</w:t>
            </w:r>
          </w:p>
        </w:tc>
        <w:tc>
          <w:tcPr>
            <w:tcW w:w="292" w:type="dxa"/>
            <w:vAlign w:val="center"/>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6552" w:type="dxa"/>
            <w:gridSpan w:val="4"/>
            <w:vAlign w:val="center"/>
          </w:tcPr>
          <w:p>
            <w:pPr>
              <w:pStyle w:val="32"/>
              <w:jc w:val="both"/>
              <w:rPr>
                <w:rFonts w:hint="eastAsia" w:ascii="仿宋_GB2312" w:eastAsia="仿宋_GB2312"/>
                <w:b/>
                <w:bCs/>
                <w:sz w:val="28"/>
                <w:szCs w:val="28"/>
              </w:rPr>
            </w:pP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DocVariable ZBR </w:instrText>
            </w:r>
            <w:r>
              <w:rPr>
                <w:rFonts w:hint="eastAsia" w:ascii="仿宋_GB2312" w:eastAsia="仿宋_GB2312"/>
                <w:b/>
                <w:bCs/>
                <w:sz w:val="28"/>
                <w:szCs w:val="28"/>
              </w:rPr>
              <w:fldChar w:fldCharType="separate"/>
            </w:r>
            <w:r>
              <w:rPr>
                <w:rFonts w:ascii="仿宋_GB2312" w:eastAsia="仿宋_GB2312"/>
                <w:b/>
                <w:bCs/>
                <w:sz w:val="28"/>
                <w:szCs w:val="28"/>
              </w:rPr>
              <w:t>[项目公司]</w:t>
            </w:r>
            <w:r>
              <w:rPr>
                <w:rFonts w:hint="eastAsia" w:ascii="仿宋_GB2312" w:eastAsia="仿宋_GB2312"/>
                <w:b/>
                <w:bCs/>
                <w:sz w:val="28"/>
                <w:szCs w:val="28"/>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注册地址</w:t>
            </w:r>
          </w:p>
        </w:tc>
        <w:tc>
          <w:tcPr>
            <w:tcW w:w="292"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通讯地址</w:t>
            </w:r>
          </w:p>
        </w:tc>
        <w:tc>
          <w:tcPr>
            <w:tcW w:w="292"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法定代表人</w:t>
            </w:r>
          </w:p>
        </w:tc>
        <w:tc>
          <w:tcPr>
            <w:tcW w:w="292"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职务</w:t>
            </w:r>
          </w:p>
        </w:tc>
        <w:tc>
          <w:tcPr>
            <w:tcW w:w="245"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bl>
    <w:p>
      <w:pPr>
        <w:rPr>
          <w:rFonts w:ascii="仿宋_GB2312" w:eastAsia="仿宋_GB2312"/>
          <w:b/>
          <w:bCs/>
          <w:sz w:val="28"/>
          <w:szCs w:val="28"/>
        </w:rPr>
      </w:pPr>
    </w:p>
    <w:tbl>
      <w:tblPr>
        <w:tblStyle w:val="17"/>
        <w:tblW w:w="8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292"/>
        <w:gridCol w:w="3441"/>
        <w:gridCol w:w="910"/>
        <w:gridCol w:w="24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乙方</w:t>
            </w:r>
          </w:p>
          <w:p>
            <w:pPr>
              <w:pStyle w:val="32"/>
              <w:jc w:val="distribute"/>
              <w:rPr>
                <w:rFonts w:hint="eastAsia" w:ascii="仿宋_GB2312" w:eastAsia="仿宋_GB2312"/>
                <w:b/>
                <w:bCs/>
                <w:sz w:val="28"/>
                <w:szCs w:val="28"/>
              </w:rPr>
            </w:pPr>
            <w:r>
              <w:rPr>
                <w:rFonts w:hint="eastAsia" w:ascii="仿宋_GB2312" w:eastAsia="仿宋_GB2312"/>
                <w:b/>
                <w:bCs/>
                <w:sz w:val="28"/>
                <w:szCs w:val="28"/>
              </w:rPr>
              <w:t>[设计人</w:t>
            </w:r>
            <w:r>
              <w:rPr>
                <w:rFonts w:ascii="仿宋_GB2312" w:eastAsia="仿宋_GB2312"/>
                <w:b/>
                <w:bCs/>
                <w:sz w:val="28"/>
                <w:szCs w:val="28"/>
              </w:rPr>
              <w:t>]</w:t>
            </w:r>
          </w:p>
        </w:tc>
        <w:tc>
          <w:tcPr>
            <w:tcW w:w="292" w:type="dxa"/>
            <w:vAlign w:val="center"/>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6552" w:type="dxa"/>
            <w:gridSpan w:val="4"/>
            <w:vAlign w:val="center"/>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注册地址</w:t>
            </w:r>
          </w:p>
        </w:tc>
        <w:tc>
          <w:tcPr>
            <w:tcW w:w="292"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通讯地址</w:t>
            </w:r>
          </w:p>
        </w:tc>
        <w:tc>
          <w:tcPr>
            <w:tcW w:w="292"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法定代表人</w:t>
            </w:r>
          </w:p>
        </w:tc>
        <w:tc>
          <w:tcPr>
            <w:tcW w:w="292"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职务</w:t>
            </w:r>
          </w:p>
        </w:tc>
        <w:tc>
          <w:tcPr>
            <w:tcW w:w="245"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bl>
    <w:p>
      <w:pPr>
        <w:pStyle w:val="5"/>
      </w:pPr>
    </w:p>
    <w:p>
      <w:pPr>
        <w:pStyle w:val="11"/>
        <w:tabs>
          <w:tab w:val="left" w:pos="900"/>
          <w:tab w:val="clear" w:pos="4153"/>
          <w:tab w:val="clear" w:pos="8306"/>
        </w:tabs>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甲、乙双方在平等、自愿、诚实信用的基础上，经友好协商，甲乙双方就</w:t>
      </w:r>
      <w:r>
        <w:rPr>
          <w:rFonts w:hint="eastAsia" w:ascii="仿宋_GB2312" w:hAnsi="仿宋_GB2312" w:eastAsia="仿宋_GB2312" w:cs="仿宋_GB2312"/>
          <w:sz w:val="28"/>
          <w:szCs w:val="28"/>
          <w:u w:val="single"/>
        </w:rPr>
        <w:t>花都区中央商务区组团综合开发地块项目分地块一（A区）施工图设计</w:t>
      </w:r>
      <w:r>
        <w:rPr>
          <w:rFonts w:hint="eastAsia" w:ascii="仿宋_GB2312" w:hAnsi="仿宋_GB2312" w:eastAsia="仿宋_GB2312" w:cs="仿宋_GB2312"/>
          <w:kern w:val="0"/>
          <w:sz w:val="28"/>
          <w:szCs w:val="28"/>
        </w:rPr>
        <w:t>达成一致意见，特签订本合同，以兹共同遵守。</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合同签订依据</w:t>
      </w:r>
    </w:p>
    <w:p>
      <w:pPr>
        <w:numPr>
          <w:ilvl w:val="0"/>
          <w:numId w:val="3"/>
        </w:numPr>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《中华人民共和国民法典》、《中华人民共和国建筑法》及相关法律、法规、地方政府行政规定、行业标准规范</w:t>
      </w:r>
      <w:r>
        <w:rPr>
          <w:rFonts w:hint="eastAsia" w:ascii="仿宋_GB2312" w:hAnsi="仿宋_GB2312" w:eastAsia="仿宋_GB2312" w:cs="仿宋_GB2312"/>
          <w:sz w:val="28"/>
          <w:szCs w:val="22"/>
        </w:rPr>
        <w:t>等相关文件。</w:t>
      </w:r>
    </w:p>
    <w:p>
      <w:pPr>
        <w:numPr>
          <w:ilvl w:val="0"/>
          <w:numId w:val="3"/>
        </w:numPr>
        <w:tabs>
          <w:tab w:val="left" w:pos="1620"/>
        </w:tabs>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国家及地方有关建设工程勘察设计管理法规和规章。</w:t>
      </w:r>
    </w:p>
    <w:p>
      <w:pPr>
        <w:numPr>
          <w:ilvl w:val="0"/>
          <w:numId w:val="3"/>
        </w:numPr>
        <w:tabs>
          <w:tab w:val="left" w:pos="1080"/>
        </w:tabs>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建设工程批准文件。</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项目概况：</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u w:val="single"/>
        </w:rPr>
        <w:t>花都区中央商务区组团综合开发地块项目分地块一（A区）施工图设计</w:t>
      </w:r>
      <w:r>
        <w:rPr>
          <w:rFonts w:ascii="仿宋_GB2312" w:hAnsi="仿宋_GB2312" w:eastAsia="仿宋_GB2312" w:cs="仿宋_GB2312"/>
          <w:sz w:val="28"/>
          <w:szCs w:val="28"/>
          <w:u w:val="single"/>
        </w:rPr>
        <w:fldChar w:fldCharType="begin"/>
      </w:r>
      <w:r>
        <w:rPr>
          <w:rFonts w:ascii="仿宋_GB2312" w:hAnsi="仿宋_GB2312" w:eastAsia="仿宋_GB2312" w:cs="仿宋_GB2312"/>
          <w:sz w:val="28"/>
          <w:szCs w:val="28"/>
          <w:u w:val="single"/>
        </w:rPr>
        <w:instrText xml:space="preserve"> DocVariable HTXZ </w:instrText>
      </w:r>
      <w:r>
        <w:rPr>
          <w:rFonts w:ascii="仿宋_GB2312" w:hAnsi="仿宋_GB2312" w:eastAsia="仿宋_GB2312" w:cs="仿宋_GB2312"/>
          <w:sz w:val="28"/>
          <w:szCs w:val="28"/>
          <w:u w:val="single"/>
        </w:rPr>
        <w:fldChar w:fldCharType="separate"/>
      </w:r>
      <w:r>
        <w:rPr>
          <w:rFonts w:ascii="仿宋_GB2312" w:hAnsi="仿宋_GB2312" w:eastAsia="仿宋_GB2312" w:cs="仿宋_GB2312"/>
          <w:sz w:val="28"/>
          <w:szCs w:val="28"/>
          <w:u w:val="single"/>
        </w:rPr>
        <w:t>合同</w:t>
      </w:r>
      <w:r>
        <w:rPr>
          <w:rFonts w:ascii="仿宋_GB2312" w:hAnsi="仿宋_GB2312" w:eastAsia="仿宋_GB2312" w:cs="仿宋_GB2312"/>
          <w:sz w:val="28"/>
          <w:szCs w:val="28"/>
          <w:u w:val="single"/>
        </w:rPr>
        <w:fldChar w:fldCharType="end"/>
      </w:r>
      <w:r>
        <w:rPr>
          <w:rFonts w:hint="eastAsia" w:ascii="仿宋_GB2312" w:hAnsi="仿宋_GB2312" w:eastAsia="仿宋_GB2312" w:cs="仿宋_GB2312"/>
          <w:sz w:val="28"/>
          <w:szCs w:val="28"/>
          <w:u w:val="single"/>
        </w:rPr>
        <w:t xml:space="preserve"> </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 xml:space="preserve">          </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建设规模：</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 xml:space="preserve">          </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合同解释顺序</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下列文件应作为本合同的构成部分：</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中标通知书</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设计标准、规范等技术文件</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项目设计任务书</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投标书及其附件</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招标答疑文件及其他相关澄清文件</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上述文件应互为补充和解释，如有不清或互相矛盾之处，以上面所列顺序在前的为准。上述各项合同文件包括合同双方就该项合同文件所作出的补充和修改，属于同一类内容的文件，应以最新签署的为准。</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合同范围及内容： </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项目基本规划指标：</w:t>
      </w:r>
    </w:p>
    <w:tbl>
      <w:tblPr>
        <w:tblStyle w:val="16"/>
        <w:tblW w:w="77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282"/>
        <w:gridCol w:w="769"/>
        <w:gridCol w:w="1276"/>
        <w:gridCol w:w="1100"/>
        <w:gridCol w:w="1088"/>
        <w:gridCol w:w="8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地块编号及土地性质</w:t>
            </w:r>
          </w:p>
        </w:tc>
        <w:tc>
          <w:tcPr>
            <w:tcW w:w="1282"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用地面积（m2)</w:t>
            </w:r>
          </w:p>
        </w:tc>
        <w:tc>
          <w:tcPr>
            <w:tcW w:w="7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容积率</w:t>
            </w:r>
          </w:p>
        </w:tc>
        <w:tc>
          <w:tcPr>
            <w:tcW w:w="127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规划计容建筑面积（m2)</w:t>
            </w:r>
          </w:p>
        </w:tc>
        <w:tc>
          <w:tcPr>
            <w:tcW w:w="11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控制高度（m)</w:t>
            </w:r>
          </w:p>
        </w:tc>
        <w:tc>
          <w:tcPr>
            <w:tcW w:w="108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建筑密度</w:t>
            </w:r>
          </w:p>
        </w:tc>
        <w:tc>
          <w:tcPr>
            <w:tcW w:w="81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绿地率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82"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7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1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08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1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82"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7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1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08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1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bl>
    <w:p>
      <w:pPr>
        <w:spacing w:line="360" w:lineRule="auto"/>
        <w:ind w:firstLine="840" w:firstLineChars="350"/>
        <w:rPr>
          <w:rFonts w:hint="eastAsia" w:ascii="仿宋_GB2312" w:hAnsi="仿宋_GB2312" w:eastAsia="仿宋_GB2312" w:cs="仿宋_GB2312"/>
          <w:sz w:val="24"/>
        </w:rPr>
      </w:pPr>
      <w:r>
        <w:rPr>
          <w:rFonts w:hint="eastAsia" w:ascii="仿宋_GB2312" w:hAnsi="仿宋_GB2312" w:eastAsia="仿宋_GB2312" w:cs="仿宋_GB2312"/>
          <w:sz w:val="24"/>
        </w:rPr>
        <w:t>注：1、</w:t>
      </w:r>
      <w:r>
        <w:rPr>
          <w:rFonts w:hint="eastAsia" w:ascii="仿宋_GB2312" w:hAnsi="仿宋_GB2312" w:eastAsia="仿宋_GB2312" w:cs="仿宋_GB2312"/>
          <w:u w:val="single"/>
        </w:rPr>
        <w:t>用地面积</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容积率</w:t>
      </w:r>
      <w:r>
        <w:rPr>
          <w:rFonts w:hint="eastAsia" w:ascii="仿宋_GB2312" w:hAnsi="仿宋_GB2312" w:eastAsia="仿宋_GB2312" w:cs="仿宋_GB2312"/>
          <w:u w:val="single"/>
        </w:rPr>
        <w:t>具体以</w:t>
      </w:r>
      <w:r>
        <w:rPr>
          <w:rFonts w:hint="eastAsia" w:ascii="仿宋_GB2312" w:hAnsi="仿宋_GB2312" w:eastAsia="仿宋_GB2312" w:cs="仿宋_GB2312"/>
          <w:highlight w:val="none"/>
          <w:u w:val="single"/>
        </w:rPr>
        <w:t>政府最终批准的规划文件</w:t>
      </w:r>
      <w:r>
        <w:rPr>
          <w:rFonts w:hint="eastAsia" w:ascii="仿宋_GB2312" w:hAnsi="仿宋_GB2312" w:eastAsia="仿宋_GB2312" w:cs="仿宋_GB2312"/>
          <w:u w:val="single"/>
        </w:rPr>
        <w:t>为准</w:t>
      </w:r>
      <w:r>
        <w:rPr>
          <w:rFonts w:hint="eastAsia" w:ascii="仿宋_GB2312" w:hAnsi="仿宋_GB2312" w:eastAsia="仿宋_GB2312" w:cs="仿宋_GB2312"/>
        </w:rPr>
        <w:t>；</w:t>
      </w:r>
    </w:p>
    <w:p>
      <w:pPr>
        <w:pStyle w:val="5"/>
        <w:spacing w:line="360" w:lineRule="auto"/>
        <w:rPr>
          <w:rFonts w:hint="eastAsia" w:ascii="仿宋_GB2312" w:hAnsi="仿宋_GB2312" w:eastAsia="仿宋_GB2312" w:cs="仿宋_GB2312"/>
        </w:rPr>
      </w:pP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设计范围、内容及提供的服务</w:t>
      </w:r>
    </w:p>
    <w:p>
      <w:pPr>
        <w:pStyle w:val="13"/>
        <w:numPr>
          <w:ilvl w:val="1"/>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设计范围：</w:t>
      </w:r>
      <w:r>
        <w:rPr>
          <w:rFonts w:hint="eastAsia" w:ascii="仿宋_GB2312" w:hAnsi="仿宋_GB2312" w:eastAsia="仿宋_GB2312" w:cs="仿宋_GB2312"/>
          <w:sz w:val="28"/>
          <w:szCs w:val="28"/>
          <w:u w:val="single"/>
        </w:rPr>
        <w:t>花都区中央商务区组团综合开发地块项目分地块一（A区）施工图设计；</w:t>
      </w:r>
    </w:p>
    <w:p>
      <w:pPr>
        <w:pStyle w:val="13"/>
        <w:numPr>
          <w:ilvl w:val="1"/>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设计内容：完成各专业施工图绘制、报审、施工配合及其他相关工作，具体要求详见《设计任务书》。</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合同期限：自发包人提供完整设计资料起，</w:t>
      </w:r>
      <w:r>
        <w:rPr>
          <w:rFonts w:hint="eastAsia" w:ascii="仿宋_GB2312" w:hAnsi="仿宋_GB2312" w:eastAsia="仿宋_GB2312" w:cs="仿宋_GB2312"/>
          <w:sz w:val="28"/>
          <w:szCs w:val="28"/>
          <w:lang w:val="en-US" w:eastAsia="zh-CN"/>
        </w:rPr>
        <w:t>预估5年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服务内容及阶段详见任务书，实际合同期限以项目实际开发节奏为准</w:t>
      </w:r>
      <w:r>
        <w:rPr>
          <w:rFonts w:hint="eastAsia" w:ascii="仿宋_GB2312" w:hAnsi="仿宋_GB2312" w:eastAsia="仿宋_GB2312" w:cs="仿宋_GB2312"/>
          <w:sz w:val="28"/>
          <w:szCs w:val="28"/>
        </w:rPr>
        <w:t>。</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根据项目实际情况和乙方履约情况，甲方有权单方面决定所属项目是否纳入本协议范围。</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设计质量标准：</w:t>
      </w:r>
      <w:r>
        <w:rPr>
          <w:rFonts w:hint="eastAsia" w:ascii="仿宋_GB2312" w:hAnsi="仿宋_GB2312" w:eastAsia="仿宋_GB2312" w:cs="仿宋_GB2312"/>
          <w:sz w:val="28"/>
          <w:szCs w:val="28"/>
        </w:rPr>
        <w:t>工程设计标准应符合国家现行施工验收规范及单项工程的验收标准；设计成果和效果应满足设计任务书的要求。</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发包人应向设计人提交的有关资料及文件：</w:t>
      </w:r>
    </w:p>
    <w:tbl>
      <w:tblPr>
        <w:tblStyle w:val="16"/>
        <w:tblW w:w="8406"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921"/>
        <w:gridCol w:w="2708"/>
        <w:gridCol w:w="920"/>
        <w:gridCol w:w="2029"/>
        <w:gridCol w:w="18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资料及文件名称</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份数</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提交日期</w:t>
            </w:r>
          </w:p>
        </w:tc>
        <w:tc>
          <w:tcPr>
            <w:tcW w:w="182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有关事宜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招标文件</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828" w:type="dxa"/>
            <w:vAlign w:val="center"/>
          </w:tcPr>
          <w:p>
            <w:pPr>
              <w:jc w:val="center"/>
              <w:rPr>
                <w:rFonts w:hint="eastAsia" w:ascii="仿宋_GB2312" w:hAnsi="仿宋_GB2312" w:eastAsia="仿宋_GB2312" w:cs="仿宋_GB2312"/>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设计规划条件</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82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设计规划条件附图</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82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bl>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设计周期及向发包人交付的设计资料及文件：</w:t>
      </w:r>
    </w:p>
    <w:p>
      <w:pPr>
        <w:pStyle w:val="6"/>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★以实际设计任务书要求为准。</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合同价款、支付及结算</w:t>
      </w:r>
    </w:p>
    <w:p>
      <w:pPr>
        <w:pStyle w:val="13"/>
        <w:spacing w:before="0" w:beforeAutospacing="0" w:after="0" w:afterAutospacing="0"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（一）合同价款</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单项目</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DocVariable ZBXM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施工图设计</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服务价格以本合同附件4《合同价款组成清单》所示价格为准。</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本合同设计费暂定价税合计￥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），其中不含税价为￥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元，税款￥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元，增值税税率为</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%，暂列金（含税）￥</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费为综合单价包干，设计费已包含但不限于设计费、人员工资、办公费用、水电及通讯费、材料费、设备费、保险费、管理费、利润、税费、项目现场派驻、考察、差旅、报批报建专家评审费、配合完成本合同约定内容的所有报批流程及手续等所产生的全部费用；除非双方另有约定，单价不作调整。</w:t>
      </w:r>
    </w:p>
    <w:p>
      <w:pPr>
        <w:pStyle w:val="6"/>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若发包人对设计范围有扩大，或设计阶段有延伸，设计人应积极配合设计。合同清单内已确定价格的项目参照已标价确定金额，合同清单未开列的项目由双方协商确定金额，并签署补充协议。</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注：</w:t>
      </w:r>
      <w:r>
        <w:rPr>
          <w:rFonts w:hint="eastAsia" w:eastAsia="仿宋_GB2312" w:cs="仿宋_GB2312" w:asciiTheme="minorHAnsi" w:hAnsiTheme="minorHAnsi"/>
          <w:sz w:val="28"/>
          <w:szCs w:val="28"/>
          <w:lang w:val="en-US" w:eastAsia="zh-CN"/>
        </w:rPr>
        <w:t>本</w:t>
      </w:r>
      <w:r>
        <w:rPr>
          <w:rFonts w:hint="eastAsia" w:ascii="仿宋_GB2312" w:hAnsi="仿宋_GB2312" w:eastAsia="仿宋_GB2312" w:cs="仿宋_GB2312"/>
          <w:sz w:val="28"/>
          <w:szCs w:val="28"/>
          <w:u w:val="single"/>
        </w:rPr>
        <w:t>项目合同的暂定总价以</w:t>
      </w:r>
      <w:r>
        <w:rPr>
          <w:rFonts w:hint="eastAsia" w:ascii="仿宋_GB2312" w:hAnsi="仿宋_GB2312" w:eastAsia="仿宋_GB2312" w:cs="仿宋_GB2312"/>
          <w:sz w:val="28"/>
          <w:szCs w:val="28"/>
          <w:u w:val="single"/>
          <w:lang w:val="en-US" w:eastAsia="zh-CN"/>
        </w:rPr>
        <w:t>发包人</w:t>
      </w:r>
      <w:r>
        <w:rPr>
          <w:rFonts w:hint="eastAsia" w:ascii="仿宋_GB2312" w:hAnsi="仿宋_GB2312" w:eastAsia="仿宋_GB2312" w:cs="仿宋_GB2312"/>
          <w:sz w:val="28"/>
          <w:szCs w:val="28"/>
          <w:u w:val="single"/>
        </w:rPr>
        <w:t>下发的实际设计任务书中暂定建筑面积与合同价款组成清单中单价计算得出，</w:t>
      </w:r>
      <w:r>
        <w:rPr>
          <w:rFonts w:hint="eastAsia" w:eastAsia="仿宋_GB2312" w:cs="仿宋_GB2312" w:asciiTheme="minorHAnsi" w:hAnsiTheme="minorHAnsi"/>
          <w:sz w:val="28"/>
          <w:szCs w:val="28"/>
          <w:lang w:val="en-US" w:eastAsia="zh-CN"/>
        </w:rPr>
        <w:t>本</w:t>
      </w:r>
      <w:r>
        <w:rPr>
          <w:rFonts w:hint="eastAsia" w:ascii="仿宋_GB2312" w:hAnsi="仿宋_GB2312" w:eastAsia="仿宋_GB2312" w:cs="仿宋_GB2312"/>
          <w:sz w:val="28"/>
          <w:szCs w:val="28"/>
          <w:u w:val="single"/>
        </w:rPr>
        <w:t>项目合同的结算总价以工程规划许可证确定的建筑面积与合同价款组成清单中的单</w:t>
      </w:r>
      <w:bookmarkStart w:id="0" w:name="_GoBack"/>
      <w:bookmarkEnd w:id="0"/>
      <w:r>
        <w:rPr>
          <w:rFonts w:hint="eastAsia" w:ascii="仿宋_GB2312" w:hAnsi="仿宋_GB2312" w:eastAsia="仿宋_GB2312" w:cs="仿宋_GB2312"/>
          <w:sz w:val="28"/>
          <w:szCs w:val="28"/>
          <w:u w:val="single"/>
        </w:rPr>
        <w:t>价计算得出。</w:t>
      </w:r>
    </w:p>
    <w:p>
      <w:pPr>
        <w:pStyle w:val="13"/>
        <w:tabs>
          <w:tab w:val="center" w:pos="4363"/>
        </w:tabs>
        <w:spacing w:before="0" w:beforeAutospacing="0" w:after="0" w:afterAutospacing="0" w:line="360" w:lineRule="auto"/>
        <w:ind w:left="4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（二）设计费支付方式：</w:t>
      </w:r>
    </w:p>
    <w:tbl>
      <w:tblPr>
        <w:tblStyle w:val="1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5954"/>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pPr>
              <w:pStyle w:val="5"/>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5954"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付款节点</w:t>
            </w:r>
          </w:p>
        </w:tc>
        <w:tc>
          <w:tcPr>
            <w:tcW w:w="2307"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付款进度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5954" w:type="dxa"/>
            <w:vAlign w:val="center"/>
          </w:tcPr>
          <w:p>
            <w:pPr>
              <w:numPr>
                <w:ilvl w:val="255"/>
                <w:numId w:val="0"/>
              </w:numPr>
              <w:ind w:firstLine="480" w:firstLineChars="200"/>
              <w:jc w:val="both"/>
              <w:rPr>
                <w:rFonts w:hint="default" w:ascii="仿宋_GB2312" w:hAnsi="仿宋_GB2312" w:eastAsia="仿宋_GB2312" w:cs="仿宋_GB2312"/>
                <w:szCs w:val="21"/>
                <w:lang w:val="en-US"/>
              </w:rPr>
            </w:pPr>
            <w:r>
              <w:rPr>
                <w:rFonts w:hint="eastAsia" w:ascii="宋体" w:hAnsi="宋体" w:cs="宋体"/>
                <w:sz w:val="24"/>
              </w:rPr>
              <w:t>合同签订后</w:t>
            </w:r>
          </w:p>
        </w:tc>
        <w:tc>
          <w:tcPr>
            <w:tcW w:w="2307" w:type="dxa"/>
            <w:vAlign w:val="center"/>
          </w:tcPr>
          <w:p>
            <w:pPr>
              <w:pStyle w:val="5"/>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ascii="仿宋_GB2312" w:hAnsi="仿宋_GB2312" w:eastAsia="仿宋_GB2312" w:cs="仿宋_GB2312"/>
                <w:szCs w:val="21"/>
              </w:rPr>
              <w:t>15</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5954" w:type="dxa"/>
            <w:vAlign w:val="center"/>
          </w:tcPr>
          <w:p>
            <w:pPr>
              <w:pStyle w:val="5"/>
              <w:spacing w:line="360" w:lineRule="auto"/>
              <w:jc w:val="both"/>
              <w:rPr>
                <w:rFonts w:hint="eastAsia" w:ascii="仿宋_GB2312" w:hAnsi="仿宋_GB2312" w:eastAsia="仿宋_GB2312" w:cs="仿宋_GB2312"/>
                <w:szCs w:val="21"/>
              </w:rPr>
            </w:pPr>
            <w:r>
              <w:rPr>
                <w:rFonts w:hint="eastAsia" w:ascii="宋体" w:hAnsi="宋体" w:cs="宋体"/>
                <w:sz w:val="24"/>
              </w:rPr>
              <w:t>完成并提交招标图经发包人书面确认</w:t>
            </w:r>
          </w:p>
        </w:tc>
        <w:tc>
          <w:tcPr>
            <w:tcW w:w="2307" w:type="dxa"/>
            <w:vAlign w:val="center"/>
          </w:tcPr>
          <w:p>
            <w:pPr>
              <w:pStyle w:val="5"/>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仿宋_GB2312" w:hAnsi="仿宋_GB2312" w:eastAsia="仿宋_GB2312" w:cs="仿宋_GB2312"/>
                <w:strike w:val="0"/>
                <w:szCs w:val="21"/>
                <w:lang w:eastAsia="zh-CN"/>
              </w:rPr>
              <w:t>2</w:t>
            </w:r>
            <w:r>
              <w:rPr>
                <w:rFonts w:hint="eastAsia" w:ascii="仿宋_GB2312" w:hAnsi="仿宋_GB2312" w:eastAsia="仿宋_GB2312" w:cs="仿宋_GB2312"/>
                <w:strike w:val="0"/>
                <w:szCs w:val="21"/>
                <w:lang w:val="en-US" w:eastAsia="zh-CN"/>
              </w:rPr>
              <w:t>0</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5954" w:type="dxa"/>
            <w:vAlign w:val="center"/>
          </w:tcPr>
          <w:p>
            <w:pPr>
              <w:pStyle w:val="5"/>
              <w:spacing w:line="360" w:lineRule="auto"/>
              <w:jc w:val="both"/>
              <w:rPr>
                <w:rFonts w:hint="eastAsia" w:ascii="仿宋_GB2312" w:hAnsi="仿宋_GB2312" w:eastAsia="仿宋_GB2312" w:cs="仿宋_GB2312"/>
                <w:szCs w:val="21"/>
              </w:rPr>
            </w:pPr>
            <w:r>
              <w:rPr>
                <w:rFonts w:hint="eastAsia" w:ascii="宋体" w:hAnsi="宋体" w:cs="宋体"/>
                <w:sz w:val="24"/>
              </w:rPr>
              <w:t>首次获取工规证</w:t>
            </w:r>
          </w:p>
        </w:tc>
        <w:tc>
          <w:tcPr>
            <w:tcW w:w="2307" w:type="dxa"/>
            <w:vAlign w:val="center"/>
          </w:tcPr>
          <w:p>
            <w:pPr>
              <w:pStyle w:val="5"/>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宋体" w:hAnsi="宋体" w:cs="宋体"/>
                <w:sz w:val="21"/>
                <w:szCs w:val="21"/>
              </w:rPr>
              <w:t>10</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5954" w:type="dxa"/>
            <w:vAlign w:val="center"/>
          </w:tcPr>
          <w:p>
            <w:pPr>
              <w:pStyle w:val="5"/>
              <w:spacing w:line="360" w:lineRule="auto"/>
              <w:jc w:val="both"/>
              <w:rPr>
                <w:rFonts w:hint="eastAsia" w:ascii="仿宋_GB2312" w:hAnsi="仿宋_GB2312" w:eastAsia="仿宋_GB2312" w:cs="仿宋_GB2312"/>
                <w:szCs w:val="21"/>
              </w:rPr>
            </w:pPr>
            <w:r>
              <w:rPr>
                <w:rFonts w:hint="eastAsia" w:ascii="宋体" w:hAnsi="宋体" w:cs="宋体"/>
                <w:sz w:val="24"/>
              </w:rPr>
              <w:t>正式施工图文件提交，通过施工图审查并完成现场交底</w:t>
            </w:r>
          </w:p>
        </w:tc>
        <w:tc>
          <w:tcPr>
            <w:tcW w:w="2307" w:type="dxa"/>
            <w:vAlign w:val="center"/>
          </w:tcPr>
          <w:p>
            <w:pPr>
              <w:pStyle w:val="5"/>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仿宋_GB2312" w:hAnsi="仿宋_GB2312" w:eastAsia="仿宋_GB2312" w:cs="仿宋_GB2312"/>
                <w:szCs w:val="21"/>
                <w:lang w:val="en-US" w:eastAsia="zh-CN"/>
              </w:rPr>
              <w:t>35</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5954" w:type="dxa"/>
            <w:vAlign w:val="center"/>
          </w:tcPr>
          <w:p>
            <w:pPr>
              <w:pStyle w:val="5"/>
              <w:spacing w:line="360" w:lineRule="auto"/>
              <w:jc w:val="both"/>
              <w:rPr>
                <w:rFonts w:hint="eastAsia" w:ascii="仿宋_GB2312" w:hAnsi="仿宋_GB2312" w:eastAsia="仿宋_GB2312" w:cs="仿宋_GB2312"/>
                <w:szCs w:val="21"/>
              </w:rPr>
            </w:pPr>
            <w:r>
              <w:rPr>
                <w:rFonts w:hint="eastAsia" w:ascii="宋体" w:hAnsi="宋体" w:cs="宋体"/>
                <w:sz w:val="24"/>
              </w:rPr>
              <w:t>规划验收完成</w:t>
            </w:r>
          </w:p>
        </w:tc>
        <w:tc>
          <w:tcPr>
            <w:tcW w:w="2307" w:type="dxa"/>
            <w:vAlign w:val="center"/>
          </w:tcPr>
          <w:p>
            <w:pPr>
              <w:pStyle w:val="5"/>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付结算总价的</w:t>
            </w:r>
            <w:r>
              <w:rPr>
                <w:rFonts w:hint="eastAsia" w:ascii="宋体" w:hAnsi="宋体" w:cs="宋体"/>
                <w:sz w:val="21"/>
                <w:szCs w:val="21"/>
              </w:rPr>
              <w:t>10</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5"/>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5954" w:type="dxa"/>
            <w:vAlign w:val="center"/>
          </w:tcPr>
          <w:p>
            <w:pPr>
              <w:pStyle w:val="5"/>
              <w:spacing w:line="360" w:lineRule="auto"/>
              <w:jc w:val="both"/>
              <w:rPr>
                <w:rFonts w:hint="eastAsia" w:ascii="仿宋_GB2312" w:hAnsi="仿宋_GB2312" w:eastAsia="仿宋_GB2312" w:cs="仿宋_GB2312"/>
                <w:szCs w:val="21"/>
              </w:rPr>
            </w:pPr>
            <w:r>
              <w:rPr>
                <w:rFonts w:ascii="宋体" w:hAnsi="宋体" w:cs="宋体"/>
                <w:sz w:val="24"/>
              </w:rPr>
              <w:t>本合同设计范围内的工程竣工验收合格并办理该范围内地块结算手续后</w:t>
            </w:r>
            <w:r>
              <w:rPr>
                <w:rFonts w:hint="eastAsia" w:ascii="宋体" w:hAnsi="宋体" w:cs="宋体"/>
                <w:sz w:val="24"/>
              </w:rPr>
              <w:t>，项目取得竣工备案表</w:t>
            </w:r>
          </w:p>
        </w:tc>
        <w:tc>
          <w:tcPr>
            <w:tcW w:w="2307" w:type="dxa"/>
            <w:vAlign w:val="center"/>
          </w:tcPr>
          <w:p>
            <w:pPr>
              <w:pStyle w:val="6"/>
              <w:rPr>
                <w:rFonts w:hint="eastAsia"/>
              </w:rPr>
            </w:pPr>
            <w:r>
              <w:rPr>
                <w:rFonts w:hint="eastAsia" w:ascii="宋体" w:hAnsi="宋体" w:cs="宋体"/>
                <w:sz w:val="24"/>
              </w:rPr>
              <w:t>支付结算总价剩余设计费</w:t>
            </w:r>
          </w:p>
        </w:tc>
      </w:tr>
    </w:tbl>
    <w:p>
      <w:pPr>
        <w:pStyle w:val="6"/>
        <w:spacing w:line="360" w:lineRule="auto"/>
        <w:ind w:firstLine="422" w:firstLineChars="200"/>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注：每次付款</w:t>
      </w:r>
      <w:r>
        <w:rPr>
          <w:rFonts w:hint="eastAsia" w:ascii="仿宋_GB2312" w:hAnsi="仿宋_GB2312" w:eastAsia="仿宋_GB2312" w:cs="仿宋_GB2312"/>
          <w:b/>
          <w:bCs/>
          <w:sz w:val="21"/>
          <w:szCs w:val="21"/>
        </w:rPr>
        <w:t>乙方按甲方要求提交请款材料和增值税专用发票后于次月25日前支付</w:t>
      </w:r>
      <w:r>
        <w:rPr>
          <w:rFonts w:hint="eastAsia" w:ascii="仿宋_GB2312" w:hAnsi="仿宋_GB2312" w:eastAsia="仿宋_GB2312" w:cs="仿宋_GB2312"/>
          <w:b/>
          <w:bCs/>
          <w:sz w:val="21"/>
          <w:szCs w:val="21"/>
          <w:lang w:eastAsia="zh-CN"/>
        </w:rPr>
        <w:t>。</w:t>
      </w:r>
    </w:p>
    <w:p>
      <w:pPr>
        <w:pStyle w:val="6"/>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（三）结算及其他</w:t>
      </w:r>
    </w:p>
    <w:p>
      <w:pPr>
        <w:pStyle w:val="6"/>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1、设计费结算的计算原则为：</w:t>
      </w:r>
      <w:r>
        <w:rPr>
          <w:rFonts w:hint="eastAsia" w:ascii="仿宋_GB2312" w:hAnsi="仿宋_GB2312" w:eastAsia="仿宋_GB2312" w:cs="仿宋_GB2312"/>
          <w:sz w:val="28"/>
          <w:szCs w:val="28"/>
          <w:u w:val="single"/>
        </w:rPr>
        <w:t>以工程规划许可证确定的建筑面积与合同价款组成清单中的单价计算得出</w:t>
      </w:r>
      <w:r>
        <w:rPr>
          <w:rFonts w:hint="eastAsia" w:ascii="仿宋_GB2312" w:hAnsi="仿宋_GB2312" w:eastAsia="仿宋_GB2312" w:cs="仿宋_GB2312"/>
          <w:sz w:val="28"/>
          <w:szCs w:val="28"/>
        </w:rPr>
        <w:t>。在结算时发包人经再次检查设计人所提交的结算资料，如设计人提交的结算资料尚有不完善的地方，设计人须积极配合并办理相关不够完善的资料并提交给发包人，否则，延期结算责任由设计人承担。如给发包方造成损失，应当承担相应损失。</w:t>
      </w:r>
    </w:p>
    <w:p>
      <w:pPr>
        <w:pStyle w:val="6"/>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2、若实际执行过程中，存在单项目合同内各地块开发进度不一的情况，预付款或进度款可以分地块报请结算。</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3、设计人签订合同时已充分了解发包人价款支付流程，因发包人流程导致付款时间延后不属于发包人违约。</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任何暂列金额项目设置的暂定金额，尽管包含在合同价格中，但并不属于乙方所有和支配。当甲方指示乙方实施合同价款约定外的事项时，乙方有取得到相应款额的权利。如果甲方没有指示由乙方实施合同价款约定外的事项，则该笔暂列金额将在合同结算时从合同价款中整项扣除。</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确定的增值税税率是在合同签订时设计人根据现行国家税务政策履行纳税义务的适用税率；如在合同履行过程中，因国家税务政策调整而导致设计人纳税的适用税率发生变化，则在确保合同不含税价格不变的前提下，相应调整增值税税款以及含税总价。</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发包人付款前，设计人必须提供正式、合法、等额的增值税专用发票。若设计人不提供发票，发包人有权暂时拒绝支付该笔款项且不承担任何违约责任。同时，设计人不得因此而停止工作。如设计人向发包人提供的发票不符合本合同约定或法律规定，因此给发包人造成的一切损失由设计人承担（包括但不限于损害赔偿、消除影响等）。</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设计人必须保证合同签订方、提供服务方、收款方、发票开具方一致，收款账号与开出的发票上的银行账号、实际收款账号一致，否则发包人有权拒绝支付款项；确保本合同项服务在设计人营业范围内，发票开具项目内容要与实际发生业务相符，否则发包人有权拒绝支付款项。</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8、双方银行账号信息：</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名称：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纳税人识别号：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户名：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开户行：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账号：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名称：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户名：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账号：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pStyle w:val="10"/>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电话：</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若在发包人付款前，设计人账户信息发生变更，设计人应当及时通知发包人并提供符合发包人要求的银行账户。若因设计人迟延通知或者提供的银行账户不符合要求导致发包人付款错误或延迟的，由此产生的一切损失均由设计人自行承担。 </w:t>
      </w:r>
    </w:p>
    <w:p>
      <w:pPr>
        <w:pStyle w:val="13"/>
        <w:numPr>
          <w:ilvl w:val="255"/>
          <w:numId w:val="0"/>
        </w:numPr>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甲方支付方式为：现金、转账、承兑汇票、保理或其他付款方式，甲方有权选择以上任意一种或多种方式进行进度款或者结算款的支付，乙方对此不得持有异议；且乙方承诺，不得就甲方对付款方式的选择而要求甲方支付额外的其他任何费用。选择承兑汇票付款时，汇票期限与贴息方式由甲乙双方另行协商确定。</w:t>
      </w:r>
    </w:p>
    <w:p>
      <w:pPr>
        <w:spacing w:line="276"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10、★本合同甲方指定</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为计价、结算办理资料的唯一接收人，因乙方未按照甲方的付款时间节点提交相关计价、结算资料，并经甲方签字验收合格的，因此导致甲方付款迟延的甲方不承担任何逾期付款责任。</w:t>
      </w:r>
    </w:p>
    <w:p>
      <w:pPr>
        <w:spacing w:line="276"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11、★本合同甲方指定</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为增值税发票的接收人，发票应当</w:t>
      </w:r>
      <w:r>
        <w:rPr>
          <w:rFonts w:hint="eastAsia" w:ascii="仿宋_GB2312" w:hAnsi="仿宋_GB2312" w:eastAsia="仿宋_GB2312" w:cs="仿宋_GB2312"/>
          <w:kern w:val="0"/>
          <w:sz w:val="28"/>
          <w:szCs w:val="28"/>
          <w:lang w:val="en-US" w:eastAsia="zh-CN"/>
        </w:rPr>
        <w:t>由</w:t>
      </w:r>
      <w:r>
        <w:rPr>
          <w:rFonts w:hint="eastAsia" w:ascii="仿宋_GB2312" w:hAnsi="仿宋_GB2312" w:eastAsia="仿宋_GB2312" w:cs="仿宋_GB2312"/>
          <w:kern w:val="0"/>
          <w:sz w:val="28"/>
          <w:szCs w:val="28"/>
        </w:rPr>
        <w:t>专人送达不得邮寄，若因客观原因必须邮寄的，应当采用挂号信邮寄，发票必须</w:t>
      </w:r>
      <w:r>
        <w:rPr>
          <w:rFonts w:hint="eastAsia" w:ascii="仿宋_GB2312" w:hAnsi="仿宋_GB2312" w:eastAsia="仿宋_GB2312" w:cs="仿宋_GB2312"/>
          <w:kern w:val="0"/>
          <w:sz w:val="28"/>
          <w:szCs w:val="28"/>
          <w:lang w:val="en-US" w:eastAsia="zh-CN"/>
        </w:rPr>
        <w:t>由</w:t>
      </w:r>
      <w:r>
        <w:rPr>
          <w:rFonts w:hint="eastAsia" w:ascii="仿宋_GB2312" w:hAnsi="仿宋_GB2312" w:eastAsia="仿宋_GB2312" w:cs="仿宋_GB2312"/>
          <w:kern w:val="0"/>
          <w:sz w:val="28"/>
          <w:szCs w:val="28"/>
        </w:rPr>
        <w:t>指定接收人签字认可，不得代收。</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双方责任</w:t>
      </w:r>
    </w:p>
    <w:p>
      <w:pPr>
        <w:pStyle w:val="13"/>
        <w:spacing w:before="0" w:beforeAutospacing="0" w:after="0" w:afterAutospacing="0" w:line="360" w:lineRule="auto"/>
        <w:ind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（一）发包人责任：</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1.发包人按本合同规定的内容</w:t>
      </w:r>
      <w:r>
        <w:rPr>
          <w:rFonts w:hint="eastAsia" w:ascii="仿宋_GB2312" w:hAnsi="仿宋_GB2312" w:eastAsia="仿宋_GB2312" w:cs="仿宋_GB2312"/>
          <w:sz w:val="28"/>
          <w:szCs w:val="28"/>
          <w:lang w:val="en-US" w:eastAsia="zh-CN"/>
        </w:rPr>
        <w:t>及设计人出具的书面清单</w:t>
      </w:r>
      <w:r>
        <w:rPr>
          <w:rFonts w:hint="eastAsia" w:ascii="仿宋_GB2312" w:hAnsi="仿宋_GB2312" w:eastAsia="仿宋_GB2312" w:cs="仿宋_GB2312"/>
          <w:sz w:val="28"/>
          <w:szCs w:val="28"/>
        </w:rPr>
        <w:t>，在规定的时间内向设计人提交资料及文件，并对其完整性、正确性及时限负责，发包人不得要求设计人违反国家有关标准进行设计。</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2.发包人提交上述资料及文件超过规定期限</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14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天以内，设计人按合同规定交付设计文件时间顺延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如因设计人导致发包人迟延提交，则交付时间不得顺延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；超过规定期限</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14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天以上时，设计人可与发包人重新确定提交设计文件的时间。</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3.发包人变更委托设计项目、规模、条件或因提交的资料错误，或所提交资料作较大修改，以致造成设计人设计需返工时，双方需另行协商签订补充协议（或另订合同）。</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4.发包人应为派赴现场处理有关设计问题的工作人员，提供必要的方便条件。</w:t>
      </w:r>
    </w:p>
    <w:p>
      <w:pPr>
        <w:pStyle w:val="13"/>
        <w:spacing w:before="0" w:beforeAutospacing="0" w:after="0" w:afterAutospacing="0" w:line="360" w:lineRule="auto"/>
        <w:ind w:firstLine="56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（二）设计人责任：</w:t>
      </w:r>
    </w:p>
    <w:p>
      <w:pPr>
        <w:pStyle w:val="13"/>
        <w:spacing w:before="0" w:beforeAutospacing="0" w:after="0" w:afterAutospacing="0"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1.设计人保证设计人及其工作人员已取得发包人就本协议委托事项所应有的政府主管部门颁发的资质和许可文件，有能力依法依约完成发包人的委托事项。</w:t>
      </w:r>
    </w:p>
    <w:p>
      <w:pPr>
        <w:pStyle w:val="13"/>
        <w:spacing w:before="0" w:beforeAutospacing="0" w:after="0" w:afterAutospacing="0"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2.设计人应按国家技术规范、标准、规程及发包人提出的设计要求，进行工程设计，按合同规定的进度要求提交质量合格的设计资料，并对其负责。</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3.设计人采用的主要技术标准是：</w:t>
      </w:r>
      <w:r>
        <w:rPr>
          <w:rFonts w:hint="eastAsia" w:ascii="仿宋_GB2312" w:hAnsi="仿宋_GB2312" w:eastAsia="仿宋_GB2312" w:cs="仿宋_GB2312"/>
          <w:sz w:val="28"/>
          <w:szCs w:val="28"/>
          <w:u w:val="single"/>
        </w:rPr>
        <w:t>国家规范，地方规范及相关规定，及发包人其他设计要求。</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4.★设计合理使用年限为</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年，以单项目合同注明的设计使用年限为准。</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5.设计人按本合同规定的要求向发包人交付资料及文件，并对其合法性、完整性、正确性及时限负责。</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设计人交付设计资料及文件后，按规定参加有关的设计审查，并根据审查结论负责对不超出原定范围的内容做必要调整补充。设计人按合同规定时限交付设计资料及文件，施工前负责向发包人及施工单位进行设计交底、处理有关设计问题和参加竣工验收。</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设计人应保护发包人的知识产权和商业秘密。设计人在本合同履行磋商、签署和/或履行过程中获知的发包人提供的资料、信息、商业秘密，应当严格保密，在未事先取得发包人书面同意的情况下，不得向第三方披露或公开，也不得用于除履行本合同之外的任何其他目的。本款项下的保密义务在本合同期间以及本合同无论因何原因解除、终止、撤销或者失效后持续有效。如发生以上情况并给发包人造成经济损失，发包人有权向设计人索赔。</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设计人的设备、材料、人员等的安全及保险由设计人自行承担。设计人须负责本公司工作人员的安全教育工作及购买人身保险。设计人因履行本条款约定责任所承担的费用均已考虑在合同价款中。设计人工作人员在项目现场必须服从发包人以及发包人指定第三方的安全管理。</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因设计人原因造成发包人、设计人或第三方损失的责任（包括但不限于人身损害及财产损失）由设计人自行承担及负责，且设计人应赔偿发包人或第三方追索损失或违约金所支出的所有费用（包含但不限于赔偿金、罚款、律师费、受理费、保全费、保全担保费、公证费、执行费、鉴定费、差旅费等）。</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.乙方有义务保证满足以下时间要求：按甲方或需方发出的书面通知约定的时间前签订单项目合同；自双方签订单项目合同之日起，乙方保证按需方计划和要求提供相应服务。</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.乙方有义务保证满足甲方的需要，对甲方及其广东省及周边区域各下属单位即将开发的项目都有按照本协议书及附件规定的价格，提供符合本协议书及附件规定的项目相应服务。</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在合同履行期间，发包人要求终止或解除合同，设计人未开始设计工作的，应退还发包人已付的款项；已开始设计工作的，发包人应根据设计人已进行的实际工作量占全部任务量的比例，支付相应合理的设计费，设计人已经完成的工作应于收到发包人通知之日起</w:t>
      </w:r>
      <w:r>
        <w:rPr>
          <w:rFonts w:ascii="仿宋_GB2312" w:hAnsi="仿宋_GB2312" w:eastAsia="仿宋_GB2312" w:cs="仿宋_GB2312"/>
          <w:kern w:val="0"/>
          <w:sz w:val="28"/>
          <w:szCs w:val="28"/>
          <w:u w:val="single"/>
        </w:rPr>
        <w:t>3</w:t>
      </w:r>
      <w:r>
        <w:rPr>
          <w:rFonts w:hint="eastAsia" w:ascii="仿宋_GB2312" w:hAnsi="仿宋_GB2312" w:eastAsia="仿宋_GB2312" w:cs="仿宋_GB2312"/>
          <w:kern w:val="0"/>
          <w:sz w:val="28"/>
          <w:szCs w:val="28"/>
        </w:rPr>
        <w:t>日内移交给发包人。</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除本合同另有约定外，发包人应按本合同规定的金额和时间向设计人支付设计费。发包人的上级或设计审批部门对设计文件不审批或本合同项目停缓建，发包人有权要求终止或解除合同，设计费用按当时达到的约定支付节点进行支付。</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3.设计人对设计资料及文件出现的遗漏或错误负责修改或补充，设计人应当免费负责修改和补充完善直至符合本合同约定及发包人要求，如设计人</w:t>
      </w:r>
      <w:r>
        <w:rPr>
          <w:rFonts w:hint="eastAsia" w:ascii="仿宋_GB2312" w:hAnsi="仿宋_GB2312" w:eastAsia="仿宋_GB2312" w:cs="仿宋_GB2312"/>
          <w:sz w:val="28"/>
          <w:szCs w:val="28"/>
          <w:lang w:eastAsia="zh-CN"/>
        </w:rPr>
        <w:t>拒绝修改或经</w:t>
      </w:r>
      <w:r>
        <w:rPr>
          <w:rFonts w:hint="eastAsia" w:ascii="仿宋_GB2312" w:hAnsi="仿宋_GB2312" w:eastAsia="仿宋_GB2312" w:cs="仿宋_GB2312"/>
          <w:sz w:val="28"/>
          <w:szCs w:val="28"/>
          <w:lang w:val="en-US" w:eastAsia="zh-CN"/>
        </w:rPr>
        <w:t>发包人</w:t>
      </w:r>
      <w:r>
        <w:rPr>
          <w:rFonts w:hint="eastAsia" w:ascii="仿宋_GB2312" w:hAnsi="仿宋_GB2312" w:eastAsia="仿宋_GB2312" w:cs="仿宋_GB2312"/>
          <w:sz w:val="28"/>
          <w:szCs w:val="28"/>
          <w:lang w:eastAsia="zh-CN"/>
        </w:rPr>
        <w:t>书面催告后3日内仍未采取有效补救措施并执行完毕的或</w:t>
      </w:r>
      <w:r>
        <w:rPr>
          <w:rFonts w:hint="eastAsia" w:ascii="仿宋_GB2312" w:hAnsi="仿宋_GB2312" w:eastAsia="仿宋_GB2312" w:cs="仿宋_GB2312"/>
          <w:sz w:val="28"/>
          <w:szCs w:val="28"/>
        </w:rPr>
        <w:t>修改达三次或三次以上仍不符合发包人要求的，发包人有权解除本合同或另行委托其它设计单位完成该阶段的工作任务，费用直接从该阶段应付给设计人的款项扣划给付，不足部分，设计人应当补足，且设计人应当向发包人支付合同暂定总价款</w:t>
      </w:r>
      <w:r>
        <w:rPr>
          <w:rFonts w:ascii="仿宋_GB2312" w:hAnsi="仿宋_GB2312" w:eastAsia="仿宋_GB2312" w:cs="仿宋_GB2312"/>
          <w:sz w:val="28"/>
          <w:szCs w:val="28"/>
          <w:u w:val="single"/>
        </w:rPr>
        <w:t>30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%的违约金，违约金不足以弥补发包人损失的，设计人应当予以补足。</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4.由于设计人员错误造成甲方损失或者工程质量事故损失，设计人除承担所有责任及采取补救措施外，应免收直接受损失部分的设计费。同时根据损失的程度和设计人责任大小向发包人支付</w:t>
      </w:r>
      <w:r>
        <w:rPr>
          <w:rFonts w:hint="eastAsia" w:ascii="仿宋_GB2312" w:hAnsi="仿宋_GB2312" w:eastAsia="仿宋_GB2312" w:cs="仿宋_GB2312"/>
          <w:sz w:val="28"/>
          <w:szCs w:val="28"/>
          <w:lang w:val="en-US" w:eastAsia="zh-CN"/>
        </w:rPr>
        <w:t>不低于</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暂定</w:t>
      </w:r>
      <w:r>
        <w:rPr>
          <w:rFonts w:hint="eastAsia" w:ascii="仿宋_GB2312" w:hAnsi="仿宋_GB2312" w:eastAsia="仿宋_GB2312" w:cs="仿宋_GB2312"/>
          <w:sz w:val="28"/>
          <w:szCs w:val="28"/>
        </w:rPr>
        <w:t>总价款</w:t>
      </w:r>
      <w:r>
        <w:rPr>
          <w:rFonts w:ascii="仿宋_GB2312" w:hAnsi="仿宋_GB2312" w:eastAsia="仿宋_GB2312" w:cs="仿宋_GB2312"/>
          <w:sz w:val="28"/>
          <w:szCs w:val="28"/>
          <w:u w:val="single"/>
        </w:rPr>
        <w:t>30</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的违约金（具体金额由发包人视情况单方决定），违约金不足以弥补发包人损失的，设计人应当予以补足。</w:t>
      </w:r>
    </w:p>
    <w:p>
      <w:pPr>
        <w:pStyle w:val="13"/>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.★对于单项目合同，合同生效后，设计人要求终止或解除合同或因设计人原因导致本合同终止、解除的，设计人应向发包人支付暂定合同总价款</w:t>
      </w:r>
      <w:r>
        <w:rPr>
          <w:rFonts w:ascii="仿宋_GB2312" w:hAnsi="仿宋_GB2312" w:eastAsia="仿宋_GB2312" w:cs="仿宋_GB2312"/>
          <w:sz w:val="28"/>
          <w:szCs w:val="28"/>
          <w:u w:val="single"/>
        </w:rPr>
        <w:t>20</w:t>
      </w:r>
      <w:r>
        <w:rPr>
          <w:rFonts w:hint="eastAsia" w:ascii="仿宋_GB2312" w:hAnsi="仿宋_GB2312" w:eastAsia="仿宋_GB2312" w:cs="仿宋_GB2312"/>
          <w:sz w:val="28"/>
          <w:szCs w:val="28"/>
        </w:rPr>
        <w:t>%的违约金，违约金不足以弥补发包人损失的，设计人应当予以补足。本条款不因合同解除或终止而无效。</w:t>
      </w:r>
    </w:p>
    <w:p>
      <w:pPr>
        <w:pStyle w:val="13"/>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.设计人应保证其在履行合同的过程中所提供的服务或成果合法、合规、不侵犯第三方的合法权益（包括但不限于著作权、商标权、专利权等），否则，设计人应向发包人支付合同暂定金额</w:t>
      </w:r>
      <w:r>
        <w:rPr>
          <w:rFonts w:hint="eastAsia" w:ascii="仿宋_GB2312" w:hAnsi="仿宋_GB2312" w:eastAsia="仿宋_GB2312" w:cs="仿宋_GB2312"/>
          <w:sz w:val="28"/>
          <w:szCs w:val="28"/>
          <w:u w:val="single"/>
        </w:rPr>
        <w:t>100 %</w:t>
      </w:r>
      <w:r>
        <w:rPr>
          <w:rFonts w:hint="eastAsia" w:ascii="仿宋_GB2312" w:hAnsi="仿宋_GB2312" w:eastAsia="仿宋_GB2312" w:cs="仿宋_GB2312"/>
          <w:sz w:val="28"/>
          <w:szCs w:val="28"/>
        </w:rPr>
        <w:t>的违约金，违约金不足以弥补发包人损失的，设计人还应当予以补足。如果任何第三方提出侵权指控，设计人须与第三方交涉并承担由此发生的一切责任、费用和经济赔偿。本条款不因合同解除或终止而无效。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.设计人收到发包人关于设计变更的工作联系单，如确有必要修改，设计人须在</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48</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小时内处理并提供正式设计变更单，超出期限时，发包人将按照每次￥</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2000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元的违约金标准向设计人收取；如需设计人到现场服务，发包人提前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天通知，设计人未按时到场的，发包人将按照每次￥</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2000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元的违约金标准向设计人收取</w:t>
      </w:r>
      <w:r>
        <w:rPr>
          <w:rFonts w:hint="eastAsia" w:ascii="仿宋_GB2312" w:hAnsi="仿宋_GB2312" w:eastAsia="仿宋_GB2312" w:cs="仿宋_GB2312"/>
          <w:sz w:val="28"/>
          <w:szCs w:val="28"/>
          <w:lang w:eastAsia="zh-CN"/>
        </w:rPr>
        <w:t>。</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履约期间，设计人必须按照限额设计指标进行限额设计工作，于各设计内容中严格落实，保证设计质量，控制指标含量；如因设计人的原因，导致实际指标超过限额设计指标，经发包人核实后，发包人有权向设计人索赔，索赔金额按超出指标范围发生额的</w:t>
      </w:r>
      <w:r>
        <w:rPr>
          <w:rFonts w:ascii="仿宋_GB2312" w:hAnsi="仿宋_GB2312" w:eastAsia="仿宋_GB2312" w:cs="仿宋_GB2312"/>
          <w:sz w:val="28"/>
          <w:szCs w:val="28"/>
          <w:u w:val="single"/>
        </w:rPr>
        <w:t>3</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扣取（具体金额由发包人视情况单方决定）。本条款不因合同解除或终止而无效。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.设计人违反保密义务，侵犯或者允许第三人侵犯发包人商业秘密的，应赔偿发包人由此导致的所有损失，且每发生一次应向发包人支付暂定为合同总金额</w:t>
      </w:r>
      <w:r>
        <w:rPr>
          <w:rFonts w:ascii="仿宋_GB2312" w:hAnsi="仿宋_GB2312" w:eastAsia="仿宋_GB2312" w:cs="仿宋_GB2312"/>
          <w:sz w:val="28"/>
          <w:szCs w:val="28"/>
          <w:u w:val="single"/>
        </w:rPr>
        <w:t>20</w:t>
      </w:r>
      <w:r>
        <w:rPr>
          <w:rFonts w:hint="eastAsia" w:ascii="仿宋_GB2312" w:hAnsi="仿宋_GB2312" w:eastAsia="仿宋_GB2312" w:cs="仿宋_GB2312"/>
          <w:sz w:val="28"/>
          <w:szCs w:val="28"/>
        </w:rPr>
        <w:t>%的违约金，违约金不足以弥补发包人损失的，设计人还应当予以补足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同时发包人有权解除本合同。本条款不因合同解除或终止而无效。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项目启动后，设计人应指定项目技术负责人与发包人对接，设计人指定的项目技术负责人应协调设计院工作，不得以专业局限为由，让各专业设计人人员自行与发包人沟通设计问题。设计人不得随意更换项目技术负责人，若设计人未经发包人同意擅自变更技术负责人，按</w:t>
      </w:r>
      <w:r>
        <w:rPr>
          <w:rFonts w:ascii="仿宋_GB2312" w:hAnsi="仿宋_GB2312" w:eastAsia="仿宋_GB2312" w:cs="仿宋_GB2312"/>
          <w:sz w:val="28"/>
          <w:szCs w:val="28"/>
          <w:u w:val="single"/>
        </w:rPr>
        <w:t>5000</w:t>
      </w:r>
      <w:r>
        <w:rPr>
          <w:rFonts w:hint="eastAsia" w:ascii="仿宋_GB2312" w:hAnsi="仿宋_GB2312" w:eastAsia="仿宋_GB2312" w:cs="仿宋_GB2312"/>
          <w:sz w:val="28"/>
          <w:szCs w:val="28"/>
        </w:rPr>
        <w:t>元/人次承担违约金。若因项目技术负责人服务不能达到发包人要求，发包人有权要求设计人更换合格的项目技术负责人，设计人未按发包人要求更换的，按</w:t>
      </w:r>
      <w:r>
        <w:rPr>
          <w:rFonts w:ascii="仿宋_GB2312" w:hAnsi="仿宋_GB2312" w:eastAsia="仿宋_GB2312" w:cs="仿宋_GB2312"/>
          <w:sz w:val="28"/>
          <w:szCs w:val="28"/>
          <w:u w:val="single"/>
        </w:rPr>
        <w:t>5000</w:t>
      </w:r>
      <w:r>
        <w:rPr>
          <w:rFonts w:hint="eastAsia" w:ascii="仿宋_GB2312" w:hAnsi="仿宋_GB2312" w:eastAsia="仿宋_GB2312" w:cs="仿宋_GB2312"/>
          <w:sz w:val="28"/>
          <w:szCs w:val="28"/>
        </w:rPr>
        <w:t>元/人次承担违约金。</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.项目启动后，设计人在签约时提供的本项目设计人人员发生更换，应提前15日向发包人发出书面通知，并附上更换后的主要设计人人员的简历；若设计人未经发包人同意擅自变更主要设计人人员，按</w:t>
      </w:r>
      <w:r>
        <w:rPr>
          <w:rFonts w:ascii="仿宋_GB2312" w:hAnsi="仿宋_GB2312" w:eastAsia="仿宋_GB2312" w:cs="仿宋_GB2312"/>
          <w:sz w:val="28"/>
          <w:szCs w:val="28"/>
          <w:u w:val="single"/>
        </w:rPr>
        <w:t>5000</w:t>
      </w:r>
      <w:r>
        <w:rPr>
          <w:rFonts w:hint="eastAsia" w:ascii="仿宋_GB2312" w:hAnsi="仿宋_GB2312" w:eastAsia="仿宋_GB2312" w:cs="仿宋_GB2312"/>
          <w:sz w:val="28"/>
          <w:szCs w:val="28"/>
        </w:rPr>
        <w:t>元/人次承担违约金。若因设计人人员服务不能达到发包人要求，发包人有权要求设计人更换合格的设计人人员，设计人未按发包人要求更换主要设计人人员的，按</w:t>
      </w:r>
      <w:r>
        <w:rPr>
          <w:rFonts w:ascii="仿宋_GB2312" w:hAnsi="仿宋_GB2312" w:eastAsia="仿宋_GB2312" w:cs="仿宋_GB2312"/>
          <w:sz w:val="28"/>
          <w:szCs w:val="28"/>
          <w:u w:val="single"/>
        </w:rPr>
        <w:t>5000</w:t>
      </w:r>
      <w:r>
        <w:rPr>
          <w:rFonts w:hint="eastAsia" w:ascii="仿宋_GB2312" w:hAnsi="仿宋_GB2312" w:eastAsia="仿宋_GB2312" w:cs="仿宋_GB2312"/>
          <w:sz w:val="28"/>
          <w:szCs w:val="28"/>
        </w:rPr>
        <w:t>元/人次承担违约金。本条款不因合同解除或终止而无效。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.设计人在未得到发包人书面同意的条件下，擅自对本项目的服务进行转包、分包或者委派设计人工作人员之外的人员承担设计工作的，每发生一次，设计人应向发包人支付暂定为合同总价</w:t>
      </w:r>
      <w:r>
        <w:rPr>
          <w:rFonts w:ascii="仿宋_GB2312" w:hAnsi="仿宋_GB2312" w:eastAsia="仿宋_GB2312" w:cs="仿宋_GB2312"/>
          <w:sz w:val="28"/>
          <w:szCs w:val="28"/>
          <w:u w:val="single"/>
        </w:rPr>
        <w:t>20</w:t>
      </w:r>
      <w:r>
        <w:rPr>
          <w:rFonts w:hint="eastAsia" w:ascii="仿宋_GB2312" w:hAnsi="仿宋_GB2312" w:eastAsia="仿宋_GB2312" w:cs="仿宋_GB2312"/>
          <w:sz w:val="28"/>
          <w:szCs w:val="28"/>
        </w:rPr>
        <w:t>%的违约金，违约金不足以弥补发包人损失的，设计人应当予以补足，同时，发包人有权解除本合同。</w:t>
      </w:r>
      <w:r>
        <w:rPr>
          <w:rFonts w:hint="eastAsia" w:ascii="仿宋_GB2312" w:hAnsi="仿宋_GB2312" w:eastAsia="仿宋_GB2312" w:cs="仿宋_GB2312"/>
          <w:sz w:val="28"/>
          <w:szCs w:val="28"/>
          <w:lang w:val="en-US" w:eastAsia="zh-CN"/>
        </w:rPr>
        <w:t>设计人违反约定将</w:t>
      </w:r>
      <w:r>
        <w:rPr>
          <w:rFonts w:hint="eastAsia" w:ascii="仿宋_GB2312" w:hAnsi="仿宋_GB2312" w:eastAsia="仿宋_GB2312" w:cs="仿宋_GB2312"/>
          <w:sz w:val="28"/>
          <w:szCs w:val="28"/>
        </w:rPr>
        <w:t>本项目的服务</w:t>
      </w:r>
      <w:r>
        <w:rPr>
          <w:rFonts w:hint="eastAsia" w:ascii="仿宋_GB2312" w:hAnsi="仿宋_GB2312" w:eastAsia="仿宋_GB2312" w:cs="仿宋_GB2312"/>
          <w:sz w:val="28"/>
          <w:szCs w:val="28"/>
          <w:lang w:val="en-US" w:eastAsia="zh-CN"/>
        </w:rPr>
        <w:t>转让给第三方而发生的任何费用，发包人均无须支付，发包人已经支付的，设计人应当在发包人要求退还之日全额退还发包人，设计人与第三方之间关于上述费用的结算和支付产生的纠纷和争议由设计人自行解决，与发包人无关。</w:t>
      </w:r>
      <w:r>
        <w:rPr>
          <w:rFonts w:hint="eastAsia" w:ascii="仿宋_GB2312" w:hAnsi="仿宋_GB2312" w:eastAsia="仿宋_GB2312" w:cs="仿宋_GB2312"/>
          <w:sz w:val="28"/>
          <w:szCs w:val="28"/>
        </w:rPr>
        <w:t>本条款不因合同解除或终止而无效。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.设计人不按本合同约定履行合同义务的行为均视为违约事项，未特别说明的按设计人向发包人支付不高于人民币</w:t>
      </w:r>
      <w:r>
        <w:rPr>
          <w:rFonts w:ascii="仿宋_GB2312" w:hAnsi="仿宋_GB2312" w:eastAsia="仿宋_GB2312" w:cs="仿宋_GB2312"/>
          <w:sz w:val="28"/>
          <w:szCs w:val="28"/>
          <w:u w:val="single"/>
        </w:rPr>
        <w:t>20000</w:t>
      </w:r>
      <w:r>
        <w:rPr>
          <w:rFonts w:hint="eastAsia" w:ascii="仿宋_GB2312" w:hAnsi="仿宋_GB2312" w:eastAsia="仿宋_GB2312" w:cs="仿宋_GB2312"/>
          <w:sz w:val="28"/>
          <w:szCs w:val="28"/>
        </w:rPr>
        <w:t>元/项的违约金（具体金额由发包人视情况单方决定），违约金不足以弥补发包人损失的，设计人应当予以补足。情节严重者，发包人有权解除合同，设计人应向发包人支付合同暂定总价款</w:t>
      </w:r>
      <w:r>
        <w:rPr>
          <w:rFonts w:ascii="仿宋_GB2312" w:hAnsi="仿宋_GB2312" w:eastAsia="仿宋_GB2312" w:cs="仿宋_GB2312"/>
          <w:sz w:val="28"/>
          <w:szCs w:val="28"/>
          <w:u w:val="single"/>
        </w:rPr>
        <w:t>20</w:t>
      </w:r>
      <w:r>
        <w:rPr>
          <w:rFonts w:hint="eastAsia" w:ascii="仿宋_GB2312" w:hAnsi="仿宋_GB2312" w:eastAsia="仿宋_GB2312" w:cs="仿宋_GB2312"/>
          <w:sz w:val="28"/>
          <w:szCs w:val="28"/>
        </w:rPr>
        <w:t>%的违约金，违约金不足以弥补发包人损失的，设计人应当予以补足。本条款不因合同解除或终止而无效。</w:t>
      </w:r>
    </w:p>
    <w:p>
      <w:pPr>
        <w:pStyle w:val="13"/>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14.如因设计人转包、分包或其他行为导致第三方向发包人主张索赔、投诉发包人或使发包人涉及诉讼、仲裁、行政处罚的，设计人须与第三方交涉并承担由此发生的一切责任、费用和经济赔偿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因此导致发包人需向第三方承担责任的（包括但不限于支付合同款项、违约金、赔偿金、罚款，履行相关责任等），发包人有权直接要求设计人立即予以赔付、履行相关责任，且发包人有权从应支付给设计人的任何款项中予以扣除相应款项（而且不限于本合同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如果发包人代设计人履行相关责任，所发生费用由设计人承担，相关费用从应支付给设计人的任何款项中予以扣除（而且不限于本合同项目），同时，设计人应当向发包人支付暂定为合同总价</w:t>
      </w:r>
      <w:r>
        <w:rPr>
          <w:rFonts w:ascii="仿宋_GB2312" w:hAnsi="仿宋_GB2312" w:eastAsia="仿宋_GB2312" w:cs="仿宋_GB2312"/>
          <w:sz w:val="28"/>
          <w:szCs w:val="28"/>
          <w:u w:val="single"/>
        </w:rPr>
        <w:t>20</w:t>
      </w:r>
      <w:r>
        <w:rPr>
          <w:rFonts w:hint="eastAsia" w:ascii="仿宋_GB2312" w:hAnsi="仿宋_GB2312" w:eastAsia="仿宋_GB2312" w:cs="仿宋_GB2312"/>
          <w:sz w:val="28"/>
          <w:szCs w:val="28"/>
        </w:rPr>
        <w:t>%的违约金并赔偿因此给发包人造成的一切损失。在设计人妥善解决相关纠纷前，发包人有权暂停支付设计人任何款项且不构成违约。</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因设计人原因导致发包人向第三方承担任何形式的违约金、罚款、赔偿金或履行相应责任的，发包人在支付相应款项或履行相应责任后，可凭支付违约金、罚款、赔偿金或履行责任的证明直接向设计人追偿，设计人对此应予以认可。本条款不因合同解除或终止而无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本合同设计人需赔偿给发包人造成的全部经济损失，包括但不限于违约金、罚款、赔偿金、律师费、诉讼费、仲裁费、调查费、鉴定费、公证费、财产保全费、保全担保费、执行费、差旅费、交通费、食宿费、医疗费等发包人实现债权的一切费用。</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.进入设计及后期施工配合阶段，发包人所发邮件、纸质文件，尤其是涉及工作节点和需提交设计成果的，设计人在收到文件后最晚</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48</w:t>
      </w:r>
      <w:r>
        <w:rPr>
          <w:rFonts w:hint="eastAsia" w:ascii="仿宋_GB2312" w:hAnsi="仿宋_GB2312" w:eastAsia="仿宋_GB2312" w:cs="仿宋_GB2312"/>
          <w:sz w:val="28"/>
          <w:szCs w:val="28"/>
        </w:rPr>
        <w:t>小时内以相应形式回复。若逾</w:t>
      </w:r>
      <w:r>
        <w:rPr>
          <w:rFonts w:ascii="仿宋_GB2312" w:hAnsi="仿宋_GB2312" w:eastAsia="仿宋_GB2312" w:cs="仿宋_GB2312"/>
          <w:sz w:val="28"/>
          <w:szCs w:val="28"/>
          <w:u w:val="single"/>
        </w:rPr>
        <w:t>48</w:t>
      </w:r>
      <w:r>
        <w:rPr>
          <w:rFonts w:hint="eastAsia" w:ascii="仿宋_GB2312" w:hAnsi="仿宋_GB2312" w:eastAsia="仿宋_GB2312" w:cs="仿宋_GB2312"/>
          <w:sz w:val="28"/>
          <w:szCs w:val="28"/>
        </w:rPr>
        <w:t>小时不予回复，将视为认同发包人发出的指令及节点要求，发包人将按此节点要求评估设计人服务质量。若设计人对指令内容存有异议，需在</w:t>
      </w:r>
      <w:r>
        <w:rPr>
          <w:rFonts w:ascii="仿宋_GB2312" w:hAnsi="仿宋_GB2312" w:eastAsia="仿宋_GB2312" w:cs="仿宋_GB2312"/>
          <w:sz w:val="28"/>
          <w:szCs w:val="28"/>
          <w:u w:val="single"/>
        </w:rPr>
        <w:t>24</w:t>
      </w:r>
      <w:r>
        <w:rPr>
          <w:rFonts w:hint="eastAsia" w:ascii="仿宋_GB2312" w:hAnsi="仿宋_GB2312" w:eastAsia="仿宋_GB2312" w:cs="仿宋_GB2312"/>
          <w:sz w:val="28"/>
          <w:szCs w:val="28"/>
        </w:rPr>
        <w:t>小时内做出反馈沟通，并按沟通结果回复。超出期限时，发包人有权按照每次￥</w:t>
      </w:r>
      <w:r>
        <w:rPr>
          <w:rFonts w:ascii="仿宋_GB2312" w:hAnsi="仿宋_GB2312" w:eastAsia="仿宋_GB2312" w:cs="仿宋_GB2312"/>
          <w:sz w:val="28"/>
          <w:szCs w:val="28"/>
          <w:u w:val="single"/>
        </w:rPr>
        <w:t>2000</w:t>
      </w:r>
      <w:r>
        <w:rPr>
          <w:rFonts w:hint="eastAsia" w:ascii="仿宋_GB2312" w:hAnsi="仿宋_GB2312" w:eastAsia="仿宋_GB2312" w:cs="仿宋_GB2312"/>
          <w:sz w:val="28"/>
          <w:szCs w:val="28"/>
        </w:rPr>
        <w:t>元的违约金标准向设计人收取。</w:t>
      </w:r>
    </w:p>
    <w:p>
      <w:pPr>
        <w:pStyle w:val="13"/>
        <w:spacing w:before="0" w:beforeAutospacing="0" w:after="0" w:afterAutospacing="0"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18.关于设计人应向发包人承担的违约金或支付/退还的任何款项</w:t>
      </w:r>
      <w:r>
        <w:rPr>
          <w:rFonts w:hint="eastAsia" w:ascii="仿宋_GB2312" w:hAnsi="仿宋_GB2312" w:eastAsia="仿宋_GB2312" w:cs="仿宋_GB2312"/>
          <w:sz w:val="28"/>
          <w:szCs w:val="28"/>
        </w:rPr>
        <w:t>，发包人有权直接要求设计人立即予以赔付、履行相关责任，且发包人有权从应支付给设计人的任何款项中予以扣除相应款项（而且不限于本合同项目）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若设计人未在发包人要求的期限内履行款项支付义务，每逾期一天，应按照拖欠款项万分之五的标准支付利息。</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设计变更</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1.如设计任务书的内容发生重大变更（增加或减少工作量超过原设计委托任务的</w:t>
      </w:r>
      <w:r>
        <w:rPr>
          <w:rFonts w:ascii="仿宋_GB2312" w:hAnsi="仿宋_GB2312" w:eastAsia="仿宋_GB2312" w:cs="仿宋_GB2312"/>
          <w:sz w:val="28"/>
          <w:szCs w:val="28"/>
          <w:u w:val="single"/>
        </w:rPr>
        <w:t>10</w:t>
      </w:r>
      <w:r>
        <w:rPr>
          <w:rFonts w:hint="eastAsia" w:ascii="仿宋_GB2312" w:hAnsi="仿宋_GB2312" w:eastAsia="仿宋_GB2312" w:cs="仿宋_GB2312"/>
          <w:sz w:val="28"/>
          <w:szCs w:val="28"/>
        </w:rPr>
        <w:t>%），双方可根据实际情况对设计费用和履约期限进行协商和调整。</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2.在设计过程中，国家的相关政策、法规发生变化，要求对已完成的设计成果进行调整，合同双方可以协商进行履约期限调整并根据变更设计工作量协调商定变更设计费用。</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3.在设计过程中，发包人根据市场反馈的信息，要求对户型进行调整（仅限于户内功能分区及局部立面的调整，且以不重新出整栋建筑各专业施工图为限），设计费用不予变更。</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4.设计人应根据现场实际状况或发包人符合国家规范的要求及时修改设计，出具设计变更，有关设计变更的书面通知首先发给发包人，不得直接发给施工方。</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5.无论工程洽商还是设计变更，设计人应组织内部会审，避免出现图纸矛盾。若由设计人设计变更错误造成经济损失，设计人应承担相应的损失费用。</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6.如需设计人配合发包人进行施工招标，提供满足招标用的相关图纸，设计人应予以配合。</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争议解决</w:t>
      </w:r>
    </w:p>
    <w:p>
      <w:pPr>
        <w:pStyle w:val="13"/>
        <w:numPr>
          <w:ilvl w:val="255"/>
          <w:numId w:val="0"/>
        </w:numPr>
        <w:spacing w:before="0" w:beforeAutospacing="0" w:after="0" w:afterAutospacing="0"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本合同适用中华人民共和国相关法律法规。</w:t>
      </w:r>
      <w:r>
        <w:rPr>
          <w:rFonts w:hint="eastAsia" w:ascii="仿宋_GB2312" w:hAnsi="仿宋_GB2312" w:eastAsia="仿宋_GB2312" w:cs="仿宋_GB2312"/>
          <w:sz w:val="28"/>
          <w:szCs w:val="28"/>
        </w:rPr>
        <w:t>在履行本合同过程中发生的一切争议，双方均可向发包人住所地有管辖权的人民法院起诉。</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通知与送达</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以本合同为目的或与之相关的任何通知（包括双方非诉时各类通知、协议等文件以及就合同发生纠纷时相关文件和法律文书，同时包括在争议进入仲裁、民事诉讼程序后的一审、二审、再审和执行程序时相关文件和法律文书）均可以以亲自递交、邮递、电子邮件、快递、传真及其他约定方式发至设计人合同约定的联系地址和/或联系方式和/或指定联系人。双方的联系地址和/或联系方式和/或指定联系人如有变更，应提前三天书面通知对方。发包人通知被视为送达的日期应按如下方法决定：</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（1）发包人专人递交的通知在专人递交之时视为有效送达；</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（2）发包人以（预付邮资）的挂号信件发出的通知，应在寄出日（以邮戳为准）后第七日视为有效送达；</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（3）发包人以快递发送的通知应于交予合法的快递服务发送后第三日视为有效送达；</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（4）发包人使用传真、电子邮件或类似的方式进行通知的，通知发出之时视为有效送达。</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未按前述方式履行通知义务，本合同约定的联系方式均视为有效；一方提供或者确认的送达地址不准确、送达地址变更后未及时依程序告知对方或者法院、仲裁机构，或指定的接收人拒绝签收等，导致各类通知、协议、法律文书等相关文件未能被实际接收的，对于对方或者相关单位按照合同中明确约定的送达地址送达的，均视为已送达。</w:t>
      </w:r>
    </w:p>
    <w:p>
      <w:pPr>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邮政编码： </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收件人或联系人：                   电话：</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传真号码：                         E-mail：</w:t>
      </w:r>
    </w:p>
    <w:p>
      <w:pPr>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邮政编码： </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收件人或联系人：                   电话：</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传真号码：                         E-mail：</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不可抗力</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1.不可抗力的定义</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可抗力”指超出本合同双方控制范围、无法预见、无法避免或无法克服、使得本合同一方部分或完全不能履行本合同的事件。这类事件包括但不限于地震、台风、洪水、火灾、战争、罢工、国家规定的传染性疾病、政府行为、其它经合同双方同意或法律规定或其适用的变化，或者其它任何无法预见、无法避免或者无法控制的客观情况。</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2.不可抗力的后果</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（1）受不可抗力影响的一方应于不可抗力事件发生后及时书面通知另一方，并且在不可抗力事件发生后 7 日内向另一方提供政府部门或公证部门出具的不可抗力发生以及持续期间的充分证据。提出受不可抗力影响的一方还应尽一切合理努力使损失降低至最低限度。</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（2）发生不可抗力时，双方应立即进行磋商，寻求公正解决方案，并且要尽一切合理努力使损失降低至最低限度。</w:t>
      </w:r>
    </w:p>
    <w:p>
      <w:pPr>
        <w:pStyle w:val="13"/>
        <w:numPr>
          <w:ilvl w:val="255"/>
          <w:numId w:val="0"/>
        </w:numPr>
        <w:spacing w:before="0" w:beforeAutospacing="0" w:after="0" w:afterAutospacing="0"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（3）发生不可抗力导致合同不能继续履行的，本合同终止；合同终止后，对设计人已经收取的费用，应当扣除实际履行期间发生的实际费用，将余款退还给发包人。</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联系人</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1.★发包人指定</w:t>
      </w:r>
      <w:r>
        <w:rPr>
          <w:rFonts w:hint="eastAsia" w:ascii="仿宋_GB2312" w:hAnsi="仿宋_GB2312" w:eastAsia="仿宋_GB2312" w:cs="仿宋_GB2312"/>
          <w:sz w:val="28"/>
          <w:szCs w:val="28"/>
          <w:u w:val="single"/>
        </w:rPr>
        <w:t xml:space="preserve">     联系方式：  邮箱：   </w:t>
      </w:r>
      <w:r>
        <w:rPr>
          <w:rFonts w:hint="eastAsia" w:ascii="仿宋_GB2312" w:hAnsi="仿宋_GB2312" w:eastAsia="仿宋_GB2312" w:cs="仿宋_GB2312"/>
          <w:sz w:val="28"/>
          <w:szCs w:val="28"/>
        </w:rPr>
        <w:t>，在本合同有效期间内代表发包人负责与设计人的通知、提出询问、答复、提出意见、确认、收发函件等本合同履行之相关事项。发包人指定联系人如有更换，应提前三天书面通知设计人。</w:t>
      </w:r>
    </w:p>
    <w:p>
      <w:pPr>
        <w:pStyle w:val="13"/>
        <w:spacing w:before="0" w:beforeAutospacing="0" w:after="0" w:afterAutospacing="0"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2.★设计人指定</w:t>
      </w:r>
      <w:r>
        <w:rPr>
          <w:rFonts w:hint="eastAsia" w:ascii="仿宋_GB2312" w:hAnsi="仿宋_GB2312" w:eastAsia="仿宋_GB2312" w:cs="仿宋_GB2312"/>
          <w:sz w:val="28"/>
          <w:szCs w:val="28"/>
          <w:u w:val="single"/>
        </w:rPr>
        <w:t xml:space="preserve">     联系方式：  邮箱：    </w:t>
      </w:r>
      <w:r>
        <w:rPr>
          <w:rFonts w:hint="eastAsia" w:ascii="仿宋_GB2312" w:hAnsi="仿宋_GB2312" w:eastAsia="仿宋_GB2312" w:cs="仿宋_GB2312"/>
          <w:sz w:val="28"/>
          <w:szCs w:val="28"/>
        </w:rPr>
        <w:t>，在本合同有效期间内代表设计人负责与发包人的通知、提出询问、答复、提出意见、确认、收发函件等本合同履行之相关事项。设计人指定联系人如有更换，应提前三天书面通知发包人。</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保密条款</w:t>
      </w:r>
    </w:p>
    <w:p>
      <w:pPr>
        <w:numPr>
          <w:ilvl w:val="0"/>
          <w:numId w:val="7"/>
        </w:numPr>
        <w:tabs>
          <w:tab w:val="left" w:pos="420"/>
        </w:tabs>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负有对甲方提供给乙方的任何图纸和资料保密的义务，除不能使第三方从实体上获得图纸和技术资料外，亦不能通过其它途径传播图纸和技术资料的内容。乙方如以任何方式将上述图纸和资料用于其它用途或使第三方获得上述图纸和资料，均构成对甲方的侵权，乙方应赔偿相应的损失和费用，甲方保留进一步索赔的权利。</w:t>
      </w:r>
    </w:p>
    <w:p>
      <w:pPr>
        <w:pStyle w:val="13"/>
        <w:numPr>
          <w:ilvl w:val="0"/>
          <w:numId w:val="7"/>
        </w:numPr>
        <w:spacing w:before="156" w:beforeLines="50" w:beforeAutospacing="0" w:after="0" w:afterAutospacing="0" w:line="360" w:lineRule="auto"/>
        <w:ind w:firstLine="560" w:firstLineChars="200"/>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甲方负有对乙方提供给甲方的任何报价、合同、图纸和资料保密的义务，除不能使第三方从实体上获得报价、合同、图纸和技术等资料内容外，亦不能通过其它途径传播上述资料内容。甲方如以任何方式将上述资料内容用于其它用途或使第三方获得上述资料内容，均构成对乙方的侵权，甲方应赔偿相应的损失和费用，乙方保留进一步索赔的权利。</w:t>
      </w:r>
    </w:p>
    <w:p>
      <w:pPr>
        <w:pStyle w:val="13"/>
        <w:numPr>
          <w:ilvl w:val="0"/>
          <w:numId w:val="7"/>
        </w:numPr>
        <w:spacing w:before="156" w:beforeLines="50" w:beforeAutospacing="0" w:after="0" w:afterAutospacing="0" w:line="360" w:lineRule="auto"/>
        <w:ind w:firstLine="560" w:firstLineChars="200"/>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本条款不因合同解除或终止而无效。</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合同的解除</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1、甲、乙双方协商一致可以解除本合同。</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2、如发生下列情况，甲方有权单方面解除本合同，并要求乙方返还已收取设计费，并赔偿因此给甲方造成的全部经济损失：</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（1）乙方逾期提交任何一阶段的设计成果超过15天的；</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（2）乙方提交的设计成果不符合本合同约定，经甲方书面催告后3日内仍未采取有效补救措施并执行完毕的；</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（3）未经甲方书面同意，乙方擅自更换本合同约定的乙方主要设计人员；</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（4）乙方发生破产、资不抵债、停止营业、无力偿还债务或其他影响其履行本合同能力的情形。</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3、因一方违约导致合同解除的，有过错的一方应当赔偿因合同解除给对方造成的损失。</w:t>
      </w:r>
    </w:p>
    <w:p>
      <w:pPr>
        <w:numPr>
          <w:ilvl w:val="255"/>
          <w:numId w:val="0"/>
        </w:numPr>
        <w:spacing w:before="156" w:beforeLines="50" w:line="360" w:lineRule="auto"/>
        <w:ind w:firstLine="560" w:firstLineChars="200"/>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4、本合同提前终止时，乙方应将已收取报酬部分的有关设计资料</w:t>
      </w:r>
      <w:r>
        <w:rPr>
          <w:rFonts w:hint="eastAsia" w:ascii="仿宋_GB2312" w:hAnsi="仿宋_GB2312" w:eastAsia="仿宋_GB2312" w:cs="仿宋_GB2312"/>
          <w:kern w:val="0"/>
          <w:sz w:val="28"/>
          <w:szCs w:val="28"/>
          <w:lang w:eastAsia="zh-CN"/>
        </w:rPr>
        <w:t>在</w:t>
      </w:r>
      <w:r>
        <w:rPr>
          <w:rFonts w:hint="eastAsia" w:ascii="仿宋_GB2312" w:hAnsi="仿宋_GB2312" w:eastAsia="仿宋_GB2312" w:cs="仿宋_GB2312"/>
          <w:kern w:val="0"/>
          <w:sz w:val="28"/>
          <w:szCs w:val="28"/>
          <w:lang w:val="en-US" w:eastAsia="zh-CN"/>
        </w:rPr>
        <w:t>甲方</w:t>
      </w:r>
      <w:r>
        <w:rPr>
          <w:rFonts w:hint="eastAsia" w:ascii="仿宋_GB2312" w:hAnsi="仿宋_GB2312" w:eastAsia="仿宋_GB2312" w:cs="仿宋_GB2312"/>
          <w:kern w:val="0"/>
          <w:sz w:val="28"/>
          <w:szCs w:val="28"/>
          <w:lang w:eastAsia="zh-CN"/>
        </w:rPr>
        <w:t>通知的时间内</w:t>
      </w:r>
      <w:r>
        <w:rPr>
          <w:rFonts w:hint="eastAsia" w:ascii="仿宋_GB2312" w:hAnsi="仿宋_GB2312" w:eastAsia="仿宋_GB2312" w:cs="仿宋_GB2312"/>
          <w:kern w:val="0"/>
          <w:sz w:val="28"/>
          <w:szCs w:val="28"/>
        </w:rPr>
        <w:t>移交给甲方，作为日后工程设计及施工之用。</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知识产权</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1、无论本合同执行或终止，本合同项下乙方完成的、以任何载体所体现的工作报告、图表等成果文件的署名权归乙方所有，署名权以外的著作权</w:t>
      </w:r>
      <w:r>
        <w:rPr>
          <w:rFonts w:hint="eastAsia" w:ascii="仿宋_GB2312" w:hAnsi="仿宋_GB2312" w:eastAsia="仿宋_GB2312" w:cs="仿宋_GB2312"/>
          <w:kern w:val="0"/>
          <w:sz w:val="28"/>
          <w:szCs w:val="28"/>
          <w:lang w:val="en-US" w:eastAsia="zh-CN"/>
        </w:rPr>
        <w:t>等知识产权均</w:t>
      </w:r>
      <w:r>
        <w:rPr>
          <w:rFonts w:hint="eastAsia" w:ascii="仿宋_GB2312" w:hAnsi="仿宋_GB2312" w:eastAsia="仿宋_GB2312" w:cs="仿宋_GB2312"/>
          <w:kern w:val="0"/>
          <w:sz w:val="28"/>
          <w:szCs w:val="28"/>
        </w:rPr>
        <w:t>归甲方所有。甲、乙双方均有义务保护本合同项下的工作成果,不得擅自公示、转让或泄漏给第三方使用。对署名权或著作权</w:t>
      </w:r>
      <w:r>
        <w:rPr>
          <w:rFonts w:hint="eastAsia" w:ascii="仿宋_GB2312" w:hAnsi="仿宋_GB2312" w:eastAsia="仿宋_GB2312" w:cs="仿宋_GB2312"/>
          <w:kern w:val="0"/>
          <w:sz w:val="28"/>
          <w:szCs w:val="28"/>
          <w:lang w:val="en-US" w:eastAsia="zh-CN"/>
        </w:rPr>
        <w:t>等知识产权</w:t>
      </w:r>
      <w:r>
        <w:rPr>
          <w:rFonts w:hint="eastAsia" w:ascii="仿宋_GB2312" w:hAnsi="仿宋_GB2312" w:eastAsia="仿宋_GB2312" w:cs="仿宋_GB2312"/>
          <w:kern w:val="0"/>
          <w:sz w:val="28"/>
          <w:szCs w:val="28"/>
        </w:rPr>
        <w:t>造成侵害的，侵权人应承担由此引起的一切法律责任。</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2、乙方提供的成果文件及资料不侵犯任何第三方的商业秘密或知识产权，否则，乙方自行承担全部责任，并赔偿甲方因此所遭受到的全部损失。</w:t>
      </w:r>
    </w:p>
    <w:p>
      <w:pPr>
        <w:spacing w:line="56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3、乙方承诺自本合同签订之日起，为本项目所做的全部成果文件不再用于其他任何项目，否则视为乙方严重违约，乙方应向甲方退还甲方已支付的所有费用，</w:t>
      </w:r>
      <w:r>
        <w:rPr>
          <w:rFonts w:hint="eastAsia" w:ascii="仿宋_GB2312" w:hAnsi="仿宋_GB2312" w:eastAsia="仿宋_GB2312" w:cs="仿宋_GB2312"/>
          <w:kern w:val="0"/>
          <w:sz w:val="28"/>
          <w:szCs w:val="28"/>
          <w:lang w:val="en-US" w:eastAsia="zh-CN"/>
        </w:rPr>
        <w:t>如甲方还有其他损失的，乙方应予赔偿。</w:t>
      </w:r>
      <w:r>
        <w:rPr>
          <w:rFonts w:hint="eastAsia" w:ascii="仿宋_GB2312" w:hAnsi="仿宋_GB2312" w:eastAsia="仿宋_GB2312" w:cs="仿宋_GB2312"/>
          <w:kern w:val="0"/>
          <w:sz w:val="28"/>
          <w:szCs w:val="28"/>
        </w:rPr>
        <w:t>此外，甲方仍有权</w:t>
      </w:r>
      <w:r>
        <w:rPr>
          <w:rFonts w:hint="eastAsia" w:ascii="仿宋_GB2312" w:hAnsi="仿宋_GB2312" w:eastAsia="仿宋_GB2312" w:cs="仿宋_GB2312"/>
          <w:kern w:val="0"/>
          <w:sz w:val="28"/>
          <w:szCs w:val="28"/>
          <w:lang w:val="en-US" w:eastAsia="zh-CN"/>
        </w:rPr>
        <w:t>向</w:t>
      </w:r>
      <w:r>
        <w:rPr>
          <w:rFonts w:hint="eastAsia" w:ascii="仿宋_GB2312" w:hAnsi="仿宋_GB2312" w:eastAsia="仿宋_GB2312" w:cs="仿宋_GB2312"/>
          <w:kern w:val="0"/>
          <w:sz w:val="28"/>
          <w:szCs w:val="28"/>
        </w:rPr>
        <w:t>乙方</w:t>
      </w:r>
      <w:r>
        <w:rPr>
          <w:rFonts w:hint="eastAsia" w:ascii="仿宋_GB2312" w:hAnsi="仿宋_GB2312" w:eastAsia="仿宋_GB2312" w:cs="仿宋_GB2312"/>
          <w:kern w:val="0"/>
          <w:sz w:val="28"/>
          <w:szCs w:val="28"/>
          <w:lang w:val="en-US" w:eastAsia="zh-CN"/>
        </w:rPr>
        <w:t>追究</w:t>
      </w:r>
      <w:r>
        <w:rPr>
          <w:rFonts w:hint="eastAsia" w:ascii="仿宋_GB2312" w:hAnsi="仿宋_GB2312" w:eastAsia="仿宋_GB2312" w:cs="仿宋_GB2312"/>
          <w:kern w:val="0"/>
          <w:sz w:val="28"/>
          <w:szCs w:val="28"/>
        </w:rPr>
        <w:t>因</w:t>
      </w:r>
      <w:r>
        <w:rPr>
          <w:rFonts w:hint="eastAsia" w:ascii="仿宋_GB2312" w:hAnsi="仿宋_GB2312" w:eastAsia="仿宋_GB2312" w:cs="仿宋_GB2312"/>
          <w:kern w:val="0"/>
          <w:sz w:val="28"/>
          <w:szCs w:val="28"/>
          <w:lang w:val="en-US" w:eastAsia="zh-CN"/>
        </w:rPr>
        <w:t>乙方违约行为</w:t>
      </w:r>
      <w:r>
        <w:rPr>
          <w:rFonts w:hint="eastAsia" w:ascii="仿宋_GB2312" w:hAnsi="仿宋_GB2312" w:eastAsia="仿宋_GB2312" w:cs="仿宋_GB2312"/>
          <w:kern w:val="0"/>
          <w:sz w:val="28"/>
          <w:szCs w:val="28"/>
        </w:rPr>
        <w:t>而引起的其他法律责任。</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其他</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双方在此确认，设计人对发包人提供的任何资料、信息及其上的知识产权不享有任何权利，该等权利为发包人或者发包人指定的第三方所独有；设计人在本次服务中所制作的、提供的任何作品及其上的知识产权均为发包人所独有，除为履行本合同项下的服务，设计人不得保留或使用、或允许他人使用该等作品。</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设计人由于自身原因不能按时完成设计任务，或发包人认为其不能胜任本项任务，发包人有权将设计合同的全部或部分内容转让给第三方，由此产生的费用（以发包人核算为准）发包人有权从合同价款中直接扣除，不足部分，设计人应另行支付。设计人不得有异议，亦不得提出任何索赔。</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3.发包人委托设计人承担本合同内容之外的工作服务，另行支付费用。</w:t>
      </w:r>
    </w:p>
    <w:p>
      <w:pPr>
        <w:pStyle w:val="13"/>
        <w:spacing w:before="0" w:beforeAutospacing="0" w:after="0" w:afterAutospacing="0" w:line="360" w:lineRule="auto"/>
        <w:ind w:firstLine="560" w:firstLineChars="200"/>
        <w:rPr>
          <w:rFonts w:hint="eastAsia" w:ascii="仿宋_GB2312" w:hAnsi="仿宋_GB2312" w:eastAsia="仿宋_GB2312" w:cs="仿宋_GB2312"/>
          <w:kern w:val="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.由于不可抗力因素致使合同无法履行时，双方应及时协商解决。</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rPr>
        <w:t xml:space="preserve">  捌  </w:t>
      </w:r>
      <w:r>
        <w:rPr>
          <w:rFonts w:hint="eastAsia" w:ascii="仿宋_GB2312" w:hAnsi="仿宋_GB2312" w:eastAsia="仿宋_GB2312" w:cs="仿宋_GB2312"/>
          <w:sz w:val="28"/>
          <w:szCs w:val="28"/>
        </w:rPr>
        <w:t>份，发包人</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份，设计人</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.本合同经双方法定代表人或委托代理人签名并加盖公章或合同专用章后生效。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.双方履行完合同规定的义务后，本合同即行终止。</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.本合同未尽事宜，双方可签订补充协议，有关协议及双方认可的来往电报、传真、会议纪要等，均为本合同组成部分，与本合同具有同等法律效力。</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合同附件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合同附件是本合同的组成部分，与本合同有同等的法律效力，本合同条款之间、本合同与附件之间如有不一致的，有约定的按合同约定执行，无约定或约定不明确的，以发包人单方确定的要求/约定为准。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附件1：诚信合规协议</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附件2：廉洁协议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附件3：施工图设计咨询考评办法</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附件4：合同价款组成清单</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附件5：设计任务书</w:t>
      </w:r>
    </w:p>
    <w:p>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甲方（发包人） ：（盖章）          乙方（设计人） ：（盖章）</w:t>
      </w:r>
    </w:p>
    <w:p>
      <w:pPr>
        <w:pStyle w:val="13"/>
        <w:spacing w:before="312" w:beforeLines="100" w:beforeAutospacing="0" w:afterAutospacing="0" w:line="360" w:lineRule="auto"/>
        <w:rPr>
          <w:rFonts w:hint="eastAsia" w:ascii="仿宋_GB2312" w:hAnsi="仿宋_GB2312" w:eastAsia="仿宋_GB2312" w:cs="仿宋_GB2312"/>
          <w:b/>
          <w:sz w:val="28"/>
          <w:szCs w:val="28"/>
        </w:rPr>
      </w:pP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法定代表人（签字/盖章）：　　　    法定代表人（签字/盖章）：　　　　　　</w:t>
      </w: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委托代理人（签字）：　　　　　　   委托代理人（签字）：　　　　　　 </w:t>
      </w: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签订日期：</w:t>
      </w:r>
      <w:r>
        <w:rPr>
          <w:rFonts w:hint="eastAsia" w:ascii="仿宋_GB2312" w:hAnsi="仿宋_GB2312" w:eastAsia="仿宋_GB2312" w:cs="仿宋_GB2312"/>
          <w:b/>
          <w:sz w:val="28"/>
          <w:szCs w:val="28"/>
          <w:u w:val="single"/>
        </w:rPr>
        <w:t>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w:t>
      </w:r>
      <w:r>
        <w:rPr>
          <w:rFonts w:hint="eastAsia" w:ascii="仿宋_GB2312" w:hAnsi="仿宋_GB2312" w:eastAsia="仿宋_GB2312" w:cs="仿宋_GB2312"/>
          <w:b/>
          <w:sz w:val="28"/>
          <w:szCs w:val="28"/>
        </w:rPr>
        <w:t>日　</w:t>
      </w:r>
    </w:p>
    <w:p>
      <w:pPr>
        <w:spacing w:line="360" w:lineRule="auto"/>
        <w:rPr>
          <w:rFonts w:hint="eastAsia" w:ascii="仿宋_GB2312" w:hAnsi="仿宋_GB2312" w:eastAsia="仿宋_GB2312" w:cs="仿宋_GB2312"/>
          <w:b/>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pPr>
        <w:adjustRightInd w:val="0"/>
        <w:snapToGrid w:val="0"/>
        <w:spacing w:before="312" w:beforeLines="100" w:after="312" w:afterLines="100" w:line="360" w:lineRule="auto"/>
        <w:jc w:val="center"/>
        <w:rPr>
          <w:rFonts w:hint="eastAsia" w:ascii="宋体" w:hAnsi="宋体" w:eastAsia="宋体" w:cs="宋体"/>
          <w:b/>
          <w:sz w:val="24"/>
          <w:szCs w:val="24"/>
        </w:rPr>
      </w:pPr>
      <w:r>
        <w:rPr>
          <w:rFonts w:hint="eastAsia" w:ascii="宋体" w:hAnsi="宋体" w:eastAsia="宋体" w:cs="宋体"/>
          <w:b/>
          <w:sz w:val="24"/>
          <w:szCs w:val="24"/>
        </w:rPr>
        <w:t>诚信合规协议</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fldChar w:fldCharType="begin"/>
      </w:r>
      <w:r>
        <w:rPr>
          <w:rFonts w:hint="eastAsia" w:ascii="宋体" w:hAnsi="宋体" w:eastAsia="宋体" w:cs="宋体"/>
          <w:sz w:val="24"/>
          <w:szCs w:val="24"/>
          <w:highlight w:val="none"/>
          <w:u w:val="single"/>
        </w:rPr>
        <w:instrText xml:space="preserve"> DocVariable ZBR </w:instrText>
      </w:r>
      <w:r>
        <w:rPr>
          <w:rFonts w:hint="eastAsia" w:ascii="宋体" w:hAnsi="宋体" w:eastAsia="宋体" w:cs="宋体"/>
          <w:sz w:val="24"/>
          <w:szCs w:val="24"/>
          <w:highlight w:val="none"/>
          <w:u w:val="single"/>
        </w:rPr>
        <w:fldChar w:fldCharType="separate"/>
      </w:r>
      <w:r>
        <w:rPr>
          <w:rFonts w:hint="eastAsia" w:ascii="宋体" w:hAnsi="宋体" w:eastAsia="宋体" w:cs="宋体"/>
          <w:sz w:val="24"/>
          <w:szCs w:val="24"/>
          <w:highlight w:val="none"/>
          <w:u w:val="single"/>
        </w:rPr>
        <w:t>广州市晟都投资发展有限公司</w:t>
      </w:r>
      <w:r>
        <w:rPr>
          <w:rFonts w:hint="eastAsia" w:ascii="宋体" w:hAnsi="宋体" w:eastAsia="宋体" w:cs="宋体"/>
          <w:sz w:val="24"/>
          <w:szCs w:val="24"/>
          <w:highlight w:val="none"/>
          <w:u w:val="single"/>
        </w:rPr>
        <w:fldChar w:fldCharType="end"/>
      </w:r>
    </w:p>
    <w:p>
      <w:pPr>
        <w:spacing w:line="360" w:lineRule="auto"/>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双方同意，本协议是双方订立的合同的重要组成部分，双方愿共同遵守。</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公务人员的定义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本协议中的“公务人员”应包括但不限于其他单位的下列人员：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（一）政府的官员、雇员、代表以及代表政府或者经公共权力机构授权行事的人士;</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（二）国际组织的官员、雇员和代表;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（三）行使公共权力的政治组织的官员、雇员、代表或皇室成员;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（四）政府直接或间接控制或施加决定性影响力的公共企业的官员。</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遵守反腐败法律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此声明、保证及承诺，本协议约定的活动或交易相关的乙方及乙方的关联公司、子公司、董事、高级管理人员、员工、代理、顾问、承包商、受托人、最终受益人和股东，及所有直接或间接代表乙方行事的个人及相关方，过去未曾、将来亦不会违反或致使甲方违反《中华人民共和国刑法》、《联合国反腐败公约》、《经济合作与发展组织关于打击国际商业交易中行贿外国公职人员行为的公约》，及业务所在国的反腐败、反欺诈、反串谋及反不正当竞争法律、法规及规则等（合称“反腐败法律”）。乙方特此声明、保证及承诺：乙方及乙方关联公司、董事、高级管理人员、员工、代理、顾问、承包商、受托人、最终受益人和股东，及所有代表乙方行事的个人及相关方，过去未曾、将来亦不会发生以下行为：</w:t>
      </w:r>
    </w:p>
    <w:p>
      <w:pPr>
        <w:pStyle w:val="30"/>
        <w:numPr>
          <w:ilvl w:val="0"/>
          <w:numId w:val="9"/>
        </w:numPr>
        <w:spacing w:line="360" w:lineRule="auto"/>
        <w:ind w:left="0" w:firstLine="560"/>
        <w:rPr>
          <w:rFonts w:hint="eastAsia" w:ascii="宋体" w:hAnsi="宋体" w:eastAsia="宋体" w:cs="宋体"/>
          <w:sz w:val="24"/>
          <w:szCs w:val="24"/>
        </w:rPr>
      </w:pPr>
      <w:r>
        <w:rPr>
          <w:rFonts w:hint="eastAsia" w:ascii="宋体" w:hAnsi="宋体" w:eastAsia="宋体" w:cs="宋体"/>
          <w:sz w:val="24"/>
          <w:szCs w:val="24"/>
        </w:rPr>
        <w:t>为如下目的给予或承诺给予公务人员、个人或实体任何利益：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1.不当影响公务人员的行为或决定；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2.诱使公务人员违反其法定职责从而作为或不作为；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3.诱使公务人员直接通过其个人影响力，或通过其对国内外政府或政府部门的影响力，影响该政府或政府部门的行为或决定；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4.协助乙方、甲方或甲方关联方不当获得或保持商业机会或使其获得不当优势。</w:t>
      </w:r>
    </w:p>
    <w:p>
      <w:pPr>
        <w:pStyle w:val="30"/>
        <w:numPr>
          <w:ilvl w:val="0"/>
          <w:numId w:val="9"/>
        </w:numPr>
        <w:spacing w:line="360" w:lineRule="auto"/>
        <w:ind w:left="0" w:firstLine="560"/>
        <w:rPr>
          <w:rFonts w:hint="eastAsia" w:ascii="宋体" w:hAnsi="宋体" w:eastAsia="宋体" w:cs="宋体"/>
          <w:sz w:val="24"/>
          <w:szCs w:val="24"/>
        </w:rPr>
      </w:pPr>
      <w:r>
        <w:rPr>
          <w:rFonts w:hint="eastAsia" w:ascii="宋体" w:hAnsi="宋体" w:eastAsia="宋体" w:cs="宋体"/>
          <w:sz w:val="24"/>
          <w:szCs w:val="24"/>
        </w:rPr>
        <w:t>为如下目的给予或承诺给予个人任何利益，无论其是否为公务人员：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1.意图使该个人不当履行其应尽的职责或义务；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2.知悉或相信该个人接受利益即构成不当履行其应尽的职责或义务。</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持续义务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此声明并保证：乙方和乙方的关联公司、董事、高级管理人员、员工、代理、顾问、承包商、受托人、最终受益人和股东，及所有代表乙方行事的个人及相关方，在本协议有效期内均会遵守反腐败法律的相关规定。</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公务人员参与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已向甲方披露的情形外，乙方现有的高级管理人员、董事、最终受益人、股东（此处不包括上市公司的股东）及员工均非公务人员，其直系亲属亦均非公务人员；若发现上述高级管理人员、董事、最终受益人、股东或员工成为公务人员时，乙方应在合理时间内通知甲方。</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无私设资金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在本协议有效期内，乙方不会因为接受反腐败法律所禁止的支付，或为便利反腐败法律所禁止的其他行为，而设立或保有秘密或账外资金、账户或资产，无论其是否与本协议拟进行的交易相关。</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合规声明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本协议签署后，乙方应提供其遵守反腐败法律的年度合规证明。</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乙方承诺：甲方及其代表、高级管理人员、董事、员工及股东不承担因乙方违反本协议约定的反腐败陈述、保证与承诺而造成的损失及后果，包括但不限于罚金、损失赔偿金或上述个人或相关方的经济损失。</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终止权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可靠消息来源，包括但不限于乙方陈述或有正当来源的新闻报道，如甲方认为乙方已实质性违反其在本附件中的遵守反腐败法律的相关陈述、保证与承诺，则视为乙方实质违反本协议。无论乙方是否因为违反反腐败法律而获罪或受到其他惩罚，甲方都有权终止本协议，且无须为此承担罚金或对乙方支付赔偿。</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审核权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保留所有必要记录以证明其遵守本协议的规定。乙方同意，经甲方事先通知，甲方或甲方指派的审计事务所可查阅或审核乙方与本协议履行相关的会计账簿和记录。甲方及其指派的审计事务所对前述会计账簿和记录的查阅或审核应严格限于本协议所述工作范围，且应仅为合规审核目的。本条所列审核费用应由甲方独立承担。</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乙方履行本协议约定的义务所产生的成本及费用应完全由乙方承担，甲方事先同意承担的除外。</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调查通知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同意，如其发现其因与本协议相关的行为正被执法或监管机关、政府机构、国际组织、证券交易所或非政府组织调查，应立即通知甲方；此外，如乙方发现其因违反反腐败法律而正被执法或监管机关、政府机构、国际组织、证券交易所或非政府组织调查，无论被调查行为是否与本协议相关，应立即通知甲方。</w:t>
      </w:r>
    </w:p>
    <w:p>
      <w:pPr>
        <w:pStyle w:val="3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咨询举报邮箱：</w:t>
      </w:r>
      <w:r>
        <w:rPr>
          <w:rFonts w:hint="eastAsia" w:ascii="宋体" w:hAnsi="宋体" w:eastAsia="宋体" w:cs="宋体"/>
          <w:sz w:val="24"/>
          <w:szCs w:val="24"/>
          <w:highlight w:val="none"/>
        </w:rPr>
        <w:t>gs</w:t>
      </w:r>
      <w:r>
        <w:rPr>
          <w:rFonts w:hint="eastAsia" w:ascii="宋体" w:hAnsi="宋体" w:eastAsia="宋体" w:cs="宋体"/>
          <w:sz w:val="24"/>
          <w:szCs w:val="24"/>
          <w:highlight w:val="none"/>
          <w:lang w:val="en-US" w:eastAsia="zh-CN"/>
        </w:rPr>
        <w:t>fz</w:t>
      </w:r>
      <w:r>
        <w:rPr>
          <w:rFonts w:hint="eastAsia" w:ascii="宋体" w:hAnsi="宋体" w:eastAsia="宋体" w:cs="宋体"/>
          <w:sz w:val="24"/>
          <w:szCs w:val="24"/>
          <w:highlight w:val="none"/>
        </w:rPr>
        <w:t>fwb@126.com、</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"mailto:integritycompliance@crcc.cn。"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rPr>
        <w:t>integritycompliance@crcc.cn。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电话：020-28861195、010-52688535。</w:t>
      </w:r>
    </w:p>
    <w:p>
      <w:pPr>
        <w:pStyle w:val="3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w:t>
      </w:r>
      <w:r>
        <w:rPr>
          <w:rFonts w:hint="eastAsia" w:ascii="宋体" w:hAnsi="宋体" w:eastAsia="宋体" w:cs="宋体"/>
          <w:color w:val="auto"/>
          <w:sz w:val="24"/>
          <w:szCs w:val="24"/>
          <w:lang w:eastAsia="zh-CN"/>
        </w:rPr>
        <w:t>）</w:t>
      </w:r>
    </w:p>
    <w:p>
      <w:pPr>
        <w:pStyle w:val="31"/>
        <w:spacing w:line="360" w:lineRule="auto"/>
        <w:rPr>
          <w:rFonts w:hint="eastAsia" w:ascii="宋体" w:hAnsi="宋体" w:eastAsia="宋体" w:cs="宋体"/>
          <w:color w:val="auto"/>
          <w:sz w:val="24"/>
          <w:szCs w:val="24"/>
        </w:rPr>
      </w:pPr>
    </w:p>
    <w:p>
      <w:pPr>
        <w:pStyle w:val="15"/>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                 乙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2</w:t>
      </w:r>
    </w:p>
    <w:p>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廉洁共建协议书</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fldChar w:fldCharType="begin"/>
      </w:r>
      <w:r>
        <w:rPr>
          <w:rFonts w:hint="eastAsia" w:ascii="宋体" w:hAnsi="宋体" w:eastAsia="宋体" w:cs="宋体"/>
          <w:sz w:val="24"/>
          <w:szCs w:val="24"/>
          <w:highlight w:val="none"/>
          <w:u w:val="single"/>
        </w:rPr>
        <w:instrText xml:space="preserve"> DocVariable ZBR </w:instrText>
      </w:r>
      <w:r>
        <w:rPr>
          <w:rFonts w:hint="eastAsia" w:ascii="宋体" w:hAnsi="宋体" w:eastAsia="宋体" w:cs="宋体"/>
          <w:sz w:val="24"/>
          <w:szCs w:val="24"/>
          <w:highlight w:val="none"/>
          <w:u w:val="single"/>
        </w:rPr>
        <w:fldChar w:fldCharType="separate"/>
      </w:r>
      <w:r>
        <w:rPr>
          <w:rFonts w:hint="eastAsia" w:ascii="宋体" w:hAnsi="宋体" w:eastAsia="宋体" w:cs="宋体"/>
          <w:sz w:val="24"/>
          <w:szCs w:val="24"/>
          <w:highlight w:val="none"/>
          <w:u w:val="single"/>
        </w:rPr>
        <w:t>广州市晟都投资发展有限公司</w:t>
      </w:r>
      <w:r>
        <w:rPr>
          <w:rFonts w:hint="eastAsia" w:ascii="宋体" w:hAnsi="宋体" w:eastAsia="宋体" w:cs="宋体"/>
          <w:sz w:val="24"/>
          <w:szCs w:val="24"/>
          <w:highlight w:val="none"/>
          <w:u w:val="single"/>
        </w:rPr>
        <w:fldChar w:fldCharType="end"/>
      </w:r>
    </w:p>
    <w:p>
      <w:pPr>
        <w:spacing w:line="360" w:lineRule="auto"/>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pPr>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为加强廉洁建设，规范甲乙双方的履约行为，防止发生各种谋取不正当利益的违法违纪行为，保护各方的合法权益，根据国家和甲方公司、上级单位对有关工程承发包和廉政建设的各项规定，甲乙双方就</w:t>
      </w:r>
      <w:r>
        <w:rPr>
          <w:rFonts w:hint="eastAsia" w:ascii="宋体" w:hAnsi="宋体" w:eastAsia="宋体" w:cs="宋体"/>
          <w:bCs/>
          <w:sz w:val="24"/>
          <w:szCs w:val="24"/>
          <w:highlight w:val="yellow"/>
        </w:rPr>
        <w:t>《</w:t>
      </w:r>
      <w:r>
        <w:rPr>
          <w:rFonts w:hint="eastAsia" w:ascii="宋体" w:hAnsi="宋体" w:eastAsia="宋体" w:cs="宋体"/>
          <w:bCs/>
          <w:sz w:val="24"/>
          <w:szCs w:val="24"/>
          <w:highlight w:val="yellow"/>
          <w:u w:val="single"/>
          <w:lang w:val="en-US" w:eastAsia="zh-CN"/>
        </w:rPr>
        <w:t xml:space="preserve">                                         </w:t>
      </w:r>
      <w:r>
        <w:rPr>
          <w:rFonts w:hint="eastAsia" w:ascii="宋体" w:hAnsi="宋体" w:eastAsia="宋体" w:cs="宋体"/>
          <w:bCs/>
          <w:sz w:val="24"/>
          <w:szCs w:val="24"/>
          <w:highlight w:val="yellow"/>
        </w:rPr>
        <w:t>》</w:t>
      </w:r>
      <w:r>
        <w:rPr>
          <w:rFonts w:hint="eastAsia" w:ascii="宋体" w:hAnsi="宋体" w:eastAsia="宋体" w:cs="宋体"/>
          <w:bCs/>
          <w:sz w:val="24"/>
          <w:szCs w:val="24"/>
        </w:rPr>
        <w:t>履行过程中的廉洁要求协商一致签署本协议，以资双方共同遵守。</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第一条  双方的责任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1.双方应加强对本方工作人员的法制教育和廉洁从业教育，建立和健全相关规章制度，并监督执行；</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2.双方应严格遵守国家有关建设工程管理的法律法规、相关政策和规定；</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双方必须坚持公开、公平、公正、诚信、透明的原则(除法律法规另有规定者外)，在公开的办公场所洽谈业务，不得在非工作场所洽谈业务，不得私下单独交易；不得为获取不正当的利益，损害国家、集体和对方利益；</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4.如发现对方在业务活动中有违规、违纪、违法行为的，应及时提醒对方，情节严重的应向其上级主管部门、纪检监察机构、司法机关举报。</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第二条  甲方的责任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甲方的领导人员和有关工作人员，应遵守以下规定：</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1.不以任何方式和理由索要或接受乙方的回扣、礼金、有价证券、礼品和好处费、感谢费等；</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2.不在乙方报销任何应由甲方或个人支付的费用，也不得向乙方借款私用；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3.不要求、暗示和接受乙方为个人装修住房、婚丧嫁娶、配偶子女的工作安排以及出国(境)、旅游等方面提供方便；</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4.不参加有可能影响公正执行公务的宴请或健身、娱乐等消费活动；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5.不向乙方推荐或介绍任何材料、设备供应商或工程分包商(招标文件或合同中明确由甲方指定供应商的除外)；</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 xml:space="preserve">6.不得因个人原因使用乙方提供的通讯工具、交通工具、电脑或其它办公用品；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不准向乙方介绍或为配偶、子女、亲属等特定关系人参与同甲方项目工程施工合同有关的设备、材料、工程分包、劳务等经济活动。不得以任何理由向乙方和相关单位推荐分包单位或要求乙方购买项目工程施工合同规定以外的材料、设备等。</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8.不得有其他违背廉洁规定的行为。</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第三条  乙方的责任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乙方应与甲方保持正常的业务交往，按照有关法律法规和程序开展工作，并遵守以下规定：</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1.不以任何理由向甲方及其工作人员赠送礼金、有价证券、礼品和感谢费、咨询费等；</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2.不以任何理由为甲方报销应由对方或个人支付的费用；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3.不以任何方式为甲方工作人员个人装修住房、婚丧嫁娶、配偶子女的工作安排以及出国(境)、旅游等提供方便；</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4.不以任何理由为甲方工作人员组织有可能影响公正执行公务的宴请、健身、娱乐等活动；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5.不以任何其他不正当手段与甲方工作人员发生金钱、实物等往来；</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6.不准以任何理由拒绝为甲方上级单位审计、监察部门的纪检监察工作予以配合和提供便利。</w:t>
      </w: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第四条  违反廉洁约定的处理</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双方一致保证信守廉洁约定，并同意：</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如甲方工作人员违反廉洁约定，乙方人员主动举报且经查证属实的，甲方承诺保护举报人的合法权益。对有受贿索贿等违法违纪行为的当事人，甲方要给予相应的纪律处分；涉嫌犯罪的，移送司法机关处理。同时，向乙方通报处理结果。</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如乙方(或委托他人)向甲方工作人员行贿或有其他违反廉洁约定的行为，经查证属实的，乙方承诺按照司法机关(或纪检监察机构)确认的违纪金额的双倍向甲方支付赔偿金，如赔偿金低于甲方实际损失的，乙方应赔偿甲方实际损失。对有行贿等违法违纪行为的当事人，乙方要给予相应的纪律处分；涉嫌犯罪的，移送司法机关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发现乙方有违反本协议或者采用不正当的手段行贿甲方工作人员，甲方根据具体情节和造成的后果追究乙方的违约责任，乙方应当向甲方支付不低于经济合同总额的10%的违约金。由此给甲方造成的损失均由乙方承担；情况严重的，甲方有权终止或解除经济合同，并且乙方应当向甲方支付经济合同总额20%的违约金。</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4.如因发生上述情形甲方提出解除经济合同的，乙方支付的违约金不足以弥补甲方实际损失的，乙方应当在接到甲方通知后立即予以补足。</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5.若经济合同约定乙方须缴纳廉政保证金的，若乙方无本协议约定的行为的，保证金在约定时限内无息返还，若乙方存在前述行为的，甲方有权不予退还。</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第五条  其他说明</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本协议所称的“甲方实际损失”，包括因乙方的行贿行为或其他违反廉洁约定的行为导致甲方多支出的协议项目费用或维修维护费用)等、甲方(或司法机关)为查处违法违纪行为发生的办案费用、律师费用、鉴定费用、评估费用等支出。</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2.双方保证已全面理解本协议的内容，并采取有效措施使相关人员知悉其所应承担的廉洁责任。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3.本协议经双方加盖公章或合同专用章之日起生效。</w:t>
      </w:r>
    </w:p>
    <w:p>
      <w:pPr>
        <w:pStyle w:val="15"/>
        <w:spacing w:line="360" w:lineRule="auto"/>
        <w:rPr>
          <w:rFonts w:hint="eastAsia" w:ascii="宋体" w:hAnsi="宋体" w:eastAsia="宋体" w:cs="宋体"/>
          <w:sz w:val="24"/>
          <w:szCs w:val="24"/>
        </w:rPr>
      </w:pPr>
      <w:r>
        <w:rPr>
          <w:rFonts w:hint="eastAsia" w:ascii="宋体" w:hAnsi="宋体" w:eastAsia="宋体" w:cs="宋体"/>
          <w:color w:val="auto"/>
          <w:sz w:val="24"/>
          <w:szCs w:val="24"/>
          <w:lang w:val="zh-CN"/>
        </w:rPr>
        <w:t>咨询举报邮箱：</w:t>
      </w:r>
      <w:r>
        <w:rPr>
          <w:rFonts w:hint="eastAsia" w:ascii="宋体" w:hAnsi="宋体" w:eastAsia="宋体" w:cs="宋体"/>
          <w:sz w:val="24"/>
          <w:szCs w:val="24"/>
          <w:highlight w:val="none"/>
        </w:rPr>
        <w:t>gs</w:t>
      </w:r>
      <w:r>
        <w:rPr>
          <w:rFonts w:hint="eastAsia" w:ascii="宋体" w:hAnsi="宋体" w:eastAsia="宋体" w:cs="宋体"/>
          <w:sz w:val="24"/>
          <w:szCs w:val="24"/>
          <w:highlight w:val="none"/>
          <w:lang w:val="en-US" w:eastAsia="zh-CN"/>
        </w:rPr>
        <w:t>fz</w:t>
      </w:r>
      <w:r>
        <w:rPr>
          <w:rFonts w:hint="eastAsia" w:ascii="宋体" w:hAnsi="宋体" w:eastAsia="宋体" w:cs="宋体"/>
          <w:sz w:val="24"/>
          <w:szCs w:val="24"/>
          <w:highlight w:val="none"/>
        </w:rPr>
        <w:t>fwb@126.com、</w:t>
      </w:r>
      <w:r>
        <w:rPr>
          <w:rFonts w:hint="eastAsia" w:ascii="宋体" w:hAnsi="宋体" w:eastAsia="宋体" w:cs="宋体"/>
          <w:color w:val="auto"/>
          <w:sz w:val="24"/>
          <w:szCs w:val="24"/>
          <w:lang w:val="zh-CN"/>
        </w:rPr>
        <w:t>jjpczx@crccre.cn，电话：</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20-28861195、010-88821254，地址：</w:t>
      </w:r>
      <w:r>
        <w:rPr>
          <w:rFonts w:hint="eastAsia" w:ascii="宋体" w:hAnsi="宋体" w:eastAsia="宋体" w:cs="宋体"/>
          <w:color w:val="auto"/>
          <w:sz w:val="24"/>
          <w:szCs w:val="24"/>
          <w:lang w:val="en-US" w:eastAsia="zh-CN"/>
        </w:rPr>
        <w:t>广东省广州市花都区迎宾大道95号6楼、</w:t>
      </w:r>
      <w:r>
        <w:rPr>
          <w:rFonts w:hint="eastAsia" w:ascii="宋体" w:hAnsi="宋体" w:eastAsia="宋体" w:cs="宋体"/>
          <w:color w:val="auto"/>
          <w:sz w:val="24"/>
          <w:szCs w:val="24"/>
          <w:lang w:val="zh-CN"/>
        </w:rPr>
        <w:t>北京市海淀区复兴路40号中国铁建大厦B座地产集团纪检派出中心。</w:t>
      </w:r>
    </w:p>
    <w:p>
      <w:pPr>
        <w:pStyle w:val="3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(以下无正文)</w:t>
      </w:r>
    </w:p>
    <w:p>
      <w:pPr>
        <w:pStyle w:val="31"/>
        <w:spacing w:line="360" w:lineRule="auto"/>
        <w:rPr>
          <w:rFonts w:hint="eastAsia" w:ascii="宋体" w:hAnsi="宋体" w:eastAsia="宋体" w:cs="宋体"/>
          <w:color w:val="auto"/>
          <w:sz w:val="24"/>
          <w:szCs w:val="24"/>
        </w:rPr>
      </w:pPr>
    </w:p>
    <w:p>
      <w:pPr>
        <w:spacing w:line="360" w:lineRule="auto"/>
        <w:ind w:left="6300" w:hanging="6300" w:hangingChars="2625"/>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                 乙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w:t>
      </w:r>
    </w:p>
    <w:p>
      <w:pPr>
        <w:widowControl w:val="0"/>
        <w:tabs>
          <w:tab w:val="left" w:pos="525"/>
          <w:tab w:val="left" w:pos="1155"/>
        </w:tabs>
        <w:spacing w:line="360" w:lineRule="auto"/>
        <w:rPr>
          <w:rFonts w:hint="eastAsia" w:ascii="宋体" w:hAnsi="宋体" w:eastAsia="宋体" w:cs="宋体"/>
          <w:color w:val="auto"/>
          <w:kern w:val="0"/>
          <w:sz w:val="24"/>
          <w:szCs w:val="24"/>
          <w:highlight w:val="none"/>
        </w:rPr>
        <w:sectPr>
          <w:headerReference r:id="rId4" w:type="default"/>
          <w:footerReference r:id="rId5" w:type="default"/>
          <w:pgSz w:w="11906" w:h="16838"/>
          <w:pgMar w:top="1440" w:right="1080" w:bottom="1440" w:left="1587" w:header="851" w:footer="992" w:gutter="0"/>
          <w:pgNumType w:fmt="decimal"/>
          <w:cols w:space="720" w:num="1"/>
          <w:docGrid w:type="linesAndChars" w:linePitch="312" w:charSpace="0"/>
        </w:sectPr>
      </w:pPr>
    </w:p>
    <w:p>
      <w:pPr>
        <w:spacing w:line="360" w:lineRule="auto"/>
        <w:textAlignment w:val="top"/>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附件3 施工图设计咨询评估表</w:t>
      </w:r>
    </w:p>
    <w:tbl>
      <w:tblPr>
        <w:tblStyle w:val="16"/>
        <w:tblW w:w="13897" w:type="dxa"/>
        <w:tblInd w:w="0" w:type="dxa"/>
        <w:tblLayout w:type="fixed"/>
        <w:tblCellMar>
          <w:top w:w="0" w:type="dxa"/>
          <w:left w:w="0" w:type="dxa"/>
          <w:bottom w:w="0" w:type="dxa"/>
          <w:right w:w="0" w:type="dxa"/>
        </w:tblCellMar>
      </w:tblPr>
      <w:tblGrid>
        <w:gridCol w:w="1035"/>
        <w:gridCol w:w="555"/>
        <w:gridCol w:w="1395"/>
        <w:gridCol w:w="555"/>
        <w:gridCol w:w="1515"/>
        <w:gridCol w:w="915"/>
        <w:gridCol w:w="5475"/>
        <w:gridCol w:w="1552"/>
        <w:gridCol w:w="900"/>
      </w:tblGrid>
      <w:tr>
        <w:tblPrEx>
          <w:tblCellMar>
            <w:top w:w="0" w:type="dxa"/>
            <w:left w:w="0" w:type="dxa"/>
            <w:bottom w:w="0" w:type="dxa"/>
            <w:right w:w="0" w:type="dxa"/>
          </w:tblCellMar>
        </w:tblPrEx>
        <w:trPr>
          <w:trHeight w:val="795" w:hRule="atLeast"/>
        </w:trPr>
        <w:tc>
          <w:tcPr>
            <w:tcW w:w="13897" w:type="dxa"/>
            <w:gridSpan w:val="9"/>
            <w:tcBorders>
              <w:top w:val="nil"/>
              <w:bottom w:val="nil"/>
              <w:right w:val="nil"/>
            </w:tcBorders>
            <w:tcMar>
              <w:top w:w="15" w:type="dxa"/>
              <w:left w:w="15" w:type="dxa"/>
              <w:right w:w="15" w:type="dxa"/>
            </w:tcMar>
            <w:vAlign w:val="center"/>
          </w:tcPr>
          <w:p>
            <w:pPr>
              <w:widowControl/>
              <w:jc w:val="center"/>
              <w:textAlignment w:val="center"/>
              <w:rPr>
                <w:rFonts w:ascii="宋体" w:hAnsi="宋体" w:eastAsia="宋体" w:cs="宋体"/>
                <w:b/>
                <w:sz w:val="32"/>
                <w:szCs w:val="32"/>
              </w:rPr>
            </w:pPr>
            <w:r>
              <w:rPr>
                <w:rFonts w:hint="eastAsia" w:ascii="宋体" w:hAnsi="宋体" w:eastAsia="宋体" w:cs="宋体"/>
                <w:b/>
                <w:kern w:val="0"/>
                <w:sz w:val="32"/>
                <w:szCs w:val="32"/>
                <w:lang w:bidi="ar"/>
              </w:rPr>
              <w:t>施工图设计咨询评估表</w:t>
            </w:r>
          </w:p>
        </w:tc>
      </w:tr>
      <w:tr>
        <w:tblPrEx>
          <w:tblCellMar>
            <w:top w:w="0" w:type="dxa"/>
            <w:left w:w="0" w:type="dxa"/>
            <w:bottom w:w="0" w:type="dxa"/>
            <w:right w:w="0"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阶段</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评估项目</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满分</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评     估</w:t>
            </w:r>
          </w:p>
        </w:tc>
        <w:tc>
          <w:tcPr>
            <w:tcW w:w="5475"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评估细则</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扣分原因</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得分</w:t>
            </w:r>
          </w:p>
        </w:tc>
      </w:tr>
      <w:tr>
        <w:tblPrEx>
          <w:tblCellMar>
            <w:top w:w="0" w:type="dxa"/>
            <w:left w:w="0" w:type="dxa"/>
            <w:bottom w:w="0" w:type="dxa"/>
            <w:right w:w="0"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评估内容</w:t>
            </w:r>
          </w:p>
        </w:tc>
        <w:tc>
          <w:tcPr>
            <w:tcW w:w="9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权重</w:t>
            </w:r>
          </w:p>
        </w:tc>
        <w:tc>
          <w:tcPr>
            <w:tcW w:w="5475"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r>
      <w:tr>
        <w:tblPrEx>
          <w:tblCellMar>
            <w:top w:w="0" w:type="dxa"/>
            <w:left w:w="0" w:type="dxa"/>
            <w:bottom w:w="0" w:type="dxa"/>
            <w:right w:w="0" w:type="dxa"/>
          </w:tblCellMar>
        </w:tblPrEx>
        <w:trPr>
          <w:trHeight w:val="79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招标图阶段（第二次付费阶段）</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图纸质量</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10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图纸的完整度及成果质量</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A、技术措施确定，涉及的工程量及子项基本表达完善，成本达到预算深度，图纸基本无漏项，专业交圈闭合，已达到施工深度要求，后续无重大修改（9-10</w:t>
            </w:r>
            <w:r>
              <w:rPr>
                <w:rStyle w:val="34"/>
                <w:rFonts w:hint="default"/>
                <w:lang w:bidi="ar"/>
              </w:rPr>
              <w:t>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B、图纸缺项15%左右且按要求补充完整，深度基本满足要求，后续修改基本不涉及重大返工且能及时妥善解决（5-8</w:t>
            </w:r>
            <w:r>
              <w:rPr>
                <w:rStyle w:val="34"/>
                <w:rFonts w:hint="default"/>
                <w:lang w:bidi="ar"/>
              </w:rPr>
              <w:t>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C、图纸严重缺项，图纸质量及深度不合格，出现颠覆性修改（0-</w:t>
            </w:r>
            <w:r>
              <w:rPr>
                <w:rStyle w:val="34"/>
                <w:rFonts w:hint="default"/>
                <w:lang w:bidi="ar"/>
              </w:rPr>
              <w:t>4分）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进度及配合</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5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出图进度及日常配合</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A、基本按时出图且过程中能良好配合甲方相关工作（5分）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B、未能及时提交成果，能按甲方规定时间补交且配合基本到位（2-4</w:t>
            </w:r>
            <w:r>
              <w:rPr>
                <w:rStyle w:val="34"/>
                <w:rFonts w:hint="default"/>
                <w:lang w:bidi="ar"/>
              </w:rPr>
              <w:t>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C、出图进度及配合不理想（0-1分）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15 </w:t>
            </w:r>
          </w:p>
        </w:tc>
        <w:tc>
          <w:tcPr>
            <w:tcW w:w="15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left"/>
              <w:rPr>
                <w:rFonts w:ascii="宋体" w:hAnsi="宋体" w:eastAsia="宋体" w:cs="宋体"/>
                <w:b/>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0 </w:t>
            </w:r>
          </w:p>
        </w:tc>
      </w:tr>
      <w:tr>
        <w:tblPrEx>
          <w:tblCellMar>
            <w:top w:w="0" w:type="dxa"/>
            <w:left w:w="0" w:type="dxa"/>
            <w:bottom w:w="0" w:type="dxa"/>
            <w:right w:w="0" w:type="dxa"/>
          </w:tblCellMar>
        </w:tblPrEx>
        <w:trPr>
          <w:trHeight w:val="600" w:hRule="atLeast"/>
        </w:trPr>
        <w:tc>
          <w:tcPr>
            <w:tcW w:w="10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报建阶段（第三次付费）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下发条件</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4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甲方下发的初始设计条件及设计过程中的审核意见等落实情况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A、基本落实甲方设计要求，与效果图基本一致（4分）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B、部分设计条件未落实到位，能及时修正（2-3分）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C、重大设计条件未落实且与效果图不一致的情况（0-1分）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设计质量及深度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7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图纸的完整度及质量</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A、基本满足《建筑工程设计编制深度规定》的要求，不缺项，相关法律、法规基本落实到位，主要设备及材料表确定，经济技术指标稳定，概算合理（</w:t>
            </w:r>
            <w:r>
              <w:rPr>
                <w:rStyle w:val="34"/>
                <w:rFonts w:hint="default"/>
                <w:lang w:bidi="ar"/>
              </w:rPr>
              <w:t>6-7分）。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B、图纸缺项15%左右且按要求补充完整，深度基本满足要求，主要技术问题已解决，各专业间接口初步一致，后续无重大调整（3-</w:t>
            </w:r>
            <w:r>
              <w:rPr>
                <w:rStyle w:val="34"/>
                <w:rFonts w:hint="default"/>
                <w:lang w:bidi="ar"/>
              </w:rPr>
              <w:t>5分）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C、图纸严重缺项，质量及深度不合格，相关法律、法规落实不到位，后续出现颠覆性修改（0-2分）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进度及配合</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4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出图进度及日常配合</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A、基本按时出图且过程中能良好配合甲方相关工作（4分）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B、未能及时提交成果，能按甲方规定时间补交且配合基本到位（2-3分）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C、出图进度及配合不理想（0-1分）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15 </w:t>
            </w:r>
          </w:p>
        </w:tc>
        <w:tc>
          <w:tcPr>
            <w:tcW w:w="15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left"/>
              <w:rPr>
                <w:rFonts w:ascii="宋体" w:hAnsi="宋体" w:eastAsia="宋体" w:cs="宋体"/>
                <w:b/>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0</w:t>
            </w:r>
          </w:p>
        </w:tc>
      </w:tr>
      <w:tr>
        <w:tblPrEx>
          <w:tblCellMar>
            <w:top w:w="0" w:type="dxa"/>
            <w:left w:w="0" w:type="dxa"/>
            <w:bottom w:w="0" w:type="dxa"/>
            <w:right w:w="0" w:type="dxa"/>
          </w:tblCellMar>
        </w:tblPrEx>
        <w:trPr>
          <w:trHeight w:val="60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施工图审查阶段（第四次付费阶段）</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进度及配合</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8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出图进度及日常配合</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A、基本按时出图且过程中能良好配合甲方相关工作（7-8分）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B、未能及时提交成果，按甲方规定时间补交且配合一般（3-6分）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C、出图进度及配合不理想（0-2分）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002"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设计质量</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17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图纸的完整度及成果质量</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70%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A、初步设计审核意见落实到位，无安全隐患，成本控制及施工工艺合理，图纸基本无缺漏，表达完善，无强条，各专业接口表达一致，基本无差错漏碰，后续返工少（15-17分）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002"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B、图纸缺项10%左右，并按时补充完善，深度满足审查及现场施工，各专业接口表达基本一致，存在细微差错漏碰；无较大设计返工情况，图面基本无低级错误（10-14分）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002"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C、图纸缺项20%左右，补充完善不够及时，图纸深度有欠缺，审查意见较多，各专业接口部分不一致，存在部分设计返工，图面存在少许低级错误（</w:t>
            </w:r>
            <w:r>
              <w:rPr>
                <w:rStyle w:val="36"/>
                <w:rFonts w:hint="default"/>
                <w:lang w:bidi="ar"/>
              </w:rPr>
              <w:t>5-9分）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1002"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D、设计存在安全隐患且成本浪费，施工工艺不合理，图纸缺项严重且不能按时补充完善的，深度不满足审查及施工，各专业接口表达存在不一致，多处差错漏碰，以及存在多处低级错误，标准选用不当等情况（0-</w:t>
            </w:r>
            <w:r>
              <w:rPr>
                <w:rStyle w:val="36"/>
                <w:rFonts w:hint="default"/>
                <w:lang w:bidi="ar"/>
              </w:rPr>
              <w:t>4分）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25 </w:t>
            </w:r>
          </w:p>
        </w:tc>
        <w:tc>
          <w:tcPr>
            <w:tcW w:w="15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left"/>
              <w:rPr>
                <w:rFonts w:ascii="宋体" w:hAnsi="宋体" w:eastAsia="宋体" w:cs="宋体"/>
                <w:b/>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0</w:t>
            </w:r>
          </w:p>
        </w:tc>
      </w:tr>
      <w:tr>
        <w:tblPrEx>
          <w:tblCellMar>
            <w:top w:w="0" w:type="dxa"/>
            <w:left w:w="0" w:type="dxa"/>
            <w:bottom w:w="0" w:type="dxa"/>
            <w:right w:w="0" w:type="dxa"/>
          </w:tblCellMar>
        </w:tblPrEx>
        <w:trPr>
          <w:trHeight w:val="79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施工图配合阶段（第五次付费阶段）</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配合</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25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现场施工配合、技术指导</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A、与相关单位配合积极，技术交底完善，及时跟进、监督项目实施情况，积极主动优化图纸问题，及时发现、及时预警（21-25分）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B、与相关单位配合良好，技术交底到位，基本能跟进、监督项目实施情况，根据现场施工问题完善变更（14-20分）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C、与相关单位配合一般，技术交底一般，现场跟进、监督不及时，变更处理不到位且存在延迟情况（6-13分）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D、配合不积极，变更质量差且不能按时完成（0-5分）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25 </w:t>
            </w:r>
          </w:p>
        </w:tc>
        <w:tc>
          <w:tcPr>
            <w:tcW w:w="15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left"/>
              <w:rPr>
                <w:rFonts w:ascii="宋体" w:hAnsi="宋体" w:eastAsia="宋体" w:cs="宋体"/>
                <w:b/>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0 </w:t>
            </w:r>
          </w:p>
        </w:tc>
      </w:tr>
      <w:tr>
        <w:tblPrEx>
          <w:tblCellMar>
            <w:top w:w="0" w:type="dxa"/>
            <w:left w:w="0" w:type="dxa"/>
            <w:bottom w:w="0" w:type="dxa"/>
            <w:right w:w="0" w:type="dxa"/>
          </w:tblCellMar>
        </w:tblPrEx>
        <w:trPr>
          <w:trHeight w:val="79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竣工备案阶段（第六次付费阶段）</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配合</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20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竣工验收及配合</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A、积极配合甲方完成政府相关部门验收工作，妥善整理相关备案资料提交甲方。（</w:t>
            </w:r>
            <w:r>
              <w:rPr>
                <w:rStyle w:val="36"/>
                <w:rFonts w:hint="default"/>
                <w:lang w:bidi="ar"/>
              </w:rPr>
              <w:t>17-20分）</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B、配合甲方完成政府相关部门验收工作，整理相关备案资料。（11-16分）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C、不能有效配合甲方完成政府相关部门验收工作及整理相关备案资料，影响工程完工的。（</w:t>
            </w:r>
            <w:r>
              <w:rPr>
                <w:rStyle w:val="36"/>
                <w:rFonts w:hint="default"/>
                <w:lang w:bidi="ar"/>
              </w:rPr>
              <w:t>6-10分）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5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D、配合不积极，资料不完善，有抵触情绪（0-</w:t>
            </w:r>
            <w:r>
              <w:rPr>
                <w:rStyle w:val="36"/>
                <w:rFonts w:hint="default"/>
                <w:lang w:bidi="ar"/>
              </w:rPr>
              <w:t>5分）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sz w:val="20"/>
                <w:szCs w:val="20"/>
              </w:rPr>
            </w:pP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lang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20 </w:t>
            </w:r>
          </w:p>
        </w:tc>
        <w:tc>
          <w:tcPr>
            <w:tcW w:w="15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b/>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rPr>
                <w:rFonts w:ascii="宋体" w:hAnsi="宋体" w:eastAsia="宋体" w:cs="宋体"/>
                <w:b/>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jc w:val="center"/>
              <w:rPr>
                <w:rFonts w:ascii="宋体" w:hAnsi="宋体" w:eastAsia="宋体" w:cs="宋体"/>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92CDDC"/>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 xml:space="preserve">0 </w:t>
            </w:r>
          </w:p>
        </w:tc>
      </w:tr>
      <w:tr>
        <w:tblPrEx>
          <w:tblCellMar>
            <w:top w:w="0" w:type="dxa"/>
            <w:left w:w="0" w:type="dxa"/>
            <w:bottom w:w="0" w:type="dxa"/>
            <w:right w:w="0" w:type="dxa"/>
          </w:tblCellMar>
        </w:tblPrEx>
        <w:trPr>
          <w:trHeight w:val="60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备注</w:t>
            </w:r>
          </w:p>
        </w:tc>
        <w:tc>
          <w:tcPr>
            <w:tcW w:w="128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 w:val="20"/>
                <w:szCs w:val="20"/>
              </w:rPr>
            </w:pPr>
            <w:r>
              <w:rPr>
                <w:rStyle w:val="36"/>
                <w:rFonts w:hint="default"/>
                <w:lang w:bidi="ar"/>
              </w:rPr>
              <w:t>1、评估分五个阶段独立执行，各阶段所占激励百分比对应各阶段满分，激励支付时间参考设计合同支付进度表；</w:t>
            </w:r>
            <w:r>
              <w:rPr>
                <w:rStyle w:val="35"/>
                <w:rFonts w:hint="default"/>
                <w:lang w:bidi="ar"/>
              </w:rPr>
              <w:t xml:space="preserve"> </w:t>
            </w:r>
          </w:p>
        </w:tc>
      </w:tr>
      <w:tr>
        <w:tblPrEx>
          <w:tblCellMar>
            <w:top w:w="0" w:type="dxa"/>
            <w:left w:w="0" w:type="dxa"/>
            <w:bottom w:w="0" w:type="dxa"/>
            <w:right w:w="0" w:type="dxa"/>
          </w:tblCellMar>
        </w:tblPrEx>
        <w:trPr>
          <w:trHeight w:val="7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128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2、分阶段得分换算成百分制后，得分在80分以上，可获得该阶段100%的激励；得分在70分以上时，可获得该阶段90%的激励；得分在60分以上时，可获得该阶段80%的激励，得分在50分以上时，可获得该阶段60%的激励，得分50分以下的激励自动清零；</w:t>
            </w:r>
          </w:p>
        </w:tc>
      </w:tr>
      <w:tr>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sz w:val="20"/>
                <w:szCs w:val="20"/>
              </w:rPr>
            </w:pPr>
          </w:p>
        </w:tc>
        <w:tc>
          <w:tcPr>
            <w:tcW w:w="128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3、上述评估办法及激励分配等解释权归甲方所有，自设计合同签订之日起开始实施。</w:t>
            </w:r>
          </w:p>
        </w:tc>
      </w:tr>
    </w:tbl>
    <w:p>
      <w:pPr>
        <w:spacing w:line="360" w:lineRule="auto"/>
        <w:jc w:val="left"/>
        <w:textAlignment w:val="top"/>
        <w:rPr>
          <w:rFonts w:ascii="仿宋_GB2312" w:hAnsi="仿宋_GB2312" w:eastAsia="仿宋_GB2312" w:cs="仿宋_GB2312"/>
          <w:b/>
          <w:bCs/>
          <w:sz w:val="28"/>
          <w:szCs w:val="28"/>
        </w:rPr>
        <w:sectPr>
          <w:pgSz w:w="16838" w:h="11906" w:orient="landscape"/>
          <w:pgMar w:top="1800" w:right="1440" w:bottom="1800" w:left="1440" w:header="851" w:footer="992" w:gutter="0"/>
          <w:pgNumType w:fmt="decimal"/>
          <w:cols w:space="425" w:num="1"/>
          <w:docGrid w:type="lines" w:linePitch="312" w:charSpace="0"/>
        </w:sectPr>
      </w:pPr>
    </w:p>
    <w:p>
      <w:pPr>
        <w:spacing w:line="360" w:lineRule="auto"/>
        <w:jc w:val="left"/>
        <w:textAlignment w:val="top"/>
        <w:rPr>
          <w:rFonts w:ascii="仿宋_GB2312" w:hAnsi="仿宋_GB2312" w:eastAsia="仿宋_GB2312" w:cs="仿宋_GB2312"/>
          <w:b/>
          <w:bCs/>
          <w:sz w:val="28"/>
          <w:szCs w:val="28"/>
        </w:rPr>
      </w:pPr>
    </w:p>
    <w:p>
      <w:pPr>
        <w:spacing w:line="360" w:lineRule="auto"/>
        <w:textAlignment w:val="top"/>
        <w:rPr>
          <w:rFonts w:hint="eastAsia"/>
          <w:lang w:eastAsia="zh-CN"/>
        </w:rPr>
      </w:pPr>
    </w:p>
    <w:p>
      <w:pPr>
        <w:spacing w:line="360" w:lineRule="auto"/>
        <w:jc w:val="left"/>
        <w:textAlignment w:val="top"/>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附件4 合同价款组成清单</w:t>
      </w:r>
    </w:p>
    <w:p>
      <w:pPr>
        <w:spacing w:line="360" w:lineRule="auto"/>
        <w:jc w:val="left"/>
        <w:textAlignment w:val="top"/>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附件5 设计任务书</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ascii="宋体" w:hAnsi="宋体"/>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C7B57"/>
    <w:multiLevelType w:val="singleLevel"/>
    <w:tmpl w:val="A59C7B57"/>
    <w:lvl w:ilvl="0" w:tentative="0">
      <w:start w:val="1"/>
      <w:numFmt w:val="decimal"/>
      <w:suff w:val="nothing"/>
      <w:lvlText w:val="%1．"/>
      <w:lvlJc w:val="left"/>
      <w:pPr>
        <w:ind w:left="20" w:firstLine="400"/>
      </w:pPr>
      <w:rPr>
        <w:rFonts w:hint="default"/>
      </w:rPr>
    </w:lvl>
  </w:abstractNum>
  <w:abstractNum w:abstractNumId="1">
    <w:nsid w:val="EBD0C736"/>
    <w:multiLevelType w:val="singleLevel"/>
    <w:tmpl w:val="EBD0C736"/>
    <w:lvl w:ilvl="0" w:tentative="0">
      <w:start w:val="1"/>
      <w:numFmt w:val="decimal"/>
      <w:suff w:val="nothing"/>
      <w:lvlText w:val="%1．"/>
      <w:lvlJc w:val="left"/>
      <w:pPr>
        <w:ind w:left="0" w:firstLine="400"/>
      </w:pPr>
      <w:rPr>
        <w:rFonts w:hint="default"/>
      </w:rPr>
    </w:lvl>
  </w:abstractNum>
  <w:abstractNum w:abstractNumId="2">
    <w:nsid w:val="0000000B"/>
    <w:multiLevelType w:val="multilevel"/>
    <w:tmpl w:val="0000000B"/>
    <w:lvl w:ilvl="0" w:tentative="0">
      <w:start w:val="1"/>
      <w:numFmt w:val="japaneseCounting"/>
      <w:lvlText w:val="第%1条"/>
      <w:lvlJc w:val="left"/>
      <w:pPr>
        <w:tabs>
          <w:tab w:val="left" w:pos="1275"/>
        </w:tabs>
        <w:ind w:left="1275" w:hanging="855"/>
      </w:pPr>
      <w:rPr>
        <w:rFonts w:hint="eastAsia"/>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C913B4"/>
    <w:multiLevelType w:val="singleLevel"/>
    <w:tmpl w:val="0CC913B4"/>
    <w:lvl w:ilvl="0" w:tentative="0">
      <w:start w:val="1"/>
      <w:numFmt w:val="decimal"/>
      <w:suff w:val="nothing"/>
      <w:lvlText w:val="%1．"/>
      <w:lvlJc w:val="left"/>
      <w:pPr>
        <w:ind w:left="0" w:firstLine="400"/>
      </w:pPr>
      <w:rPr>
        <w:rFonts w:hint="default"/>
      </w:rPr>
    </w:lvl>
  </w:abstractNum>
  <w:abstractNum w:abstractNumId="4">
    <w:nsid w:val="1E1D7DCA"/>
    <w:multiLevelType w:val="multilevel"/>
    <w:tmpl w:val="1E1D7DCA"/>
    <w:lvl w:ilvl="0" w:tentative="0">
      <w:start w:val="1"/>
      <w:numFmt w:val="chineseCountingThousand"/>
      <w:lvlText w:val="%1、"/>
      <w:lvlJc w:val="left"/>
      <w:pPr>
        <w:tabs>
          <w:tab w:val="left" w:pos="360"/>
        </w:tabs>
        <w:ind w:left="360" w:hanging="360"/>
      </w:pPr>
      <w:rPr>
        <w:b/>
      </w:rPr>
    </w:lvl>
    <w:lvl w:ilvl="1" w:tentative="0">
      <w:start w:val="1"/>
      <w:numFmt w:val="upperLetter"/>
      <w:lvlText w:val="%2."/>
      <w:lvlJc w:val="left"/>
      <w:pPr>
        <w:tabs>
          <w:tab w:val="left" w:pos="780"/>
        </w:tabs>
        <w:ind w:left="780" w:hanging="360"/>
      </w:pPr>
      <w:rPr>
        <w:rFonts w:cs="Times New Roman"/>
        <w:b/>
      </w:rPr>
    </w:lvl>
    <w:lvl w:ilvl="2" w:tentative="0">
      <w:start w:val="1"/>
      <w:numFmt w:val="decimal"/>
      <w:lvlText w:val="%3."/>
      <w:lvlJc w:val="left"/>
      <w:pPr>
        <w:tabs>
          <w:tab w:val="left" w:pos="1560"/>
        </w:tabs>
        <w:ind w:left="1560" w:hanging="720"/>
      </w:pPr>
      <w:rPr>
        <w:rFonts w:ascii="仿宋" w:hAnsi="仿宋" w:eastAsia="仿宋" w:cstheme="minorBidi"/>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2F06372"/>
    <w:multiLevelType w:val="multilevel"/>
    <w:tmpl w:val="32F06372"/>
    <w:lvl w:ilvl="0" w:tentative="0">
      <w:start w:val="1"/>
      <w:numFmt w:val="japaneseCounting"/>
      <w:lvlText w:val="（%1）"/>
      <w:lvlJc w:val="left"/>
      <w:pPr>
        <w:ind w:left="1284" w:hanging="720"/>
      </w:pPr>
      <w:rPr>
        <w:rFonts w:hint="default"/>
      </w:r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6">
    <w:nsid w:val="3AA22919"/>
    <w:multiLevelType w:val="multilevel"/>
    <w:tmpl w:val="3AA22919"/>
    <w:lvl w:ilvl="0" w:tentative="0">
      <w:start w:val="1"/>
      <w:numFmt w:val="decimal"/>
      <w:lvlText w:val="%1."/>
      <w:lvlJc w:val="left"/>
      <w:pPr>
        <w:ind w:left="840" w:hanging="420"/>
      </w:pPr>
    </w:lvl>
    <w:lvl w:ilvl="1" w:tentative="0">
      <w:start w:val="1"/>
      <w:numFmt w:val="decimal"/>
      <w:lvlText w:val="2.%2."/>
      <w:lvlJc w:val="left"/>
      <w:pPr>
        <w:ind w:left="1260" w:hanging="420"/>
      </w:pPr>
      <w:rPr>
        <w:rFonts w:hint="eastAsia"/>
      </w:rPr>
    </w:lvl>
    <w:lvl w:ilvl="2" w:tentative="0">
      <w:start w:val="1"/>
      <w:numFmt w:val="decimal"/>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A02914D"/>
    <w:multiLevelType w:val="multilevel"/>
    <w:tmpl w:val="5A02914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8">
    <w:nsid w:val="5F9B793E"/>
    <w:multiLevelType w:val="multilevel"/>
    <w:tmpl w:val="5F9B793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2"/>
  </w:num>
  <w:num w:numId="3">
    <w:abstractNumId w:val="3"/>
  </w:num>
  <w:num w:numId="4">
    <w:abstractNumId w:val="0"/>
  </w:num>
  <w:num w:numId="5">
    <w:abstractNumId w:val="8"/>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TXZ" w:val="合同"/>
    <w:docVar w:name="KFXM" w:val="____项目"/>
    <w:docVar w:name="TBR" w:val="中铁房地产集团设计咨询有限公司"/>
    <w:docVar w:name="ZBR" w:val="[项目公司]"/>
    <w:docVar w:name="ZBXM" w:val="施工图设计"/>
  </w:docVars>
  <w:rsids>
    <w:rsidRoot w:val="42DF0AF1"/>
    <w:rsid w:val="00001A5F"/>
    <w:rsid w:val="00021203"/>
    <w:rsid w:val="00021A41"/>
    <w:rsid w:val="0005717B"/>
    <w:rsid w:val="000A4207"/>
    <w:rsid w:val="000B15C9"/>
    <w:rsid w:val="000B3C25"/>
    <w:rsid w:val="000D4EAA"/>
    <w:rsid w:val="00107891"/>
    <w:rsid w:val="00120DD0"/>
    <w:rsid w:val="00125711"/>
    <w:rsid w:val="001564B4"/>
    <w:rsid w:val="00183A05"/>
    <w:rsid w:val="001C7FE1"/>
    <w:rsid w:val="001F6A71"/>
    <w:rsid w:val="00230FED"/>
    <w:rsid w:val="00241C3A"/>
    <w:rsid w:val="0025433F"/>
    <w:rsid w:val="00287589"/>
    <w:rsid w:val="002B4C4A"/>
    <w:rsid w:val="003478FC"/>
    <w:rsid w:val="00360A91"/>
    <w:rsid w:val="003A3F75"/>
    <w:rsid w:val="003C44A5"/>
    <w:rsid w:val="003E4F86"/>
    <w:rsid w:val="003F1953"/>
    <w:rsid w:val="004014E4"/>
    <w:rsid w:val="00473835"/>
    <w:rsid w:val="004B3A6F"/>
    <w:rsid w:val="004F789C"/>
    <w:rsid w:val="0050665D"/>
    <w:rsid w:val="0051120C"/>
    <w:rsid w:val="005579CA"/>
    <w:rsid w:val="00576DBC"/>
    <w:rsid w:val="00617BC3"/>
    <w:rsid w:val="00685A7A"/>
    <w:rsid w:val="00692EFA"/>
    <w:rsid w:val="006E1F5D"/>
    <w:rsid w:val="00710180"/>
    <w:rsid w:val="00715F17"/>
    <w:rsid w:val="00730AAF"/>
    <w:rsid w:val="007334C4"/>
    <w:rsid w:val="00747F15"/>
    <w:rsid w:val="00756B64"/>
    <w:rsid w:val="00794514"/>
    <w:rsid w:val="007A793C"/>
    <w:rsid w:val="00874C4F"/>
    <w:rsid w:val="0088505C"/>
    <w:rsid w:val="00896C5D"/>
    <w:rsid w:val="008A02C4"/>
    <w:rsid w:val="008B0A09"/>
    <w:rsid w:val="008B2689"/>
    <w:rsid w:val="008E6F05"/>
    <w:rsid w:val="009141B3"/>
    <w:rsid w:val="00914E41"/>
    <w:rsid w:val="009154F2"/>
    <w:rsid w:val="00936CD0"/>
    <w:rsid w:val="00964A5E"/>
    <w:rsid w:val="00996997"/>
    <w:rsid w:val="009D7B60"/>
    <w:rsid w:val="00A255A8"/>
    <w:rsid w:val="00A351B5"/>
    <w:rsid w:val="00A41CCC"/>
    <w:rsid w:val="00A62C30"/>
    <w:rsid w:val="00B00852"/>
    <w:rsid w:val="00B06358"/>
    <w:rsid w:val="00B06F78"/>
    <w:rsid w:val="00B40458"/>
    <w:rsid w:val="00B75334"/>
    <w:rsid w:val="00B83A10"/>
    <w:rsid w:val="00BF3862"/>
    <w:rsid w:val="00C06245"/>
    <w:rsid w:val="00C10B59"/>
    <w:rsid w:val="00C43B8D"/>
    <w:rsid w:val="00C5161E"/>
    <w:rsid w:val="00C7305B"/>
    <w:rsid w:val="00C73C20"/>
    <w:rsid w:val="00C90AE4"/>
    <w:rsid w:val="00CC13B6"/>
    <w:rsid w:val="00D231B5"/>
    <w:rsid w:val="00D33691"/>
    <w:rsid w:val="00D350EF"/>
    <w:rsid w:val="00D82C8C"/>
    <w:rsid w:val="00D96A5F"/>
    <w:rsid w:val="00DB4FAF"/>
    <w:rsid w:val="00E41A4B"/>
    <w:rsid w:val="00E5052D"/>
    <w:rsid w:val="00E927F4"/>
    <w:rsid w:val="00E96431"/>
    <w:rsid w:val="00EA0CE1"/>
    <w:rsid w:val="00EA35B2"/>
    <w:rsid w:val="00EC0830"/>
    <w:rsid w:val="00F057C0"/>
    <w:rsid w:val="00F366E7"/>
    <w:rsid w:val="00F4641B"/>
    <w:rsid w:val="00FA266C"/>
    <w:rsid w:val="01092B64"/>
    <w:rsid w:val="01225B13"/>
    <w:rsid w:val="012A1402"/>
    <w:rsid w:val="01BB4E65"/>
    <w:rsid w:val="02081083"/>
    <w:rsid w:val="0248220A"/>
    <w:rsid w:val="02AD34F4"/>
    <w:rsid w:val="02B87D4F"/>
    <w:rsid w:val="02C96A28"/>
    <w:rsid w:val="02CC5B1B"/>
    <w:rsid w:val="03EA4B64"/>
    <w:rsid w:val="04354164"/>
    <w:rsid w:val="04BF2F76"/>
    <w:rsid w:val="04D01134"/>
    <w:rsid w:val="05FF24C1"/>
    <w:rsid w:val="06C20016"/>
    <w:rsid w:val="06CE39D2"/>
    <w:rsid w:val="074462AC"/>
    <w:rsid w:val="074D5CF3"/>
    <w:rsid w:val="07501420"/>
    <w:rsid w:val="078E2706"/>
    <w:rsid w:val="07C770C1"/>
    <w:rsid w:val="09BA65E2"/>
    <w:rsid w:val="0A5F6942"/>
    <w:rsid w:val="0AEA71B2"/>
    <w:rsid w:val="0AF06B9D"/>
    <w:rsid w:val="0BC32035"/>
    <w:rsid w:val="0CF42EAE"/>
    <w:rsid w:val="0D6A5CDC"/>
    <w:rsid w:val="0DA86967"/>
    <w:rsid w:val="0E232B45"/>
    <w:rsid w:val="0E2E65A4"/>
    <w:rsid w:val="0EB95E89"/>
    <w:rsid w:val="0F335664"/>
    <w:rsid w:val="10263D83"/>
    <w:rsid w:val="1051774D"/>
    <w:rsid w:val="10A814FB"/>
    <w:rsid w:val="10D5686A"/>
    <w:rsid w:val="11400F91"/>
    <w:rsid w:val="11655896"/>
    <w:rsid w:val="132A42A4"/>
    <w:rsid w:val="133E4804"/>
    <w:rsid w:val="13B97B98"/>
    <w:rsid w:val="13DA0373"/>
    <w:rsid w:val="14084EB9"/>
    <w:rsid w:val="14576EEE"/>
    <w:rsid w:val="14C4794E"/>
    <w:rsid w:val="14C47C81"/>
    <w:rsid w:val="14D12A99"/>
    <w:rsid w:val="15343438"/>
    <w:rsid w:val="15855D12"/>
    <w:rsid w:val="164B6CA1"/>
    <w:rsid w:val="168C7CB0"/>
    <w:rsid w:val="17EC13A9"/>
    <w:rsid w:val="18DF3FD9"/>
    <w:rsid w:val="19220B43"/>
    <w:rsid w:val="194879B3"/>
    <w:rsid w:val="19ED0CC0"/>
    <w:rsid w:val="1B2C4B4E"/>
    <w:rsid w:val="1B666D00"/>
    <w:rsid w:val="1C406D15"/>
    <w:rsid w:val="1DD83E20"/>
    <w:rsid w:val="1DFC3F2F"/>
    <w:rsid w:val="1E4922BC"/>
    <w:rsid w:val="1E98489B"/>
    <w:rsid w:val="1F93299A"/>
    <w:rsid w:val="1FCC4015"/>
    <w:rsid w:val="1FE45BA5"/>
    <w:rsid w:val="1FE47DF1"/>
    <w:rsid w:val="1FE95609"/>
    <w:rsid w:val="20074F44"/>
    <w:rsid w:val="20BB5F39"/>
    <w:rsid w:val="20C051F6"/>
    <w:rsid w:val="20C33DAA"/>
    <w:rsid w:val="215C3544"/>
    <w:rsid w:val="2184758B"/>
    <w:rsid w:val="21B40B81"/>
    <w:rsid w:val="21FD52FC"/>
    <w:rsid w:val="22B76683"/>
    <w:rsid w:val="237244F0"/>
    <w:rsid w:val="245109A3"/>
    <w:rsid w:val="245C3B74"/>
    <w:rsid w:val="24CE166B"/>
    <w:rsid w:val="25171740"/>
    <w:rsid w:val="25DD5BAB"/>
    <w:rsid w:val="269531EE"/>
    <w:rsid w:val="270745A5"/>
    <w:rsid w:val="270E5FF9"/>
    <w:rsid w:val="27F717A5"/>
    <w:rsid w:val="28857E5B"/>
    <w:rsid w:val="289B44ED"/>
    <w:rsid w:val="29BC22CF"/>
    <w:rsid w:val="29D96086"/>
    <w:rsid w:val="29F30AFB"/>
    <w:rsid w:val="2A153464"/>
    <w:rsid w:val="2A3171C7"/>
    <w:rsid w:val="2B071D1E"/>
    <w:rsid w:val="2B35298E"/>
    <w:rsid w:val="2BE91D3E"/>
    <w:rsid w:val="2BF53FFC"/>
    <w:rsid w:val="2C5B4822"/>
    <w:rsid w:val="2CB258B9"/>
    <w:rsid w:val="2CCC5FF0"/>
    <w:rsid w:val="2CFF47AE"/>
    <w:rsid w:val="2D144A98"/>
    <w:rsid w:val="2D622E07"/>
    <w:rsid w:val="2DC31F32"/>
    <w:rsid w:val="2E196F38"/>
    <w:rsid w:val="2E70642F"/>
    <w:rsid w:val="2EBB1797"/>
    <w:rsid w:val="2F6B476F"/>
    <w:rsid w:val="2FA95E10"/>
    <w:rsid w:val="2FBB13DF"/>
    <w:rsid w:val="2FDB67FC"/>
    <w:rsid w:val="30EF4198"/>
    <w:rsid w:val="316949CB"/>
    <w:rsid w:val="32290F6A"/>
    <w:rsid w:val="32402E10"/>
    <w:rsid w:val="32722D4F"/>
    <w:rsid w:val="33FD60A3"/>
    <w:rsid w:val="343C6276"/>
    <w:rsid w:val="34BA0FEA"/>
    <w:rsid w:val="360E4A05"/>
    <w:rsid w:val="36294ED7"/>
    <w:rsid w:val="36D97BAC"/>
    <w:rsid w:val="36DE27B9"/>
    <w:rsid w:val="3724269D"/>
    <w:rsid w:val="37D87105"/>
    <w:rsid w:val="39390CE5"/>
    <w:rsid w:val="396D16DB"/>
    <w:rsid w:val="39D9747E"/>
    <w:rsid w:val="3A787F3C"/>
    <w:rsid w:val="3A841AB7"/>
    <w:rsid w:val="3B110E6B"/>
    <w:rsid w:val="3B177813"/>
    <w:rsid w:val="3B456DE9"/>
    <w:rsid w:val="3B6A0ED9"/>
    <w:rsid w:val="3C0D3A7F"/>
    <w:rsid w:val="3DC84FDC"/>
    <w:rsid w:val="3E7729A7"/>
    <w:rsid w:val="3FBD338A"/>
    <w:rsid w:val="40297C60"/>
    <w:rsid w:val="40D140B6"/>
    <w:rsid w:val="41191DAA"/>
    <w:rsid w:val="423127BD"/>
    <w:rsid w:val="42DF0AF1"/>
    <w:rsid w:val="43013C3D"/>
    <w:rsid w:val="43066EF2"/>
    <w:rsid w:val="4359242C"/>
    <w:rsid w:val="43922922"/>
    <w:rsid w:val="43D274A8"/>
    <w:rsid w:val="44DF5A15"/>
    <w:rsid w:val="45960598"/>
    <w:rsid w:val="46BC2821"/>
    <w:rsid w:val="47305385"/>
    <w:rsid w:val="477E4A02"/>
    <w:rsid w:val="481402FE"/>
    <w:rsid w:val="48E10094"/>
    <w:rsid w:val="491172E0"/>
    <w:rsid w:val="4A562293"/>
    <w:rsid w:val="4A7D368F"/>
    <w:rsid w:val="4AD3071F"/>
    <w:rsid w:val="4B31047C"/>
    <w:rsid w:val="4B764A84"/>
    <w:rsid w:val="4BBE2366"/>
    <w:rsid w:val="4BDE2B1C"/>
    <w:rsid w:val="4C567C56"/>
    <w:rsid w:val="4C9D4A1E"/>
    <w:rsid w:val="4CA42ACD"/>
    <w:rsid w:val="4CF82A41"/>
    <w:rsid w:val="4D4169B6"/>
    <w:rsid w:val="4D825C2F"/>
    <w:rsid w:val="4D89740D"/>
    <w:rsid w:val="4DDD7C5A"/>
    <w:rsid w:val="4E3A1182"/>
    <w:rsid w:val="4E7D646B"/>
    <w:rsid w:val="4EBD3058"/>
    <w:rsid w:val="4F137EB3"/>
    <w:rsid w:val="4F7922A0"/>
    <w:rsid w:val="50367643"/>
    <w:rsid w:val="507E4B02"/>
    <w:rsid w:val="50D813BA"/>
    <w:rsid w:val="516A4493"/>
    <w:rsid w:val="52C63A56"/>
    <w:rsid w:val="53F328AA"/>
    <w:rsid w:val="53F51CFD"/>
    <w:rsid w:val="54126C9E"/>
    <w:rsid w:val="54D5057F"/>
    <w:rsid w:val="54F3DC1D"/>
    <w:rsid w:val="55797558"/>
    <w:rsid w:val="55ED1947"/>
    <w:rsid w:val="55F3581A"/>
    <w:rsid w:val="56280413"/>
    <w:rsid w:val="56DD07C6"/>
    <w:rsid w:val="57A515F0"/>
    <w:rsid w:val="57CF59CE"/>
    <w:rsid w:val="59E1662C"/>
    <w:rsid w:val="5A277673"/>
    <w:rsid w:val="5A3329FC"/>
    <w:rsid w:val="5AB0797A"/>
    <w:rsid w:val="5B1439C0"/>
    <w:rsid w:val="5B344BAA"/>
    <w:rsid w:val="5B586DB5"/>
    <w:rsid w:val="5B701D60"/>
    <w:rsid w:val="5BA9380E"/>
    <w:rsid w:val="5BC531C6"/>
    <w:rsid w:val="5C3115D9"/>
    <w:rsid w:val="5C7D7B75"/>
    <w:rsid w:val="5D564930"/>
    <w:rsid w:val="5DCE1B76"/>
    <w:rsid w:val="5E17116A"/>
    <w:rsid w:val="5E3303B3"/>
    <w:rsid w:val="5E3D11BD"/>
    <w:rsid w:val="5E6F07E2"/>
    <w:rsid w:val="5EFB633A"/>
    <w:rsid w:val="5EFD4490"/>
    <w:rsid w:val="5F961F4B"/>
    <w:rsid w:val="5FCC5412"/>
    <w:rsid w:val="5FE5173D"/>
    <w:rsid w:val="601B556B"/>
    <w:rsid w:val="60444235"/>
    <w:rsid w:val="60880BE0"/>
    <w:rsid w:val="609408EF"/>
    <w:rsid w:val="60A37BE1"/>
    <w:rsid w:val="621E6E07"/>
    <w:rsid w:val="63B4766D"/>
    <w:rsid w:val="63EB5EC1"/>
    <w:rsid w:val="641C16BF"/>
    <w:rsid w:val="644D06FD"/>
    <w:rsid w:val="646B51DE"/>
    <w:rsid w:val="64845012"/>
    <w:rsid w:val="6499355D"/>
    <w:rsid w:val="64D27D1E"/>
    <w:rsid w:val="64E34E4C"/>
    <w:rsid w:val="64F26F24"/>
    <w:rsid w:val="65D01A87"/>
    <w:rsid w:val="65F74ED9"/>
    <w:rsid w:val="672C1301"/>
    <w:rsid w:val="673950E0"/>
    <w:rsid w:val="673E0A5C"/>
    <w:rsid w:val="678D07F2"/>
    <w:rsid w:val="67C23FB3"/>
    <w:rsid w:val="68702C01"/>
    <w:rsid w:val="68D12B39"/>
    <w:rsid w:val="68D61975"/>
    <w:rsid w:val="691237A9"/>
    <w:rsid w:val="69403C36"/>
    <w:rsid w:val="69566395"/>
    <w:rsid w:val="699F1B31"/>
    <w:rsid w:val="69B537B9"/>
    <w:rsid w:val="69D14636"/>
    <w:rsid w:val="69E33218"/>
    <w:rsid w:val="69F91DC8"/>
    <w:rsid w:val="6A1D0209"/>
    <w:rsid w:val="6A8827A3"/>
    <w:rsid w:val="6AA9364C"/>
    <w:rsid w:val="6B0924C3"/>
    <w:rsid w:val="6B305432"/>
    <w:rsid w:val="6B6B680B"/>
    <w:rsid w:val="6BFC2B3C"/>
    <w:rsid w:val="6CB340FA"/>
    <w:rsid w:val="6D473557"/>
    <w:rsid w:val="6D900685"/>
    <w:rsid w:val="6DA9696E"/>
    <w:rsid w:val="6EC46CD9"/>
    <w:rsid w:val="6EE132F8"/>
    <w:rsid w:val="6F6325CC"/>
    <w:rsid w:val="6F860743"/>
    <w:rsid w:val="70984775"/>
    <w:rsid w:val="70AF0308"/>
    <w:rsid w:val="70B1389B"/>
    <w:rsid w:val="70EF0ED8"/>
    <w:rsid w:val="71184E25"/>
    <w:rsid w:val="712F661D"/>
    <w:rsid w:val="71600C70"/>
    <w:rsid w:val="7162269D"/>
    <w:rsid w:val="71834DA6"/>
    <w:rsid w:val="71BE7FC8"/>
    <w:rsid w:val="72356F21"/>
    <w:rsid w:val="723D5CE1"/>
    <w:rsid w:val="72427D73"/>
    <w:rsid w:val="725E26B8"/>
    <w:rsid w:val="72F636A2"/>
    <w:rsid w:val="737108E7"/>
    <w:rsid w:val="73A0359D"/>
    <w:rsid w:val="73CD7216"/>
    <w:rsid w:val="74034425"/>
    <w:rsid w:val="741E4074"/>
    <w:rsid w:val="749566D1"/>
    <w:rsid w:val="749C49FB"/>
    <w:rsid w:val="74E90834"/>
    <w:rsid w:val="75320F37"/>
    <w:rsid w:val="75585F0A"/>
    <w:rsid w:val="75921425"/>
    <w:rsid w:val="75982538"/>
    <w:rsid w:val="765B297C"/>
    <w:rsid w:val="766C19A8"/>
    <w:rsid w:val="76A910E1"/>
    <w:rsid w:val="76CB5F0E"/>
    <w:rsid w:val="77881DEB"/>
    <w:rsid w:val="77B942C5"/>
    <w:rsid w:val="789126E9"/>
    <w:rsid w:val="79914BC6"/>
    <w:rsid w:val="79C552E2"/>
    <w:rsid w:val="79DE0C9C"/>
    <w:rsid w:val="79EA6661"/>
    <w:rsid w:val="7AB7319D"/>
    <w:rsid w:val="7B8A352D"/>
    <w:rsid w:val="7C191C62"/>
    <w:rsid w:val="7C4E5853"/>
    <w:rsid w:val="7C945097"/>
    <w:rsid w:val="7CF608B7"/>
    <w:rsid w:val="7D1342B7"/>
    <w:rsid w:val="7D3F1E59"/>
    <w:rsid w:val="7DBF335B"/>
    <w:rsid w:val="7DD75998"/>
    <w:rsid w:val="7E2C29FE"/>
    <w:rsid w:val="7E654B91"/>
    <w:rsid w:val="7ED7060E"/>
    <w:rsid w:val="7F051A7D"/>
    <w:rsid w:val="7F62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sz w:val="5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qFormat/>
    <w:uiPriority w:val="0"/>
    <w:pPr>
      <w:keepNext/>
      <w:keepLines/>
      <w:outlineLvl w:val="3"/>
    </w:pPr>
    <w:rPr>
      <w:rFonts w:ascii="Arial" w:hAnsi="Arial"/>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next w:val="6"/>
    <w:link w:val="26"/>
    <w:qFormat/>
    <w:uiPriority w:val="0"/>
    <w:pPr>
      <w:jc w:val="left"/>
    </w:pPr>
  </w:style>
  <w:style w:type="paragraph" w:styleId="6">
    <w:name w:val="Balloon Text"/>
    <w:basedOn w:val="1"/>
    <w:link w:val="25"/>
    <w:qFormat/>
    <w:uiPriority w:val="0"/>
    <w:rPr>
      <w:sz w:val="18"/>
      <w:szCs w:val="18"/>
    </w:rPr>
  </w:style>
  <w:style w:type="paragraph" w:styleId="7">
    <w:name w:val="Body Text"/>
    <w:basedOn w:val="1"/>
    <w:next w:val="8"/>
    <w:qFormat/>
    <w:uiPriority w:val="0"/>
    <w:pPr>
      <w:spacing w:after="120"/>
    </w:pPr>
  </w:style>
  <w:style w:type="paragraph" w:styleId="8">
    <w:name w:val="Body Text 2"/>
    <w:basedOn w:val="1"/>
    <w:unhideWhenUsed/>
    <w:qFormat/>
    <w:uiPriority w:val="99"/>
    <w:rPr>
      <w:rFonts w:ascii="宋体" w:hAnsi="宋体"/>
      <w:b/>
      <w:sz w:val="24"/>
      <w:szCs w:val="20"/>
    </w:rPr>
  </w:style>
  <w:style w:type="paragraph" w:styleId="9">
    <w:name w:val="Body Text Indent"/>
    <w:basedOn w:val="1"/>
    <w:link w:val="33"/>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annotation subject"/>
    <w:basedOn w:val="5"/>
    <w:next w:val="5"/>
    <w:link w:val="27"/>
    <w:qFormat/>
    <w:uiPriority w:val="0"/>
    <w:rPr>
      <w:b/>
      <w:bCs/>
    </w:rPr>
  </w:style>
  <w:style w:type="paragraph" w:styleId="15">
    <w:name w:val="Body Text First Indent"/>
    <w:basedOn w:val="7"/>
    <w:next w:val="1"/>
    <w:qFormat/>
    <w:uiPriority w:val="0"/>
    <w:pPr>
      <w:ind w:firstLine="420" w:firstLineChars="100"/>
    </w:pPr>
    <w:rPr>
      <w:rFonts w:ascii="宋体"/>
      <w:kern w:val="0"/>
      <w:sz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basedOn w:val="18"/>
    <w:qFormat/>
    <w:uiPriority w:val="0"/>
    <w:rPr>
      <w:sz w:val="21"/>
      <w:szCs w:val="21"/>
    </w:rPr>
  </w:style>
  <w:style w:type="paragraph" w:customStyle="1" w:styleId="21">
    <w:name w:val="_Style 4"/>
    <w:basedOn w:val="1"/>
    <w:qFormat/>
    <w:uiPriority w:val="0"/>
    <w:pPr>
      <w:ind w:firstLine="420" w:firstLineChars="200"/>
    </w:pPr>
  </w:style>
  <w:style w:type="paragraph" w:customStyle="1" w:styleId="22">
    <w:name w:val="列出段落1"/>
    <w:basedOn w:val="1"/>
    <w:qFormat/>
    <w:uiPriority w:val="34"/>
    <w:pPr>
      <w:ind w:firstLine="420" w:firstLineChars="200"/>
    </w:pPr>
  </w:style>
  <w:style w:type="character" w:customStyle="1" w:styleId="23">
    <w:name w:val="页眉 字符"/>
    <w:basedOn w:val="18"/>
    <w:link w:val="12"/>
    <w:qFormat/>
    <w:uiPriority w:val="0"/>
    <w:rPr>
      <w:kern w:val="2"/>
      <w:sz w:val="18"/>
      <w:szCs w:val="18"/>
    </w:rPr>
  </w:style>
  <w:style w:type="character" w:customStyle="1" w:styleId="24">
    <w:name w:val="页脚 字符"/>
    <w:basedOn w:val="18"/>
    <w:link w:val="11"/>
    <w:qFormat/>
    <w:uiPriority w:val="0"/>
    <w:rPr>
      <w:kern w:val="2"/>
      <w:sz w:val="18"/>
      <w:szCs w:val="18"/>
    </w:rPr>
  </w:style>
  <w:style w:type="character" w:customStyle="1" w:styleId="25">
    <w:name w:val="批注框文本 字符"/>
    <w:basedOn w:val="18"/>
    <w:link w:val="6"/>
    <w:qFormat/>
    <w:uiPriority w:val="0"/>
    <w:rPr>
      <w:rFonts w:asciiTheme="minorHAnsi" w:hAnsiTheme="minorHAnsi" w:eastAsiaTheme="minorEastAsia" w:cstheme="minorBidi"/>
      <w:kern w:val="2"/>
      <w:sz w:val="18"/>
      <w:szCs w:val="18"/>
    </w:rPr>
  </w:style>
  <w:style w:type="character" w:customStyle="1" w:styleId="26">
    <w:name w:val="批注文字 字符"/>
    <w:basedOn w:val="18"/>
    <w:link w:val="5"/>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4"/>
    <w:qFormat/>
    <w:uiPriority w:val="0"/>
    <w:rPr>
      <w:rFonts w:asciiTheme="minorHAnsi" w:hAnsiTheme="minorHAnsi" w:eastAsiaTheme="minorEastAsia" w:cstheme="minorBidi"/>
      <w:kern w:val="2"/>
      <w:sz w:val="21"/>
      <w:szCs w:val="24"/>
    </w:rPr>
  </w:style>
  <w:style w:type="paragraph" w:customStyle="1" w:styleId="28">
    <w:name w:val="列表段落1"/>
    <w:basedOn w:val="1"/>
    <w:qFormat/>
    <w:uiPriority w:val="34"/>
    <w:pPr>
      <w:ind w:firstLine="420" w:firstLineChars="200"/>
    </w:pPr>
    <w:rPr>
      <w:rFonts w:ascii="Calibri" w:hAnsi="Calibri"/>
      <w:snapToGrid w:val="0"/>
      <w:kern w:val="0"/>
      <w:szCs w:val="22"/>
    </w:rPr>
  </w:style>
  <w:style w:type="paragraph" w:customStyle="1" w:styleId="29">
    <w:name w:val="_Style 2"/>
    <w:basedOn w:val="1"/>
    <w:qFormat/>
    <w:uiPriority w:val="34"/>
    <w:pPr>
      <w:ind w:firstLine="420" w:firstLineChars="200"/>
    </w:pPr>
    <w:rPr>
      <w:rFonts w:ascii="Calibri" w:hAnsi="Calibri" w:eastAsia="宋体" w:cs="Times New Roman"/>
    </w:rPr>
  </w:style>
  <w:style w:type="paragraph" w:customStyle="1" w:styleId="30">
    <w:name w:val="列出段落2"/>
    <w:basedOn w:val="1"/>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2">
    <w:name w:val="No Spacing"/>
    <w:qFormat/>
    <w:uiPriority w:val="1"/>
    <w:pPr>
      <w:spacing w:line="276" w:lineRule="auto"/>
    </w:pPr>
    <w:rPr>
      <w:rFonts w:ascii="宋体" w:hAnsi="宋体" w:eastAsia="宋体" w:cstheme="minorBidi"/>
      <w:kern w:val="2"/>
      <w:sz w:val="21"/>
      <w:szCs w:val="21"/>
      <w:lang w:val="en-US" w:eastAsia="zh-CN" w:bidi="ar-SA"/>
    </w:rPr>
  </w:style>
  <w:style w:type="character" w:customStyle="1" w:styleId="33">
    <w:name w:val="正文文本缩进 字符"/>
    <w:basedOn w:val="18"/>
    <w:link w:val="9"/>
    <w:qFormat/>
    <w:uiPriority w:val="0"/>
    <w:rPr>
      <w:rFonts w:asciiTheme="minorHAnsi" w:hAnsiTheme="minorHAnsi" w:eastAsiaTheme="minorEastAsia" w:cstheme="minorBidi"/>
      <w:kern w:val="2"/>
      <w:sz w:val="21"/>
      <w:szCs w:val="24"/>
    </w:rPr>
  </w:style>
  <w:style w:type="character" w:customStyle="1" w:styleId="34">
    <w:name w:val="font61"/>
    <w:basedOn w:val="18"/>
    <w:qFormat/>
    <w:uiPriority w:val="0"/>
    <w:rPr>
      <w:rFonts w:hint="eastAsia" w:ascii="宋体" w:hAnsi="宋体" w:eastAsia="宋体" w:cs="宋体"/>
      <w:color w:val="000000"/>
      <w:sz w:val="18"/>
      <w:szCs w:val="18"/>
      <w:u w:val="none"/>
    </w:rPr>
  </w:style>
  <w:style w:type="character" w:customStyle="1" w:styleId="35">
    <w:name w:val="font91"/>
    <w:basedOn w:val="18"/>
    <w:qFormat/>
    <w:uiPriority w:val="0"/>
    <w:rPr>
      <w:rFonts w:hint="eastAsia" w:ascii="宋体" w:hAnsi="宋体" w:eastAsia="宋体" w:cs="宋体"/>
      <w:color w:val="000000"/>
      <w:sz w:val="20"/>
      <w:szCs w:val="20"/>
      <w:u w:val="none"/>
    </w:rPr>
  </w:style>
  <w:style w:type="character" w:customStyle="1" w:styleId="36">
    <w:name w:val="font81"/>
    <w:basedOn w:val="18"/>
    <w:qFormat/>
    <w:uiPriority w:val="0"/>
    <w:rPr>
      <w:rFonts w:hint="eastAsia" w:ascii="宋体" w:hAnsi="宋体" w:eastAsia="宋体" w:cs="宋体"/>
      <w:color w:val="000000"/>
      <w:sz w:val="18"/>
      <w:szCs w:val="18"/>
      <w:u w:val="none"/>
    </w:rPr>
  </w:style>
  <w:style w:type="paragraph" w:customStyle="1" w:styleId="3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36</Pages>
  <Words>1159</Words>
  <Characters>1167</Characters>
  <Lines>39</Lines>
  <Paragraphs>42</Paragraphs>
  <TotalTime>2</TotalTime>
  <ScaleCrop>false</ScaleCrop>
  <LinksUpToDate>false</LinksUpToDate>
  <CharactersWithSpaces>1222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2022-03-10T17:33:00Z</dcterms:created>
  <dc:creator>冯仲儿</dc:creator>
  <cp:lastModifiedBy>SASA</cp:lastModifiedBy>
  <cp:lastPrinted>2021-12-03T16:01:00Z</cp:lastPrinted>
  <dcterms:modified xsi:type="dcterms:W3CDTF">2025-11-26T08:09:42Z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CD3BFFA9532ACDBC7377256913E8E4B0_43</vt:lpwstr>
  </property>
  <property fmtid="{D5CDD505-2E9C-101B-9397-08002B2CF9AE}" pid="4" name="KSOTemplateDocerSaveRecord">
    <vt:lpwstr>eyJoZGlkIjoiNDQxY2I3ZjFkNThhYjQwNzMyYmJjYWYxM2M3ZTIxZDUiLCJ1c2VySWQiOiI2MzkzNzIxODYifQ==</vt:lpwstr>
  </property>
</Properties>
</file>