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8047A1">
      <w:pPr>
        <w:rPr>
          <w:rFonts w:ascii="仿宋" w:hAnsi="仿宋" w:eastAsia="仿宋" w:cs="仿宋"/>
          <w:color w:val="auto"/>
          <w:highlight w:val="none"/>
          <w:lang w:eastAsia="zh-CN"/>
        </w:rPr>
      </w:pPr>
      <w:bookmarkStart w:id="0" w:name="_Toc17184"/>
    </w:p>
    <w:p w14:paraId="17E49BB0">
      <w:pPr>
        <w:rPr>
          <w:rFonts w:ascii="宋体" w:hAnsi="宋体" w:eastAsia="仿宋" w:cs="仿宋_GB2312"/>
          <w:color w:val="auto"/>
          <w:sz w:val="32"/>
          <w:szCs w:val="32"/>
          <w:highlight w:val="none"/>
          <w:lang w:eastAsia="zh-CN"/>
        </w:rPr>
      </w:pPr>
      <w:r>
        <w:rPr>
          <w:rFonts w:ascii="仿宋" w:hAnsi="仿宋" w:eastAsia="仿宋" w:cs="仿宋"/>
          <w:color w:val="auto"/>
          <w:highlight w:val="none"/>
          <w:lang w:eastAsia="zh-CN"/>
        </w:rPr>
        <w:t>SF-202</w:t>
      </w:r>
      <w:r>
        <w:rPr>
          <w:rFonts w:hint="eastAsia" w:ascii="仿宋" w:hAnsi="仿宋" w:eastAsia="仿宋" w:cs="仿宋"/>
          <w:color w:val="auto"/>
          <w:highlight w:val="none"/>
          <w:lang w:eastAsia="zh"/>
        </w:rPr>
        <w:t>2</w:t>
      </w:r>
      <w:r>
        <w:rPr>
          <w:rFonts w:ascii="仿宋" w:hAnsi="仿宋" w:eastAsia="仿宋" w:cs="仿宋"/>
          <w:color w:val="auto"/>
          <w:highlight w:val="none"/>
          <w:lang w:eastAsia="zh-CN"/>
        </w:rPr>
        <w:t>-</w:t>
      </w:r>
      <w:bookmarkEnd w:id="0"/>
      <w:r>
        <w:rPr>
          <w:rFonts w:hint="eastAsia" w:ascii="仿宋" w:hAnsi="仿宋" w:eastAsia="仿宋" w:cs="仿宋"/>
          <w:color w:val="auto"/>
          <w:highlight w:val="none"/>
          <w:lang w:eastAsia="zh-CN"/>
        </w:rPr>
        <w:t>0210</w:t>
      </w:r>
    </w:p>
    <w:p w14:paraId="37B179FA">
      <w:pPr>
        <w:pStyle w:val="149"/>
        <w:spacing w:line="640" w:lineRule="exact"/>
        <w:ind w:firstLine="5920" w:firstLineChars="1850"/>
        <w:rPr>
          <w:rFonts w:hint="eastAsia" w:ascii="华文中宋" w:hAnsi="华文中宋" w:eastAsia="华文中宋" w:cs="华文中宋"/>
          <w:color w:val="auto"/>
          <w:sz w:val="32"/>
          <w:szCs w:val="32"/>
          <w:highlight w:val="none"/>
        </w:rPr>
      </w:pPr>
      <w:r>
        <w:rPr>
          <w:rFonts w:hint="eastAsia" w:ascii="华文中宋" w:hAnsi="华文中宋" w:eastAsia="华文中宋" w:cs="华文中宋"/>
          <w:color w:val="auto"/>
          <w:sz w:val="32"/>
          <w:szCs w:val="32"/>
          <w:highlight w:val="none"/>
        </w:rPr>
        <w:t>项目编码：</w:t>
      </w:r>
      <w:r>
        <w:rPr>
          <w:rFonts w:hint="eastAsia" w:ascii="华文中宋" w:hAnsi="华文中宋" w:eastAsia="华文中宋" w:cs="华文中宋"/>
          <w:color w:val="auto"/>
          <w:sz w:val="32"/>
          <w:szCs w:val="32"/>
          <w:highlight w:val="none"/>
          <w:u w:val="single"/>
        </w:rPr>
        <w:t xml:space="preserve">             </w:t>
      </w:r>
    </w:p>
    <w:p w14:paraId="6AC83903">
      <w:pPr>
        <w:pStyle w:val="149"/>
        <w:spacing w:line="640" w:lineRule="exact"/>
        <w:ind w:firstLine="5920" w:firstLineChars="1850"/>
        <w:rPr>
          <w:rFonts w:hint="eastAsia" w:ascii="华文中宋" w:hAnsi="华文中宋" w:eastAsia="华文中宋" w:cs="华文中宋"/>
          <w:color w:val="auto"/>
          <w:sz w:val="32"/>
          <w:szCs w:val="32"/>
          <w:highlight w:val="none"/>
          <w:u w:val="single"/>
        </w:rPr>
      </w:pPr>
      <w:r>
        <w:rPr>
          <w:rFonts w:hint="eastAsia" w:ascii="华文中宋" w:hAnsi="华文中宋" w:eastAsia="华文中宋" w:cs="华文中宋"/>
          <w:color w:val="auto"/>
          <w:sz w:val="32"/>
          <w:szCs w:val="32"/>
          <w:highlight w:val="none"/>
        </w:rPr>
        <w:t>工程编码：</w:t>
      </w:r>
      <w:r>
        <w:rPr>
          <w:rFonts w:hint="eastAsia" w:ascii="华文中宋" w:hAnsi="华文中宋" w:eastAsia="华文中宋" w:cs="华文中宋"/>
          <w:color w:val="auto"/>
          <w:sz w:val="32"/>
          <w:szCs w:val="32"/>
          <w:highlight w:val="none"/>
          <w:u w:val="single"/>
        </w:rPr>
        <w:t xml:space="preserve">             </w:t>
      </w:r>
    </w:p>
    <w:p w14:paraId="0BECD673">
      <w:pPr>
        <w:pStyle w:val="149"/>
        <w:spacing w:line="640" w:lineRule="exact"/>
        <w:ind w:firstLine="5920" w:firstLineChars="1850"/>
        <w:rPr>
          <w:rFonts w:ascii="华文中宋" w:hAnsi="华文中宋" w:eastAsia="华文中宋"/>
          <w:color w:val="auto"/>
          <w:sz w:val="32"/>
          <w:szCs w:val="32"/>
          <w:highlight w:val="none"/>
        </w:rPr>
      </w:pPr>
      <w:r>
        <w:rPr>
          <w:rFonts w:hint="eastAsia" w:ascii="华文中宋" w:hAnsi="华文中宋" w:eastAsia="华文中宋" w:cs="华文中宋"/>
          <w:color w:val="auto"/>
          <w:sz w:val="32"/>
          <w:szCs w:val="32"/>
          <w:highlight w:val="none"/>
        </w:rPr>
        <w:t>合同编号：</w:t>
      </w:r>
      <w:r>
        <w:rPr>
          <w:rFonts w:ascii="华文中宋" w:hAnsi="华文中宋" w:eastAsia="华文中宋" w:cs="华文中宋"/>
          <w:color w:val="auto"/>
          <w:sz w:val="32"/>
          <w:szCs w:val="32"/>
          <w:highlight w:val="none"/>
          <w:u w:val="single"/>
        </w:rPr>
        <w:t xml:space="preserve">             </w:t>
      </w:r>
    </w:p>
    <w:p w14:paraId="0B646C10">
      <w:pPr>
        <w:tabs>
          <w:tab w:val="left" w:pos="3900"/>
          <w:tab w:val="right" w:pos="10245"/>
        </w:tabs>
        <w:wordWrap w:val="0"/>
        <w:spacing w:line="360" w:lineRule="auto"/>
        <w:rPr>
          <w:rFonts w:ascii="宋体"/>
          <w:color w:val="auto"/>
          <w:sz w:val="32"/>
          <w:szCs w:val="32"/>
          <w:highlight w:val="none"/>
          <w:u w:val="single"/>
          <w:lang w:eastAsia="zh-CN"/>
        </w:rPr>
      </w:pPr>
    </w:p>
    <w:p w14:paraId="4262246B">
      <w:pPr>
        <w:spacing w:line="360" w:lineRule="auto"/>
        <w:jc w:val="right"/>
        <w:rPr>
          <w:rFonts w:ascii="宋体"/>
          <w:color w:val="auto"/>
          <w:sz w:val="32"/>
          <w:szCs w:val="32"/>
          <w:highlight w:val="none"/>
          <w:u w:val="single"/>
          <w:lang w:eastAsia="zh-CN"/>
        </w:rPr>
      </w:pPr>
    </w:p>
    <w:p w14:paraId="7F4A114B">
      <w:pPr>
        <w:spacing w:line="360" w:lineRule="auto"/>
        <w:jc w:val="center"/>
        <w:rPr>
          <w:rFonts w:ascii="宋体"/>
          <w:bCs/>
          <w:color w:val="auto"/>
          <w:spacing w:val="-40"/>
          <w:sz w:val="36"/>
          <w:szCs w:val="36"/>
          <w:highlight w:val="none"/>
          <w:lang w:eastAsia="zh-CN"/>
        </w:rPr>
      </w:pPr>
      <w:r>
        <w:rPr>
          <w:rFonts w:hint="eastAsia" w:ascii="宋体" w:hAnsi="宋体" w:cs="宋体"/>
          <w:b/>
          <w:bCs/>
          <w:color w:val="auto"/>
          <w:spacing w:val="-40"/>
          <w:sz w:val="52"/>
          <w:szCs w:val="52"/>
          <w:highlight w:val="none"/>
          <w:lang w:eastAsia="zh-CN"/>
        </w:rPr>
        <w:t>广州市建设工程总承包合同</w:t>
      </w:r>
    </w:p>
    <w:p w14:paraId="6C50CD58">
      <w:pPr>
        <w:tabs>
          <w:tab w:val="left" w:pos="1380"/>
        </w:tabs>
        <w:spacing w:line="360" w:lineRule="auto"/>
        <w:rPr>
          <w:rFonts w:ascii="仿宋" w:hAnsi="仿宋" w:eastAsia="仿宋"/>
          <w:color w:val="auto"/>
          <w:sz w:val="32"/>
          <w:szCs w:val="32"/>
          <w:highlight w:val="none"/>
          <w:u w:val="single"/>
          <w:lang w:eastAsia="zh-CN"/>
        </w:rPr>
      </w:pPr>
      <w:r>
        <w:rPr>
          <w:rFonts w:ascii="宋体"/>
          <w:color w:val="auto"/>
          <w:sz w:val="32"/>
          <w:szCs w:val="32"/>
          <w:highlight w:val="none"/>
          <w:lang w:eastAsia="zh-CN"/>
        </w:rPr>
        <w:t xml:space="preserve"> </w:t>
      </w:r>
    </w:p>
    <w:p w14:paraId="5D63A816">
      <w:pPr>
        <w:spacing w:before="240" w:after="120"/>
        <w:ind w:left="2238" w:leftChars="266" w:hanging="1600" w:hangingChars="500"/>
        <w:rPr>
          <w:rFonts w:ascii="宋体" w:hAnsi="宋体" w:cs="仿宋"/>
          <w:color w:val="auto"/>
          <w:sz w:val="32"/>
          <w:szCs w:val="32"/>
          <w:highlight w:val="none"/>
          <w:u w:val="single"/>
          <w:lang w:eastAsia="zh-CN"/>
        </w:rPr>
      </w:pPr>
      <w:r>
        <w:rPr>
          <w:rFonts w:hint="eastAsia" w:ascii="宋体" w:hAnsi="宋体" w:cs="仿宋"/>
          <w:color w:val="auto"/>
          <w:sz w:val="32"/>
          <w:szCs w:val="32"/>
          <w:highlight w:val="none"/>
          <w:lang w:eastAsia="zh-CN"/>
        </w:rPr>
        <w:t>工程名称：</w:t>
      </w:r>
      <w:r>
        <w:rPr>
          <w:rFonts w:hint="eastAsia" w:ascii="宋体" w:hAnsi="宋体" w:cs="仿宋"/>
          <w:color w:val="auto"/>
          <w:sz w:val="32"/>
          <w:szCs w:val="32"/>
          <w:highlight w:val="none"/>
          <w:u w:val="single"/>
          <w:lang w:val="en-US" w:eastAsia="zh-CN"/>
        </w:rPr>
        <w:t>广州市白云区三元里村城中村改造项目二期安置房(AB3814008)勘察设计施工总承包（EPC）</w:t>
      </w:r>
    </w:p>
    <w:p w14:paraId="46B099C7">
      <w:pPr>
        <w:spacing w:before="240" w:after="120"/>
        <w:ind w:left="2238" w:leftChars="266" w:hanging="1600" w:hangingChars="500"/>
        <w:rPr>
          <w:rFonts w:hint="eastAsia" w:ascii="宋体" w:hAnsi="宋体" w:cs="仿宋"/>
          <w:color w:val="auto"/>
          <w:sz w:val="32"/>
          <w:szCs w:val="32"/>
          <w:highlight w:val="none"/>
          <w:lang w:eastAsia="zh-CN"/>
        </w:rPr>
      </w:pPr>
    </w:p>
    <w:p w14:paraId="4890A753">
      <w:pPr>
        <w:spacing w:before="240" w:after="120"/>
        <w:ind w:left="2238" w:leftChars="266" w:hanging="1600" w:hangingChars="500"/>
        <w:rPr>
          <w:rFonts w:hint="eastAsia" w:ascii="宋体" w:hAnsi="宋体" w:cs="仿宋"/>
          <w:color w:val="auto"/>
          <w:sz w:val="32"/>
          <w:szCs w:val="32"/>
          <w:highlight w:val="none"/>
          <w:lang w:eastAsia="zh-CN"/>
        </w:rPr>
      </w:pPr>
      <w:r>
        <w:rPr>
          <w:rFonts w:hint="eastAsia" w:ascii="宋体" w:hAnsi="宋体" w:cs="仿宋"/>
          <w:color w:val="auto"/>
          <w:sz w:val="32"/>
          <w:szCs w:val="32"/>
          <w:highlight w:val="none"/>
          <w:lang w:eastAsia="zh-CN"/>
        </w:rPr>
        <w:t>工程地点：</w:t>
      </w:r>
      <w:r>
        <w:rPr>
          <w:rFonts w:hint="eastAsia" w:ascii="宋体" w:hAnsi="宋体" w:cs="仿宋"/>
          <w:color w:val="auto"/>
          <w:sz w:val="32"/>
          <w:szCs w:val="32"/>
          <w:highlight w:val="none"/>
          <w:u w:val="single"/>
          <w:lang w:eastAsia="zh"/>
        </w:rPr>
        <w:t>项目为AB3814008地块，位于广州白云区三元里街道，南临三元里大道。</w:t>
      </w:r>
    </w:p>
    <w:p w14:paraId="22C1BD4F">
      <w:pPr>
        <w:spacing w:before="240" w:after="120"/>
        <w:ind w:firstLine="640" w:firstLineChars="200"/>
        <w:rPr>
          <w:rFonts w:ascii="宋体" w:hAnsi="宋体" w:cs="仿宋"/>
          <w:color w:val="auto"/>
          <w:sz w:val="32"/>
          <w:szCs w:val="32"/>
          <w:highlight w:val="none"/>
          <w:u w:val="single"/>
          <w:lang w:eastAsia="zh-CN"/>
        </w:rPr>
      </w:pPr>
      <w:r>
        <w:rPr>
          <w:rFonts w:hint="eastAsia" w:ascii="宋体" w:hAnsi="宋体" w:cs="仿宋"/>
          <w:color w:val="auto"/>
          <w:sz w:val="32"/>
          <w:szCs w:val="32"/>
          <w:highlight w:val="none"/>
          <w:lang w:eastAsia="zh-CN"/>
        </w:rPr>
        <w:t>发</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包</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人（甲方）：</w:t>
      </w:r>
      <w:r>
        <w:rPr>
          <w:rFonts w:hint="eastAsia" w:ascii="宋体" w:hAnsi="宋体" w:cs="仿宋"/>
          <w:color w:val="auto"/>
          <w:sz w:val="32"/>
          <w:szCs w:val="32"/>
          <w:highlight w:val="none"/>
          <w:u w:val="single"/>
          <w:lang w:eastAsia="zh-CN"/>
        </w:rPr>
        <w:t xml:space="preserve">广州三元里片区改造投资有限公司                </w:t>
      </w:r>
    </w:p>
    <w:p w14:paraId="2C09B095">
      <w:pPr>
        <w:spacing w:line="360" w:lineRule="auto"/>
        <w:ind w:left="0" w:leftChars="0" w:firstLine="640" w:firstLineChars="200"/>
        <w:rPr>
          <w:rFonts w:hint="eastAsia" w:ascii="宋体" w:hAnsi="宋体" w:cs="仿宋"/>
          <w:color w:val="auto"/>
          <w:sz w:val="32"/>
          <w:szCs w:val="32"/>
          <w:highlight w:val="none"/>
          <w:lang w:eastAsia="zh-CN"/>
        </w:rPr>
      </w:pPr>
    </w:p>
    <w:p w14:paraId="549A75AC">
      <w:pPr>
        <w:spacing w:line="360" w:lineRule="auto"/>
        <w:ind w:left="0" w:leftChars="0" w:firstLine="640" w:firstLineChars="200"/>
        <w:rPr>
          <w:rFonts w:ascii="宋体"/>
          <w:color w:val="auto"/>
          <w:sz w:val="30"/>
          <w:szCs w:val="30"/>
          <w:highlight w:val="none"/>
          <w:u w:val="single"/>
          <w:lang w:eastAsia="zh-CN"/>
        </w:rPr>
      </w:pPr>
      <w:r>
        <w:rPr>
          <w:rFonts w:hint="eastAsia" w:ascii="宋体" w:hAnsi="宋体" w:cs="仿宋"/>
          <w:color w:val="auto"/>
          <w:sz w:val="32"/>
          <w:szCs w:val="32"/>
          <w:highlight w:val="none"/>
          <w:lang w:eastAsia="zh-CN"/>
        </w:rPr>
        <w:t>承</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包</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人（乙方）：</w:t>
      </w:r>
      <w:r>
        <w:rPr>
          <w:rFonts w:hint="eastAsia" w:ascii="宋体" w:hAnsi="宋体" w:cs="仿宋"/>
          <w:color w:val="auto"/>
          <w:sz w:val="32"/>
          <w:szCs w:val="32"/>
          <w:highlight w:val="none"/>
          <w:u w:val="single"/>
          <w:lang w:eastAsia="zh-CN"/>
        </w:rPr>
        <w:t xml:space="preserve"> </w:t>
      </w:r>
    </w:p>
    <w:p w14:paraId="6C317FEB">
      <w:pPr>
        <w:pStyle w:val="23"/>
        <w:rPr>
          <w:rFonts w:hint="eastAsia"/>
          <w:color w:val="auto"/>
          <w:highlight w:val="none"/>
          <w:lang w:eastAsia="zh-CN"/>
        </w:rPr>
      </w:pPr>
    </w:p>
    <w:p w14:paraId="212A6522">
      <w:pPr>
        <w:spacing w:line="360" w:lineRule="auto"/>
        <w:ind w:firstLine="900" w:firstLineChars="300"/>
        <w:rPr>
          <w:rFonts w:hint="eastAsia" w:ascii="宋体"/>
          <w:color w:val="auto"/>
          <w:sz w:val="30"/>
          <w:szCs w:val="30"/>
          <w:highlight w:val="none"/>
          <w:u w:val="single"/>
          <w:lang w:eastAsia="zh-CN"/>
        </w:rPr>
      </w:pPr>
    </w:p>
    <w:p w14:paraId="3866788B">
      <w:pPr>
        <w:spacing w:line="240" w:lineRule="atLeast"/>
        <w:jc w:val="center"/>
        <w:rPr>
          <w:rFonts w:ascii="宋体"/>
          <w:b/>
          <w:bCs/>
          <w:color w:val="auto"/>
          <w:spacing w:val="50"/>
          <w:sz w:val="32"/>
          <w:szCs w:val="32"/>
          <w:highlight w:val="none"/>
          <w:lang w:eastAsia="zh-CN"/>
        </w:rPr>
      </w:pPr>
      <w:r>
        <w:rPr>
          <w:rFonts w:hint="eastAsia" w:ascii="宋体" w:hAnsi="宋体" w:cs="宋体"/>
          <w:b/>
          <w:bCs/>
          <w:color w:val="auto"/>
          <w:spacing w:val="50"/>
          <w:sz w:val="32"/>
          <w:szCs w:val="32"/>
          <w:highlight w:val="none"/>
          <w:lang w:eastAsia="zh-CN"/>
        </w:rPr>
        <w:t>广州市住房和城乡建设局</w:t>
      </w:r>
    </w:p>
    <w:p w14:paraId="212FDE4E">
      <w:pPr>
        <w:spacing w:line="240" w:lineRule="atLeast"/>
        <w:jc w:val="center"/>
        <w:rPr>
          <w:rFonts w:ascii="宋体"/>
          <w:b/>
          <w:bCs/>
          <w:color w:val="auto"/>
          <w:spacing w:val="20"/>
          <w:sz w:val="32"/>
          <w:szCs w:val="32"/>
          <w:highlight w:val="none"/>
          <w:lang w:eastAsia="zh-CN"/>
        </w:rPr>
      </w:pPr>
      <w:r>
        <w:rPr>
          <w:rFonts w:ascii="宋体" w:hAnsi="宋体" w:cs="宋体"/>
          <w:b/>
          <w:bCs/>
          <w:color w:val="auto"/>
          <w:spacing w:val="20"/>
          <w:sz w:val="32"/>
          <w:szCs w:val="32"/>
          <w:highlight w:val="none"/>
          <w:lang w:eastAsia="zh-CN"/>
        </w:rPr>
        <w:t xml:space="preserve">                            </w:t>
      </w:r>
      <w:r>
        <w:rPr>
          <w:rFonts w:hint="eastAsia" w:ascii="宋体" w:hAnsi="宋体" w:cs="宋体"/>
          <w:b/>
          <w:bCs/>
          <w:color w:val="auto"/>
          <w:spacing w:val="20"/>
          <w:sz w:val="32"/>
          <w:szCs w:val="32"/>
          <w:highlight w:val="none"/>
          <w:lang w:eastAsia="zh-CN"/>
        </w:rPr>
        <w:t>制定</w:t>
      </w:r>
    </w:p>
    <w:p w14:paraId="576B7E4A">
      <w:pPr>
        <w:spacing w:line="240" w:lineRule="atLeast"/>
        <w:ind w:firstLine="2836" w:firstLineChars="607"/>
        <w:rPr>
          <w:rFonts w:hint="eastAsia" w:ascii="宋体" w:hAnsi="宋体" w:cs="宋体"/>
          <w:b/>
          <w:bCs/>
          <w:color w:val="auto"/>
          <w:spacing w:val="73"/>
          <w:sz w:val="32"/>
          <w:szCs w:val="32"/>
          <w:highlight w:val="none"/>
          <w:lang w:eastAsia="zh-CN"/>
        </w:rPr>
      </w:pPr>
      <w:r>
        <w:rPr>
          <w:rFonts w:hint="eastAsia" w:ascii="宋体" w:hAnsi="宋体" w:cs="宋体"/>
          <w:b/>
          <w:bCs/>
          <w:color w:val="auto"/>
          <w:spacing w:val="73"/>
          <w:sz w:val="32"/>
          <w:szCs w:val="32"/>
          <w:highlight w:val="none"/>
          <w:lang w:eastAsia="zh-CN"/>
        </w:rPr>
        <w:t>广州市市场监督管理局</w:t>
      </w:r>
    </w:p>
    <w:p w14:paraId="757882EB">
      <w:pPr>
        <w:pStyle w:val="23"/>
        <w:rPr>
          <w:rFonts w:hint="eastAsia" w:hAnsi="宋体" w:cs="宋体"/>
          <w:b/>
          <w:bCs/>
          <w:color w:val="auto"/>
          <w:spacing w:val="73"/>
          <w:sz w:val="32"/>
          <w:szCs w:val="32"/>
          <w:highlight w:val="none"/>
          <w:lang w:eastAsia="zh-CN"/>
        </w:rPr>
      </w:pPr>
    </w:p>
    <w:p w14:paraId="30F4B44D">
      <w:pPr>
        <w:pStyle w:val="23"/>
        <w:rPr>
          <w:rFonts w:hint="eastAsia" w:hAnsi="宋体" w:cs="宋体"/>
          <w:b/>
          <w:bCs/>
          <w:color w:val="auto"/>
          <w:spacing w:val="73"/>
          <w:sz w:val="32"/>
          <w:szCs w:val="32"/>
          <w:highlight w:val="none"/>
          <w:lang w:eastAsia="zh-CN"/>
        </w:rPr>
      </w:pPr>
    </w:p>
    <w:p w14:paraId="606675CE">
      <w:pPr>
        <w:pStyle w:val="23"/>
        <w:rPr>
          <w:rFonts w:hint="eastAsia" w:hAnsi="宋体" w:cs="宋体"/>
          <w:b/>
          <w:bCs/>
          <w:color w:val="auto"/>
          <w:spacing w:val="73"/>
          <w:sz w:val="32"/>
          <w:szCs w:val="32"/>
          <w:highlight w:val="none"/>
          <w:lang w:eastAsia="zh-CN"/>
        </w:rPr>
      </w:pPr>
    </w:p>
    <w:p w14:paraId="3EFE6479">
      <w:pPr>
        <w:pStyle w:val="23"/>
        <w:rPr>
          <w:rFonts w:hint="eastAsia" w:hAnsi="宋体" w:cs="宋体"/>
          <w:b/>
          <w:bCs/>
          <w:color w:val="auto"/>
          <w:spacing w:val="73"/>
          <w:sz w:val="32"/>
          <w:szCs w:val="32"/>
          <w:highlight w:val="none"/>
          <w:lang w:eastAsia="zh-CN"/>
        </w:rPr>
      </w:pPr>
    </w:p>
    <w:p w14:paraId="759DCE92">
      <w:pPr>
        <w:rPr>
          <w:color w:val="auto"/>
          <w:highlight w:val="none"/>
          <w:lang w:eastAsia="zh-CN"/>
        </w:rPr>
      </w:pPr>
    </w:p>
    <w:p w14:paraId="5E14E5A1">
      <w:pPr>
        <w:tabs>
          <w:tab w:val="center" w:pos="5161"/>
          <w:tab w:val="left" w:pos="8861"/>
        </w:tabs>
        <w:rPr>
          <w:rFonts w:hint="eastAsia" w:cs="宋体"/>
          <w:b/>
          <w:color w:val="auto"/>
          <w:sz w:val="36"/>
          <w:szCs w:val="36"/>
          <w:highlight w:val="none"/>
          <w:lang w:eastAsia="zh-CN"/>
        </w:rPr>
      </w:pPr>
      <w:r>
        <w:rPr>
          <w:rFonts w:hint="eastAsia" w:cs="宋体"/>
          <w:b/>
          <w:color w:val="auto"/>
          <w:sz w:val="36"/>
          <w:szCs w:val="36"/>
          <w:highlight w:val="none"/>
          <w:lang w:eastAsia="zh-CN"/>
        </w:rPr>
        <w:tab/>
      </w:r>
      <w:r>
        <w:rPr>
          <w:rFonts w:hint="eastAsia" w:cs="宋体"/>
          <w:b/>
          <w:color w:val="auto"/>
          <w:sz w:val="36"/>
          <w:szCs w:val="36"/>
          <w:highlight w:val="none"/>
          <w:lang w:eastAsia="zh-CN"/>
        </w:rPr>
        <w:t>目</w:t>
      </w:r>
      <w:r>
        <w:rPr>
          <w:b/>
          <w:color w:val="auto"/>
          <w:sz w:val="36"/>
          <w:szCs w:val="36"/>
          <w:highlight w:val="none"/>
          <w:lang w:eastAsia="zh-CN"/>
        </w:rPr>
        <w:t xml:space="preserve">   </w:t>
      </w:r>
      <w:r>
        <w:rPr>
          <w:rFonts w:hint="eastAsia" w:cs="宋体"/>
          <w:b/>
          <w:color w:val="auto"/>
          <w:sz w:val="36"/>
          <w:szCs w:val="36"/>
          <w:highlight w:val="none"/>
          <w:lang w:eastAsia="zh-CN"/>
        </w:rPr>
        <w:t>录</w:t>
      </w:r>
      <w:r>
        <w:rPr>
          <w:rFonts w:hint="eastAsia" w:cs="宋体"/>
          <w:b/>
          <w:color w:val="auto"/>
          <w:sz w:val="36"/>
          <w:szCs w:val="36"/>
          <w:highlight w:val="none"/>
          <w:lang w:eastAsia="zh-CN"/>
        </w:rPr>
        <w:tab/>
      </w:r>
    </w:p>
    <w:p w14:paraId="491B688B">
      <w:pPr>
        <w:pStyle w:val="30"/>
        <w:tabs>
          <w:tab w:val="right" w:leader="dot" w:pos="10204"/>
        </w:tabs>
        <w:rPr>
          <w:color w:val="auto"/>
          <w:highlight w:val="none"/>
        </w:rPr>
      </w:pPr>
      <w:r>
        <w:rPr>
          <w:rFonts w:hint="eastAsia" w:ascii="仿宋" w:hAnsi="仿宋" w:eastAsia="仿宋" w:cs="宋体"/>
          <w:color w:val="auto"/>
          <w:sz w:val="24"/>
          <w:szCs w:val="24"/>
          <w:highlight w:val="none"/>
        </w:rPr>
        <w:fldChar w:fldCharType="begin"/>
      </w:r>
      <w:r>
        <w:rPr>
          <w:rStyle w:val="51"/>
          <w:rFonts w:hint="eastAsia" w:ascii="仿宋" w:hAnsi="仿宋" w:eastAsia="仿宋" w:cs="宋体"/>
          <w:color w:val="auto"/>
          <w:sz w:val="24"/>
          <w:szCs w:val="24"/>
          <w:highlight w:val="none"/>
        </w:rPr>
        <w:instrText xml:space="preserve">TOC \o "1-3" \h \u </w:instrText>
      </w:r>
      <w:r>
        <w:rPr>
          <w:rFonts w:hint="eastAsia" w:ascii="仿宋" w:hAnsi="仿宋" w:eastAsia="仿宋" w:cs="宋体"/>
          <w:color w:val="auto"/>
          <w:sz w:val="24"/>
          <w:szCs w:val="24"/>
          <w:highlight w:val="none"/>
        </w:rPr>
        <w:fldChar w:fldCharType="separate"/>
      </w:r>
      <w:r>
        <w:rPr>
          <w:rFonts w:hint="eastAsia" w:ascii="仿宋" w:hAnsi="仿宋" w:eastAsia="仿宋" w:cs="宋体"/>
          <w:caps w:val="0"/>
          <w:color w:val="auto"/>
          <w:szCs w:val="24"/>
          <w:highlight w:val="none"/>
        </w:rPr>
        <w:fldChar w:fldCharType="begin"/>
      </w:r>
      <w:r>
        <w:rPr>
          <w:rFonts w:hint="eastAsia" w:ascii="仿宋" w:hAnsi="仿宋" w:eastAsia="仿宋" w:cs="宋体"/>
          <w:caps w:val="0"/>
          <w:color w:val="auto"/>
          <w:szCs w:val="24"/>
          <w:highlight w:val="none"/>
        </w:rPr>
        <w:instrText xml:space="preserve"> HYPERLINK \l _Toc18643 </w:instrText>
      </w:r>
      <w:r>
        <w:rPr>
          <w:rFonts w:hint="eastAsia" w:ascii="仿宋" w:hAnsi="仿宋" w:eastAsia="仿宋" w:cs="宋体"/>
          <w:caps w:val="0"/>
          <w:color w:val="auto"/>
          <w:szCs w:val="24"/>
          <w:highlight w:val="none"/>
        </w:rPr>
        <w:fldChar w:fldCharType="separate"/>
      </w:r>
      <w:r>
        <w:rPr>
          <w:rFonts w:hint="eastAsia" w:ascii="宋体" w:hAnsi="宋体" w:cs="宋体"/>
          <w:color w:val="auto"/>
          <w:szCs w:val="36"/>
          <w:highlight w:val="none"/>
          <w:lang w:eastAsia="zh-CN"/>
        </w:rPr>
        <w:t>第一部分</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协</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议</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书</w:t>
      </w:r>
      <w:r>
        <w:rPr>
          <w:color w:val="auto"/>
          <w:highlight w:val="none"/>
        </w:rPr>
        <w:tab/>
      </w:r>
      <w:r>
        <w:rPr>
          <w:color w:val="auto"/>
          <w:highlight w:val="none"/>
        </w:rPr>
        <w:fldChar w:fldCharType="begin"/>
      </w:r>
      <w:r>
        <w:rPr>
          <w:color w:val="auto"/>
          <w:highlight w:val="none"/>
        </w:rPr>
        <w:instrText xml:space="preserve"> PAGEREF _Toc18643 \h </w:instrText>
      </w:r>
      <w:r>
        <w:rPr>
          <w:color w:val="auto"/>
          <w:highlight w:val="none"/>
        </w:rPr>
        <w:fldChar w:fldCharType="separate"/>
      </w:r>
      <w:r>
        <w:rPr>
          <w:color w:val="auto"/>
          <w:highlight w:val="none"/>
        </w:rPr>
        <w:t>1</w:t>
      </w:r>
      <w:r>
        <w:rPr>
          <w:color w:val="auto"/>
          <w:highlight w:val="none"/>
        </w:rPr>
        <w:fldChar w:fldCharType="end"/>
      </w:r>
      <w:r>
        <w:rPr>
          <w:rFonts w:hint="eastAsia" w:ascii="仿宋" w:hAnsi="仿宋" w:eastAsia="仿宋" w:cs="宋体"/>
          <w:caps w:val="0"/>
          <w:color w:val="auto"/>
          <w:szCs w:val="24"/>
          <w:highlight w:val="none"/>
        </w:rPr>
        <w:fldChar w:fldCharType="end"/>
      </w:r>
    </w:p>
    <w:p w14:paraId="3E12A385">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_Toc23502 </w:instrText>
      </w:r>
      <w:r>
        <w:rPr>
          <w:rFonts w:hint="eastAsia" w:ascii="仿宋" w:hAnsi="仿宋" w:eastAsia="仿宋" w:cs="宋体"/>
          <w:caps/>
          <w:color w:val="auto"/>
          <w:szCs w:val="24"/>
          <w:highlight w:val="none"/>
        </w:rPr>
        <w:fldChar w:fldCharType="separate"/>
      </w:r>
      <w:r>
        <w:rPr>
          <w:rFonts w:hint="eastAsia" w:ascii="仿宋" w:hAnsi="仿宋" w:eastAsia="仿宋" w:cs="仿宋"/>
          <w:bCs/>
          <w:color w:val="auto"/>
          <w:highlight w:val="none"/>
          <w:lang w:eastAsia="zh-CN"/>
        </w:rPr>
        <w:t>一、工程概况</w:t>
      </w:r>
      <w:r>
        <w:rPr>
          <w:color w:val="auto"/>
          <w:highlight w:val="none"/>
        </w:rPr>
        <w:tab/>
      </w:r>
      <w:r>
        <w:rPr>
          <w:color w:val="auto"/>
          <w:highlight w:val="none"/>
        </w:rPr>
        <w:fldChar w:fldCharType="begin"/>
      </w:r>
      <w:r>
        <w:rPr>
          <w:color w:val="auto"/>
          <w:highlight w:val="none"/>
        </w:rPr>
        <w:instrText xml:space="preserve"> PAGEREF _Toc23502 \h </w:instrText>
      </w:r>
      <w:r>
        <w:rPr>
          <w:color w:val="auto"/>
          <w:highlight w:val="none"/>
        </w:rPr>
        <w:fldChar w:fldCharType="separate"/>
      </w:r>
      <w:r>
        <w:rPr>
          <w:color w:val="auto"/>
          <w:highlight w:val="none"/>
        </w:rPr>
        <w:t>1</w:t>
      </w:r>
      <w:r>
        <w:rPr>
          <w:color w:val="auto"/>
          <w:highlight w:val="none"/>
        </w:rPr>
        <w:fldChar w:fldCharType="end"/>
      </w:r>
      <w:r>
        <w:rPr>
          <w:rFonts w:hint="eastAsia" w:ascii="仿宋" w:hAnsi="仿宋" w:eastAsia="仿宋" w:cs="宋体"/>
          <w:caps/>
          <w:color w:val="auto"/>
          <w:szCs w:val="24"/>
          <w:highlight w:val="none"/>
        </w:rPr>
        <w:fldChar w:fldCharType="end"/>
      </w:r>
    </w:p>
    <w:p w14:paraId="2446A9C1">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_Toc1869 </w:instrText>
      </w:r>
      <w:r>
        <w:rPr>
          <w:rFonts w:hint="eastAsia" w:ascii="仿宋" w:hAnsi="仿宋" w:eastAsia="仿宋" w:cs="宋体"/>
          <w:caps/>
          <w:color w:val="auto"/>
          <w:szCs w:val="24"/>
          <w:highlight w:val="none"/>
        </w:rPr>
        <w:fldChar w:fldCharType="separate"/>
      </w:r>
      <w:r>
        <w:rPr>
          <w:rFonts w:hint="eastAsia" w:ascii="仿宋" w:hAnsi="仿宋" w:eastAsia="仿宋" w:cs="仿宋"/>
          <w:bCs/>
          <w:color w:val="auto"/>
          <w:highlight w:val="none"/>
          <w:lang w:eastAsia="zh-CN"/>
        </w:rPr>
        <w:t>二、总承包范围与工程内容</w:t>
      </w:r>
      <w:r>
        <w:rPr>
          <w:color w:val="auto"/>
          <w:highlight w:val="none"/>
        </w:rPr>
        <w:tab/>
      </w:r>
      <w:r>
        <w:rPr>
          <w:color w:val="auto"/>
          <w:highlight w:val="none"/>
        </w:rPr>
        <w:fldChar w:fldCharType="begin"/>
      </w:r>
      <w:r>
        <w:rPr>
          <w:color w:val="auto"/>
          <w:highlight w:val="none"/>
        </w:rPr>
        <w:instrText xml:space="preserve"> PAGEREF _Toc1869 \h </w:instrText>
      </w:r>
      <w:r>
        <w:rPr>
          <w:color w:val="auto"/>
          <w:highlight w:val="none"/>
        </w:rPr>
        <w:fldChar w:fldCharType="separate"/>
      </w:r>
      <w:r>
        <w:rPr>
          <w:color w:val="auto"/>
          <w:highlight w:val="none"/>
        </w:rPr>
        <w:t>2</w:t>
      </w:r>
      <w:r>
        <w:rPr>
          <w:color w:val="auto"/>
          <w:highlight w:val="none"/>
        </w:rPr>
        <w:fldChar w:fldCharType="end"/>
      </w:r>
      <w:r>
        <w:rPr>
          <w:rFonts w:hint="eastAsia" w:ascii="仿宋" w:hAnsi="仿宋" w:eastAsia="仿宋" w:cs="宋体"/>
          <w:caps/>
          <w:color w:val="auto"/>
          <w:szCs w:val="24"/>
          <w:highlight w:val="none"/>
        </w:rPr>
        <w:fldChar w:fldCharType="end"/>
      </w:r>
    </w:p>
    <w:p w14:paraId="47B2D2A0">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_Toc12244 </w:instrText>
      </w:r>
      <w:r>
        <w:rPr>
          <w:rFonts w:hint="eastAsia" w:ascii="仿宋" w:hAnsi="仿宋" w:eastAsia="仿宋" w:cs="宋体"/>
          <w:caps/>
          <w:color w:val="auto"/>
          <w:szCs w:val="24"/>
          <w:highlight w:val="none"/>
        </w:rPr>
        <w:fldChar w:fldCharType="separate"/>
      </w:r>
      <w:r>
        <w:rPr>
          <w:rFonts w:hint="eastAsia" w:ascii="仿宋" w:hAnsi="仿宋" w:eastAsia="仿宋" w:cs="仿宋"/>
          <w:bCs/>
          <w:color w:val="auto"/>
          <w:highlight w:val="none"/>
          <w:lang w:eastAsia="zh-CN"/>
        </w:rPr>
        <w:t>★三、质量标准和要求</w:t>
      </w:r>
      <w:r>
        <w:rPr>
          <w:color w:val="auto"/>
          <w:highlight w:val="none"/>
        </w:rPr>
        <w:tab/>
      </w:r>
      <w:r>
        <w:rPr>
          <w:color w:val="auto"/>
          <w:highlight w:val="none"/>
        </w:rPr>
        <w:fldChar w:fldCharType="begin"/>
      </w:r>
      <w:r>
        <w:rPr>
          <w:color w:val="auto"/>
          <w:highlight w:val="none"/>
        </w:rPr>
        <w:instrText xml:space="preserve"> PAGEREF _Toc12244 \h </w:instrText>
      </w:r>
      <w:r>
        <w:rPr>
          <w:color w:val="auto"/>
          <w:highlight w:val="none"/>
        </w:rPr>
        <w:fldChar w:fldCharType="separate"/>
      </w:r>
      <w:r>
        <w:rPr>
          <w:color w:val="auto"/>
          <w:highlight w:val="none"/>
        </w:rPr>
        <w:t>16</w:t>
      </w:r>
      <w:r>
        <w:rPr>
          <w:color w:val="auto"/>
          <w:highlight w:val="none"/>
        </w:rPr>
        <w:fldChar w:fldCharType="end"/>
      </w:r>
      <w:r>
        <w:rPr>
          <w:rFonts w:hint="eastAsia" w:ascii="仿宋" w:hAnsi="仿宋" w:eastAsia="仿宋" w:cs="宋体"/>
          <w:caps/>
          <w:color w:val="auto"/>
          <w:szCs w:val="24"/>
          <w:highlight w:val="none"/>
        </w:rPr>
        <w:fldChar w:fldCharType="end"/>
      </w:r>
    </w:p>
    <w:p w14:paraId="2B5FB0B2">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_Toc27814 </w:instrText>
      </w:r>
      <w:r>
        <w:rPr>
          <w:rFonts w:hint="eastAsia" w:ascii="仿宋" w:hAnsi="仿宋" w:eastAsia="仿宋" w:cs="宋体"/>
          <w:caps/>
          <w:color w:val="auto"/>
          <w:szCs w:val="24"/>
          <w:highlight w:val="none"/>
        </w:rPr>
        <w:fldChar w:fldCharType="separate"/>
      </w:r>
      <w:r>
        <w:rPr>
          <w:rFonts w:hint="eastAsia" w:ascii="仿宋" w:hAnsi="仿宋" w:eastAsia="仿宋" w:cs="仿宋"/>
          <w:bCs/>
          <w:color w:val="auto"/>
          <w:highlight w:val="none"/>
          <w:lang w:eastAsia="zh-CN"/>
        </w:rPr>
        <w:t>四、创优目标</w:t>
      </w:r>
      <w:r>
        <w:rPr>
          <w:color w:val="auto"/>
          <w:highlight w:val="none"/>
        </w:rPr>
        <w:tab/>
      </w:r>
      <w:r>
        <w:rPr>
          <w:color w:val="auto"/>
          <w:highlight w:val="none"/>
        </w:rPr>
        <w:fldChar w:fldCharType="begin"/>
      </w:r>
      <w:r>
        <w:rPr>
          <w:color w:val="auto"/>
          <w:highlight w:val="none"/>
        </w:rPr>
        <w:instrText xml:space="preserve"> PAGEREF _Toc27814 \h </w:instrText>
      </w:r>
      <w:r>
        <w:rPr>
          <w:color w:val="auto"/>
          <w:highlight w:val="none"/>
        </w:rPr>
        <w:fldChar w:fldCharType="separate"/>
      </w:r>
      <w:r>
        <w:rPr>
          <w:color w:val="auto"/>
          <w:highlight w:val="none"/>
        </w:rPr>
        <w:t>21</w:t>
      </w:r>
      <w:r>
        <w:rPr>
          <w:color w:val="auto"/>
          <w:highlight w:val="none"/>
        </w:rPr>
        <w:fldChar w:fldCharType="end"/>
      </w:r>
      <w:r>
        <w:rPr>
          <w:rFonts w:hint="eastAsia" w:ascii="仿宋" w:hAnsi="仿宋" w:eastAsia="仿宋" w:cs="宋体"/>
          <w:caps/>
          <w:color w:val="auto"/>
          <w:szCs w:val="24"/>
          <w:highlight w:val="none"/>
        </w:rPr>
        <w:fldChar w:fldCharType="end"/>
      </w:r>
    </w:p>
    <w:p w14:paraId="25BFC4EF">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_Toc1002 </w:instrText>
      </w:r>
      <w:r>
        <w:rPr>
          <w:rFonts w:hint="eastAsia" w:ascii="仿宋" w:hAnsi="仿宋" w:eastAsia="仿宋" w:cs="宋体"/>
          <w:caps/>
          <w:color w:val="auto"/>
          <w:szCs w:val="24"/>
          <w:highlight w:val="none"/>
        </w:rPr>
        <w:fldChar w:fldCharType="separate"/>
      </w:r>
      <w:r>
        <w:rPr>
          <w:rFonts w:hint="eastAsia" w:ascii="仿宋" w:hAnsi="仿宋" w:eastAsia="仿宋" w:cs="仿宋"/>
          <w:bCs/>
          <w:color w:val="auto"/>
          <w:highlight w:val="none"/>
          <w:lang w:eastAsia="zh-CN"/>
        </w:rPr>
        <w:t>五、创文明工地目标</w:t>
      </w:r>
      <w:r>
        <w:rPr>
          <w:color w:val="auto"/>
          <w:highlight w:val="none"/>
        </w:rPr>
        <w:tab/>
      </w:r>
      <w:r>
        <w:rPr>
          <w:color w:val="auto"/>
          <w:highlight w:val="none"/>
        </w:rPr>
        <w:fldChar w:fldCharType="begin"/>
      </w:r>
      <w:r>
        <w:rPr>
          <w:color w:val="auto"/>
          <w:highlight w:val="none"/>
        </w:rPr>
        <w:instrText xml:space="preserve"> PAGEREF _Toc1002 \h </w:instrText>
      </w:r>
      <w:r>
        <w:rPr>
          <w:color w:val="auto"/>
          <w:highlight w:val="none"/>
        </w:rPr>
        <w:fldChar w:fldCharType="separate"/>
      </w:r>
      <w:r>
        <w:rPr>
          <w:color w:val="auto"/>
          <w:highlight w:val="none"/>
        </w:rPr>
        <w:t>21</w:t>
      </w:r>
      <w:r>
        <w:rPr>
          <w:color w:val="auto"/>
          <w:highlight w:val="none"/>
        </w:rPr>
        <w:fldChar w:fldCharType="end"/>
      </w:r>
      <w:r>
        <w:rPr>
          <w:rFonts w:hint="eastAsia" w:ascii="仿宋" w:hAnsi="仿宋" w:eastAsia="仿宋" w:cs="宋体"/>
          <w:caps/>
          <w:color w:val="auto"/>
          <w:szCs w:val="24"/>
          <w:highlight w:val="none"/>
        </w:rPr>
        <w:fldChar w:fldCharType="end"/>
      </w:r>
    </w:p>
    <w:p w14:paraId="0A50C9F8">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_Toc16932 </w:instrText>
      </w:r>
      <w:r>
        <w:rPr>
          <w:rFonts w:hint="eastAsia" w:ascii="仿宋" w:hAnsi="仿宋" w:eastAsia="仿宋" w:cs="宋体"/>
          <w:caps/>
          <w:color w:val="auto"/>
          <w:szCs w:val="24"/>
          <w:highlight w:val="none"/>
        </w:rPr>
        <w:fldChar w:fldCharType="separate"/>
      </w:r>
      <w:r>
        <w:rPr>
          <w:rFonts w:hint="eastAsia" w:ascii="仿宋" w:hAnsi="仿宋" w:eastAsia="仿宋" w:cs="仿宋"/>
          <w:bCs/>
          <w:color w:val="auto"/>
          <w:highlight w:val="none"/>
          <w:lang w:eastAsia="zh-CN"/>
        </w:rPr>
        <w:t>六、职业健康安全管理目标和环境管理目标</w:t>
      </w:r>
      <w:r>
        <w:rPr>
          <w:color w:val="auto"/>
          <w:highlight w:val="none"/>
        </w:rPr>
        <w:tab/>
      </w:r>
      <w:r>
        <w:rPr>
          <w:color w:val="auto"/>
          <w:highlight w:val="none"/>
        </w:rPr>
        <w:fldChar w:fldCharType="begin"/>
      </w:r>
      <w:r>
        <w:rPr>
          <w:color w:val="auto"/>
          <w:highlight w:val="none"/>
        </w:rPr>
        <w:instrText xml:space="preserve"> PAGEREF _Toc16932 \h </w:instrText>
      </w:r>
      <w:r>
        <w:rPr>
          <w:color w:val="auto"/>
          <w:highlight w:val="none"/>
        </w:rPr>
        <w:fldChar w:fldCharType="separate"/>
      </w:r>
      <w:r>
        <w:rPr>
          <w:color w:val="auto"/>
          <w:highlight w:val="none"/>
        </w:rPr>
        <w:t>21</w:t>
      </w:r>
      <w:r>
        <w:rPr>
          <w:color w:val="auto"/>
          <w:highlight w:val="none"/>
        </w:rPr>
        <w:fldChar w:fldCharType="end"/>
      </w:r>
      <w:r>
        <w:rPr>
          <w:rFonts w:hint="eastAsia" w:ascii="仿宋" w:hAnsi="仿宋" w:eastAsia="仿宋" w:cs="宋体"/>
          <w:caps/>
          <w:color w:val="auto"/>
          <w:szCs w:val="24"/>
          <w:highlight w:val="none"/>
        </w:rPr>
        <w:fldChar w:fldCharType="end"/>
      </w:r>
    </w:p>
    <w:p w14:paraId="6EDCED27">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_Toc29659 </w:instrText>
      </w:r>
      <w:r>
        <w:rPr>
          <w:rFonts w:hint="eastAsia" w:ascii="仿宋" w:hAnsi="仿宋" w:eastAsia="仿宋" w:cs="宋体"/>
          <w:caps/>
          <w:color w:val="auto"/>
          <w:szCs w:val="24"/>
          <w:highlight w:val="none"/>
        </w:rPr>
        <w:fldChar w:fldCharType="separate"/>
      </w:r>
      <w:r>
        <w:rPr>
          <w:rFonts w:hint="eastAsia" w:ascii="仿宋" w:hAnsi="仿宋" w:eastAsia="仿宋" w:cs="仿宋"/>
          <w:bCs/>
          <w:color w:val="auto"/>
          <w:highlight w:val="none"/>
          <w:lang w:eastAsia="zh-CN"/>
        </w:rPr>
        <w:t>七、合同工期</w:t>
      </w:r>
      <w:r>
        <w:rPr>
          <w:color w:val="auto"/>
          <w:highlight w:val="none"/>
        </w:rPr>
        <w:tab/>
      </w:r>
      <w:r>
        <w:rPr>
          <w:color w:val="auto"/>
          <w:highlight w:val="none"/>
        </w:rPr>
        <w:fldChar w:fldCharType="begin"/>
      </w:r>
      <w:r>
        <w:rPr>
          <w:color w:val="auto"/>
          <w:highlight w:val="none"/>
        </w:rPr>
        <w:instrText xml:space="preserve"> PAGEREF _Toc29659 \h </w:instrText>
      </w:r>
      <w:r>
        <w:rPr>
          <w:color w:val="auto"/>
          <w:highlight w:val="none"/>
        </w:rPr>
        <w:fldChar w:fldCharType="separate"/>
      </w:r>
      <w:r>
        <w:rPr>
          <w:color w:val="auto"/>
          <w:highlight w:val="none"/>
        </w:rPr>
        <w:t>22</w:t>
      </w:r>
      <w:r>
        <w:rPr>
          <w:color w:val="auto"/>
          <w:highlight w:val="none"/>
        </w:rPr>
        <w:fldChar w:fldCharType="end"/>
      </w:r>
      <w:r>
        <w:rPr>
          <w:rFonts w:hint="eastAsia" w:ascii="仿宋" w:hAnsi="仿宋" w:eastAsia="仿宋" w:cs="宋体"/>
          <w:caps/>
          <w:color w:val="auto"/>
          <w:szCs w:val="24"/>
          <w:highlight w:val="none"/>
        </w:rPr>
        <w:fldChar w:fldCharType="end"/>
      </w:r>
    </w:p>
    <w:p w14:paraId="0A4425D4">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_Toc28723 </w:instrText>
      </w:r>
      <w:r>
        <w:rPr>
          <w:rFonts w:hint="eastAsia" w:ascii="仿宋" w:hAnsi="仿宋" w:eastAsia="仿宋" w:cs="宋体"/>
          <w:caps/>
          <w:color w:val="auto"/>
          <w:szCs w:val="24"/>
          <w:highlight w:val="none"/>
        </w:rPr>
        <w:fldChar w:fldCharType="separate"/>
      </w:r>
      <w:r>
        <w:rPr>
          <w:rFonts w:hint="eastAsia" w:ascii="仿宋" w:hAnsi="仿宋" w:eastAsia="仿宋" w:cs="仿宋"/>
          <w:bCs/>
          <w:color w:val="auto"/>
          <w:highlight w:val="none"/>
          <w:lang w:eastAsia="zh-CN"/>
        </w:rPr>
        <w:t>八、签约合同价与合同价格形式</w:t>
      </w:r>
      <w:r>
        <w:rPr>
          <w:color w:val="auto"/>
          <w:highlight w:val="none"/>
        </w:rPr>
        <w:tab/>
      </w:r>
      <w:r>
        <w:rPr>
          <w:color w:val="auto"/>
          <w:highlight w:val="none"/>
        </w:rPr>
        <w:fldChar w:fldCharType="begin"/>
      </w:r>
      <w:r>
        <w:rPr>
          <w:color w:val="auto"/>
          <w:highlight w:val="none"/>
        </w:rPr>
        <w:instrText xml:space="preserve"> PAGEREF _Toc28723 \h </w:instrText>
      </w:r>
      <w:r>
        <w:rPr>
          <w:color w:val="auto"/>
          <w:highlight w:val="none"/>
        </w:rPr>
        <w:fldChar w:fldCharType="separate"/>
      </w:r>
      <w:r>
        <w:rPr>
          <w:color w:val="auto"/>
          <w:highlight w:val="none"/>
        </w:rPr>
        <w:t>23</w:t>
      </w:r>
      <w:r>
        <w:rPr>
          <w:color w:val="auto"/>
          <w:highlight w:val="none"/>
        </w:rPr>
        <w:fldChar w:fldCharType="end"/>
      </w:r>
      <w:r>
        <w:rPr>
          <w:rFonts w:hint="eastAsia" w:ascii="仿宋" w:hAnsi="仿宋" w:eastAsia="仿宋" w:cs="宋体"/>
          <w:caps/>
          <w:color w:val="auto"/>
          <w:szCs w:val="24"/>
          <w:highlight w:val="none"/>
        </w:rPr>
        <w:fldChar w:fldCharType="end"/>
      </w:r>
    </w:p>
    <w:p w14:paraId="4DB18C89">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_Toc673 </w:instrText>
      </w:r>
      <w:r>
        <w:rPr>
          <w:rFonts w:hint="eastAsia" w:ascii="仿宋" w:hAnsi="仿宋" w:eastAsia="仿宋" w:cs="宋体"/>
          <w:caps/>
          <w:color w:val="auto"/>
          <w:szCs w:val="24"/>
          <w:highlight w:val="none"/>
        </w:rPr>
        <w:fldChar w:fldCharType="separate"/>
      </w:r>
      <w:r>
        <w:rPr>
          <w:rFonts w:hint="eastAsia" w:ascii="仿宋" w:hAnsi="仿宋" w:eastAsia="仿宋" w:cs="仿宋"/>
          <w:bCs/>
          <w:color w:val="auto"/>
          <w:highlight w:val="none"/>
          <w:lang w:eastAsia="zh-CN"/>
        </w:rPr>
        <w:t>★九、工人工资支付分账、建筑安装工程费支付专户</w:t>
      </w:r>
      <w:r>
        <w:rPr>
          <w:color w:val="auto"/>
          <w:highlight w:val="none"/>
        </w:rPr>
        <w:tab/>
      </w:r>
      <w:r>
        <w:rPr>
          <w:color w:val="auto"/>
          <w:highlight w:val="none"/>
        </w:rPr>
        <w:fldChar w:fldCharType="begin"/>
      </w:r>
      <w:r>
        <w:rPr>
          <w:color w:val="auto"/>
          <w:highlight w:val="none"/>
        </w:rPr>
        <w:instrText xml:space="preserve"> PAGEREF _Toc673 \h </w:instrText>
      </w:r>
      <w:r>
        <w:rPr>
          <w:color w:val="auto"/>
          <w:highlight w:val="none"/>
        </w:rPr>
        <w:fldChar w:fldCharType="separate"/>
      </w:r>
      <w:r>
        <w:rPr>
          <w:color w:val="auto"/>
          <w:highlight w:val="none"/>
        </w:rPr>
        <w:t>26</w:t>
      </w:r>
      <w:r>
        <w:rPr>
          <w:color w:val="auto"/>
          <w:highlight w:val="none"/>
        </w:rPr>
        <w:fldChar w:fldCharType="end"/>
      </w:r>
      <w:r>
        <w:rPr>
          <w:rFonts w:hint="eastAsia" w:ascii="仿宋" w:hAnsi="仿宋" w:eastAsia="仿宋" w:cs="宋体"/>
          <w:caps/>
          <w:color w:val="auto"/>
          <w:szCs w:val="24"/>
          <w:highlight w:val="none"/>
        </w:rPr>
        <w:fldChar w:fldCharType="end"/>
      </w:r>
    </w:p>
    <w:p w14:paraId="4162ECFC">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_Toc16680 </w:instrText>
      </w:r>
      <w:r>
        <w:rPr>
          <w:rFonts w:hint="eastAsia" w:ascii="仿宋" w:hAnsi="仿宋" w:eastAsia="仿宋" w:cs="宋体"/>
          <w:caps/>
          <w:color w:val="auto"/>
          <w:szCs w:val="24"/>
          <w:highlight w:val="none"/>
        </w:rPr>
        <w:fldChar w:fldCharType="separate"/>
      </w:r>
      <w:r>
        <w:rPr>
          <w:rFonts w:hint="eastAsia" w:ascii="仿宋" w:hAnsi="仿宋" w:eastAsia="仿宋" w:cs="仿宋"/>
          <w:bCs/>
          <w:color w:val="auto"/>
          <w:highlight w:val="none"/>
          <w:lang w:eastAsia="zh-CN"/>
        </w:rPr>
        <w:t>十、投资控制</w:t>
      </w:r>
      <w:r>
        <w:rPr>
          <w:color w:val="auto"/>
          <w:highlight w:val="none"/>
        </w:rPr>
        <w:tab/>
      </w:r>
      <w:r>
        <w:rPr>
          <w:color w:val="auto"/>
          <w:highlight w:val="none"/>
        </w:rPr>
        <w:fldChar w:fldCharType="begin"/>
      </w:r>
      <w:r>
        <w:rPr>
          <w:color w:val="auto"/>
          <w:highlight w:val="none"/>
        </w:rPr>
        <w:instrText xml:space="preserve"> PAGEREF _Toc16680 \h </w:instrText>
      </w:r>
      <w:r>
        <w:rPr>
          <w:color w:val="auto"/>
          <w:highlight w:val="none"/>
        </w:rPr>
        <w:fldChar w:fldCharType="separate"/>
      </w:r>
      <w:r>
        <w:rPr>
          <w:color w:val="auto"/>
          <w:highlight w:val="none"/>
        </w:rPr>
        <w:t>27</w:t>
      </w:r>
      <w:r>
        <w:rPr>
          <w:color w:val="auto"/>
          <w:highlight w:val="none"/>
        </w:rPr>
        <w:fldChar w:fldCharType="end"/>
      </w:r>
      <w:r>
        <w:rPr>
          <w:rFonts w:hint="eastAsia" w:ascii="仿宋" w:hAnsi="仿宋" w:eastAsia="仿宋" w:cs="宋体"/>
          <w:caps/>
          <w:color w:val="auto"/>
          <w:szCs w:val="24"/>
          <w:highlight w:val="none"/>
        </w:rPr>
        <w:fldChar w:fldCharType="end"/>
      </w:r>
    </w:p>
    <w:p w14:paraId="4B59E70B">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_Toc16274 </w:instrText>
      </w:r>
      <w:r>
        <w:rPr>
          <w:rFonts w:hint="eastAsia" w:ascii="仿宋" w:hAnsi="仿宋" w:eastAsia="仿宋" w:cs="宋体"/>
          <w:caps/>
          <w:color w:val="auto"/>
          <w:szCs w:val="24"/>
          <w:highlight w:val="none"/>
        </w:rPr>
        <w:fldChar w:fldCharType="separate"/>
      </w:r>
      <w:r>
        <w:rPr>
          <w:rFonts w:hint="eastAsia" w:ascii="仿宋" w:hAnsi="仿宋" w:eastAsia="仿宋" w:cs="仿宋"/>
          <w:bCs/>
          <w:color w:val="auto"/>
          <w:highlight w:val="none"/>
          <w:lang w:eastAsia="zh-CN"/>
        </w:rPr>
        <w:t>十一、组成合同的文件</w:t>
      </w:r>
      <w:r>
        <w:rPr>
          <w:color w:val="auto"/>
          <w:highlight w:val="none"/>
        </w:rPr>
        <w:tab/>
      </w:r>
      <w:r>
        <w:rPr>
          <w:color w:val="auto"/>
          <w:highlight w:val="none"/>
        </w:rPr>
        <w:fldChar w:fldCharType="begin"/>
      </w:r>
      <w:r>
        <w:rPr>
          <w:color w:val="auto"/>
          <w:highlight w:val="none"/>
        </w:rPr>
        <w:instrText xml:space="preserve"> PAGEREF _Toc16274 \h </w:instrText>
      </w:r>
      <w:r>
        <w:rPr>
          <w:color w:val="auto"/>
          <w:highlight w:val="none"/>
        </w:rPr>
        <w:fldChar w:fldCharType="separate"/>
      </w:r>
      <w:r>
        <w:rPr>
          <w:color w:val="auto"/>
          <w:highlight w:val="none"/>
        </w:rPr>
        <w:t>30</w:t>
      </w:r>
      <w:r>
        <w:rPr>
          <w:color w:val="auto"/>
          <w:highlight w:val="none"/>
        </w:rPr>
        <w:fldChar w:fldCharType="end"/>
      </w:r>
      <w:r>
        <w:rPr>
          <w:rFonts w:hint="eastAsia" w:ascii="仿宋" w:hAnsi="仿宋" w:eastAsia="仿宋" w:cs="宋体"/>
          <w:caps/>
          <w:color w:val="auto"/>
          <w:szCs w:val="24"/>
          <w:highlight w:val="none"/>
        </w:rPr>
        <w:fldChar w:fldCharType="end"/>
      </w:r>
    </w:p>
    <w:p w14:paraId="756E75BF">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_Toc1029 </w:instrText>
      </w:r>
      <w:r>
        <w:rPr>
          <w:rFonts w:hint="eastAsia" w:ascii="仿宋" w:hAnsi="仿宋" w:eastAsia="仿宋" w:cs="宋体"/>
          <w:caps/>
          <w:color w:val="auto"/>
          <w:szCs w:val="24"/>
          <w:highlight w:val="none"/>
        </w:rPr>
        <w:fldChar w:fldCharType="separate"/>
      </w:r>
      <w:r>
        <w:rPr>
          <w:rFonts w:hint="eastAsia" w:ascii="仿宋" w:hAnsi="仿宋" w:eastAsia="仿宋" w:cs="仿宋"/>
          <w:bCs/>
          <w:color w:val="auto"/>
          <w:highlight w:val="none"/>
          <w:lang w:eastAsia="zh-CN"/>
        </w:rPr>
        <w:t>十二、词语含义</w:t>
      </w:r>
      <w:r>
        <w:rPr>
          <w:color w:val="auto"/>
          <w:highlight w:val="none"/>
        </w:rPr>
        <w:tab/>
      </w:r>
      <w:r>
        <w:rPr>
          <w:color w:val="auto"/>
          <w:highlight w:val="none"/>
        </w:rPr>
        <w:fldChar w:fldCharType="begin"/>
      </w:r>
      <w:r>
        <w:rPr>
          <w:color w:val="auto"/>
          <w:highlight w:val="none"/>
        </w:rPr>
        <w:instrText xml:space="preserve"> PAGEREF _Toc1029 \h </w:instrText>
      </w:r>
      <w:r>
        <w:rPr>
          <w:color w:val="auto"/>
          <w:highlight w:val="none"/>
        </w:rPr>
        <w:fldChar w:fldCharType="separate"/>
      </w:r>
      <w:r>
        <w:rPr>
          <w:color w:val="auto"/>
          <w:highlight w:val="none"/>
        </w:rPr>
        <w:t>30</w:t>
      </w:r>
      <w:r>
        <w:rPr>
          <w:color w:val="auto"/>
          <w:highlight w:val="none"/>
        </w:rPr>
        <w:fldChar w:fldCharType="end"/>
      </w:r>
      <w:r>
        <w:rPr>
          <w:rFonts w:hint="eastAsia" w:ascii="仿宋" w:hAnsi="仿宋" w:eastAsia="仿宋" w:cs="宋体"/>
          <w:caps/>
          <w:color w:val="auto"/>
          <w:szCs w:val="24"/>
          <w:highlight w:val="none"/>
        </w:rPr>
        <w:fldChar w:fldCharType="end"/>
      </w:r>
    </w:p>
    <w:p w14:paraId="0E5C9AB5">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_Toc28296 </w:instrText>
      </w:r>
      <w:r>
        <w:rPr>
          <w:rFonts w:hint="eastAsia" w:ascii="仿宋" w:hAnsi="仿宋" w:eastAsia="仿宋" w:cs="宋体"/>
          <w:caps/>
          <w:color w:val="auto"/>
          <w:szCs w:val="24"/>
          <w:highlight w:val="none"/>
        </w:rPr>
        <w:fldChar w:fldCharType="separate"/>
      </w:r>
      <w:r>
        <w:rPr>
          <w:rFonts w:hint="eastAsia" w:ascii="仿宋" w:hAnsi="仿宋" w:eastAsia="仿宋" w:cs="仿宋"/>
          <w:bCs/>
          <w:color w:val="auto"/>
          <w:highlight w:val="none"/>
          <w:lang w:eastAsia="zh-CN"/>
        </w:rPr>
        <w:t>十三、承诺</w:t>
      </w:r>
      <w:r>
        <w:rPr>
          <w:color w:val="auto"/>
          <w:highlight w:val="none"/>
        </w:rPr>
        <w:tab/>
      </w:r>
      <w:r>
        <w:rPr>
          <w:color w:val="auto"/>
          <w:highlight w:val="none"/>
        </w:rPr>
        <w:fldChar w:fldCharType="begin"/>
      </w:r>
      <w:r>
        <w:rPr>
          <w:color w:val="auto"/>
          <w:highlight w:val="none"/>
        </w:rPr>
        <w:instrText xml:space="preserve"> PAGEREF _Toc28296 \h </w:instrText>
      </w:r>
      <w:r>
        <w:rPr>
          <w:color w:val="auto"/>
          <w:highlight w:val="none"/>
        </w:rPr>
        <w:fldChar w:fldCharType="separate"/>
      </w:r>
      <w:r>
        <w:rPr>
          <w:color w:val="auto"/>
          <w:highlight w:val="none"/>
        </w:rPr>
        <w:t>30</w:t>
      </w:r>
      <w:r>
        <w:rPr>
          <w:color w:val="auto"/>
          <w:highlight w:val="none"/>
        </w:rPr>
        <w:fldChar w:fldCharType="end"/>
      </w:r>
      <w:r>
        <w:rPr>
          <w:rFonts w:hint="eastAsia" w:ascii="仿宋" w:hAnsi="仿宋" w:eastAsia="仿宋" w:cs="宋体"/>
          <w:caps/>
          <w:color w:val="auto"/>
          <w:szCs w:val="24"/>
          <w:highlight w:val="none"/>
        </w:rPr>
        <w:fldChar w:fldCharType="end"/>
      </w:r>
    </w:p>
    <w:p w14:paraId="798BD207">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_Toc25240 </w:instrText>
      </w:r>
      <w:r>
        <w:rPr>
          <w:rFonts w:hint="eastAsia" w:ascii="仿宋" w:hAnsi="仿宋" w:eastAsia="仿宋" w:cs="宋体"/>
          <w:caps/>
          <w:color w:val="auto"/>
          <w:szCs w:val="24"/>
          <w:highlight w:val="none"/>
        </w:rPr>
        <w:fldChar w:fldCharType="separate"/>
      </w:r>
      <w:r>
        <w:rPr>
          <w:rFonts w:hint="eastAsia" w:ascii="仿宋" w:hAnsi="仿宋" w:eastAsia="仿宋" w:cs="仿宋"/>
          <w:bCs/>
          <w:color w:val="auto"/>
          <w:highlight w:val="none"/>
          <w:lang w:eastAsia="zh-CN"/>
        </w:rPr>
        <w:t>十四、合同生效</w:t>
      </w:r>
      <w:r>
        <w:rPr>
          <w:color w:val="auto"/>
          <w:highlight w:val="none"/>
        </w:rPr>
        <w:tab/>
      </w:r>
      <w:r>
        <w:rPr>
          <w:color w:val="auto"/>
          <w:highlight w:val="none"/>
        </w:rPr>
        <w:fldChar w:fldCharType="begin"/>
      </w:r>
      <w:r>
        <w:rPr>
          <w:color w:val="auto"/>
          <w:highlight w:val="none"/>
        </w:rPr>
        <w:instrText xml:space="preserve"> PAGEREF _Toc25240 \h </w:instrText>
      </w:r>
      <w:r>
        <w:rPr>
          <w:color w:val="auto"/>
          <w:highlight w:val="none"/>
        </w:rPr>
        <w:fldChar w:fldCharType="separate"/>
      </w:r>
      <w:r>
        <w:rPr>
          <w:color w:val="auto"/>
          <w:highlight w:val="none"/>
        </w:rPr>
        <w:t>31</w:t>
      </w:r>
      <w:r>
        <w:rPr>
          <w:color w:val="auto"/>
          <w:highlight w:val="none"/>
        </w:rPr>
        <w:fldChar w:fldCharType="end"/>
      </w:r>
      <w:r>
        <w:rPr>
          <w:rFonts w:hint="eastAsia" w:ascii="仿宋" w:hAnsi="仿宋" w:eastAsia="仿宋" w:cs="宋体"/>
          <w:caps/>
          <w:color w:val="auto"/>
          <w:szCs w:val="24"/>
          <w:highlight w:val="none"/>
        </w:rPr>
        <w:fldChar w:fldCharType="end"/>
      </w:r>
    </w:p>
    <w:p w14:paraId="3A5077BA">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_Toc6670 </w:instrText>
      </w:r>
      <w:r>
        <w:rPr>
          <w:rFonts w:hint="eastAsia" w:ascii="仿宋" w:hAnsi="仿宋" w:eastAsia="仿宋" w:cs="宋体"/>
          <w:caps/>
          <w:color w:val="auto"/>
          <w:szCs w:val="24"/>
          <w:highlight w:val="none"/>
        </w:rPr>
        <w:fldChar w:fldCharType="separate"/>
      </w:r>
      <w:r>
        <w:rPr>
          <w:rFonts w:hint="eastAsia" w:ascii="仿宋" w:hAnsi="仿宋" w:eastAsia="仿宋" w:cs="仿宋"/>
          <w:bCs/>
          <w:color w:val="auto"/>
          <w:highlight w:val="none"/>
          <w:lang w:eastAsia="zh-CN"/>
        </w:rPr>
        <w:t>十五、合同份数</w:t>
      </w:r>
      <w:r>
        <w:rPr>
          <w:color w:val="auto"/>
          <w:highlight w:val="none"/>
        </w:rPr>
        <w:tab/>
      </w:r>
      <w:r>
        <w:rPr>
          <w:color w:val="auto"/>
          <w:highlight w:val="none"/>
        </w:rPr>
        <w:fldChar w:fldCharType="begin"/>
      </w:r>
      <w:r>
        <w:rPr>
          <w:color w:val="auto"/>
          <w:highlight w:val="none"/>
        </w:rPr>
        <w:instrText xml:space="preserve"> PAGEREF _Toc6670 \h </w:instrText>
      </w:r>
      <w:r>
        <w:rPr>
          <w:color w:val="auto"/>
          <w:highlight w:val="none"/>
        </w:rPr>
        <w:fldChar w:fldCharType="separate"/>
      </w:r>
      <w:r>
        <w:rPr>
          <w:color w:val="auto"/>
          <w:highlight w:val="none"/>
        </w:rPr>
        <w:t>31</w:t>
      </w:r>
      <w:r>
        <w:rPr>
          <w:color w:val="auto"/>
          <w:highlight w:val="none"/>
        </w:rPr>
        <w:fldChar w:fldCharType="end"/>
      </w:r>
      <w:r>
        <w:rPr>
          <w:rFonts w:hint="eastAsia" w:ascii="仿宋" w:hAnsi="仿宋" w:eastAsia="仿宋" w:cs="宋体"/>
          <w:caps/>
          <w:color w:val="auto"/>
          <w:szCs w:val="24"/>
          <w:highlight w:val="none"/>
        </w:rPr>
        <w:fldChar w:fldCharType="end"/>
      </w:r>
    </w:p>
    <w:p w14:paraId="3AA19E5D">
      <w:pPr>
        <w:pStyle w:val="30"/>
        <w:tabs>
          <w:tab w:val="right" w:leader="dot" w:pos="10204"/>
        </w:tabs>
        <w:rPr>
          <w:color w:val="auto"/>
          <w:highlight w:val="none"/>
        </w:rPr>
      </w:pPr>
      <w:r>
        <w:rPr>
          <w:rFonts w:hint="eastAsia" w:ascii="仿宋" w:hAnsi="仿宋" w:eastAsia="仿宋" w:cs="宋体"/>
          <w:caps w:val="0"/>
          <w:color w:val="auto"/>
          <w:szCs w:val="24"/>
          <w:highlight w:val="none"/>
        </w:rPr>
        <w:fldChar w:fldCharType="begin"/>
      </w:r>
      <w:r>
        <w:rPr>
          <w:rFonts w:hint="eastAsia" w:ascii="仿宋" w:hAnsi="仿宋" w:eastAsia="仿宋" w:cs="宋体"/>
          <w:caps w:val="0"/>
          <w:color w:val="auto"/>
          <w:szCs w:val="24"/>
          <w:highlight w:val="none"/>
        </w:rPr>
        <w:instrText xml:space="preserve"> HYPERLINK \l _Toc28013 </w:instrText>
      </w:r>
      <w:r>
        <w:rPr>
          <w:rFonts w:hint="eastAsia" w:ascii="仿宋" w:hAnsi="仿宋" w:eastAsia="仿宋" w:cs="宋体"/>
          <w:caps w:val="0"/>
          <w:color w:val="auto"/>
          <w:szCs w:val="24"/>
          <w:highlight w:val="none"/>
        </w:rPr>
        <w:fldChar w:fldCharType="separate"/>
      </w:r>
      <w:r>
        <w:rPr>
          <w:rFonts w:hint="eastAsia" w:ascii="宋体" w:hAnsi="宋体" w:cs="宋体"/>
          <w:color w:val="auto"/>
          <w:szCs w:val="36"/>
          <w:highlight w:val="none"/>
          <w:lang w:eastAsia="zh-CN"/>
        </w:rPr>
        <w:t>第二部分</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通用条款</w:t>
      </w:r>
      <w:r>
        <w:rPr>
          <w:color w:val="auto"/>
          <w:highlight w:val="none"/>
        </w:rPr>
        <w:tab/>
      </w:r>
      <w:r>
        <w:rPr>
          <w:color w:val="auto"/>
          <w:highlight w:val="none"/>
        </w:rPr>
        <w:fldChar w:fldCharType="begin"/>
      </w:r>
      <w:r>
        <w:rPr>
          <w:color w:val="auto"/>
          <w:highlight w:val="none"/>
        </w:rPr>
        <w:instrText xml:space="preserve"> PAGEREF _Toc28013 \h </w:instrText>
      </w:r>
      <w:r>
        <w:rPr>
          <w:color w:val="auto"/>
          <w:highlight w:val="none"/>
        </w:rPr>
        <w:fldChar w:fldCharType="separate"/>
      </w:r>
      <w:r>
        <w:rPr>
          <w:color w:val="auto"/>
          <w:highlight w:val="none"/>
        </w:rPr>
        <w:t>33</w:t>
      </w:r>
      <w:r>
        <w:rPr>
          <w:color w:val="auto"/>
          <w:highlight w:val="none"/>
        </w:rPr>
        <w:fldChar w:fldCharType="end"/>
      </w:r>
      <w:r>
        <w:rPr>
          <w:rFonts w:hint="eastAsia" w:ascii="仿宋" w:hAnsi="仿宋" w:eastAsia="仿宋" w:cs="宋体"/>
          <w:caps w:val="0"/>
          <w:color w:val="auto"/>
          <w:szCs w:val="24"/>
          <w:highlight w:val="none"/>
        </w:rPr>
        <w:fldChar w:fldCharType="end"/>
      </w:r>
    </w:p>
    <w:p w14:paraId="7D8A3295">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_Toc10240 </w:instrText>
      </w:r>
      <w:r>
        <w:rPr>
          <w:rFonts w:hint="eastAsia" w:ascii="仿宋" w:hAnsi="仿宋" w:eastAsia="仿宋" w:cs="宋体"/>
          <w:caps/>
          <w:color w:val="auto"/>
          <w:szCs w:val="24"/>
          <w:highlight w:val="none"/>
        </w:rPr>
        <w:fldChar w:fldCharType="separate"/>
      </w:r>
      <w:r>
        <w:rPr>
          <w:rFonts w:hint="eastAsia" w:hAnsi="宋体"/>
          <w:bCs/>
          <w:color w:val="auto"/>
          <w:szCs w:val="32"/>
          <w:highlight w:val="none"/>
          <w:lang w:eastAsia="zh-CN"/>
        </w:rPr>
        <w:t>一、总</w:t>
      </w:r>
      <w:r>
        <w:rPr>
          <w:rFonts w:hAnsi="宋体"/>
          <w:bCs/>
          <w:color w:val="auto"/>
          <w:szCs w:val="32"/>
          <w:highlight w:val="none"/>
          <w:lang w:eastAsia="zh-CN"/>
        </w:rPr>
        <w:t xml:space="preserve">  </w:t>
      </w:r>
      <w:r>
        <w:rPr>
          <w:rFonts w:hint="eastAsia" w:hAnsi="宋体"/>
          <w:bCs/>
          <w:color w:val="auto"/>
          <w:szCs w:val="32"/>
          <w:highlight w:val="none"/>
          <w:lang w:eastAsia="zh-CN"/>
        </w:rPr>
        <w:t>则</w:t>
      </w:r>
      <w:r>
        <w:rPr>
          <w:color w:val="auto"/>
          <w:highlight w:val="none"/>
        </w:rPr>
        <w:tab/>
      </w:r>
      <w:r>
        <w:rPr>
          <w:color w:val="auto"/>
          <w:highlight w:val="none"/>
        </w:rPr>
        <w:fldChar w:fldCharType="begin"/>
      </w:r>
      <w:r>
        <w:rPr>
          <w:color w:val="auto"/>
          <w:highlight w:val="none"/>
        </w:rPr>
        <w:instrText xml:space="preserve"> PAGEREF _Toc10240 \h </w:instrText>
      </w:r>
      <w:r>
        <w:rPr>
          <w:color w:val="auto"/>
          <w:highlight w:val="none"/>
        </w:rPr>
        <w:fldChar w:fldCharType="separate"/>
      </w:r>
      <w:r>
        <w:rPr>
          <w:color w:val="auto"/>
          <w:highlight w:val="none"/>
        </w:rPr>
        <w:t>33</w:t>
      </w:r>
      <w:r>
        <w:rPr>
          <w:color w:val="auto"/>
          <w:highlight w:val="none"/>
        </w:rPr>
        <w:fldChar w:fldCharType="end"/>
      </w:r>
      <w:r>
        <w:rPr>
          <w:rFonts w:hint="eastAsia" w:ascii="仿宋" w:hAnsi="仿宋" w:eastAsia="仿宋" w:cs="宋体"/>
          <w:caps/>
          <w:color w:val="auto"/>
          <w:szCs w:val="24"/>
          <w:highlight w:val="none"/>
        </w:rPr>
        <w:fldChar w:fldCharType="end"/>
      </w:r>
    </w:p>
    <w:p w14:paraId="525D4B0D">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_Toc13411 </w:instrText>
      </w:r>
      <w:r>
        <w:rPr>
          <w:rFonts w:hint="eastAsia" w:ascii="仿宋" w:hAnsi="仿宋" w:eastAsia="仿宋" w:cs="宋体"/>
          <w:caps/>
          <w:color w:val="auto"/>
          <w:szCs w:val="24"/>
          <w:highlight w:val="none"/>
        </w:rPr>
        <w:fldChar w:fldCharType="separate"/>
      </w:r>
      <w:r>
        <w:rPr>
          <w:rFonts w:ascii="仿宋" w:hAnsi="仿宋" w:eastAsia="仿宋" w:cs="仿宋"/>
          <w:bCs/>
          <w:color w:val="auto"/>
          <w:szCs w:val="24"/>
          <w:highlight w:val="none"/>
          <w:lang w:eastAsia="zh-CN"/>
        </w:rPr>
        <w:t xml:space="preserve">1 </w:t>
      </w:r>
      <w:r>
        <w:rPr>
          <w:rFonts w:hint="eastAsia" w:ascii="仿宋" w:hAnsi="仿宋" w:eastAsia="仿宋" w:cs="仿宋"/>
          <w:bCs/>
          <w:color w:val="auto"/>
          <w:szCs w:val="24"/>
          <w:highlight w:val="none"/>
          <w:lang w:eastAsia="zh-CN"/>
        </w:rPr>
        <w:t>定义</w:t>
      </w:r>
      <w:r>
        <w:rPr>
          <w:color w:val="auto"/>
          <w:highlight w:val="none"/>
        </w:rPr>
        <w:tab/>
      </w:r>
      <w:r>
        <w:rPr>
          <w:color w:val="auto"/>
          <w:highlight w:val="none"/>
        </w:rPr>
        <w:fldChar w:fldCharType="begin"/>
      </w:r>
      <w:r>
        <w:rPr>
          <w:color w:val="auto"/>
          <w:highlight w:val="none"/>
        </w:rPr>
        <w:instrText xml:space="preserve"> PAGEREF _Toc13411 \h </w:instrText>
      </w:r>
      <w:r>
        <w:rPr>
          <w:color w:val="auto"/>
          <w:highlight w:val="none"/>
        </w:rPr>
        <w:fldChar w:fldCharType="separate"/>
      </w:r>
      <w:r>
        <w:rPr>
          <w:color w:val="auto"/>
          <w:highlight w:val="none"/>
        </w:rPr>
        <w:t>33</w:t>
      </w:r>
      <w:r>
        <w:rPr>
          <w:color w:val="auto"/>
          <w:highlight w:val="none"/>
        </w:rPr>
        <w:fldChar w:fldCharType="end"/>
      </w:r>
      <w:r>
        <w:rPr>
          <w:rFonts w:hint="eastAsia" w:ascii="仿宋" w:hAnsi="仿宋" w:eastAsia="仿宋" w:cs="宋体"/>
          <w:caps/>
          <w:color w:val="auto"/>
          <w:szCs w:val="24"/>
          <w:highlight w:val="none"/>
        </w:rPr>
        <w:fldChar w:fldCharType="end"/>
      </w:r>
    </w:p>
    <w:p w14:paraId="5DEFE3FC">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_Toc3155 </w:instrText>
      </w:r>
      <w:r>
        <w:rPr>
          <w:rFonts w:hint="eastAsia" w:ascii="仿宋" w:hAnsi="仿宋" w:eastAsia="仿宋" w:cs="宋体"/>
          <w:caps/>
          <w:color w:val="auto"/>
          <w:szCs w:val="24"/>
          <w:highlight w:val="none"/>
        </w:rPr>
        <w:fldChar w:fldCharType="separate"/>
      </w:r>
      <w:r>
        <w:rPr>
          <w:rFonts w:ascii="仿宋" w:hAnsi="仿宋" w:eastAsia="仿宋" w:cs="仿宋"/>
          <w:color w:val="auto"/>
          <w:szCs w:val="24"/>
          <w:highlight w:val="none"/>
          <w:lang w:eastAsia="zh-CN"/>
        </w:rPr>
        <w:t xml:space="preserve">2 </w:t>
      </w:r>
      <w:r>
        <w:rPr>
          <w:rFonts w:hint="eastAsia" w:ascii="仿宋" w:hAnsi="仿宋" w:eastAsia="仿宋" w:cs="仿宋"/>
          <w:color w:val="auto"/>
          <w:szCs w:val="24"/>
          <w:highlight w:val="none"/>
          <w:lang w:eastAsia="zh-CN"/>
        </w:rPr>
        <w:t>合同文件及解释</w:t>
      </w:r>
      <w:r>
        <w:rPr>
          <w:color w:val="auto"/>
          <w:highlight w:val="none"/>
        </w:rPr>
        <w:tab/>
      </w:r>
      <w:r>
        <w:rPr>
          <w:color w:val="auto"/>
          <w:highlight w:val="none"/>
        </w:rPr>
        <w:fldChar w:fldCharType="begin"/>
      </w:r>
      <w:r>
        <w:rPr>
          <w:color w:val="auto"/>
          <w:highlight w:val="none"/>
        </w:rPr>
        <w:instrText xml:space="preserve"> PAGEREF _Toc3155 \h </w:instrText>
      </w:r>
      <w:r>
        <w:rPr>
          <w:color w:val="auto"/>
          <w:highlight w:val="none"/>
        </w:rPr>
        <w:fldChar w:fldCharType="separate"/>
      </w:r>
      <w:r>
        <w:rPr>
          <w:color w:val="auto"/>
          <w:highlight w:val="none"/>
        </w:rPr>
        <w:t>43</w:t>
      </w:r>
      <w:r>
        <w:rPr>
          <w:color w:val="auto"/>
          <w:highlight w:val="none"/>
        </w:rPr>
        <w:fldChar w:fldCharType="end"/>
      </w:r>
      <w:r>
        <w:rPr>
          <w:rFonts w:hint="eastAsia" w:ascii="仿宋" w:hAnsi="仿宋" w:eastAsia="仿宋" w:cs="宋体"/>
          <w:caps/>
          <w:color w:val="auto"/>
          <w:szCs w:val="24"/>
          <w:highlight w:val="none"/>
        </w:rPr>
        <w:fldChar w:fldCharType="end"/>
      </w:r>
    </w:p>
    <w:p w14:paraId="3AF7294C">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_Toc14572 </w:instrText>
      </w:r>
      <w:r>
        <w:rPr>
          <w:rFonts w:hint="eastAsia" w:ascii="仿宋" w:hAnsi="仿宋" w:eastAsia="仿宋" w:cs="宋体"/>
          <w:caps/>
          <w:color w:val="auto"/>
          <w:szCs w:val="24"/>
          <w:highlight w:val="none"/>
        </w:rPr>
        <w:fldChar w:fldCharType="separate"/>
      </w:r>
      <w:r>
        <w:rPr>
          <w:rFonts w:ascii="仿宋" w:hAnsi="仿宋" w:eastAsia="仿宋" w:cs="仿宋"/>
          <w:color w:val="auto"/>
          <w:szCs w:val="24"/>
          <w:highlight w:val="none"/>
          <w:lang w:eastAsia="zh-CN"/>
        </w:rPr>
        <w:t xml:space="preserve">3 </w:t>
      </w:r>
      <w:r>
        <w:rPr>
          <w:rFonts w:hint="eastAsia" w:ascii="仿宋" w:hAnsi="仿宋" w:eastAsia="仿宋" w:cs="仿宋"/>
          <w:color w:val="auto"/>
          <w:szCs w:val="24"/>
          <w:highlight w:val="none"/>
          <w:lang w:eastAsia="zh-CN"/>
        </w:rPr>
        <w:t>阅读、理解与接受</w:t>
      </w:r>
      <w:r>
        <w:rPr>
          <w:color w:val="auto"/>
          <w:highlight w:val="none"/>
        </w:rPr>
        <w:tab/>
      </w:r>
      <w:r>
        <w:rPr>
          <w:color w:val="auto"/>
          <w:highlight w:val="none"/>
        </w:rPr>
        <w:fldChar w:fldCharType="begin"/>
      </w:r>
      <w:r>
        <w:rPr>
          <w:color w:val="auto"/>
          <w:highlight w:val="none"/>
        </w:rPr>
        <w:instrText xml:space="preserve"> PAGEREF _Toc14572 \h </w:instrText>
      </w:r>
      <w:r>
        <w:rPr>
          <w:color w:val="auto"/>
          <w:highlight w:val="none"/>
        </w:rPr>
        <w:fldChar w:fldCharType="separate"/>
      </w:r>
      <w:r>
        <w:rPr>
          <w:color w:val="auto"/>
          <w:highlight w:val="none"/>
        </w:rPr>
        <w:t>44</w:t>
      </w:r>
      <w:r>
        <w:rPr>
          <w:color w:val="auto"/>
          <w:highlight w:val="none"/>
        </w:rPr>
        <w:fldChar w:fldCharType="end"/>
      </w:r>
      <w:r>
        <w:rPr>
          <w:rFonts w:hint="eastAsia" w:ascii="仿宋" w:hAnsi="仿宋" w:eastAsia="仿宋" w:cs="宋体"/>
          <w:caps/>
          <w:color w:val="auto"/>
          <w:szCs w:val="24"/>
          <w:highlight w:val="none"/>
        </w:rPr>
        <w:fldChar w:fldCharType="end"/>
      </w:r>
    </w:p>
    <w:p w14:paraId="46A89BA3">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_Toc21203 </w:instrText>
      </w:r>
      <w:r>
        <w:rPr>
          <w:rFonts w:hint="eastAsia" w:ascii="仿宋" w:hAnsi="仿宋" w:eastAsia="仿宋" w:cs="宋体"/>
          <w:caps/>
          <w:color w:val="auto"/>
          <w:szCs w:val="24"/>
          <w:highlight w:val="none"/>
        </w:rPr>
        <w:fldChar w:fldCharType="separate"/>
      </w:r>
      <w:r>
        <w:rPr>
          <w:rFonts w:ascii="仿宋" w:hAnsi="仿宋" w:eastAsia="仿宋" w:cs="仿宋"/>
          <w:color w:val="auto"/>
          <w:szCs w:val="24"/>
          <w:highlight w:val="none"/>
          <w:lang w:eastAsia="zh-CN"/>
        </w:rPr>
        <w:t xml:space="preserve">4 </w:t>
      </w:r>
      <w:r>
        <w:rPr>
          <w:rFonts w:hint="eastAsia" w:ascii="仿宋" w:hAnsi="仿宋" w:eastAsia="仿宋" w:cs="仿宋"/>
          <w:color w:val="auto"/>
          <w:szCs w:val="24"/>
          <w:highlight w:val="none"/>
          <w:lang w:eastAsia="zh-CN"/>
        </w:rPr>
        <w:t>语言及适用的法律、标准与规范</w:t>
      </w:r>
      <w:r>
        <w:rPr>
          <w:color w:val="auto"/>
          <w:highlight w:val="none"/>
        </w:rPr>
        <w:tab/>
      </w:r>
      <w:r>
        <w:rPr>
          <w:color w:val="auto"/>
          <w:highlight w:val="none"/>
        </w:rPr>
        <w:fldChar w:fldCharType="begin"/>
      </w:r>
      <w:r>
        <w:rPr>
          <w:color w:val="auto"/>
          <w:highlight w:val="none"/>
        </w:rPr>
        <w:instrText xml:space="preserve"> PAGEREF _Toc21203 \h </w:instrText>
      </w:r>
      <w:r>
        <w:rPr>
          <w:color w:val="auto"/>
          <w:highlight w:val="none"/>
        </w:rPr>
        <w:fldChar w:fldCharType="separate"/>
      </w:r>
      <w:r>
        <w:rPr>
          <w:color w:val="auto"/>
          <w:highlight w:val="none"/>
        </w:rPr>
        <w:t>45</w:t>
      </w:r>
      <w:r>
        <w:rPr>
          <w:color w:val="auto"/>
          <w:highlight w:val="none"/>
        </w:rPr>
        <w:fldChar w:fldCharType="end"/>
      </w:r>
      <w:r>
        <w:rPr>
          <w:rFonts w:hint="eastAsia" w:ascii="仿宋" w:hAnsi="仿宋" w:eastAsia="仿宋" w:cs="宋体"/>
          <w:caps/>
          <w:color w:val="auto"/>
          <w:szCs w:val="24"/>
          <w:highlight w:val="none"/>
        </w:rPr>
        <w:fldChar w:fldCharType="end"/>
      </w:r>
    </w:p>
    <w:p w14:paraId="6FDB6FA9">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_Toc16411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5 发包人要求</w:t>
      </w:r>
      <w:r>
        <w:rPr>
          <w:color w:val="auto"/>
          <w:highlight w:val="none"/>
        </w:rPr>
        <w:tab/>
      </w:r>
      <w:r>
        <w:rPr>
          <w:color w:val="auto"/>
          <w:highlight w:val="none"/>
        </w:rPr>
        <w:fldChar w:fldCharType="begin"/>
      </w:r>
      <w:r>
        <w:rPr>
          <w:color w:val="auto"/>
          <w:highlight w:val="none"/>
        </w:rPr>
        <w:instrText xml:space="preserve"> PAGEREF _Toc16411 \h </w:instrText>
      </w:r>
      <w:r>
        <w:rPr>
          <w:color w:val="auto"/>
          <w:highlight w:val="none"/>
        </w:rPr>
        <w:fldChar w:fldCharType="separate"/>
      </w:r>
      <w:r>
        <w:rPr>
          <w:color w:val="auto"/>
          <w:highlight w:val="none"/>
        </w:rPr>
        <w:t>45</w:t>
      </w:r>
      <w:r>
        <w:rPr>
          <w:color w:val="auto"/>
          <w:highlight w:val="none"/>
        </w:rPr>
        <w:fldChar w:fldCharType="end"/>
      </w:r>
      <w:r>
        <w:rPr>
          <w:rFonts w:hint="eastAsia" w:ascii="仿宋" w:hAnsi="仿宋" w:eastAsia="仿宋" w:cs="宋体"/>
          <w:caps/>
          <w:color w:val="auto"/>
          <w:szCs w:val="24"/>
          <w:highlight w:val="none"/>
        </w:rPr>
        <w:fldChar w:fldCharType="end"/>
      </w:r>
    </w:p>
    <w:p w14:paraId="25AE4FFF">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_Toc28138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6 项目基础资料</w:t>
      </w:r>
      <w:r>
        <w:rPr>
          <w:color w:val="auto"/>
          <w:highlight w:val="none"/>
        </w:rPr>
        <w:tab/>
      </w:r>
      <w:r>
        <w:rPr>
          <w:color w:val="auto"/>
          <w:highlight w:val="none"/>
        </w:rPr>
        <w:fldChar w:fldCharType="begin"/>
      </w:r>
      <w:r>
        <w:rPr>
          <w:color w:val="auto"/>
          <w:highlight w:val="none"/>
        </w:rPr>
        <w:instrText xml:space="preserve"> PAGEREF _Toc28138 \h </w:instrText>
      </w:r>
      <w:r>
        <w:rPr>
          <w:color w:val="auto"/>
          <w:highlight w:val="none"/>
        </w:rPr>
        <w:fldChar w:fldCharType="separate"/>
      </w:r>
      <w:r>
        <w:rPr>
          <w:color w:val="auto"/>
          <w:highlight w:val="none"/>
        </w:rPr>
        <w:t>48</w:t>
      </w:r>
      <w:r>
        <w:rPr>
          <w:color w:val="auto"/>
          <w:highlight w:val="none"/>
        </w:rPr>
        <w:fldChar w:fldCharType="end"/>
      </w:r>
      <w:r>
        <w:rPr>
          <w:rFonts w:hint="eastAsia" w:ascii="仿宋" w:hAnsi="仿宋" w:eastAsia="仿宋" w:cs="宋体"/>
          <w:caps/>
          <w:color w:val="auto"/>
          <w:szCs w:val="24"/>
          <w:highlight w:val="none"/>
        </w:rPr>
        <w:fldChar w:fldCharType="end"/>
      </w:r>
    </w:p>
    <w:p w14:paraId="13469221">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_Toc2840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7 勘察报告、设计文件、建筑信息模型（BIM）</w:t>
      </w:r>
      <w:r>
        <w:rPr>
          <w:color w:val="auto"/>
          <w:highlight w:val="none"/>
        </w:rPr>
        <w:tab/>
      </w:r>
      <w:r>
        <w:rPr>
          <w:color w:val="auto"/>
          <w:highlight w:val="none"/>
        </w:rPr>
        <w:fldChar w:fldCharType="begin"/>
      </w:r>
      <w:r>
        <w:rPr>
          <w:color w:val="auto"/>
          <w:highlight w:val="none"/>
        </w:rPr>
        <w:instrText xml:space="preserve"> PAGEREF _Toc2840 \h </w:instrText>
      </w:r>
      <w:r>
        <w:rPr>
          <w:color w:val="auto"/>
          <w:highlight w:val="none"/>
        </w:rPr>
        <w:fldChar w:fldCharType="separate"/>
      </w:r>
      <w:r>
        <w:rPr>
          <w:color w:val="auto"/>
          <w:highlight w:val="none"/>
        </w:rPr>
        <w:t>49</w:t>
      </w:r>
      <w:r>
        <w:rPr>
          <w:color w:val="auto"/>
          <w:highlight w:val="none"/>
        </w:rPr>
        <w:fldChar w:fldCharType="end"/>
      </w:r>
      <w:r>
        <w:rPr>
          <w:rFonts w:hint="eastAsia" w:ascii="仿宋" w:hAnsi="仿宋" w:eastAsia="仿宋" w:cs="宋体"/>
          <w:caps/>
          <w:color w:val="auto"/>
          <w:szCs w:val="24"/>
          <w:highlight w:val="none"/>
        </w:rPr>
        <w:fldChar w:fldCharType="end"/>
      </w:r>
    </w:p>
    <w:p w14:paraId="7452CD45">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_Toc10218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rPr>
        <w:t>8 合同价格的控制原则</w:t>
      </w:r>
      <w:r>
        <w:rPr>
          <w:color w:val="auto"/>
          <w:highlight w:val="none"/>
        </w:rPr>
        <w:tab/>
      </w:r>
      <w:r>
        <w:rPr>
          <w:color w:val="auto"/>
          <w:highlight w:val="none"/>
        </w:rPr>
        <w:fldChar w:fldCharType="begin"/>
      </w:r>
      <w:r>
        <w:rPr>
          <w:color w:val="auto"/>
          <w:highlight w:val="none"/>
        </w:rPr>
        <w:instrText xml:space="preserve"> PAGEREF _Toc10218 \h </w:instrText>
      </w:r>
      <w:r>
        <w:rPr>
          <w:color w:val="auto"/>
          <w:highlight w:val="none"/>
        </w:rPr>
        <w:fldChar w:fldCharType="separate"/>
      </w:r>
      <w:r>
        <w:rPr>
          <w:color w:val="auto"/>
          <w:highlight w:val="none"/>
        </w:rPr>
        <w:t>52</w:t>
      </w:r>
      <w:r>
        <w:rPr>
          <w:color w:val="auto"/>
          <w:highlight w:val="none"/>
        </w:rPr>
        <w:fldChar w:fldCharType="end"/>
      </w:r>
      <w:r>
        <w:rPr>
          <w:rFonts w:hint="eastAsia" w:ascii="仿宋" w:hAnsi="仿宋" w:eastAsia="仿宋" w:cs="宋体"/>
          <w:caps/>
          <w:color w:val="auto"/>
          <w:szCs w:val="24"/>
          <w:highlight w:val="none"/>
        </w:rPr>
        <w:fldChar w:fldCharType="end"/>
      </w:r>
    </w:p>
    <w:p w14:paraId="1E024B52">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_Toc31699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通讯联络</w:t>
      </w:r>
      <w:r>
        <w:rPr>
          <w:color w:val="auto"/>
          <w:highlight w:val="none"/>
        </w:rPr>
        <w:tab/>
      </w:r>
      <w:r>
        <w:rPr>
          <w:color w:val="auto"/>
          <w:highlight w:val="none"/>
        </w:rPr>
        <w:fldChar w:fldCharType="begin"/>
      </w:r>
      <w:r>
        <w:rPr>
          <w:color w:val="auto"/>
          <w:highlight w:val="none"/>
        </w:rPr>
        <w:instrText xml:space="preserve"> PAGEREF _Toc31699 \h </w:instrText>
      </w:r>
      <w:r>
        <w:rPr>
          <w:color w:val="auto"/>
          <w:highlight w:val="none"/>
        </w:rPr>
        <w:fldChar w:fldCharType="separate"/>
      </w:r>
      <w:r>
        <w:rPr>
          <w:color w:val="auto"/>
          <w:highlight w:val="none"/>
        </w:rPr>
        <w:t>55</w:t>
      </w:r>
      <w:r>
        <w:rPr>
          <w:color w:val="auto"/>
          <w:highlight w:val="none"/>
        </w:rPr>
        <w:fldChar w:fldCharType="end"/>
      </w:r>
      <w:r>
        <w:rPr>
          <w:rFonts w:hint="eastAsia" w:ascii="仿宋" w:hAnsi="仿宋" w:eastAsia="仿宋" w:cs="宋体"/>
          <w:caps/>
          <w:color w:val="auto"/>
          <w:szCs w:val="24"/>
          <w:highlight w:val="none"/>
        </w:rPr>
        <w:fldChar w:fldCharType="end"/>
      </w:r>
    </w:p>
    <w:p w14:paraId="4B73E4E2">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_Toc10923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10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分包</w:t>
      </w:r>
      <w:r>
        <w:rPr>
          <w:color w:val="auto"/>
          <w:highlight w:val="none"/>
        </w:rPr>
        <w:tab/>
      </w:r>
      <w:r>
        <w:rPr>
          <w:color w:val="auto"/>
          <w:highlight w:val="none"/>
        </w:rPr>
        <w:fldChar w:fldCharType="begin"/>
      </w:r>
      <w:r>
        <w:rPr>
          <w:color w:val="auto"/>
          <w:highlight w:val="none"/>
        </w:rPr>
        <w:instrText xml:space="preserve"> PAGEREF _Toc10923 \h </w:instrText>
      </w:r>
      <w:r>
        <w:rPr>
          <w:color w:val="auto"/>
          <w:highlight w:val="none"/>
        </w:rPr>
        <w:fldChar w:fldCharType="separate"/>
      </w:r>
      <w:r>
        <w:rPr>
          <w:color w:val="auto"/>
          <w:highlight w:val="none"/>
        </w:rPr>
        <w:t>56</w:t>
      </w:r>
      <w:r>
        <w:rPr>
          <w:color w:val="auto"/>
          <w:highlight w:val="none"/>
        </w:rPr>
        <w:fldChar w:fldCharType="end"/>
      </w:r>
      <w:r>
        <w:rPr>
          <w:rFonts w:hint="eastAsia" w:ascii="仿宋" w:hAnsi="仿宋" w:eastAsia="仿宋" w:cs="宋体"/>
          <w:caps/>
          <w:color w:val="auto"/>
          <w:szCs w:val="24"/>
          <w:highlight w:val="none"/>
        </w:rPr>
        <w:fldChar w:fldCharType="end"/>
      </w:r>
    </w:p>
    <w:p w14:paraId="03BE0674">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_Toc24919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11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现场查勘</w:t>
      </w:r>
      <w:r>
        <w:rPr>
          <w:color w:val="auto"/>
          <w:highlight w:val="none"/>
        </w:rPr>
        <w:tab/>
      </w:r>
      <w:r>
        <w:rPr>
          <w:color w:val="auto"/>
          <w:highlight w:val="none"/>
        </w:rPr>
        <w:fldChar w:fldCharType="begin"/>
      </w:r>
      <w:r>
        <w:rPr>
          <w:color w:val="auto"/>
          <w:highlight w:val="none"/>
        </w:rPr>
        <w:instrText xml:space="preserve"> PAGEREF _Toc24919 \h </w:instrText>
      </w:r>
      <w:r>
        <w:rPr>
          <w:color w:val="auto"/>
          <w:highlight w:val="none"/>
        </w:rPr>
        <w:fldChar w:fldCharType="separate"/>
      </w:r>
      <w:r>
        <w:rPr>
          <w:color w:val="auto"/>
          <w:highlight w:val="none"/>
        </w:rPr>
        <w:t>58</w:t>
      </w:r>
      <w:r>
        <w:rPr>
          <w:color w:val="auto"/>
          <w:highlight w:val="none"/>
        </w:rPr>
        <w:fldChar w:fldCharType="end"/>
      </w:r>
      <w:r>
        <w:rPr>
          <w:rFonts w:hint="eastAsia" w:ascii="仿宋" w:hAnsi="仿宋" w:eastAsia="仿宋" w:cs="宋体"/>
          <w:caps/>
          <w:color w:val="auto"/>
          <w:szCs w:val="24"/>
          <w:highlight w:val="none"/>
        </w:rPr>
        <w:fldChar w:fldCharType="end"/>
      </w:r>
    </w:p>
    <w:p w14:paraId="5BC5AED1">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_Toc27369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12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招标错失的修正</w:t>
      </w:r>
      <w:r>
        <w:rPr>
          <w:color w:val="auto"/>
          <w:highlight w:val="none"/>
        </w:rPr>
        <w:tab/>
      </w:r>
      <w:r>
        <w:rPr>
          <w:color w:val="auto"/>
          <w:highlight w:val="none"/>
        </w:rPr>
        <w:fldChar w:fldCharType="begin"/>
      </w:r>
      <w:r>
        <w:rPr>
          <w:color w:val="auto"/>
          <w:highlight w:val="none"/>
        </w:rPr>
        <w:instrText xml:space="preserve"> PAGEREF _Toc27369 \h </w:instrText>
      </w:r>
      <w:r>
        <w:rPr>
          <w:color w:val="auto"/>
          <w:highlight w:val="none"/>
        </w:rPr>
        <w:fldChar w:fldCharType="separate"/>
      </w:r>
      <w:r>
        <w:rPr>
          <w:color w:val="auto"/>
          <w:highlight w:val="none"/>
        </w:rPr>
        <w:t>59</w:t>
      </w:r>
      <w:r>
        <w:rPr>
          <w:color w:val="auto"/>
          <w:highlight w:val="none"/>
        </w:rPr>
        <w:fldChar w:fldCharType="end"/>
      </w:r>
      <w:r>
        <w:rPr>
          <w:rFonts w:hint="eastAsia" w:ascii="仿宋" w:hAnsi="仿宋" w:eastAsia="仿宋" w:cs="宋体"/>
          <w:caps/>
          <w:color w:val="auto"/>
          <w:szCs w:val="24"/>
          <w:highlight w:val="none"/>
        </w:rPr>
        <w:fldChar w:fldCharType="end"/>
      </w:r>
    </w:p>
    <w:p w14:paraId="20B98FD9">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_Toc8167 </w:instrText>
      </w:r>
      <w:r>
        <w:rPr>
          <w:rFonts w:hint="eastAsia" w:ascii="仿宋" w:hAnsi="仿宋" w:eastAsia="仿宋" w:cs="宋体"/>
          <w:caps/>
          <w:color w:val="auto"/>
          <w:szCs w:val="24"/>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投标文件的完备性</w:t>
      </w:r>
      <w:r>
        <w:rPr>
          <w:color w:val="auto"/>
          <w:highlight w:val="none"/>
        </w:rPr>
        <w:tab/>
      </w:r>
      <w:r>
        <w:rPr>
          <w:color w:val="auto"/>
          <w:highlight w:val="none"/>
        </w:rPr>
        <w:fldChar w:fldCharType="begin"/>
      </w:r>
      <w:r>
        <w:rPr>
          <w:color w:val="auto"/>
          <w:highlight w:val="none"/>
        </w:rPr>
        <w:instrText xml:space="preserve"> PAGEREF _Toc8167 \h </w:instrText>
      </w:r>
      <w:r>
        <w:rPr>
          <w:color w:val="auto"/>
          <w:highlight w:val="none"/>
        </w:rPr>
        <w:fldChar w:fldCharType="separate"/>
      </w:r>
      <w:r>
        <w:rPr>
          <w:color w:val="auto"/>
          <w:highlight w:val="none"/>
        </w:rPr>
        <w:t>60</w:t>
      </w:r>
      <w:r>
        <w:rPr>
          <w:color w:val="auto"/>
          <w:highlight w:val="none"/>
        </w:rPr>
        <w:fldChar w:fldCharType="end"/>
      </w:r>
      <w:r>
        <w:rPr>
          <w:rFonts w:hint="eastAsia" w:ascii="仿宋" w:hAnsi="仿宋" w:eastAsia="仿宋" w:cs="宋体"/>
          <w:caps/>
          <w:color w:val="auto"/>
          <w:szCs w:val="24"/>
          <w:highlight w:val="none"/>
        </w:rPr>
        <w:fldChar w:fldCharType="end"/>
      </w:r>
    </w:p>
    <w:p w14:paraId="71ADC975">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_Toc15488 </w:instrText>
      </w:r>
      <w:r>
        <w:rPr>
          <w:rFonts w:hint="eastAsia" w:ascii="仿宋" w:hAnsi="仿宋" w:eastAsia="仿宋" w:cs="宋体"/>
          <w:caps/>
          <w:color w:val="auto"/>
          <w:szCs w:val="24"/>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文物和地下障碍物</w:t>
      </w:r>
      <w:r>
        <w:rPr>
          <w:color w:val="auto"/>
          <w:highlight w:val="none"/>
        </w:rPr>
        <w:tab/>
      </w:r>
      <w:r>
        <w:rPr>
          <w:color w:val="auto"/>
          <w:highlight w:val="none"/>
        </w:rPr>
        <w:fldChar w:fldCharType="begin"/>
      </w:r>
      <w:r>
        <w:rPr>
          <w:color w:val="auto"/>
          <w:highlight w:val="none"/>
        </w:rPr>
        <w:instrText xml:space="preserve"> PAGEREF _Toc15488 \h </w:instrText>
      </w:r>
      <w:r>
        <w:rPr>
          <w:color w:val="auto"/>
          <w:highlight w:val="none"/>
        </w:rPr>
        <w:fldChar w:fldCharType="separate"/>
      </w:r>
      <w:r>
        <w:rPr>
          <w:color w:val="auto"/>
          <w:highlight w:val="none"/>
        </w:rPr>
        <w:t>60</w:t>
      </w:r>
      <w:r>
        <w:rPr>
          <w:color w:val="auto"/>
          <w:highlight w:val="none"/>
        </w:rPr>
        <w:fldChar w:fldCharType="end"/>
      </w:r>
      <w:r>
        <w:rPr>
          <w:rFonts w:hint="eastAsia" w:ascii="仿宋" w:hAnsi="仿宋" w:eastAsia="仿宋" w:cs="宋体"/>
          <w:caps/>
          <w:color w:val="auto"/>
          <w:szCs w:val="24"/>
          <w:highlight w:val="none"/>
        </w:rPr>
        <w:fldChar w:fldCharType="end"/>
      </w:r>
    </w:p>
    <w:p w14:paraId="59E011C8">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_Toc25069 </w:instrText>
      </w:r>
      <w:r>
        <w:rPr>
          <w:rFonts w:hint="eastAsia" w:ascii="仿宋" w:hAnsi="仿宋" w:eastAsia="仿宋" w:cs="宋体"/>
          <w:caps/>
          <w:color w:val="auto"/>
          <w:szCs w:val="24"/>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事故处理</w:t>
      </w:r>
      <w:r>
        <w:rPr>
          <w:color w:val="auto"/>
          <w:highlight w:val="none"/>
        </w:rPr>
        <w:tab/>
      </w:r>
      <w:r>
        <w:rPr>
          <w:color w:val="auto"/>
          <w:highlight w:val="none"/>
        </w:rPr>
        <w:fldChar w:fldCharType="begin"/>
      </w:r>
      <w:r>
        <w:rPr>
          <w:color w:val="auto"/>
          <w:highlight w:val="none"/>
        </w:rPr>
        <w:instrText xml:space="preserve"> PAGEREF _Toc25069 \h </w:instrText>
      </w:r>
      <w:r>
        <w:rPr>
          <w:color w:val="auto"/>
          <w:highlight w:val="none"/>
        </w:rPr>
        <w:fldChar w:fldCharType="separate"/>
      </w:r>
      <w:r>
        <w:rPr>
          <w:color w:val="auto"/>
          <w:highlight w:val="none"/>
        </w:rPr>
        <w:t>61</w:t>
      </w:r>
      <w:r>
        <w:rPr>
          <w:color w:val="auto"/>
          <w:highlight w:val="none"/>
        </w:rPr>
        <w:fldChar w:fldCharType="end"/>
      </w:r>
      <w:r>
        <w:rPr>
          <w:rFonts w:hint="eastAsia" w:ascii="仿宋" w:hAnsi="仿宋" w:eastAsia="仿宋" w:cs="宋体"/>
          <w:caps/>
          <w:color w:val="auto"/>
          <w:szCs w:val="24"/>
          <w:highlight w:val="none"/>
        </w:rPr>
        <w:fldChar w:fldCharType="end"/>
      </w:r>
    </w:p>
    <w:p w14:paraId="1222F9E0">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_Toc13870 </w:instrText>
      </w:r>
      <w:r>
        <w:rPr>
          <w:rFonts w:hint="eastAsia" w:ascii="仿宋" w:hAnsi="仿宋" w:eastAsia="仿宋" w:cs="宋体"/>
          <w:caps/>
          <w:color w:val="auto"/>
          <w:szCs w:val="24"/>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交通运输</w:t>
      </w:r>
      <w:r>
        <w:rPr>
          <w:color w:val="auto"/>
          <w:highlight w:val="none"/>
        </w:rPr>
        <w:tab/>
      </w:r>
      <w:r>
        <w:rPr>
          <w:color w:val="auto"/>
          <w:highlight w:val="none"/>
        </w:rPr>
        <w:fldChar w:fldCharType="begin"/>
      </w:r>
      <w:r>
        <w:rPr>
          <w:color w:val="auto"/>
          <w:highlight w:val="none"/>
        </w:rPr>
        <w:instrText xml:space="preserve"> PAGEREF _Toc13870 \h </w:instrText>
      </w:r>
      <w:r>
        <w:rPr>
          <w:color w:val="auto"/>
          <w:highlight w:val="none"/>
        </w:rPr>
        <w:fldChar w:fldCharType="separate"/>
      </w:r>
      <w:r>
        <w:rPr>
          <w:color w:val="auto"/>
          <w:highlight w:val="none"/>
        </w:rPr>
        <w:t>62</w:t>
      </w:r>
      <w:r>
        <w:rPr>
          <w:color w:val="auto"/>
          <w:highlight w:val="none"/>
        </w:rPr>
        <w:fldChar w:fldCharType="end"/>
      </w:r>
      <w:r>
        <w:rPr>
          <w:rFonts w:hint="eastAsia" w:ascii="仿宋" w:hAnsi="仿宋" w:eastAsia="仿宋" w:cs="宋体"/>
          <w:caps/>
          <w:color w:val="auto"/>
          <w:szCs w:val="24"/>
          <w:highlight w:val="none"/>
        </w:rPr>
        <w:fldChar w:fldCharType="end"/>
      </w:r>
    </w:p>
    <w:p w14:paraId="5173021C">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_Toc2367 </w:instrText>
      </w:r>
      <w:r>
        <w:rPr>
          <w:rFonts w:hint="eastAsia" w:ascii="仿宋" w:hAnsi="仿宋" w:eastAsia="仿宋" w:cs="宋体"/>
          <w:caps/>
          <w:color w:val="auto"/>
          <w:szCs w:val="24"/>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专项批准事项的签认</w:t>
      </w:r>
      <w:r>
        <w:rPr>
          <w:color w:val="auto"/>
          <w:highlight w:val="none"/>
        </w:rPr>
        <w:tab/>
      </w:r>
      <w:r>
        <w:rPr>
          <w:color w:val="auto"/>
          <w:highlight w:val="none"/>
        </w:rPr>
        <w:fldChar w:fldCharType="begin"/>
      </w:r>
      <w:r>
        <w:rPr>
          <w:color w:val="auto"/>
          <w:highlight w:val="none"/>
        </w:rPr>
        <w:instrText xml:space="preserve"> PAGEREF _Toc2367 \h </w:instrText>
      </w:r>
      <w:r>
        <w:rPr>
          <w:color w:val="auto"/>
          <w:highlight w:val="none"/>
        </w:rPr>
        <w:fldChar w:fldCharType="separate"/>
      </w:r>
      <w:r>
        <w:rPr>
          <w:color w:val="auto"/>
          <w:highlight w:val="none"/>
        </w:rPr>
        <w:t>63</w:t>
      </w:r>
      <w:r>
        <w:rPr>
          <w:color w:val="auto"/>
          <w:highlight w:val="none"/>
        </w:rPr>
        <w:fldChar w:fldCharType="end"/>
      </w:r>
      <w:r>
        <w:rPr>
          <w:rFonts w:hint="eastAsia" w:ascii="仿宋" w:hAnsi="仿宋" w:eastAsia="仿宋" w:cs="宋体"/>
          <w:caps/>
          <w:color w:val="auto"/>
          <w:szCs w:val="24"/>
          <w:highlight w:val="none"/>
        </w:rPr>
        <w:fldChar w:fldCharType="end"/>
      </w:r>
    </w:p>
    <w:p w14:paraId="336F801D">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_Toc11185 </w:instrText>
      </w:r>
      <w:r>
        <w:rPr>
          <w:rFonts w:hint="eastAsia" w:ascii="仿宋" w:hAnsi="仿宋" w:eastAsia="仿宋" w:cs="宋体"/>
          <w:caps/>
          <w:color w:val="auto"/>
          <w:szCs w:val="24"/>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专利技术和知识产权</w:t>
      </w:r>
      <w:r>
        <w:rPr>
          <w:color w:val="auto"/>
          <w:highlight w:val="none"/>
        </w:rPr>
        <w:tab/>
      </w:r>
      <w:r>
        <w:rPr>
          <w:color w:val="auto"/>
          <w:highlight w:val="none"/>
        </w:rPr>
        <w:fldChar w:fldCharType="begin"/>
      </w:r>
      <w:r>
        <w:rPr>
          <w:color w:val="auto"/>
          <w:highlight w:val="none"/>
        </w:rPr>
        <w:instrText xml:space="preserve"> PAGEREF _Toc11185 \h </w:instrText>
      </w:r>
      <w:r>
        <w:rPr>
          <w:color w:val="auto"/>
          <w:highlight w:val="none"/>
        </w:rPr>
        <w:fldChar w:fldCharType="separate"/>
      </w:r>
      <w:r>
        <w:rPr>
          <w:color w:val="auto"/>
          <w:highlight w:val="none"/>
        </w:rPr>
        <w:t>63</w:t>
      </w:r>
      <w:r>
        <w:rPr>
          <w:color w:val="auto"/>
          <w:highlight w:val="none"/>
        </w:rPr>
        <w:fldChar w:fldCharType="end"/>
      </w:r>
      <w:r>
        <w:rPr>
          <w:rFonts w:hint="eastAsia" w:ascii="仿宋" w:hAnsi="仿宋" w:eastAsia="仿宋" w:cs="宋体"/>
          <w:caps/>
          <w:color w:val="auto"/>
          <w:szCs w:val="24"/>
          <w:highlight w:val="none"/>
        </w:rPr>
        <w:fldChar w:fldCharType="end"/>
      </w:r>
    </w:p>
    <w:p w14:paraId="0E56B464">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_Toc1350 </w:instrText>
      </w:r>
      <w:r>
        <w:rPr>
          <w:rFonts w:hint="eastAsia" w:ascii="仿宋" w:hAnsi="仿宋" w:eastAsia="仿宋" w:cs="宋体"/>
          <w:caps/>
          <w:color w:val="auto"/>
          <w:szCs w:val="24"/>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 xml:space="preserve"> 联合体</w:t>
      </w:r>
      <w:r>
        <w:rPr>
          <w:color w:val="auto"/>
          <w:highlight w:val="none"/>
        </w:rPr>
        <w:tab/>
      </w:r>
      <w:r>
        <w:rPr>
          <w:color w:val="auto"/>
          <w:highlight w:val="none"/>
        </w:rPr>
        <w:fldChar w:fldCharType="begin"/>
      </w:r>
      <w:r>
        <w:rPr>
          <w:color w:val="auto"/>
          <w:highlight w:val="none"/>
        </w:rPr>
        <w:instrText xml:space="preserve"> PAGEREF _Toc1350 \h </w:instrText>
      </w:r>
      <w:r>
        <w:rPr>
          <w:color w:val="auto"/>
          <w:highlight w:val="none"/>
        </w:rPr>
        <w:fldChar w:fldCharType="separate"/>
      </w:r>
      <w:r>
        <w:rPr>
          <w:color w:val="auto"/>
          <w:highlight w:val="none"/>
        </w:rPr>
        <w:t>65</w:t>
      </w:r>
      <w:r>
        <w:rPr>
          <w:color w:val="auto"/>
          <w:highlight w:val="none"/>
        </w:rPr>
        <w:fldChar w:fldCharType="end"/>
      </w:r>
      <w:r>
        <w:rPr>
          <w:rFonts w:hint="eastAsia" w:ascii="仿宋" w:hAnsi="仿宋" w:eastAsia="仿宋" w:cs="宋体"/>
          <w:caps/>
          <w:color w:val="auto"/>
          <w:szCs w:val="24"/>
          <w:highlight w:val="none"/>
        </w:rPr>
        <w:fldChar w:fldCharType="end"/>
      </w:r>
    </w:p>
    <w:p w14:paraId="3E4E593A">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_Toc32010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20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保障</w:t>
      </w:r>
      <w:r>
        <w:rPr>
          <w:color w:val="auto"/>
          <w:highlight w:val="none"/>
        </w:rPr>
        <w:tab/>
      </w:r>
      <w:r>
        <w:rPr>
          <w:color w:val="auto"/>
          <w:highlight w:val="none"/>
        </w:rPr>
        <w:fldChar w:fldCharType="begin"/>
      </w:r>
      <w:r>
        <w:rPr>
          <w:color w:val="auto"/>
          <w:highlight w:val="none"/>
        </w:rPr>
        <w:instrText xml:space="preserve"> PAGEREF _Toc32010 \h </w:instrText>
      </w:r>
      <w:r>
        <w:rPr>
          <w:color w:val="auto"/>
          <w:highlight w:val="none"/>
        </w:rPr>
        <w:fldChar w:fldCharType="separate"/>
      </w:r>
      <w:r>
        <w:rPr>
          <w:color w:val="auto"/>
          <w:highlight w:val="none"/>
        </w:rPr>
        <w:t>68</w:t>
      </w:r>
      <w:r>
        <w:rPr>
          <w:color w:val="auto"/>
          <w:highlight w:val="none"/>
        </w:rPr>
        <w:fldChar w:fldCharType="end"/>
      </w:r>
      <w:r>
        <w:rPr>
          <w:rFonts w:hint="eastAsia" w:ascii="仿宋" w:hAnsi="仿宋" w:eastAsia="仿宋" w:cs="宋体"/>
          <w:caps/>
          <w:color w:val="auto"/>
          <w:szCs w:val="24"/>
          <w:highlight w:val="none"/>
        </w:rPr>
        <w:fldChar w:fldCharType="end"/>
      </w:r>
    </w:p>
    <w:p w14:paraId="6BB625A9">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_Toc22244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21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财产</w:t>
      </w:r>
      <w:r>
        <w:rPr>
          <w:color w:val="auto"/>
          <w:highlight w:val="none"/>
        </w:rPr>
        <w:tab/>
      </w:r>
      <w:r>
        <w:rPr>
          <w:color w:val="auto"/>
          <w:highlight w:val="none"/>
        </w:rPr>
        <w:fldChar w:fldCharType="begin"/>
      </w:r>
      <w:r>
        <w:rPr>
          <w:color w:val="auto"/>
          <w:highlight w:val="none"/>
        </w:rPr>
        <w:instrText xml:space="preserve"> PAGEREF _Toc22244 \h </w:instrText>
      </w:r>
      <w:r>
        <w:rPr>
          <w:color w:val="auto"/>
          <w:highlight w:val="none"/>
        </w:rPr>
        <w:fldChar w:fldCharType="separate"/>
      </w:r>
      <w:r>
        <w:rPr>
          <w:color w:val="auto"/>
          <w:highlight w:val="none"/>
        </w:rPr>
        <w:t>68</w:t>
      </w:r>
      <w:r>
        <w:rPr>
          <w:color w:val="auto"/>
          <w:highlight w:val="none"/>
        </w:rPr>
        <w:fldChar w:fldCharType="end"/>
      </w:r>
      <w:r>
        <w:rPr>
          <w:rFonts w:hint="eastAsia" w:ascii="仿宋" w:hAnsi="仿宋" w:eastAsia="仿宋" w:cs="宋体"/>
          <w:caps/>
          <w:color w:val="auto"/>
          <w:szCs w:val="24"/>
          <w:highlight w:val="none"/>
        </w:rPr>
        <w:fldChar w:fldCharType="end"/>
      </w:r>
    </w:p>
    <w:p w14:paraId="2C8BC43B">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_Toc22999 </w:instrText>
      </w:r>
      <w:r>
        <w:rPr>
          <w:rFonts w:hint="eastAsia" w:ascii="仿宋" w:hAnsi="仿宋" w:eastAsia="仿宋" w:cs="宋体"/>
          <w:caps/>
          <w:color w:val="auto"/>
          <w:szCs w:val="24"/>
          <w:highlight w:val="none"/>
        </w:rPr>
        <w:fldChar w:fldCharType="separate"/>
      </w:r>
      <w:r>
        <w:rPr>
          <w:rFonts w:hint="eastAsia" w:ascii="仿宋" w:hAnsi="仿宋" w:eastAsia="仿宋" w:cs="仿宋"/>
          <w:bCs/>
          <w:color w:val="auto"/>
          <w:highlight w:val="none"/>
          <w:lang w:eastAsia="zh-CN"/>
        </w:rPr>
        <w:t>二、合同主体</w:t>
      </w:r>
      <w:r>
        <w:rPr>
          <w:color w:val="auto"/>
          <w:highlight w:val="none"/>
        </w:rPr>
        <w:tab/>
      </w:r>
      <w:r>
        <w:rPr>
          <w:color w:val="auto"/>
          <w:highlight w:val="none"/>
        </w:rPr>
        <w:fldChar w:fldCharType="begin"/>
      </w:r>
      <w:r>
        <w:rPr>
          <w:color w:val="auto"/>
          <w:highlight w:val="none"/>
        </w:rPr>
        <w:instrText xml:space="preserve"> PAGEREF _Toc22999 \h </w:instrText>
      </w:r>
      <w:r>
        <w:rPr>
          <w:color w:val="auto"/>
          <w:highlight w:val="none"/>
        </w:rPr>
        <w:fldChar w:fldCharType="separate"/>
      </w:r>
      <w:r>
        <w:rPr>
          <w:color w:val="auto"/>
          <w:highlight w:val="none"/>
        </w:rPr>
        <w:t>69</w:t>
      </w:r>
      <w:r>
        <w:rPr>
          <w:color w:val="auto"/>
          <w:highlight w:val="none"/>
        </w:rPr>
        <w:fldChar w:fldCharType="end"/>
      </w:r>
      <w:r>
        <w:rPr>
          <w:rFonts w:hint="eastAsia" w:ascii="仿宋" w:hAnsi="仿宋" w:eastAsia="仿宋" w:cs="宋体"/>
          <w:caps/>
          <w:color w:val="auto"/>
          <w:szCs w:val="24"/>
          <w:highlight w:val="none"/>
        </w:rPr>
        <w:fldChar w:fldCharType="end"/>
      </w:r>
    </w:p>
    <w:p w14:paraId="15DA747C">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_Toc25509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22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w:t>
      </w:r>
      <w:r>
        <w:rPr>
          <w:color w:val="auto"/>
          <w:highlight w:val="none"/>
        </w:rPr>
        <w:tab/>
      </w:r>
      <w:r>
        <w:rPr>
          <w:color w:val="auto"/>
          <w:highlight w:val="none"/>
        </w:rPr>
        <w:fldChar w:fldCharType="begin"/>
      </w:r>
      <w:r>
        <w:rPr>
          <w:color w:val="auto"/>
          <w:highlight w:val="none"/>
        </w:rPr>
        <w:instrText xml:space="preserve"> PAGEREF _Toc25509 \h </w:instrText>
      </w:r>
      <w:r>
        <w:rPr>
          <w:color w:val="auto"/>
          <w:highlight w:val="none"/>
        </w:rPr>
        <w:fldChar w:fldCharType="separate"/>
      </w:r>
      <w:r>
        <w:rPr>
          <w:color w:val="auto"/>
          <w:highlight w:val="none"/>
        </w:rPr>
        <w:t>69</w:t>
      </w:r>
      <w:r>
        <w:rPr>
          <w:color w:val="auto"/>
          <w:highlight w:val="none"/>
        </w:rPr>
        <w:fldChar w:fldCharType="end"/>
      </w:r>
      <w:r>
        <w:rPr>
          <w:rFonts w:hint="eastAsia" w:ascii="仿宋" w:hAnsi="仿宋" w:eastAsia="仿宋" w:cs="宋体"/>
          <w:caps/>
          <w:color w:val="auto"/>
          <w:szCs w:val="24"/>
          <w:highlight w:val="none"/>
        </w:rPr>
        <w:fldChar w:fldCharType="end"/>
      </w:r>
    </w:p>
    <w:p w14:paraId="258230D2">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_Toc442 </w:instrText>
      </w:r>
      <w:r>
        <w:rPr>
          <w:rFonts w:hint="eastAsia" w:ascii="仿宋" w:hAnsi="仿宋" w:eastAsia="仿宋" w:cs="宋体"/>
          <w:caps/>
          <w:color w:val="auto"/>
          <w:szCs w:val="24"/>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w:t>
      </w:r>
      <w:r>
        <w:rPr>
          <w:color w:val="auto"/>
          <w:highlight w:val="none"/>
        </w:rPr>
        <w:tab/>
      </w:r>
      <w:r>
        <w:rPr>
          <w:color w:val="auto"/>
          <w:highlight w:val="none"/>
        </w:rPr>
        <w:fldChar w:fldCharType="begin"/>
      </w:r>
      <w:r>
        <w:rPr>
          <w:color w:val="auto"/>
          <w:highlight w:val="none"/>
        </w:rPr>
        <w:instrText xml:space="preserve"> PAGEREF _Toc442 \h </w:instrText>
      </w:r>
      <w:r>
        <w:rPr>
          <w:color w:val="auto"/>
          <w:highlight w:val="none"/>
        </w:rPr>
        <w:fldChar w:fldCharType="separate"/>
      </w:r>
      <w:r>
        <w:rPr>
          <w:color w:val="auto"/>
          <w:highlight w:val="none"/>
        </w:rPr>
        <w:t>70</w:t>
      </w:r>
      <w:r>
        <w:rPr>
          <w:color w:val="auto"/>
          <w:highlight w:val="none"/>
        </w:rPr>
        <w:fldChar w:fldCharType="end"/>
      </w:r>
      <w:r>
        <w:rPr>
          <w:rFonts w:hint="eastAsia" w:ascii="仿宋" w:hAnsi="仿宋" w:eastAsia="仿宋" w:cs="宋体"/>
          <w:caps/>
          <w:color w:val="auto"/>
          <w:szCs w:val="24"/>
          <w:highlight w:val="none"/>
        </w:rPr>
        <w:fldChar w:fldCharType="end"/>
      </w:r>
    </w:p>
    <w:p w14:paraId="291DEB89">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_Toc23218 </w:instrText>
      </w:r>
      <w:r>
        <w:rPr>
          <w:rFonts w:hint="eastAsia" w:ascii="仿宋" w:hAnsi="仿宋" w:eastAsia="仿宋" w:cs="宋体"/>
          <w:caps/>
          <w:color w:val="auto"/>
          <w:szCs w:val="24"/>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现场管理人员任命和更换</w:t>
      </w:r>
      <w:r>
        <w:rPr>
          <w:color w:val="auto"/>
          <w:highlight w:val="none"/>
        </w:rPr>
        <w:tab/>
      </w:r>
      <w:r>
        <w:rPr>
          <w:color w:val="auto"/>
          <w:highlight w:val="none"/>
        </w:rPr>
        <w:fldChar w:fldCharType="begin"/>
      </w:r>
      <w:r>
        <w:rPr>
          <w:color w:val="auto"/>
          <w:highlight w:val="none"/>
        </w:rPr>
        <w:instrText xml:space="preserve"> PAGEREF _Toc23218 \h </w:instrText>
      </w:r>
      <w:r>
        <w:rPr>
          <w:color w:val="auto"/>
          <w:highlight w:val="none"/>
        </w:rPr>
        <w:fldChar w:fldCharType="separate"/>
      </w:r>
      <w:r>
        <w:rPr>
          <w:color w:val="auto"/>
          <w:highlight w:val="none"/>
        </w:rPr>
        <w:t>73</w:t>
      </w:r>
      <w:r>
        <w:rPr>
          <w:color w:val="auto"/>
          <w:highlight w:val="none"/>
        </w:rPr>
        <w:fldChar w:fldCharType="end"/>
      </w:r>
      <w:r>
        <w:rPr>
          <w:rFonts w:hint="eastAsia" w:ascii="仿宋" w:hAnsi="仿宋" w:eastAsia="仿宋" w:cs="宋体"/>
          <w:caps/>
          <w:color w:val="auto"/>
          <w:szCs w:val="24"/>
          <w:highlight w:val="none"/>
        </w:rPr>
        <w:fldChar w:fldCharType="end"/>
      </w:r>
    </w:p>
    <w:p w14:paraId="339BC9D4">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_Toc17685 </w:instrText>
      </w:r>
      <w:r>
        <w:rPr>
          <w:rFonts w:hint="eastAsia" w:ascii="仿宋" w:hAnsi="仿宋" w:eastAsia="仿宋" w:cs="宋体"/>
          <w:caps/>
          <w:color w:val="auto"/>
          <w:szCs w:val="24"/>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发包人代表</w:t>
      </w:r>
      <w:r>
        <w:rPr>
          <w:color w:val="auto"/>
          <w:highlight w:val="none"/>
        </w:rPr>
        <w:tab/>
      </w:r>
      <w:r>
        <w:rPr>
          <w:color w:val="auto"/>
          <w:highlight w:val="none"/>
        </w:rPr>
        <w:fldChar w:fldCharType="begin"/>
      </w:r>
      <w:r>
        <w:rPr>
          <w:color w:val="auto"/>
          <w:highlight w:val="none"/>
        </w:rPr>
        <w:instrText xml:space="preserve"> PAGEREF _Toc17685 \h </w:instrText>
      </w:r>
      <w:r>
        <w:rPr>
          <w:color w:val="auto"/>
          <w:highlight w:val="none"/>
        </w:rPr>
        <w:fldChar w:fldCharType="separate"/>
      </w:r>
      <w:r>
        <w:rPr>
          <w:color w:val="auto"/>
          <w:highlight w:val="none"/>
        </w:rPr>
        <w:t>75</w:t>
      </w:r>
      <w:r>
        <w:rPr>
          <w:color w:val="auto"/>
          <w:highlight w:val="none"/>
        </w:rPr>
        <w:fldChar w:fldCharType="end"/>
      </w:r>
      <w:r>
        <w:rPr>
          <w:rFonts w:hint="eastAsia" w:ascii="仿宋" w:hAnsi="仿宋" w:eastAsia="仿宋" w:cs="宋体"/>
          <w:caps/>
          <w:color w:val="auto"/>
          <w:szCs w:val="24"/>
          <w:highlight w:val="none"/>
        </w:rPr>
        <w:fldChar w:fldCharType="end"/>
      </w:r>
    </w:p>
    <w:p w14:paraId="6D5FEA2C">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_Toc14650 </w:instrText>
      </w:r>
      <w:r>
        <w:rPr>
          <w:rFonts w:hint="eastAsia" w:ascii="仿宋" w:hAnsi="仿宋" w:eastAsia="仿宋" w:cs="宋体"/>
          <w:caps/>
          <w:color w:val="auto"/>
          <w:szCs w:val="24"/>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设计顾问人</w:t>
      </w:r>
      <w:r>
        <w:rPr>
          <w:color w:val="auto"/>
          <w:highlight w:val="none"/>
        </w:rPr>
        <w:tab/>
      </w:r>
      <w:r>
        <w:rPr>
          <w:color w:val="auto"/>
          <w:highlight w:val="none"/>
        </w:rPr>
        <w:fldChar w:fldCharType="begin"/>
      </w:r>
      <w:r>
        <w:rPr>
          <w:color w:val="auto"/>
          <w:highlight w:val="none"/>
        </w:rPr>
        <w:instrText xml:space="preserve"> PAGEREF _Toc14650 \h </w:instrText>
      </w:r>
      <w:r>
        <w:rPr>
          <w:color w:val="auto"/>
          <w:highlight w:val="none"/>
        </w:rPr>
        <w:fldChar w:fldCharType="separate"/>
      </w:r>
      <w:r>
        <w:rPr>
          <w:color w:val="auto"/>
          <w:highlight w:val="none"/>
        </w:rPr>
        <w:t>75</w:t>
      </w:r>
      <w:r>
        <w:rPr>
          <w:color w:val="auto"/>
          <w:highlight w:val="none"/>
        </w:rPr>
        <w:fldChar w:fldCharType="end"/>
      </w:r>
      <w:r>
        <w:rPr>
          <w:rFonts w:hint="eastAsia" w:ascii="仿宋" w:hAnsi="仿宋" w:eastAsia="仿宋" w:cs="宋体"/>
          <w:caps/>
          <w:color w:val="auto"/>
          <w:szCs w:val="24"/>
          <w:highlight w:val="none"/>
        </w:rPr>
        <w:fldChar w:fldCharType="end"/>
      </w:r>
    </w:p>
    <w:p w14:paraId="0CBD24CB">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_Toc18767 </w:instrText>
      </w:r>
      <w:r>
        <w:rPr>
          <w:rFonts w:hint="eastAsia" w:ascii="仿宋" w:hAnsi="仿宋" w:eastAsia="仿宋" w:cs="宋体"/>
          <w:caps/>
          <w:color w:val="auto"/>
          <w:szCs w:val="24"/>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监理人</w:t>
      </w:r>
      <w:r>
        <w:rPr>
          <w:color w:val="auto"/>
          <w:highlight w:val="none"/>
        </w:rPr>
        <w:tab/>
      </w:r>
      <w:r>
        <w:rPr>
          <w:color w:val="auto"/>
          <w:highlight w:val="none"/>
        </w:rPr>
        <w:fldChar w:fldCharType="begin"/>
      </w:r>
      <w:r>
        <w:rPr>
          <w:color w:val="auto"/>
          <w:highlight w:val="none"/>
        </w:rPr>
        <w:instrText xml:space="preserve"> PAGEREF _Toc18767 \h </w:instrText>
      </w:r>
      <w:r>
        <w:rPr>
          <w:color w:val="auto"/>
          <w:highlight w:val="none"/>
        </w:rPr>
        <w:fldChar w:fldCharType="separate"/>
      </w:r>
      <w:r>
        <w:rPr>
          <w:color w:val="auto"/>
          <w:highlight w:val="none"/>
        </w:rPr>
        <w:t>77</w:t>
      </w:r>
      <w:r>
        <w:rPr>
          <w:color w:val="auto"/>
          <w:highlight w:val="none"/>
        </w:rPr>
        <w:fldChar w:fldCharType="end"/>
      </w:r>
      <w:r>
        <w:rPr>
          <w:rFonts w:hint="eastAsia" w:ascii="仿宋" w:hAnsi="仿宋" w:eastAsia="仿宋" w:cs="宋体"/>
          <w:caps/>
          <w:color w:val="auto"/>
          <w:szCs w:val="24"/>
          <w:highlight w:val="none"/>
        </w:rPr>
        <w:fldChar w:fldCharType="end"/>
      </w:r>
    </w:p>
    <w:p w14:paraId="3CB9F6AF">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_Toc52 </w:instrText>
      </w:r>
      <w:r>
        <w:rPr>
          <w:rFonts w:hint="eastAsia" w:ascii="仿宋" w:hAnsi="仿宋" w:eastAsia="仿宋" w:cs="宋体"/>
          <w:caps/>
          <w:color w:val="auto"/>
          <w:szCs w:val="24"/>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造价咨询人</w:t>
      </w:r>
      <w:r>
        <w:rPr>
          <w:color w:val="auto"/>
          <w:highlight w:val="none"/>
        </w:rPr>
        <w:tab/>
      </w:r>
      <w:r>
        <w:rPr>
          <w:color w:val="auto"/>
          <w:highlight w:val="none"/>
        </w:rPr>
        <w:fldChar w:fldCharType="begin"/>
      </w:r>
      <w:r>
        <w:rPr>
          <w:color w:val="auto"/>
          <w:highlight w:val="none"/>
        </w:rPr>
        <w:instrText xml:space="preserve"> PAGEREF _Toc52 \h </w:instrText>
      </w:r>
      <w:r>
        <w:rPr>
          <w:color w:val="auto"/>
          <w:highlight w:val="none"/>
        </w:rPr>
        <w:fldChar w:fldCharType="separate"/>
      </w:r>
      <w:r>
        <w:rPr>
          <w:color w:val="auto"/>
          <w:highlight w:val="none"/>
        </w:rPr>
        <w:t>79</w:t>
      </w:r>
      <w:r>
        <w:rPr>
          <w:color w:val="auto"/>
          <w:highlight w:val="none"/>
        </w:rPr>
        <w:fldChar w:fldCharType="end"/>
      </w:r>
      <w:r>
        <w:rPr>
          <w:rFonts w:hint="eastAsia" w:ascii="仿宋" w:hAnsi="仿宋" w:eastAsia="仿宋" w:cs="宋体"/>
          <w:caps/>
          <w:color w:val="auto"/>
          <w:szCs w:val="24"/>
          <w:highlight w:val="none"/>
        </w:rPr>
        <w:fldChar w:fldCharType="end"/>
      </w:r>
    </w:p>
    <w:p w14:paraId="491C9C9D">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_Toc24581 </w:instrText>
      </w:r>
      <w:r>
        <w:rPr>
          <w:rFonts w:hint="eastAsia" w:ascii="仿宋" w:hAnsi="仿宋" w:eastAsia="仿宋" w:cs="宋体"/>
          <w:caps/>
          <w:color w:val="auto"/>
          <w:szCs w:val="24"/>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承包人代表及其专业负责人</w:t>
      </w:r>
      <w:r>
        <w:rPr>
          <w:color w:val="auto"/>
          <w:highlight w:val="none"/>
        </w:rPr>
        <w:tab/>
      </w:r>
      <w:r>
        <w:rPr>
          <w:color w:val="auto"/>
          <w:highlight w:val="none"/>
        </w:rPr>
        <w:fldChar w:fldCharType="begin"/>
      </w:r>
      <w:r>
        <w:rPr>
          <w:color w:val="auto"/>
          <w:highlight w:val="none"/>
        </w:rPr>
        <w:instrText xml:space="preserve"> PAGEREF _Toc24581 \h </w:instrText>
      </w:r>
      <w:r>
        <w:rPr>
          <w:color w:val="auto"/>
          <w:highlight w:val="none"/>
        </w:rPr>
        <w:fldChar w:fldCharType="separate"/>
      </w:r>
      <w:r>
        <w:rPr>
          <w:color w:val="auto"/>
          <w:highlight w:val="none"/>
        </w:rPr>
        <w:t>81</w:t>
      </w:r>
      <w:r>
        <w:rPr>
          <w:color w:val="auto"/>
          <w:highlight w:val="none"/>
        </w:rPr>
        <w:fldChar w:fldCharType="end"/>
      </w:r>
      <w:r>
        <w:rPr>
          <w:rFonts w:hint="eastAsia" w:ascii="仿宋" w:hAnsi="仿宋" w:eastAsia="仿宋" w:cs="宋体"/>
          <w:caps/>
          <w:color w:val="auto"/>
          <w:szCs w:val="24"/>
          <w:highlight w:val="none"/>
        </w:rPr>
        <w:fldChar w:fldCharType="end"/>
      </w:r>
    </w:p>
    <w:p w14:paraId="14259C9C">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_Toc17734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30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指定分包人</w:t>
      </w:r>
      <w:r>
        <w:rPr>
          <w:color w:val="auto"/>
          <w:highlight w:val="none"/>
        </w:rPr>
        <w:tab/>
      </w:r>
      <w:r>
        <w:rPr>
          <w:color w:val="auto"/>
          <w:highlight w:val="none"/>
        </w:rPr>
        <w:fldChar w:fldCharType="begin"/>
      </w:r>
      <w:r>
        <w:rPr>
          <w:color w:val="auto"/>
          <w:highlight w:val="none"/>
        </w:rPr>
        <w:instrText xml:space="preserve"> PAGEREF _Toc17734 \h </w:instrText>
      </w:r>
      <w:r>
        <w:rPr>
          <w:color w:val="auto"/>
          <w:highlight w:val="none"/>
        </w:rPr>
        <w:fldChar w:fldCharType="separate"/>
      </w:r>
      <w:r>
        <w:rPr>
          <w:color w:val="auto"/>
          <w:highlight w:val="none"/>
        </w:rPr>
        <w:t>82</w:t>
      </w:r>
      <w:r>
        <w:rPr>
          <w:color w:val="auto"/>
          <w:highlight w:val="none"/>
        </w:rPr>
        <w:fldChar w:fldCharType="end"/>
      </w:r>
      <w:r>
        <w:rPr>
          <w:rFonts w:hint="eastAsia" w:ascii="仿宋" w:hAnsi="仿宋" w:eastAsia="仿宋" w:cs="宋体"/>
          <w:caps/>
          <w:color w:val="auto"/>
          <w:szCs w:val="24"/>
          <w:highlight w:val="none"/>
        </w:rPr>
        <w:fldChar w:fldCharType="end"/>
      </w:r>
    </w:p>
    <w:p w14:paraId="3A2FC645">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_Toc4313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31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 xml:space="preserve"> 承包人劳务</w:t>
      </w:r>
      <w:r>
        <w:rPr>
          <w:color w:val="auto"/>
          <w:highlight w:val="none"/>
        </w:rPr>
        <w:tab/>
      </w:r>
      <w:r>
        <w:rPr>
          <w:color w:val="auto"/>
          <w:highlight w:val="none"/>
        </w:rPr>
        <w:fldChar w:fldCharType="begin"/>
      </w:r>
      <w:r>
        <w:rPr>
          <w:color w:val="auto"/>
          <w:highlight w:val="none"/>
        </w:rPr>
        <w:instrText xml:space="preserve"> PAGEREF _Toc4313 \h </w:instrText>
      </w:r>
      <w:r>
        <w:rPr>
          <w:color w:val="auto"/>
          <w:highlight w:val="none"/>
        </w:rPr>
        <w:fldChar w:fldCharType="separate"/>
      </w:r>
      <w:r>
        <w:rPr>
          <w:color w:val="auto"/>
          <w:highlight w:val="none"/>
        </w:rPr>
        <w:t>82</w:t>
      </w:r>
      <w:r>
        <w:rPr>
          <w:color w:val="auto"/>
          <w:highlight w:val="none"/>
        </w:rPr>
        <w:fldChar w:fldCharType="end"/>
      </w:r>
      <w:r>
        <w:rPr>
          <w:rFonts w:hint="eastAsia" w:ascii="仿宋" w:hAnsi="仿宋" w:eastAsia="仿宋" w:cs="宋体"/>
          <w:caps/>
          <w:color w:val="auto"/>
          <w:szCs w:val="24"/>
          <w:highlight w:val="none"/>
        </w:rPr>
        <w:fldChar w:fldCharType="end"/>
      </w:r>
    </w:p>
    <w:p w14:paraId="4175D6AF">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_Toc24527 </w:instrText>
      </w:r>
      <w:r>
        <w:rPr>
          <w:rFonts w:hint="eastAsia" w:ascii="仿宋" w:hAnsi="仿宋" w:eastAsia="仿宋" w:cs="宋体"/>
          <w:caps/>
          <w:color w:val="auto"/>
          <w:szCs w:val="24"/>
          <w:highlight w:val="none"/>
        </w:rPr>
        <w:fldChar w:fldCharType="separate"/>
      </w:r>
      <w:r>
        <w:rPr>
          <w:rFonts w:hint="eastAsia" w:ascii="仿宋" w:hAnsi="仿宋" w:eastAsia="仿宋" w:cs="仿宋"/>
          <w:bCs/>
          <w:color w:val="auto"/>
          <w:szCs w:val="24"/>
          <w:highlight w:val="none"/>
          <w:lang w:eastAsia="zh-CN"/>
        </w:rPr>
        <w:t>三、担保、保险与风险</w:t>
      </w:r>
      <w:r>
        <w:rPr>
          <w:color w:val="auto"/>
          <w:highlight w:val="none"/>
        </w:rPr>
        <w:tab/>
      </w:r>
      <w:r>
        <w:rPr>
          <w:color w:val="auto"/>
          <w:highlight w:val="none"/>
        </w:rPr>
        <w:fldChar w:fldCharType="begin"/>
      </w:r>
      <w:r>
        <w:rPr>
          <w:color w:val="auto"/>
          <w:highlight w:val="none"/>
        </w:rPr>
        <w:instrText xml:space="preserve"> PAGEREF _Toc24527 \h </w:instrText>
      </w:r>
      <w:r>
        <w:rPr>
          <w:color w:val="auto"/>
          <w:highlight w:val="none"/>
        </w:rPr>
        <w:fldChar w:fldCharType="separate"/>
      </w:r>
      <w:r>
        <w:rPr>
          <w:color w:val="auto"/>
          <w:highlight w:val="none"/>
        </w:rPr>
        <w:t>84</w:t>
      </w:r>
      <w:r>
        <w:rPr>
          <w:color w:val="auto"/>
          <w:highlight w:val="none"/>
        </w:rPr>
        <w:fldChar w:fldCharType="end"/>
      </w:r>
      <w:r>
        <w:rPr>
          <w:rFonts w:hint="eastAsia" w:ascii="仿宋" w:hAnsi="仿宋" w:eastAsia="仿宋" w:cs="宋体"/>
          <w:caps/>
          <w:color w:val="auto"/>
          <w:szCs w:val="24"/>
          <w:highlight w:val="none"/>
        </w:rPr>
        <w:fldChar w:fldCharType="end"/>
      </w:r>
    </w:p>
    <w:p w14:paraId="519D8CF6">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_Toc13003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32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工程担保</w:t>
      </w:r>
      <w:r>
        <w:rPr>
          <w:color w:val="auto"/>
          <w:highlight w:val="none"/>
        </w:rPr>
        <w:tab/>
      </w:r>
      <w:r>
        <w:rPr>
          <w:color w:val="auto"/>
          <w:highlight w:val="none"/>
        </w:rPr>
        <w:fldChar w:fldCharType="begin"/>
      </w:r>
      <w:r>
        <w:rPr>
          <w:color w:val="auto"/>
          <w:highlight w:val="none"/>
        </w:rPr>
        <w:instrText xml:space="preserve"> PAGEREF _Toc13003 \h </w:instrText>
      </w:r>
      <w:r>
        <w:rPr>
          <w:color w:val="auto"/>
          <w:highlight w:val="none"/>
        </w:rPr>
        <w:fldChar w:fldCharType="separate"/>
      </w:r>
      <w:r>
        <w:rPr>
          <w:color w:val="auto"/>
          <w:highlight w:val="none"/>
        </w:rPr>
        <w:t>84</w:t>
      </w:r>
      <w:r>
        <w:rPr>
          <w:color w:val="auto"/>
          <w:highlight w:val="none"/>
        </w:rPr>
        <w:fldChar w:fldCharType="end"/>
      </w:r>
      <w:r>
        <w:rPr>
          <w:rFonts w:hint="eastAsia" w:ascii="仿宋" w:hAnsi="仿宋" w:eastAsia="仿宋" w:cs="宋体"/>
          <w:caps/>
          <w:color w:val="auto"/>
          <w:szCs w:val="24"/>
          <w:highlight w:val="none"/>
        </w:rPr>
        <w:fldChar w:fldCharType="end"/>
      </w:r>
    </w:p>
    <w:p w14:paraId="6DFC6E44">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_Toc15213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33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发包人风险</w:t>
      </w:r>
      <w:r>
        <w:rPr>
          <w:color w:val="auto"/>
          <w:highlight w:val="none"/>
        </w:rPr>
        <w:tab/>
      </w:r>
      <w:r>
        <w:rPr>
          <w:color w:val="auto"/>
          <w:highlight w:val="none"/>
        </w:rPr>
        <w:fldChar w:fldCharType="begin"/>
      </w:r>
      <w:r>
        <w:rPr>
          <w:color w:val="auto"/>
          <w:highlight w:val="none"/>
        </w:rPr>
        <w:instrText xml:space="preserve"> PAGEREF _Toc15213 \h </w:instrText>
      </w:r>
      <w:r>
        <w:rPr>
          <w:color w:val="auto"/>
          <w:highlight w:val="none"/>
        </w:rPr>
        <w:fldChar w:fldCharType="separate"/>
      </w:r>
      <w:r>
        <w:rPr>
          <w:color w:val="auto"/>
          <w:highlight w:val="none"/>
        </w:rPr>
        <w:t>85</w:t>
      </w:r>
      <w:r>
        <w:rPr>
          <w:color w:val="auto"/>
          <w:highlight w:val="none"/>
        </w:rPr>
        <w:fldChar w:fldCharType="end"/>
      </w:r>
      <w:r>
        <w:rPr>
          <w:rFonts w:hint="eastAsia" w:ascii="仿宋" w:hAnsi="仿宋" w:eastAsia="仿宋" w:cs="宋体"/>
          <w:caps/>
          <w:color w:val="auto"/>
          <w:szCs w:val="24"/>
          <w:highlight w:val="none"/>
        </w:rPr>
        <w:fldChar w:fldCharType="end"/>
      </w:r>
    </w:p>
    <w:p w14:paraId="6E3A46DC">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_Toc6456 </w:instrText>
      </w:r>
      <w:r>
        <w:rPr>
          <w:rFonts w:hint="eastAsia" w:ascii="仿宋" w:hAnsi="仿宋" w:eastAsia="仿宋" w:cs="宋体"/>
          <w:caps/>
          <w:color w:val="auto"/>
          <w:szCs w:val="24"/>
          <w:highlight w:val="none"/>
        </w:rPr>
        <w:fldChar w:fldCharType="separate"/>
      </w:r>
      <w:r>
        <w:rPr>
          <w:rFonts w:ascii="仿宋" w:hAnsi="仿宋" w:eastAsia="仿宋" w:cs="仿宋"/>
          <w:color w:val="auto"/>
          <w:szCs w:val="24"/>
          <w:highlight w:val="none"/>
        </w:rPr>
        <w:t>3</w:t>
      </w:r>
      <w:r>
        <w:rPr>
          <w:rFonts w:hint="eastAsia" w:ascii="仿宋" w:hAnsi="仿宋" w:eastAsia="仿宋" w:cs="仿宋"/>
          <w:color w:val="auto"/>
          <w:szCs w:val="24"/>
          <w:highlight w:val="none"/>
        </w:rPr>
        <w:t>4</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承包人风险</w:t>
      </w:r>
      <w:r>
        <w:rPr>
          <w:color w:val="auto"/>
          <w:highlight w:val="none"/>
        </w:rPr>
        <w:tab/>
      </w:r>
      <w:r>
        <w:rPr>
          <w:color w:val="auto"/>
          <w:highlight w:val="none"/>
        </w:rPr>
        <w:fldChar w:fldCharType="begin"/>
      </w:r>
      <w:r>
        <w:rPr>
          <w:color w:val="auto"/>
          <w:highlight w:val="none"/>
        </w:rPr>
        <w:instrText xml:space="preserve"> PAGEREF _Toc6456 \h </w:instrText>
      </w:r>
      <w:r>
        <w:rPr>
          <w:color w:val="auto"/>
          <w:highlight w:val="none"/>
        </w:rPr>
        <w:fldChar w:fldCharType="separate"/>
      </w:r>
      <w:r>
        <w:rPr>
          <w:color w:val="auto"/>
          <w:highlight w:val="none"/>
        </w:rPr>
        <w:t>86</w:t>
      </w:r>
      <w:r>
        <w:rPr>
          <w:color w:val="auto"/>
          <w:highlight w:val="none"/>
        </w:rPr>
        <w:fldChar w:fldCharType="end"/>
      </w:r>
      <w:r>
        <w:rPr>
          <w:rFonts w:hint="eastAsia" w:ascii="仿宋" w:hAnsi="仿宋" w:eastAsia="仿宋" w:cs="宋体"/>
          <w:caps/>
          <w:color w:val="auto"/>
          <w:szCs w:val="24"/>
          <w:highlight w:val="none"/>
        </w:rPr>
        <w:fldChar w:fldCharType="end"/>
      </w:r>
    </w:p>
    <w:p w14:paraId="512C6371">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_Toc25454 </w:instrText>
      </w:r>
      <w:r>
        <w:rPr>
          <w:rFonts w:hint="eastAsia" w:ascii="仿宋" w:hAnsi="仿宋" w:eastAsia="仿宋" w:cs="宋体"/>
          <w:caps/>
          <w:color w:val="auto"/>
          <w:szCs w:val="24"/>
          <w:highlight w:val="none"/>
        </w:rPr>
        <w:fldChar w:fldCharType="separate"/>
      </w:r>
      <w:r>
        <w:rPr>
          <w:rFonts w:ascii="仿宋" w:hAnsi="仿宋" w:eastAsia="仿宋" w:cs="仿宋"/>
          <w:color w:val="auto"/>
          <w:szCs w:val="24"/>
          <w:highlight w:val="none"/>
          <w:lang w:eastAsia="zh-CN"/>
        </w:rPr>
        <w:t>3</w:t>
      </w:r>
      <w:r>
        <w:rPr>
          <w:rFonts w:hint="eastAsia" w:ascii="仿宋" w:hAnsi="仿宋" w:eastAsia="仿宋" w:cs="仿宋"/>
          <w:color w:val="auto"/>
          <w:szCs w:val="24"/>
          <w:highlight w:val="none"/>
          <w:lang w:eastAsia="zh-CN"/>
        </w:rPr>
        <w:t>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不可抗力</w:t>
      </w:r>
      <w:r>
        <w:rPr>
          <w:color w:val="auto"/>
          <w:highlight w:val="none"/>
        </w:rPr>
        <w:tab/>
      </w:r>
      <w:r>
        <w:rPr>
          <w:color w:val="auto"/>
          <w:highlight w:val="none"/>
        </w:rPr>
        <w:fldChar w:fldCharType="begin"/>
      </w:r>
      <w:r>
        <w:rPr>
          <w:color w:val="auto"/>
          <w:highlight w:val="none"/>
        </w:rPr>
        <w:instrText xml:space="preserve"> PAGEREF _Toc25454 \h </w:instrText>
      </w:r>
      <w:r>
        <w:rPr>
          <w:color w:val="auto"/>
          <w:highlight w:val="none"/>
        </w:rPr>
        <w:fldChar w:fldCharType="separate"/>
      </w:r>
      <w:r>
        <w:rPr>
          <w:color w:val="auto"/>
          <w:highlight w:val="none"/>
        </w:rPr>
        <w:t>86</w:t>
      </w:r>
      <w:r>
        <w:rPr>
          <w:color w:val="auto"/>
          <w:highlight w:val="none"/>
        </w:rPr>
        <w:fldChar w:fldCharType="end"/>
      </w:r>
      <w:r>
        <w:rPr>
          <w:rFonts w:hint="eastAsia" w:ascii="仿宋" w:hAnsi="仿宋" w:eastAsia="仿宋" w:cs="宋体"/>
          <w:caps/>
          <w:color w:val="auto"/>
          <w:szCs w:val="24"/>
          <w:highlight w:val="none"/>
        </w:rPr>
        <w:fldChar w:fldCharType="end"/>
      </w:r>
    </w:p>
    <w:p w14:paraId="4C0A7A1A">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_Toc14839 </w:instrText>
      </w:r>
      <w:r>
        <w:rPr>
          <w:rFonts w:hint="eastAsia" w:ascii="仿宋" w:hAnsi="仿宋" w:eastAsia="仿宋" w:cs="宋体"/>
          <w:caps/>
          <w:color w:val="auto"/>
          <w:szCs w:val="24"/>
          <w:highlight w:val="none"/>
        </w:rPr>
        <w:fldChar w:fldCharType="separate"/>
      </w:r>
      <w:r>
        <w:rPr>
          <w:rFonts w:ascii="仿宋" w:hAnsi="仿宋" w:eastAsia="仿宋" w:cs="仿宋"/>
          <w:color w:val="auto"/>
          <w:szCs w:val="24"/>
          <w:highlight w:val="none"/>
          <w:lang w:eastAsia="zh-CN"/>
        </w:rPr>
        <w:t>3</w:t>
      </w:r>
      <w:r>
        <w:rPr>
          <w:rFonts w:hint="eastAsia" w:ascii="仿宋" w:hAnsi="仿宋" w:eastAsia="仿宋" w:cs="仿宋"/>
          <w:color w:val="auto"/>
          <w:szCs w:val="24"/>
          <w:highlight w:val="none"/>
          <w:lang w:eastAsia="zh-CN"/>
        </w:rPr>
        <w:t>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保险</w:t>
      </w:r>
      <w:r>
        <w:rPr>
          <w:color w:val="auto"/>
          <w:highlight w:val="none"/>
        </w:rPr>
        <w:tab/>
      </w:r>
      <w:r>
        <w:rPr>
          <w:color w:val="auto"/>
          <w:highlight w:val="none"/>
        </w:rPr>
        <w:fldChar w:fldCharType="begin"/>
      </w:r>
      <w:r>
        <w:rPr>
          <w:color w:val="auto"/>
          <w:highlight w:val="none"/>
        </w:rPr>
        <w:instrText xml:space="preserve"> PAGEREF _Toc14839 \h </w:instrText>
      </w:r>
      <w:r>
        <w:rPr>
          <w:color w:val="auto"/>
          <w:highlight w:val="none"/>
        </w:rPr>
        <w:fldChar w:fldCharType="separate"/>
      </w:r>
      <w:r>
        <w:rPr>
          <w:color w:val="auto"/>
          <w:highlight w:val="none"/>
        </w:rPr>
        <w:t>88</w:t>
      </w:r>
      <w:r>
        <w:rPr>
          <w:color w:val="auto"/>
          <w:highlight w:val="none"/>
        </w:rPr>
        <w:fldChar w:fldCharType="end"/>
      </w:r>
      <w:r>
        <w:rPr>
          <w:rFonts w:hint="eastAsia" w:ascii="仿宋" w:hAnsi="仿宋" w:eastAsia="仿宋" w:cs="宋体"/>
          <w:caps/>
          <w:color w:val="auto"/>
          <w:szCs w:val="24"/>
          <w:highlight w:val="none"/>
        </w:rPr>
        <w:fldChar w:fldCharType="end"/>
      </w:r>
    </w:p>
    <w:p w14:paraId="27C23DD4">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_Toc14094 </w:instrText>
      </w:r>
      <w:r>
        <w:rPr>
          <w:rFonts w:hint="eastAsia" w:ascii="仿宋" w:hAnsi="仿宋" w:eastAsia="仿宋" w:cs="宋体"/>
          <w:caps/>
          <w:color w:val="auto"/>
          <w:szCs w:val="24"/>
          <w:highlight w:val="none"/>
        </w:rPr>
        <w:fldChar w:fldCharType="separate"/>
      </w:r>
      <w:r>
        <w:rPr>
          <w:rFonts w:hint="eastAsia" w:ascii="仿宋" w:hAnsi="仿宋" w:eastAsia="仿宋" w:cs="仿宋"/>
          <w:bCs/>
          <w:color w:val="auto"/>
          <w:highlight w:val="none"/>
          <w:lang w:eastAsia="zh-CN"/>
        </w:rPr>
        <w:t>四、勘察、设计与BIM技术应用</w:t>
      </w:r>
      <w:r>
        <w:rPr>
          <w:color w:val="auto"/>
          <w:highlight w:val="none"/>
        </w:rPr>
        <w:tab/>
      </w:r>
      <w:r>
        <w:rPr>
          <w:color w:val="auto"/>
          <w:highlight w:val="none"/>
        </w:rPr>
        <w:fldChar w:fldCharType="begin"/>
      </w:r>
      <w:r>
        <w:rPr>
          <w:color w:val="auto"/>
          <w:highlight w:val="none"/>
        </w:rPr>
        <w:instrText xml:space="preserve"> PAGEREF _Toc14094 \h </w:instrText>
      </w:r>
      <w:r>
        <w:rPr>
          <w:color w:val="auto"/>
          <w:highlight w:val="none"/>
        </w:rPr>
        <w:fldChar w:fldCharType="separate"/>
      </w:r>
      <w:r>
        <w:rPr>
          <w:color w:val="auto"/>
          <w:highlight w:val="none"/>
        </w:rPr>
        <w:t>90</w:t>
      </w:r>
      <w:r>
        <w:rPr>
          <w:color w:val="auto"/>
          <w:highlight w:val="none"/>
        </w:rPr>
        <w:fldChar w:fldCharType="end"/>
      </w:r>
      <w:r>
        <w:rPr>
          <w:rFonts w:hint="eastAsia" w:ascii="仿宋" w:hAnsi="仿宋" w:eastAsia="仿宋" w:cs="宋体"/>
          <w:caps/>
          <w:color w:val="auto"/>
          <w:szCs w:val="24"/>
          <w:highlight w:val="none"/>
        </w:rPr>
        <w:fldChar w:fldCharType="end"/>
      </w:r>
    </w:p>
    <w:p w14:paraId="1900027C">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_Toc7463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37  工程勘察</w:t>
      </w:r>
      <w:r>
        <w:rPr>
          <w:color w:val="auto"/>
          <w:highlight w:val="none"/>
        </w:rPr>
        <w:tab/>
      </w:r>
      <w:r>
        <w:rPr>
          <w:color w:val="auto"/>
          <w:highlight w:val="none"/>
        </w:rPr>
        <w:fldChar w:fldCharType="begin"/>
      </w:r>
      <w:r>
        <w:rPr>
          <w:color w:val="auto"/>
          <w:highlight w:val="none"/>
        </w:rPr>
        <w:instrText xml:space="preserve"> PAGEREF _Toc7463 \h </w:instrText>
      </w:r>
      <w:r>
        <w:rPr>
          <w:color w:val="auto"/>
          <w:highlight w:val="none"/>
        </w:rPr>
        <w:fldChar w:fldCharType="separate"/>
      </w:r>
      <w:r>
        <w:rPr>
          <w:color w:val="auto"/>
          <w:highlight w:val="none"/>
        </w:rPr>
        <w:t>90</w:t>
      </w:r>
      <w:r>
        <w:rPr>
          <w:color w:val="auto"/>
          <w:highlight w:val="none"/>
        </w:rPr>
        <w:fldChar w:fldCharType="end"/>
      </w:r>
      <w:r>
        <w:rPr>
          <w:rFonts w:hint="eastAsia" w:ascii="仿宋" w:hAnsi="仿宋" w:eastAsia="仿宋" w:cs="宋体"/>
          <w:caps/>
          <w:color w:val="auto"/>
          <w:szCs w:val="24"/>
          <w:highlight w:val="none"/>
        </w:rPr>
        <w:fldChar w:fldCharType="end"/>
      </w:r>
    </w:p>
    <w:p w14:paraId="0A95F5CE">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_Toc29813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38  工程设计</w:t>
      </w:r>
      <w:r>
        <w:rPr>
          <w:color w:val="auto"/>
          <w:highlight w:val="none"/>
        </w:rPr>
        <w:tab/>
      </w:r>
      <w:r>
        <w:rPr>
          <w:color w:val="auto"/>
          <w:highlight w:val="none"/>
        </w:rPr>
        <w:fldChar w:fldCharType="begin"/>
      </w:r>
      <w:r>
        <w:rPr>
          <w:color w:val="auto"/>
          <w:highlight w:val="none"/>
        </w:rPr>
        <w:instrText xml:space="preserve"> PAGEREF _Toc29813 \h </w:instrText>
      </w:r>
      <w:r>
        <w:rPr>
          <w:color w:val="auto"/>
          <w:highlight w:val="none"/>
        </w:rPr>
        <w:fldChar w:fldCharType="separate"/>
      </w:r>
      <w:r>
        <w:rPr>
          <w:color w:val="auto"/>
          <w:highlight w:val="none"/>
        </w:rPr>
        <w:t>92</w:t>
      </w:r>
      <w:r>
        <w:rPr>
          <w:color w:val="auto"/>
          <w:highlight w:val="none"/>
        </w:rPr>
        <w:fldChar w:fldCharType="end"/>
      </w:r>
      <w:r>
        <w:rPr>
          <w:rFonts w:hint="eastAsia" w:ascii="仿宋" w:hAnsi="仿宋" w:eastAsia="仿宋" w:cs="宋体"/>
          <w:caps/>
          <w:color w:val="auto"/>
          <w:szCs w:val="24"/>
          <w:highlight w:val="none"/>
        </w:rPr>
        <w:fldChar w:fldCharType="end"/>
      </w:r>
    </w:p>
    <w:p w14:paraId="5BA520D0">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_Toc11437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39  BIM技术应用</w:t>
      </w:r>
      <w:r>
        <w:rPr>
          <w:color w:val="auto"/>
          <w:highlight w:val="none"/>
        </w:rPr>
        <w:tab/>
      </w:r>
      <w:r>
        <w:rPr>
          <w:color w:val="auto"/>
          <w:highlight w:val="none"/>
        </w:rPr>
        <w:fldChar w:fldCharType="begin"/>
      </w:r>
      <w:r>
        <w:rPr>
          <w:color w:val="auto"/>
          <w:highlight w:val="none"/>
        </w:rPr>
        <w:instrText xml:space="preserve"> PAGEREF _Toc11437 \h </w:instrText>
      </w:r>
      <w:r>
        <w:rPr>
          <w:color w:val="auto"/>
          <w:highlight w:val="none"/>
        </w:rPr>
        <w:fldChar w:fldCharType="separate"/>
      </w:r>
      <w:r>
        <w:rPr>
          <w:color w:val="auto"/>
          <w:highlight w:val="none"/>
        </w:rPr>
        <w:t>96</w:t>
      </w:r>
      <w:r>
        <w:rPr>
          <w:color w:val="auto"/>
          <w:highlight w:val="none"/>
        </w:rPr>
        <w:fldChar w:fldCharType="end"/>
      </w:r>
      <w:r>
        <w:rPr>
          <w:rFonts w:hint="eastAsia" w:ascii="仿宋" w:hAnsi="仿宋" w:eastAsia="仿宋" w:cs="宋体"/>
          <w:caps/>
          <w:color w:val="auto"/>
          <w:szCs w:val="24"/>
          <w:highlight w:val="none"/>
        </w:rPr>
        <w:fldChar w:fldCharType="end"/>
      </w:r>
    </w:p>
    <w:p w14:paraId="15730E98">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_Toc30928 </w:instrText>
      </w:r>
      <w:r>
        <w:rPr>
          <w:rFonts w:hint="eastAsia" w:ascii="仿宋" w:hAnsi="仿宋" w:eastAsia="仿宋" w:cs="宋体"/>
          <w:caps/>
          <w:color w:val="auto"/>
          <w:szCs w:val="24"/>
          <w:highlight w:val="none"/>
        </w:rPr>
        <w:fldChar w:fldCharType="separate"/>
      </w:r>
      <w:r>
        <w:rPr>
          <w:rFonts w:hint="eastAsia" w:ascii="仿宋" w:hAnsi="仿宋" w:eastAsia="仿宋" w:cs="仿宋"/>
          <w:bCs/>
          <w:color w:val="auto"/>
          <w:szCs w:val="24"/>
          <w:highlight w:val="none"/>
          <w:lang w:eastAsia="zh-CN"/>
        </w:rPr>
        <w:t>五、工</w:t>
      </w:r>
      <w:r>
        <w:rPr>
          <w:rFonts w:ascii="仿宋" w:hAnsi="仿宋" w:eastAsia="仿宋" w:cs="仿宋"/>
          <w:bCs/>
          <w:color w:val="auto"/>
          <w:szCs w:val="24"/>
          <w:highlight w:val="none"/>
          <w:lang w:eastAsia="zh-CN"/>
        </w:rPr>
        <w:t xml:space="preserve">  </w:t>
      </w:r>
      <w:r>
        <w:rPr>
          <w:rFonts w:hint="eastAsia" w:ascii="仿宋" w:hAnsi="仿宋" w:eastAsia="仿宋" w:cs="仿宋"/>
          <w:bCs/>
          <w:color w:val="auto"/>
          <w:szCs w:val="24"/>
          <w:highlight w:val="none"/>
          <w:lang w:eastAsia="zh-CN"/>
        </w:rPr>
        <w:t>期</w:t>
      </w:r>
      <w:r>
        <w:rPr>
          <w:color w:val="auto"/>
          <w:highlight w:val="none"/>
        </w:rPr>
        <w:tab/>
      </w:r>
      <w:r>
        <w:rPr>
          <w:color w:val="auto"/>
          <w:highlight w:val="none"/>
        </w:rPr>
        <w:fldChar w:fldCharType="begin"/>
      </w:r>
      <w:r>
        <w:rPr>
          <w:color w:val="auto"/>
          <w:highlight w:val="none"/>
        </w:rPr>
        <w:instrText xml:space="preserve"> PAGEREF _Toc30928 \h </w:instrText>
      </w:r>
      <w:r>
        <w:rPr>
          <w:color w:val="auto"/>
          <w:highlight w:val="none"/>
        </w:rPr>
        <w:fldChar w:fldCharType="separate"/>
      </w:r>
      <w:r>
        <w:rPr>
          <w:color w:val="auto"/>
          <w:highlight w:val="none"/>
        </w:rPr>
        <w:t>98</w:t>
      </w:r>
      <w:r>
        <w:rPr>
          <w:color w:val="auto"/>
          <w:highlight w:val="none"/>
        </w:rPr>
        <w:fldChar w:fldCharType="end"/>
      </w:r>
      <w:r>
        <w:rPr>
          <w:rFonts w:hint="eastAsia" w:ascii="仿宋" w:hAnsi="仿宋" w:eastAsia="仿宋" w:cs="宋体"/>
          <w:caps/>
          <w:color w:val="auto"/>
          <w:szCs w:val="24"/>
          <w:highlight w:val="none"/>
        </w:rPr>
        <w:fldChar w:fldCharType="end"/>
      </w:r>
    </w:p>
    <w:p w14:paraId="4E6A9700">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_Toc26745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40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进度计划和报告</w:t>
      </w:r>
      <w:r>
        <w:rPr>
          <w:color w:val="auto"/>
          <w:highlight w:val="none"/>
        </w:rPr>
        <w:tab/>
      </w:r>
      <w:r>
        <w:rPr>
          <w:color w:val="auto"/>
          <w:highlight w:val="none"/>
        </w:rPr>
        <w:fldChar w:fldCharType="begin"/>
      </w:r>
      <w:r>
        <w:rPr>
          <w:color w:val="auto"/>
          <w:highlight w:val="none"/>
        </w:rPr>
        <w:instrText xml:space="preserve"> PAGEREF _Toc26745 \h </w:instrText>
      </w:r>
      <w:r>
        <w:rPr>
          <w:color w:val="auto"/>
          <w:highlight w:val="none"/>
        </w:rPr>
        <w:fldChar w:fldCharType="separate"/>
      </w:r>
      <w:r>
        <w:rPr>
          <w:color w:val="auto"/>
          <w:highlight w:val="none"/>
        </w:rPr>
        <w:t>98</w:t>
      </w:r>
      <w:r>
        <w:rPr>
          <w:color w:val="auto"/>
          <w:highlight w:val="none"/>
        </w:rPr>
        <w:fldChar w:fldCharType="end"/>
      </w:r>
      <w:r>
        <w:rPr>
          <w:rFonts w:hint="eastAsia" w:ascii="仿宋" w:hAnsi="仿宋" w:eastAsia="仿宋" w:cs="宋体"/>
          <w:caps/>
          <w:color w:val="auto"/>
          <w:szCs w:val="24"/>
          <w:highlight w:val="none"/>
        </w:rPr>
        <w:fldChar w:fldCharType="end"/>
      </w:r>
    </w:p>
    <w:p w14:paraId="5D5B61BE">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_Toc17911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41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开始工作或开工</w:t>
      </w:r>
      <w:r>
        <w:rPr>
          <w:color w:val="auto"/>
          <w:highlight w:val="none"/>
        </w:rPr>
        <w:tab/>
      </w:r>
      <w:r>
        <w:rPr>
          <w:color w:val="auto"/>
          <w:highlight w:val="none"/>
        </w:rPr>
        <w:fldChar w:fldCharType="begin"/>
      </w:r>
      <w:r>
        <w:rPr>
          <w:color w:val="auto"/>
          <w:highlight w:val="none"/>
        </w:rPr>
        <w:instrText xml:space="preserve"> PAGEREF _Toc17911 \h </w:instrText>
      </w:r>
      <w:r>
        <w:rPr>
          <w:color w:val="auto"/>
          <w:highlight w:val="none"/>
        </w:rPr>
        <w:fldChar w:fldCharType="separate"/>
      </w:r>
      <w:r>
        <w:rPr>
          <w:color w:val="auto"/>
          <w:highlight w:val="none"/>
        </w:rPr>
        <w:t>100</w:t>
      </w:r>
      <w:r>
        <w:rPr>
          <w:color w:val="auto"/>
          <w:highlight w:val="none"/>
        </w:rPr>
        <w:fldChar w:fldCharType="end"/>
      </w:r>
      <w:r>
        <w:rPr>
          <w:rFonts w:hint="eastAsia" w:ascii="仿宋" w:hAnsi="仿宋" w:eastAsia="仿宋" w:cs="宋体"/>
          <w:caps/>
          <w:color w:val="auto"/>
          <w:szCs w:val="24"/>
          <w:highlight w:val="none"/>
        </w:rPr>
        <w:fldChar w:fldCharType="end"/>
      </w:r>
    </w:p>
    <w:p w14:paraId="2D78A45C">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_Toc28163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42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暂停工作、暂停施工和复工</w:t>
      </w:r>
      <w:r>
        <w:rPr>
          <w:color w:val="auto"/>
          <w:highlight w:val="none"/>
        </w:rPr>
        <w:tab/>
      </w:r>
      <w:r>
        <w:rPr>
          <w:color w:val="auto"/>
          <w:highlight w:val="none"/>
        </w:rPr>
        <w:fldChar w:fldCharType="begin"/>
      </w:r>
      <w:r>
        <w:rPr>
          <w:color w:val="auto"/>
          <w:highlight w:val="none"/>
        </w:rPr>
        <w:instrText xml:space="preserve"> PAGEREF _Toc28163 \h </w:instrText>
      </w:r>
      <w:r>
        <w:rPr>
          <w:color w:val="auto"/>
          <w:highlight w:val="none"/>
        </w:rPr>
        <w:fldChar w:fldCharType="separate"/>
      </w:r>
      <w:r>
        <w:rPr>
          <w:color w:val="auto"/>
          <w:highlight w:val="none"/>
        </w:rPr>
        <w:t>101</w:t>
      </w:r>
      <w:r>
        <w:rPr>
          <w:color w:val="auto"/>
          <w:highlight w:val="none"/>
        </w:rPr>
        <w:fldChar w:fldCharType="end"/>
      </w:r>
      <w:r>
        <w:rPr>
          <w:rFonts w:hint="eastAsia" w:ascii="仿宋" w:hAnsi="仿宋" w:eastAsia="仿宋" w:cs="宋体"/>
          <w:caps/>
          <w:color w:val="auto"/>
          <w:szCs w:val="24"/>
          <w:highlight w:val="none"/>
        </w:rPr>
        <w:fldChar w:fldCharType="end"/>
      </w:r>
    </w:p>
    <w:p w14:paraId="2DBC76B8">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_Toc8829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43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工期和工期延误</w:t>
      </w:r>
      <w:r>
        <w:rPr>
          <w:color w:val="auto"/>
          <w:highlight w:val="none"/>
        </w:rPr>
        <w:tab/>
      </w:r>
      <w:r>
        <w:rPr>
          <w:color w:val="auto"/>
          <w:highlight w:val="none"/>
        </w:rPr>
        <w:fldChar w:fldCharType="begin"/>
      </w:r>
      <w:r>
        <w:rPr>
          <w:color w:val="auto"/>
          <w:highlight w:val="none"/>
        </w:rPr>
        <w:instrText xml:space="preserve"> PAGEREF _Toc8829 \h </w:instrText>
      </w:r>
      <w:r>
        <w:rPr>
          <w:color w:val="auto"/>
          <w:highlight w:val="none"/>
        </w:rPr>
        <w:fldChar w:fldCharType="separate"/>
      </w:r>
      <w:r>
        <w:rPr>
          <w:color w:val="auto"/>
          <w:highlight w:val="none"/>
        </w:rPr>
        <w:t>103</w:t>
      </w:r>
      <w:r>
        <w:rPr>
          <w:color w:val="auto"/>
          <w:highlight w:val="none"/>
        </w:rPr>
        <w:fldChar w:fldCharType="end"/>
      </w:r>
      <w:r>
        <w:rPr>
          <w:rFonts w:hint="eastAsia" w:ascii="仿宋" w:hAnsi="仿宋" w:eastAsia="仿宋" w:cs="宋体"/>
          <w:caps/>
          <w:color w:val="auto"/>
          <w:szCs w:val="24"/>
          <w:highlight w:val="none"/>
        </w:rPr>
        <w:fldChar w:fldCharType="end"/>
      </w:r>
    </w:p>
    <w:p w14:paraId="35650E42">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_Toc29857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44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加快进度</w:t>
      </w:r>
      <w:r>
        <w:rPr>
          <w:color w:val="auto"/>
          <w:highlight w:val="none"/>
        </w:rPr>
        <w:tab/>
      </w:r>
      <w:r>
        <w:rPr>
          <w:color w:val="auto"/>
          <w:highlight w:val="none"/>
        </w:rPr>
        <w:fldChar w:fldCharType="begin"/>
      </w:r>
      <w:r>
        <w:rPr>
          <w:color w:val="auto"/>
          <w:highlight w:val="none"/>
        </w:rPr>
        <w:instrText xml:space="preserve"> PAGEREF _Toc29857 \h </w:instrText>
      </w:r>
      <w:r>
        <w:rPr>
          <w:color w:val="auto"/>
          <w:highlight w:val="none"/>
        </w:rPr>
        <w:fldChar w:fldCharType="separate"/>
      </w:r>
      <w:r>
        <w:rPr>
          <w:color w:val="auto"/>
          <w:highlight w:val="none"/>
        </w:rPr>
        <w:t>107</w:t>
      </w:r>
      <w:r>
        <w:rPr>
          <w:color w:val="auto"/>
          <w:highlight w:val="none"/>
        </w:rPr>
        <w:fldChar w:fldCharType="end"/>
      </w:r>
      <w:r>
        <w:rPr>
          <w:rFonts w:hint="eastAsia" w:ascii="仿宋" w:hAnsi="仿宋" w:eastAsia="仿宋" w:cs="宋体"/>
          <w:caps/>
          <w:color w:val="auto"/>
          <w:szCs w:val="24"/>
          <w:highlight w:val="none"/>
        </w:rPr>
        <w:fldChar w:fldCharType="end"/>
      </w:r>
    </w:p>
    <w:p w14:paraId="3728B296">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_Toc3880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45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竣工日期</w:t>
      </w:r>
      <w:r>
        <w:rPr>
          <w:color w:val="auto"/>
          <w:highlight w:val="none"/>
        </w:rPr>
        <w:tab/>
      </w:r>
      <w:r>
        <w:rPr>
          <w:color w:val="auto"/>
          <w:highlight w:val="none"/>
        </w:rPr>
        <w:fldChar w:fldCharType="begin"/>
      </w:r>
      <w:r>
        <w:rPr>
          <w:color w:val="auto"/>
          <w:highlight w:val="none"/>
        </w:rPr>
        <w:instrText xml:space="preserve"> PAGEREF _Toc3880 \h </w:instrText>
      </w:r>
      <w:r>
        <w:rPr>
          <w:color w:val="auto"/>
          <w:highlight w:val="none"/>
        </w:rPr>
        <w:fldChar w:fldCharType="separate"/>
      </w:r>
      <w:r>
        <w:rPr>
          <w:color w:val="auto"/>
          <w:highlight w:val="none"/>
        </w:rPr>
        <w:t>107</w:t>
      </w:r>
      <w:r>
        <w:rPr>
          <w:color w:val="auto"/>
          <w:highlight w:val="none"/>
        </w:rPr>
        <w:fldChar w:fldCharType="end"/>
      </w:r>
      <w:r>
        <w:rPr>
          <w:rFonts w:hint="eastAsia" w:ascii="仿宋" w:hAnsi="仿宋" w:eastAsia="仿宋" w:cs="宋体"/>
          <w:caps/>
          <w:color w:val="auto"/>
          <w:szCs w:val="24"/>
          <w:highlight w:val="none"/>
        </w:rPr>
        <w:fldChar w:fldCharType="end"/>
      </w:r>
    </w:p>
    <w:p w14:paraId="579C6362">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_Toc11690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46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提前竣工</w:t>
      </w:r>
      <w:r>
        <w:rPr>
          <w:color w:val="auto"/>
          <w:highlight w:val="none"/>
        </w:rPr>
        <w:tab/>
      </w:r>
      <w:r>
        <w:rPr>
          <w:color w:val="auto"/>
          <w:highlight w:val="none"/>
        </w:rPr>
        <w:fldChar w:fldCharType="begin"/>
      </w:r>
      <w:r>
        <w:rPr>
          <w:color w:val="auto"/>
          <w:highlight w:val="none"/>
        </w:rPr>
        <w:instrText xml:space="preserve"> PAGEREF _Toc11690 \h </w:instrText>
      </w:r>
      <w:r>
        <w:rPr>
          <w:color w:val="auto"/>
          <w:highlight w:val="none"/>
        </w:rPr>
        <w:fldChar w:fldCharType="separate"/>
      </w:r>
      <w:r>
        <w:rPr>
          <w:color w:val="auto"/>
          <w:highlight w:val="none"/>
        </w:rPr>
        <w:t>108</w:t>
      </w:r>
      <w:r>
        <w:rPr>
          <w:color w:val="auto"/>
          <w:highlight w:val="none"/>
        </w:rPr>
        <w:fldChar w:fldCharType="end"/>
      </w:r>
      <w:r>
        <w:rPr>
          <w:rFonts w:hint="eastAsia" w:ascii="仿宋" w:hAnsi="仿宋" w:eastAsia="仿宋" w:cs="宋体"/>
          <w:caps/>
          <w:color w:val="auto"/>
          <w:szCs w:val="24"/>
          <w:highlight w:val="none"/>
        </w:rPr>
        <w:fldChar w:fldCharType="end"/>
      </w:r>
    </w:p>
    <w:p w14:paraId="681BC77F">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_Toc25876 </w:instrText>
      </w:r>
      <w:r>
        <w:rPr>
          <w:rFonts w:hint="eastAsia" w:ascii="仿宋" w:hAnsi="仿宋" w:eastAsia="仿宋" w:cs="宋体"/>
          <w:caps/>
          <w:color w:val="auto"/>
          <w:szCs w:val="24"/>
          <w:highlight w:val="none"/>
        </w:rPr>
        <w:fldChar w:fldCharType="separate"/>
      </w:r>
      <w:r>
        <w:rPr>
          <w:rFonts w:ascii="仿宋" w:hAnsi="仿宋" w:eastAsia="仿宋" w:cs="仿宋"/>
          <w:color w:val="auto"/>
          <w:szCs w:val="24"/>
          <w:highlight w:val="none"/>
          <w:lang w:eastAsia="zh-CN"/>
        </w:rPr>
        <w:t>4</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误期赔偿</w:t>
      </w:r>
      <w:r>
        <w:rPr>
          <w:color w:val="auto"/>
          <w:highlight w:val="none"/>
        </w:rPr>
        <w:tab/>
      </w:r>
      <w:r>
        <w:rPr>
          <w:color w:val="auto"/>
          <w:highlight w:val="none"/>
        </w:rPr>
        <w:fldChar w:fldCharType="begin"/>
      </w:r>
      <w:r>
        <w:rPr>
          <w:color w:val="auto"/>
          <w:highlight w:val="none"/>
        </w:rPr>
        <w:instrText xml:space="preserve"> PAGEREF _Toc25876 \h </w:instrText>
      </w:r>
      <w:r>
        <w:rPr>
          <w:color w:val="auto"/>
          <w:highlight w:val="none"/>
        </w:rPr>
        <w:fldChar w:fldCharType="separate"/>
      </w:r>
      <w:r>
        <w:rPr>
          <w:color w:val="auto"/>
          <w:highlight w:val="none"/>
        </w:rPr>
        <w:t>109</w:t>
      </w:r>
      <w:r>
        <w:rPr>
          <w:color w:val="auto"/>
          <w:highlight w:val="none"/>
        </w:rPr>
        <w:fldChar w:fldCharType="end"/>
      </w:r>
      <w:r>
        <w:rPr>
          <w:rFonts w:hint="eastAsia" w:ascii="仿宋" w:hAnsi="仿宋" w:eastAsia="仿宋" w:cs="宋体"/>
          <w:caps/>
          <w:color w:val="auto"/>
          <w:szCs w:val="24"/>
          <w:highlight w:val="none"/>
        </w:rPr>
        <w:fldChar w:fldCharType="end"/>
      </w:r>
    </w:p>
    <w:p w14:paraId="61BA3F6A">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_Toc11896 </w:instrText>
      </w:r>
      <w:r>
        <w:rPr>
          <w:rFonts w:hint="eastAsia" w:ascii="仿宋" w:hAnsi="仿宋" w:eastAsia="仿宋" w:cs="宋体"/>
          <w:caps/>
          <w:color w:val="auto"/>
          <w:szCs w:val="24"/>
          <w:highlight w:val="none"/>
        </w:rPr>
        <w:fldChar w:fldCharType="separate"/>
      </w:r>
      <w:r>
        <w:rPr>
          <w:rFonts w:hint="eastAsia" w:ascii="仿宋" w:hAnsi="仿宋" w:eastAsia="仿宋" w:cs="仿宋"/>
          <w:bCs/>
          <w:color w:val="auto"/>
          <w:szCs w:val="24"/>
          <w:highlight w:val="none"/>
          <w:lang w:eastAsia="zh-CN"/>
        </w:rPr>
        <w:t>六、质量与安全</w:t>
      </w:r>
      <w:r>
        <w:rPr>
          <w:color w:val="auto"/>
          <w:highlight w:val="none"/>
        </w:rPr>
        <w:tab/>
      </w:r>
      <w:r>
        <w:rPr>
          <w:color w:val="auto"/>
          <w:highlight w:val="none"/>
        </w:rPr>
        <w:fldChar w:fldCharType="begin"/>
      </w:r>
      <w:r>
        <w:rPr>
          <w:color w:val="auto"/>
          <w:highlight w:val="none"/>
        </w:rPr>
        <w:instrText xml:space="preserve"> PAGEREF _Toc11896 \h </w:instrText>
      </w:r>
      <w:r>
        <w:rPr>
          <w:color w:val="auto"/>
          <w:highlight w:val="none"/>
        </w:rPr>
        <w:fldChar w:fldCharType="separate"/>
      </w:r>
      <w:r>
        <w:rPr>
          <w:color w:val="auto"/>
          <w:highlight w:val="none"/>
        </w:rPr>
        <w:t>109</w:t>
      </w:r>
      <w:r>
        <w:rPr>
          <w:color w:val="auto"/>
          <w:highlight w:val="none"/>
        </w:rPr>
        <w:fldChar w:fldCharType="end"/>
      </w:r>
      <w:r>
        <w:rPr>
          <w:rFonts w:hint="eastAsia" w:ascii="仿宋" w:hAnsi="仿宋" w:eastAsia="仿宋" w:cs="宋体"/>
          <w:caps/>
          <w:color w:val="auto"/>
          <w:szCs w:val="24"/>
          <w:highlight w:val="none"/>
        </w:rPr>
        <w:fldChar w:fldCharType="end"/>
      </w:r>
    </w:p>
    <w:p w14:paraId="6553E546">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_Toc18965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w:t>
      </w:r>
      <w:r>
        <w:rPr>
          <w:rFonts w:ascii="仿宋" w:hAnsi="仿宋" w:eastAsia="仿宋" w:cs="仿宋"/>
          <w:color w:val="auto"/>
          <w:szCs w:val="24"/>
          <w:highlight w:val="none"/>
          <w:lang w:eastAsia="zh-CN"/>
        </w:rPr>
        <w:t>4</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质量与安全管理</w:t>
      </w:r>
      <w:r>
        <w:rPr>
          <w:color w:val="auto"/>
          <w:highlight w:val="none"/>
        </w:rPr>
        <w:tab/>
      </w:r>
      <w:r>
        <w:rPr>
          <w:color w:val="auto"/>
          <w:highlight w:val="none"/>
        </w:rPr>
        <w:fldChar w:fldCharType="begin"/>
      </w:r>
      <w:r>
        <w:rPr>
          <w:color w:val="auto"/>
          <w:highlight w:val="none"/>
        </w:rPr>
        <w:instrText xml:space="preserve"> PAGEREF _Toc18965 \h </w:instrText>
      </w:r>
      <w:r>
        <w:rPr>
          <w:color w:val="auto"/>
          <w:highlight w:val="none"/>
        </w:rPr>
        <w:fldChar w:fldCharType="separate"/>
      </w:r>
      <w:r>
        <w:rPr>
          <w:color w:val="auto"/>
          <w:highlight w:val="none"/>
        </w:rPr>
        <w:t>109</w:t>
      </w:r>
      <w:r>
        <w:rPr>
          <w:color w:val="auto"/>
          <w:highlight w:val="none"/>
        </w:rPr>
        <w:fldChar w:fldCharType="end"/>
      </w:r>
      <w:r>
        <w:rPr>
          <w:rFonts w:hint="eastAsia" w:ascii="仿宋" w:hAnsi="仿宋" w:eastAsia="仿宋" w:cs="宋体"/>
          <w:caps/>
          <w:color w:val="auto"/>
          <w:szCs w:val="24"/>
          <w:highlight w:val="none"/>
        </w:rPr>
        <w:fldChar w:fldCharType="end"/>
      </w:r>
    </w:p>
    <w:p w14:paraId="20038AF8">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_Toc31697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★49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质量标准</w:t>
      </w:r>
      <w:r>
        <w:rPr>
          <w:color w:val="auto"/>
          <w:highlight w:val="none"/>
        </w:rPr>
        <w:tab/>
      </w:r>
      <w:r>
        <w:rPr>
          <w:color w:val="auto"/>
          <w:highlight w:val="none"/>
        </w:rPr>
        <w:fldChar w:fldCharType="begin"/>
      </w:r>
      <w:r>
        <w:rPr>
          <w:color w:val="auto"/>
          <w:highlight w:val="none"/>
        </w:rPr>
        <w:instrText xml:space="preserve"> PAGEREF _Toc31697 \h </w:instrText>
      </w:r>
      <w:r>
        <w:rPr>
          <w:color w:val="auto"/>
          <w:highlight w:val="none"/>
        </w:rPr>
        <w:fldChar w:fldCharType="separate"/>
      </w:r>
      <w:r>
        <w:rPr>
          <w:color w:val="auto"/>
          <w:highlight w:val="none"/>
        </w:rPr>
        <w:t>111</w:t>
      </w:r>
      <w:r>
        <w:rPr>
          <w:color w:val="auto"/>
          <w:highlight w:val="none"/>
        </w:rPr>
        <w:fldChar w:fldCharType="end"/>
      </w:r>
      <w:r>
        <w:rPr>
          <w:rFonts w:hint="eastAsia" w:ascii="仿宋" w:hAnsi="仿宋" w:eastAsia="仿宋" w:cs="宋体"/>
          <w:caps/>
          <w:color w:val="auto"/>
          <w:szCs w:val="24"/>
          <w:highlight w:val="none"/>
        </w:rPr>
        <w:fldChar w:fldCharType="end"/>
      </w:r>
    </w:p>
    <w:p w14:paraId="75DE438C">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_Toc21785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★50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工程质量创优</w:t>
      </w:r>
      <w:r>
        <w:rPr>
          <w:color w:val="auto"/>
          <w:highlight w:val="none"/>
        </w:rPr>
        <w:tab/>
      </w:r>
      <w:r>
        <w:rPr>
          <w:color w:val="auto"/>
          <w:highlight w:val="none"/>
        </w:rPr>
        <w:fldChar w:fldCharType="begin"/>
      </w:r>
      <w:r>
        <w:rPr>
          <w:color w:val="auto"/>
          <w:highlight w:val="none"/>
        </w:rPr>
        <w:instrText xml:space="preserve"> PAGEREF _Toc21785 \h </w:instrText>
      </w:r>
      <w:r>
        <w:rPr>
          <w:color w:val="auto"/>
          <w:highlight w:val="none"/>
        </w:rPr>
        <w:fldChar w:fldCharType="separate"/>
      </w:r>
      <w:r>
        <w:rPr>
          <w:color w:val="auto"/>
          <w:highlight w:val="none"/>
        </w:rPr>
        <w:t>112</w:t>
      </w:r>
      <w:r>
        <w:rPr>
          <w:color w:val="auto"/>
          <w:highlight w:val="none"/>
        </w:rPr>
        <w:fldChar w:fldCharType="end"/>
      </w:r>
      <w:r>
        <w:rPr>
          <w:rFonts w:hint="eastAsia" w:ascii="仿宋" w:hAnsi="仿宋" w:eastAsia="仿宋" w:cs="宋体"/>
          <w:caps/>
          <w:color w:val="auto"/>
          <w:szCs w:val="24"/>
          <w:highlight w:val="none"/>
        </w:rPr>
        <w:fldChar w:fldCharType="end"/>
      </w:r>
    </w:p>
    <w:p w14:paraId="3C13E63D">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_Toc18747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51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工程的照管</w:t>
      </w:r>
      <w:r>
        <w:rPr>
          <w:color w:val="auto"/>
          <w:highlight w:val="none"/>
        </w:rPr>
        <w:tab/>
      </w:r>
      <w:r>
        <w:rPr>
          <w:color w:val="auto"/>
          <w:highlight w:val="none"/>
        </w:rPr>
        <w:fldChar w:fldCharType="begin"/>
      </w:r>
      <w:r>
        <w:rPr>
          <w:color w:val="auto"/>
          <w:highlight w:val="none"/>
        </w:rPr>
        <w:instrText xml:space="preserve"> PAGEREF _Toc18747 \h </w:instrText>
      </w:r>
      <w:r>
        <w:rPr>
          <w:color w:val="auto"/>
          <w:highlight w:val="none"/>
        </w:rPr>
        <w:fldChar w:fldCharType="separate"/>
      </w:r>
      <w:r>
        <w:rPr>
          <w:color w:val="auto"/>
          <w:highlight w:val="none"/>
        </w:rPr>
        <w:t>113</w:t>
      </w:r>
      <w:r>
        <w:rPr>
          <w:color w:val="auto"/>
          <w:highlight w:val="none"/>
        </w:rPr>
        <w:fldChar w:fldCharType="end"/>
      </w:r>
      <w:r>
        <w:rPr>
          <w:rFonts w:hint="eastAsia" w:ascii="仿宋" w:hAnsi="仿宋" w:eastAsia="仿宋" w:cs="宋体"/>
          <w:caps/>
          <w:color w:val="auto"/>
          <w:szCs w:val="24"/>
          <w:highlight w:val="none"/>
        </w:rPr>
        <w:fldChar w:fldCharType="end"/>
      </w:r>
    </w:p>
    <w:p w14:paraId="19289F13">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_Toc19090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★52</w:t>
      </w:r>
      <w:r>
        <w:rPr>
          <w:rFonts w:ascii="仿宋" w:hAnsi="仿宋" w:eastAsia="仿宋" w:cs="仿宋"/>
          <w:color w:val="auto"/>
          <w:szCs w:val="24"/>
          <w:highlight w:val="none"/>
          <w:lang w:eastAsia="zh-CN"/>
        </w:rPr>
        <w:t xml:space="preserve">  </w:t>
      </w:r>
      <w:r>
        <w:rPr>
          <w:rFonts w:hint="eastAsia" w:ascii="仿宋" w:hAnsi="仿宋" w:eastAsia="仿宋" w:cs="仿宋"/>
          <w:bCs w:val="0"/>
          <w:color w:val="auto"/>
          <w:szCs w:val="24"/>
          <w:highlight w:val="none"/>
          <w:lang w:eastAsia="zh-CN"/>
        </w:rPr>
        <w:t>绿色施工安全防护</w:t>
      </w:r>
      <w:r>
        <w:rPr>
          <w:color w:val="auto"/>
          <w:highlight w:val="none"/>
        </w:rPr>
        <w:tab/>
      </w:r>
      <w:r>
        <w:rPr>
          <w:color w:val="auto"/>
          <w:highlight w:val="none"/>
        </w:rPr>
        <w:fldChar w:fldCharType="begin"/>
      </w:r>
      <w:r>
        <w:rPr>
          <w:color w:val="auto"/>
          <w:highlight w:val="none"/>
        </w:rPr>
        <w:instrText xml:space="preserve"> PAGEREF _Toc19090 \h </w:instrText>
      </w:r>
      <w:r>
        <w:rPr>
          <w:color w:val="auto"/>
          <w:highlight w:val="none"/>
        </w:rPr>
        <w:fldChar w:fldCharType="separate"/>
      </w:r>
      <w:r>
        <w:rPr>
          <w:color w:val="auto"/>
          <w:highlight w:val="none"/>
        </w:rPr>
        <w:t>113</w:t>
      </w:r>
      <w:r>
        <w:rPr>
          <w:color w:val="auto"/>
          <w:highlight w:val="none"/>
        </w:rPr>
        <w:fldChar w:fldCharType="end"/>
      </w:r>
      <w:r>
        <w:rPr>
          <w:rFonts w:hint="eastAsia" w:ascii="仿宋" w:hAnsi="仿宋" w:eastAsia="仿宋" w:cs="宋体"/>
          <w:caps/>
          <w:color w:val="auto"/>
          <w:szCs w:val="24"/>
          <w:highlight w:val="none"/>
        </w:rPr>
        <w:fldChar w:fldCharType="end"/>
      </w:r>
    </w:p>
    <w:p w14:paraId="6235991F">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_Toc21574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53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测量放线</w:t>
      </w:r>
      <w:r>
        <w:rPr>
          <w:color w:val="auto"/>
          <w:highlight w:val="none"/>
        </w:rPr>
        <w:tab/>
      </w:r>
      <w:r>
        <w:rPr>
          <w:color w:val="auto"/>
          <w:highlight w:val="none"/>
        </w:rPr>
        <w:fldChar w:fldCharType="begin"/>
      </w:r>
      <w:r>
        <w:rPr>
          <w:color w:val="auto"/>
          <w:highlight w:val="none"/>
        </w:rPr>
        <w:instrText xml:space="preserve"> PAGEREF _Toc21574 \h </w:instrText>
      </w:r>
      <w:r>
        <w:rPr>
          <w:color w:val="auto"/>
          <w:highlight w:val="none"/>
        </w:rPr>
        <w:fldChar w:fldCharType="separate"/>
      </w:r>
      <w:r>
        <w:rPr>
          <w:color w:val="auto"/>
          <w:highlight w:val="none"/>
        </w:rPr>
        <w:t>117</w:t>
      </w:r>
      <w:r>
        <w:rPr>
          <w:color w:val="auto"/>
          <w:highlight w:val="none"/>
        </w:rPr>
        <w:fldChar w:fldCharType="end"/>
      </w:r>
      <w:r>
        <w:rPr>
          <w:rFonts w:hint="eastAsia" w:ascii="仿宋" w:hAnsi="仿宋" w:eastAsia="仿宋" w:cs="宋体"/>
          <w:caps/>
          <w:color w:val="auto"/>
          <w:szCs w:val="24"/>
          <w:highlight w:val="none"/>
        </w:rPr>
        <w:fldChar w:fldCharType="end"/>
      </w:r>
    </w:p>
    <w:p w14:paraId="6D462E49">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_Toc22832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54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钻孔与勘探性开挖</w:t>
      </w:r>
      <w:r>
        <w:rPr>
          <w:color w:val="auto"/>
          <w:highlight w:val="none"/>
        </w:rPr>
        <w:tab/>
      </w:r>
      <w:r>
        <w:rPr>
          <w:color w:val="auto"/>
          <w:highlight w:val="none"/>
        </w:rPr>
        <w:fldChar w:fldCharType="begin"/>
      </w:r>
      <w:r>
        <w:rPr>
          <w:color w:val="auto"/>
          <w:highlight w:val="none"/>
        </w:rPr>
        <w:instrText xml:space="preserve"> PAGEREF _Toc22832 \h </w:instrText>
      </w:r>
      <w:r>
        <w:rPr>
          <w:color w:val="auto"/>
          <w:highlight w:val="none"/>
        </w:rPr>
        <w:fldChar w:fldCharType="separate"/>
      </w:r>
      <w:r>
        <w:rPr>
          <w:color w:val="auto"/>
          <w:highlight w:val="none"/>
        </w:rPr>
        <w:t>118</w:t>
      </w:r>
      <w:r>
        <w:rPr>
          <w:color w:val="auto"/>
          <w:highlight w:val="none"/>
        </w:rPr>
        <w:fldChar w:fldCharType="end"/>
      </w:r>
      <w:r>
        <w:rPr>
          <w:rFonts w:hint="eastAsia" w:ascii="仿宋" w:hAnsi="仿宋" w:eastAsia="仿宋" w:cs="宋体"/>
          <w:caps/>
          <w:color w:val="auto"/>
          <w:szCs w:val="24"/>
          <w:highlight w:val="none"/>
        </w:rPr>
        <w:fldChar w:fldCharType="end"/>
      </w:r>
    </w:p>
    <w:p w14:paraId="0EA48AE2">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_Toc17107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55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发包人供应工程材料和工程设备</w:t>
      </w:r>
      <w:r>
        <w:rPr>
          <w:color w:val="auto"/>
          <w:highlight w:val="none"/>
        </w:rPr>
        <w:tab/>
      </w:r>
      <w:r>
        <w:rPr>
          <w:color w:val="auto"/>
          <w:highlight w:val="none"/>
        </w:rPr>
        <w:fldChar w:fldCharType="begin"/>
      </w:r>
      <w:r>
        <w:rPr>
          <w:color w:val="auto"/>
          <w:highlight w:val="none"/>
        </w:rPr>
        <w:instrText xml:space="preserve"> PAGEREF _Toc17107 \h </w:instrText>
      </w:r>
      <w:r>
        <w:rPr>
          <w:color w:val="auto"/>
          <w:highlight w:val="none"/>
        </w:rPr>
        <w:fldChar w:fldCharType="separate"/>
      </w:r>
      <w:r>
        <w:rPr>
          <w:color w:val="auto"/>
          <w:highlight w:val="none"/>
        </w:rPr>
        <w:t>118</w:t>
      </w:r>
      <w:r>
        <w:rPr>
          <w:color w:val="auto"/>
          <w:highlight w:val="none"/>
        </w:rPr>
        <w:fldChar w:fldCharType="end"/>
      </w:r>
      <w:r>
        <w:rPr>
          <w:rFonts w:hint="eastAsia" w:ascii="仿宋" w:hAnsi="仿宋" w:eastAsia="仿宋" w:cs="宋体"/>
          <w:caps/>
          <w:color w:val="auto"/>
          <w:szCs w:val="24"/>
          <w:highlight w:val="none"/>
        </w:rPr>
        <w:fldChar w:fldCharType="end"/>
      </w:r>
    </w:p>
    <w:p w14:paraId="4B168E27">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_Toc16756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56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承包人购置设备及工器具、采购工程材料和工程设备</w:t>
      </w:r>
      <w:r>
        <w:rPr>
          <w:color w:val="auto"/>
          <w:highlight w:val="none"/>
        </w:rPr>
        <w:tab/>
      </w:r>
      <w:r>
        <w:rPr>
          <w:color w:val="auto"/>
          <w:highlight w:val="none"/>
        </w:rPr>
        <w:fldChar w:fldCharType="begin"/>
      </w:r>
      <w:r>
        <w:rPr>
          <w:color w:val="auto"/>
          <w:highlight w:val="none"/>
        </w:rPr>
        <w:instrText xml:space="preserve"> PAGEREF _Toc16756 \h </w:instrText>
      </w:r>
      <w:r>
        <w:rPr>
          <w:color w:val="auto"/>
          <w:highlight w:val="none"/>
        </w:rPr>
        <w:fldChar w:fldCharType="separate"/>
      </w:r>
      <w:r>
        <w:rPr>
          <w:color w:val="auto"/>
          <w:highlight w:val="none"/>
        </w:rPr>
        <w:t>120</w:t>
      </w:r>
      <w:r>
        <w:rPr>
          <w:color w:val="auto"/>
          <w:highlight w:val="none"/>
        </w:rPr>
        <w:fldChar w:fldCharType="end"/>
      </w:r>
      <w:r>
        <w:rPr>
          <w:rFonts w:hint="eastAsia" w:ascii="仿宋" w:hAnsi="仿宋" w:eastAsia="仿宋" w:cs="宋体"/>
          <w:caps/>
          <w:color w:val="auto"/>
          <w:szCs w:val="24"/>
          <w:highlight w:val="none"/>
        </w:rPr>
        <w:fldChar w:fldCharType="end"/>
      </w:r>
    </w:p>
    <w:p w14:paraId="1C2C483B">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_Toc25822 </w:instrText>
      </w:r>
      <w:r>
        <w:rPr>
          <w:rFonts w:hint="eastAsia" w:ascii="仿宋" w:hAnsi="仿宋" w:eastAsia="仿宋" w:cs="宋体"/>
          <w:caps/>
          <w:color w:val="auto"/>
          <w:szCs w:val="24"/>
          <w:highlight w:val="none"/>
        </w:rPr>
        <w:fldChar w:fldCharType="separate"/>
      </w:r>
      <w:r>
        <w:rPr>
          <w:rFonts w:ascii="仿宋" w:hAnsi="仿宋" w:eastAsia="仿宋" w:cs="仿宋"/>
          <w:color w:val="auto"/>
          <w:szCs w:val="24"/>
          <w:highlight w:val="none"/>
          <w:lang w:eastAsia="zh-CN"/>
        </w:rPr>
        <w:t>5</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设备及工器具的验收、工程材料和工程设备的检验试验</w:t>
      </w:r>
      <w:r>
        <w:rPr>
          <w:color w:val="auto"/>
          <w:highlight w:val="none"/>
        </w:rPr>
        <w:tab/>
      </w:r>
      <w:r>
        <w:rPr>
          <w:color w:val="auto"/>
          <w:highlight w:val="none"/>
        </w:rPr>
        <w:fldChar w:fldCharType="begin"/>
      </w:r>
      <w:r>
        <w:rPr>
          <w:color w:val="auto"/>
          <w:highlight w:val="none"/>
        </w:rPr>
        <w:instrText xml:space="preserve"> PAGEREF _Toc25822 \h </w:instrText>
      </w:r>
      <w:r>
        <w:rPr>
          <w:color w:val="auto"/>
          <w:highlight w:val="none"/>
        </w:rPr>
        <w:fldChar w:fldCharType="separate"/>
      </w:r>
      <w:r>
        <w:rPr>
          <w:color w:val="auto"/>
          <w:highlight w:val="none"/>
        </w:rPr>
        <w:t>122</w:t>
      </w:r>
      <w:r>
        <w:rPr>
          <w:color w:val="auto"/>
          <w:highlight w:val="none"/>
        </w:rPr>
        <w:fldChar w:fldCharType="end"/>
      </w:r>
      <w:r>
        <w:rPr>
          <w:rFonts w:hint="eastAsia" w:ascii="仿宋" w:hAnsi="仿宋" w:eastAsia="仿宋" w:cs="宋体"/>
          <w:caps/>
          <w:color w:val="auto"/>
          <w:szCs w:val="24"/>
          <w:highlight w:val="none"/>
        </w:rPr>
        <w:fldChar w:fldCharType="end"/>
      </w:r>
    </w:p>
    <w:p w14:paraId="79EFB28B">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_Toc26346 </w:instrText>
      </w:r>
      <w:r>
        <w:rPr>
          <w:rFonts w:hint="eastAsia" w:ascii="仿宋" w:hAnsi="仿宋" w:eastAsia="仿宋" w:cs="宋体"/>
          <w:caps/>
          <w:color w:val="auto"/>
          <w:szCs w:val="24"/>
          <w:highlight w:val="none"/>
        </w:rPr>
        <w:fldChar w:fldCharType="separate"/>
      </w:r>
      <w:r>
        <w:rPr>
          <w:rFonts w:ascii="仿宋" w:hAnsi="仿宋" w:eastAsia="仿宋" w:cs="仿宋"/>
          <w:color w:val="auto"/>
          <w:szCs w:val="24"/>
          <w:highlight w:val="none"/>
          <w:lang w:eastAsia="zh-CN"/>
        </w:rPr>
        <w:t>5</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施工设备和临时设施</w:t>
      </w:r>
      <w:r>
        <w:rPr>
          <w:color w:val="auto"/>
          <w:highlight w:val="none"/>
        </w:rPr>
        <w:tab/>
      </w:r>
      <w:r>
        <w:rPr>
          <w:color w:val="auto"/>
          <w:highlight w:val="none"/>
        </w:rPr>
        <w:fldChar w:fldCharType="begin"/>
      </w:r>
      <w:r>
        <w:rPr>
          <w:color w:val="auto"/>
          <w:highlight w:val="none"/>
        </w:rPr>
        <w:instrText xml:space="preserve"> PAGEREF _Toc26346 \h </w:instrText>
      </w:r>
      <w:r>
        <w:rPr>
          <w:color w:val="auto"/>
          <w:highlight w:val="none"/>
        </w:rPr>
        <w:fldChar w:fldCharType="separate"/>
      </w:r>
      <w:r>
        <w:rPr>
          <w:color w:val="auto"/>
          <w:highlight w:val="none"/>
        </w:rPr>
        <w:t>124</w:t>
      </w:r>
      <w:r>
        <w:rPr>
          <w:color w:val="auto"/>
          <w:highlight w:val="none"/>
        </w:rPr>
        <w:fldChar w:fldCharType="end"/>
      </w:r>
      <w:r>
        <w:rPr>
          <w:rFonts w:hint="eastAsia" w:ascii="仿宋" w:hAnsi="仿宋" w:eastAsia="仿宋" w:cs="宋体"/>
          <w:caps/>
          <w:color w:val="auto"/>
          <w:szCs w:val="24"/>
          <w:highlight w:val="none"/>
        </w:rPr>
        <w:fldChar w:fldCharType="end"/>
      </w:r>
    </w:p>
    <w:p w14:paraId="1874732E">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_Toc32090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★59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工程质量检查</w:t>
      </w:r>
      <w:r>
        <w:rPr>
          <w:color w:val="auto"/>
          <w:highlight w:val="none"/>
        </w:rPr>
        <w:tab/>
      </w:r>
      <w:r>
        <w:rPr>
          <w:color w:val="auto"/>
          <w:highlight w:val="none"/>
        </w:rPr>
        <w:fldChar w:fldCharType="begin"/>
      </w:r>
      <w:r>
        <w:rPr>
          <w:color w:val="auto"/>
          <w:highlight w:val="none"/>
        </w:rPr>
        <w:instrText xml:space="preserve"> PAGEREF _Toc32090 \h </w:instrText>
      </w:r>
      <w:r>
        <w:rPr>
          <w:color w:val="auto"/>
          <w:highlight w:val="none"/>
        </w:rPr>
        <w:fldChar w:fldCharType="separate"/>
      </w:r>
      <w:r>
        <w:rPr>
          <w:color w:val="auto"/>
          <w:highlight w:val="none"/>
        </w:rPr>
        <w:t>125</w:t>
      </w:r>
      <w:r>
        <w:rPr>
          <w:color w:val="auto"/>
          <w:highlight w:val="none"/>
        </w:rPr>
        <w:fldChar w:fldCharType="end"/>
      </w:r>
      <w:r>
        <w:rPr>
          <w:rFonts w:hint="eastAsia" w:ascii="仿宋" w:hAnsi="仿宋" w:eastAsia="仿宋" w:cs="宋体"/>
          <w:caps/>
          <w:color w:val="auto"/>
          <w:szCs w:val="24"/>
          <w:highlight w:val="none"/>
        </w:rPr>
        <w:fldChar w:fldCharType="end"/>
      </w:r>
    </w:p>
    <w:p w14:paraId="5320DBF0">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★60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隐蔽工程和中间验收</w:t>
      </w:r>
      <w:r>
        <w:rPr>
          <w:color w:val="auto"/>
          <w:highlight w:val="none"/>
        </w:rPr>
        <w:tab/>
      </w:r>
      <w:r>
        <w:rPr>
          <w:color w:val="auto"/>
          <w:highlight w:val="none"/>
        </w:rPr>
        <w:fldChar w:fldCharType="begin"/>
      </w:r>
      <w:r>
        <w:rPr>
          <w:color w:val="auto"/>
          <w:highlight w:val="none"/>
        </w:rPr>
        <w:instrText xml:space="preserve"> PAGEREF _Toc1 \h </w:instrText>
      </w:r>
      <w:r>
        <w:rPr>
          <w:color w:val="auto"/>
          <w:highlight w:val="none"/>
        </w:rPr>
        <w:fldChar w:fldCharType="separate"/>
      </w:r>
      <w:r>
        <w:rPr>
          <w:color w:val="auto"/>
          <w:highlight w:val="none"/>
        </w:rPr>
        <w:t>126</w:t>
      </w:r>
      <w:r>
        <w:rPr>
          <w:color w:val="auto"/>
          <w:highlight w:val="none"/>
        </w:rPr>
        <w:fldChar w:fldCharType="end"/>
      </w:r>
      <w:r>
        <w:rPr>
          <w:rFonts w:hint="eastAsia" w:ascii="仿宋" w:hAnsi="仿宋" w:eastAsia="仿宋" w:cs="宋体"/>
          <w:caps/>
          <w:color w:val="auto"/>
          <w:szCs w:val="24"/>
          <w:highlight w:val="none"/>
        </w:rPr>
        <w:fldChar w:fldCharType="end"/>
      </w:r>
    </w:p>
    <w:p w14:paraId="71FBC289">
      <w:pPr>
        <w:pStyle w:val="22"/>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_Toc4888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★61  重新验收和额外检查检验</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_Toc4888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127</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6CD2F324">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_Toc479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62  工程试车</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_Toc479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127</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01A21028">
      <w:pPr>
        <w:pStyle w:val="22"/>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_Toc4005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★63  工程变更</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_Toc4005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129</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316B7783">
      <w:pPr>
        <w:pStyle w:val="22"/>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_Toc1277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64  竣工验收条件</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_Toc1277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131</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6F11809A">
      <w:pPr>
        <w:pStyle w:val="22"/>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_Toc16472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65  竣工验收</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_Toc16472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132</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5C45E89C">
      <w:pPr>
        <w:pStyle w:val="22"/>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_Toc29159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66  缺陷责任与质量保修</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_Toc29159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135</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1F510553">
      <w:pPr>
        <w:pStyle w:val="22"/>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_Toc12618 </w:instrText>
      </w:r>
      <w:r>
        <w:rPr>
          <w:rFonts w:hint="eastAsia" w:ascii="仿宋" w:hAnsi="仿宋" w:eastAsia="仿宋" w:cs="宋体"/>
          <w:caps/>
          <w:color w:val="auto"/>
          <w:szCs w:val="24"/>
          <w:highlight w:val="none"/>
        </w:rPr>
        <w:fldChar w:fldCharType="separate"/>
      </w:r>
      <w:r>
        <w:rPr>
          <w:rFonts w:hint="eastAsia" w:ascii="仿宋" w:hAnsi="仿宋" w:eastAsia="仿宋" w:cs="宋体"/>
          <w:bCs w:val="0"/>
          <w:caps/>
          <w:color w:val="auto"/>
          <w:szCs w:val="24"/>
          <w:highlight w:val="none"/>
          <w:lang w:eastAsia="zh-CN"/>
        </w:rPr>
        <w:t>七、合同价格</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_Toc12618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137</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650D0C8B">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_Toc24095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67  资金计划和安排</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_Toc24095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137</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75649CFA">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_Toc8465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68  联合体牵头人项目管理费</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_Toc8465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137</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6A90BBFC">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_Toc7322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★69  合同价格的约定与调整</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_Toc7322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138</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3A79AF35">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_Toc15057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★70  合同价格调整程序</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_Toc15057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140</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635BF850">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_Toc21473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★71  工作量或工程量</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_Toc21473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140</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50AC53DE">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_Toc31491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★72  计量和计价</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_Toc31491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141</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1E6DAA46">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_Toc1624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★73  暂列金额</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_Toc1624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143</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4D44EB1B">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_Toc6941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★74  计日工</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_Toc6941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144</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66201C8E">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_Toc19891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★75  暂估价</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_Toc19891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145</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2C7EF096">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_Toc25519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★76  提前竣工奖与误期赔偿费</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_Toc25519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145</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63127026">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_Toc22316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★77  优质优价费用</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_Toc22316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146</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5B0B25CB">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_Toc24661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★78  后继法律变化引起的价格调整</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_Toc24661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147</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33E22D94">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_Toc20013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★79  可调价变更定价</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_Toc20013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147</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3C7E4DF2">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_Toc4495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★80  费用索赔</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_Toc4495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149</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3F57F0E6">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_Toc610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★81  现场签证价格的确定</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_Toc610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150</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68B52613">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_Toc24354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★82  物价涨落的价格调整</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_Toc24354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151</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744F7DC4">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_Toc18326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★83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支付事项</w:t>
      </w:r>
      <w:r>
        <w:rPr>
          <w:color w:val="auto"/>
          <w:highlight w:val="none"/>
        </w:rPr>
        <w:tab/>
      </w:r>
      <w:r>
        <w:rPr>
          <w:color w:val="auto"/>
          <w:highlight w:val="none"/>
        </w:rPr>
        <w:fldChar w:fldCharType="begin"/>
      </w:r>
      <w:r>
        <w:rPr>
          <w:color w:val="auto"/>
          <w:highlight w:val="none"/>
        </w:rPr>
        <w:instrText xml:space="preserve"> PAGEREF _Toc18326 \h </w:instrText>
      </w:r>
      <w:r>
        <w:rPr>
          <w:color w:val="auto"/>
          <w:highlight w:val="none"/>
        </w:rPr>
        <w:fldChar w:fldCharType="separate"/>
      </w:r>
      <w:r>
        <w:rPr>
          <w:color w:val="auto"/>
          <w:highlight w:val="none"/>
        </w:rPr>
        <w:t>153</w:t>
      </w:r>
      <w:r>
        <w:rPr>
          <w:color w:val="auto"/>
          <w:highlight w:val="none"/>
        </w:rPr>
        <w:fldChar w:fldCharType="end"/>
      </w:r>
      <w:r>
        <w:rPr>
          <w:rFonts w:hint="eastAsia" w:ascii="仿宋" w:hAnsi="仿宋" w:eastAsia="仿宋" w:cs="宋体"/>
          <w:caps/>
          <w:color w:val="auto"/>
          <w:szCs w:val="24"/>
          <w:highlight w:val="none"/>
        </w:rPr>
        <w:fldChar w:fldCharType="end"/>
      </w:r>
    </w:p>
    <w:p w14:paraId="4127DF4F">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_Toc4948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★84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预付款</w:t>
      </w:r>
      <w:r>
        <w:rPr>
          <w:color w:val="auto"/>
          <w:highlight w:val="none"/>
        </w:rPr>
        <w:tab/>
      </w:r>
      <w:r>
        <w:rPr>
          <w:color w:val="auto"/>
          <w:highlight w:val="none"/>
        </w:rPr>
        <w:fldChar w:fldCharType="begin"/>
      </w:r>
      <w:r>
        <w:rPr>
          <w:color w:val="auto"/>
          <w:highlight w:val="none"/>
        </w:rPr>
        <w:instrText xml:space="preserve"> PAGEREF _Toc4948 \h </w:instrText>
      </w:r>
      <w:r>
        <w:rPr>
          <w:color w:val="auto"/>
          <w:highlight w:val="none"/>
        </w:rPr>
        <w:fldChar w:fldCharType="separate"/>
      </w:r>
      <w:r>
        <w:rPr>
          <w:color w:val="auto"/>
          <w:highlight w:val="none"/>
        </w:rPr>
        <w:t>154</w:t>
      </w:r>
      <w:r>
        <w:rPr>
          <w:color w:val="auto"/>
          <w:highlight w:val="none"/>
        </w:rPr>
        <w:fldChar w:fldCharType="end"/>
      </w:r>
      <w:r>
        <w:rPr>
          <w:rFonts w:hint="eastAsia" w:ascii="仿宋" w:hAnsi="仿宋" w:eastAsia="仿宋" w:cs="宋体"/>
          <w:caps/>
          <w:color w:val="auto"/>
          <w:szCs w:val="24"/>
          <w:highlight w:val="none"/>
        </w:rPr>
        <w:fldChar w:fldCharType="end"/>
      </w:r>
    </w:p>
    <w:p w14:paraId="24C96D1A">
      <w:pPr>
        <w:pStyle w:val="22"/>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_Toc8952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★85</w:t>
      </w:r>
      <w:r>
        <w:rPr>
          <w:rFonts w:ascii="仿宋" w:hAnsi="仿宋" w:eastAsia="仿宋" w:cs="仿宋"/>
          <w:color w:val="auto"/>
          <w:szCs w:val="24"/>
          <w:highlight w:val="none"/>
          <w:lang w:eastAsia="zh-CN"/>
        </w:rPr>
        <w:t xml:space="preserve">  </w:t>
      </w:r>
      <w:r>
        <w:rPr>
          <w:rFonts w:hint="eastAsia" w:ascii="仿宋" w:hAnsi="仿宋" w:eastAsia="仿宋" w:cs="仿宋"/>
          <w:bCs w:val="0"/>
          <w:color w:val="auto"/>
          <w:szCs w:val="24"/>
          <w:highlight w:val="none"/>
          <w:lang w:eastAsia="zh-CN"/>
        </w:rPr>
        <w:t>绿色施工安全防护</w:t>
      </w:r>
      <w:r>
        <w:rPr>
          <w:rFonts w:hint="eastAsia" w:ascii="仿宋" w:hAnsi="仿宋" w:eastAsia="仿宋" w:cs="仿宋"/>
          <w:bCs w:val="0"/>
          <w:color w:val="auto"/>
          <w:szCs w:val="24"/>
          <w:highlight w:val="none"/>
          <w:lang w:val="en-US" w:eastAsia="zh-CN"/>
        </w:rPr>
        <w:t>措施</w:t>
      </w:r>
      <w:r>
        <w:rPr>
          <w:rFonts w:hint="eastAsia" w:ascii="仿宋" w:hAnsi="仿宋" w:eastAsia="仿宋" w:cs="仿宋"/>
          <w:bCs w:val="0"/>
          <w:color w:val="auto"/>
          <w:szCs w:val="24"/>
          <w:highlight w:val="none"/>
          <w:lang w:eastAsia="zh-CN"/>
        </w:rPr>
        <w:t>费</w:t>
      </w:r>
      <w:r>
        <w:rPr>
          <w:color w:val="auto"/>
          <w:highlight w:val="none"/>
        </w:rPr>
        <w:tab/>
      </w:r>
      <w:r>
        <w:rPr>
          <w:color w:val="auto"/>
          <w:highlight w:val="none"/>
        </w:rPr>
        <w:fldChar w:fldCharType="begin"/>
      </w:r>
      <w:r>
        <w:rPr>
          <w:color w:val="auto"/>
          <w:highlight w:val="none"/>
        </w:rPr>
        <w:instrText xml:space="preserve"> PAGEREF _Toc8952 \h </w:instrText>
      </w:r>
      <w:r>
        <w:rPr>
          <w:color w:val="auto"/>
          <w:highlight w:val="none"/>
        </w:rPr>
        <w:fldChar w:fldCharType="separate"/>
      </w:r>
      <w:r>
        <w:rPr>
          <w:color w:val="auto"/>
          <w:highlight w:val="none"/>
        </w:rPr>
        <w:t>156</w:t>
      </w:r>
      <w:r>
        <w:rPr>
          <w:color w:val="auto"/>
          <w:highlight w:val="none"/>
        </w:rPr>
        <w:fldChar w:fldCharType="end"/>
      </w:r>
      <w:r>
        <w:rPr>
          <w:rFonts w:hint="eastAsia" w:ascii="仿宋" w:hAnsi="仿宋" w:eastAsia="仿宋" w:cs="宋体"/>
          <w:caps/>
          <w:color w:val="auto"/>
          <w:szCs w:val="24"/>
          <w:highlight w:val="none"/>
        </w:rPr>
        <w:fldChar w:fldCharType="end"/>
      </w:r>
    </w:p>
    <w:p w14:paraId="3BD1DD25">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_Toc21726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★86  进度款</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_Toc21726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157</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0CEC9DB5">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_Toc12393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★87  竣工结算</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_Toc12393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159</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28A65F4E">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_Toc20226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★88  结算款</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_Toc20226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161</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6363D1B3">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_Toc4279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★89  质量保证金</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_Toc4279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162</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1CF2A930">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_Toc8072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90  最终清算款</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_Toc8072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163</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40C82D41">
      <w:pPr>
        <w:pStyle w:val="22"/>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_Toc12791 </w:instrText>
      </w:r>
      <w:r>
        <w:rPr>
          <w:rFonts w:hint="eastAsia" w:ascii="仿宋" w:hAnsi="仿宋" w:eastAsia="仿宋" w:cs="宋体"/>
          <w:caps/>
          <w:color w:val="auto"/>
          <w:szCs w:val="24"/>
          <w:highlight w:val="none"/>
        </w:rPr>
        <w:fldChar w:fldCharType="separate"/>
      </w:r>
      <w:r>
        <w:rPr>
          <w:rFonts w:hint="eastAsia" w:ascii="仿宋" w:hAnsi="仿宋" w:eastAsia="仿宋" w:cs="宋体"/>
          <w:bCs w:val="0"/>
          <w:caps/>
          <w:color w:val="auto"/>
          <w:szCs w:val="24"/>
          <w:highlight w:val="none"/>
          <w:lang w:eastAsia="zh-CN"/>
        </w:rPr>
        <w:t>八、合同争议、解除与终止</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_Toc12791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164</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59311871">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_Toc19953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91 合同争议</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_Toc19953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164</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798DF696">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_Toc4191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92  合同解除</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_Toc4191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166</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15845301">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_Toc5486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93  合同解除的支付</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_Toc5486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168</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292AA7A5">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_Toc13032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94  合同终止</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_Toc13032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169</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083BE815">
      <w:pPr>
        <w:pStyle w:val="22"/>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_Toc24440 </w:instrText>
      </w:r>
      <w:r>
        <w:rPr>
          <w:rFonts w:hint="eastAsia" w:ascii="仿宋" w:hAnsi="仿宋" w:eastAsia="仿宋" w:cs="宋体"/>
          <w:caps/>
          <w:color w:val="auto"/>
          <w:szCs w:val="24"/>
          <w:highlight w:val="none"/>
        </w:rPr>
        <w:fldChar w:fldCharType="separate"/>
      </w:r>
      <w:r>
        <w:rPr>
          <w:rFonts w:hint="eastAsia" w:ascii="仿宋" w:hAnsi="仿宋" w:eastAsia="仿宋" w:cs="宋体"/>
          <w:bCs w:val="0"/>
          <w:caps/>
          <w:color w:val="auto"/>
          <w:szCs w:val="24"/>
          <w:highlight w:val="none"/>
          <w:lang w:eastAsia="zh-CN"/>
        </w:rPr>
        <w:t>九、违约</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_Toc24440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170</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5E033600">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_Toc27135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★95  承包人违约</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_Toc27135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170</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05D7CF31">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_Toc31799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★96  发包人违约</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_Toc31799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171</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6BD2CB25">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_Toc20257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★97  第三方违约与除外责任</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_Toc20257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172</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1FC16166">
      <w:pPr>
        <w:pStyle w:val="22"/>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_Toc22019 </w:instrText>
      </w:r>
      <w:r>
        <w:rPr>
          <w:rFonts w:hint="eastAsia" w:ascii="仿宋" w:hAnsi="仿宋" w:eastAsia="仿宋" w:cs="宋体"/>
          <w:caps/>
          <w:color w:val="auto"/>
          <w:szCs w:val="24"/>
          <w:highlight w:val="none"/>
        </w:rPr>
        <w:fldChar w:fldCharType="separate"/>
      </w:r>
      <w:r>
        <w:rPr>
          <w:rFonts w:hint="eastAsia" w:ascii="仿宋" w:hAnsi="仿宋" w:eastAsia="仿宋" w:cs="宋体"/>
          <w:bCs w:val="0"/>
          <w:caps/>
          <w:color w:val="auto"/>
          <w:szCs w:val="24"/>
          <w:highlight w:val="none"/>
          <w:lang w:eastAsia="zh-CN"/>
        </w:rPr>
        <w:t>十、其  他</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_Toc22019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172</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6567FB95">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_Toc6508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98  缴纳税费</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_Toc6508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172</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6F067087">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_Toc5810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99  保密要求</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_Toc5810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173</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0F9824F8">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_Toc6481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100  廉政建设</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_Toc6481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174</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15A78F58">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_Toc28494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101  禁止转让</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_Toc28494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174</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694B5FAB">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_Toc11319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102  合同份数</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_Toc11319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175</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44644CBB">
      <w:pPr>
        <w:pStyle w:val="22"/>
        <w:tabs>
          <w:tab w:val="right" w:leader="dot" w:pos="10204"/>
        </w:tabs>
        <w:rPr>
          <w:rFonts w:hint="eastAsia" w:ascii="仿宋" w:hAnsi="仿宋" w:eastAsia="仿宋" w:cs="宋体"/>
          <w:caps/>
          <w:color w:val="auto"/>
          <w:szCs w:val="24"/>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_Toc28563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lang w:eastAsia="zh-CN"/>
        </w:rPr>
        <w:t>103  合同管理</w:t>
      </w:r>
      <w:r>
        <w:rPr>
          <w:rFonts w:hint="eastAsia" w:ascii="仿宋" w:hAnsi="仿宋" w:eastAsia="仿宋" w:cs="宋体"/>
          <w:caps/>
          <w:color w:val="auto"/>
          <w:szCs w:val="24"/>
          <w:highlight w:val="none"/>
        </w:rPr>
        <w:tab/>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PAGEREF _Toc28563 \h </w:instrText>
      </w:r>
      <w:r>
        <w:rPr>
          <w:rFonts w:hint="eastAsia" w:ascii="仿宋" w:hAnsi="仿宋" w:eastAsia="仿宋" w:cs="宋体"/>
          <w:caps/>
          <w:color w:val="auto"/>
          <w:szCs w:val="24"/>
          <w:highlight w:val="none"/>
        </w:rPr>
        <w:fldChar w:fldCharType="separate"/>
      </w:r>
      <w:r>
        <w:rPr>
          <w:rFonts w:hint="eastAsia" w:ascii="仿宋" w:hAnsi="仿宋" w:eastAsia="仿宋" w:cs="宋体"/>
          <w:caps/>
          <w:color w:val="auto"/>
          <w:szCs w:val="24"/>
          <w:highlight w:val="none"/>
        </w:rPr>
        <w:t>175</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end"/>
      </w:r>
    </w:p>
    <w:p w14:paraId="0841BD37">
      <w:pPr>
        <w:pStyle w:val="30"/>
        <w:tabs>
          <w:tab w:val="right" w:leader="dot" w:pos="10204"/>
        </w:tabs>
        <w:rPr>
          <w:color w:val="auto"/>
          <w:highlight w:val="none"/>
        </w:rPr>
      </w:pPr>
      <w:r>
        <w:rPr>
          <w:rFonts w:hint="eastAsia" w:ascii="仿宋" w:hAnsi="仿宋" w:eastAsia="仿宋" w:cs="宋体"/>
          <w:caps w:val="0"/>
          <w:color w:val="auto"/>
          <w:szCs w:val="24"/>
          <w:highlight w:val="none"/>
        </w:rPr>
        <w:fldChar w:fldCharType="begin"/>
      </w:r>
      <w:r>
        <w:rPr>
          <w:rFonts w:hint="eastAsia" w:ascii="仿宋" w:hAnsi="仿宋" w:eastAsia="仿宋" w:cs="宋体"/>
          <w:caps w:val="0"/>
          <w:color w:val="auto"/>
          <w:szCs w:val="24"/>
          <w:highlight w:val="none"/>
        </w:rPr>
        <w:instrText xml:space="preserve"> HYPERLINK \l _Toc21292 </w:instrText>
      </w:r>
      <w:r>
        <w:rPr>
          <w:rFonts w:hint="eastAsia" w:ascii="仿宋" w:hAnsi="仿宋" w:eastAsia="仿宋" w:cs="宋体"/>
          <w:caps w:val="0"/>
          <w:color w:val="auto"/>
          <w:szCs w:val="24"/>
          <w:highlight w:val="none"/>
        </w:rPr>
        <w:fldChar w:fldCharType="separate"/>
      </w:r>
      <w:r>
        <w:rPr>
          <w:rFonts w:hint="eastAsia" w:hAnsi="宋体"/>
          <w:bCs w:val="0"/>
          <w:color w:val="auto"/>
          <w:szCs w:val="36"/>
          <w:highlight w:val="none"/>
          <w:lang w:eastAsia="zh-CN"/>
        </w:rPr>
        <w:t>第三部分  专用条款</w:t>
      </w:r>
      <w:r>
        <w:rPr>
          <w:color w:val="auto"/>
          <w:highlight w:val="none"/>
        </w:rPr>
        <w:tab/>
      </w:r>
      <w:r>
        <w:rPr>
          <w:color w:val="auto"/>
          <w:highlight w:val="none"/>
        </w:rPr>
        <w:fldChar w:fldCharType="begin"/>
      </w:r>
      <w:r>
        <w:rPr>
          <w:color w:val="auto"/>
          <w:highlight w:val="none"/>
        </w:rPr>
        <w:instrText xml:space="preserve"> PAGEREF _Toc21292 \h </w:instrText>
      </w:r>
      <w:r>
        <w:rPr>
          <w:color w:val="auto"/>
          <w:highlight w:val="none"/>
        </w:rPr>
        <w:fldChar w:fldCharType="separate"/>
      </w:r>
      <w:r>
        <w:rPr>
          <w:color w:val="auto"/>
          <w:highlight w:val="none"/>
        </w:rPr>
        <w:t>176</w:t>
      </w:r>
      <w:r>
        <w:rPr>
          <w:color w:val="auto"/>
          <w:highlight w:val="none"/>
        </w:rPr>
        <w:fldChar w:fldCharType="end"/>
      </w:r>
      <w:r>
        <w:rPr>
          <w:rFonts w:hint="eastAsia" w:ascii="仿宋" w:hAnsi="仿宋" w:eastAsia="仿宋" w:cs="宋体"/>
          <w:caps w:val="0"/>
          <w:color w:val="auto"/>
          <w:szCs w:val="24"/>
          <w:highlight w:val="none"/>
        </w:rPr>
        <w:fldChar w:fldCharType="end"/>
      </w:r>
    </w:p>
    <w:p w14:paraId="2862AFF2">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_Toc2953 </w:instrText>
      </w:r>
      <w:r>
        <w:rPr>
          <w:rFonts w:hint="eastAsia" w:ascii="仿宋" w:hAnsi="仿宋" w:eastAsia="仿宋" w:cs="宋体"/>
          <w:caps/>
          <w:color w:val="auto"/>
          <w:szCs w:val="24"/>
          <w:highlight w:val="none"/>
        </w:rPr>
        <w:fldChar w:fldCharType="separate"/>
      </w:r>
      <w:r>
        <w:rPr>
          <w:rFonts w:hint="eastAsia" w:ascii="仿宋" w:hAnsi="仿宋" w:eastAsia="仿宋"/>
          <w:snapToGrid w:val="0"/>
          <w:color w:val="auto"/>
          <w:highlight w:val="none"/>
          <w:lang w:eastAsia="zh-CN"/>
        </w:rPr>
        <w:t>总则（补充）</w:t>
      </w:r>
      <w:r>
        <w:rPr>
          <w:color w:val="auto"/>
          <w:highlight w:val="none"/>
        </w:rPr>
        <w:tab/>
      </w:r>
      <w:r>
        <w:rPr>
          <w:color w:val="auto"/>
          <w:highlight w:val="none"/>
        </w:rPr>
        <w:fldChar w:fldCharType="begin"/>
      </w:r>
      <w:r>
        <w:rPr>
          <w:color w:val="auto"/>
          <w:highlight w:val="none"/>
        </w:rPr>
        <w:instrText xml:space="preserve"> PAGEREF _Toc2953 \h </w:instrText>
      </w:r>
      <w:r>
        <w:rPr>
          <w:color w:val="auto"/>
          <w:highlight w:val="none"/>
        </w:rPr>
        <w:fldChar w:fldCharType="separate"/>
      </w:r>
      <w:r>
        <w:rPr>
          <w:color w:val="auto"/>
          <w:highlight w:val="none"/>
        </w:rPr>
        <w:t>176</w:t>
      </w:r>
      <w:r>
        <w:rPr>
          <w:color w:val="auto"/>
          <w:highlight w:val="none"/>
        </w:rPr>
        <w:fldChar w:fldCharType="end"/>
      </w:r>
      <w:r>
        <w:rPr>
          <w:rFonts w:hint="eastAsia" w:ascii="仿宋" w:hAnsi="仿宋" w:eastAsia="仿宋" w:cs="宋体"/>
          <w:caps/>
          <w:color w:val="auto"/>
          <w:szCs w:val="24"/>
          <w:highlight w:val="none"/>
        </w:rPr>
        <w:fldChar w:fldCharType="end"/>
      </w:r>
    </w:p>
    <w:p w14:paraId="0629701F">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_Toc13418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1．  定义</w:t>
      </w:r>
      <w:r>
        <w:rPr>
          <w:color w:val="auto"/>
          <w:highlight w:val="none"/>
        </w:rPr>
        <w:tab/>
      </w:r>
      <w:r>
        <w:rPr>
          <w:color w:val="auto"/>
          <w:highlight w:val="none"/>
        </w:rPr>
        <w:fldChar w:fldCharType="begin"/>
      </w:r>
      <w:r>
        <w:rPr>
          <w:color w:val="auto"/>
          <w:highlight w:val="none"/>
        </w:rPr>
        <w:instrText xml:space="preserve"> PAGEREF _Toc13418 \h </w:instrText>
      </w:r>
      <w:r>
        <w:rPr>
          <w:color w:val="auto"/>
          <w:highlight w:val="none"/>
        </w:rPr>
        <w:fldChar w:fldCharType="separate"/>
      </w:r>
      <w:r>
        <w:rPr>
          <w:color w:val="auto"/>
          <w:highlight w:val="none"/>
        </w:rPr>
        <w:t>178</w:t>
      </w:r>
      <w:r>
        <w:rPr>
          <w:color w:val="auto"/>
          <w:highlight w:val="none"/>
        </w:rPr>
        <w:fldChar w:fldCharType="end"/>
      </w:r>
      <w:r>
        <w:rPr>
          <w:rFonts w:hint="eastAsia" w:ascii="仿宋" w:hAnsi="仿宋" w:eastAsia="仿宋" w:cs="宋体"/>
          <w:caps/>
          <w:color w:val="auto"/>
          <w:szCs w:val="24"/>
          <w:highlight w:val="none"/>
        </w:rPr>
        <w:fldChar w:fldCharType="end"/>
      </w:r>
    </w:p>
    <w:p w14:paraId="1B27E02B">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_Toc4496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2．  合同文件及解释</w:t>
      </w:r>
      <w:r>
        <w:rPr>
          <w:color w:val="auto"/>
          <w:highlight w:val="none"/>
        </w:rPr>
        <w:tab/>
      </w:r>
      <w:r>
        <w:rPr>
          <w:color w:val="auto"/>
          <w:highlight w:val="none"/>
        </w:rPr>
        <w:fldChar w:fldCharType="begin"/>
      </w:r>
      <w:r>
        <w:rPr>
          <w:color w:val="auto"/>
          <w:highlight w:val="none"/>
        </w:rPr>
        <w:instrText xml:space="preserve"> PAGEREF _Toc4496 \h </w:instrText>
      </w:r>
      <w:r>
        <w:rPr>
          <w:color w:val="auto"/>
          <w:highlight w:val="none"/>
        </w:rPr>
        <w:fldChar w:fldCharType="separate"/>
      </w:r>
      <w:r>
        <w:rPr>
          <w:color w:val="auto"/>
          <w:highlight w:val="none"/>
        </w:rPr>
        <w:t>181</w:t>
      </w:r>
      <w:r>
        <w:rPr>
          <w:color w:val="auto"/>
          <w:highlight w:val="none"/>
        </w:rPr>
        <w:fldChar w:fldCharType="end"/>
      </w:r>
      <w:r>
        <w:rPr>
          <w:rFonts w:hint="eastAsia" w:ascii="仿宋" w:hAnsi="仿宋" w:eastAsia="仿宋" w:cs="宋体"/>
          <w:caps/>
          <w:color w:val="auto"/>
          <w:szCs w:val="24"/>
          <w:highlight w:val="none"/>
        </w:rPr>
        <w:fldChar w:fldCharType="end"/>
      </w:r>
    </w:p>
    <w:p w14:paraId="595D363D">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_Toc18867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4．  语言及适用的法律、标准与</w:t>
      </w:r>
      <w:r>
        <w:rPr>
          <w:rFonts w:hint="eastAsia" w:ascii="仿宋" w:hAnsi="仿宋" w:eastAsia="仿宋"/>
          <w:color w:val="auto"/>
          <w:szCs w:val="24"/>
          <w:highlight w:val="none"/>
          <w:lang w:eastAsia="zh-CN"/>
        </w:rPr>
        <w:t>规范</w:t>
      </w:r>
      <w:r>
        <w:rPr>
          <w:color w:val="auto"/>
          <w:highlight w:val="none"/>
        </w:rPr>
        <w:tab/>
      </w:r>
      <w:r>
        <w:rPr>
          <w:color w:val="auto"/>
          <w:highlight w:val="none"/>
        </w:rPr>
        <w:fldChar w:fldCharType="begin"/>
      </w:r>
      <w:r>
        <w:rPr>
          <w:color w:val="auto"/>
          <w:highlight w:val="none"/>
        </w:rPr>
        <w:instrText xml:space="preserve"> PAGEREF _Toc18867 \h </w:instrText>
      </w:r>
      <w:r>
        <w:rPr>
          <w:color w:val="auto"/>
          <w:highlight w:val="none"/>
        </w:rPr>
        <w:fldChar w:fldCharType="separate"/>
      </w:r>
      <w:r>
        <w:rPr>
          <w:color w:val="auto"/>
          <w:highlight w:val="none"/>
        </w:rPr>
        <w:t>182</w:t>
      </w:r>
      <w:r>
        <w:rPr>
          <w:color w:val="auto"/>
          <w:highlight w:val="none"/>
        </w:rPr>
        <w:fldChar w:fldCharType="end"/>
      </w:r>
      <w:r>
        <w:rPr>
          <w:rFonts w:hint="eastAsia" w:ascii="仿宋" w:hAnsi="仿宋" w:eastAsia="仿宋" w:cs="宋体"/>
          <w:caps/>
          <w:color w:val="auto"/>
          <w:szCs w:val="24"/>
          <w:highlight w:val="none"/>
        </w:rPr>
        <w:fldChar w:fldCharType="end"/>
      </w:r>
    </w:p>
    <w:p w14:paraId="04D4752C">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_Toc28090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5.  发包人要求</w:t>
      </w:r>
      <w:r>
        <w:rPr>
          <w:color w:val="auto"/>
          <w:highlight w:val="none"/>
        </w:rPr>
        <w:tab/>
      </w:r>
      <w:r>
        <w:rPr>
          <w:color w:val="auto"/>
          <w:highlight w:val="none"/>
        </w:rPr>
        <w:fldChar w:fldCharType="begin"/>
      </w:r>
      <w:r>
        <w:rPr>
          <w:color w:val="auto"/>
          <w:highlight w:val="none"/>
        </w:rPr>
        <w:instrText xml:space="preserve"> PAGEREF _Toc28090 \h </w:instrText>
      </w:r>
      <w:r>
        <w:rPr>
          <w:color w:val="auto"/>
          <w:highlight w:val="none"/>
        </w:rPr>
        <w:fldChar w:fldCharType="separate"/>
      </w:r>
      <w:r>
        <w:rPr>
          <w:color w:val="auto"/>
          <w:highlight w:val="none"/>
        </w:rPr>
        <w:t>183</w:t>
      </w:r>
      <w:r>
        <w:rPr>
          <w:color w:val="auto"/>
          <w:highlight w:val="none"/>
        </w:rPr>
        <w:fldChar w:fldCharType="end"/>
      </w:r>
      <w:r>
        <w:rPr>
          <w:rFonts w:hint="eastAsia" w:ascii="仿宋" w:hAnsi="仿宋" w:eastAsia="仿宋" w:cs="宋体"/>
          <w:caps/>
          <w:color w:val="auto"/>
          <w:szCs w:val="24"/>
          <w:highlight w:val="none"/>
        </w:rPr>
        <w:fldChar w:fldCharType="end"/>
      </w:r>
    </w:p>
    <w:p w14:paraId="6D0FC9DB">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_Toc10946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6.  项目基础资料的提供</w:t>
      </w:r>
      <w:r>
        <w:rPr>
          <w:color w:val="auto"/>
          <w:highlight w:val="none"/>
        </w:rPr>
        <w:tab/>
      </w:r>
      <w:r>
        <w:rPr>
          <w:color w:val="auto"/>
          <w:highlight w:val="none"/>
        </w:rPr>
        <w:fldChar w:fldCharType="begin"/>
      </w:r>
      <w:r>
        <w:rPr>
          <w:color w:val="auto"/>
          <w:highlight w:val="none"/>
        </w:rPr>
        <w:instrText xml:space="preserve"> PAGEREF _Toc10946 \h </w:instrText>
      </w:r>
      <w:r>
        <w:rPr>
          <w:color w:val="auto"/>
          <w:highlight w:val="none"/>
        </w:rPr>
        <w:fldChar w:fldCharType="separate"/>
      </w:r>
      <w:r>
        <w:rPr>
          <w:color w:val="auto"/>
          <w:highlight w:val="none"/>
        </w:rPr>
        <w:t>183</w:t>
      </w:r>
      <w:r>
        <w:rPr>
          <w:color w:val="auto"/>
          <w:highlight w:val="none"/>
        </w:rPr>
        <w:fldChar w:fldCharType="end"/>
      </w:r>
      <w:r>
        <w:rPr>
          <w:rFonts w:hint="eastAsia" w:ascii="仿宋" w:hAnsi="仿宋" w:eastAsia="仿宋" w:cs="宋体"/>
          <w:caps/>
          <w:color w:val="auto"/>
          <w:szCs w:val="24"/>
          <w:highlight w:val="none"/>
        </w:rPr>
        <w:fldChar w:fldCharType="end"/>
      </w:r>
    </w:p>
    <w:p w14:paraId="23E2E3FB">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_Toc7215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7.  勘察报告、设计文件、建筑信息模型（BIM）</w:t>
      </w:r>
      <w:r>
        <w:rPr>
          <w:color w:val="auto"/>
          <w:highlight w:val="none"/>
        </w:rPr>
        <w:tab/>
      </w:r>
      <w:r>
        <w:rPr>
          <w:color w:val="auto"/>
          <w:highlight w:val="none"/>
        </w:rPr>
        <w:fldChar w:fldCharType="begin"/>
      </w:r>
      <w:r>
        <w:rPr>
          <w:color w:val="auto"/>
          <w:highlight w:val="none"/>
        </w:rPr>
        <w:instrText xml:space="preserve"> PAGEREF _Toc7215 \h </w:instrText>
      </w:r>
      <w:r>
        <w:rPr>
          <w:color w:val="auto"/>
          <w:highlight w:val="none"/>
        </w:rPr>
        <w:fldChar w:fldCharType="separate"/>
      </w:r>
      <w:r>
        <w:rPr>
          <w:color w:val="auto"/>
          <w:highlight w:val="none"/>
        </w:rPr>
        <w:t>183</w:t>
      </w:r>
      <w:r>
        <w:rPr>
          <w:color w:val="auto"/>
          <w:highlight w:val="none"/>
        </w:rPr>
        <w:fldChar w:fldCharType="end"/>
      </w:r>
      <w:r>
        <w:rPr>
          <w:rFonts w:hint="eastAsia" w:ascii="仿宋" w:hAnsi="仿宋" w:eastAsia="仿宋" w:cs="宋体"/>
          <w:caps/>
          <w:color w:val="auto"/>
          <w:szCs w:val="24"/>
          <w:highlight w:val="none"/>
        </w:rPr>
        <w:fldChar w:fldCharType="end"/>
      </w:r>
    </w:p>
    <w:p w14:paraId="703E178C">
      <w:pPr>
        <w:pStyle w:val="35"/>
        <w:tabs>
          <w:tab w:val="right" w:leader="dot" w:pos="10204"/>
        </w:tabs>
        <w:rPr>
          <w:rFonts w:hint="default" w:eastAsia="仿宋"/>
          <w:color w:val="auto"/>
          <w:highlight w:val="none"/>
          <w:lang w:val="en-US" w:eastAsia="zh-CN"/>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_Toc1816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8.  合同价格的控制原则</w:t>
      </w:r>
      <w:r>
        <w:rPr>
          <w:color w:val="auto"/>
          <w:highlight w:val="none"/>
        </w:rPr>
        <w:tab/>
      </w:r>
      <w:r>
        <w:rPr>
          <w:rFonts w:hint="eastAsia"/>
          <w:color w:val="auto"/>
          <w:highlight w:val="none"/>
          <w:lang w:val="en-US" w:eastAsia="zh-CN"/>
        </w:rPr>
        <w:t>1</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lang w:val="en-US" w:eastAsia="zh-CN"/>
        </w:rPr>
        <w:t>85</w:t>
      </w:r>
    </w:p>
    <w:p w14:paraId="40F0B2A8">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_Toc3694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9.  通信联络</w:t>
      </w:r>
      <w:r>
        <w:rPr>
          <w:color w:val="auto"/>
          <w:highlight w:val="none"/>
        </w:rPr>
        <w:tab/>
      </w:r>
      <w:r>
        <w:rPr>
          <w:color w:val="auto"/>
          <w:highlight w:val="none"/>
        </w:rPr>
        <w:fldChar w:fldCharType="begin"/>
      </w:r>
      <w:r>
        <w:rPr>
          <w:color w:val="auto"/>
          <w:highlight w:val="none"/>
        </w:rPr>
        <w:instrText xml:space="preserve"> PAGEREF _Toc3694 \h </w:instrText>
      </w:r>
      <w:r>
        <w:rPr>
          <w:color w:val="auto"/>
          <w:highlight w:val="none"/>
        </w:rPr>
        <w:fldChar w:fldCharType="separate"/>
      </w:r>
      <w:r>
        <w:rPr>
          <w:color w:val="auto"/>
          <w:highlight w:val="none"/>
        </w:rPr>
        <w:t>186</w:t>
      </w:r>
      <w:r>
        <w:rPr>
          <w:color w:val="auto"/>
          <w:highlight w:val="none"/>
        </w:rPr>
        <w:fldChar w:fldCharType="end"/>
      </w:r>
      <w:r>
        <w:rPr>
          <w:rFonts w:hint="eastAsia" w:ascii="仿宋" w:hAnsi="仿宋" w:eastAsia="仿宋" w:cs="宋体"/>
          <w:caps/>
          <w:color w:val="auto"/>
          <w:szCs w:val="24"/>
          <w:highlight w:val="none"/>
        </w:rPr>
        <w:fldChar w:fldCharType="end"/>
      </w:r>
    </w:p>
    <w:p w14:paraId="0CB435A5">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_Toc11247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10. 分包</w:t>
      </w:r>
      <w:r>
        <w:rPr>
          <w:color w:val="auto"/>
          <w:highlight w:val="none"/>
        </w:rPr>
        <w:tab/>
      </w:r>
      <w:r>
        <w:rPr>
          <w:color w:val="auto"/>
          <w:highlight w:val="none"/>
        </w:rPr>
        <w:fldChar w:fldCharType="begin"/>
      </w:r>
      <w:r>
        <w:rPr>
          <w:color w:val="auto"/>
          <w:highlight w:val="none"/>
        </w:rPr>
        <w:instrText xml:space="preserve"> PAGEREF _Toc11247 \h </w:instrText>
      </w:r>
      <w:r>
        <w:rPr>
          <w:color w:val="auto"/>
          <w:highlight w:val="none"/>
        </w:rPr>
        <w:fldChar w:fldCharType="separate"/>
      </w:r>
      <w:r>
        <w:rPr>
          <w:color w:val="auto"/>
          <w:highlight w:val="none"/>
        </w:rPr>
        <w:t>192</w:t>
      </w:r>
      <w:r>
        <w:rPr>
          <w:color w:val="auto"/>
          <w:highlight w:val="none"/>
        </w:rPr>
        <w:fldChar w:fldCharType="end"/>
      </w:r>
      <w:r>
        <w:rPr>
          <w:rFonts w:hint="eastAsia" w:ascii="仿宋" w:hAnsi="仿宋" w:eastAsia="仿宋" w:cs="宋体"/>
          <w:caps/>
          <w:color w:val="auto"/>
          <w:szCs w:val="24"/>
          <w:highlight w:val="none"/>
        </w:rPr>
        <w:fldChar w:fldCharType="end"/>
      </w:r>
    </w:p>
    <w:p w14:paraId="041388B3">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_Toc21971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14.  文物和地下障碍物</w:t>
      </w:r>
      <w:r>
        <w:rPr>
          <w:color w:val="auto"/>
          <w:highlight w:val="none"/>
        </w:rPr>
        <w:tab/>
      </w:r>
      <w:r>
        <w:rPr>
          <w:color w:val="auto"/>
          <w:highlight w:val="none"/>
        </w:rPr>
        <w:fldChar w:fldCharType="begin"/>
      </w:r>
      <w:r>
        <w:rPr>
          <w:color w:val="auto"/>
          <w:highlight w:val="none"/>
        </w:rPr>
        <w:instrText xml:space="preserve"> PAGEREF _Toc21971 \h </w:instrText>
      </w:r>
      <w:r>
        <w:rPr>
          <w:color w:val="auto"/>
          <w:highlight w:val="none"/>
        </w:rPr>
        <w:fldChar w:fldCharType="separate"/>
      </w:r>
      <w:r>
        <w:rPr>
          <w:color w:val="auto"/>
          <w:highlight w:val="none"/>
        </w:rPr>
        <w:t>196</w:t>
      </w:r>
      <w:r>
        <w:rPr>
          <w:color w:val="auto"/>
          <w:highlight w:val="none"/>
        </w:rPr>
        <w:fldChar w:fldCharType="end"/>
      </w:r>
      <w:r>
        <w:rPr>
          <w:rFonts w:hint="eastAsia" w:ascii="仿宋" w:hAnsi="仿宋" w:eastAsia="仿宋" w:cs="宋体"/>
          <w:caps/>
          <w:color w:val="auto"/>
          <w:szCs w:val="24"/>
          <w:highlight w:val="none"/>
        </w:rPr>
        <w:fldChar w:fldCharType="end"/>
      </w:r>
    </w:p>
    <w:p w14:paraId="224CF961">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_Toc14878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16.  交通运输</w:t>
      </w:r>
      <w:r>
        <w:rPr>
          <w:color w:val="auto"/>
          <w:highlight w:val="none"/>
        </w:rPr>
        <w:tab/>
      </w:r>
      <w:r>
        <w:rPr>
          <w:color w:val="auto"/>
          <w:highlight w:val="none"/>
        </w:rPr>
        <w:fldChar w:fldCharType="begin"/>
      </w:r>
      <w:r>
        <w:rPr>
          <w:color w:val="auto"/>
          <w:highlight w:val="none"/>
        </w:rPr>
        <w:instrText xml:space="preserve"> PAGEREF _Toc14878 \h </w:instrText>
      </w:r>
      <w:r>
        <w:rPr>
          <w:color w:val="auto"/>
          <w:highlight w:val="none"/>
        </w:rPr>
        <w:fldChar w:fldCharType="separate"/>
      </w:r>
      <w:r>
        <w:rPr>
          <w:color w:val="auto"/>
          <w:highlight w:val="none"/>
        </w:rPr>
        <w:t>196</w:t>
      </w:r>
      <w:r>
        <w:rPr>
          <w:color w:val="auto"/>
          <w:highlight w:val="none"/>
        </w:rPr>
        <w:fldChar w:fldCharType="end"/>
      </w:r>
      <w:r>
        <w:rPr>
          <w:rFonts w:hint="eastAsia" w:ascii="仿宋" w:hAnsi="仿宋" w:eastAsia="仿宋" w:cs="宋体"/>
          <w:caps/>
          <w:color w:val="auto"/>
          <w:szCs w:val="24"/>
          <w:highlight w:val="none"/>
        </w:rPr>
        <w:fldChar w:fldCharType="end"/>
      </w:r>
    </w:p>
    <w:p w14:paraId="6C055461">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_Toc27595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17.  专项批准事项的签认</w:t>
      </w:r>
      <w:r>
        <w:rPr>
          <w:color w:val="auto"/>
          <w:highlight w:val="none"/>
        </w:rPr>
        <w:tab/>
      </w:r>
      <w:r>
        <w:rPr>
          <w:color w:val="auto"/>
          <w:highlight w:val="none"/>
        </w:rPr>
        <w:fldChar w:fldCharType="begin"/>
      </w:r>
      <w:r>
        <w:rPr>
          <w:color w:val="auto"/>
          <w:highlight w:val="none"/>
        </w:rPr>
        <w:instrText xml:space="preserve"> PAGEREF _Toc27595 \h </w:instrText>
      </w:r>
      <w:r>
        <w:rPr>
          <w:color w:val="auto"/>
          <w:highlight w:val="none"/>
        </w:rPr>
        <w:fldChar w:fldCharType="separate"/>
      </w:r>
      <w:r>
        <w:rPr>
          <w:color w:val="auto"/>
          <w:highlight w:val="none"/>
        </w:rPr>
        <w:t>197</w:t>
      </w:r>
      <w:r>
        <w:rPr>
          <w:color w:val="auto"/>
          <w:highlight w:val="none"/>
        </w:rPr>
        <w:fldChar w:fldCharType="end"/>
      </w:r>
      <w:r>
        <w:rPr>
          <w:rFonts w:hint="eastAsia" w:ascii="仿宋" w:hAnsi="仿宋" w:eastAsia="仿宋" w:cs="宋体"/>
          <w:caps/>
          <w:color w:val="auto"/>
          <w:szCs w:val="24"/>
          <w:highlight w:val="none"/>
        </w:rPr>
        <w:fldChar w:fldCharType="end"/>
      </w:r>
    </w:p>
    <w:p w14:paraId="274C8DD2">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_Toc28108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18.  专利技术和知识产权</w:t>
      </w:r>
      <w:r>
        <w:rPr>
          <w:color w:val="auto"/>
          <w:highlight w:val="none"/>
        </w:rPr>
        <w:tab/>
      </w:r>
      <w:r>
        <w:rPr>
          <w:color w:val="auto"/>
          <w:highlight w:val="none"/>
        </w:rPr>
        <w:fldChar w:fldCharType="begin"/>
      </w:r>
      <w:r>
        <w:rPr>
          <w:color w:val="auto"/>
          <w:highlight w:val="none"/>
        </w:rPr>
        <w:instrText xml:space="preserve"> PAGEREF _Toc28108 \h </w:instrText>
      </w:r>
      <w:r>
        <w:rPr>
          <w:color w:val="auto"/>
          <w:highlight w:val="none"/>
        </w:rPr>
        <w:fldChar w:fldCharType="separate"/>
      </w:r>
      <w:r>
        <w:rPr>
          <w:color w:val="auto"/>
          <w:highlight w:val="none"/>
        </w:rPr>
        <w:t>197</w:t>
      </w:r>
      <w:r>
        <w:rPr>
          <w:color w:val="auto"/>
          <w:highlight w:val="none"/>
        </w:rPr>
        <w:fldChar w:fldCharType="end"/>
      </w:r>
      <w:r>
        <w:rPr>
          <w:rFonts w:hint="eastAsia" w:ascii="仿宋" w:hAnsi="仿宋" w:eastAsia="仿宋" w:cs="宋体"/>
          <w:caps/>
          <w:color w:val="auto"/>
          <w:szCs w:val="24"/>
          <w:highlight w:val="none"/>
        </w:rPr>
        <w:fldChar w:fldCharType="end"/>
      </w:r>
    </w:p>
    <w:p w14:paraId="5573256D">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_Toc19101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19.  联合体的责任</w:t>
      </w:r>
      <w:r>
        <w:rPr>
          <w:color w:val="auto"/>
          <w:highlight w:val="none"/>
        </w:rPr>
        <w:tab/>
      </w:r>
      <w:r>
        <w:rPr>
          <w:color w:val="auto"/>
          <w:highlight w:val="none"/>
        </w:rPr>
        <w:fldChar w:fldCharType="begin"/>
      </w:r>
      <w:r>
        <w:rPr>
          <w:color w:val="auto"/>
          <w:highlight w:val="none"/>
        </w:rPr>
        <w:instrText xml:space="preserve"> PAGEREF _Toc19101 \h </w:instrText>
      </w:r>
      <w:r>
        <w:rPr>
          <w:color w:val="auto"/>
          <w:highlight w:val="none"/>
        </w:rPr>
        <w:fldChar w:fldCharType="separate"/>
      </w:r>
      <w:r>
        <w:rPr>
          <w:color w:val="auto"/>
          <w:highlight w:val="none"/>
        </w:rPr>
        <w:t>197</w:t>
      </w:r>
      <w:r>
        <w:rPr>
          <w:color w:val="auto"/>
          <w:highlight w:val="none"/>
        </w:rPr>
        <w:fldChar w:fldCharType="end"/>
      </w:r>
      <w:r>
        <w:rPr>
          <w:rFonts w:hint="eastAsia" w:ascii="仿宋" w:hAnsi="仿宋" w:eastAsia="仿宋" w:cs="宋体"/>
          <w:caps/>
          <w:color w:val="auto"/>
          <w:szCs w:val="24"/>
          <w:highlight w:val="none"/>
        </w:rPr>
        <w:fldChar w:fldCharType="end"/>
      </w:r>
    </w:p>
    <w:p w14:paraId="7EB504E1">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_Toc21470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22.  发包人</w:t>
      </w:r>
      <w:r>
        <w:rPr>
          <w:color w:val="auto"/>
          <w:highlight w:val="none"/>
        </w:rPr>
        <w:tab/>
      </w:r>
      <w:r>
        <w:rPr>
          <w:color w:val="auto"/>
          <w:highlight w:val="none"/>
        </w:rPr>
        <w:fldChar w:fldCharType="begin"/>
      </w:r>
      <w:r>
        <w:rPr>
          <w:color w:val="auto"/>
          <w:highlight w:val="none"/>
        </w:rPr>
        <w:instrText xml:space="preserve"> PAGEREF _Toc21470 \h </w:instrText>
      </w:r>
      <w:r>
        <w:rPr>
          <w:color w:val="auto"/>
          <w:highlight w:val="none"/>
        </w:rPr>
        <w:fldChar w:fldCharType="separate"/>
      </w:r>
      <w:r>
        <w:rPr>
          <w:color w:val="auto"/>
          <w:highlight w:val="none"/>
        </w:rPr>
        <w:t>198</w:t>
      </w:r>
      <w:r>
        <w:rPr>
          <w:color w:val="auto"/>
          <w:highlight w:val="none"/>
        </w:rPr>
        <w:fldChar w:fldCharType="end"/>
      </w:r>
      <w:r>
        <w:rPr>
          <w:rFonts w:hint="eastAsia" w:ascii="仿宋" w:hAnsi="仿宋" w:eastAsia="仿宋" w:cs="宋体"/>
          <w:caps/>
          <w:color w:val="auto"/>
          <w:szCs w:val="24"/>
          <w:highlight w:val="none"/>
        </w:rPr>
        <w:fldChar w:fldCharType="end"/>
      </w:r>
    </w:p>
    <w:p w14:paraId="2447DEB4">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_Toc16498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23.  承包人</w:t>
      </w:r>
      <w:r>
        <w:rPr>
          <w:color w:val="auto"/>
          <w:highlight w:val="none"/>
        </w:rPr>
        <w:tab/>
      </w:r>
      <w:r>
        <w:rPr>
          <w:color w:val="auto"/>
          <w:highlight w:val="none"/>
        </w:rPr>
        <w:fldChar w:fldCharType="begin"/>
      </w:r>
      <w:r>
        <w:rPr>
          <w:color w:val="auto"/>
          <w:highlight w:val="none"/>
        </w:rPr>
        <w:instrText xml:space="preserve"> PAGEREF _Toc16498 \h </w:instrText>
      </w:r>
      <w:r>
        <w:rPr>
          <w:color w:val="auto"/>
          <w:highlight w:val="none"/>
        </w:rPr>
        <w:fldChar w:fldCharType="separate"/>
      </w:r>
      <w:r>
        <w:rPr>
          <w:color w:val="auto"/>
          <w:highlight w:val="none"/>
        </w:rPr>
        <w:t>202</w:t>
      </w:r>
      <w:r>
        <w:rPr>
          <w:color w:val="auto"/>
          <w:highlight w:val="none"/>
        </w:rPr>
        <w:fldChar w:fldCharType="end"/>
      </w:r>
      <w:r>
        <w:rPr>
          <w:rFonts w:hint="eastAsia" w:ascii="仿宋" w:hAnsi="仿宋" w:eastAsia="仿宋" w:cs="宋体"/>
          <w:caps/>
          <w:color w:val="auto"/>
          <w:szCs w:val="24"/>
          <w:highlight w:val="none"/>
        </w:rPr>
        <w:fldChar w:fldCharType="end"/>
      </w:r>
    </w:p>
    <w:p w14:paraId="21A34DA8">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_Toc27490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24.  现场管理人员任命和更换</w:t>
      </w:r>
      <w:r>
        <w:rPr>
          <w:color w:val="auto"/>
          <w:highlight w:val="none"/>
        </w:rPr>
        <w:tab/>
      </w:r>
      <w:r>
        <w:rPr>
          <w:color w:val="auto"/>
          <w:highlight w:val="none"/>
        </w:rPr>
        <w:fldChar w:fldCharType="begin"/>
      </w:r>
      <w:r>
        <w:rPr>
          <w:color w:val="auto"/>
          <w:highlight w:val="none"/>
        </w:rPr>
        <w:instrText xml:space="preserve"> PAGEREF _Toc27490 \h </w:instrText>
      </w:r>
      <w:r>
        <w:rPr>
          <w:color w:val="auto"/>
          <w:highlight w:val="none"/>
        </w:rPr>
        <w:fldChar w:fldCharType="separate"/>
      </w:r>
      <w:r>
        <w:rPr>
          <w:color w:val="auto"/>
          <w:highlight w:val="none"/>
        </w:rPr>
        <w:t>212</w:t>
      </w:r>
      <w:r>
        <w:rPr>
          <w:color w:val="auto"/>
          <w:highlight w:val="none"/>
        </w:rPr>
        <w:fldChar w:fldCharType="end"/>
      </w:r>
      <w:r>
        <w:rPr>
          <w:rFonts w:hint="eastAsia" w:ascii="仿宋" w:hAnsi="仿宋" w:eastAsia="仿宋" w:cs="宋体"/>
          <w:caps/>
          <w:color w:val="auto"/>
          <w:szCs w:val="24"/>
          <w:highlight w:val="none"/>
        </w:rPr>
        <w:fldChar w:fldCharType="end"/>
      </w:r>
    </w:p>
    <w:p w14:paraId="7E0F84C6">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_Toc15229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25.  发包人代表</w:t>
      </w:r>
      <w:r>
        <w:rPr>
          <w:color w:val="auto"/>
          <w:highlight w:val="none"/>
        </w:rPr>
        <w:tab/>
      </w:r>
      <w:r>
        <w:rPr>
          <w:color w:val="auto"/>
          <w:highlight w:val="none"/>
        </w:rPr>
        <w:fldChar w:fldCharType="begin"/>
      </w:r>
      <w:r>
        <w:rPr>
          <w:color w:val="auto"/>
          <w:highlight w:val="none"/>
        </w:rPr>
        <w:instrText xml:space="preserve"> PAGEREF _Toc15229 \h </w:instrText>
      </w:r>
      <w:r>
        <w:rPr>
          <w:color w:val="auto"/>
          <w:highlight w:val="none"/>
        </w:rPr>
        <w:fldChar w:fldCharType="separate"/>
      </w:r>
      <w:r>
        <w:rPr>
          <w:color w:val="auto"/>
          <w:highlight w:val="none"/>
        </w:rPr>
        <w:t>216</w:t>
      </w:r>
      <w:r>
        <w:rPr>
          <w:color w:val="auto"/>
          <w:highlight w:val="none"/>
        </w:rPr>
        <w:fldChar w:fldCharType="end"/>
      </w:r>
      <w:r>
        <w:rPr>
          <w:rFonts w:hint="eastAsia" w:ascii="仿宋" w:hAnsi="仿宋" w:eastAsia="仿宋" w:cs="宋体"/>
          <w:caps/>
          <w:color w:val="auto"/>
          <w:szCs w:val="24"/>
          <w:highlight w:val="none"/>
        </w:rPr>
        <w:fldChar w:fldCharType="end"/>
      </w:r>
    </w:p>
    <w:p w14:paraId="586C3873">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_Toc12184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26.  设计顾问人</w:t>
      </w:r>
      <w:r>
        <w:rPr>
          <w:color w:val="auto"/>
          <w:highlight w:val="none"/>
        </w:rPr>
        <w:tab/>
      </w:r>
      <w:r>
        <w:rPr>
          <w:color w:val="auto"/>
          <w:highlight w:val="none"/>
        </w:rPr>
        <w:fldChar w:fldCharType="begin"/>
      </w:r>
      <w:r>
        <w:rPr>
          <w:color w:val="auto"/>
          <w:highlight w:val="none"/>
        </w:rPr>
        <w:instrText xml:space="preserve"> PAGEREF _Toc12184 \h </w:instrText>
      </w:r>
      <w:r>
        <w:rPr>
          <w:color w:val="auto"/>
          <w:highlight w:val="none"/>
        </w:rPr>
        <w:fldChar w:fldCharType="separate"/>
      </w:r>
      <w:r>
        <w:rPr>
          <w:color w:val="auto"/>
          <w:highlight w:val="none"/>
        </w:rPr>
        <w:t>216</w:t>
      </w:r>
      <w:r>
        <w:rPr>
          <w:color w:val="auto"/>
          <w:highlight w:val="none"/>
        </w:rPr>
        <w:fldChar w:fldCharType="end"/>
      </w:r>
      <w:r>
        <w:rPr>
          <w:rFonts w:hint="eastAsia" w:ascii="仿宋" w:hAnsi="仿宋" w:eastAsia="仿宋" w:cs="宋体"/>
          <w:caps/>
          <w:color w:val="auto"/>
          <w:szCs w:val="24"/>
          <w:highlight w:val="none"/>
        </w:rPr>
        <w:fldChar w:fldCharType="end"/>
      </w:r>
    </w:p>
    <w:p w14:paraId="6C136B9F">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_Toc24692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27.  监理人</w:t>
      </w:r>
      <w:r>
        <w:rPr>
          <w:color w:val="auto"/>
          <w:highlight w:val="none"/>
        </w:rPr>
        <w:tab/>
      </w:r>
      <w:r>
        <w:rPr>
          <w:color w:val="auto"/>
          <w:highlight w:val="none"/>
        </w:rPr>
        <w:fldChar w:fldCharType="begin"/>
      </w:r>
      <w:r>
        <w:rPr>
          <w:color w:val="auto"/>
          <w:highlight w:val="none"/>
        </w:rPr>
        <w:instrText xml:space="preserve"> PAGEREF _Toc24692 \h </w:instrText>
      </w:r>
      <w:r>
        <w:rPr>
          <w:color w:val="auto"/>
          <w:highlight w:val="none"/>
        </w:rPr>
        <w:fldChar w:fldCharType="separate"/>
      </w:r>
      <w:r>
        <w:rPr>
          <w:color w:val="auto"/>
          <w:highlight w:val="none"/>
        </w:rPr>
        <w:t>217</w:t>
      </w:r>
      <w:r>
        <w:rPr>
          <w:color w:val="auto"/>
          <w:highlight w:val="none"/>
        </w:rPr>
        <w:fldChar w:fldCharType="end"/>
      </w:r>
      <w:r>
        <w:rPr>
          <w:rFonts w:hint="eastAsia" w:ascii="仿宋" w:hAnsi="仿宋" w:eastAsia="仿宋" w:cs="宋体"/>
          <w:caps/>
          <w:color w:val="auto"/>
          <w:szCs w:val="24"/>
          <w:highlight w:val="none"/>
        </w:rPr>
        <w:fldChar w:fldCharType="end"/>
      </w:r>
    </w:p>
    <w:p w14:paraId="2789399F">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_Toc14090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28.  造价咨询人</w:t>
      </w:r>
      <w:r>
        <w:rPr>
          <w:color w:val="auto"/>
          <w:highlight w:val="none"/>
        </w:rPr>
        <w:tab/>
      </w:r>
      <w:r>
        <w:rPr>
          <w:color w:val="auto"/>
          <w:highlight w:val="none"/>
        </w:rPr>
        <w:fldChar w:fldCharType="begin"/>
      </w:r>
      <w:r>
        <w:rPr>
          <w:color w:val="auto"/>
          <w:highlight w:val="none"/>
        </w:rPr>
        <w:instrText xml:space="preserve"> PAGEREF _Toc14090 \h </w:instrText>
      </w:r>
      <w:r>
        <w:rPr>
          <w:color w:val="auto"/>
          <w:highlight w:val="none"/>
        </w:rPr>
        <w:fldChar w:fldCharType="separate"/>
      </w:r>
      <w:r>
        <w:rPr>
          <w:color w:val="auto"/>
          <w:highlight w:val="none"/>
        </w:rPr>
        <w:t>217</w:t>
      </w:r>
      <w:r>
        <w:rPr>
          <w:color w:val="auto"/>
          <w:highlight w:val="none"/>
        </w:rPr>
        <w:fldChar w:fldCharType="end"/>
      </w:r>
      <w:r>
        <w:rPr>
          <w:rFonts w:hint="eastAsia" w:ascii="仿宋" w:hAnsi="仿宋" w:eastAsia="仿宋" w:cs="宋体"/>
          <w:caps/>
          <w:color w:val="auto"/>
          <w:szCs w:val="24"/>
          <w:highlight w:val="none"/>
        </w:rPr>
        <w:fldChar w:fldCharType="end"/>
      </w:r>
    </w:p>
    <w:p w14:paraId="15EC0906">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_Toc1465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29.  承包人代表及其专业负责人</w:t>
      </w:r>
      <w:r>
        <w:rPr>
          <w:color w:val="auto"/>
          <w:highlight w:val="none"/>
        </w:rPr>
        <w:tab/>
      </w:r>
      <w:r>
        <w:rPr>
          <w:color w:val="auto"/>
          <w:highlight w:val="none"/>
        </w:rPr>
        <w:fldChar w:fldCharType="begin"/>
      </w:r>
      <w:r>
        <w:rPr>
          <w:color w:val="auto"/>
          <w:highlight w:val="none"/>
        </w:rPr>
        <w:instrText xml:space="preserve"> PAGEREF _Toc1465 \h </w:instrText>
      </w:r>
      <w:r>
        <w:rPr>
          <w:color w:val="auto"/>
          <w:highlight w:val="none"/>
        </w:rPr>
        <w:fldChar w:fldCharType="separate"/>
      </w:r>
      <w:r>
        <w:rPr>
          <w:color w:val="auto"/>
          <w:highlight w:val="none"/>
        </w:rPr>
        <w:t>218</w:t>
      </w:r>
      <w:r>
        <w:rPr>
          <w:color w:val="auto"/>
          <w:highlight w:val="none"/>
        </w:rPr>
        <w:fldChar w:fldCharType="end"/>
      </w:r>
      <w:r>
        <w:rPr>
          <w:rFonts w:hint="eastAsia" w:ascii="仿宋" w:hAnsi="仿宋" w:eastAsia="仿宋" w:cs="宋体"/>
          <w:caps/>
          <w:color w:val="auto"/>
          <w:szCs w:val="24"/>
          <w:highlight w:val="none"/>
        </w:rPr>
        <w:fldChar w:fldCharType="end"/>
      </w:r>
    </w:p>
    <w:p w14:paraId="0AF829B6">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_Toc14475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rPr>
        <w:t>30.  指定分包人</w:t>
      </w:r>
      <w:r>
        <w:rPr>
          <w:color w:val="auto"/>
          <w:highlight w:val="none"/>
        </w:rPr>
        <w:tab/>
      </w:r>
      <w:r>
        <w:rPr>
          <w:color w:val="auto"/>
          <w:highlight w:val="none"/>
        </w:rPr>
        <w:fldChar w:fldCharType="begin"/>
      </w:r>
      <w:r>
        <w:rPr>
          <w:color w:val="auto"/>
          <w:highlight w:val="none"/>
        </w:rPr>
        <w:instrText xml:space="preserve"> PAGEREF _Toc14475 \h </w:instrText>
      </w:r>
      <w:r>
        <w:rPr>
          <w:color w:val="auto"/>
          <w:highlight w:val="none"/>
        </w:rPr>
        <w:fldChar w:fldCharType="separate"/>
      </w:r>
      <w:r>
        <w:rPr>
          <w:color w:val="auto"/>
          <w:highlight w:val="none"/>
        </w:rPr>
        <w:t>218</w:t>
      </w:r>
      <w:r>
        <w:rPr>
          <w:color w:val="auto"/>
          <w:highlight w:val="none"/>
        </w:rPr>
        <w:fldChar w:fldCharType="end"/>
      </w:r>
      <w:r>
        <w:rPr>
          <w:rFonts w:hint="eastAsia" w:ascii="仿宋" w:hAnsi="仿宋" w:eastAsia="仿宋" w:cs="宋体"/>
          <w:caps/>
          <w:color w:val="auto"/>
          <w:szCs w:val="24"/>
          <w:highlight w:val="none"/>
        </w:rPr>
        <w:fldChar w:fldCharType="end"/>
      </w:r>
    </w:p>
    <w:p w14:paraId="1922DC0F">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_Toc16612 </w:instrText>
      </w:r>
      <w:r>
        <w:rPr>
          <w:rFonts w:hint="eastAsia" w:ascii="仿宋" w:hAnsi="仿宋" w:eastAsia="仿宋" w:cs="宋体"/>
          <w:caps/>
          <w:color w:val="auto"/>
          <w:szCs w:val="24"/>
          <w:highlight w:val="none"/>
        </w:rPr>
        <w:fldChar w:fldCharType="separate"/>
      </w:r>
      <w:r>
        <w:rPr>
          <w:rFonts w:hint="eastAsia" w:ascii="仿宋" w:hAnsi="仿宋" w:eastAsia="仿宋"/>
          <w:color w:val="auto"/>
          <w:szCs w:val="24"/>
          <w:highlight w:val="none"/>
          <w:lang w:eastAsia="zh-CN"/>
        </w:rPr>
        <w:t xml:space="preserve">31.  </w:t>
      </w:r>
      <w:r>
        <w:rPr>
          <w:rFonts w:ascii="仿宋" w:hAnsi="仿宋" w:eastAsia="仿宋"/>
          <w:color w:val="auto"/>
          <w:szCs w:val="24"/>
          <w:highlight w:val="none"/>
          <w:lang w:eastAsia="zh-CN"/>
        </w:rPr>
        <w:t>承包人劳务</w:t>
      </w:r>
      <w:r>
        <w:rPr>
          <w:color w:val="auto"/>
          <w:highlight w:val="none"/>
        </w:rPr>
        <w:tab/>
      </w:r>
      <w:r>
        <w:rPr>
          <w:color w:val="auto"/>
          <w:highlight w:val="none"/>
        </w:rPr>
        <w:fldChar w:fldCharType="begin"/>
      </w:r>
      <w:r>
        <w:rPr>
          <w:color w:val="auto"/>
          <w:highlight w:val="none"/>
        </w:rPr>
        <w:instrText xml:space="preserve"> PAGEREF _Toc16612 \h </w:instrText>
      </w:r>
      <w:r>
        <w:rPr>
          <w:color w:val="auto"/>
          <w:highlight w:val="none"/>
        </w:rPr>
        <w:fldChar w:fldCharType="separate"/>
      </w:r>
      <w:r>
        <w:rPr>
          <w:color w:val="auto"/>
          <w:highlight w:val="none"/>
        </w:rPr>
        <w:t>219</w:t>
      </w:r>
      <w:r>
        <w:rPr>
          <w:color w:val="auto"/>
          <w:highlight w:val="none"/>
        </w:rPr>
        <w:fldChar w:fldCharType="end"/>
      </w:r>
      <w:r>
        <w:rPr>
          <w:rFonts w:hint="eastAsia" w:ascii="仿宋" w:hAnsi="仿宋" w:eastAsia="仿宋" w:cs="宋体"/>
          <w:caps/>
          <w:color w:val="auto"/>
          <w:szCs w:val="24"/>
          <w:highlight w:val="none"/>
        </w:rPr>
        <w:fldChar w:fldCharType="end"/>
      </w:r>
    </w:p>
    <w:p w14:paraId="55BF5AD7">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_Toc3358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32.  工程担保</w:t>
      </w:r>
      <w:r>
        <w:rPr>
          <w:color w:val="auto"/>
          <w:highlight w:val="none"/>
        </w:rPr>
        <w:tab/>
      </w:r>
      <w:r>
        <w:rPr>
          <w:color w:val="auto"/>
          <w:highlight w:val="none"/>
        </w:rPr>
        <w:fldChar w:fldCharType="begin"/>
      </w:r>
      <w:r>
        <w:rPr>
          <w:color w:val="auto"/>
          <w:highlight w:val="none"/>
        </w:rPr>
        <w:instrText xml:space="preserve"> PAGEREF _Toc3358 \h </w:instrText>
      </w:r>
      <w:r>
        <w:rPr>
          <w:color w:val="auto"/>
          <w:highlight w:val="none"/>
        </w:rPr>
        <w:fldChar w:fldCharType="separate"/>
      </w:r>
      <w:r>
        <w:rPr>
          <w:color w:val="auto"/>
          <w:highlight w:val="none"/>
        </w:rPr>
        <w:t>219</w:t>
      </w:r>
      <w:r>
        <w:rPr>
          <w:color w:val="auto"/>
          <w:highlight w:val="none"/>
        </w:rPr>
        <w:fldChar w:fldCharType="end"/>
      </w:r>
      <w:r>
        <w:rPr>
          <w:rFonts w:hint="eastAsia" w:ascii="仿宋" w:hAnsi="仿宋" w:eastAsia="仿宋" w:cs="宋体"/>
          <w:caps/>
          <w:color w:val="auto"/>
          <w:szCs w:val="24"/>
          <w:highlight w:val="none"/>
        </w:rPr>
        <w:fldChar w:fldCharType="end"/>
      </w:r>
    </w:p>
    <w:p w14:paraId="421ED340">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_Toc24976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33.  发包人风险</w:t>
      </w:r>
      <w:r>
        <w:rPr>
          <w:color w:val="auto"/>
          <w:highlight w:val="none"/>
        </w:rPr>
        <w:tab/>
      </w:r>
      <w:r>
        <w:rPr>
          <w:color w:val="auto"/>
          <w:highlight w:val="none"/>
        </w:rPr>
        <w:fldChar w:fldCharType="begin"/>
      </w:r>
      <w:r>
        <w:rPr>
          <w:color w:val="auto"/>
          <w:highlight w:val="none"/>
        </w:rPr>
        <w:instrText xml:space="preserve"> PAGEREF _Toc24976 \h </w:instrText>
      </w:r>
      <w:r>
        <w:rPr>
          <w:color w:val="auto"/>
          <w:highlight w:val="none"/>
        </w:rPr>
        <w:fldChar w:fldCharType="separate"/>
      </w:r>
      <w:r>
        <w:rPr>
          <w:color w:val="auto"/>
          <w:highlight w:val="none"/>
        </w:rPr>
        <w:t>222</w:t>
      </w:r>
      <w:r>
        <w:rPr>
          <w:color w:val="auto"/>
          <w:highlight w:val="none"/>
        </w:rPr>
        <w:fldChar w:fldCharType="end"/>
      </w:r>
      <w:r>
        <w:rPr>
          <w:rFonts w:hint="eastAsia" w:ascii="仿宋" w:hAnsi="仿宋" w:eastAsia="仿宋" w:cs="宋体"/>
          <w:caps/>
          <w:color w:val="auto"/>
          <w:szCs w:val="24"/>
          <w:highlight w:val="none"/>
        </w:rPr>
        <w:fldChar w:fldCharType="end"/>
      </w:r>
    </w:p>
    <w:p w14:paraId="2754B748">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_Toc15883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35.  不可抗力</w:t>
      </w:r>
      <w:r>
        <w:rPr>
          <w:color w:val="auto"/>
          <w:highlight w:val="none"/>
        </w:rPr>
        <w:tab/>
      </w:r>
      <w:r>
        <w:rPr>
          <w:color w:val="auto"/>
          <w:highlight w:val="none"/>
        </w:rPr>
        <w:fldChar w:fldCharType="begin"/>
      </w:r>
      <w:r>
        <w:rPr>
          <w:color w:val="auto"/>
          <w:highlight w:val="none"/>
        </w:rPr>
        <w:instrText xml:space="preserve"> PAGEREF _Toc15883 \h </w:instrText>
      </w:r>
      <w:r>
        <w:rPr>
          <w:color w:val="auto"/>
          <w:highlight w:val="none"/>
        </w:rPr>
        <w:fldChar w:fldCharType="separate"/>
      </w:r>
      <w:r>
        <w:rPr>
          <w:color w:val="auto"/>
          <w:highlight w:val="none"/>
        </w:rPr>
        <w:t>222</w:t>
      </w:r>
      <w:r>
        <w:rPr>
          <w:color w:val="auto"/>
          <w:highlight w:val="none"/>
        </w:rPr>
        <w:fldChar w:fldCharType="end"/>
      </w:r>
      <w:r>
        <w:rPr>
          <w:rFonts w:hint="eastAsia" w:ascii="仿宋" w:hAnsi="仿宋" w:eastAsia="仿宋" w:cs="宋体"/>
          <w:caps/>
          <w:color w:val="auto"/>
          <w:szCs w:val="24"/>
          <w:highlight w:val="none"/>
        </w:rPr>
        <w:fldChar w:fldCharType="end"/>
      </w:r>
    </w:p>
    <w:p w14:paraId="7540F3EF">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_Toc19350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36.  保险</w:t>
      </w:r>
      <w:r>
        <w:rPr>
          <w:color w:val="auto"/>
          <w:highlight w:val="none"/>
        </w:rPr>
        <w:tab/>
      </w:r>
      <w:r>
        <w:rPr>
          <w:color w:val="auto"/>
          <w:highlight w:val="none"/>
        </w:rPr>
        <w:fldChar w:fldCharType="begin"/>
      </w:r>
      <w:r>
        <w:rPr>
          <w:color w:val="auto"/>
          <w:highlight w:val="none"/>
        </w:rPr>
        <w:instrText xml:space="preserve"> PAGEREF _Toc19350 \h </w:instrText>
      </w:r>
      <w:r>
        <w:rPr>
          <w:color w:val="auto"/>
          <w:highlight w:val="none"/>
        </w:rPr>
        <w:fldChar w:fldCharType="separate"/>
      </w:r>
      <w:r>
        <w:rPr>
          <w:color w:val="auto"/>
          <w:highlight w:val="none"/>
        </w:rPr>
        <w:t>222</w:t>
      </w:r>
      <w:r>
        <w:rPr>
          <w:color w:val="auto"/>
          <w:highlight w:val="none"/>
        </w:rPr>
        <w:fldChar w:fldCharType="end"/>
      </w:r>
      <w:r>
        <w:rPr>
          <w:rFonts w:hint="eastAsia" w:ascii="仿宋" w:hAnsi="仿宋" w:eastAsia="仿宋" w:cs="宋体"/>
          <w:caps/>
          <w:color w:val="auto"/>
          <w:szCs w:val="24"/>
          <w:highlight w:val="none"/>
        </w:rPr>
        <w:fldChar w:fldCharType="end"/>
      </w:r>
    </w:p>
    <w:p w14:paraId="1C83F552">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_Toc26800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37.  工程勘察</w:t>
      </w:r>
      <w:r>
        <w:rPr>
          <w:color w:val="auto"/>
          <w:highlight w:val="none"/>
        </w:rPr>
        <w:tab/>
      </w:r>
      <w:r>
        <w:rPr>
          <w:color w:val="auto"/>
          <w:highlight w:val="none"/>
        </w:rPr>
        <w:fldChar w:fldCharType="begin"/>
      </w:r>
      <w:r>
        <w:rPr>
          <w:color w:val="auto"/>
          <w:highlight w:val="none"/>
        </w:rPr>
        <w:instrText xml:space="preserve"> PAGEREF _Toc26800 \h </w:instrText>
      </w:r>
      <w:r>
        <w:rPr>
          <w:color w:val="auto"/>
          <w:highlight w:val="none"/>
        </w:rPr>
        <w:fldChar w:fldCharType="separate"/>
      </w:r>
      <w:r>
        <w:rPr>
          <w:color w:val="auto"/>
          <w:highlight w:val="none"/>
        </w:rPr>
        <w:t>222</w:t>
      </w:r>
      <w:r>
        <w:rPr>
          <w:color w:val="auto"/>
          <w:highlight w:val="none"/>
        </w:rPr>
        <w:fldChar w:fldCharType="end"/>
      </w:r>
      <w:r>
        <w:rPr>
          <w:rFonts w:hint="eastAsia" w:ascii="仿宋" w:hAnsi="仿宋" w:eastAsia="仿宋" w:cs="宋体"/>
          <w:caps/>
          <w:color w:val="auto"/>
          <w:szCs w:val="24"/>
          <w:highlight w:val="none"/>
        </w:rPr>
        <w:fldChar w:fldCharType="end"/>
      </w:r>
    </w:p>
    <w:p w14:paraId="21D8D950">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_Toc29726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38.  工程设计</w:t>
      </w:r>
      <w:r>
        <w:rPr>
          <w:color w:val="auto"/>
          <w:highlight w:val="none"/>
        </w:rPr>
        <w:tab/>
      </w:r>
      <w:r>
        <w:rPr>
          <w:color w:val="auto"/>
          <w:highlight w:val="none"/>
        </w:rPr>
        <w:fldChar w:fldCharType="begin"/>
      </w:r>
      <w:r>
        <w:rPr>
          <w:color w:val="auto"/>
          <w:highlight w:val="none"/>
        </w:rPr>
        <w:instrText xml:space="preserve"> PAGEREF _Toc29726 \h </w:instrText>
      </w:r>
      <w:r>
        <w:rPr>
          <w:color w:val="auto"/>
          <w:highlight w:val="none"/>
        </w:rPr>
        <w:fldChar w:fldCharType="separate"/>
      </w:r>
      <w:r>
        <w:rPr>
          <w:color w:val="auto"/>
          <w:highlight w:val="none"/>
        </w:rPr>
        <w:t>223</w:t>
      </w:r>
      <w:r>
        <w:rPr>
          <w:color w:val="auto"/>
          <w:highlight w:val="none"/>
        </w:rPr>
        <w:fldChar w:fldCharType="end"/>
      </w:r>
      <w:r>
        <w:rPr>
          <w:rFonts w:hint="eastAsia" w:ascii="仿宋" w:hAnsi="仿宋" w:eastAsia="仿宋" w:cs="宋体"/>
          <w:caps/>
          <w:color w:val="auto"/>
          <w:szCs w:val="24"/>
          <w:highlight w:val="none"/>
        </w:rPr>
        <w:fldChar w:fldCharType="end"/>
      </w:r>
    </w:p>
    <w:p w14:paraId="4624580C">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_Toc8231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39.  BIM技术应用</w:t>
      </w:r>
      <w:r>
        <w:rPr>
          <w:color w:val="auto"/>
          <w:highlight w:val="none"/>
        </w:rPr>
        <w:tab/>
      </w:r>
      <w:r>
        <w:rPr>
          <w:color w:val="auto"/>
          <w:highlight w:val="none"/>
        </w:rPr>
        <w:fldChar w:fldCharType="begin"/>
      </w:r>
      <w:r>
        <w:rPr>
          <w:color w:val="auto"/>
          <w:highlight w:val="none"/>
        </w:rPr>
        <w:instrText xml:space="preserve"> PAGEREF _Toc8231 \h </w:instrText>
      </w:r>
      <w:r>
        <w:rPr>
          <w:color w:val="auto"/>
          <w:highlight w:val="none"/>
        </w:rPr>
        <w:fldChar w:fldCharType="separate"/>
      </w:r>
      <w:r>
        <w:rPr>
          <w:color w:val="auto"/>
          <w:highlight w:val="none"/>
        </w:rPr>
        <w:t>230</w:t>
      </w:r>
      <w:r>
        <w:rPr>
          <w:color w:val="auto"/>
          <w:highlight w:val="none"/>
        </w:rPr>
        <w:fldChar w:fldCharType="end"/>
      </w:r>
      <w:r>
        <w:rPr>
          <w:rFonts w:hint="eastAsia" w:ascii="仿宋" w:hAnsi="仿宋" w:eastAsia="仿宋" w:cs="宋体"/>
          <w:caps/>
          <w:color w:val="auto"/>
          <w:szCs w:val="24"/>
          <w:highlight w:val="none"/>
        </w:rPr>
        <w:fldChar w:fldCharType="end"/>
      </w:r>
    </w:p>
    <w:p w14:paraId="61AF9193">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_Toc20604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40.  进度计划和报告</w:t>
      </w:r>
      <w:r>
        <w:rPr>
          <w:color w:val="auto"/>
          <w:highlight w:val="none"/>
        </w:rPr>
        <w:tab/>
      </w:r>
      <w:r>
        <w:rPr>
          <w:color w:val="auto"/>
          <w:highlight w:val="none"/>
        </w:rPr>
        <w:fldChar w:fldCharType="begin"/>
      </w:r>
      <w:r>
        <w:rPr>
          <w:color w:val="auto"/>
          <w:highlight w:val="none"/>
        </w:rPr>
        <w:instrText xml:space="preserve"> PAGEREF _Toc20604 \h </w:instrText>
      </w:r>
      <w:r>
        <w:rPr>
          <w:color w:val="auto"/>
          <w:highlight w:val="none"/>
        </w:rPr>
        <w:fldChar w:fldCharType="separate"/>
      </w:r>
      <w:r>
        <w:rPr>
          <w:color w:val="auto"/>
          <w:highlight w:val="none"/>
        </w:rPr>
        <w:t>231</w:t>
      </w:r>
      <w:r>
        <w:rPr>
          <w:color w:val="auto"/>
          <w:highlight w:val="none"/>
        </w:rPr>
        <w:fldChar w:fldCharType="end"/>
      </w:r>
      <w:r>
        <w:rPr>
          <w:rFonts w:hint="eastAsia" w:ascii="仿宋" w:hAnsi="仿宋" w:eastAsia="仿宋" w:cs="宋体"/>
          <w:caps/>
          <w:color w:val="auto"/>
          <w:szCs w:val="24"/>
          <w:highlight w:val="none"/>
        </w:rPr>
        <w:fldChar w:fldCharType="end"/>
      </w:r>
    </w:p>
    <w:p w14:paraId="442F62B1">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_Toc2206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41.  开始工作或开工</w:t>
      </w:r>
      <w:r>
        <w:rPr>
          <w:color w:val="auto"/>
          <w:highlight w:val="none"/>
        </w:rPr>
        <w:tab/>
      </w:r>
      <w:r>
        <w:rPr>
          <w:color w:val="auto"/>
          <w:highlight w:val="none"/>
        </w:rPr>
        <w:fldChar w:fldCharType="begin"/>
      </w:r>
      <w:r>
        <w:rPr>
          <w:color w:val="auto"/>
          <w:highlight w:val="none"/>
        </w:rPr>
        <w:instrText xml:space="preserve"> PAGEREF _Toc2206 \h </w:instrText>
      </w:r>
      <w:r>
        <w:rPr>
          <w:color w:val="auto"/>
          <w:highlight w:val="none"/>
        </w:rPr>
        <w:fldChar w:fldCharType="separate"/>
      </w:r>
      <w:r>
        <w:rPr>
          <w:color w:val="auto"/>
          <w:highlight w:val="none"/>
        </w:rPr>
        <w:t>234</w:t>
      </w:r>
      <w:r>
        <w:rPr>
          <w:color w:val="auto"/>
          <w:highlight w:val="none"/>
        </w:rPr>
        <w:fldChar w:fldCharType="end"/>
      </w:r>
      <w:r>
        <w:rPr>
          <w:rFonts w:hint="eastAsia" w:ascii="仿宋" w:hAnsi="仿宋" w:eastAsia="仿宋" w:cs="宋体"/>
          <w:caps/>
          <w:color w:val="auto"/>
          <w:szCs w:val="24"/>
          <w:highlight w:val="none"/>
        </w:rPr>
        <w:fldChar w:fldCharType="end"/>
      </w:r>
    </w:p>
    <w:p w14:paraId="2B7C692B">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_Toc26173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42.  暂停工作、暂停施工和复工</w:t>
      </w:r>
      <w:r>
        <w:rPr>
          <w:color w:val="auto"/>
          <w:highlight w:val="none"/>
        </w:rPr>
        <w:tab/>
      </w:r>
      <w:r>
        <w:rPr>
          <w:color w:val="auto"/>
          <w:highlight w:val="none"/>
        </w:rPr>
        <w:fldChar w:fldCharType="begin"/>
      </w:r>
      <w:r>
        <w:rPr>
          <w:color w:val="auto"/>
          <w:highlight w:val="none"/>
        </w:rPr>
        <w:instrText xml:space="preserve"> PAGEREF _Toc26173 \h </w:instrText>
      </w:r>
      <w:r>
        <w:rPr>
          <w:color w:val="auto"/>
          <w:highlight w:val="none"/>
        </w:rPr>
        <w:fldChar w:fldCharType="separate"/>
      </w:r>
      <w:r>
        <w:rPr>
          <w:color w:val="auto"/>
          <w:highlight w:val="none"/>
        </w:rPr>
        <w:t>235</w:t>
      </w:r>
      <w:r>
        <w:rPr>
          <w:color w:val="auto"/>
          <w:highlight w:val="none"/>
        </w:rPr>
        <w:fldChar w:fldCharType="end"/>
      </w:r>
      <w:r>
        <w:rPr>
          <w:rFonts w:hint="eastAsia" w:ascii="仿宋" w:hAnsi="仿宋" w:eastAsia="仿宋" w:cs="宋体"/>
          <w:caps/>
          <w:color w:val="auto"/>
          <w:szCs w:val="24"/>
          <w:highlight w:val="none"/>
        </w:rPr>
        <w:fldChar w:fldCharType="end"/>
      </w:r>
    </w:p>
    <w:p w14:paraId="078EB66E">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_Toc28700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43.  工期和工期延误</w:t>
      </w:r>
      <w:r>
        <w:rPr>
          <w:color w:val="auto"/>
          <w:highlight w:val="none"/>
        </w:rPr>
        <w:tab/>
      </w:r>
      <w:r>
        <w:rPr>
          <w:color w:val="auto"/>
          <w:highlight w:val="none"/>
        </w:rPr>
        <w:fldChar w:fldCharType="begin"/>
      </w:r>
      <w:r>
        <w:rPr>
          <w:color w:val="auto"/>
          <w:highlight w:val="none"/>
        </w:rPr>
        <w:instrText xml:space="preserve"> PAGEREF _Toc28700 \h </w:instrText>
      </w:r>
      <w:r>
        <w:rPr>
          <w:color w:val="auto"/>
          <w:highlight w:val="none"/>
        </w:rPr>
        <w:fldChar w:fldCharType="separate"/>
      </w:r>
      <w:r>
        <w:rPr>
          <w:color w:val="auto"/>
          <w:highlight w:val="none"/>
        </w:rPr>
        <w:t>236</w:t>
      </w:r>
      <w:r>
        <w:rPr>
          <w:color w:val="auto"/>
          <w:highlight w:val="none"/>
        </w:rPr>
        <w:fldChar w:fldCharType="end"/>
      </w:r>
      <w:r>
        <w:rPr>
          <w:rFonts w:hint="eastAsia" w:ascii="仿宋" w:hAnsi="仿宋" w:eastAsia="仿宋" w:cs="宋体"/>
          <w:caps/>
          <w:color w:val="auto"/>
          <w:szCs w:val="24"/>
          <w:highlight w:val="none"/>
        </w:rPr>
        <w:fldChar w:fldCharType="end"/>
      </w:r>
    </w:p>
    <w:p w14:paraId="09FCDDCF">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_Toc1079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45.  竣工日期</w:t>
      </w:r>
      <w:r>
        <w:rPr>
          <w:color w:val="auto"/>
          <w:highlight w:val="none"/>
        </w:rPr>
        <w:tab/>
      </w:r>
      <w:r>
        <w:rPr>
          <w:color w:val="auto"/>
          <w:highlight w:val="none"/>
        </w:rPr>
        <w:fldChar w:fldCharType="begin"/>
      </w:r>
      <w:r>
        <w:rPr>
          <w:color w:val="auto"/>
          <w:highlight w:val="none"/>
        </w:rPr>
        <w:instrText xml:space="preserve"> PAGEREF _Toc1079 \h </w:instrText>
      </w:r>
      <w:r>
        <w:rPr>
          <w:color w:val="auto"/>
          <w:highlight w:val="none"/>
        </w:rPr>
        <w:fldChar w:fldCharType="separate"/>
      </w:r>
      <w:r>
        <w:rPr>
          <w:color w:val="auto"/>
          <w:highlight w:val="none"/>
        </w:rPr>
        <w:t>238</w:t>
      </w:r>
      <w:r>
        <w:rPr>
          <w:color w:val="auto"/>
          <w:highlight w:val="none"/>
        </w:rPr>
        <w:fldChar w:fldCharType="end"/>
      </w:r>
      <w:r>
        <w:rPr>
          <w:rFonts w:hint="eastAsia" w:ascii="仿宋" w:hAnsi="仿宋" w:eastAsia="仿宋" w:cs="宋体"/>
          <w:caps/>
          <w:color w:val="auto"/>
          <w:szCs w:val="24"/>
          <w:highlight w:val="none"/>
        </w:rPr>
        <w:fldChar w:fldCharType="end"/>
      </w:r>
    </w:p>
    <w:p w14:paraId="0F988C7E">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_Toc9457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★49.  质量标准</w:t>
      </w:r>
      <w:r>
        <w:rPr>
          <w:color w:val="auto"/>
          <w:highlight w:val="none"/>
        </w:rPr>
        <w:tab/>
      </w:r>
      <w:r>
        <w:rPr>
          <w:color w:val="auto"/>
          <w:highlight w:val="none"/>
        </w:rPr>
        <w:fldChar w:fldCharType="begin"/>
      </w:r>
      <w:r>
        <w:rPr>
          <w:color w:val="auto"/>
          <w:highlight w:val="none"/>
        </w:rPr>
        <w:instrText xml:space="preserve"> PAGEREF _Toc9457 \h </w:instrText>
      </w:r>
      <w:r>
        <w:rPr>
          <w:color w:val="auto"/>
          <w:highlight w:val="none"/>
        </w:rPr>
        <w:fldChar w:fldCharType="separate"/>
      </w:r>
      <w:r>
        <w:rPr>
          <w:color w:val="auto"/>
          <w:highlight w:val="none"/>
        </w:rPr>
        <w:t>238</w:t>
      </w:r>
      <w:r>
        <w:rPr>
          <w:color w:val="auto"/>
          <w:highlight w:val="none"/>
        </w:rPr>
        <w:fldChar w:fldCharType="end"/>
      </w:r>
      <w:r>
        <w:rPr>
          <w:rFonts w:hint="eastAsia" w:ascii="仿宋" w:hAnsi="仿宋" w:eastAsia="仿宋" w:cs="宋体"/>
          <w:caps/>
          <w:color w:val="auto"/>
          <w:szCs w:val="24"/>
          <w:highlight w:val="none"/>
        </w:rPr>
        <w:fldChar w:fldCharType="end"/>
      </w:r>
    </w:p>
    <w:p w14:paraId="3C84EEE0">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_Toc5392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★50.  工程质量创优</w:t>
      </w:r>
      <w:r>
        <w:rPr>
          <w:color w:val="auto"/>
          <w:highlight w:val="none"/>
        </w:rPr>
        <w:tab/>
      </w:r>
      <w:r>
        <w:rPr>
          <w:color w:val="auto"/>
          <w:highlight w:val="none"/>
        </w:rPr>
        <w:fldChar w:fldCharType="begin"/>
      </w:r>
      <w:r>
        <w:rPr>
          <w:color w:val="auto"/>
          <w:highlight w:val="none"/>
        </w:rPr>
        <w:instrText xml:space="preserve"> PAGEREF _Toc5392 \h </w:instrText>
      </w:r>
      <w:r>
        <w:rPr>
          <w:color w:val="auto"/>
          <w:highlight w:val="none"/>
        </w:rPr>
        <w:fldChar w:fldCharType="separate"/>
      </w:r>
      <w:r>
        <w:rPr>
          <w:color w:val="auto"/>
          <w:highlight w:val="none"/>
        </w:rPr>
        <w:t>239</w:t>
      </w:r>
      <w:r>
        <w:rPr>
          <w:color w:val="auto"/>
          <w:highlight w:val="none"/>
        </w:rPr>
        <w:fldChar w:fldCharType="end"/>
      </w:r>
      <w:r>
        <w:rPr>
          <w:rFonts w:hint="eastAsia" w:ascii="仿宋" w:hAnsi="仿宋" w:eastAsia="仿宋" w:cs="宋体"/>
          <w:caps/>
          <w:color w:val="auto"/>
          <w:szCs w:val="24"/>
          <w:highlight w:val="none"/>
        </w:rPr>
        <w:fldChar w:fldCharType="end"/>
      </w:r>
    </w:p>
    <w:p w14:paraId="1E4F06EE">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_Toc20859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 xml:space="preserve">★52.  </w:t>
      </w:r>
      <w:r>
        <w:rPr>
          <w:rFonts w:hint="eastAsia" w:ascii="仿宋" w:hAnsi="仿宋" w:eastAsia="仿宋" w:cs="仿宋"/>
          <w:bCs w:val="0"/>
          <w:i w:val="0"/>
          <w:iCs w:val="0"/>
          <w:color w:val="auto"/>
          <w:szCs w:val="24"/>
          <w:highlight w:val="none"/>
          <w:lang w:eastAsia="zh-CN"/>
        </w:rPr>
        <w:t>绿色施工安全防护</w:t>
      </w:r>
      <w:r>
        <w:rPr>
          <w:color w:val="auto"/>
          <w:highlight w:val="none"/>
        </w:rPr>
        <w:tab/>
      </w:r>
      <w:r>
        <w:rPr>
          <w:color w:val="auto"/>
          <w:highlight w:val="none"/>
        </w:rPr>
        <w:fldChar w:fldCharType="begin"/>
      </w:r>
      <w:r>
        <w:rPr>
          <w:color w:val="auto"/>
          <w:highlight w:val="none"/>
        </w:rPr>
        <w:instrText xml:space="preserve"> PAGEREF _Toc20859 \h </w:instrText>
      </w:r>
      <w:r>
        <w:rPr>
          <w:color w:val="auto"/>
          <w:highlight w:val="none"/>
        </w:rPr>
        <w:fldChar w:fldCharType="separate"/>
      </w:r>
      <w:r>
        <w:rPr>
          <w:color w:val="auto"/>
          <w:highlight w:val="none"/>
        </w:rPr>
        <w:t>239</w:t>
      </w:r>
      <w:r>
        <w:rPr>
          <w:color w:val="auto"/>
          <w:highlight w:val="none"/>
        </w:rPr>
        <w:fldChar w:fldCharType="end"/>
      </w:r>
      <w:r>
        <w:rPr>
          <w:rFonts w:hint="eastAsia" w:ascii="仿宋" w:hAnsi="仿宋" w:eastAsia="仿宋" w:cs="宋体"/>
          <w:caps/>
          <w:color w:val="auto"/>
          <w:szCs w:val="24"/>
          <w:highlight w:val="none"/>
        </w:rPr>
        <w:fldChar w:fldCharType="end"/>
      </w:r>
    </w:p>
    <w:p w14:paraId="72826F35">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_Toc10961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53.  测量放线</w:t>
      </w:r>
      <w:r>
        <w:rPr>
          <w:color w:val="auto"/>
          <w:highlight w:val="none"/>
        </w:rPr>
        <w:tab/>
      </w:r>
      <w:r>
        <w:rPr>
          <w:color w:val="auto"/>
          <w:highlight w:val="none"/>
        </w:rPr>
        <w:fldChar w:fldCharType="begin"/>
      </w:r>
      <w:r>
        <w:rPr>
          <w:color w:val="auto"/>
          <w:highlight w:val="none"/>
        </w:rPr>
        <w:instrText xml:space="preserve"> PAGEREF _Toc10961 \h </w:instrText>
      </w:r>
      <w:r>
        <w:rPr>
          <w:color w:val="auto"/>
          <w:highlight w:val="none"/>
        </w:rPr>
        <w:fldChar w:fldCharType="separate"/>
      </w:r>
      <w:r>
        <w:rPr>
          <w:color w:val="auto"/>
          <w:highlight w:val="none"/>
        </w:rPr>
        <w:t>245</w:t>
      </w:r>
      <w:r>
        <w:rPr>
          <w:color w:val="auto"/>
          <w:highlight w:val="none"/>
        </w:rPr>
        <w:fldChar w:fldCharType="end"/>
      </w:r>
      <w:r>
        <w:rPr>
          <w:rFonts w:hint="eastAsia" w:ascii="仿宋" w:hAnsi="仿宋" w:eastAsia="仿宋" w:cs="宋体"/>
          <w:caps/>
          <w:color w:val="auto"/>
          <w:szCs w:val="24"/>
          <w:highlight w:val="none"/>
        </w:rPr>
        <w:fldChar w:fldCharType="end"/>
      </w:r>
    </w:p>
    <w:p w14:paraId="1C88FDB0">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_Toc5179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55.  发包人供应工程材料和工程设备</w:t>
      </w:r>
      <w:r>
        <w:rPr>
          <w:color w:val="auto"/>
          <w:highlight w:val="none"/>
        </w:rPr>
        <w:tab/>
      </w:r>
      <w:r>
        <w:rPr>
          <w:color w:val="auto"/>
          <w:highlight w:val="none"/>
        </w:rPr>
        <w:fldChar w:fldCharType="begin"/>
      </w:r>
      <w:r>
        <w:rPr>
          <w:color w:val="auto"/>
          <w:highlight w:val="none"/>
        </w:rPr>
        <w:instrText xml:space="preserve"> PAGEREF _Toc5179 \h </w:instrText>
      </w:r>
      <w:r>
        <w:rPr>
          <w:color w:val="auto"/>
          <w:highlight w:val="none"/>
        </w:rPr>
        <w:fldChar w:fldCharType="separate"/>
      </w:r>
      <w:r>
        <w:rPr>
          <w:color w:val="auto"/>
          <w:highlight w:val="none"/>
        </w:rPr>
        <w:t>245</w:t>
      </w:r>
      <w:r>
        <w:rPr>
          <w:color w:val="auto"/>
          <w:highlight w:val="none"/>
        </w:rPr>
        <w:fldChar w:fldCharType="end"/>
      </w:r>
      <w:r>
        <w:rPr>
          <w:rFonts w:hint="eastAsia" w:ascii="仿宋" w:hAnsi="仿宋" w:eastAsia="仿宋" w:cs="宋体"/>
          <w:caps/>
          <w:color w:val="auto"/>
          <w:szCs w:val="24"/>
          <w:highlight w:val="none"/>
        </w:rPr>
        <w:fldChar w:fldCharType="end"/>
      </w:r>
    </w:p>
    <w:p w14:paraId="4F360DAD">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_Toc21546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56.  承包人购置设备及工器具、采购工程材料和工程设备</w:t>
      </w:r>
      <w:r>
        <w:rPr>
          <w:color w:val="auto"/>
          <w:highlight w:val="none"/>
        </w:rPr>
        <w:tab/>
      </w:r>
      <w:r>
        <w:rPr>
          <w:color w:val="auto"/>
          <w:highlight w:val="none"/>
        </w:rPr>
        <w:fldChar w:fldCharType="begin"/>
      </w:r>
      <w:r>
        <w:rPr>
          <w:color w:val="auto"/>
          <w:highlight w:val="none"/>
        </w:rPr>
        <w:instrText xml:space="preserve"> PAGEREF _Toc21546 \h </w:instrText>
      </w:r>
      <w:r>
        <w:rPr>
          <w:color w:val="auto"/>
          <w:highlight w:val="none"/>
        </w:rPr>
        <w:fldChar w:fldCharType="separate"/>
      </w:r>
      <w:r>
        <w:rPr>
          <w:color w:val="auto"/>
          <w:highlight w:val="none"/>
        </w:rPr>
        <w:t>245</w:t>
      </w:r>
      <w:r>
        <w:rPr>
          <w:color w:val="auto"/>
          <w:highlight w:val="none"/>
        </w:rPr>
        <w:fldChar w:fldCharType="end"/>
      </w:r>
      <w:r>
        <w:rPr>
          <w:rFonts w:hint="eastAsia" w:ascii="仿宋" w:hAnsi="仿宋" w:eastAsia="仿宋" w:cs="宋体"/>
          <w:caps/>
          <w:color w:val="auto"/>
          <w:szCs w:val="24"/>
          <w:highlight w:val="none"/>
        </w:rPr>
        <w:fldChar w:fldCharType="end"/>
      </w:r>
    </w:p>
    <w:p w14:paraId="5CB6C45A">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_Toc19084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57.  设备及工器具的验收、工程材料和工程设备的检验试验</w:t>
      </w:r>
      <w:r>
        <w:rPr>
          <w:color w:val="auto"/>
          <w:highlight w:val="none"/>
        </w:rPr>
        <w:tab/>
      </w:r>
      <w:r>
        <w:rPr>
          <w:color w:val="auto"/>
          <w:highlight w:val="none"/>
        </w:rPr>
        <w:fldChar w:fldCharType="begin"/>
      </w:r>
      <w:r>
        <w:rPr>
          <w:color w:val="auto"/>
          <w:highlight w:val="none"/>
        </w:rPr>
        <w:instrText xml:space="preserve"> PAGEREF _Toc19084 \h </w:instrText>
      </w:r>
      <w:r>
        <w:rPr>
          <w:color w:val="auto"/>
          <w:highlight w:val="none"/>
        </w:rPr>
        <w:fldChar w:fldCharType="separate"/>
      </w:r>
      <w:r>
        <w:rPr>
          <w:color w:val="auto"/>
          <w:highlight w:val="none"/>
        </w:rPr>
        <w:t>249</w:t>
      </w:r>
      <w:r>
        <w:rPr>
          <w:color w:val="auto"/>
          <w:highlight w:val="none"/>
        </w:rPr>
        <w:fldChar w:fldCharType="end"/>
      </w:r>
      <w:r>
        <w:rPr>
          <w:rFonts w:hint="eastAsia" w:ascii="仿宋" w:hAnsi="仿宋" w:eastAsia="仿宋" w:cs="宋体"/>
          <w:caps/>
          <w:color w:val="auto"/>
          <w:szCs w:val="24"/>
          <w:highlight w:val="none"/>
        </w:rPr>
        <w:fldChar w:fldCharType="end"/>
      </w:r>
    </w:p>
    <w:p w14:paraId="41A041CA">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_Toc1223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58.  施工设备和临时设施</w:t>
      </w:r>
      <w:r>
        <w:rPr>
          <w:color w:val="auto"/>
          <w:highlight w:val="none"/>
        </w:rPr>
        <w:tab/>
      </w:r>
      <w:r>
        <w:rPr>
          <w:color w:val="auto"/>
          <w:highlight w:val="none"/>
        </w:rPr>
        <w:fldChar w:fldCharType="begin"/>
      </w:r>
      <w:r>
        <w:rPr>
          <w:color w:val="auto"/>
          <w:highlight w:val="none"/>
        </w:rPr>
        <w:instrText xml:space="preserve"> PAGEREF _Toc1223 \h </w:instrText>
      </w:r>
      <w:r>
        <w:rPr>
          <w:color w:val="auto"/>
          <w:highlight w:val="none"/>
        </w:rPr>
        <w:fldChar w:fldCharType="separate"/>
      </w:r>
      <w:r>
        <w:rPr>
          <w:color w:val="auto"/>
          <w:highlight w:val="none"/>
        </w:rPr>
        <w:t>251</w:t>
      </w:r>
      <w:r>
        <w:rPr>
          <w:color w:val="auto"/>
          <w:highlight w:val="none"/>
        </w:rPr>
        <w:fldChar w:fldCharType="end"/>
      </w:r>
      <w:r>
        <w:rPr>
          <w:rFonts w:hint="eastAsia" w:ascii="仿宋" w:hAnsi="仿宋" w:eastAsia="仿宋" w:cs="宋体"/>
          <w:caps/>
          <w:color w:val="auto"/>
          <w:szCs w:val="24"/>
          <w:highlight w:val="none"/>
        </w:rPr>
        <w:fldChar w:fldCharType="end"/>
      </w:r>
    </w:p>
    <w:p w14:paraId="34F8914F">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_Toc32288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★60.  隐蔽工程和中间验收</w:t>
      </w:r>
      <w:r>
        <w:rPr>
          <w:color w:val="auto"/>
          <w:highlight w:val="none"/>
        </w:rPr>
        <w:tab/>
      </w:r>
      <w:r>
        <w:rPr>
          <w:color w:val="auto"/>
          <w:highlight w:val="none"/>
        </w:rPr>
        <w:fldChar w:fldCharType="begin"/>
      </w:r>
      <w:r>
        <w:rPr>
          <w:color w:val="auto"/>
          <w:highlight w:val="none"/>
        </w:rPr>
        <w:instrText xml:space="preserve"> PAGEREF _Toc32288 \h </w:instrText>
      </w:r>
      <w:r>
        <w:rPr>
          <w:color w:val="auto"/>
          <w:highlight w:val="none"/>
        </w:rPr>
        <w:fldChar w:fldCharType="separate"/>
      </w:r>
      <w:r>
        <w:rPr>
          <w:color w:val="auto"/>
          <w:highlight w:val="none"/>
        </w:rPr>
        <w:t>252</w:t>
      </w:r>
      <w:r>
        <w:rPr>
          <w:color w:val="auto"/>
          <w:highlight w:val="none"/>
        </w:rPr>
        <w:fldChar w:fldCharType="end"/>
      </w:r>
      <w:r>
        <w:rPr>
          <w:rFonts w:hint="eastAsia" w:ascii="仿宋" w:hAnsi="仿宋" w:eastAsia="仿宋" w:cs="宋体"/>
          <w:caps/>
          <w:color w:val="auto"/>
          <w:szCs w:val="24"/>
          <w:highlight w:val="none"/>
        </w:rPr>
        <w:fldChar w:fldCharType="end"/>
      </w:r>
    </w:p>
    <w:p w14:paraId="132D6F54">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_Toc22891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62.  工程试车</w:t>
      </w:r>
      <w:r>
        <w:rPr>
          <w:color w:val="auto"/>
          <w:highlight w:val="none"/>
        </w:rPr>
        <w:tab/>
      </w:r>
      <w:r>
        <w:rPr>
          <w:color w:val="auto"/>
          <w:highlight w:val="none"/>
        </w:rPr>
        <w:fldChar w:fldCharType="begin"/>
      </w:r>
      <w:r>
        <w:rPr>
          <w:color w:val="auto"/>
          <w:highlight w:val="none"/>
        </w:rPr>
        <w:instrText xml:space="preserve"> PAGEREF _Toc22891 \h </w:instrText>
      </w:r>
      <w:r>
        <w:rPr>
          <w:color w:val="auto"/>
          <w:highlight w:val="none"/>
        </w:rPr>
        <w:fldChar w:fldCharType="separate"/>
      </w:r>
      <w:r>
        <w:rPr>
          <w:color w:val="auto"/>
          <w:highlight w:val="none"/>
        </w:rPr>
        <w:t>253</w:t>
      </w:r>
      <w:r>
        <w:rPr>
          <w:color w:val="auto"/>
          <w:highlight w:val="none"/>
        </w:rPr>
        <w:fldChar w:fldCharType="end"/>
      </w:r>
      <w:r>
        <w:rPr>
          <w:rFonts w:hint="eastAsia" w:ascii="仿宋" w:hAnsi="仿宋" w:eastAsia="仿宋" w:cs="宋体"/>
          <w:caps/>
          <w:color w:val="auto"/>
          <w:szCs w:val="24"/>
          <w:highlight w:val="none"/>
        </w:rPr>
        <w:fldChar w:fldCharType="end"/>
      </w:r>
    </w:p>
    <w:p w14:paraId="5A6D52B2">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_Toc29500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★63.  工程变更</w:t>
      </w:r>
      <w:r>
        <w:rPr>
          <w:color w:val="auto"/>
          <w:highlight w:val="none"/>
        </w:rPr>
        <w:tab/>
      </w:r>
      <w:r>
        <w:rPr>
          <w:color w:val="auto"/>
          <w:highlight w:val="none"/>
        </w:rPr>
        <w:fldChar w:fldCharType="begin"/>
      </w:r>
      <w:r>
        <w:rPr>
          <w:color w:val="auto"/>
          <w:highlight w:val="none"/>
        </w:rPr>
        <w:instrText xml:space="preserve"> PAGEREF _Toc29500 \h </w:instrText>
      </w:r>
      <w:r>
        <w:rPr>
          <w:color w:val="auto"/>
          <w:highlight w:val="none"/>
        </w:rPr>
        <w:fldChar w:fldCharType="separate"/>
      </w:r>
      <w:r>
        <w:rPr>
          <w:color w:val="auto"/>
          <w:highlight w:val="none"/>
        </w:rPr>
        <w:t>253</w:t>
      </w:r>
      <w:r>
        <w:rPr>
          <w:color w:val="auto"/>
          <w:highlight w:val="none"/>
        </w:rPr>
        <w:fldChar w:fldCharType="end"/>
      </w:r>
      <w:r>
        <w:rPr>
          <w:rFonts w:hint="eastAsia" w:ascii="仿宋" w:hAnsi="仿宋" w:eastAsia="仿宋" w:cs="宋体"/>
          <w:caps/>
          <w:color w:val="auto"/>
          <w:szCs w:val="24"/>
          <w:highlight w:val="none"/>
        </w:rPr>
        <w:fldChar w:fldCharType="end"/>
      </w:r>
    </w:p>
    <w:p w14:paraId="20FC78A4">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_Toc23970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64.  竣工验收条件</w:t>
      </w:r>
      <w:r>
        <w:rPr>
          <w:color w:val="auto"/>
          <w:highlight w:val="none"/>
        </w:rPr>
        <w:tab/>
      </w:r>
      <w:r>
        <w:rPr>
          <w:color w:val="auto"/>
          <w:highlight w:val="none"/>
        </w:rPr>
        <w:fldChar w:fldCharType="begin"/>
      </w:r>
      <w:r>
        <w:rPr>
          <w:color w:val="auto"/>
          <w:highlight w:val="none"/>
        </w:rPr>
        <w:instrText xml:space="preserve"> PAGEREF _Toc23970 \h </w:instrText>
      </w:r>
      <w:r>
        <w:rPr>
          <w:color w:val="auto"/>
          <w:highlight w:val="none"/>
        </w:rPr>
        <w:fldChar w:fldCharType="separate"/>
      </w:r>
      <w:r>
        <w:rPr>
          <w:color w:val="auto"/>
          <w:highlight w:val="none"/>
        </w:rPr>
        <w:t>255</w:t>
      </w:r>
      <w:r>
        <w:rPr>
          <w:color w:val="auto"/>
          <w:highlight w:val="none"/>
        </w:rPr>
        <w:fldChar w:fldCharType="end"/>
      </w:r>
      <w:r>
        <w:rPr>
          <w:rFonts w:hint="eastAsia" w:ascii="仿宋" w:hAnsi="仿宋" w:eastAsia="仿宋" w:cs="宋体"/>
          <w:caps/>
          <w:color w:val="auto"/>
          <w:szCs w:val="24"/>
          <w:highlight w:val="none"/>
        </w:rPr>
        <w:fldChar w:fldCharType="end"/>
      </w:r>
    </w:p>
    <w:p w14:paraId="7301B6AB">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_Toc1553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★65.  竣工验收</w:t>
      </w:r>
      <w:r>
        <w:rPr>
          <w:color w:val="auto"/>
          <w:highlight w:val="none"/>
        </w:rPr>
        <w:tab/>
      </w:r>
      <w:r>
        <w:rPr>
          <w:color w:val="auto"/>
          <w:highlight w:val="none"/>
        </w:rPr>
        <w:fldChar w:fldCharType="begin"/>
      </w:r>
      <w:r>
        <w:rPr>
          <w:color w:val="auto"/>
          <w:highlight w:val="none"/>
        </w:rPr>
        <w:instrText xml:space="preserve"> PAGEREF _Toc1553 \h </w:instrText>
      </w:r>
      <w:r>
        <w:rPr>
          <w:color w:val="auto"/>
          <w:highlight w:val="none"/>
        </w:rPr>
        <w:fldChar w:fldCharType="separate"/>
      </w:r>
      <w:r>
        <w:rPr>
          <w:color w:val="auto"/>
          <w:highlight w:val="none"/>
        </w:rPr>
        <w:t>255</w:t>
      </w:r>
      <w:r>
        <w:rPr>
          <w:color w:val="auto"/>
          <w:highlight w:val="none"/>
        </w:rPr>
        <w:fldChar w:fldCharType="end"/>
      </w:r>
      <w:r>
        <w:rPr>
          <w:rFonts w:hint="eastAsia" w:ascii="仿宋" w:hAnsi="仿宋" w:eastAsia="仿宋" w:cs="宋体"/>
          <w:caps/>
          <w:color w:val="auto"/>
          <w:szCs w:val="24"/>
          <w:highlight w:val="none"/>
        </w:rPr>
        <w:fldChar w:fldCharType="end"/>
      </w:r>
    </w:p>
    <w:p w14:paraId="4D90B265">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_Toc26703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66.  缺陷责任与质量保修</w:t>
      </w:r>
      <w:r>
        <w:rPr>
          <w:color w:val="auto"/>
          <w:highlight w:val="none"/>
        </w:rPr>
        <w:tab/>
      </w:r>
      <w:r>
        <w:rPr>
          <w:color w:val="auto"/>
          <w:highlight w:val="none"/>
        </w:rPr>
        <w:fldChar w:fldCharType="begin"/>
      </w:r>
      <w:r>
        <w:rPr>
          <w:color w:val="auto"/>
          <w:highlight w:val="none"/>
        </w:rPr>
        <w:instrText xml:space="preserve"> PAGEREF _Toc26703 \h </w:instrText>
      </w:r>
      <w:r>
        <w:rPr>
          <w:color w:val="auto"/>
          <w:highlight w:val="none"/>
        </w:rPr>
        <w:fldChar w:fldCharType="separate"/>
      </w:r>
      <w:r>
        <w:rPr>
          <w:color w:val="auto"/>
          <w:highlight w:val="none"/>
        </w:rPr>
        <w:t>259</w:t>
      </w:r>
      <w:r>
        <w:rPr>
          <w:color w:val="auto"/>
          <w:highlight w:val="none"/>
        </w:rPr>
        <w:fldChar w:fldCharType="end"/>
      </w:r>
      <w:r>
        <w:rPr>
          <w:rFonts w:hint="eastAsia" w:ascii="仿宋" w:hAnsi="仿宋" w:eastAsia="仿宋" w:cs="宋体"/>
          <w:caps/>
          <w:color w:val="auto"/>
          <w:szCs w:val="24"/>
          <w:highlight w:val="none"/>
        </w:rPr>
        <w:fldChar w:fldCharType="end"/>
      </w:r>
    </w:p>
    <w:p w14:paraId="28B42ED2">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_Toc14245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68.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联合体牵头人项目管理费</w:t>
      </w:r>
      <w:r>
        <w:rPr>
          <w:color w:val="auto"/>
          <w:highlight w:val="none"/>
        </w:rPr>
        <w:tab/>
      </w:r>
      <w:r>
        <w:rPr>
          <w:color w:val="auto"/>
          <w:highlight w:val="none"/>
        </w:rPr>
        <w:fldChar w:fldCharType="begin"/>
      </w:r>
      <w:r>
        <w:rPr>
          <w:color w:val="auto"/>
          <w:highlight w:val="none"/>
        </w:rPr>
        <w:instrText xml:space="preserve"> PAGEREF _Toc14245 \h </w:instrText>
      </w:r>
      <w:r>
        <w:rPr>
          <w:color w:val="auto"/>
          <w:highlight w:val="none"/>
        </w:rPr>
        <w:fldChar w:fldCharType="separate"/>
      </w:r>
      <w:r>
        <w:rPr>
          <w:color w:val="auto"/>
          <w:highlight w:val="none"/>
        </w:rPr>
        <w:t>260</w:t>
      </w:r>
      <w:r>
        <w:rPr>
          <w:color w:val="auto"/>
          <w:highlight w:val="none"/>
        </w:rPr>
        <w:fldChar w:fldCharType="end"/>
      </w:r>
      <w:r>
        <w:rPr>
          <w:rFonts w:hint="eastAsia" w:ascii="仿宋" w:hAnsi="仿宋" w:eastAsia="仿宋" w:cs="宋体"/>
          <w:caps/>
          <w:color w:val="auto"/>
          <w:szCs w:val="24"/>
          <w:highlight w:val="none"/>
        </w:rPr>
        <w:fldChar w:fldCharType="end"/>
      </w:r>
    </w:p>
    <w:p w14:paraId="039D91B8">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_Toc3426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★69.  合同价格的约定与调整</w:t>
      </w:r>
      <w:r>
        <w:rPr>
          <w:color w:val="auto"/>
          <w:highlight w:val="none"/>
        </w:rPr>
        <w:tab/>
      </w:r>
      <w:r>
        <w:rPr>
          <w:color w:val="auto"/>
          <w:highlight w:val="none"/>
        </w:rPr>
        <w:fldChar w:fldCharType="begin"/>
      </w:r>
      <w:r>
        <w:rPr>
          <w:color w:val="auto"/>
          <w:highlight w:val="none"/>
        </w:rPr>
        <w:instrText xml:space="preserve"> PAGEREF _Toc3426 \h </w:instrText>
      </w:r>
      <w:r>
        <w:rPr>
          <w:color w:val="auto"/>
          <w:highlight w:val="none"/>
        </w:rPr>
        <w:fldChar w:fldCharType="separate"/>
      </w:r>
      <w:r>
        <w:rPr>
          <w:color w:val="auto"/>
          <w:highlight w:val="none"/>
        </w:rPr>
        <w:t>260</w:t>
      </w:r>
      <w:r>
        <w:rPr>
          <w:color w:val="auto"/>
          <w:highlight w:val="none"/>
        </w:rPr>
        <w:fldChar w:fldCharType="end"/>
      </w:r>
      <w:r>
        <w:rPr>
          <w:rFonts w:hint="eastAsia" w:ascii="仿宋" w:hAnsi="仿宋" w:eastAsia="仿宋" w:cs="宋体"/>
          <w:caps/>
          <w:color w:val="auto"/>
          <w:szCs w:val="24"/>
          <w:highlight w:val="none"/>
        </w:rPr>
        <w:fldChar w:fldCharType="end"/>
      </w:r>
    </w:p>
    <w:p w14:paraId="61B12CE2">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_Toc3872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★71.  工作量或工程量</w:t>
      </w:r>
      <w:r>
        <w:rPr>
          <w:color w:val="auto"/>
          <w:highlight w:val="none"/>
        </w:rPr>
        <w:tab/>
      </w:r>
      <w:r>
        <w:rPr>
          <w:color w:val="auto"/>
          <w:highlight w:val="none"/>
        </w:rPr>
        <w:fldChar w:fldCharType="begin"/>
      </w:r>
      <w:r>
        <w:rPr>
          <w:color w:val="auto"/>
          <w:highlight w:val="none"/>
        </w:rPr>
        <w:instrText xml:space="preserve"> PAGEREF _Toc3872 \h </w:instrText>
      </w:r>
      <w:r>
        <w:rPr>
          <w:color w:val="auto"/>
          <w:highlight w:val="none"/>
        </w:rPr>
        <w:fldChar w:fldCharType="separate"/>
      </w:r>
      <w:r>
        <w:rPr>
          <w:color w:val="auto"/>
          <w:highlight w:val="none"/>
        </w:rPr>
        <w:t>261</w:t>
      </w:r>
      <w:r>
        <w:rPr>
          <w:color w:val="auto"/>
          <w:highlight w:val="none"/>
        </w:rPr>
        <w:fldChar w:fldCharType="end"/>
      </w:r>
      <w:r>
        <w:rPr>
          <w:rFonts w:hint="eastAsia" w:ascii="仿宋" w:hAnsi="仿宋" w:eastAsia="仿宋" w:cs="宋体"/>
          <w:caps/>
          <w:color w:val="auto"/>
          <w:szCs w:val="24"/>
          <w:highlight w:val="none"/>
        </w:rPr>
        <w:fldChar w:fldCharType="end"/>
      </w:r>
    </w:p>
    <w:p w14:paraId="0A4D421C">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_Toc22132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★72.  计量和计价</w:t>
      </w:r>
      <w:r>
        <w:rPr>
          <w:color w:val="auto"/>
          <w:highlight w:val="none"/>
        </w:rPr>
        <w:tab/>
      </w:r>
      <w:r>
        <w:rPr>
          <w:color w:val="auto"/>
          <w:highlight w:val="none"/>
        </w:rPr>
        <w:fldChar w:fldCharType="begin"/>
      </w:r>
      <w:r>
        <w:rPr>
          <w:color w:val="auto"/>
          <w:highlight w:val="none"/>
        </w:rPr>
        <w:instrText xml:space="preserve"> PAGEREF _Toc22132 \h </w:instrText>
      </w:r>
      <w:r>
        <w:rPr>
          <w:color w:val="auto"/>
          <w:highlight w:val="none"/>
        </w:rPr>
        <w:fldChar w:fldCharType="separate"/>
      </w:r>
      <w:r>
        <w:rPr>
          <w:color w:val="auto"/>
          <w:highlight w:val="none"/>
        </w:rPr>
        <w:t>261</w:t>
      </w:r>
      <w:r>
        <w:rPr>
          <w:color w:val="auto"/>
          <w:highlight w:val="none"/>
        </w:rPr>
        <w:fldChar w:fldCharType="end"/>
      </w:r>
      <w:r>
        <w:rPr>
          <w:rFonts w:hint="eastAsia" w:ascii="仿宋" w:hAnsi="仿宋" w:eastAsia="仿宋" w:cs="宋体"/>
          <w:caps/>
          <w:color w:val="auto"/>
          <w:szCs w:val="24"/>
          <w:highlight w:val="none"/>
        </w:rPr>
        <w:fldChar w:fldCharType="end"/>
      </w:r>
    </w:p>
    <w:p w14:paraId="7175A859">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_Toc23172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★73.  暂列金额</w:t>
      </w:r>
      <w:r>
        <w:rPr>
          <w:color w:val="auto"/>
          <w:highlight w:val="none"/>
        </w:rPr>
        <w:tab/>
      </w:r>
      <w:r>
        <w:rPr>
          <w:color w:val="auto"/>
          <w:highlight w:val="none"/>
        </w:rPr>
        <w:fldChar w:fldCharType="begin"/>
      </w:r>
      <w:r>
        <w:rPr>
          <w:color w:val="auto"/>
          <w:highlight w:val="none"/>
        </w:rPr>
        <w:instrText xml:space="preserve"> PAGEREF _Toc23172 \h </w:instrText>
      </w:r>
      <w:r>
        <w:rPr>
          <w:color w:val="auto"/>
          <w:highlight w:val="none"/>
        </w:rPr>
        <w:fldChar w:fldCharType="separate"/>
      </w:r>
      <w:r>
        <w:rPr>
          <w:color w:val="auto"/>
          <w:highlight w:val="none"/>
        </w:rPr>
        <w:t>269</w:t>
      </w:r>
      <w:r>
        <w:rPr>
          <w:color w:val="auto"/>
          <w:highlight w:val="none"/>
        </w:rPr>
        <w:fldChar w:fldCharType="end"/>
      </w:r>
      <w:r>
        <w:rPr>
          <w:rFonts w:hint="eastAsia" w:ascii="仿宋" w:hAnsi="仿宋" w:eastAsia="仿宋" w:cs="宋体"/>
          <w:caps/>
          <w:color w:val="auto"/>
          <w:szCs w:val="24"/>
          <w:highlight w:val="none"/>
        </w:rPr>
        <w:fldChar w:fldCharType="end"/>
      </w:r>
    </w:p>
    <w:p w14:paraId="3E4178C0">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_Toc16672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★75.  暂估价</w:t>
      </w:r>
      <w:r>
        <w:rPr>
          <w:color w:val="auto"/>
          <w:highlight w:val="none"/>
        </w:rPr>
        <w:tab/>
      </w:r>
      <w:r>
        <w:rPr>
          <w:color w:val="auto"/>
          <w:highlight w:val="none"/>
        </w:rPr>
        <w:fldChar w:fldCharType="begin"/>
      </w:r>
      <w:r>
        <w:rPr>
          <w:color w:val="auto"/>
          <w:highlight w:val="none"/>
        </w:rPr>
        <w:instrText xml:space="preserve"> PAGEREF _Toc16672 \h </w:instrText>
      </w:r>
      <w:r>
        <w:rPr>
          <w:color w:val="auto"/>
          <w:highlight w:val="none"/>
        </w:rPr>
        <w:fldChar w:fldCharType="separate"/>
      </w:r>
      <w:r>
        <w:rPr>
          <w:color w:val="auto"/>
          <w:highlight w:val="none"/>
        </w:rPr>
        <w:t>269</w:t>
      </w:r>
      <w:r>
        <w:rPr>
          <w:color w:val="auto"/>
          <w:highlight w:val="none"/>
        </w:rPr>
        <w:fldChar w:fldCharType="end"/>
      </w:r>
      <w:r>
        <w:rPr>
          <w:rFonts w:hint="eastAsia" w:ascii="仿宋" w:hAnsi="仿宋" w:eastAsia="仿宋" w:cs="宋体"/>
          <w:caps/>
          <w:color w:val="auto"/>
          <w:szCs w:val="24"/>
          <w:highlight w:val="none"/>
        </w:rPr>
        <w:fldChar w:fldCharType="end"/>
      </w:r>
    </w:p>
    <w:p w14:paraId="35041CA9">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_Toc29202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★76.  提前竣工奖与误期赔偿费</w:t>
      </w:r>
      <w:r>
        <w:rPr>
          <w:color w:val="auto"/>
          <w:highlight w:val="none"/>
        </w:rPr>
        <w:tab/>
      </w:r>
      <w:r>
        <w:rPr>
          <w:color w:val="auto"/>
          <w:highlight w:val="none"/>
        </w:rPr>
        <w:fldChar w:fldCharType="begin"/>
      </w:r>
      <w:r>
        <w:rPr>
          <w:color w:val="auto"/>
          <w:highlight w:val="none"/>
        </w:rPr>
        <w:instrText xml:space="preserve"> PAGEREF _Toc29202 \h </w:instrText>
      </w:r>
      <w:r>
        <w:rPr>
          <w:color w:val="auto"/>
          <w:highlight w:val="none"/>
        </w:rPr>
        <w:fldChar w:fldCharType="separate"/>
      </w:r>
      <w:r>
        <w:rPr>
          <w:color w:val="auto"/>
          <w:highlight w:val="none"/>
        </w:rPr>
        <w:t>269</w:t>
      </w:r>
      <w:r>
        <w:rPr>
          <w:color w:val="auto"/>
          <w:highlight w:val="none"/>
        </w:rPr>
        <w:fldChar w:fldCharType="end"/>
      </w:r>
      <w:r>
        <w:rPr>
          <w:rFonts w:hint="eastAsia" w:ascii="仿宋" w:hAnsi="仿宋" w:eastAsia="仿宋" w:cs="宋体"/>
          <w:caps/>
          <w:color w:val="auto"/>
          <w:szCs w:val="24"/>
          <w:highlight w:val="none"/>
        </w:rPr>
        <w:fldChar w:fldCharType="end"/>
      </w:r>
    </w:p>
    <w:p w14:paraId="767883D3">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_Toc14678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★77.  优质优价费用</w:t>
      </w:r>
      <w:r>
        <w:rPr>
          <w:color w:val="auto"/>
          <w:highlight w:val="none"/>
        </w:rPr>
        <w:tab/>
      </w:r>
      <w:r>
        <w:rPr>
          <w:color w:val="auto"/>
          <w:highlight w:val="none"/>
        </w:rPr>
        <w:fldChar w:fldCharType="begin"/>
      </w:r>
      <w:r>
        <w:rPr>
          <w:color w:val="auto"/>
          <w:highlight w:val="none"/>
        </w:rPr>
        <w:instrText xml:space="preserve"> PAGEREF _Toc14678 \h </w:instrText>
      </w:r>
      <w:r>
        <w:rPr>
          <w:color w:val="auto"/>
          <w:highlight w:val="none"/>
        </w:rPr>
        <w:fldChar w:fldCharType="separate"/>
      </w:r>
      <w:r>
        <w:rPr>
          <w:color w:val="auto"/>
          <w:highlight w:val="none"/>
        </w:rPr>
        <w:t>270</w:t>
      </w:r>
      <w:r>
        <w:rPr>
          <w:color w:val="auto"/>
          <w:highlight w:val="none"/>
        </w:rPr>
        <w:fldChar w:fldCharType="end"/>
      </w:r>
      <w:r>
        <w:rPr>
          <w:rFonts w:hint="eastAsia" w:ascii="仿宋" w:hAnsi="仿宋" w:eastAsia="仿宋" w:cs="宋体"/>
          <w:caps/>
          <w:color w:val="auto"/>
          <w:szCs w:val="24"/>
          <w:highlight w:val="none"/>
        </w:rPr>
        <w:fldChar w:fldCharType="end"/>
      </w:r>
    </w:p>
    <w:p w14:paraId="464FAF52">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_Toc31725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79.  可调价变更定价</w:t>
      </w:r>
      <w:r>
        <w:rPr>
          <w:color w:val="auto"/>
          <w:highlight w:val="none"/>
        </w:rPr>
        <w:tab/>
      </w:r>
      <w:r>
        <w:rPr>
          <w:color w:val="auto"/>
          <w:highlight w:val="none"/>
        </w:rPr>
        <w:fldChar w:fldCharType="begin"/>
      </w:r>
      <w:r>
        <w:rPr>
          <w:color w:val="auto"/>
          <w:highlight w:val="none"/>
        </w:rPr>
        <w:instrText xml:space="preserve"> PAGEREF _Toc31725 \h </w:instrText>
      </w:r>
      <w:r>
        <w:rPr>
          <w:color w:val="auto"/>
          <w:highlight w:val="none"/>
        </w:rPr>
        <w:fldChar w:fldCharType="separate"/>
      </w:r>
      <w:r>
        <w:rPr>
          <w:color w:val="auto"/>
          <w:highlight w:val="none"/>
        </w:rPr>
        <w:t>270</w:t>
      </w:r>
      <w:r>
        <w:rPr>
          <w:color w:val="auto"/>
          <w:highlight w:val="none"/>
        </w:rPr>
        <w:fldChar w:fldCharType="end"/>
      </w:r>
      <w:r>
        <w:rPr>
          <w:rFonts w:hint="eastAsia" w:ascii="仿宋" w:hAnsi="仿宋" w:eastAsia="仿宋" w:cs="宋体"/>
          <w:caps/>
          <w:color w:val="auto"/>
          <w:szCs w:val="24"/>
          <w:highlight w:val="none"/>
        </w:rPr>
        <w:fldChar w:fldCharType="end"/>
      </w:r>
    </w:p>
    <w:p w14:paraId="059735D3">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_Toc14066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★81.  现场签证价格的确定</w:t>
      </w:r>
      <w:r>
        <w:rPr>
          <w:color w:val="auto"/>
          <w:highlight w:val="none"/>
        </w:rPr>
        <w:tab/>
      </w:r>
      <w:r>
        <w:rPr>
          <w:color w:val="auto"/>
          <w:highlight w:val="none"/>
        </w:rPr>
        <w:fldChar w:fldCharType="begin"/>
      </w:r>
      <w:r>
        <w:rPr>
          <w:color w:val="auto"/>
          <w:highlight w:val="none"/>
        </w:rPr>
        <w:instrText xml:space="preserve"> PAGEREF _Toc14066 \h </w:instrText>
      </w:r>
      <w:r>
        <w:rPr>
          <w:color w:val="auto"/>
          <w:highlight w:val="none"/>
        </w:rPr>
        <w:fldChar w:fldCharType="separate"/>
      </w:r>
      <w:r>
        <w:rPr>
          <w:color w:val="auto"/>
          <w:highlight w:val="none"/>
        </w:rPr>
        <w:t>273</w:t>
      </w:r>
      <w:r>
        <w:rPr>
          <w:color w:val="auto"/>
          <w:highlight w:val="none"/>
        </w:rPr>
        <w:fldChar w:fldCharType="end"/>
      </w:r>
      <w:r>
        <w:rPr>
          <w:rFonts w:hint="eastAsia" w:ascii="仿宋" w:hAnsi="仿宋" w:eastAsia="仿宋" w:cs="宋体"/>
          <w:caps/>
          <w:color w:val="auto"/>
          <w:szCs w:val="24"/>
          <w:highlight w:val="none"/>
        </w:rPr>
        <w:fldChar w:fldCharType="end"/>
      </w:r>
    </w:p>
    <w:p w14:paraId="28C7A558">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_Toc22966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★83.  支付事项</w:t>
      </w:r>
      <w:r>
        <w:rPr>
          <w:color w:val="auto"/>
          <w:highlight w:val="none"/>
        </w:rPr>
        <w:tab/>
      </w:r>
      <w:r>
        <w:rPr>
          <w:color w:val="auto"/>
          <w:highlight w:val="none"/>
        </w:rPr>
        <w:fldChar w:fldCharType="begin"/>
      </w:r>
      <w:r>
        <w:rPr>
          <w:color w:val="auto"/>
          <w:highlight w:val="none"/>
        </w:rPr>
        <w:instrText xml:space="preserve"> PAGEREF _Toc22966 \h </w:instrText>
      </w:r>
      <w:r>
        <w:rPr>
          <w:color w:val="auto"/>
          <w:highlight w:val="none"/>
        </w:rPr>
        <w:fldChar w:fldCharType="separate"/>
      </w:r>
      <w:r>
        <w:rPr>
          <w:color w:val="auto"/>
          <w:highlight w:val="none"/>
        </w:rPr>
        <w:t>274</w:t>
      </w:r>
      <w:r>
        <w:rPr>
          <w:color w:val="auto"/>
          <w:highlight w:val="none"/>
        </w:rPr>
        <w:fldChar w:fldCharType="end"/>
      </w:r>
      <w:r>
        <w:rPr>
          <w:rFonts w:hint="eastAsia" w:ascii="仿宋" w:hAnsi="仿宋" w:eastAsia="仿宋" w:cs="宋体"/>
          <w:caps/>
          <w:color w:val="auto"/>
          <w:szCs w:val="24"/>
          <w:highlight w:val="none"/>
        </w:rPr>
        <w:fldChar w:fldCharType="end"/>
      </w:r>
    </w:p>
    <w:p w14:paraId="44BD6B25">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_Toc8541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★84.  预付款</w:t>
      </w:r>
      <w:r>
        <w:rPr>
          <w:color w:val="auto"/>
          <w:highlight w:val="none"/>
        </w:rPr>
        <w:tab/>
      </w:r>
      <w:r>
        <w:rPr>
          <w:color w:val="auto"/>
          <w:highlight w:val="none"/>
        </w:rPr>
        <w:fldChar w:fldCharType="begin"/>
      </w:r>
      <w:r>
        <w:rPr>
          <w:color w:val="auto"/>
          <w:highlight w:val="none"/>
        </w:rPr>
        <w:instrText xml:space="preserve"> PAGEREF _Toc8541 \h </w:instrText>
      </w:r>
      <w:r>
        <w:rPr>
          <w:color w:val="auto"/>
          <w:highlight w:val="none"/>
        </w:rPr>
        <w:fldChar w:fldCharType="separate"/>
      </w:r>
      <w:r>
        <w:rPr>
          <w:color w:val="auto"/>
          <w:highlight w:val="none"/>
        </w:rPr>
        <w:t>277</w:t>
      </w:r>
      <w:r>
        <w:rPr>
          <w:color w:val="auto"/>
          <w:highlight w:val="none"/>
        </w:rPr>
        <w:fldChar w:fldCharType="end"/>
      </w:r>
      <w:r>
        <w:rPr>
          <w:rFonts w:hint="eastAsia" w:ascii="仿宋" w:hAnsi="仿宋" w:eastAsia="仿宋" w:cs="宋体"/>
          <w:caps/>
          <w:color w:val="auto"/>
          <w:szCs w:val="24"/>
          <w:highlight w:val="none"/>
        </w:rPr>
        <w:fldChar w:fldCharType="end"/>
      </w:r>
    </w:p>
    <w:p w14:paraId="63D5B75F">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_Toc30781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 xml:space="preserve">★85.  </w:t>
      </w:r>
      <w:r>
        <w:rPr>
          <w:rFonts w:hint="eastAsia" w:ascii="仿宋" w:hAnsi="仿宋" w:eastAsia="仿宋" w:cs="仿宋"/>
          <w:bCs w:val="0"/>
          <w:i w:val="0"/>
          <w:iCs w:val="0"/>
          <w:color w:val="auto"/>
          <w:szCs w:val="24"/>
          <w:highlight w:val="none"/>
          <w:lang w:eastAsia="zh-CN"/>
        </w:rPr>
        <w:t>绿色施工安全防护</w:t>
      </w:r>
      <w:r>
        <w:rPr>
          <w:rFonts w:hint="eastAsia" w:ascii="仿宋" w:hAnsi="仿宋" w:eastAsia="仿宋" w:cs="仿宋"/>
          <w:bCs w:val="0"/>
          <w:i w:val="0"/>
          <w:iCs w:val="0"/>
          <w:color w:val="auto"/>
          <w:szCs w:val="24"/>
          <w:highlight w:val="none"/>
          <w:lang w:val="en-US" w:eastAsia="zh-CN"/>
        </w:rPr>
        <w:t>措施</w:t>
      </w:r>
      <w:r>
        <w:rPr>
          <w:rFonts w:hint="eastAsia" w:ascii="仿宋" w:hAnsi="仿宋" w:eastAsia="仿宋" w:cs="仿宋"/>
          <w:bCs w:val="0"/>
          <w:i w:val="0"/>
          <w:iCs w:val="0"/>
          <w:color w:val="auto"/>
          <w:szCs w:val="24"/>
          <w:highlight w:val="none"/>
          <w:lang w:eastAsia="zh-CN"/>
        </w:rPr>
        <w:t>费</w:t>
      </w:r>
      <w:r>
        <w:rPr>
          <w:color w:val="auto"/>
          <w:highlight w:val="none"/>
        </w:rPr>
        <w:tab/>
      </w:r>
      <w:r>
        <w:rPr>
          <w:color w:val="auto"/>
          <w:highlight w:val="none"/>
        </w:rPr>
        <w:fldChar w:fldCharType="begin"/>
      </w:r>
      <w:r>
        <w:rPr>
          <w:color w:val="auto"/>
          <w:highlight w:val="none"/>
        </w:rPr>
        <w:instrText xml:space="preserve"> PAGEREF _Toc30781 \h </w:instrText>
      </w:r>
      <w:r>
        <w:rPr>
          <w:color w:val="auto"/>
          <w:highlight w:val="none"/>
        </w:rPr>
        <w:fldChar w:fldCharType="separate"/>
      </w:r>
      <w:r>
        <w:rPr>
          <w:color w:val="auto"/>
          <w:highlight w:val="none"/>
        </w:rPr>
        <w:t>278</w:t>
      </w:r>
      <w:r>
        <w:rPr>
          <w:color w:val="auto"/>
          <w:highlight w:val="none"/>
        </w:rPr>
        <w:fldChar w:fldCharType="end"/>
      </w:r>
      <w:r>
        <w:rPr>
          <w:rFonts w:hint="eastAsia" w:ascii="仿宋" w:hAnsi="仿宋" w:eastAsia="仿宋" w:cs="宋体"/>
          <w:caps/>
          <w:color w:val="auto"/>
          <w:szCs w:val="24"/>
          <w:highlight w:val="none"/>
        </w:rPr>
        <w:fldChar w:fldCharType="end"/>
      </w:r>
    </w:p>
    <w:p w14:paraId="775418D9">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_Toc28943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★86.  进度款</w:t>
      </w:r>
      <w:r>
        <w:rPr>
          <w:color w:val="auto"/>
          <w:highlight w:val="none"/>
        </w:rPr>
        <w:tab/>
      </w:r>
      <w:r>
        <w:rPr>
          <w:color w:val="auto"/>
          <w:highlight w:val="none"/>
        </w:rPr>
        <w:fldChar w:fldCharType="begin"/>
      </w:r>
      <w:r>
        <w:rPr>
          <w:color w:val="auto"/>
          <w:highlight w:val="none"/>
        </w:rPr>
        <w:instrText xml:space="preserve"> PAGEREF _Toc28943 \h </w:instrText>
      </w:r>
      <w:r>
        <w:rPr>
          <w:color w:val="auto"/>
          <w:highlight w:val="none"/>
        </w:rPr>
        <w:fldChar w:fldCharType="separate"/>
      </w:r>
      <w:r>
        <w:rPr>
          <w:color w:val="auto"/>
          <w:highlight w:val="none"/>
        </w:rPr>
        <w:t>281</w:t>
      </w:r>
      <w:r>
        <w:rPr>
          <w:color w:val="auto"/>
          <w:highlight w:val="none"/>
        </w:rPr>
        <w:fldChar w:fldCharType="end"/>
      </w:r>
      <w:r>
        <w:rPr>
          <w:rFonts w:hint="eastAsia" w:ascii="仿宋" w:hAnsi="仿宋" w:eastAsia="仿宋" w:cs="宋体"/>
          <w:caps/>
          <w:color w:val="auto"/>
          <w:szCs w:val="24"/>
          <w:highlight w:val="none"/>
        </w:rPr>
        <w:fldChar w:fldCharType="end"/>
      </w:r>
    </w:p>
    <w:p w14:paraId="7DE8C775">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_Toc14710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★87.  竣工结算</w:t>
      </w:r>
      <w:r>
        <w:rPr>
          <w:color w:val="auto"/>
          <w:highlight w:val="none"/>
        </w:rPr>
        <w:tab/>
      </w:r>
      <w:r>
        <w:rPr>
          <w:color w:val="auto"/>
          <w:highlight w:val="none"/>
        </w:rPr>
        <w:fldChar w:fldCharType="begin"/>
      </w:r>
      <w:r>
        <w:rPr>
          <w:color w:val="auto"/>
          <w:highlight w:val="none"/>
        </w:rPr>
        <w:instrText xml:space="preserve"> PAGEREF _Toc14710 \h </w:instrText>
      </w:r>
      <w:r>
        <w:rPr>
          <w:color w:val="auto"/>
          <w:highlight w:val="none"/>
        </w:rPr>
        <w:fldChar w:fldCharType="separate"/>
      </w:r>
      <w:r>
        <w:rPr>
          <w:color w:val="auto"/>
          <w:highlight w:val="none"/>
        </w:rPr>
        <w:t>285</w:t>
      </w:r>
      <w:r>
        <w:rPr>
          <w:color w:val="auto"/>
          <w:highlight w:val="none"/>
        </w:rPr>
        <w:fldChar w:fldCharType="end"/>
      </w:r>
      <w:r>
        <w:rPr>
          <w:rFonts w:hint="eastAsia" w:ascii="仿宋" w:hAnsi="仿宋" w:eastAsia="仿宋" w:cs="宋体"/>
          <w:caps/>
          <w:color w:val="auto"/>
          <w:szCs w:val="24"/>
          <w:highlight w:val="none"/>
        </w:rPr>
        <w:fldChar w:fldCharType="end"/>
      </w:r>
    </w:p>
    <w:p w14:paraId="5836B403">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_Toc13137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★88.  结算款</w:t>
      </w:r>
      <w:r>
        <w:rPr>
          <w:color w:val="auto"/>
          <w:highlight w:val="none"/>
        </w:rPr>
        <w:tab/>
      </w:r>
      <w:r>
        <w:rPr>
          <w:color w:val="auto"/>
          <w:highlight w:val="none"/>
        </w:rPr>
        <w:fldChar w:fldCharType="begin"/>
      </w:r>
      <w:r>
        <w:rPr>
          <w:color w:val="auto"/>
          <w:highlight w:val="none"/>
        </w:rPr>
        <w:instrText xml:space="preserve"> PAGEREF _Toc13137 \h </w:instrText>
      </w:r>
      <w:r>
        <w:rPr>
          <w:color w:val="auto"/>
          <w:highlight w:val="none"/>
        </w:rPr>
        <w:fldChar w:fldCharType="separate"/>
      </w:r>
      <w:r>
        <w:rPr>
          <w:color w:val="auto"/>
          <w:highlight w:val="none"/>
        </w:rPr>
        <w:t>291</w:t>
      </w:r>
      <w:r>
        <w:rPr>
          <w:color w:val="auto"/>
          <w:highlight w:val="none"/>
        </w:rPr>
        <w:fldChar w:fldCharType="end"/>
      </w:r>
      <w:r>
        <w:rPr>
          <w:rFonts w:hint="eastAsia" w:ascii="仿宋" w:hAnsi="仿宋" w:eastAsia="仿宋" w:cs="宋体"/>
          <w:caps/>
          <w:color w:val="auto"/>
          <w:szCs w:val="24"/>
          <w:highlight w:val="none"/>
        </w:rPr>
        <w:fldChar w:fldCharType="end"/>
      </w:r>
    </w:p>
    <w:p w14:paraId="0064974C">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_Toc9268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★89.  质量保证金</w:t>
      </w:r>
      <w:r>
        <w:rPr>
          <w:color w:val="auto"/>
          <w:highlight w:val="none"/>
        </w:rPr>
        <w:tab/>
      </w:r>
      <w:r>
        <w:rPr>
          <w:color w:val="auto"/>
          <w:highlight w:val="none"/>
        </w:rPr>
        <w:fldChar w:fldCharType="begin"/>
      </w:r>
      <w:r>
        <w:rPr>
          <w:color w:val="auto"/>
          <w:highlight w:val="none"/>
        </w:rPr>
        <w:instrText xml:space="preserve"> PAGEREF _Toc9268 \h </w:instrText>
      </w:r>
      <w:r>
        <w:rPr>
          <w:color w:val="auto"/>
          <w:highlight w:val="none"/>
        </w:rPr>
        <w:fldChar w:fldCharType="separate"/>
      </w:r>
      <w:r>
        <w:rPr>
          <w:color w:val="auto"/>
          <w:highlight w:val="none"/>
        </w:rPr>
        <w:t>291</w:t>
      </w:r>
      <w:r>
        <w:rPr>
          <w:color w:val="auto"/>
          <w:highlight w:val="none"/>
        </w:rPr>
        <w:fldChar w:fldCharType="end"/>
      </w:r>
      <w:r>
        <w:rPr>
          <w:rFonts w:hint="eastAsia" w:ascii="仿宋" w:hAnsi="仿宋" w:eastAsia="仿宋" w:cs="宋体"/>
          <w:caps/>
          <w:color w:val="auto"/>
          <w:szCs w:val="24"/>
          <w:highlight w:val="none"/>
        </w:rPr>
        <w:fldChar w:fldCharType="end"/>
      </w:r>
    </w:p>
    <w:p w14:paraId="30BB73B7">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_Toc4652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90.  最终清算款</w:t>
      </w:r>
      <w:r>
        <w:rPr>
          <w:color w:val="auto"/>
          <w:highlight w:val="none"/>
        </w:rPr>
        <w:tab/>
      </w:r>
      <w:r>
        <w:rPr>
          <w:color w:val="auto"/>
          <w:highlight w:val="none"/>
        </w:rPr>
        <w:fldChar w:fldCharType="begin"/>
      </w:r>
      <w:r>
        <w:rPr>
          <w:color w:val="auto"/>
          <w:highlight w:val="none"/>
        </w:rPr>
        <w:instrText xml:space="preserve"> PAGEREF _Toc4652 \h </w:instrText>
      </w:r>
      <w:r>
        <w:rPr>
          <w:color w:val="auto"/>
          <w:highlight w:val="none"/>
        </w:rPr>
        <w:fldChar w:fldCharType="separate"/>
      </w:r>
      <w:r>
        <w:rPr>
          <w:color w:val="auto"/>
          <w:highlight w:val="none"/>
        </w:rPr>
        <w:t>292</w:t>
      </w:r>
      <w:r>
        <w:rPr>
          <w:color w:val="auto"/>
          <w:highlight w:val="none"/>
        </w:rPr>
        <w:fldChar w:fldCharType="end"/>
      </w:r>
      <w:r>
        <w:rPr>
          <w:rFonts w:hint="eastAsia" w:ascii="仿宋" w:hAnsi="仿宋" w:eastAsia="仿宋" w:cs="宋体"/>
          <w:caps/>
          <w:color w:val="auto"/>
          <w:szCs w:val="24"/>
          <w:highlight w:val="none"/>
        </w:rPr>
        <w:fldChar w:fldCharType="end"/>
      </w:r>
    </w:p>
    <w:p w14:paraId="176FE69D">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_Toc18382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91.  合同争议</w:t>
      </w:r>
      <w:r>
        <w:rPr>
          <w:color w:val="auto"/>
          <w:highlight w:val="none"/>
        </w:rPr>
        <w:tab/>
      </w:r>
      <w:r>
        <w:rPr>
          <w:color w:val="auto"/>
          <w:highlight w:val="none"/>
        </w:rPr>
        <w:fldChar w:fldCharType="begin"/>
      </w:r>
      <w:r>
        <w:rPr>
          <w:color w:val="auto"/>
          <w:highlight w:val="none"/>
        </w:rPr>
        <w:instrText xml:space="preserve"> PAGEREF _Toc18382 \h </w:instrText>
      </w:r>
      <w:r>
        <w:rPr>
          <w:color w:val="auto"/>
          <w:highlight w:val="none"/>
        </w:rPr>
        <w:fldChar w:fldCharType="separate"/>
      </w:r>
      <w:r>
        <w:rPr>
          <w:color w:val="auto"/>
          <w:highlight w:val="none"/>
        </w:rPr>
        <w:t>292</w:t>
      </w:r>
      <w:r>
        <w:rPr>
          <w:color w:val="auto"/>
          <w:highlight w:val="none"/>
        </w:rPr>
        <w:fldChar w:fldCharType="end"/>
      </w:r>
      <w:r>
        <w:rPr>
          <w:rFonts w:hint="eastAsia" w:ascii="仿宋" w:hAnsi="仿宋" w:eastAsia="仿宋" w:cs="宋体"/>
          <w:caps/>
          <w:color w:val="auto"/>
          <w:szCs w:val="24"/>
          <w:highlight w:val="none"/>
        </w:rPr>
        <w:fldChar w:fldCharType="end"/>
      </w:r>
    </w:p>
    <w:p w14:paraId="0A0195C8">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_Toc9205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92.  合同解除</w:t>
      </w:r>
      <w:r>
        <w:rPr>
          <w:color w:val="auto"/>
          <w:highlight w:val="none"/>
        </w:rPr>
        <w:tab/>
      </w:r>
      <w:r>
        <w:rPr>
          <w:color w:val="auto"/>
          <w:highlight w:val="none"/>
        </w:rPr>
        <w:fldChar w:fldCharType="begin"/>
      </w:r>
      <w:r>
        <w:rPr>
          <w:color w:val="auto"/>
          <w:highlight w:val="none"/>
        </w:rPr>
        <w:instrText xml:space="preserve"> PAGEREF _Toc9205 \h </w:instrText>
      </w:r>
      <w:r>
        <w:rPr>
          <w:color w:val="auto"/>
          <w:highlight w:val="none"/>
        </w:rPr>
        <w:fldChar w:fldCharType="separate"/>
      </w:r>
      <w:r>
        <w:rPr>
          <w:color w:val="auto"/>
          <w:highlight w:val="none"/>
        </w:rPr>
        <w:t>293</w:t>
      </w:r>
      <w:r>
        <w:rPr>
          <w:color w:val="auto"/>
          <w:highlight w:val="none"/>
        </w:rPr>
        <w:fldChar w:fldCharType="end"/>
      </w:r>
      <w:r>
        <w:rPr>
          <w:rFonts w:hint="eastAsia" w:ascii="仿宋" w:hAnsi="仿宋" w:eastAsia="仿宋" w:cs="宋体"/>
          <w:caps/>
          <w:color w:val="auto"/>
          <w:szCs w:val="24"/>
          <w:highlight w:val="none"/>
        </w:rPr>
        <w:fldChar w:fldCharType="end"/>
      </w:r>
    </w:p>
    <w:p w14:paraId="7B02AAD2">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_Toc25926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★95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承包人违约</w:t>
      </w:r>
      <w:r>
        <w:rPr>
          <w:color w:val="auto"/>
          <w:highlight w:val="none"/>
        </w:rPr>
        <w:tab/>
      </w:r>
      <w:r>
        <w:rPr>
          <w:color w:val="auto"/>
          <w:highlight w:val="none"/>
        </w:rPr>
        <w:fldChar w:fldCharType="begin"/>
      </w:r>
      <w:r>
        <w:rPr>
          <w:color w:val="auto"/>
          <w:highlight w:val="none"/>
        </w:rPr>
        <w:instrText xml:space="preserve"> PAGEREF _Toc25926 \h </w:instrText>
      </w:r>
      <w:r>
        <w:rPr>
          <w:color w:val="auto"/>
          <w:highlight w:val="none"/>
        </w:rPr>
        <w:fldChar w:fldCharType="separate"/>
      </w:r>
      <w:r>
        <w:rPr>
          <w:color w:val="auto"/>
          <w:highlight w:val="none"/>
        </w:rPr>
        <w:t>293</w:t>
      </w:r>
      <w:r>
        <w:rPr>
          <w:color w:val="auto"/>
          <w:highlight w:val="none"/>
        </w:rPr>
        <w:fldChar w:fldCharType="end"/>
      </w:r>
      <w:r>
        <w:rPr>
          <w:rFonts w:hint="eastAsia" w:ascii="仿宋" w:hAnsi="仿宋" w:eastAsia="仿宋" w:cs="宋体"/>
          <w:caps/>
          <w:color w:val="auto"/>
          <w:szCs w:val="24"/>
          <w:highlight w:val="none"/>
        </w:rPr>
        <w:fldChar w:fldCharType="end"/>
      </w:r>
    </w:p>
    <w:p w14:paraId="0FF6D562">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_Toc31031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★96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发包人违约</w:t>
      </w:r>
      <w:r>
        <w:rPr>
          <w:color w:val="auto"/>
          <w:highlight w:val="none"/>
        </w:rPr>
        <w:tab/>
      </w:r>
      <w:r>
        <w:rPr>
          <w:color w:val="auto"/>
          <w:highlight w:val="none"/>
        </w:rPr>
        <w:fldChar w:fldCharType="begin"/>
      </w:r>
      <w:r>
        <w:rPr>
          <w:color w:val="auto"/>
          <w:highlight w:val="none"/>
        </w:rPr>
        <w:instrText xml:space="preserve"> PAGEREF _Toc31031 \h </w:instrText>
      </w:r>
      <w:r>
        <w:rPr>
          <w:color w:val="auto"/>
          <w:highlight w:val="none"/>
        </w:rPr>
        <w:fldChar w:fldCharType="separate"/>
      </w:r>
      <w:r>
        <w:rPr>
          <w:color w:val="auto"/>
          <w:highlight w:val="none"/>
        </w:rPr>
        <w:t>307</w:t>
      </w:r>
      <w:r>
        <w:rPr>
          <w:color w:val="auto"/>
          <w:highlight w:val="none"/>
        </w:rPr>
        <w:fldChar w:fldCharType="end"/>
      </w:r>
      <w:r>
        <w:rPr>
          <w:rFonts w:hint="eastAsia" w:ascii="仿宋" w:hAnsi="仿宋" w:eastAsia="仿宋" w:cs="宋体"/>
          <w:caps/>
          <w:color w:val="auto"/>
          <w:szCs w:val="24"/>
          <w:highlight w:val="none"/>
        </w:rPr>
        <w:fldChar w:fldCharType="end"/>
      </w:r>
    </w:p>
    <w:p w14:paraId="66D3496A">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_Toc27181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99.  保密要求</w:t>
      </w:r>
      <w:r>
        <w:rPr>
          <w:color w:val="auto"/>
          <w:highlight w:val="none"/>
        </w:rPr>
        <w:tab/>
      </w:r>
      <w:r>
        <w:rPr>
          <w:color w:val="auto"/>
          <w:highlight w:val="none"/>
        </w:rPr>
        <w:fldChar w:fldCharType="begin"/>
      </w:r>
      <w:r>
        <w:rPr>
          <w:color w:val="auto"/>
          <w:highlight w:val="none"/>
        </w:rPr>
        <w:instrText xml:space="preserve"> PAGEREF _Toc27181 \h </w:instrText>
      </w:r>
      <w:r>
        <w:rPr>
          <w:color w:val="auto"/>
          <w:highlight w:val="none"/>
        </w:rPr>
        <w:fldChar w:fldCharType="separate"/>
      </w:r>
      <w:r>
        <w:rPr>
          <w:color w:val="auto"/>
          <w:highlight w:val="none"/>
        </w:rPr>
        <w:t>307</w:t>
      </w:r>
      <w:r>
        <w:rPr>
          <w:color w:val="auto"/>
          <w:highlight w:val="none"/>
        </w:rPr>
        <w:fldChar w:fldCharType="end"/>
      </w:r>
      <w:r>
        <w:rPr>
          <w:rFonts w:hint="eastAsia" w:ascii="仿宋" w:hAnsi="仿宋" w:eastAsia="仿宋" w:cs="宋体"/>
          <w:caps/>
          <w:color w:val="auto"/>
          <w:szCs w:val="24"/>
          <w:highlight w:val="none"/>
        </w:rPr>
        <w:fldChar w:fldCharType="end"/>
      </w:r>
    </w:p>
    <w:p w14:paraId="27B7E0DB">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_Toc13215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102.  合同份数</w:t>
      </w:r>
      <w:r>
        <w:rPr>
          <w:color w:val="auto"/>
          <w:highlight w:val="none"/>
        </w:rPr>
        <w:tab/>
      </w:r>
      <w:r>
        <w:rPr>
          <w:color w:val="auto"/>
          <w:highlight w:val="none"/>
        </w:rPr>
        <w:fldChar w:fldCharType="begin"/>
      </w:r>
      <w:r>
        <w:rPr>
          <w:color w:val="auto"/>
          <w:highlight w:val="none"/>
        </w:rPr>
        <w:instrText xml:space="preserve"> PAGEREF _Toc13215 \h </w:instrText>
      </w:r>
      <w:r>
        <w:rPr>
          <w:color w:val="auto"/>
          <w:highlight w:val="none"/>
        </w:rPr>
        <w:fldChar w:fldCharType="separate"/>
      </w:r>
      <w:r>
        <w:rPr>
          <w:color w:val="auto"/>
          <w:highlight w:val="none"/>
        </w:rPr>
        <w:t>307</w:t>
      </w:r>
      <w:r>
        <w:rPr>
          <w:color w:val="auto"/>
          <w:highlight w:val="none"/>
        </w:rPr>
        <w:fldChar w:fldCharType="end"/>
      </w:r>
      <w:r>
        <w:rPr>
          <w:rFonts w:hint="eastAsia" w:ascii="仿宋" w:hAnsi="仿宋" w:eastAsia="仿宋" w:cs="宋体"/>
          <w:caps/>
          <w:color w:val="auto"/>
          <w:szCs w:val="24"/>
          <w:highlight w:val="none"/>
        </w:rPr>
        <w:fldChar w:fldCharType="end"/>
      </w:r>
    </w:p>
    <w:p w14:paraId="35B462C2">
      <w:pPr>
        <w:pStyle w:val="30"/>
        <w:tabs>
          <w:tab w:val="right" w:leader="dot" w:pos="10204"/>
        </w:tabs>
        <w:rPr>
          <w:color w:val="auto"/>
          <w:highlight w:val="none"/>
        </w:rPr>
      </w:pPr>
      <w:r>
        <w:rPr>
          <w:rFonts w:hint="eastAsia" w:ascii="仿宋" w:hAnsi="仿宋" w:eastAsia="仿宋" w:cs="宋体"/>
          <w:caps w:val="0"/>
          <w:color w:val="auto"/>
          <w:szCs w:val="24"/>
          <w:highlight w:val="none"/>
        </w:rPr>
        <w:fldChar w:fldCharType="begin"/>
      </w:r>
      <w:r>
        <w:rPr>
          <w:rFonts w:hint="eastAsia" w:ascii="仿宋" w:hAnsi="仿宋" w:eastAsia="仿宋" w:cs="宋体"/>
          <w:caps w:val="0"/>
          <w:color w:val="auto"/>
          <w:szCs w:val="24"/>
          <w:highlight w:val="none"/>
        </w:rPr>
        <w:instrText xml:space="preserve"> HYPERLINK \l _Toc23096 </w:instrText>
      </w:r>
      <w:r>
        <w:rPr>
          <w:rFonts w:hint="eastAsia" w:ascii="仿宋" w:hAnsi="仿宋" w:eastAsia="仿宋" w:cs="宋体"/>
          <w:caps w:val="0"/>
          <w:color w:val="auto"/>
          <w:szCs w:val="24"/>
          <w:highlight w:val="none"/>
        </w:rPr>
        <w:fldChar w:fldCharType="separate"/>
      </w:r>
      <w:r>
        <w:rPr>
          <w:rFonts w:hint="eastAsia" w:hAnsi="宋体"/>
          <w:color w:val="auto"/>
          <w:szCs w:val="36"/>
          <w:highlight w:val="none"/>
          <w:lang w:eastAsia="zh-CN"/>
        </w:rPr>
        <w:t>第四部分 附件与格式</w:t>
      </w:r>
      <w:r>
        <w:rPr>
          <w:color w:val="auto"/>
          <w:highlight w:val="none"/>
        </w:rPr>
        <w:tab/>
      </w:r>
      <w:r>
        <w:rPr>
          <w:color w:val="auto"/>
          <w:highlight w:val="none"/>
        </w:rPr>
        <w:fldChar w:fldCharType="begin"/>
      </w:r>
      <w:r>
        <w:rPr>
          <w:color w:val="auto"/>
          <w:highlight w:val="none"/>
        </w:rPr>
        <w:instrText xml:space="preserve"> PAGEREF _Toc23096 \h </w:instrText>
      </w:r>
      <w:r>
        <w:rPr>
          <w:color w:val="auto"/>
          <w:highlight w:val="none"/>
        </w:rPr>
        <w:fldChar w:fldCharType="separate"/>
      </w:r>
      <w:r>
        <w:rPr>
          <w:color w:val="auto"/>
          <w:highlight w:val="none"/>
        </w:rPr>
        <w:t>308</w:t>
      </w:r>
      <w:r>
        <w:rPr>
          <w:color w:val="auto"/>
          <w:highlight w:val="none"/>
        </w:rPr>
        <w:fldChar w:fldCharType="end"/>
      </w:r>
      <w:r>
        <w:rPr>
          <w:rFonts w:hint="eastAsia" w:ascii="仿宋" w:hAnsi="仿宋" w:eastAsia="仿宋" w:cs="宋体"/>
          <w:caps w:val="0"/>
          <w:color w:val="auto"/>
          <w:szCs w:val="24"/>
          <w:highlight w:val="none"/>
        </w:rPr>
        <w:fldChar w:fldCharType="end"/>
      </w:r>
    </w:p>
    <w:p w14:paraId="3A4E2E7F">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_Toc5581 </w:instrText>
      </w:r>
      <w:r>
        <w:rPr>
          <w:rFonts w:hint="eastAsia" w:ascii="仿宋" w:hAnsi="仿宋" w:eastAsia="仿宋" w:cs="宋体"/>
          <w:caps/>
          <w:color w:val="auto"/>
          <w:szCs w:val="24"/>
          <w:highlight w:val="none"/>
        </w:rPr>
        <w:fldChar w:fldCharType="separate"/>
      </w:r>
      <w:r>
        <w:rPr>
          <w:rFonts w:hint="eastAsia" w:ascii="仿宋" w:hAnsi="仿宋" w:eastAsia="仿宋" w:cs="仿宋"/>
          <w:bCs/>
          <w:color w:val="auto"/>
          <w:highlight w:val="none"/>
          <w:lang w:eastAsia="zh-CN"/>
        </w:rPr>
        <w:t>附件一</w:t>
      </w:r>
      <w:r>
        <w:rPr>
          <w:color w:val="auto"/>
          <w:highlight w:val="none"/>
        </w:rPr>
        <w:tab/>
      </w:r>
      <w:r>
        <w:rPr>
          <w:color w:val="auto"/>
          <w:highlight w:val="none"/>
        </w:rPr>
        <w:fldChar w:fldCharType="begin"/>
      </w:r>
      <w:r>
        <w:rPr>
          <w:color w:val="auto"/>
          <w:highlight w:val="none"/>
        </w:rPr>
        <w:instrText xml:space="preserve"> PAGEREF _Toc5581 \h </w:instrText>
      </w:r>
      <w:r>
        <w:rPr>
          <w:color w:val="auto"/>
          <w:highlight w:val="none"/>
        </w:rPr>
        <w:fldChar w:fldCharType="separate"/>
      </w:r>
      <w:r>
        <w:rPr>
          <w:color w:val="auto"/>
          <w:highlight w:val="none"/>
        </w:rPr>
        <w:t>309</w:t>
      </w:r>
      <w:r>
        <w:rPr>
          <w:color w:val="auto"/>
          <w:highlight w:val="none"/>
        </w:rPr>
        <w:fldChar w:fldCharType="end"/>
      </w:r>
      <w:r>
        <w:rPr>
          <w:rFonts w:hint="eastAsia" w:ascii="仿宋" w:hAnsi="仿宋" w:eastAsia="仿宋" w:cs="宋体"/>
          <w:caps/>
          <w:color w:val="auto"/>
          <w:szCs w:val="24"/>
          <w:highlight w:val="none"/>
        </w:rPr>
        <w:fldChar w:fldCharType="end"/>
      </w:r>
    </w:p>
    <w:p w14:paraId="37E5062C">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_Toc27745 </w:instrText>
      </w:r>
      <w:r>
        <w:rPr>
          <w:rFonts w:hint="eastAsia" w:ascii="仿宋" w:hAnsi="仿宋" w:eastAsia="仿宋" w:cs="宋体"/>
          <w:caps/>
          <w:color w:val="auto"/>
          <w:szCs w:val="24"/>
          <w:highlight w:val="none"/>
        </w:rPr>
        <w:fldChar w:fldCharType="separate"/>
      </w:r>
      <w:r>
        <w:rPr>
          <w:rFonts w:hint="eastAsia" w:ascii="仿宋" w:hAnsi="仿宋" w:eastAsia="仿宋" w:cs="仿宋"/>
          <w:bCs/>
          <w:color w:val="auto"/>
          <w:highlight w:val="none"/>
          <w:lang w:eastAsia="zh-CN"/>
        </w:rPr>
        <w:t>附件二</w:t>
      </w:r>
      <w:r>
        <w:rPr>
          <w:color w:val="auto"/>
          <w:highlight w:val="none"/>
        </w:rPr>
        <w:tab/>
      </w:r>
      <w:r>
        <w:rPr>
          <w:color w:val="auto"/>
          <w:highlight w:val="none"/>
        </w:rPr>
        <w:fldChar w:fldCharType="begin"/>
      </w:r>
      <w:r>
        <w:rPr>
          <w:color w:val="auto"/>
          <w:highlight w:val="none"/>
        </w:rPr>
        <w:instrText xml:space="preserve"> PAGEREF _Toc27745 \h </w:instrText>
      </w:r>
      <w:r>
        <w:rPr>
          <w:color w:val="auto"/>
          <w:highlight w:val="none"/>
        </w:rPr>
        <w:fldChar w:fldCharType="separate"/>
      </w:r>
      <w:r>
        <w:rPr>
          <w:color w:val="auto"/>
          <w:highlight w:val="none"/>
        </w:rPr>
        <w:t>310</w:t>
      </w:r>
      <w:r>
        <w:rPr>
          <w:color w:val="auto"/>
          <w:highlight w:val="none"/>
        </w:rPr>
        <w:fldChar w:fldCharType="end"/>
      </w:r>
      <w:r>
        <w:rPr>
          <w:rFonts w:hint="eastAsia" w:ascii="仿宋" w:hAnsi="仿宋" w:eastAsia="仿宋" w:cs="宋体"/>
          <w:caps/>
          <w:color w:val="auto"/>
          <w:szCs w:val="24"/>
          <w:highlight w:val="none"/>
        </w:rPr>
        <w:fldChar w:fldCharType="end"/>
      </w:r>
    </w:p>
    <w:p w14:paraId="7CFE1E39">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_Toc18014 </w:instrText>
      </w:r>
      <w:r>
        <w:rPr>
          <w:rFonts w:hint="eastAsia" w:ascii="仿宋" w:hAnsi="仿宋" w:eastAsia="仿宋" w:cs="宋体"/>
          <w:caps/>
          <w:color w:val="auto"/>
          <w:szCs w:val="24"/>
          <w:highlight w:val="none"/>
        </w:rPr>
        <w:fldChar w:fldCharType="separate"/>
      </w:r>
      <w:r>
        <w:rPr>
          <w:rFonts w:hint="eastAsia" w:ascii="仿宋" w:hAnsi="仿宋" w:eastAsia="仿宋" w:cs="仿宋"/>
          <w:bCs/>
          <w:color w:val="auto"/>
          <w:highlight w:val="none"/>
          <w:lang w:eastAsia="zh-CN"/>
        </w:rPr>
        <w:t>附件三</w:t>
      </w:r>
      <w:r>
        <w:rPr>
          <w:color w:val="auto"/>
          <w:highlight w:val="none"/>
        </w:rPr>
        <w:tab/>
      </w:r>
      <w:r>
        <w:rPr>
          <w:color w:val="auto"/>
          <w:highlight w:val="none"/>
        </w:rPr>
        <w:fldChar w:fldCharType="begin"/>
      </w:r>
      <w:r>
        <w:rPr>
          <w:color w:val="auto"/>
          <w:highlight w:val="none"/>
        </w:rPr>
        <w:instrText xml:space="preserve"> PAGEREF _Toc18014 \h </w:instrText>
      </w:r>
      <w:r>
        <w:rPr>
          <w:color w:val="auto"/>
          <w:highlight w:val="none"/>
        </w:rPr>
        <w:fldChar w:fldCharType="separate"/>
      </w:r>
      <w:r>
        <w:rPr>
          <w:color w:val="auto"/>
          <w:highlight w:val="none"/>
        </w:rPr>
        <w:t>313</w:t>
      </w:r>
      <w:r>
        <w:rPr>
          <w:color w:val="auto"/>
          <w:highlight w:val="none"/>
        </w:rPr>
        <w:fldChar w:fldCharType="end"/>
      </w:r>
      <w:r>
        <w:rPr>
          <w:rFonts w:hint="eastAsia" w:ascii="仿宋" w:hAnsi="仿宋" w:eastAsia="仿宋" w:cs="宋体"/>
          <w:caps/>
          <w:color w:val="auto"/>
          <w:szCs w:val="24"/>
          <w:highlight w:val="none"/>
        </w:rPr>
        <w:fldChar w:fldCharType="end"/>
      </w:r>
    </w:p>
    <w:p w14:paraId="7F8871F6">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_Toc29231 </w:instrText>
      </w:r>
      <w:r>
        <w:rPr>
          <w:rFonts w:hint="eastAsia" w:ascii="仿宋" w:hAnsi="仿宋" w:eastAsia="仿宋" w:cs="宋体"/>
          <w:caps/>
          <w:color w:val="auto"/>
          <w:szCs w:val="24"/>
          <w:highlight w:val="none"/>
        </w:rPr>
        <w:fldChar w:fldCharType="separate"/>
      </w:r>
      <w:r>
        <w:rPr>
          <w:rFonts w:hint="eastAsia" w:ascii="仿宋" w:hAnsi="仿宋" w:eastAsia="仿宋" w:cs="仿宋"/>
          <w:bCs/>
          <w:color w:val="auto"/>
          <w:highlight w:val="none"/>
          <w:lang w:eastAsia="zh-CN"/>
        </w:rPr>
        <w:t>附件四</w:t>
      </w:r>
      <w:r>
        <w:rPr>
          <w:color w:val="auto"/>
          <w:highlight w:val="none"/>
        </w:rPr>
        <w:tab/>
      </w:r>
      <w:r>
        <w:rPr>
          <w:color w:val="auto"/>
          <w:highlight w:val="none"/>
        </w:rPr>
        <w:fldChar w:fldCharType="begin"/>
      </w:r>
      <w:r>
        <w:rPr>
          <w:color w:val="auto"/>
          <w:highlight w:val="none"/>
        </w:rPr>
        <w:instrText xml:space="preserve"> PAGEREF _Toc29231 \h </w:instrText>
      </w:r>
      <w:r>
        <w:rPr>
          <w:color w:val="auto"/>
          <w:highlight w:val="none"/>
        </w:rPr>
        <w:fldChar w:fldCharType="separate"/>
      </w:r>
      <w:r>
        <w:rPr>
          <w:color w:val="auto"/>
          <w:highlight w:val="none"/>
        </w:rPr>
        <w:t>316</w:t>
      </w:r>
      <w:r>
        <w:rPr>
          <w:color w:val="auto"/>
          <w:highlight w:val="none"/>
        </w:rPr>
        <w:fldChar w:fldCharType="end"/>
      </w:r>
      <w:r>
        <w:rPr>
          <w:rFonts w:hint="eastAsia" w:ascii="仿宋" w:hAnsi="仿宋" w:eastAsia="仿宋" w:cs="宋体"/>
          <w:caps/>
          <w:color w:val="auto"/>
          <w:szCs w:val="24"/>
          <w:highlight w:val="none"/>
        </w:rPr>
        <w:fldChar w:fldCharType="end"/>
      </w:r>
    </w:p>
    <w:p w14:paraId="2C917C6A">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_Toc2194 </w:instrText>
      </w:r>
      <w:r>
        <w:rPr>
          <w:rFonts w:hint="eastAsia" w:ascii="仿宋" w:hAnsi="仿宋" w:eastAsia="仿宋" w:cs="宋体"/>
          <w:caps/>
          <w:color w:val="auto"/>
          <w:szCs w:val="24"/>
          <w:highlight w:val="none"/>
        </w:rPr>
        <w:fldChar w:fldCharType="separate"/>
      </w:r>
      <w:r>
        <w:rPr>
          <w:rFonts w:ascii="仿宋" w:hAnsi="仿宋" w:eastAsia="仿宋"/>
          <w:color w:val="auto"/>
          <w:szCs w:val="24"/>
          <w:highlight w:val="none"/>
          <w:lang w:eastAsia="zh-CN"/>
        </w:rPr>
        <w:t>附件</w:t>
      </w:r>
      <w:r>
        <w:rPr>
          <w:rFonts w:hint="eastAsia" w:ascii="仿宋" w:hAnsi="仿宋" w:eastAsia="仿宋"/>
          <w:color w:val="auto"/>
          <w:szCs w:val="24"/>
          <w:highlight w:val="none"/>
          <w:lang w:eastAsia="zh-CN"/>
        </w:rPr>
        <w:t>五</w:t>
      </w:r>
      <w:r>
        <w:rPr>
          <w:color w:val="auto"/>
          <w:highlight w:val="none"/>
        </w:rPr>
        <w:tab/>
      </w:r>
      <w:r>
        <w:rPr>
          <w:color w:val="auto"/>
          <w:highlight w:val="none"/>
        </w:rPr>
        <w:fldChar w:fldCharType="begin"/>
      </w:r>
      <w:r>
        <w:rPr>
          <w:color w:val="auto"/>
          <w:highlight w:val="none"/>
        </w:rPr>
        <w:instrText xml:space="preserve"> PAGEREF _Toc2194 \h </w:instrText>
      </w:r>
      <w:r>
        <w:rPr>
          <w:color w:val="auto"/>
          <w:highlight w:val="none"/>
        </w:rPr>
        <w:fldChar w:fldCharType="separate"/>
      </w:r>
      <w:r>
        <w:rPr>
          <w:color w:val="auto"/>
          <w:highlight w:val="none"/>
        </w:rPr>
        <w:t>317</w:t>
      </w:r>
      <w:r>
        <w:rPr>
          <w:color w:val="auto"/>
          <w:highlight w:val="none"/>
        </w:rPr>
        <w:fldChar w:fldCharType="end"/>
      </w:r>
      <w:r>
        <w:rPr>
          <w:rFonts w:hint="eastAsia" w:ascii="仿宋" w:hAnsi="仿宋" w:eastAsia="仿宋" w:cs="宋体"/>
          <w:caps/>
          <w:color w:val="auto"/>
          <w:szCs w:val="24"/>
          <w:highlight w:val="none"/>
        </w:rPr>
        <w:fldChar w:fldCharType="end"/>
      </w:r>
    </w:p>
    <w:p w14:paraId="68426EA2">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_Toc25169 </w:instrText>
      </w:r>
      <w:r>
        <w:rPr>
          <w:rFonts w:hint="eastAsia" w:ascii="仿宋" w:hAnsi="仿宋" w:eastAsia="仿宋" w:cs="宋体"/>
          <w:caps/>
          <w:color w:val="auto"/>
          <w:szCs w:val="24"/>
          <w:highlight w:val="none"/>
        </w:rPr>
        <w:fldChar w:fldCharType="separate"/>
      </w:r>
      <w:r>
        <w:rPr>
          <w:rFonts w:hint="eastAsia" w:ascii="仿宋" w:hAnsi="仿宋" w:eastAsia="仿宋" w:cs="仿宋"/>
          <w:bCs/>
          <w:color w:val="auto"/>
          <w:highlight w:val="none"/>
          <w:lang w:eastAsia="zh-CN"/>
        </w:rPr>
        <w:t>附件六</w:t>
      </w:r>
      <w:r>
        <w:rPr>
          <w:color w:val="auto"/>
          <w:highlight w:val="none"/>
        </w:rPr>
        <w:tab/>
      </w:r>
      <w:r>
        <w:rPr>
          <w:color w:val="auto"/>
          <w:highlight w:val="none"/>
        </w:rPr>
        <w:fldChar w:fldCharType="begin"/>
      </w:r>
      <w:r>
        <w:rPr>
          <w:color w:val="auto"/>
          <w:highlight w:val="none"/>
        </w:rPr>
        <w:instrText xml:space="preserve"> PAGEREF _Toc25169 \h </w:instrText>
      </w:r>
      <w:r>
        <w:rPr>
          <w:color w:val="auto"/>
          <w:highlight w:val="none"/>
        </w:rPr>
        <w:fldChar w:fldCharType="separate"/>
      </w:r>
      <w:r>
        <w:rPr>
          <w:color w:val="auto"/>
          <w:highlight w:val="none"/>
        </w:rPr>
        <w:t>318</w:t>
      </w:r>
      <w:r>
        <w:rPr>
          <w:color w:val="auto"/>
          <w:highlight w:val="none"/>
        </w:rPr>
        <w:fldChar w:fldCharType="end"/>
      </w:r>
      <w:r>
        <w:rPr>
          <w:rFonts w:hint="eastAsia" w:ascii="仿宋" w:hAnsi="仿宋" w:eastAsia="仿宋" w:cs="宋体"/>
          <w:caps/>
          <w:color w:val="auto"/>
          <w:szCs w:val="24"/>
          <w:highlight w:val="none"/>
        </w:rPr>
        <w:fldChar w:fldCharType="end"/>
      </w:r>
    </w:p>
    <w:p w14:paraId="564B8B2B">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_Toc32525 </w:instrText>
      </w:r>
      <w:r>
        <w:rPr>
          <w:rFonts w:hint="eastAsia" w:ascii="仿宋" w:hAnsi="仿宋" w:eastAsia="仿宋" w:cs="宋体"/>
          <w:caps/>
          <w:color w:val="auto"/>
          <w:szCs w:val="24"/>
          <w:highlight w:val="none"/>
        </w:rPr>
        <w:fldChar w:fldCharType="separate"/>
      </w:r>
      <w:r>
        <w:rPr>
          <w:rFonts w:hint="eastAsia" w:ascii="仿宋" w:hAnsi="仿宋" w:eastAsia="仿宋" w:cs="仿宋"/>
          <w:bCs/>
          <w:color w:val="auto"/>
          <w:highlight w:val="none"/>
          <w:lang w:eastAsia="zh-CN"/>
        </w:rPr>
        <w:t>附件七</w:t>
      </w:r>
      <w:r>
        <w:rPr>
          <w:color w:val="auto"/>
          <w:highlight w:val="none"/>
        </w:rPr>
        <w:tab/>
      </w:r>
      <w:r>
        <w:rPr>
          <w:color w:val="auto"/>
          <w:highlight w:val="none"/>
        </w:rPr>
        <w:fldChar w:fldCharType="begin"/>
      </w:r>
      <w:r>
        <w:rPr>
          <w:color w:val="auto"/>
          <w:highlight w:val="none"/>
        </w:rPr>
        <w:instrText xml:space="preserve"> PAGEREF _Toc32525 \h </w:instrText>
      </w:r>
      <w:r>
        <w:rPr>
          <w:color w:val="auto"/>
          <w:highlight w:val="none"/>
        </w:rPr>
        <w:fldChar w:fldCharType="separate"/>
      </w:r>
      <w:r>
        <w:rPr>
          <w:color w:val="auto"/>
          <w:highlight w:val="none"/>
        </w:rPr>
        <w:t>319</w:t>
      </w:r>
      <w:r>
        <w:rPr>
          <w:color w:val="auto"/>
          <w:highlight w:val="none"/>
        </w:rPr>
        <w:fldChar w:fldCharType="end"/>
      </w:r>
      <w:r>
        <w:rPr>
          <w:rFonts w:hint="eastAsia" w:ascii="仿宋" w:hAnsi="仿宋" w:eastAsia="仿宋" w:cs="宋体"/>
          <w:caps/>
          <w:color w:val="auto"/>
          <w:szCs w:val="24"/>
          <w:highlight w:val="none"/>
        </w:rPr>
        <w:fldChar w:fldCharType="end"/>
      </w:r>
    </w:p>
    <w:p w14:paraId="3CE6798C">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_Toc26852 </w:instrText>
      </w:r>
      <w:r>
        <w:rPr>
          <w:rFonts w:hint="eastAsia" w:ascii="仿宋" w:hAnsi="仿宋" w:eastAsia="仿宋" w:cs="宋体"/>
          <w:caps/>
          <w:color w:val="auto"/>
          <w:szCs w:val="24"/>
          <w:highlight w:val="none"/>
        </w:rPr>
        <w:fldChar w:fldCharType="separate"/>
      </w:r>
      <w:r>
        <w:rPr>
          <w:rFonts w:hint="eastAsia" w:ascii="仿宋" w:hAnsi="仿宋" w:eastAsia="仿宋"/>
          <w:color w:val="auto"/>
          <w:highlight w:val="none"/>
          <w:lang w:eastAsia="zh-CN"/>
        </w:rPr>
        <w:t>附件八</w:t>
      </w:r>
      <w:r>
        <w:rPr>
          <w:color w:val="auto"/>
          <w:highlight w:val="none"/>
        </w:rPr>
        <w:tab/>
      </w:r>
      <w:r>
        <w:rPr>
          <w:color w:val="auto"/>
          <w:highlight w:val="none"/>
        </w:rPr>
        <w:fldChar w:fldCharType="begin"/>
      </w:r>
      <w:r>
        <w:rPr>
          <w:color w:val="auto"/>
          <w:highlight w:val="none"/>
        </w:rPr>
        <w:instrText xml:space="preserve"> PAGEREF _Toc26852 \h </w:instrText>
      </w:r>
      <w:r>
        <w:rPr>
          <w:color w:val="auto"/>
          <w:highlight w:val="none"/>
        </w:rPr>
        <w:fldChar w:fldCharType="separate"/>
      </w:r>
      <w:r>
        <w:rPr>
          <w:color w:val="auto"/>
          <w:highlight w:val="none"/>
        </w:rPr>
        <w:t>320</w:t>
      </w:r>
      <w:r>
        <w:rPr>
          <w:color w:val="auto"/>
          <w:highlight w:val="none"/>
        </w:rPr>
        <w:fldChar w:fldCharType="end"/>
      </w:r>
      <w:r>
        <w:rPr>
          <w:rFonts w:hint="eastAsia" w:ascii="仿宋" w:hAnsi="仿宋" w:eastAsia="仿宋" w:cs="宋体"/>
          <w:caps/>
          <w:color w:val="auto"/>
          <w:szCs w:val="24"/>
          <w:highlight w:val="none"/>
        </w:rPr>
        <w:fldChar w:fldCharType="end"/>
      </w:r>
    </w:p>
    <w:p w14:paraId="760DD1C1">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_Toc29034 </w:instrText>
      </w:r>
      <w:r>
        <w:rPr>
          <w:rFonts w:hint="eastAsia" w:ascii="仿宋" w:hAnsi="仿宋" w:eastAsia="仿宋" w:cs="宋体"/>
          <w:caps/>
          <w:color w:val="auto"/>
          <w:szCs w:val="24"/>
          <w:highlight w:val="none"/>
        </w:rPr>
        <w:fldChar w:fldCharType="separate"/>
      </w:r>
      <w:r>
        <w:rPr>
          <w:rFonts w:hint="eastAsia" w:ascii="仿宋" w:hAnsi="仿宋" w:eastAsia="仿宋"/>
          <w:bCs/>
          <w:color w:val="auto"/>
          <w:highlight w:val="none"/>
          <w:lang w:eastAsia="zh-CN"/>
        </w:rPr>
        <w:t>附件九：安全管理协议书</w:t>
      </w:r>
      <w:r>
        <w:rPr>
          <w:color w:val="auto"/>
          <w:highlight w:val="none"/>
        </w:rPr>
        <w:tab/>
      </w:r>
      <w:r>
        <w:rPr>
          <w:color w:val="auto"/>
          <w:highlight w:val="none"/>
        </w:rPr>
        <w:fldChar w:fldCharType="begin"/>
      </w:r>
      <w:r>
        <w:rPr>
          <w:color w:val="auto"/>
          <w:highlight w:val="none"/>
        </w:rPr>
        <w:instrText xml:space="preserve"> PAGEREF _Toc29034 \h </w:instrText>
      </w:r>
      <w:r>
        <w:rPr>
          <w:color w:val="auto"/>
          <w:highlight w:val="none"/>
        </w:rPr>
        <w:fldChar w:fldCharType="separate"/>
      </w:r>
      <w:r>
        <w:rPr>
          <w:color w:val="auto"/>
          <w:highlight w:val="none"/>
        </w:rPr>
        <w:t>322</w:t>
      </w:r>
      <w:r>
        <w:rPr>
          <w:color w:val="auto"/>
          <w:highlight w:val="none"/>
        </w:rPr>
        <w:fldChar w:fldCharType="end"/>
      </w:r>
      <w:r>
        <w:rPr>
          <w:rFonts w:hint="eastAsia" w:ascii="仿宋" w:hAnsi="仿宋" w:eastAsia="仿宋" w:cs="宋体"/>
          <w:caps/>
          <w:color w:val="auto"/>
          <w:szCs w:val="24"/>
          <w:highlight w:val="none"/>
        </w:rPr>
        <w:fldChar w:fldCharType="end"/>
      </w:r>
    </w:p>
    <w:p w14:paraId="24F9BA4E">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_Toc13090 </w:instrText>
      </w:r>
      <w:r>
        <w:rPr>
          <w:rFonts w:hint="eastAsia" w:ascii="仿宋" w:hAnsi="仿宋" w:eastAsia="仿宋" w:cs="宋体"/>
          <w:caps/>
          <w:color w:val="auto"/>
          <w:szCs w:val="24"/>
          <w:highlight w:val="none"/>
        </w:rPr>
        <w:fldChar w:fldCharType="separate"/>
      </w:r>
      <w:r>
        <w:rPr>
          <w:rFonts w:hint="eastAsia" w:ascii="仿宋" w:hAnsi="仿宋" w:eastAsia="仿宋"/>
          <w:color w:val="auto"/>
          <w:highlight w:val="none"/>
          <w:lang w:eastAsia="zh-CN"/>
        </w:rPr>
        <w:t>附件十：中标通知书</w:t>
      </w:r>
      <w:r>
        <w:rPr>
          <w:color w:val="auto"/>
          <w:highlight w:val="none"/>
        </w:rPr>
        <w:tab/>
      </w:r>
      <w:r>
        <w:rPr>
          <w:color w:val="auto"/>
          <w:highlight w:val="none"/>
        </w:rPr>
        <w:fldChar w:fldCharType="begin"/>
      </w:r>
      <w:r>
        <w:rPr>
          <w:color w:val="auto"/>
          <w:highlight w:val="none"/>
        </w:rPr>
        <w:instrText xml:space="preserve"> PAGEREF _Toc13090 \h </w:instrText>
      </w:r>
      <w:r>
        <w:rPr>
          <w:color w:val="auto"/>
          <w:highlight w:val="none"/>
        </w:rPr>
        <w:fldChar w:fldCharType="separate"/>
      </w:r>
      <w:r>
        <w:rPr>
          <w:color w:val="auto"/>
          <w:highlight w:val="none"/>
        </w:rPr>
        <w:t>338</w:t>
      </w:r>
      <w:r>
        <w:rPr>
          <w:color w:val="auto"/>
          <w:highlight w:val="none"/>
        </w:rPr>
        <w:fldChar w:fldCharType="end"/>
      </w:r>
      <w:r>
        <w:rPr>
          <w:rFonts w:hint="eastAsia" w:ascii="仿宋" w:hAnsi="仿宋" w:eastAsia="仿宋" w:cs="宋体"/>
          <w:caps/>
          <w:color w:val="auto"/>
          <w:szCs w:val="24"/>
          <w:highlight w:val="none"/>
        </w:rPr>
        <w:fldChar w:fldCharType="end"/>
      </w:r>
    </w:p>
    <w:p w14:paraId="41245B27">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_Toc5068 </w:instrText>
      </w:r>
      <w:r>
        <w:rPr>
          <w:rFonts w:hint="eastAsia" w:ascii="仿宋" w:hAnsi="仿宋" w:eastAsia="仿宋" w:cs="宋体"/>
          <w:caps/>
          <w:color w:val="auto"/>
          <w:szCs w:val="24"/>
          <w:highlight w:val="none"/>
        </w:rPr>
        <w:fldChar w:fldCharType="separate"/>
      </w:r>
      <w:r>
        <w:rPr>
          <w:rFonts w:hint="eastAsia" w:ascii="仿宋" w:hAnsi="仿宋" w:eastAsia="仿宋"/>
          <w:color w:val="auto"/>
          <w:highlight w:val="none"/>
          <w:lang w:eastAsia="zh-CN"/>
        </w:rPr>
        <w:t>附件十一：建设工程项目安全文明施工标准化图册（另册）</w:t>
      </w:r>
      <w:r>
        <w:rPr>
          <w:color w:val="auto"/>
          <w:highlight w:val="none"/>
        </w:rPr>
        <w:tab/>
      </w:r>
      <w:r>
        <w:rPr>
          <w:color w:val="auto"/>
          <w:highlight w:val="none"/>
        </w:rPr>
        <w:fldChar w:fldCharType="begin"/>
      </w:r>
      <w:r>
        <w:rPr>
          <w:color w:val="auto"/>
          <w:highlight w:val="none"/>
        </w:rPr>
        <w:instrText xml:space="preserve"> PAGEREF _Toc5068 \h </w:instrText>
      </w:r>
      <w:r>
        <w:rPr>
          <w:color w:val="auto"/>
          <w:highlight w:val="none"/>
        </w:rPr>
        <w:fldChar w:fldCharType="separate"/>
      </w:r>
      <w:r>
        <w:rPr>
          <w:color w:val="auto"/>
          <w:highlight w:val="none"/>
        </w:rPr>
        <w:t>339</w:t>
      </w:r>
      <w:r>
        <w:rPr>
          <w:color w:val="auto"/>
          <w:highlight w:val="none"/>
        </w:rPr>
        <w:fldChar w:fldCharType="end"/>
      </w:r>
      <w:r>
        <w:rPr>
          <w:rFonts w:hint="eastAsia" w:ascii="仿宋" w:hAnsi="仿宋" w:eastAsia="仿宋" w:cs="宋体"/>
          <w:caps/>
          <w:color w:val="auto"/>
          <w:szCs w:val="24"/>
          <w:highlight w:val="none"/>
        </w:rPr>
        <w:fldChar w:fldCharType="end"/>
      </w:r>
    </w:p>
    <w:p w14:paraId="3651AC6A">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_Toc6474 </w:instrText>
      </w:r>
      <w:r>
        <w:rPr>
          <w:rFonts w:hint="eastAsia" w:ascii="仿宋" w:hAnsi="仿宋" w:eastAsia="仿宋" w:cs="宋体"/>
          <w:caps/>
          <w:color w:val="auto"/>
          <w:szCs w:val="24"/>
          <w:highlight w:val="none"/>
        </w:rPr>
        <w:fldChar w:fldCharType="separate"/>
      </w:r>
      <w:r>
        <w:rPr>
          <w:rFonts w:hint="eastAsia" w:ascii="仿宋" w:hAnsi="仿宋" w:eastAsia="仿宋"/>
          <w:color w:val="auto"/>
          <w:highlight w:val="none"/>
          <w:lang w:eastAsia="zh-CN"/>
        </w:rPr>
        <w:t>附件十二：</w:t>
      </w:r>
      <w:r>
        <w:rPr>
          <w:color w:val="auto"/>
          <w:highlight w:val="none"/>
        </w:rPr>
        <w:tab/>
      </w:r>
      <w:r>
        <w:rPr>
          <w:color w:val="auto"/>
          <w:highlight w:val="none"/>
        </w:rPr>
        <w:fldChar w:fldCharType="begin"/>
      </w:r>
      <w:r>
        <w:rPr>
          <w:color w:val="auto"/>
          <w:highlight w:val="none"/>
        </w:rPr>
        <w:instrText xml:space="preserve"> PAGEREF _Toc6474 \h </w:instrText>
      </w:r>
      <w:r>
        <w:rPr>
          <w:color w:val="auto"/>
          <w:highlight w:val="none"/>
        </w:rPr>
        <w:fldChar w:fldCharType="separate"/>
      </w:r>
      <w:r>
        <w:rPr>
          <w:color w:val="auto"/>
          <w:highlight w:val="none"/>
        </w:rPr>
        <w:t>340</w:t>
      </w:r>
      <w:r>
        <w:rPr>
          <w:color w:val="auto"/>
          <w:highlight w:val="none"/>
        </w:rPr>
        <w:fldChar w:fldCharType="end"/>
      </w:r>
      <w:r>
        <w:rPr>
          <w:rFonts w:hint="eastAsia" w:ascii="仿宋" w:hAnsi="仿宋" w:eastAsia="仿宋" w:cs="宋体"/>
          <w:caps/>
          <w:color w:val="auto"/>
          <w:szCs w:val="24"/>
          <w:highlight w:val="none"/>
        </w:rPr>
        <w:fldChar w:fldCharType="end"/>
      </w:r>
    </w:p>
    <w:p w14:paraId="33927EF2">
      <w:pPr>
        <w:pStyle w:val="35"/>
        <w:tabs>
          <w:tab w:val="right" w:leader="dot" w:pos="10204"/>
        </w:tabs>
        <w:rPr>
          <w:color w:val="auto"/>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_Toc1932 </w:instrText>
      </w:r>
      <w:r>
        <w:rPr>
          <w:rFonts w:hint="eastAsia" w:ascii="仿宋" w:hAnsi="仿宋" w:eastAsia="仿宋" w:cs="宋体"/>
          <w:caps/>
          <w:color w:val="auto"/>
          <w:szCs w:val="24"/>
          <w:highlight w:val="none"/>
        </w:rPr>
        <w:fldChar w:fldCharType="separate"/>
      </w:r>
      <w:r>
        <w:rPr>
          <w:rFonts w:hint="eastAsia" w:ascii="仿宋" w:hAnsi="仿宋" w:eastAsia="仿宋"/>
          <w:color w:val="auto"/>
          <w:highlight w:val="none"/>
          <w:lang w:eastAsia="zh-CN"/>
        </w:rPr>
        <w:t>附件十三：保密协议</w:t>
      </w:r>
      <w:r>
        <w:rPr>
          <w:color w:val="auto"/>
          <w:highlight w:val="none"/>
        </w:rPr>
        <w:tab/>
      </w:r>
      <w:r>
        <w:rPr>
          <w:color w:val="auto"/>
          <w:highlight w:val="none"/>
        </w:rPr>
        <w:fldChar w:fldCharType="begin"/>
      </w:r>
      <w:r>
        <w:rPr>
          <w:color w:val="auto"/>
          <w:highlight w:val="none"/>
        </w:rPr>
        <w:instrText xml:space="preserve"> PAGEREF _Toc1932 \h </w:instrText>
      </w:r>
      <w:r>
        <w:rPr>
          <w:color w:val="auto"/>
          <w:highlight w:val="none"/>
        </w:rPr>
        <w:fldChar w:fldCharType="separate"/>
      </w:r>
      <w:r>
        <w:rPr>
          <w:color w:val="auto"/>
          <w:highlight w:val="none"/>
        </w:rPr>
        <w:t>355</w:t>
      </w:r>
      <w:r>
        <w:rPr>
          <w:color w:val="auto"/>
          <w:highlight w:val="none"/>
        </w:rPr>
        <w:fldChar w:fldCharType="end"/>
      </w:r>
      <w:r>
        <w:rPr>
          <w:rFonts w:hint="eastAsia" w:ascii="仿宋" w:hAnsi="仿宋" w:eastAsia="仿宋" w:cs="宋体"/>
          <w:caps/>
          <w:color w:val="auto"/>
          <w:szCs w:val="24"/>
          <w:highlight w:val="none"/>
        </w:rPr>
        <w:fldChar w:fldCharType="end"/>
      </w:r>
    </w:p>
    <w:p w14:paraId="0B606620">
      <w:pPr>
        <w:pStyle w:val="35"/>
        <w:tabs>
          <w:tab w:val="right" w:leader="dot" w:pos="10204"/>
        </w:tabs>
        <w:rPr>
          <w:rFonts w:hint="default" w:eastAsia="仿宋"/>
          <w:color w:val="auto"/>
          <w:highlight w:val="none"/>
          <w:lang w:val="en-US" w:eastAsia="zh-CN"/>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_Toc8446 </w:instrText>
      </w:r>
      <w:r>
        <w:rPr>
          <w:rFonts w:hint="eastAsia" w:ascii="仿宋" w:hAnsi="仿宋" w:eastAsia="仿宋" w:cs="宋体"/>
          <w:caps/>
          <w:color w:val="auto"/>
          <w:szCs w:val="24"/>
          <w:highlight w:val="none"/>
        </w:rPr>
        <w:fldChar w:fldCharType="separate"/>
      </w:r>
      <w:r>
        <w:rPr>
          <w:rFonts w:hint="eastAsia" w:ascii="仿宋" w:hAnsi="仿宋" w:eastAsia="仿宋" w:cs="仿宋"/>
          <w:color w:val="auto"/>
          <w:szCs w:val="24"/>
          <w:highlight w:val="none"/>
          <w:lang w:eastAsia="zh-CN"/>
        </w:rPr>
        <w:t>附件十四</w:t>
      </w:r>
      <w:r>
        <w:rPr>
          <w:color w:val="auto"/>
          <w:highlight w:val="none"/>
        </w:rPr>
        <w:tab/>
      </w:r>
      <w:r>
        <w:rPr>
          <w:rFonts w:hint="eastAsia"/>
          <w:color w:val="auto"/>
          <w:highlight w:val="none"/>
          <w:lang w:val="en-US" w:eastAsia="zh-CN"/>
        </w:rPr>
        <w:t>3</w:t>
      </w: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lang w:val="en-US" w:eastAsia="zh-CN"/>
        </w:rPr>
        <w:t>61</w:t>
      </w:r>
    </w:p>
    <w:p w14:paraId="1C86B7EC">
      <w:pPr>
        <w:pStyle w:val="35"/>
        <w:tabs>
          <w:tab w:val="right" w:leader="dot" w:pos="10204"/>
        </w:tabs>
        <w:rPr>
          <w:rFonts w:hint="default"/>
          <w:color w:val="auto"/>
          <w:highlight w:val="none"/>
          <w:lang w:val="en-US"/>
        </w:rPr>
      </w:pPr>
      <w:r>
        <w:rPr>
          <w:rFonts w:hint="eastAsia" w:ascii="仿宋" w:hAnsi="仿宋" w:eastAsia="仿宋" w:cs="宋体"/>
          <w:caps/>
          <w:color w:val="auto"/>
          <w:szCs w:val="24"/>
          <w:highlight w:val="none"/>
        </w:rPr>
        <w:fldChar w:fldCharType="end"/>
      </w: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_Toc15182 </w:instrText>
      </w:r>
      <w:r>
        <w:rPr>
          <w:rFonts w:hint="eastAsia" w:ascii="仿宋" w:hAnsi="仿宋" w:eastAsia="仿宋" w:cs="宋体"/>
          <w:caps/>
          <w:color w:val="auto"/>
          <w:szCs w:val="24"/>
          <w:highlight w:val="none"/>
        </w:rPr>
        <w:fldChar w:fldCharType="separate"/>
      </w:r>
      <w:r>
        <w:rPr>
          <w:rFonts w:hint="eastAsia" w:ascii="仿宋" w:hAnsi="仿宋" w:eastAsia="仿宋"/>
          <w:i w:val="0"/>
          <w:iCs w:val="0"/>
          <w:color w:val="auto"/>
          <w:highlight w:val="none"/>
          <w:lang w:eastAsia="zh-CN"/>
        </w:rPr>
        <w:t>附件十五：</w:t>
      </w:r>
      <w:r>
        <w:rPr>
          <w:color w:val="auto"/>
          <w:highlight w:val="none"/>
        </w:rPr>
        <w:tab/>
      </w:r>
      <w:r>
        <w:rPr>
          <w:rFonts w:hint="eastAsia" w:ascii="仿宋" w:hAnsi="仿宋" w:eastAsia="仿宋" w:cs="宋体"/>
          <w:caps/>
          <w:color w:val="auto"/>
          <w:szCs w:val="24"/>
          <w:highlight w:val="none"/>
        </w:rPr>
        <w:fldChar w:fldCharType="end"/>
      </w:r>
      <w:r>
        <w:rPr>
          <w:rFonts w:hint="eastAsia" w:eastAsia="仿宋"/>
          <w:color w:val="auto"/>
          <w:highlight w:val="none"/>
          <w:lang w:val="en-US" w:eastAsia="zh-CN"/>
        </w:rPr>
        <w:t>3</w:t>
      </w:r>
      <w:r>
        <w:rPr>
          <w:rFonts w:hint="eastAsia"/>
          <w:color w:val="auto"/>
          <w:highlight w:val="none"/>
          <w:lang w:val="en-US" w:eastAsia="zh-CN"/>
        </w:rPr>
        <w:t>62</w:t>
      </w:r>
    </w:p>
    <w:p w14:paraId="1EF15185">
      <w:pPr>
        <w:pStyle w:val="35"/>
        <w:tabs>
          <w:tab w:val="right" w:leader="dot" w:pos="10204"/>
        </w:tabs>
        <w:rPr>
          <w:rFonts w:hint="default"/>
          <w:color w:val="auto"/>
          <w:highlight w:val="none"/>
          <w:lang w:val="en-US"/>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_Toc15811 </w:instrText>
      </w:r>
      <w:r>
        <w:rPr>
          <w:rFonts w:hint="eastAsia" w:ascii="仿宋" w:hAnsi="仿宋" w:eastAsia="仿宋" w:cs="宋体"/>
          <w:caps/>
          <w:color w:val="auto"/>
          <w:szCs w:val="24"/>
          <w:highlight w:val="none"/>
        </w:rPr>
        <w:fldChar w:fldCharType="separate"/>
      </w:r>
      <w:r>
        <w:rPr>
          <w:rFonts w:hint="eastAsia" w:ascii="仿宋" w:hAnsi="仿宋" w:eastAsia="仿宋"/>
          <w:i w:val="0"/>
          <w:iCs w:val="0"/>
          <w:color w:val="auto"/>
          <w:highlight w:val="none"/>
          <w:lang w:val="en-US" w:eastAsia="zh-CN"/>
        </w:rPr>
        <w:t>附件十六</w:t>
      </w:r>
      <w:r>
        <w:rPr>
          <w:color w:val="auto"/>
          <w:highlight w:val="none"/>
        </w:rPr>
        <w:tab/>
      </w:r>
      <w:r>
        <w:rPr>
          <w:rFonts w:hint="eastAsia" w:ascii="仿宋" w:hAnsi="仿宋" w:eastAsia="仿宋" w:cs="宋体"/>
          <w:caps/>
          <w:color w:val="auto"/>
          <w:szCs w:val="24"/>
          <w:highlight w:val="none"/>
        </w:rPr>
        <w:fldChar w:fldCharType="end"/>
      </w:r>
      <w:r>
        <w:rPr>
          <w:rFonts w:hint="eastAsia" w:eastAsia="仿宋"/>
          <w:color w:val="auto"/>
          <w:highlight w:val="none"/>
          <w:lang w:val="en-US" w:eastAsia="zh-CN"/>
        </w:rPr>
        <w:t>3</w:t>
      </w:r>
      <w:r>
        <w:rPr>
          <w:rFonts w:hint="eastAsia"/>
          <w:color w:val="auto"/>
          <w:highlight w:val="none"/>
          <w:lang w:val="en-US" w:eastAsia="zh-CN"/>
        </w:rPr>
        <w:t>63</w:t>
      </w:r>
    </w:p>
    <w:p w14:paraId="0A582699">
      <w:pPr>
        <w:pStyle w:val="35"/>
        <w:tabs>
          <w:tab w:val="right" w:leader="dot" w:pos="10204"/>
        </w:tabs>
        <w:rPr>
          <w:rFonts w:hint="default"/>
          <w:color w:val="auto"/>
          <w:highlight w:val="none"/>
          <w:lang w:val="en-US"/>
        </w:rPr>
      </w:pPr>
      <w:r>
        <w:rPr>
          <w:rFonts w:hint="eastAsia" w:ascii="仿宋" w:hAnsi="仿宋" w:eastAsia="仿宋" w:cs="宋体"/>
          <w:caps/>
          <w:color w:val="auto"/>
          <w:szCs w:val="24"/>
          <w:highlight w:val="none"/>
        </w:rPr>
        <w:fldChar w:fldCharType="begin"/>
      </w:r>
      <w:r>
        <w:rPr>
          <w:rFonts w:hint="eastAsia" w:ascii="仿宋" w:hAnsi="仿宋" w:eastAsia="仿宋" w:cs="宋体"/>
          <w:caps/>
          <w:color w:val="auto"/>
          <w:szCs w:val="24"/>
          <w:highlight w:val="none"/>
        </w:rPr>
        <w:instrText xml:space="preserve"> HYPERLINK \l _Toc3992 </w:instrText>
      </w:r>
      <w:r>
        <w:rPr>
          <w:rFonts w:hint="eastAsia" w:ascii="仿宋" w:hAnsi="仿宋" w:eastAsia="仿宋" w:cs="宋体"/>
          <w:caps/>
          <w:color w:val="auto"/>
          <w:szCs w:val="24"/>
          <w:highlight w:val="none"/>
        </w:rPr>
        <w:fldChar w:fldCharType="separate"/>
      </w:r>
      <w:r>
        <w:rPr>
          <w:rFonts w:hint="eastAsia" w:ascii="仿宋" w:hAnsi="仿宋" w:eastAsia="仿宋"/>
          <w:i w:val="0"/>
          <w:iCs w:val="0"/>
          <w:color w:val="auto"/>
          <w:highlight w:val="none"/>
          <w:lang w:val="en-US" w:eastAsia="zh-CN"/>
        </w:rPr>
        <w:t>附件十七</w:t>
      </w:r>
      <w:r>
        <w:rPr>
          <w:color w:val="auto"/>
          <w:highlight w:val="none"/>
        </w:rPr>
        <w:tab/>
      </w:r>
      <w:r>
        <w:rPr>
          <w:rFonts w:hint="eastAsia" w:ascii="仿宋" w:hAnsi="仿宋" w:eastAsia="仿宋" w:cs="宋体"/>
          <w:caps/>
          <w:color w:val="auto"/>
          <w:szCs w:val="24"/>
          <w:highlight w:val="none"/>
        </w:rPr>
        <w:fldChar w:fldCharType="end"/>
      </w:r>
      <w:r>
        <w:rPr>
          <w:rFonts w:hint="eastAsia" w:eastAsia="仿宋"/>
          <w:color w:val="auto"/>
          <w:highlight w:val="none"/>
          <w:lang w:val="en-US" w:eastAsia="zh-CN"/>
        </w:rPr>
        <w:t>3</w:t>
      </w:r>
      <w:r>
        <w:rPr>
          <w:rFonts w:hint="eastAsia"/>
          <w:color w:val="auto"/>
          <w:highlight w:val="none"/>
          <w:lang w:val="en-US" w:eastAsia="zh-CN"/>
        </w:rPr>
        <w:t>65</w:t>
      </w:r>
    </w:p>
    <w:p w14:paraId="070E45A1">
      <w:pPr>
        <w:pStyle w:val="35"/>
        <w:tabs>
          <w:tab w:val="right" w:leader="dot" w:pos="10194"/>
        </w:tabs>
        <w:ind w:left="0" w:firstLine="200" w:firstLineChars="100"/>
        <w:rPr>
          <w:rFonts w:hint="eastAsia"/>
          <w:color w:val="auto"/>
          <w:highlight w:val="none"/>
          <w:lang w:eastAsia="zh-CN"/>
        </w:rPr>
      </w:pPr>
    </w:p>
    <w:p w14:paraId="1692EA2A">
      <w:pPr>
        <w:ind w:firstLine="200" w:firstLineChars="100"/>
        <w:rPr>
          <w:rFonts w:hint="eastAsia" w:ascii="仿宋" w:hAnsi="仿宋" w:eastAsia="仿宋" w:cs="仿宋"/>
          <w:color w:val="auto"/>
          <w:sz w:val="20"/>
          <w:szCs w:val="20"/>
          <w:highlight w:val="none"/>
          <w:lang w:eastAsia="zh-CN"/>
        </w:rPr>
      </w:pPr>
    </w:p>
    <w:p w14:paraId="4F342C2A">
      <w:pPr>
        <w:pStyle w:val="173"/>
        <w:tabs>
          <w:tab w:val="clear" w:pos="432"/>
        </w:tabs>
        <w:jc w:val="center"/>
        <w:rPr>
          <w:rFonts w:hint="eastAsia" w:ascii="仿宋" w:hAnsi="仿宋" w:eastAsia="仿宋" w:cs="仿宋"/>
          <w:b/>
          <w:bCs/>
          <w:color w:val="auto"/>
          <w:sz w:val="36"/>
          <w:szCs w:val="36"/>
          <w:highlight w:val="none"/>
          <w:lang w:val="zh-CN" w:eastAsia="zh-CN"/>
        </w:rPr>
        <w:sectPr>
          <w:headerReference r:id="rId4" w:type="first"/>
          <w:footerReference r:id="rId6" w:type="first"/>
          <w:headerReference r:id="rId3" w:type="default"/>
          <w:footerReference r:id="rId5" w:type="default"/>
          <w:endnotePr>
            <w:numFmt w:val="decimal"/>
          </w:endnotePr>
          <w:pgSz w:w="11906" w:h="16838"/>
          <w:pgMar w:top="1191" w:right="851" w:bottom="794" w:left="851" w:header="0" w:footer="850" w:gutter="0"/>
          <w:pgNumType w:fmt="upperRoman" w:start="1"/>
          <w:cols w:space="720" w:num="1"/>
          <w:titlePg/>
          <w:docGrid w:linePitch="286" w:charSpace="0"/>
        </w:sectPr>
      </w:pPr>
      <w:bookmarkStart w:id="1" w:name="_Toc26011"/>
      <w:bookmarkStart w:id="2" w:name="_Toc30415"/>
      <w:bookmarkStart w:id="3" w:name="_Toc16018"/>
    </w:p>
    <w:p w14:paraId="03AE40C4">
      <w:pPr>
        <w:pStyle w:val="173"/>
        <w:tabs>
          <w:tab w:val="clear" w:pos="432"/>
        </w:tabs>
        <w:jc w:val="center"/>
        <w:rPr>
          <w:rFonts w:ascii="仿宋" w:hAnsi="仿宋" w:eastAsia="仿宋" w:cs="Times New Roman"/>
          <w:b/>
          <w:bCs/>
          <w:color w:val="auto"/>
          <w:sz w:val="36"/>
          <w:szCs w:val="36"/>
          <w:highlight w:val="none"/>
          <w:lang w:val="zh-CN" w:eastAsia="zh-CN"/>
        </w:rPr>
      </w:pPr>
      <w:r>
        <w:rPr>
          <w:rFonts w:hint="eastAsia" w:ascii="仿宋" w:hAnsi="仿宋" w:eastAsia="仿宋" w:cs="仿宋"/>
          <w:b/>
          <w:bCs/>
          <w:color w:val="auto"/>
          <w:sz w:val="36"/>
          <w:szCs w:val="36"/>
          <w:highlight w:val="none"/>
          <w:lang w:val="zh-CN" w:eastAsia="zh-CN"/>
        </w:rPr>
        <w:t>总</w:t>
      </w:r>
      <w:r>
        <w:rPr>
          <w:rFonts w:ascii="仿宋" w:hAnsi="仿宋" w:eastAsia="仿宋" w:cs="仿宋"/>
          <w:b/>
          <w:bCs/>
          <w:color w:val="auto"/>
          <w:sz w:val="36"/>
          <w:szCs w:val="36"/>
          <w:highlight w:val="none"/>
          <w:lang w:val="zh-CN" w:eastAsia="zh-CN"/>
        </w:rPr>
        <w:t xml:space="preserve">  </w:t>
      </w:r>
      <w:r>
        <w:rPr>
          <w:rFonts w:hint="eastAsia" w:ascii="仿宋" w:hAnsi="仿宋" w:eastAsia="仿宋" w:cs="仿宋"/>
          <w:b/>
          <w:bCs/>
          <w:color w:val="auto"/>
          <w:sz w:val="36"/>
          <w:szCs w:val="36"/>
          <w:highlight w:val="none"/>
          <w:lang w:val="zh-CN" w:eastAsia="zh-CN"/>
        </w:rPr>
        <w:t>说</w:t>
      </w:r>
      <w:r>
        <w:rPr>
          <w:rFonts w:ascii="仿宋" w:hAnsi="仿宋" w:eastAsia="仿宋" w:cs="仿宋"/>
          <w:b/>
          <w:bCs/>
          <w:color w:val="auto"/>
          <w:sz w:val="36"/>
          <w:szCs w:val="36"/>
          <w:highlight w:val="none"/>
          <w:lang w:val="zh-CN" w:eastAsia="zh-CN"/>
        </w:rPr>
        <w:t xml:space="preserve">  </w:t>
      </w:r>
      <w:r>
        <w:rPr>
          <w:rFonts w:hint="eastAsia" w:ascii="仿宋" w:hAnsi="仿宋" w:eastAsia="仿宋" w:cs="仿宋"/>
          <w:b/>
          <w:bCs/>
          <w:color w:val="auto"/>
          <w:sz w:val="36"/>
          <w:szCs w:val="36"/>
          <w:highlight w:val="none"/>
          <w:lang w:val="zh-CN" w:eastAsia="zh-CN"/>
        </w:rPr>
        <w:t>明</w:t>
      </w:r>
      <w:bookmarkEnd w:id="1"/>
      <w:bookmarkEnd w:id="2"/>
      <w:bookmarkEnd w:id="3"/>
    </w:p>
    <w:p w14:paraId="19EBDCE7">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为了指导广州市建设工程总承包项目（又称EPC项目）当事人的签约行为，维护合同当事人的合法权益，依据《中华人民共和国民法典》《中华人民共和国建筑法》《中华人民共和国招标投标法》《房屋建筑和市政基础设施项目工程总承包管理办法》（建市规［2019］12号）以及相关法律法规，参照《建设项目工程总承包合同（示范文本）》（GF-2020-0216）、《建设项目工程总承包合同示范文本（试行）》（</w:t>
      </w:r>
      <w:r>
        <w:rPr>
          <w:rFonts w:ascii="仿宋" w:hAnsi="仿宋" w:eastAsia="仿宋" w:cs="仿宋"/>
          <w:color w:val="auto"/>
          <w:highlight w:val="none"/>
          <w:lang w:eastAsia="zh-CN"/>
        </w:rPr>
        <w:t>GF-2011-0216</w:t>
      </w:r>
      <w:r>
        <w:rPr>
          <w:rFonts w:hint="eastAsia" w:ascii="仿宋" w:hAnsi="仿宋" w:eastAsia="仿宋" w:cs="仿宋"/>
          <w:color w:val="auto"/>
          <w:highlight w:val="none"/>
          <w:lang w:eastAsia="zh-CN"/>
        </w:rPr>
        <w:t>）、《建设工程施工合同（示范文本）》（</w:t>
      </w:r>
      <w:r>
        <w:rPr>
          <w:rFonts w:ascii="仿宋" w:hAnsi="仿宋" w:eastAsia="仿宋" w:cs="仿宋"/>
          <w:color w:val="auto"/>
          <w:highlight w:val="none"/>
          <w:lang w:eastAsia="zh-CN"/>
        </w:rPr>
        <w:t>GF—2017—0201</w:t>
      </w:r>
      <w:r>
        <w:rPr>
          <w:rFonts w:hint="eastAsia" w:ascii="仿宋" w:hAnsi="仿宋" w:eastAsia="仿宋" w:cs="仿宋"/>
          <w:color w:val="auto"/>
          <w:highlight w:val="none"/>
          <w:lang w:eastAsia="zh-CN"/>
        </w:rPr>
        <w:t>）、《广东省建设工程标准施工合同（</w:t>
      </w:r>
      <w:r>
        <w:rPr>
          <w:rFonts w:ascii="仿宋" w:hAnsi="仿宋" w:eastAsia="仿宋" w:cs="仿宋"/>
          <w:color w:val="auto"/>
          <w:highlight w:val="none"/>
          <w:lang w:eastAsia="zh-CN"/>
        </w:rPr>
        <w:t>2009</w:t>
      </w:r>
      <w:r>
        <w:rPr>
          <w:rFonts w:hint="eastAsia" w:ascii="仿宋" w:hAnsi="仿宋" w:eastAsia="仿宋" w:cs="仿宋"/>
          <w:color w:val="auto"/>
          <w:highlight w:val="none"/>
          <w:lang w:eastAsia="zh-CN"/>
        </w:rPr>
        <w:t>年版）》《建设工程设计合同示范文本（房屋建筑工程）》（</w:t>
      </w:r>
      <w:r>
        <w:rPr>
          <w:rFonts w:ascii="仿宋" w:hAnsi="仿宋" w:eastAsia="仿宋" w:cs="仿宋"/>
          <w:color w:val="auto"/>
          <w:highlight w:val="none"/>
          <w:lang w:eastAsia="zh-CN"/>
        </w:rPr>
        <w:t>GF-201</w:t>
      </w:r>
      <w:r>
        <w:rPr>
          <w:rFonts w:hint="eastAsia" w:ascii="仿宋" w:hAnsi="仿宋" w:eastAsia="仿宋" w:cs="仿宋"/>
          <w:color w:val="auto"/>
          <w:highlight w:val="none"/>
          <w:lang w:eastAsia="zh-CN"/>
        </w:rPr>
        <w:t>5</w:t>
      </w:r>
      <w:r>
        <w:rPr>
          <w:rFonts w:ascii="仿宋" w:hAnsi="仿宋" w:eastAsia="仿宋" w:cs="仿宋"/>
          <w:color w:val="auto"/>
          <w:highlight w:val="none"/>
          <w:lang w:eastAsia="zh-CN"/>
        </w:rPr>
        <w:t>-02</w:t>
      </w:r>
      <w:r>
        <w:rPr>
          <w:rFonts w:hint="eastAsia" w:ascii="仿宋" w:hAnsi="仿宋" w:eastAsia="仿宋" w:cs="仿宋"/>
          <w:color w:val="auto"/>
          <w:highlight w:val="none"/>
          <w:lang w:eastAsia="zh-CN"/>
        </w:rPr>
        <w:t>09）、《建设工程勘察合同示范文本》（</w:t>
      </w:r>
      <w:r>
        <w:rPr>
          <w:rFonts w:ascii="仿宋" w:hAnsi="仿宋" w:eastAsia="仿宋" w:cs="仿宋"/>
          <w:color w:val="auto"/>
          <w:highlight w:val="none"/>
          <w:lang w:eastAsia="zh-CN"/>
        </w:rPr>
        <w:t>GF-201</w:t>
      </w:r>
      <w:r>
        <w:rPr>
          <w:rFonts w:hint="eastAsia" w:ascii="仿宋" w:hAnsi="仿宋" w:eastAsia="仿宋" w:cs="仿宋"/>
          <w:color w:val="auto"/>
          <w:highlight w:val="none"/>
          <w:lang w:eastAsia="zh-CN"/>
        </w:rPr>
        <w:t>6</w:t>
      </w:r>
      <w:r>
        <w:rPr>
          <w:rFonts w:ascii="仿宋" w:hAnsi="仿宋" w:eastAsia="仿宋" w:cs="仿宋"/>
          <w:color w:val="auto"/>
          <w:highlight w:val="none"/>
          <w:lang w:eastAsia="zh-CN"/>
        </w:rPr>
        <w:t>-02</w:t>
      </w:r>
      <w:r>
        <w:rPr>
          <w:rFonts w:hint="eastAsia" w:ascii="仿宋" w:hAnsi="仿宋" w:eastAsia="仿宋" w:cs="仿宋"/>
          <w:color w:val="auto"/>
          <w:highlight w:val="none"/>
          <w:lang w:eastAsia="zh-CN"/>
        </w:rPr>
        <w:t>03）等合同范本，结合近年来广州市建设工程EPC项目的实施情况，特编制本合同示范文本《广州市建设工程总承包合同》（</w:t>
      </w:r>
      <w:r>
        <w:rPr>
          <w:rFonts w:ascii="仿宋" w:hAnsi="仿宋" w:eastAsia="仿宋" w:cs="仿宋"/>
          <w:color w:val="auto"/>
          <w:highlight w:val="none"/>
          <w:lang w:eastAsia="zh-CN"/>
        </w:rPr>
        <w:t>SF-202</w:t>
      </w:r>
      <w:r>
        <w:rPr>
          <w:rFonts w:hint="eastAsia" w:ascii="仿宋" w:hAnsi="仿宋" w:eastAsia="仿宋" w:cs="仿宋"/>
          <w:color w:val="auto"/>
          <w:highlight w:val="none"/>
          <w:lang w:eastAsia="zh"/>
        </w:rPr>
        <w:t>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）。为了便于合同当事人使用《广州市建设工程总承包合同》（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）示范文本，现就有关问题说明如下：</w:t>
      </w:r>
    </w:p>
    <w:p w14:paraId="55C4F621">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一、工程总承包与施工总承包、建设工程设计、建设工程勘察合同的区别与联系</w:t>
      </w:r>
    </w:p>
    <w:p w14:paraId="7E7CE89F">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工程总承包（EPC）与施工总承包两种模式的联系与区别，两者都厘清总承包范围内合同当事人的权利和义务，但工程总承包明确了参建各方在勘察、设计、施工等各阶段工作的角色定位和责任划分，以及合同价款确定和造价控制模式。</w:t>
      </w:r>
    </w:p>
    <w:p w14:paraId="0CA85239">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工程总承包合同与勘察或设计合同的联系与区别：本工程总承包合同示范文本的编写，结合工程总承包合同的承包人为同时具备勘察、设计和施工资质的一个法人或由具有勘察、设计或施工资质的多个法人组成的联合体，注重勘察（如果有）、设计和施工等方面关于工程质量、进度和造价责任条款的融合统一。但两者亦有所区别，建设工程勘察合同的标的是作为工程设计依据的工程地质勘察报告，</w:t>
      </w:r>
      <w:bookmarkStart w:id="4" w:name="_Hlk89524773"/>
      <w:r>
        <w:rPr>
          <w:rFonts w:hint="eastAsia" w:ascii="仿宋" w:hAnsi="仿宋" w:eastAsia="仿宋" w:cs="仿宋"/>
          <w:color w:val="auto"/>
          <w:highlight w:val="none"/>
          <w:lang w:eastAsia="zh-CN"/>
        </w:rPr>
        <w:t>其合同约定与工程地质勘察有关的范围内容、质量、进度和价格等权利、义务和责任；</w:t>
      </w:r>
      <w:bookmarkEnd w:id="4"/>
      <w:r>
        <w:rPr>
          <w:rFonts w:hint="eastAsia" w:ascii="仿宋" w:hAnsi="仿宋" w:eastAsia="仿宋" w:cs="仿宋"/>
          <w:color w:val="auto"/>
          <w:highlight w:val="none"/>
          <w:lang w:eastAsia="zh-CN"/>
        </w:rPr>
        <w:t>建设工程设计合同的标的是作为施工依据的初步设计方案或施工图纸等技术文件，其合同约定与初步设计或施工图设计有关的范围内容、质量、进度和价格等权利和义务；而工程总承包合同着重约定与勘察（如果有）、设计和施工等工程整体实施有关的范围内容、质量、进度和价格等权利、义务和责任。</w:t>
      </w:r>
    </w:p>
    <w:p w14:paraId="30EE1D89">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本工程总承包合同还根据与住建部《建设项目工程总承包合同（示范文本）》（GF-2020-0216），在合同词语定义、合同主要内容方面的差异性进行更新，但继续保持广州地区工程总承包的特点、实际施工需求等方面的特色。</w:t>
      </w:r>
    </w:p>
    <w:p w14:paraId="1A5D31E1">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二、《广州市建设工程总承包合同》（</w:t>
      </w:r>
      <w:r>
        <w:rPr>
          <w:rFonts w:ascii="仿宋" w:hAnsi="仿宋" w:eastAsia="仿宋" w:cs="仿宋"/>
          <w:color w:val="auto"/>
          <w:highlight w:val="none"/>
          <w:lang w:eastAsia="zh-CN"/>
        </w:rPr>
        <w:t>SF-202</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）的适用范围</w:t>
      </w:r>
    </w:p>
    <w:p w14:paraId="1E39B922">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《广州市建设工程总承包合同》（SF-2022-0210）适用于广州市行政区域内房屋建筑与市政基础设施项目，并应符合以下条件：</w:t>
      </w:r>
    </w:p>
    <w:p w14:paraId="29804AF9">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（一）新建、扩建、改建、装修、修缮等建设工程项目；</w:t>
      </w:r>
    </w:p>
    <w:p w14:paraId="6E09E3CD">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（二）建设标准和建设内容明确、设计方案成熟、技术要求明确；</w:t>
      </w:r>
    </w:p>
    <w:p w14:paraId="1EBB78A3">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（三）采用工程总承包模式的政府投资项目或国有资金投资项目，原则上已完成初步设计审批及概算核定；如采用工程总承包模式的社会投资项目已取得核准或备案；或为采用工程总承包模式的装配式建筑。</w:t>
      </w:r>
    </w:p>
    <w:p w14:paraId="52E70446">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三、《广州市建设工程总承包合同》（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）的组成</w:t>
      </w:r>
    </w:p>
    <w:p w14:paraId="58C1C1C6">
      <w:pPr>
        <w:spacing w:line="500" w:lineRule="exact"/>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）由协议书、通用条款和专用条款三部分组成。</w:t>
      </w:r>
    </w:p>
    <w:p w14:paraId="1233E665">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四、其他重要事项</w:t>
      </w:r>
    </w:p>
    <w:p w14:paraId="3E830455">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1.发包人（项目业主）首要责任制</w:t>
      </w:r>
    </w:p>
    <w:p w14:paraId="639096F4">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项目业主）应履行基本建设程序，做好可行性研究报告编制等前期工作，完善核准或备案等行政审批手续，依法采用招标或直接发包方式确定承包人，重视多方案比选与限额设计，加强合同管理，监督绿色安全施工，防范投资风险，提高投资效益。</w:t>
      </w:r>
    </w:p>
    <w:p w14:paraId="3CA4EED0">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2.工程总承包（EPC）的定义</w:t>
      </w:r>
    </w:p>
    <w:p w14:paraId="0C3B23AA">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工程总承包（EPC）是指承包人按照与发包人签订的合同，对勘察、设计、采购、施工等建设工程全过程或多阶段实行总承包，并对工程的质量、安全、工期和造价等全面负责的工程建设组织实施方式。合同类型包括：设计、采购、施工合同；勘察、设计、施工合同；设计、施工合同；其他合同。</w:t>
      </w:r>
    </w:p>
    <w:p w14:paraId="7367ACF5">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3.新型建筑工业化</w:t>
      </w:r>
    </w:p>
    <w:p w14:paraId="74BA21F2">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住房和城乡建设部等部门关于加快新型建筑工业化发展的若干意见》（建标规〔2020〕8号）精神，范本将工程总承包管理模式与BIM技术应用、装配式建筑应用高度融合，在合同各章节融入了BIM技术应用、装配式建筑应用等方面的管理要求，制定了BIM技术应用、装配式建筑等方面的相关条款。发包人（项目业主）应遵照建标规〔2020〕8号文件的精神，“以工程全寿命期系统化集成设计、精益化生产施工为主要手段，整合工程全产业链、价值链和创新链，实现工程建设高效益、高质量、低消耗、低排放的建筑工业化”。关于设计、采购、施工方面的具体内容和要求，由合同当事人结合项目实际情况在专用条款中约定。</w:t>
      </w:r>
    </w:p>
    <w:p w14:paraId="22570BDA">
      <w:pPr>
        <w:spacing w:line="5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4.全过程咨询、第三方咨询人</w:t>
      </w:r>
    </w:p>
    <w:p w14:paraId="513D65C3">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为推行全过程咨询服务，保证工程质量、安全和工期，有效控制项目投资，范本分别制定了设计顾问人、监理人、造价咨询人等第三方咨询人参与EPC合同管理的相关条款。若发包人（项目业主）根据项目实际情况，委托1家符合要求的咨询单位或多家咨询单位组成的联合体负责全过程咨询服务，合同当事人应在专用条款中约定将设计顾问人、监理人和（或）造价咨询人等第三方咨询人参与EPC合同管理的权利、责任和义务由1家全过程咨询单位（包括联合体）承担，但通用条款的相关内容不做修改。</w:t>
      </w:r>
    </w:p>
    <w:p w14:paraId="429AB4CA">
      <w:pPr>
        <w:spacing w:line="500" w:lineRule="exact"/>
        <w:ind w:firstLine="480" w:firstLineChars="200"/>
        <w:rPr>
          <w:rFonts w:ascii="仿宋" w:hAnsi="仿宋" w:eastAsia="仿宋"/>
          <w:color w:val="auto"/>
          <w:highlight w:val="none"/>
          <w:lang w:eastAsia="zh-CN"/>
        </w:rPr>
      </w:pPr>
      <w:bookmarkStart w:id="5" w:name="_Toc3056"/>
      <w:r>
        <w:rPr>
          <w:rFonts w:hint="eastAsia" w:ascii="仿宋" w:hAnsi="仿宋" w:eastAsia="仿宋" w:cs="仿宋"/>
          <w:color w:val="auto"/>
          <w:highlight w:val="none"/>
          <w:lang w:eastAsia="zh-CN"/>
        </w:rPr>
        <w:t>5</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lang w:eastAsia="zh-CN"/>
        </w:rPr>
        <w:t>专用条款</w:t>
      </w:r>
      <w:bookmarkEnd w:id="5"/>
      <w:r>
        <w:rPr>
          <w:rFonts w:hint="eastAsia" w:ascii="仿宋" w:hAnsi="仿宋" w:eastAsia="仿宋" w:cs="仿宋"/>
          <w:color w:val="auto"/>
          <w:highlight w:val="none"/>
          <w:lang w:eastAsia="zh-CN"/>
        </w:rPr>
        <w:t>注意事项</w:t>
      </w:r>
    </w:p>
    <w:p w14:paraId="58799505">
      <w:pPr>
        <w:widowControl w:val="0"/>
        <w:spacing w:line="500" w:lineRule="exact"/>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专用条款是对通用条款原则性约定的细化、完善、补充或另行约定的条款。合同当事人可以根据不同建设工程的特点及发承包计价的具体情况，通过双方的谈判、协商对相应的专用条款进行明确。在使用专用条款时，应注意以下事项：</w:t>
      </w:r>
    </w:p>
    <w:p w14:paraId="60564D69">
      <w:pPr>
        <w:spacing w:line="500" w:lineRule="exact"/>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（1）专用条款的编号应与相应的通用条款的编号一致；</w:t>
      </w:r>
    </w:p>
    <w:p w14:paraId="5560780E">
      <w:pPr>
        <w:spacing w:line="500" w:lineRule="exact"/>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（2）合同当事人可以通过对专用条款的补充、完善，满足具体工程的特殊要求，不得直接修改通用条款；</w:t>
      </w:r>
    </w:p>
    <w:p w14:paraId="68C6F389">
      <w:pPr>
        <w:spacing w:line="500" w:lineRule="exact"/>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（3）在专用条款中有横道线的地方，合同当事人可针对相应的通用条款进行细化、完善、补充或另行约定；如无细化、完善、补充或另行约定，则填写“无”或划“</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p>
    <w:p w14:paraId="333AC4AB">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6.示范文本非强制性使用</w:t>
      </w:r>
    </w:p>
    <w:p w14:paraId="67226B31">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）为非强制性使用文本。</w:t>
      </w:r>
      <w:r>
        <w:rPr>
          <w:rFonts w:ascii="仿宋" w:hAnsi="仿宋" w:eastAsia="仿宋" w:cs="仿宋"/>
          <w:color w:val="auto"/>
          <w:highlight w:val="none"/>
          <w:lang w:eastAsia="zh-CN"/>
        </w:rPr>
        <w:t>发包人与承包人</w:t>
      </w:r>
      <w:r>
        <w:rPr>
          <w:rFonts w:hint="eastAsia" w:ascii="仿宋" w:hAnsi="仿宋" w:eastAsia="仿宋" w:cs="仿宋"/>
          <w:color w:val="auto"/>
          <w:highlight w:val="none"/>
          <w:lang w:eastAsia="zh-CN"/>
        </w:rPr>
        <w:t>应</w:t>
      </w:r>
      <w:r>
        <w:rPr>
          <w:rFonts w:ascii="仿宋" w:hAnsi="仿宋" w:eastAsia="仿宋" w:cs="仿宋"/>
          <w:color w:val="auto"/>
          <w:highlight w:val="none"/>
          <w:lang w:eastAsia="zh-CN"/>
        </w:rPr>
        <w:t>结合建设工程具体情况，参考本</w:t>
      </w:r>
      <w:r>
        <w:rPr>
          <w:rFonts w:hint="eastAsia" w:ascii="仿宋" w:hAnsi="仿宋" w:eastAsia="仿宋" w:cs="仿宋"/>
          <w:color w:val="auto"/>
          <w:highlight w:val="none"/>
          <w:lang w:eastAsia="zh-CN"/>
        </w:rPr>
        <w:t>示范文本订立合同，履行合同约定的合同权利义务，并承担相应的法律责任。</w:t>
      </w:r>
    </w:p>
    <w:p w14:paraId="36051F12">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7.带</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号的条文的要求</w:t>
      </w:r>
    </w:p>
    <w:p w14:paraId="575D0FA3">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通用条款中带</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号的条文，其内容是完整不可分割的，与法律、法规、规范有关联，原则上不应进行删减，只能在专用条款中根据实际情况选择或在不违反原条款实质的前提下完善或增加内容。其他内容合同当事人可结合建设工程具体情况，按照法律法规规定，根据《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）的内容，约定双方具体的权利义务。</w:t>
      </w:r>
    </w:p>
    <w:p w14:paraId="1F5EA86C">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8.“预付款”“进度款”“竣工结算”条款的要求</w:t>
      </w:r>
    </w:p>
    <w:p w14:paraId="22315A69">
      <w:pPr>
        <w:spacing w:line="500" w:lineRule="exact"/>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）专用条款中的“预付款”“进度款”“竣工结算”条款，在签订合同时优先选择本合同中已列的支付条件、支付方式，如选择“其它方式”或“另作约定”形式的，需以合同附件的形式予以说明原因。</w:t>
      </w:r>
    </w:p>
    <w:p w14:paraId="216DD69A">
      <w:pPr>
        <w:spacing w:beforeAutospacing="1" w:afterAutospacing="1"/>
        <w:rPr>
          <w:rFonts w:ascii="宋体"/>
          <w:color w:val="auto"/>
          <w:sz w:val="36"/>
          <w:szCs w:val="36"/>
          <w:highlight w:val="none"/>
          <w:lang w:eastAsia="zh-CN"/>
        </w:rPr>
      </w:pPr>
    </w:p>
    <w:p w14:paraId="5C14B1C4">
      <w:pPr>
        <w:rPr>
          <w:color w:val="auto"/>
          <w:highlight w:val="none"/>
          <w:lang w:eastAsia="zh-CN"/>
        </w:rPr>
        <w:sectPr>
          <w:endnotePr>
            <w:numFmt w:val="decimal"/>
          </w:endnotePr>
          <w:pgSz w:w="11906" w:h="16838"/>
          <w:pgMar w:top="1191" w:right="851" w:bottom="794" w:left="851" w:header="0" w:footer="850" w:gutter="0"/>
          <w:pgNumType w:fmt="upperRoman"/>
          <w:cols w:space="720" w:num="1"/>
          <w:titlePg/>
          <w:docGrid w:linePitch="286" w:charSpace="0"/>
        </w:sectPr>
      </w:pPr>
    </w:p>
    <w:p w14:paraId="124234CB">
      <w:pPr>
        <w:spacing w:line="360" w:lineRule="auto"/>
        <w:jc w:val="center"/>
        <w:outlineLvl w:val="0"/>
        <w:rPr>
          <w:rFonts w:ascii="宋体"/>
          <w:b/>
          <w:bCs/>
          <w:color w:val="auto"/>
          <w:sz w:val="36"/>
          <w:szCs w:val="36"/>
          <w:highlight w:val="none"/>
          <w:lang w:eastAsia="zh-CN"/>
        </w:rPr>
      </w:pPr>
      <w:bookmarkStart w:id="6" w:name="_Toc11975"/>
      <w:bookmarkStart w:id="7" w:name="_Toc3709"/>
      <w:bookmarkStart w:id="8" w:name="_Toc47694254"/>
      <w:bookmarkStart w:id="9" w:name="_Toc17182"/>
      <w:bookmarkStart w:id="10" w:name="_Toc7048"/>
      <w:bookmarkStart w:id="11" w:name="_Toc18643"/>
      <w:bookmarkStart w:id="12" w:name="_Toc6894"/>
      <w:bookmarkStart w:id="13" w:name="_Toc6209"/>
      <w:r>
        <w:rPr>
          <w:rFonts w:hint="eastAsia" w:ascii="宋体" w:hAnsi="宋体" w:cs="宋体"/>
          <w:b/>
          <w:bCs/>
          <w:color w:val="auto"/>
          <w:sz w:val="36"/>
          <w:szCs w:val="36"/>
          <w:highlight w:val="none"/>
          <w:lang w:eastAsia="zh-CN"/>
        </w:rPr>
        <w:t>第一部分</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协</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议</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书</w:t>
      </w:r>
      <w:bookmarkEnd w:id="6"/>
      <w:bookmarkEnd w:id="7"/>
      <w:bookmarkEnd w:id="8"/>
      <w:bookmarkEnd w:id="9"/>
      <w:bookmarkEnd w:id="10"/>
      <w:bookmarkEnd w:id="11"/>
      <w:bookmarkEnd w:id="12"/>
      <w:bookmarkEnd w:id="13"/>
    </w:p>
    <w:p w14:paraId="189DE8EE">
      <w:pPr>
        <w:spacing w:line="360" w:lineRule="auto"/>
        <w:jc w:val="center"/>
        <w:rPr>
          <w:rFonts w:ascii="宋体"/>
          <w:color w:val="auto"/>
          <w:sz w:val="36"/>
          <w:szCs w:val="36"/>
          <w:highlight w:val="none"/>
          <w:lang w:eastAsia="zh-CN"/>
        </w:rPr>
      </w:pPr>
    </w:p>
    <w:p w14:paraId="742D60EC">
      <w:pPr>
        <w:spacing w:line="360" w:lineRule="auto"/>
        <w:ind w:left="480" w:left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发包人（甲方）</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 xml:space="preserve">广州三元里片区改造投资有限公司  </w:t>
      </w:r>
    </w:p>
    <w:p w14:paraId="6691660C">
      <w:pPr>
        <w:spacing w:line="360" w:lineRule="auto"/>
        <w:ind w:firstLine="480" w:firstLineChars="200"/>
        <w:rPr>
          <w:rFonts w:hint="eastAsia" w:ascii="宋体" w:hAnsi="宋体"/>
          <w:color w:val="auto"/>
          <w:highlight w:val="none"/>
          <w:u w:val="single"/>
          <w:lang w:eastAsia="zh-CN"/>
        </w:rPr>
      </w:pPr>
      <w:r>
        <w:rPr>
          <w:rFonts w:hint="eastAsia" w:ascii="仿宋" w:hAnsi="仿宋" w:eastAsia="仿宋" w:cs="仿宋"/>
          <w:color w:val="auto"/>
          <w:highlight w:val="none"/>
          <w:lang w:eastAsia="zh-CN"/>
        </w:rPr>
        <w:t>承包人（乙方）</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 xml:space="preserve">  </w:t>
      </w:r>
    </w:p>
    <w:p w14:paraId="645B3F53">
      <w:pPr>
        <w:spacing w:line="360" w:lineRule="auto"/>
        <w:ind w:left="480" w:leftChars="200"/>
        <w:rPr>
          <w:rFonts w:ascii="仿宋" w:hAnsi="仿宋" w:eastAsia="仿宋"/>
          <w:color w:val="auto"/>
          <w:highlight w:val="none"/>
          <w:lang w:eastAsia="zh-CN"/>
        </w:rPr>
      </w:pPr>
    </w:p>
    <w:p w14:paraId="2F4562FF">
      <w:pPr>
        <w:spacing w:line="360" w:lineRule="auto"/>
        <w:ind w:left="480" w:leftChars="200" w:right="192" w:rightChars="8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依照《中华人民共和国民法典》《中华人民共和国建筑法》及其他有关法律法规，遵循平等、自愿、公平和诚实信用的原则，发包人和承包人就本工程项目采用工程总承包（EPC）实施的有关事项达成一致意见，订立本合同。</w:t>
      </w:r>
    </w:p>
    <w:p w14:paraId="334F849C">
      <w:pPr>
        <w:spacing w:line="360" w:lineRule="auto"/>
        <w:ind w:left="480" w:leftChars="200"/>
        <w:rPr>
          <w:rFonts w:hint="eastAsia" w:ascii="仿宋" w:hAnsi="仿宋" w:eastAsia="仿宋" w:cs="仿宋"/>
          <w:b/>
          <w:bCs/>
          <w:color w:val="auto"/>
          <w:highlight w:val="none"/>
          <w:lang w:eastAsia="zh-CN"/>
        </w:rPr>
      </w:pPr>
    </w:p>
    <w:p w14:paraId="5B899058">
      <w:pPr>
        <w:spacing w:line="360" w:lineRule="auto"/>
        <w:ind w:left="480" w:leftChars="200"/>
        <w:outlineLvl w:val="1"/>
        <w:rPr>
          <w:rFonts w:ascii="仿宋" w:hAnsi="仿宋" w:eastAsia="仿宋" w:cs="仿宋"/>
          <w:b/>
          <w:bCs/>
          <w:color w:val="auto"/>
          <w:highlight w:val="none"/>
          <w:lang w:eastAsia="zh-CN"/>
        </w:rPr>
      </w:pPr>
      <w:bookmarkStart w:id="14" w:name="_Toc10471"/>
      <w:bookmarkStart w:id="15" w:name="_Toc6653"/>
      <w:bookmarkStart w:id="16" w:name="_Toc9490"/>
      <w:bookmarkStart w:id="17" w:name="_Toc3434"/>
      <w:bookmarkStart w:id="18" w:name="_Toc47694255"/>
      <w:bookmarkStart w:id="19" w:name="_Toc23659"/>
      <w:bookmarkStart w:id="20" w:name="_Toc23502"/>
      <w:bookmarkStart w:id="21" w:name="_Toc3750"/>
      <w:bookmarkStart w:id="22" w:name="_Toc26526"/>
      <w:r>
        <w:rPr>
          <w:rFonts w:hint="eastAsia" w:ascii="仿宋" w:hAnsi="仿宋" w:eastAsia="仿宋" w:cs="仿宋"/>
          <w:b/>
          <w:bCs/>
          <w:color w:val="auto"/>
          <w:highlight w:val="none"/>
          <w:lang w:eastAsia="zh-CN"/>
        </w:rPr>
        <w:t>一、工程概况</w:t>
      </w:r>
      <w:bookmarkEnd w:id="14"/>
      <w:bookmarkEnd w:id="15"/>
      <w:bookmarkEnd w:id="16"/>
      <w:bookmarkEnd w:id="17"/>
      <w:bookmarkEnd w:id="18"/>
      <w:bookmarkEnd w:id="19"/>
      <w:bookmarkEnd w:id="20"/>
      <w:bookmarkEnd w:id="21"/>
      <w:bookmarkEnd w:id="22"/>
    </w:p>
    <w:p w14:paraId="1CE612B9">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立项批文编号或广东省企业基本建设投资项目备案证备案项目编号：</w:t>
      </w:r>
      <w:r>
        <w:rPr>
          <w:rFonts w:hint="eastAsia" w:ascii="仿宋" w:hAnsi="仿宋" w:eastAsia="仿宋" w:cs="仿宋"/>
          <w:color w:val="auto"/>
          <w:highlight w:val="none"/>
          <w:u w:val="single"/>
          <w:lang w:eastAsia="zh-CN"/>
        </w:rPr>
        <w:t>2508-440111-17-01-746828</w:t>
      </w:r>
    </w:p>
    <w:p w14:paraId="48C6EAAD">
      <w:pPr>
        <w:spacing w:line="360" w:lineRule="auto"/>
        <w:ind w:left="1680" w:leftChars="200" w:hanging="1200" w:hanging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项目名称：</w:t>
      </w:r>
      <w:r>
        <w:rPr>
          <w:rFonts w:hint="eastAsia" w:ascii="仿宋" w:hAnsi="仿宋" w:eastAsia="仿宋" w:cs="仿宋"/>
          <w:color w:val="auto"/>
          <w:highlight w:val="none"/>
          <w:lang w:val="en-US" w:eastAsia="zh-CN"/>
        </w:rPr>
        <w:t>广州市白云区三元里村城中村改造项目二期安置房(AB3814008)勘察设计施工总承包（EPC）</w:t>
      </w:r>
    </w:p>
    <w:p w14:paraId="10932079">
      <w:pPr>
        <w:spacing w:line="360" w:lineRule="auto"/>
        <w:ind w:left="1680" w:leftChars="200" w:hanging="1200" w:hangingChars="500"/>
        <w:rPr>
          <w:rFonts w:hint="eastAsia" w:ascii="仿宋" w:hAnsi="仿宋" w:eastAsia="仿宋" w:cs="仿宋"/>
          <w:color w:val="auto"/>
          <w:highlight w:val="none"/>
          <w:lang w:eastAsia="zh"/>
        </w:rPr>
      </w:pPr>
      <w:r>
        <w:rPr>
          <w:rFonts w:hint="eastAsia" w:ascii="仿宋" w:hAnsi="仿宋" w:eastAsia="仿宋" w:cs="仿宋"/>
          <w:color w:val="auto"/>
          <w:highlight w:val="none"/>
          <w:lang w:eastAsia="zh-CN"/>
        </w:rPr>
        <w:t>建设地点：</w:t>
      </w:r>
      <w:r>
        <w:rPr>
          <w:rFonts w:hint="eastAsia" w:ascii="仿宋" w:hAnsi="仿宋" w:eastAsia="仿宋" w:cs="仿宋"/>
          <w:color w:val="auto"/>
          <w:highlight w:val="none"/>
          <w:lang w:eastAsia="zh"/>
        </w:rPr>
        <w:t>项目为AB3814008地块，位于广州白云区三元里街道，南临三元里大道。</w:t>
      </w:r>
    </w:p>
    <w:p w14:paraId="2CE99CD8">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合同类型：□设计、采购、施工合同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勘察、设计、施工合同</w:t>
      </w:r>
    </w:p>
    <w:p w14:paraId="497A2C8C">
      <w:pPr>
        <w:spacing w:line="360" w:lineRule="auto"/>
        <w:ind w:left="480" w:leftChars="200" w:firstLine="1200" w:firstLineChars="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□设计、施工合同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□其他：</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4F61D3C3">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合同签订阶段：☑可行性研究批准立项或者备案后</w:t>
      </w:r>
    </w:p>
    <w:p w14:paraId="0D247F1A">
      <w:pPr>
        <w:spacing w:line="360" w:lineRule="auto"/>
        <w:ind w:left="480" w:leftChars="200" w:firstLine="1680" w:firstLineChars="7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□初步设计批准后</w:t>
      </w:r>
    </w:p>
    <w:p w14:paraId="498DA915">
      <w:pPr>
        <w:spacing w:line="360" w:lineRule="auto"/>
        <w:ind w:left="480" w:leftChars="200" w:firstLine="1680" w:firstLineChars="7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□其他阶段：</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4343CDAE">
      <w:pPr>
        <w:spacing w:line="360" w:lineRule="auto"/>
        <w:ind w:left="480" w:leftChars="200"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工程规模：</w:t>
      </w:r>
    </w:p>
    <w:p w14:paraId="1E8E5948">
      <w:pPr>
        <w:spacing w:line="360" w:lineRule="auto"/>
        <w:ind w:left="480" w:leftChars="200"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(一)安置房方面:本项目地块AB3814008，</w:t>
      </w:r>
      <w:r>
        <w:rPr>
          <w:rFonts w:hint="eastAsia" w:ascii="宋体" w:hAnsi="宋体" w:eastAsia="宋体" w:cs="宋体"/>
          <w:color w:val="auto"/>
          <w:spacing w:val="0"/>
          <w:kern w:val="0"/>
          <w:sz w:val="24"/>
          <w:szCs w:val="24"/>
          <w:highlight w:val="none"/>
          <w:lang w:val="en-US" w:eastAsia="zh-CN" w:bidi="ar"/>
        </w:rPr>
        <w:t>规划用地面积约35729㎡，净用地面积约28572㎡，总建筑面积257166.92㎡；计容建筑面积186003㎡（安置住宅167940.82㎡，公共服务设施、交通基础与市政服务设施建筑面积6902㎡、安置物业11160.18㎡、），不计容建筑面积71163.92㎡（地下室63563.92㎡），容积率为6.51；建筑密度36%，绿地率 25%；建筑高度120-135米。地下为三层，地上含4栋43层高层住宅，2栋38层高层住宅，4栋裙房</w:t>
      </w:r>
      <w:r>
        <w:rPr>
          <w:rFonts w:hint="eastAsia" w:ascii="仿宋" w:hAnsi="仿宋" w:eastAsia="仿宋" w:cs="仿宋"/>
          <w:color w:val="auto"/>
          <w:highlight w:val="none"/>
          <w:lang w:eastAsia="zh-CN"/>
        </w:rPr>
        <w:t>。</w:t>
      </w:r>
    </w:p>
    <w:p w14:paraId="083AB3BB">
      <w:pPr>
        <w:spacing w:line="360" w:lineRule="auto"/>
        <w:ind w:left="480" w:leftChars="200"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(二)</w:t>
      </w:r>
      <w:r>
        <w:rPr>
          <w:rFonts w:hint="eastAsia" w:ascii="仿宋" w:hAnsi="仿宋" w:eastAsia="仿宋" w:cs="仿宋"/>
          <w:color w:val="auto"/>
          <w:highlight w:val="none"/>
          <w:lang w:eastAsia="zh"/>
        </w:rPr>
        <w:t>配建</w:t>
      </w:r>
      <w:r>
        <w:rPr>
          <w:rFonts w:hint="eastAsia" w:ascii="仿宋" w:hAnsi="仿宋" w:eastAsia="仿宋" w:cs="仿宋"/>
          <w:color w:val="auto"/>
          <w:highlight w:val="none"/>
          <w:lang w:eastAsia="zh-CN"/>
        </w:rPr>
        <w:t>道路方面:</w:t>
      </w:r>
      <w:r>
        <w:rPr>
          <w:rFonts w:hint="eastAsia" w:ascii="宋体" w:hAnsi="宋体" w:eastAsia="宋体" w:cs="宋体"/>
          <w:color w:val="auto"/>
          <w:kern w:val="0"/>
          <w:sz w:val="24"/>
          <w:szCs w:val="24"/>
          <w:highlight w:val="none"/>
          <w:lang w:val="en-US" w:eastAsia="zh-CN" w:bidi="ar"/>
        </w:rPr>
        <w:t>纵二路南段，南起三元里大街，北至横二路，道路等级为城市支路，规划红线宽度20m，双向两车道，设计时速30km/h，总长约183.21m</w:t>
      </w:r>
      <w:r>
        <w:rPr>
          <w:rFonts w:hint="eastAsia" w:ascii="仿宋" w:hAnsi="仿宋" w:eastAsia="仿宋" w:cs="仿宋"/>
          <w:color w:val="auto"/>
          <w:highlight w:val="none"/>
          <w:lang w:eastAsia="zh-CN"/>
        </w:rPr>
        <w:t>。</w:t>
      </w:r>
    </w:p>
    <w:p w14:paraId="1FE6893C">
      <w:pPr>
        <w:spacing w:line="360" w:lineRule="auto"/>
        <w:ind w:left="480" w:leftChars="200"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（最终建设规模及指标以批复方案为准）。</w:t>
      </w:r>
    </w:p>
    <w:p w14:paraId="16A030E6">
      <w:pPr>
        <w:spacing w:line="360" w:lineRule="auto"/>
        <w:ind w:left="480" w:left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结构形式：</w:t>
      </w:r>
      <w:r>
        <w:rPr>
          <w:rFonts w:ascii="仿宋" w:hAnsi="仿宋" w:eastAsia="仿宋" w:cs="仿宋"/>
          <w:color w:val="auto"/>
          <w:highlight w:val="none"/>
          <w:u w:val="single"/>
          <w:lang w:eastAsia="zh-CN"/>
        </w:rPr>
        <w:t>钢筋混凝土框架</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剪力墙结构</w:t>
      </w:r>
    </w:p>
    <w:p w14:paraId="090FF729">
      <w:pPr>
        <w:spacing w:line="360" w:lineRule="auto"/>
        <w:ind w:left="480" w:leftChars="200"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□本项目不含装配式建筑</w:t>
      </w:r>
    </w:p>
    <w:p w14:paraId="54540557">
      <w:pPr>
        <w:spacing w:line="360" w:lineRule="auto"/>
        <w:ind w:firstLine="1680" w:firstLineChars="7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☑本项目含装配式建筑、模块化建筑、各装配式单体工程名称：</w:t>
      </w:r>
      <w:r>
        <w:rPr>
          <w:rFonts w:hint="eastAsia" w:eastAsia="仿宋" w:cs="仿宋"/>
          <w:color w:val="auto"/>
          <w:highlight w:val="none"/>
          <w:u w:val="single"/>
          <w:lang w:eastAsia="zh-CN"/>
        </w:rPr>
        <w:t xml:space="preserve">    </w:t>
      </w:r>
    </w:p>
    <w:p w14:paraId="1D9EED44">
      <w:p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各装配式单体工程装配率或评价等级：</w:t>
      </w:r>
      <w:r>
        <w:rPr>
          <w:rFonts w:hint="eastAsia" w:ascii="仿宋" w:hAnsi="仿宋" w:eastAsia="仿宋" w:cs="仿宋"/>
          <w:color w:val="auto"/>
          <w:highlight w:val="none"/>
          <w:u w:val="single"/>
          <w:lang w:val="en-US" w:eastAsia="zh-CN"/>
        </w:rPr>
        <w:t>满足《广州市城中村改造项目改造主体工作评估实施细则（试行）的通知》中装配式建筑应用情况“优秀”档次的标准</w:t>
      </w:r>
      <w:r>
        <w:rPr>
          <w:rFonts w:hint="eastAsia" w:ascii="仿宋" w:hAnsi="仿宋" w:eastAsia="仿宋" w:cs="仿宋"/>
          <w:color w:val="auto"/>
          <w:highlight w:val="none"/>
          <w:u w:val="single"/>
          <w:lang w:eastAsia="zh-CN"/>
        </w:rPr>
        <w:t xml:space="preserve">。  </w:t>
      </w:r>
    </w:p>
    <w:p w14:paraId="1AA09FE9">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BIM技术应用：□本项目不采用BIM技术应用</w:t>
      </w:r>
    </w:p>
    <w:p w14:paraId="5A5B1871">
      <w:pPr>
        <w:spacing w:line="360" w:lineRule="auto"/>
        <w:ind w:firstLine="2160" w:firstLineChars="9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☑本项目采用BIM技术应用：</w:t>
      </w:r>
    </w:p>
    <w:p w14:paraId="13F0A231">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rPr>
        <w:t>选用平台：</w:t>
      </w:r>
      <w:r>
        <w:rPr>
          <w:rFonts w:hint="eastAsia" w:ascii="仿宋" w:hAnsi="仿宋" w:eastAsia="仿宋" w:cs="仿宋"/>
          <w:color w:val="auto"/>
          <w:highlight w:val="none"/>
          <w:lang w:eastAsia="zh-CN"/>
        </w:rPr>
        <w:t>☑</w:t>
      </w:r>
      <w:r>
        <w:rPr>
          <w:rFonts w:hint="eastAsia" w:ascii="宋体" w:hAnsi="宋体"/>
          <w:color w:val="auto"/>
          <w:highlight w:val="none"/>
        </w:rPr>
        <w:t xml:space="preserve">Revit  </w:t>
      </w:r>
      <w:r>
        <w:rPr>
          <w:rFonts w:hint="eastAsia" w:ascii="宋体" w:hAnsi="宋体" w:cs="仿宋"/>
          <w:color w:val="auto"/>
          <w:highlight w:val="none"/>
          <w:lang w:eastAsia="zh-CN"/>
        </w:rPr>
        <w:t>☑</w:t>
      </w:r>
      <w:r>
        <w:rPr>
          <w:rFonts w:ascii="宋体" w:hAnsi="宋体"/>
          <w:color w:val="auto"/>
          <w:highlight w:val="none"/>
        </w:rPr>
        <w:t>Navisworks</w:t>
      </w:r>
      <w:r>
        <w:rPr>
          <w:rFonts w:hint="eastAsia" w:ascii="宋体" w:hAnsi="宋体"/>
          <w:color w:val="auto"/>
          <w:highlight w:val="none"/>
        </w:rPr>
        <w:t xml:space="preserve">  </w:t>
      </w:r>
      <w:r>
        <w:rPr>
          <w:rFonts w:hint="eastAsia" w:ascii="宋体" w:hAnsi="宋体" w:cs="仿宋"/>
          <w:color w:val="auto"/>
          <w:highlight w:val="none"/>
          <w:lang w:eastAsia="zh-CN"/>
        </w:rPr>
        <w:t>☑</w:t>
      </w:r>
      <w:r>
        <w:rPr>
          <w:rFonts w:ascii="宋体" w:hAnsi="宋体"/>
          <w:color w:val="auto"/>
          <w:highlight w:val="none"/>
        </w:rPr>
        <w:t>Bentley Navigator</w:t>
      </w:r>
      <w:r>
        <w:rPr>
          <w:rFonts w:hint="eastAsia" w:ascii="宋体" w:hAnsi="宋体"/>
          <w:color w:val="auto"/>
          <w:highlight w:val="none"/>
        </w:rPr>
        <w:t xml:space="preserve">  </w:t>
      </w:r>
      <w:r>
        <w:rPr>
          <w:rFonts w:hint="eastAsia" w:ascii="宋体" w:hAnsi="宋体" w:cs="仿宋"/>
          <w:color w:val="auto"/>
          <w:highlight w:val="none"/>
          <w:lang w:eastAsia="zh-CN"/>
        </w:rPr>
        <w:t>☑</w:t>
      </w:r>
      <w:r>
        <w:rPr>
          <w:rFonts w:ascii="宋体" w:hAnsi="宋体"/>
          <w:color w:val="auto"/>
          <w:highlight w:val="none"/>
        </w:rPr>
        <w:t>Tekla Structures</w:t>
      </w:r>
      <w:r>
        <w:rPr>
          <w:rFonts w:hint="eastAsia" w:ascii="宋体" w:hAnsi="宋体"/>
          <w:color w:val="auto"/>
          <w:highlight w:val="none"/>
        </w:rPr>
        <w:t xml:space="preserve">  </w:t>
      </w:r>
      <w:r>
        <w:rPr>
          <w:rFonts w:hint="eastAsia" w:ascii="宋体" w:hAnsi="宋体" w:cs="仿宋"/>
          <w:color w:val="auto"/>
          <w:highlight w:val="none"/>
          <w:lang w:eastAsia="zh-CN"/>
        </w:rPr>
        <w:t>☑</w:t>
      </w:r>
      <w:r>
        <w:rPr>
          <w:rFonts w:ascii="宋体" w:hAnsi="宋体"/>
          <w:color w:val="auto"/>
          <w:highlight w:val="none"/>
        </w:rPr>
        <w:t>ArchiCAD</w:t>
      </w:r>
      <w:r>
        <w:rPr>
          <w:rFonts w:hint="eastAsia" w:ascii="宋体" w:hAnsi="宋体"/>
          <w:color w:val="auto"/>
          <w:highlight w:val="none"/>
        </w:rPr>
        <w:t xml:space="preserve">  </w:t>
      </w:r>
      <w:r>
        <w:rPr>
          <w:rFonts w:hint="eastAsia" w:ascii="宋体" w:hAnsi="宋体" w:cs="仿宋"/>
          <w:color w:val="auto"/>
          <w:highlight w:val="none"/>
          <w:lang w:eastAsia="zh-CN"/>
        </w:rPr>
        <w:t>☑</w:t>
      </w:r>
      <w:r>
        <w:rPr>
          <w:rFonts w:hint="eastAsia" w:ascii="宋体" w:hAnsi="宋体"/>
          <w:color w:val="auto"/>
          <w:highlight w:val="none"/>
        </w:rPr>
        <w:t xml:space="preserve">OpenPlant  </w:t>
      </w:r>
      <w:r>
        <w:rPr>
          <w:rFonts w:hint="eastAsia" w:ascii="宋体" w:hAnsi="宋体" w:cs="仿宋"/>
          <w:color w:val="auto"/>
          <w:highlight w:val="none"/>
          <w:lang w:eastAsia="zh-CN"/>
        </w:rPr>
        <w:t>☑</w:t>
      </w:r>
      <w:r>
        <w:rPr>
          <w:rFonts w:hint="eastAsia" w:ascii="仿宋" w:hAnsi="仿宋" w:eastAsia="仿宋" w:cs="仿宋"/>
          <w:color w:val="auto"/>
          <w:highlight w:val="none"/>
        </w:rPr>
        <w:t xml:space="preserve">Rebro  </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其他：</w:t>
      </w:r>
      <w:r>
        <w:rPr>
          <w:rFonts w:hint="eastAsia" w:ascii="仿宋" w:hAnsi="仿宋" w:eastAsia="仿宋" w:cs="仿宋"/>
          <w:color w:val="auto"/>
          <w:highlight w:val="none"/>
          <w:lang w:eastAsia="zh-CN"/>
        </w:rPr>
        <w:t xml:space="preserve">  （注：具体以发包人要求为准。）</w:t>
      </w:r>
    </w:p>
    <w:p w14:paraId="43971C1E">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2、应用阶段：☑设计施工运营三阶段应用  □设计与施工联合应用  □施工与运维联合应用  □其他</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265455D6">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资金来源：财政资金、专项借款、专项债资金、企业自有资金等</w:t>
      </w:r>
    </w:p>
    <w:p w14:paraId="37DD5EF8">
      <w:pPr>
        <w:spacing w:line="360" w:lineRule="auto"/>
        <w:ind w:firstLine="48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其他：</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p>
    <w:p w14:paraId="2FC0A4AB">
      <w:pPr>
        <w:spacing w:line="360" w:lineRule="auto"/>
        <w:ind w:firstLine="480"/>
        <w:rPr>
          <w:rFonts w:ascii="仿宋" w:hAnsi="仿宋" w:eastAsia="仿宋"/>
          <w:color w:val="auto"/>
          <w:highlight w:val="none"/>
          <w:lang w:eastAsia="zh-CN"/>
        </w:rPr>
      </w:pPr>
    </w:p>
    <w:p w14:paraId="78FDD23A">
      <w:pPr>
        <w:spacing w:line="360" w:lineRule="auto"/>
        <w:outlineLvl w:val="1"/>
        <w:rPr>
          <w:rFonts w:ascii="仿宋" w:hAnsi="仿宋" w:eastAsia="仿宋" w:cs="仿宋"/>
          <w:b/>
          <w:bCs/>
          <w:color w:val="auto"/>
          <w:highlight w:val="none"/>
          <w:lang w:eastAsia="zh-CN"/>
        </w:rPr>
      </w:pPr>
      <w:bookmarkStart w:id="23" w:name="_Toc24513"/>
      <w:bookmarkStart w:id="24" w:name="_Toc29376"/>
      <w:bookmarkStart w:id="25" w:name="_Toc1869"/>
      <w:bookmarkStart w:id="26" w:name="_Toc7280"/>
      <w:bookmarkStart w:id="27" w:name="_Toc47694256"/>
      <w:bookmarkStart w:id="28" w:name="_Toc26516"/>
      <w:bookmarkStart w:id="29" w:name="_Toc5858"/>
      <w:bookmarkStart w:id="30" w:name="_Toc7979"/>
      <w:bookmarkStart w:id="31" w:name="_Toc10817"/>
      <w:r>
        <w:rPr>
          <w:rFonts w:hint="eastAsia" w:ascii="仿宋" w:hAnsi="仿宋" w:eastAsia="仿宋" w:cs="仿宋"/>
          <w:b/>
          <w:bCs/>
          <w:color w:val="auto"/>
          <w:highlight w:val="none"/>
          <w:lang w:eastAsia="zh-CN"/>
        </w:rPr>
        <w:t>二、总承包范围与工程内容</w:t>
      </w:r>
      <w:bookmarkEnd w:id="23"/>
      <w:bookmarkEnd w:id="24"/>
      <w:bookmarkEnd w:id="25"/>
      <w:bookmarkEnd w:id="26"/>
      <w:bookmarkEnd w:id="27"/>
      <w:bookmarkEnd w:id="28"/>
      <w:bookmarkEnd w:id="29"/>
      <w:bookmarkEnd w:id="30"/>
      <w:bookmarkEnd w:id="31"/>
    </w:p>
    <w:p w14:paraId="28CC8A6E">
      <w:pPr>
        <w:widowControl w:val="0"/>
        <w:spacing w:line="360" w:lineRule="auto"/>
        <w:ind w:firstLine="48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1.总承包范围</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包括但不限于以下：</w:t>
      </w:r>
    </w:p>
    <w:p w14:paraId="5BBC53B0">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勘察</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详见协议书第2.</w:t>
      </w:r>
      <w:r>
        <w:rPr>
          <w:rFonts w:ascii="仿宋" w:hAnsi="仿宋" w:eastAsia="仿宋" w:cs="仿宋"/>
          <w:color w:val="auto"/>
          <w:highlight w:val="none"/>
          <w:u w:val="single"/>
          <w:lang w:eastAsia="zh-CN"/>
        </w:rPr>
        <w:t>1</w:t>
      </w:r>
      <w:r>
        <w:rPr>
          <w:rFonts w:hint="eastAsia" w:ascii="仿宋" w:hAnsi="仿宋" w:eastAsia="仿宋" w:cs="仿宋"/>
          <w:color w:val="auto"/>
          <w:highlight w:val="none"/>
          <w:u w:val="single"/>
          <w:lang w:eastAsia="zh-CN"/>
        </w:rPr>
        <w:t>条</w:t>
      </w:r>
      <w:r>
        <w:rPr>
          <w:rFonts w:ascii="仿宋" w:hAnsi="仿宋" w:eastAsia="仿宋" w:cs="仿宋"/>
          <w:color w:val="auto"/>
          <w:highlight w:val="none"/>
          <w:u w:val="single"/>
          <w:lang w:eastAsia="zh-CN"/>
        </w:rPr>
        <w:t xml:space="preserve">                 </w:t>
      </w:r>
    </w:p>
    <w:p w14:paraId="40E9FD1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☑设计</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详见协议书第2.</w:t>
      </w:r>
      <w:r>
        <w:rPr>
          <w:rFonts w:ascii="仿宋" w:hAnsi="仿宋" w:eastAsia="仿宋" w:cs="仿宋"/>
          <w:color w:val="auto"/>
          <w:highlight w:val="none"/>
          <w:u w:val="single"/>
          <w:lang w:eastAsia="zh-CN"/>
        </w:rPr>
        <w:t>2</w:t>
      </w:r>
      <w:r>
        <w:rPr>
          <w:rFonts w:hint="eastAsia" w:ascii="仿宋" w:hAnsi="仿宋" w:eastAsia="仿宋" w:cs="仿宋"/>
          <w:color w:val="auto"/>
          <w:highlight w:val="none"/>
          <w:u w:val="single"/>
          <w:lang w:eastAsia="zh-CN"/>
        </w:rPr>
        <w:t>条，及附件六《勘察设计任务书》。</w:t>
      </w:r>
    </w:p>
    <w:p w14:paraId="09D6B04F">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□采购</w:t>
      </w:r>
      <w:r>
        <w:rPr>
          <w:rFonts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        </w:t>
      </w:r>
      <w:r>
        <w:rPr>
          <w:rFonts w:ascii="仿宋" w:hAnsi="仿宋" w:eastAsia="仿宋" w:cs="仿宋"/>
          <w:color w:val="auto"/>
          <w:highlight w:val="none"/>
          <w:u w:val="single"/>
          <w:lang w:eastAsia="zh-CN"/>
        </w:rPr>
        <w:t xml:space="preserve">                </w:t>
      </w:r>
    </w:p>
    <w:p w14:paraId="5D36D10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☑施工</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详见协议书第2.</w:t>
      </w:r>
      <w:r>
        <w:rPr>
          <w:rFonts w:ascii="仿宋" w:hAnsi="仿宋" w:eastAsia="仿宋" w:cs="仿宋"/>
          <w:color w:val="auto"/>
          <w:highlight w:val="none"/>
          <w:u w:val="single"/>
          <w:lang w:eastAsia="zh-CN"/>
        </w:rPr>
        <w:t>3</w:t>
      </w:r>
      <w:r>
        <w:rPr>
          <w:rFonts w:hint="eastAsia" w:ascii="仿宋" w:hAnsi="仿宋" w:eastAsia="仿宋" w:cs="仿宋"/>
          <w:color w:val="auto"/>
          <w:highlight w:val="none"/>
          <w:u w:val="single"/>
          <w:lang w:eastAsia="zh-CN"/>
        </w:rPr>
        <w:t>条。</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4FA3B958">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s="仿宋"/>
          <w:bCs/>
          <w:color w:val="auto"/>
          <w:highlight w:val="none"/>
          <w:lang w:eastAsia="zh-CN"/>
        </w:rPr>
        <w:t>BIM技术应用</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详见协议书第2.4条</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4334C9BB">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□其他</w:t>
      </w:r>
      <w:r>
        <w:rPr>
          <w:rFonts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77C64182">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2.工程内容</w:t>
      </w:r>
      <w:r>
        <w:rPr>
          <w:rFonts w:ascii="仿宋" w:hAnsi="仿宋" w:eastAsia="仿宋" w:cs="仿宋"/>
          <w:color w:val="auto"/>
          <w:highlight w:val="none"/>
          <w:lang w:eastAsia="zh-CN"/>
        </w:rPr>
        <w:t>:</w:t>
      </w:r>
    </w:p>
    <w:p w14:paraId="3C82C5E4">
      <w:pPr>
        <w:spacing w:line="360" w:lineRule="auto"/>
        <w:ind w:firstLine="482" w:firstLineChars="200"/>
        <w:rPr>
          <w:rFonts w:ascii="仿宋" w:hAnsi="仿宋" w:eastAsia="仿宋" w:cs="仿宋"/>
          <w:b/>
          <w:color w:val="auto"/>
          <w:highlight w:val="none"/>
          <w:lang w:eastAsia="zh-CN"/>
        </w:rPr>
      </w:pPr>
      <w:r>
        <w:rPr>
          <w:rFonts w:ascii="仿宋" w:hAnsi="仿宋" w:eastAsia="仿宋" w:cs="仿宋"/>
          <w:b/>
          <w:color w:val="auto"/>
          <w:highlight w:val="none"/>
          <w:lang w:eastAsia="zh-CN"/>
        </w:rPr>
        <w:t>2</w:t>
      </w:r>
      <w:r>
        <w:rPr>
          <w:rFonts w:hint="eastAsia" w:ascii="仿宋" w:hAnsi="仿宋" w:eastAsia="仿宋" w:cs="仿宋"/>
          <w:b/>
          <w:color w:val="auto"/>
          <w:highlight w:val="none"/>
          <w:lang w:eastAsia="zh-CN"/>
        </w:rPr>
        <w:t>.</w:t>
      </w:r>
      <w:r>
        <w:rPr>
          <w:rFonts w:ascii="仿宋" w:hAnsi="仿宋" w:eastAsia="仿宋" w:cs="仿宋"/>
          <w:b/>
          <w:color w:val="auto"/>
          <w:highlight w:val="none"/>
          <w:lang w:eastAsia="zh-CN"/>
        </w:rPr>
        <w:t>1</w:t>
      </w:r>
      <w:r>
        <w:rPr>
          <w:rFonts w:hint="eastAsia" w:ascii="仿宋" w:hAnsi="仿宋" w:eastAsia="仿宋" w:cs="仿宋"/>
          <w:b/>
          <w:color w:val="auto"/>
          <w:highlight w:val="none"/>
          <w:lang w:eastAsia="zh-CN"/>
        </w:rPr>
        <w:t>工程勘察</w:t>
      </w:r>
    </w:p>
    <w:p w14:paraId="4EB6016A">
      <w:pPr>
        <w:spacing w:line="360" w:lineRule="auto"/>
        <w:ind w:firstLine="480"/>
        <w:rPr>
          <w:rFonts w:hint="eastAsia" w:ascii="仿宋" w:hAnsi="仿宋" w:eastAsia="仿宋" w:cs="仿宋"/>
          <w:b/>
          <w:bCs/>
          <w:color w:val="auto"/>
          <w:sz w:val="24"/>
          <w:szCs w:val="24"/>
          <w:highlight w:val="none"/>
          <w:lang w:eastAsia="zh-CN" w:bidi="ar"/>
        </w:rPr>
      </w:pPr>
      <w:r>
        <w:rPr>
          <w:rFonts w:hint="eastAsia" w:ascii="仿宋" w:hAnsi="仿宋" w:eastAsia="仿宋" w:cs="仿宋"/>
          <w:b/>
          <w:bCs/>
          <w:color w:val="auto"/>
          <w:sz w:val="24"/>
          <w:szCs w:val="24"/>
          <w:highlight w:val="none"/>
          <w:lang w:eastAsia="zh-CN" w:bidi="ar"/>
        </w:rPr>
        <w:t>勘察工作范围包括：勘察范围为本项目工程范围内的工程勘察工作。工程勘察工作内容包括但不限于如下内容：☑岩土工程勘察（初勘、详勘）、☑超前钻、☑工程物探〔管线探测、工程桩管波探测</w:t>
      </w:r>
      <w:r>
        <w:rPr>
          <w:rFonts w:hint="eastAsia" w:ascii="仿宋" w:hAnsi="仿宋" w:eastAsia="仿宋" w:cs="仿宋"/>
          <w:b/>
          <w:bCs/>
          <w:color w:val="auto"/>
          <w:sz w:val="24"/>
          <w:szCs w:val="24"/>
          <w:highlight w:val="none"/>
          <w:lang w:eastAsia="zh" w:bidi="ar"/>
        </w:rPr>
        <w:t>、</w:t>
      </w:r>
      <w:r>
        <w:rPr>
          <w:rFonts w:hint="eastAsia" w:ascii="仿宋" w:hAnsi="仿宋" w:eastAsia="仿宋" w:cs="仿宋"/>
          <w:b/>
          <w:bCs/>
          <w:color w:val="auto"/>
          <w:sz w:val="24"/>
          <w:szCs w:val="24"/>
          <w:highlight w:val="none"/>
          <w:lang w:eastAsia="zh-CN" w:bidi="ar"/>
        </w:rPr>
        <w:t>微动探测〕、☑地形测绘及工程测量、☑剪切波速、☑抽水试验、☑土壤氡浓度检测及噪声测试，包括但不限于勘察大纲、岩土工程勘察、详细勘察等其他工作。规划放线测量、规划条件核实测量、测绘工作。</w:t>
      </w:r>
    </w:p>
    <w:p w14:paraId="5CDE5623">
      <w:pPr>
        <w:spacing w:line="360" w:lineRule="auto"/>
        <w:ind w:firstLine="480"/>
        <w:rPr>
          <w:rFonts w:hint="eastAsia" w:ascii="仿宋" w:hAnsi="仿宋" w:eastAsia="仿宋" w:cs="仿宋"/>
          <w:b/>
          <w:bCs/>
          <w:color w:val="auto"/>
          <w:sz w:val="24"/>
          <w:szCs w:val="24"/>
          <w:highlight w:val="none"/>
          <w:lang w:eastAsia="zh-CN" w:bidi="ar"/>
        </w:rPr>
      </w:pPr>
      <w:r>
        <w:rPr>
          <w:rFonts w:hint="eastAsia" w:ascii="仿宋" w:hAnsi="仿宋" w:eastAsia="仿宋" w:cs="仿宋"/>
          <w:color w:val="auto"/>
          <w:highlight w:val="none"/>
          <w:lang w:val="zh-CN"/>
        </w:rPr>
        <w:t>所有勘察工作，应按《岩土工程勘察规范》（GB50021—2001）（2009版）规定的有关技术要求执行。如勘察结果表明场地存在特殊问题，则在钻探过程中或施工前另行增补技术措施。</w:t>
      </w:r>
    </w:p>
    <w:p w14:paraId="7F8B3C4A">
      <w:pPr>
        <w:spacing w:line="360" w:lineRule="auto"/>
        <w:ind w:firstLine="480" w:firstLineChars="200"/>
        <w:rPr>
          <w:rFonts w:hint="eastAsia" w:ascii="仿宋" w:hAnsi="仿宋" w:eastAsia="仿宋" w:cs="仿宋"/>
          <w:color w:val="auto"/>
          <w:highlight w:val="none"/>
          <w:lang w:eastAsia="zh-CN"/>
        </w:rPr>
      </w:pPr>
      <w:r>
        <w:rPr>
          <w:rFonts w:hint="eastAsia"/>
          <w:color w:val="auto"/>
          <w:highlight w:val="none"/>
          <w:lang w:eastAsia="zh-CN"/>
        </w:rPr>
        <w:t>2.1.1</w:t>
      </w:r>
      <w:r>
        <w:rPr>
          <w:rFonts w:hint="eastAsia" w:ascii="仿宋" w:hAnsi="仿宋" w:eastAsia="仿宋" w:cs="仿宋"/>
          <w:color w:val="auto"/>
          <w:highlight w:val="none"/>
          <w:lang w:eastAsia="zh-CN"/>
        </w:rPr>
        <w:t>岩土工程勘察要求（</w:t>
      </w:r>
      <w:r>
        <w:rPr>
          <w:rFonts w:hint="eastAsia" w:ascii="仿宋" w:hAnsi="仿宋" w:eastAsia="仿宋" w:cs="仿宋"/>
          <w:color w:val="auto"/>
          <w:highlight w:val="none"/>
          <w:lang w:val="en-US" w:eastAsia="zh-CN"/>
        </w:rPr>
        <w:t>具体以勘察设计任务书为准</w:t>
      </w:r>
      <w:r>
        <w:rPr>
          <w:rFonts w:hint="eastAsia" w:ascii="仿宋" w:hAnsi="仿宋" w:eastAsia="仿宋" w:cs="仿宋"/>
          <w:color w:val="auto"/>
          <w:highlight w:val="none"/>
          <w:lang w:eastAsia="zh-CN"/>
        </w:rPr>
        <w:t>）</w:t>
      </w:r>
    </w:p>
    <w:p w14:paraId="215270CB">
      <w:pPr>
        <w:spacing w:line="360" w:lineRule="auto"/>
        <w:ind w:firstLine="480" w:firstLineChars="200"/>
        <w:rPr>
          <w:rFonts w:hint="eastAsia" w:ascii="仿宋" w:hAnsi="仿宋" w:eastAsia="仿宋" w:cs="仿宋"/>
          <w:color w:val="auto"/>
          <w:highlight w:val="none"/>
          <w:lang w:val="zh-CN" w:eastAsia="zh-CN" w:bidi="ar"/>
        </w:rPr>
      </w:pPr>
      <w:r>
        <w:rPr>
          <w:rFonts w:hint="eastAsia" w:ascii="仿宋" w:hAnsi="仿宋" w:eastAsia="仿宋" w:cs="仿宋"/>
          <w:color w:val="auto"/>
          <w:highlight w:val="none"/>
          <w:lang w:eastAsia="zh-CN" w:bidi="ar"/>
        </w:rPr>
        <w:t>2.1.1.</w:t>
      </w:r>
      <w:r>
        <w:rPr>
          <w:rFonts w:hint="eastAsia" w:ascii="仿宋" w:hAnsi="仿宋" w:eastAsia="仿宋" w:cs="仿宋"/>
          <w:color w:val="auto"/>
          <w:highlight w:val="none"/>
          <w:lang w:val="zh-CN" w:eastAsia="zh-CN" w:bidi="ar"/>
        </w:rPr>
        <w:t>1</w:t>
      </w:r>
      <w:r>
        <w:rPr>
          <w:rFonts w:hint="eastAsia" w:ascii="仿宋" w:hAnsi="仿宋" w:eastAsia="仿宋" w:cs="仿宋"/>
          <w:color w:val="auto"/>
          <w:highlight w:val="none"/>
          <w:lang w:val="en-US" w:eastAsia="zh-CN" w:bidi="ar"/>
        </w:rPr>
        <w:t xml:space="preserve"> </w:t>
      </w:r>
      <w:r>
        <w:rPr>
          <w:rFonts w:hint="eastAsia" w:ascii="仿宋" w:hAnsi="仿宋" w:eastAsia="仿宋" w:cs="仿宋"/>
          <w:color w:val="auto"/>
          <w:highlight w:val="none"/>
          <w:lang w:val="zh-CN" w:eastAsia="zh-CN" w:bidi="ar"/>
        </w:rPr>
        <w:t>初勘、详勘</w:t>
      </w:r>
    </w:p>
    <w:p w14:paraId="2B4E1558">
      <w:pPr>
        <w:spacing w:line="360" w:lineRule="auto"/>
        <w:ind w:firstLine="480" w:firstLineChars="200"/>
        <w:rPr>
          <w:rFonts w:hint="eastAsia" w:ascii="仿宋" w:hAnsi="仿宋" w:eastAsia="仿宋" w:cs="仿宋"/>
          <w:color w:val="auto"/>
          <w:highlight w:val="none"/>
          <w:lang w:val="zh-CN" w:eastAsia="zh-CN" w:bidi="ar"/>
        </w:rPr>
      </w:pPr>
      <w:r>
        <w:rPr>
          <w:rFonts w:hint="eastAsia" w:ascii="仿宋" w:hAnsi="仿宋" w:eastAsia="仿宋" w:cs="仿宋"/>
          <w:color w:val="auto"/>
          <w:highlight w:val="none"/>
          <w:lang w:val="zh-CN" w:eastAsia="zh-CN" w:bidi="ar"/>
        </w:rPr>
        <w:t>初步勘察结合详细勘察同步进行，如若布置钻孔时，道路及建筑设计方案已定，则有针对性地布置，主要依据地块范围、场地情况、道路设计方案、建筑方案、建筑轮廓、柱网及基坑等布孔，按现有情况估计本项目采用的基础形式，钻孔深度要求等；如若方案暂未确定则依据现有资料、规范规定孔距及附近地质资料等布孔，孔距可考虑10~20m（最终以勘察布孔图为准），布孔及终孔条件将在满足条件的基础上，尽量节约成本，最终钻孔平面布置图及勘察技术要求将提交业主、设计进行确认，钻进深度以满足设计要求为准。暂估工程约地块1（7000m），具体结算工程量以实际发生工程量为准。</w:t>
      </w:r>
    </w:p>
    <w:p w14:paraId="0C55CE8F">
      <w:pPr>
        <w:spacing w:line="360" w:lineRule="auto"/>
        <w:ind w:firstLine="480" w:firstLineChars="200"/>
        <w:rPr>
          <w:rFonts w:hint="eastAsia" w:ascii="仿宋" w:hAnsi="仿宋" w:eastAsia="仿宋" w:cs="仿宋"/>
          <w:color w:val="auto"/>
          <w:highlight w:val="none"/>
          <w:lang w:val="zh-CN" w:eastAsia="zh-CN" w:bidi="ar"/>
        </w:rPr>
      </w:pPr>
      <w:r>
        <w:rPr>
          <w:rFonts w:hint="eastAsia" w:ascii="仿宋" w:hAnsi="仿宋" w:eastAsia="仿宋" w:cs="仿宋"/>
          <w:color w:val="auto"/>
          <w:highlight w:val="none"/>
          <w:lang w:val="zh-CN" w:eastAsia="zh-CN" w:bidi="ar"/>
        </w:rPr>
        <w:t>主要要求如下：</w:t>
      </w:r>
    </w:p>
    <w:p w14:paraId="2302B51F">
      <w:pPr>
        <w:spacing w:line="360" w:lineRule="auto"/>
        <w:ind w:firstLine="480" w:firstLineChars="200"/>
        <w:rPr>
          <w:rFonts w:hint="eastAsia" w:ascii="仿宋" w:hAnsi="仿宋" w:eastAsia="仿宋" w:cs="仿宋"/>
          <w:color w:val="auto"/>
          <w:highlight w:val="none"/>
          <w:lang w:val="zh-CN" w:eastAsia="zh-CN" w:bidi="ar"/>
        </w:rPr>
      </w:pPr>
      <w:r>
        <w:rPr>
          <w:rFonts w:hint="eastAsia" w:ascii="仿宋" w:hAnsi="仿宋" w:eastAsia="仿宋" w:cs="仿宋"/>
          <w:color w:val="auto"/>
          <w:highlight w:val="none"/>
          <w:lang w:val="zh-CN" w:eastAsia="zh-CN" w:bidi="ar"/>
        </w:rPr>
        <w:t>（1）查明建筑范围内岩土的类型、深度、分布、工程特性和变化规律，分析和评价地基的稳定性、均匀性和承载力。岩石地基除提出各岩层的承载力特征值，尚需提出不同岩层的饱和或天然单轴抗压强度标准值；</w:t>
      </w:r>
    </w:p>
    <w:p w14:paraId="4AD168B2">
      <w:pPr>
        <w:spacing w:line="360" w:lineRule="auto"/>
        <w:ind w:firstLine="480" w:firstLineChars="200"/>
        <w:rPr>
          <w:rFonts w:hint="eastAsia" w:ascii="仿宋" w:hAnsi="仿宋" w:eastAsia="仿宋" w:cs="仿宋"/>
          <w:color w:val="auto"/>
          <w:highlight w:val="none"/>
          <w:lang w:val="zh-CN" w:eastAsia="zh-CN" w:bidi="ar"/>
        </w:rPr>
      </w:pPr>
      <w:r>
        <w:rPr>
          <w:rFonts w:hint="eastAsia" w:ascii="仿宋" w:hAnsi="仿宋" w:eastAsia="仿宋" w:cs="仿宋"/>
          <w:color w:val="auto"/>
          <w:highlight w:val="none"/>
          <w:lang w:val="zh-CN" w:eastAsia="zh-CN" w:bidi="ar"/>
        </w:rPr>
        <w:t>（2）划分场地土类型和场地类别，分析预测地震效应，判定饱和砂土或饱和粉土的地震液化，并应确定液化指数和液化等级。</w:t>
      </w:r>
    </w:p>
    <w:p w14:paraId="7F2DBB5B">
      <w:pPr>
        <w:spacing w:line="360" w:lineRule="auto"/>
        <w:ind w:firstLine="480" w:firstLineChars="200"/>
        <w:rPr>
          <w:rFonts w:hint="eastAsia" w:ascii="仿宋" w:hAnsi="仿宋" w:eastAsia="仿宋" w:cs="仿宋"/>
          <w:color w:val="auto"/>
          <w:highlight w:val="none"/>
          <w:lang w:val="zh-CN" w:eastAsia="zh-CN" w:bidi="ar"/>
        </w:rPr>
      </w:pPr>
      <w:r>
        <w:rPr>
          <w:rFonts w:hint="eastAsia" w:ascii="仿宋" w:hAnsi="仿宋" w:eastAsia="仿宋" w:cs="仿宋"/>
          <w:color w:val="auto"/>
          <w:highlight w:val="none"/>
          <w:lang w:val="zh-CN" w:eastAsia="zh-CN" w:bidi="ar"/>
        </w:rPr>
        <w:t>（3）查明不良地质（如溶洞）作用的类型、成因、分布范围、发展趋势，可液化土层和特殊性岩土的分布及其对桩基的危害程度，并提出防治措施的建议；勘探过程中如发现特殊的地质现象，如软弱土层、暗沟或溶洞等，应及时知会设计单位，并商讨勘探点的增减。</w:t>
      </w:r>
    </w:p>
    <w:p w14:paraId="565BBA90">
      <w:pPr>
        <w:spacing w:line="360" w:lineRule="auto"/>
        <w:ind w:firstLine="480" w:firstLineChars="200"/>
        <w:rPr>
          <w:rFonts w:hint="eastAsia" w:ascii="仿宋" w:hAnsi="仿宋" w:eastAsia="仿宋" w:cs="仿宋"/>
          <w:color w:val="auto"/>
          <w:highlight w:val="none"/>
          <w:lang w:val="zh-CN" w:eastAsia="zh-CN" w:bidi="ar"/>
        </w:rPr>
      </w:pPr>
      <w:r>
        <w:rPr>
          <w:rFonts w:hint="eastAsia" w:ascii="仿宋" w:hAnsi="仿宋" w:eastAsia="仿宋" w:cs="仿宋"/>
          <w:color w:val="auto"/>
          <w:highlight w:val="none"/>
          <w:lang w:val="zh-CN" w:eastAsia="zh-CN" w:bidi="ar"/>
        </w:rPr>
        <w:t>（4）查明埋藏的河道、沟滨、墓穴、防空洞、孤石等对基础不利的埋藏物；</w:t>
      </w:r>
    </w:p>
    <w:p w14:paraId="15A4797C">
      <w:pPr>
        <w:spacing w:line="360" w:lineRule="auto"/>
        <w:ind w:firstLine="480" w:firstLineChars="200"/>
        <w:rPr>
          <w:rFonts w:hint="eastAsia" w:ascii="仿宋" w:hAnsi="仿宋" w:eastAsia="仿宋" w:cs="仿宋"/>
          <w:color w:val="auto"/>
          <w:highlight w:val="none"/>
          <w:lang w:val="zh-CN" w:eastAsia="zh-CN" w:bidi="ar"/>
        </w:rPr>
      </w:pPr>
      <w:r>
        <w:rPr>
          <w:rFonts w:hint="eastAsia" w:ascii="仿宋" w:hAnsi="仿宋" w:eastAsia="仿宋" w:cs="仿宋"/>
          <w:color w:val="auto"/>
          <w:highlight w:val="none"/>
          <w:lang w:val="zh-CN" w:eastAsia="zh-CN" w:bidi="ar"/>
        </w:rPr>
        <w:t>（5）查明地下水的性质、补给条件、各土层的渗透性及水流量，提供降水设计所需的计算参数和方案提议。提供地下水位及其变化幅度，明确抗浮设计设防水位。评价地下水对桩基设计和施工的影响，判定环境水和土对混凝土的金属材料的腐蚀性。</w:t>
      </w:r>
    </w:p>
    <w:p w14:paraId="6D1CFA00">
      <w:pPr>
        <w:spacing w:line="360" w:lineRule="auto"/>
        <w:ind w:firstLine="480" w:firstLineChars="200"/>
        <w:rPr>
          <w:rFonts w:hint="eastAsia" w:ascii="仿宋" w:hAnsi="仿宋" w:eastAsia="仿宋" w:cs="仿宋"/>
          <w:color w:val="auto"/>
          <w:highlight w:val="none"/>
          <w:lang w:val="zh-CN" w:eastAsia="zh-CN" w:bidi="ar"/>
        </w:rPr>
      </w:pPr>
      <w:r>
        <w:rPr>
          <w:rFonts w:hint="eastAsia" w:ascii="仿宋" w:hAnsi="仿宋" w:eastAsia="仿宋" w:cs="仿宋"/>
          <w:color w:val="auto"/>
          <w:highlight w:val="none"/>
          <w:lang w:val="zh-CN" w:eastAsia="zh-CN" w:bidi="ar"/>
        </w:rPr>
        <w:t>（6）查明建筑范围内岩土层的类型、深度、分布、工程特性和变化规律，分析和评价地基的稳定性、均匀性和承载力。</w:t>
      </w:r>
    </w:p>
    <w:p w14:paraId="22325D62">
      <w:pPr>
        <w:spacing w:line="360" w:lineRule="auto"/>
        <w:ind w:firstLine="480" w:firstLineChars="200"/>
        <w:rPr>
          <w:rFonts w:hint="eastAsia" w:ascii="仿宋" w:hAnsi="仿宋" w:eastAsia="仿宋" w:cs="仿宋"/>
          <w:color w:val="auto"/>
          <w:highlight w:val="none"/>
          <w:lang w:val="zh-CN" w:eastAsia="zh-CN" w:bidi="ar"/>
        </w:rPr>
      </w:pPr>
      <w:r>
        <w:rPr>
          <w:rFonts w:hint="eastAsia" w:ascii="仿宋" w:hAnsi="仿宋" w:eastAsia="仿宋" w:cs="仿宋"/>
          <w:color w:val="auto"/>
          <w:highlight w:val="none"/>
          <w:lang w:val="zh-CN" w:eastAsia="zh-CN" w:bidi="ar"/>
        </w:rPr>
        <w:t>（7）土壤中氡浓度检测及噪声检测</w:t>
      </w:r>
    </w:p>
    <w:p w14:paraId="7BA4AF9B">
      <w:pPr>
        <w:spacing w:line="360" w:lineRule="auto"/>
        <w:ind w:firstLine="480" w:firstLineChars="200"/>
        <w:rPr>
          <w:rFonts w:hint="eastAsia" w:ascii="仿宋" w:hAnsi="仿宋" w:eastAsia="仿宋" w:cs="仿宋"/>
          <w:color w:val="auto"/>
          <w:highlight w:val="none"/>
          <w:lang w:val="zh-CN" w:eastAsia="zh-CN" w:bidi="ar"/>
        </w:rPr>
      </w:pPr>
      <w:r>
        <w:rPr>
          <w:rFonts w:hint="eastAsia" w:ascii="仿宋" w:hAnsi="仿宋" w:eastAsia="仿宋" w:cs="仿宋"/>
          <w:color w:val="auto"/>
          <w:highlight w:val="none"/>
          <w:lang w:val="zh-CN" w:eastAsia="zh-CN" w:bidi="ar"/>
        </w:rPr>
        <w:t>（8）当有软弱下卧层时，需勘察提供参数，供设计验算软弱下卧层强度</w:t>
      </w:r>
    </w:p>
    <w:p w14:paraId="44172F1A">
      <w:pPr>
        <w:spacing w:line="360" w:lineRule="auto"/>
        <w:ind w:firstLine="480" w:firstLineChars="200"/>
        <w:rPr>
          <w:rFonts w:hint="eastAsia" w:ascii="仿宋" w:hAnsi="仿宋" w:eastAsia="仿宋" w:cs="仿宋"/>
          <w:color w:val="auto"/>
          <w:highlight w:val="none"/>
          <w:lang w:val="zh-CN" w:eastAsia="zh-CN" w:bidi="ar"/>
        </w:rPr>
      </w:pPr>
      <w:r>
        <w:rPr>
          <w:rFonts w:hint="eastAsia" w:ascii="仿宋" w:hAnsi="仿宋" w:eastAsia="仿宋" w:cs="仿宋"/>
          <w:color w:val="auto"/>
          <w:highlight w:val="none"/>
          <w:lang w:val="zh-CN" w:eastAsia="zh-CN" w:bidi="ar"/>
        </w:rPr>
        <w:t>（9）持力层为倾斜地层，基岩面凹凸不平或岩土中有溶洞时，应评价基础的稳定性，并提出处理措施的建议。</w:t>
      </w:r>
    </w:p>
    <w:p w14:paraId="0647C074">
      <w:pPr>
        <w:spacing w:line="360" w:lineRule="auto"/>
        <w:ind w:firstLine="480" w:firstLineChars="200"/>
        <w:rPr>
          <w:rFonts w:hint="eastAsia" w:ascii="仿宋" w:hAnsi="仿宋" w:eastAsia="仿宋" w:cs="仿宋"/>
          <w:color w:val="auto"/>
          <w:highlight w:val="none"/>
          <w:lang w:val="zh-CN" w:eastAsia="zh-CN" w:bidi="ar"/>
        </w:rPr>
      </w:pPr>
      <w:r>
        <w:rPr>
          <w:rFonts w:hint="eastAsia" w:ascii="仿宋" w:hAnsi="仿宋" w:eastAsia="仿宋" w:cs="仿宋"/>
          <w:color w:val="auto"/>
          <w:highlight w:val="none"/>
          <w:lang w:val="zh-CN" w:eastAsia="zh-CN" w:bidi="ar"/>
        </w:rPr>
        <w:t>（10）对可能采用的基础形式提出建议：</w:t>
      </w:r>
    </w:p>
    <w:p w14:paraId="3543BD39">
      <w:pPr>
        <w:spacing w:line="360" w:lineRule="auto"/>
        <w:ind w:firstLine="480" w:firstLineChars="200"/>
        <w:rPr>
          <w:rFonts w:hint="eastAsia" w:ascii="仿宋" w:hAnsi="仿宋" w:eastAsia="仿宋" w:cs="仿宋"/>
          <w:color w:val="auto"/>
          <w:highlight w:val="none"/>
          <w:lang w:val="zh-CN" w:eastAsia="zh-CN" w:bidi="ar"/>
        </w:rPr>
      </w:pPr>
      <w:r>
        <w:rPr>
          <w:rFonts w:hint="eastAsia" w:ascii="仿宋" w:hAnsi="仿宋" w:eastAsia="仿宋" w:cs="仿宋"/>
          <w:color w:val="auto"/>
          <w:highlight w:val="none"/>
          <w:lang w:val="zh-CN" w:eastAsia="zh-CN" w:bidi="ar"/>
        </w:rPr>
        <w:t>评价成桩可能性，论证桩的施工条件及其对环境的影响。提供桩基设计所需的岩土技术参数，提出桩的类型、长度、和施工方法等建议。</w:t>
      </w:r>
    </w:p>
    <w:p w14:paraId="5E8CA615">
      <w:pPr>
        <w:spacing w:line="360" w:lineRule="auto"/>
        <w:ind w:firstLine="480" w:firstLineChars="200"/>
        <w:rPr>
          <w:rFonts w:hint="eastAsia" w:ascii="仿宋" w:hAnsi="仿宋" w:eastAsia="仿宋" w:cs="仿宋"/>
          <w:color w:val="auto"/>
          <w:highlight w:val="none"/>
          <w:lang w:val="zh-CN" w:eastAsia="zh-CN" w:bidi="ar"/>
        </w:rPr>
      </w:pPr>
      <w:r>
        <w:rPr>
          <w:rFonts w:hint="eastAsia" w:ascii="仿宋" w:hAnsi="仿宋" w:eastAsia="仿宋" w:cs="仿宋"/>
          <w:color w:val="auto"/>
          <w:highlight w:val="none"/>
          <w:lang w:val="zh-CN" w:eastAsia="zh-CN" w:bidi="ar"/>
        </w:rPr>
        <w:t>提出估算的有关岩土的基桩侧阻力和端阻力，。</w:t>
      </w:r>
    </w:p>
    <w:p w14:paraId="48A4BA03">
      <w:pPr>
        <w:spacing w:line="360" w:lineRule="auto"/>
        <w:ind w:firstLine="480" w:firstLineChars="200"/>
        <w:rPr>
          <w:rFonts w:hint="eastAsia" w:ascii="仿宋" w:hAnsi="仿宋" w:eastAsia="仿宋" w:cs="仿宋"/>
          <w:color w:val="auto"/>
          <w:highlight w:val="none"/>
          <w:lang w:val="zh-CN" w:eastAsia="zh-CN" w:bidi="ar"/>
        </w:rPr>
      </w:pPr>
      <w:r>
        <w:rPr>
          <w:rFonts w:hint="eastAsia" w:ascii="仿宋" w:hAnsi="仿宋" w:eastAsia="仿宋" w:cs="仿宋"/>
          <w:color w:val="auto"/>
          <w:highlight w:val="none"/>
          <w:lang w:val="zh-CN" w:eastAsia="zh-CN" w:bidi="ar"/>
        </w:rPr>
        <w:t>应提供计算所需的各层岩土的变形参数，并预测建筑物的变形特征。</w:t>
      </w:r>
    </w:p>
    <w:p w14:paraId="7F9D3CD4">
      <w:pPr>
        <w:spacing w:line="360" w:lineRule="auto"/>
        <w:ind w:firstLine="480" w:firstLineChars="200"/>
        <w:rPr>
          <w:rFonts w:hint="eastAsia" w:ascii="仿宋" w:hAnsi="仿宋" w:eastAsia="仿宋" w:cs="仿宋"/>
          <w:color w:val="auto"/>
          <w:highlight w:val="none"/>
          <w:lang w:val="zh-CN" w:eastAsia="zh-CN" w:bidi="ar"/>
        </w:rPr>
      </w:pPr>
      <w:r>
        <w:rPr>
          <w:rFonts w:hint="eastAsia" w:ascii="仿宋" w:hAnsi="仿宋" w:eastAsia="仿宋" w:cs="仿宋"/>
          <w:color w:val="auto"/>
          <w:highlight w:val="none"/>
          <w:lang w:val="zh-CN" w:eastAsia="zh-CN" w:bidi="ar"/>
        </w:rPr>
        <w:t>查明不良地质作用，可液化土层和特殊性岩土以及溶洞的分布及对桩基的危害程度，并提出防治措施的建议。</w:t>
      </w:r>
    </w:p>
    <w:p w14:paraId="7D450E1D">
      <w:pPr>
        <w:spacing w:line="360" w:lineRule="auto"/>
        <w:ind w:firstLine="480" w:firstLineChars="200"/>
        <w:rPr>
          <w:rFonts w:hint="eastAsia" w:ascii="仿宋" w:hAnsi="仿宋" w:eastAsia="仿宋" w:cs="仿宋"/>
          <w:color w:val="auto"/>
          <w:highlight w:val="none"/>
          <w:lang w:val="zh-CN" w:eastAsia="zh-CN" w:bidi="ar"/>
        </w:rPr>
      </w:pPr>
      <w:r>
        <w:rPr>
          <w:rFonts w:hint="eastAsia" w:ascii="仿宋" w:hAnsi="仿宋" w:eastAsia="仿宋" w:cs="仿宋"/>
          <w:color w:val="auto"/>
          <w:highlight w:val="none"/>
          <w:lang w:val="zh-CN" w:eastAsia="zh-CN" w:bidi="ar"/>
        </w:rPr>
        <w:t>当桩基持力层为基岩时，应查明基岩的岩性、构造、岩面变化、风化程度，确定基坚硬程度、完整程度和基本质量等级，判定有无洞穴、临空面、破碎岩体或软弱岩层。</w:t>
      </w:r>
    </w:p>
    <w:p w14:paraId="5DBF165E">
      <w:pPr>
        <w:spacing w:line="360" w:lineRule="auto"/>
        <w:ind w:firstLine="480" w:firstLineChars="200"/>
        <w:rPr>
          <w:rFonts w:hint="eastAsia" w:ascii="仿宋" w:hAnsi="仿宋" w:eastAsia="仿宋" w:cs="仿宋"/>
          <w:color w:val="auto"/>
          <w:highlight w:val="none"/>
          <w:lang w:val="zh-CN" w:eastAsia="zh-CN" w:bidi="ar"/>
        </w:rPr>
      </w:pPr>
      <w:r>
        <w:rPr>
          <w:rFonts w:hint="eastAsia" w:ascii="仿宋" w:hAnsi="仿宋" w:eastAsia="仿宋" w:cs="仿宋"/>
          <w:color w:val="auto"/>
          <w:highlight w:val="none"/>
          <w:lang w:val="zh-CN" w:eastAsia="zh-CN" w:bidi="ar"/>
        </w:rPr>
        <w:t>桩基岩土工程勘察宜采用钻探和触探以及基他原位测试相结合的方式进行，对软土宜采用静力触探试验，对粘性土、粉土和砂土宜采用标准贯入试验，对碎石土宜采用重型或超重型圆锥动力触探。</w:t>
      </w:r>
    </w:p>
    <w:p w14:paraId="3FC9D4B4">
      <w:pPr>
        <w:spacing w:line="360" w:lineRule="auto"/>
        <w:ind w:firstLine="480" w:firstLineChars="200"/>
        <w:rPr>
          <w:rFonts w:hint="eastAsia" w:ascii="仿宋" w:hAnsi="仿宋" w:eastAsia="仿宋" w:cs="仿宋"/>
          <w:color w:val="auto"/>
          <w:highlight w:val="none"/>
          <w:lang w:val="zh-CN" w:eastAsia="zh-CN" w:bidi="ar"/>
        </w:rPr>
      </w:pPr>
      <w:r>
        <w:rPr>
          <w:rFonts w:hint="eastAsia" w:ascii="仿宋" w:hAnsi="仿宋" w:eastAsia="仿宋" w:cs="仿宋"/>
          <w:color w:val="auto"/>
          <w:highlight w:val="none"/>
          <w:lang w:val="zh-CN" w:eastAsia="zh-CN" w:bidi="ar"/>
        </w:rPr>
        <w:t>（11） 基坑工程勘察部分应对应一下内容进行分析，并提供有关技术参数和建议：</w:t>
      </w:r>
    </w:p>
    <w:p w14:paraId="70FD5BB1">
      <w:pPr>
        <w:spacing w:line="360" w:lineRule="auto"/>
        <w:ind w:firstLine="480" w:firstLineChars="200"/>
        <w:rPr>
          <w:rFonts w:hint="eastAsia" w:ascii="仿宋" w:hAnsi="仿宋" w:eastAsia="仿宋" w:cs="仿宋"/>
          <w:color w:val="auto"/>
          <w:highlight w:val="none"/>
          <w:lang w:val="zh-CN" w:eastAsia="zh-CN" w:bidi="ar"/>
        </w:rPr>
      </w:pPr>
      <w:r>
        <w:rPr>
          <w:rFonts w:hint="eastAsia" w:ascii="仿宋" w:hAnsi="仿宋" w:eastAsia="仿宋" w:cs="仿宋"/>
          <w:color w:val="auto"/>
          <w:highlight w:val="none"/>
          <w:lang w:val="zh-CN" w:eastAsia="zh-CN" w:bidi="ar"/>
        </w:rPr>
        <w:t>边坡的局部稳定性、整体稳定性和坑底抗隆起稳定性；</w:t>
      </w:r>
    </w:p>
    <w:p w14:paraId="7EBC731F">
      <w:pPr>
        <w:spacing w:line="360" w:lineRule="auto"/>
        <w:ind w:firstLine="480" w:firstLineChars="200"/>
        <w:rPr>
          <w:rFonts w:hint="eastAsia" w:ascii="仿宋" w:hAnsi="仿宋" w:eastAsia="仿宋" w:cs="仿宋"/>
          <w:color w:val="auto"/>
          <w:highlight w:val="none"/>
          <w:lang w:val="zh-CN" w:eastAsia="zh-CN" w:bidi="ar"/>
        </w:rPr>
      </w:pPr>
      <w:r>
        <w:rPr>
          <w:rFonts w:hint="eastAsia" w:ascii="仿宋" w:hAnsi="仿宋" w:eastAsia="仿宋" w:cs="仿宋"/>
          <w:color w:val="auto"/>
          <w:highlight w:val="none"/>
          <w:lang w:val="zh-CN" w:eastAsia="zh-CN" w:bidi="ar"/>
        </w:rPr>
        <w:t>坑底和侧壁的渗透稳定性；</w:t>
      </w:r>
    </w:p>
    <w:p w14:paraId="4298475E">
      <w:pPr>
        <w:spacing w:line="360" w:lineRule="auto"/>
        <w:ind w:firstLine="480" w:firstLineChars="200"/>
        <w:rPr>
          <w:rFonts w:hint="eastAsia" w:ascii="仿宋" w:hAnsi="仿宋" w:eastAsia="仿宋" w:cs="仿宋"/>
          <w:color w:val="auto"/>
          <w:highlight w:val="none"/>
          <w:lang w:val="zh-CN" w:eastAsia="zh-CN" w:bidi="ar"/>
        </w:rPr>
      </w:pPr>
      <w:r>
        <w:rPr>
          <w:rFonts w:hint="eastAsia" w:ascii="仿宋" w:hAnsi="仿宋" w:eastAsia="仿宋" w:cs="仿宋"/>
          <w:color w:val="auto"/>
          <w:highlight w:val="none"/>
          <w:lang w:val="zh-CN" w:eastAsia="zh-CN" w:bidi="ar"/>
        </w:rPr>
        <w:t>挡土结构和边坡可能发生的变形；</w:t>
      </w:r>
    </w:p>
    <w:p w14:paraId="436D62CB">
      <w:pPr>
        <w:spacing w:line="360" w:lineRule="auto"/>
        <w:ind w:firstLine="480" w:firstLineChars="200"/>
        <w:rPr>
          <w:rFonts w:hint="eastAsia" w:ascii="仿宋" w:hAnsi="仿宋" w:eastAsia="仿宋" w:cs="仿宋"/>
          <w:color w:val="auto"/>
          <w:highlight w:val="none"/>
          <w:lang w:val="zh-CN" w:eastAsia="zh-CN" w:bidi="ar"/>
        </w:rPr>
      </w:pPr>
      <w:r>
        <w:rPr>
          <w:rFonts w:hint="eastAsia" w:ascii="仿宋" w:hAnsi="仿宋" w:eastAsia="仿宋" w:cs="仿宋"/>
          <w:color w:val="auto"/>
          <w:highlight w:val="none"/>
          <w:lang w:val="zh-CN" w:eastAsia="zh-CN" w:bidi="ar"/>
        </w:rPr>
        <w:t>降水效果和降水对环境的影响；</w:t>
      </w:r>
    </w:p>
    <w:p w14:paraId="1D96EE68">
      <w:pPr>
        <w:spacing w:line="360" w:lineRule="auto"/>
        <w:ind w:firstLine="480" w:firstLineChars="200"/>
        <w:rPr>
          <w:rFonts w:hint="eastAsia" w:ascii="仿宋" w:hAnsi="仿宋" w:eastAsia="仿宋" w:cs="仿宋"/>
          <w:color w:val="auto"/>
          <w:highlight w:val="none"/>
          <w:lang w:val="zh-CN" w:eastAsia="zh-CN" w:bidi="ar"/>
        </w:rPr>
      </w:pPr>
      <w:r>
        <w:rPr>
          <w:rFonts w:hint="eastAsia" w:ascii="仿宋" w:hAnsi="仿宋" w:eastAsia="仿宋" w:cs="仿宋"/>
          <w:color w:val="auto"/>
          <w:highlight w:val="none"/>
          <w:lang w:val="zh-CN" w:eastAsia="zh-CN" w:bidi="ar"/>
        </w:rPr>
        <w:t>开挖和降水对邻边建筑和地下设施的影响。</w:t>
      </w:r>
    </w:p>
    <w:p w14:paraId="06E3F95D">
      <w:pPr>
        <w:spacing w:line="360" w:lineRule="auto"/>
        <w:ind w:firstLine="480" w:firstLineChars="200"/>
        <w:rPr>
          <w:rFonts w:hint="eastAsia" w:ascii="仿宋" w:hAnsi="仿宋" w:eastAsia="仿宋" w:cs="仿宋"/>
          <w:color w:val="auto"/>
          <w:highlight w:val="none"/>
          <w:lang w:val="zh-CN" w:eastAsia="zh-CN" w:bidi="ar"/>
        </w:rPr>
      </w:pPr>
      <w:r>
        <w:rPr>
          <w:rFonts w:hint="eastAsia" w:ascii="仿宋" w:hAnsi="仿宋" w:eastAsia="仿宋" w:cs="仿宋"/>
          <w:color w:val="auto"/>
          <w:highlight w:val="none"/>
          <w:lang w:val="zh-CN" w:eastAsia="zh-CN" w:bidi="ar"/>
        </w:rPr>
        <w:t>（12）除说明外，均按照《岩土工程勘察规范》（GB50021-2001）（2009年版）规定的有关技术要求执行。如本次勘察结果表明场地存在特殊问题，则在钻探过程中或基础工程施工前另行增补技术措施。</w:t>
      </w:r>
    </w:p>
    <w:p w14:paraId="1EF32589">
      <w:pPr>
        <w:spacing w:line="360" w:lineRule="auto"/>
        <w:ind w:firstLine="480" w:firstLineChars="200"/>
        <w:rPr>
          <w:rFonts w:hint="eastAsia" w:ascii="仿宋" w:hAnsi="仿宋" w:eastAsia="仿宋" w:cs="仿宋"/>
          <w:color w:val="auto"/>
          <w:highlight w:val="none"/>
          <w:lang w:eastAsia="zh-CN" w:bidi="ar"/>
        </w:rPr>
      </w:pPr>
      <w:r>
        <w:rPr>
          <w:rFonts w:hint="eastAsia" w:ascii="仿宋" w:hAnsi="仿宋" w:eastAsia="仿宋" w:cs="仿宋"/>
          <w:color w:val="auto"/>
          <w:highlight w:val="none"/>
          <w:lang w:val="zh-CN" w:eastAsia="zh-CN" w:bidi="ar"/>
        </w:rPr>
        <w:t>（13）视现场钻孔揭露地层情况，选取具有代表性的钻孔位置（砂层深厚、分布连续地段）进行抽水试验预计2孔（具体以实际工程量为准）。</w:t>
      </w:r>
    </w:p>
    <w:p w14:paraId="04FD89A0">
      <w:pPr>
        <w:spacing w:line="360" w:lineRule="auto"/>
        <w:ind w:firstLine="480" w:firstLineChars="200"/>
        <w:rPr>
          <w:rFonts w:hint="eastAsia" w:ascii="仿宋" w:hAnsi="仿宋" w:eastAsia="仿宋" w:cs="仿宋"/>
          <w:color w:val="auto"/>
          <w:highlight w:val="none"/>
          <w:lang w:val="zh-CN" w:eastAsia="zh-CN" w:bidi="ar"/>
        </w:rPr>
      </w:pPr>
      <w:r>
        <w:rPr>
          <w:rFonts w:hint="eastAsia" w:ascii="仿宋" w:hAnsi="仿宋" w:eastAsia="仿宋" w:cs="仿宋"/>
          <w:color w:val="auto"/>
          <w:highlight w:val="none"/>
          <w:lang w:eastAsia="zh-CN" w:bidi="ar"/>
        </w:rPr>
        <w:t>2.1.1.</w:t>
      </w:r>
      <w:r>
        <w:rPr>
          <w:rFonts w:hint="eastAsia" w:ascii="仿宋" w:hAnsi="仿宋" w:eastAsia="仿宋" w:cs="仿宋"/>
          <w:color w:val="auto"/>
          <w:highlight w:val="none"/>
          <w:lang w:val="en-US" w:eastAsia="zh-CN" w:bidi="ar"/>
        </w:rPr>
        <w:t xml:space="preserve">2 </w:t>
      </w:r>
      <w:r>
        <w:rPr>
          <w:rFonts w:hint="eastAsia" w:ascii="仿宋" w:hAnsi="仿宋" w:eastAsia="仿宋" w:cs="仿宋"/>
          <w:color w:val="auto"/>
          <w:highlight w:val="none"/>
          <w:lang w:val="zh-CN" w:eastAsia="zh-CN" w:bidi="ar"/>
        </w:rPr>
        <w:t>超前钻</w:t>
      </w:r>
    </w:p>
    <w:p w14:paraId="172DF958">
      <w:pPr>
        <w:spacing w:line="360" w:lineRule="auto"/>
        <w:ind w:firstLine="480" w:firstLineChars="200"/>
        <w:rPr>
          <w:rFonts w:hint="eastAsia" w:ascii="仿宋" w:hAnsi="仿宋" w:eastAsia="仿宋" w:cs="仿宋"/>
          <w:color w:val="auto"/>
          <w:highlight w:val="none"/>
          <w:lang w:val="zh-CN" w:eastAsia="zh-CN" w:bidi="ar"/>
        </w:rPr>
      </w:pPr>
      <w:r>
        <w:rPr>
          <w:rFonts w:hint="eastAsia" w:ascii="仿宋" w:hAnsi="仿宋" w:eastAsia="仿宋" w:cs="仿宋"/>
          <w:color w:val="auto"/>
          <w:highlight w:val="none"/>
          <w:lang w:val="zh-CN" w:eastAsia="zh-CN" w:bidi="ar"/>
        </w:rPr>
        <w:t>工程桩超前钻（建筑物区域，根据桩基础方案确定）</w:t>
      </w:r>
    </w:p>
    <w:p w14:paraId="0B15AF40">
      <w:pPr>
        <w:spacing w:line="360" w:lineRule="auto"/>
        <w:ind w:firstLine="480" w:firstLineChars="200"/>
        <w:rPr>
          <w:rFonts w:hint="eastAsia" w:ascii="仿宋" w:hAnsi="仿宋" w:eastAsia="仿宋" w:cs="仿宋"/>
          <w:color w:val="auto"/>
          <w:highlight w:val="none"/>
          <w:lang w:eastAsia="zh-CN" w:bidi="ar"/>
        </w:rPr>
      </w:pPr>
      <w:r>
        <w:rPr>
          <w:rFonts w:hint="eastAsia" w:ascii="仿宋" w:hAnsi="仿宋" w:eastAsia="仿宋" w:cs="仿宋"/>
          <w:color w:val="auto"/>
          <w:highlight w:val="none"/>
          <w:lang w:val="zh-CN" w:eastAsia="zh-CN" w:bidi="ar"/>
        </w:rPr>
        <w:t>预计按照一桩一钻孔一管波的布孔原则，在建筑物区域桩位布置钻孔，根据暂定建筑、结构方案，暂估工程量地块1（20000m），管波1200孔，如不采用桩基础的基础形式，预估总工作量作相应减少。具体结算工程量以实际发生工程量为准。</w:t>
      </w:r>
    </w:p>
    <w:p w14:paraId="002ABC03">
      <w:pPr>
        <w:spacing w:line="360" w:lineRule="auto"/>
        <w:ind w:firstLine="480" w:firstLineChars="200"/>
        <w:rPr>
          <w:rFonts w:hint="eastAsia" w:ascii="仿宋" w:hAnsi="仿宋" w:eastAsia="仿宋" w:cs="仿宋"/>
          <w:color w:val="auto"/>
          <w:highlight w:val="none"/>
          <w:lang w:val="zh-CN" w:eastAsia="zh-CN" w:bidi="ar"/>
        </w:rPr>
      </w:pPr>
      <w:r>
        <w:rPr>
          <w:rFonts w:hint="eastAsia" w:ascii="仿宋" w:hAnsi="仿宋" w:eastAsia="仿宋" w:cs="仿宋"/>
          <w:color w:val="auto"/>
          <w:highlight w:val="none"/>
          <w:lang w:eastAsia="zh-CN" w:bidi="ar"/>
        </w:rPr>
        <w:t>2.1.1.</w:t>
      </w:r>
      <w:r>
        <w:rPr>
          <w:rFonts w:hint="eastAsia" w:ascii="仿宋" w:hAnsi="仿宋" w:eastAsia="仿宋" w:cs="仿宋"/>
          <w:color w:val="auto"/>
          <w:highlight w:val="none"/>
          <w:lang w:val="en-US" w:eastAsia="zh-CN" w:bidi="ar"/>
        </w:rPr>
        <w:t xml:space="preserve">3 </w:t>
      </w:r>
      <w:r>
        <w:rPr>
          <w:rFonts w:hint="eastAsia" w:ascii="仿宋" w:hAnsi="仿宋" w:eastAsia="仿宋" w:cs="仿宋"/>
          <w:color w:val="auto"/>
          <w:highlight w:val="none"/>
          <w:lang w:val="zh-CN" w:eastAsia="zh-CN" w:bidi="ar"/>
        </w:rPr>
        <w:t>地下管线探测要求</w:t>
      </w:r>
    </w:p>
    <w:p w14:paraId="122B517C">
      <w:pPr>
        <w:spacing w:line="360" w:lineRule="auto"/>
        <w:ind w:firstLine="480" w:firstLineChars="200"/>
        <w:rPr>
          <w:rFonts w:hint="eastAsia" w:ascii="仿宋" w:hAnsi="仿宋" w:eastAsia="仿宋" w:cs="仿宋"/>
          <w:color w:val="auto"/>
          <w:highlight w:val="none"/>
          <w:lang w:eastAsia="zh-CN" w:bidi="ar"/>
        </w:rPr>
      </w:pPr>
      <w:r>
        <w:rPr>
          <w:rFonts w:hint="eastAsia" w:ascii="仿宋" w:hAnsi="仿宋" w:eastAsia="仿宋" w:cs="仿宋"/>
          <w:color w:val="auto"/>
          <w:highlight w:val="none"/>
          <w:lang w:val="zh-CN" w:eastAsia="zh-CN" w:bidi="ar"/>
        </w:rPr>
        <w:t>根据广州市城乡建设委员会《关于加强地下工程施工前地下管线探测工作的通知》（穗建质[2013]845号），对本项目内的场地及周边人行道的架空线路、地下管线、地下暗渠、地面线缆、水渠以及电力工程电塔等项目范围内所有管线进行物探（面积暂定为30000平方米，具体结算工程量以实际发生工程量为准），探测工作包括查明探测范围内各专业管线走向、位置和标高等，作为设计和施工的基础数据。探测单位应当根据《城市地下管线探测技术规程》(CJJ61-2017)和探测合同开展工作，确保工作质量，出具的探测报告十六份需加盖CMA章。</w:t>
      </w:r>
    </w:p>
    <w:p w14:paraId="5F5421ED">
      <w:pPr>
        <w:spacing w:line="360" w:lineRule="auto"/>
        <w:ind w:firstLine="480" w:firstLineChars="200"/>
        <w:rPr>
          <w:rFonts w:hint="eastAsia" w:ascii="仿宋" w:hAnsi="仿宋" w:eastAsia="仿宋" w:cs="仿宋"/>
          <w:color w:val="auto"/>
          <w:highlight w:val="none"/>
          <w:lang w:eastAsia="zh-CN" w:bidi="ar"/>
        </w:rPr>
      </w:pPr>
      <w:r>
        <w:rPr>
          <w:rFonts w:hint="eastAsia" w:ascii="仿宋" w:hAnsi="仿宋" w:eastAsia="仿宋" w:cs="仿宋"/>
          <w:color w:val="auto"/>
          <w:highlight w:val="none"/>
          <w:lang w:eastAsia="zh-CN" w:bidi="ar"/>
        </w:rPr>
        <w:t>2.1.1.</w:t>
      </w:r>
      <w:r>
        <w:rPr>
          <w:rFonts w:hint="eastAsia" w:ascii="仿宋" w:hAnsi="仿宋" w:eastAsia="仿宋" w:cs="仿宋"/>
          <w:color w:val="auto"/>
          <w:highlight w:val="none"/>
          <w:lang w:val="en-US" w:eastAsia="zh-CN" w:bidi="ar"/>
        </w:rPr>
        <w:t xml:space="preserve">4  </w:t>
      </w:r>
      <w:r>
        <w:rPr>
          <w:rFonts w:hint="eastAsia" w:ascii="仿宋" w:hAnsi="仿宋" w:eastAsia="仿宋" w:cs="仿宋"/>
          <w:color w:val="auto"/>
          <w:highlight w:val="none"/>
          <w:lang w:eastAsia="zh-CN" w:bidi="ar"/>
        </w:rPr>
        <w:t>工程测量要求：</w:t>
      </w:r>
    </w:p>
    <w:p w14:paraId="5DE30815">
      <w:pPr>
        <w:spacing w:line="360" w:lineRule="auto"/>
        <w:ind w:firstLine="480" w:firstLineChars="200"/>
        <w:rPr>
          <w:rFonts w:hint="eastAsia" w:ascii="仿宋" w:hAnsi="仿宋" w:eastAsia="仿宋" w:cs="仿宋"/>
          <w:color w:val="auto"/>
          <w:highlight w:val="none"/>
          <w:lang w:eastAsia="zh-CN" w:bidi="ar"/>
        </w:rPr>
      </w:pPr>
      <w:r>
        <w:rPr>
          <w:rFonts w:hint="eastAsia" w:ascii="仿宋" w:hAnsi="仿宋" w:eastAsia="仿宋" w:cs="仿宋"/>
          <w:color w:val="auto"/>
          <w:highlight w:val="none"/>
          <w:lang w:eastAsia="zh-CN" w:bidi="ar"/>
        </w:rPr>
        <w:t>工程测量单位应按照《城市测量规范》（CJJ/T8-2011）等国家现行测绘标准开展测量工作，测量成果应盖有广州市国土和规划委员会认可的相应测量资质章，保证通过国土规划等相关部门报建和验收审批。工程测量包括图根控制点、IV等水准测量、图根水准测量、1:500数字化现状地形图等测量详细调查，以及向广州市城市规划勘测设计研究院支付的GPS(PTK控制点观测)、放线验线测量费、建筑面积技术审查费、验收测量等工作内容。购买地形图配合设计报审，包括不限于建筑放线验线、临水临电、外水外电、燃气等的报审和验收。</w:t>
      </w:r>
    </w:p>
    <w:p w14:paraId="11B9578E">
      <w:pPr>
        <w:spacing w:line="360" w:lineRule="auto"/>
        <w:ind w:firstLine="480" w:firstLineChars="200"/>
        <w:rPr>
          <w:rFonts w:hint="eastAsia" w:ascii="仿宋" w:hAnsi="仿宋" w:eastAsia="仿宋" w:cs="仿宋"/>
          <w:color w:val="auto"/>
          <w:highlight w:val="none"/>
          <w:lang w:eastAsia="zh-CN" w:bidi="ar"/>
        </w:rPr>
      </w:pPr>
      <w:r>
        <w:rPr>
          <w:rFonts w:hint="eastAsia" w:ascii="仿宋" w:hAnsi="仿宋" w:eastAsia="仿宋" w:cs="仿宋"/>
          <w:color w:val="auto"/>
          <w:highlight w:val="none"/>
          <w:lang w:eastAsia="zh-CN" w:bidi="ar"/>
        </w:rPr>
        <w:t>规划放线测量主要服务内容包括：GPS-RTK控制点测量；建筑场地现状地形图测量（1:500）；建筑场地剖面图测量；有规划退缩要求的道路、河涌及用地红线放桩测量；拟建建（构）筑物放线测量；道路、河涌中线或边线主要要素点放桩测量；管线探测；管线规划放线；建筑面积核算等。成果必须满足规划主管部门对办理新建或调整建设工程、地下管线工程《建设工程规划许可证》及附图附件等行政审批事项的要求。</w:t>
      </w:r>
    </w:p>
    <w:p w14:paraId="6243C4B3">
      <w:pPr>
        <w:spacing w:line="360" w:lineRule="auto"/>
        <w:ind w:firstLine="480" w:firstLineChars="200"/>
        <w:rPr>
          <w:rFonts w:hint="eastAsia" w:ascii="仿宋" w:hAnsi="仿宋" w:eastAsia="仿宋" w:cs="仿宋"/>
          <w:color w:val="auto"/>
          <w:highlight w:val="none"/>
          <w:lang w:eastAsia="zh-CN" w:bidi="ar"/>
        </w:rPr>
      </w:pPr>
      <w:r>
        <w:rPr>
          <w:rFonts w:hint="eastAsia" w:ascii="仿宋" w:hAnsi="仿宋" w:eastAsia="仿宋" w:cs="仿宋"/>
          <w:color w:val="auto"/>
          <w:highlight w:val="none"/>
          <w:lang w:eastAsia="zh-CN" w:bidi="ar"/>
        </w:rPr>
        <w:t>（2）建设工程、地下管线工程规划条件核实测量</w:t>
      </w:r>
    </w:p>
    <w:p w14:paraId="221D6F00">
      <w:pPr>
        <w:spacing w:line="360" w:lineRule="auto"/>
        <w:ind w:firstLine="480" w:firstLineChars="200"/>
        <w:rPr>
          <w:rFonts w:hint="eastAsia" w:ascii="仿宋" w:hAnsi="仿宋" w:eastAsia="仿宋" w:cs="仿宋"/>
          <w:color w:val="auto"/>
          <w:highlight w:val="none"/>
          <w:lang w:eastAsia="zh-CN" w:bidi="ar"/>
        </w:rPr>
      </w:pPr>
      <w:r>
        <w:rPr>
          <w:rFonts w:hint="eastAsia" w:ascii="仿宋" w:hAnsi="仿宋" w:eastAsia="仿宋" w:cs="仿宋"/>
          <w:color w:val="auto"/>
          <w:highlight w:val="none"/>
          <w:lang w:eastAsia="zh-CN" w:bidi="ar"/>
        </w:rPr>
        <w:t>规划条件核实测量服务内容主要为：测量用地范围内现状地形图（1:500）；控制点测量；制作平面位置关系图；统计用地范围内的总建设规模；计算每幢建筑物的总建筑面积、基底面积、每层建筑面积、每层不同使用功能部分的建筑面积，每幢建筑物总高度和每层高度；计算独立用地的公共服务设施的用地面积；计算道路宽度（包括现状道路和规划道路）；计算停车位个数；核对竣工图现场符合性；测量道路、河涌和轨道交通工程中线（或边线）坐标；绘制有代表性的纵横剖面图；测定管线红线空间位置，调查其属性，编制管线点成果表；现场整改修测等。并生成符合广州市规划管理信息库要求的电子数据文件。成果必须满足规划主管部门对办理建设工程、桥涵工程、地下管线工程的《建设工程规划条件核实意见书》行政审批事项的要求。</w:t>
      </w:r>
    </w:p>
    <w:p w14:paraId="6A2DD19E">
      <w:pPr>
        <w:spacing w:line="360" w:lineRule="auto"/>
        <w:ind w:firstLine="480" w:firstLineChars="200"/>
        <w:rPr>
          <w:rFonts w:hint="eastAsia" w:ascii="仿宋" w:hAnsi="仿宋" w:eastAsia="仿宋" w:cs="仿宋"/>
          <w:color w:val="auto"/>
          <w:highlight w:val="none"/>
          <w:lang w:eastAsia="zh-CN" w:bidi="ar"/>
        </w:rPr>
      </w:pPr>
      <w:r>
        <w:rPr>
          <w:rFonts w:hint="eastAsia" w:ascii="仿宋" w:hAnsi="仿宋" w:eastAsia="仿宋" w:cs="仿宋"/>
          <w:color w:val="auto"/>
          <w:highlight w:val="none"/>
          <w:lang w:eastAsia="zh-CN" w:bidi="ar"/>
        </w:rPr>
        <w:t>（3）人防工程竣工验收测量</w:t>
      </w:r>
    </w:p>
    <w:p w14:paraId="31773C3C">
      <w:pPr>
        <w:spacing w:line="360" w:lineRule="auto"/>
        <w:ind w:firstLine="480" w:firstLineChars="200"/>
        <w:rPr>
          <w:rFonts w:hint="eastAsia" w:ascii="仿宋" w:hAnsi="仿宋" w:eastAsia="仿宋" w:cs="仿宋"/>
          <w:color w:val="auto"/>
          <w:highlight w:val="none"/>
          <w:lang w:eastAsia="zh-CN" w:bidi="ar"/>
        </w:rPr>
      </w:pPr>
      <w:r>
        <w:rPr>
          <w:rFonts w:hint="eastAsia" w:ascii="仿宋" w:hAnsi="仿宋" w:eastAsia="仿宋" w:cs="仿宋"/>
          <w:color w:val="auto"/>
          <w:highlight w:val="none"/>
          <w:lang w:eastAsia="zh-CN" w:bidi="ar"/>
        </w:rPr>
        <w:t>负责本项目人防工程竣工验收测量，编制《防空地下室面积测量成果报告书》，服务内容包括：控制点测量；现状地形图测量；防空地下室面积测绘等，工作成果必须满足上报广州市人民防空行政主管部门审核的要求。</w:t>
      </w:r>
    </w:p>
    <w:p w14:paraId="50C7952F">
      <w:pPr>
        <w:spacing w:line="360" w:lineRule="auto"/>
        <w:ind w:firstLine="480" w:firstLineChars="200"/>
        <w:rPr>
          <w:rFonts w:hint="eastAsia" w:ascii="仿宋" w:hAnsi="仿宋" w:eastAsia="仿宋" w:cs="仿宋"/>
          <w:color w:val="auto"/>
          <w:highlight w:val="none"/>
          <w:lang w:eastAsia="zh-CN" w:bidi="ar"/>
        </w:rPr>
      </w:pPr>
      <w:r>
        <w:rPr>
          <w:rFonts w:hint="eastAsia" w:ascii="仿宋" w:hAnsi="仿宋" w:eastAsia="仿宋" w:cs="仿宋"/>
          <w:color w:val="auto"/>
          <w:highlight w:val="none"/>
          <w:lang w:eastAsia="zh-CN" w:bidi="ar"/>
        </w:rPr>
        <w:t>（4）房产测绘服务</w:t>
      </w:r>
    </w:p>
    <w:p w14:paraId="662478EB">
      <w:pPr>
        <w:spacing w:line="360" w:lineRule="auto"/>
        <w:ind w:firstLine="480" w:firstLineChars="200"/>
        <w:rPr>
          <w:rFonts w:hint="eastAsia" w:ascii="仿宋" w:hAnsi="仿宋" w:eastAsia="仿宋" w:cs="仿宋"/>
          <w:color w:val="auto"/>
          <w:highlight w:val="none"/>
          <w:lang w:eastAsia="zh-CN" w:bidi="ar"/>
        </w:rPr>
      </w:pPr>
      <w:r>
        <w:rPr>
          <w:rFonts w:hint="eastAsia" w:ascii="仿宋" w:hAnsi="仿宋" w:eastAsia="仿宋" w:cs="仿宋"/>
          <w:color w:val="auto"/>
          <w:highlight w:val="none"/>
          <w:lang w:eastAsia="zh-CN" w:bidi="ar"/>
        </w:rPr>
        <w:t>负责本项目房产测绘（实测）服务，包括地籍权籍调绘、宗地图（1:500）、地上建筑物及地下室产权分户图等，工作成果必须满足不动产登记部门对办理产权登记事项的要求，且各单元房产实测面积满足勘察设计任务书及回迁要求。</w:t>
      </w:r>
    </w:p>
    <w:p w14:paraId="36472A72">
      <w:pPr>
        <w:spacing w:line="360" w:lineRule="auto"/>
        <w:ind w:firstLine="480" w:firstLineChars="200"/>
        <w:rPr>
          <w:rFonts w:hint="eastAsia" w:ascii="仿宋" w:hAnsi="仿宋" w:eastAsia="仿宋" w:cs="仿宋"/>
          <w:color w:val="auto"/>
          <w:highlight w:val="none"/>
          <w:lang w:eastAsia="zh-CN" w:bidi="ar"/>
        </w:rPr>
      </w:pPr>
      <w:r>
        <w:rPr>
          <w:rFonts w:hint="eastAsia" w:ascii="仿宋" w:hAnsi="仿宋" w:eastAsia="仿宋" w:cs="仿宋"/>
          <w:color w:val="auto"/>
          <w:highlight w:val="none"/>
          <w:lang w:eastAsia="zh-CN" w:bidi="ar"/>
        </w:rPr>
        <w:t>2.1.1.</w:t>
      </w:r>
      <w:r>
        <w:rPr>
          <w:rFonts w:hint="eastAsia" w:ascii="仿宋" w:hAnsi="仿宋" w:eastAsia="仿宋" w:cs="仿宋"/>
          <w:color w:val="auto"/>
          <w:highlight w:val="none"/>
          <w:lang w:val="en-US" w:eastAsia="zh-CN" w:bidi="ar"/>
        </w:rPr>
        <w:t xml:space="preserve">5 </w:t>
      </w:r>
      <w:r>
        <w:rPr>
          <w:rFonts w:hint="eastAsia" w:ascii="仿宋" w:hAnsi="仿宋" w:eastAsia="仿宋" w:cs="仿宋"/>
          <w:color w:val="auto"/>
          <w:highlight w:val="none"/>
          <w:lang w:eastAsia="zh-CN" w:bidi="ar"/>
        </w:rPr>
        <w:t>噪声检测：</w:t>
      </w:r>
    </w:p>
    <w:p w14:paraId="12A484EC">
      <w:pPr>
        <w:spacing w:line="360" w:lineRule="auto"/>
        <w:ind w:firstLine="480" w:firstLineChars="200"/>
        <w:rPr>
          <w:rFonts w:hint="eastAsia" w:ascii="仿宋" w:hAnsi="仿宋" w:eastAsia="仿宋" w:cs="仿宋"/>
          <w:color w:val="auto"/>
          <w:highlight w:val="none"/>
          <w:lang w:eastAsia="zh-CN" w:bidi="ar"/>
        </w:rPr>
      </w:pPr>
      <w:r>
        <w:rPr>
          <w:rFonts w:hint="eastAsia" w:ascii="仿宋" w:hAnsi="仿宋" w:eastAsia="仿宋" w:cs="仿宋"/>
          <w:color w:val="auto"/>
          <w:highlight w:val="none"/>
          <w:lang w:eastAsia="zh-CN" w:bidi="ar"/>
        </w:rPr>
        <w:t>对现场场地开展噪声检测（预计1项，具体结算工程量以实际发生工程量为准），噪声检测成果须符合环保及绿色建筑相关规范、规定要求。</w:t>
      </w:r>
    </w:p>
    <w:p w14:paraId="5D3B23A7">
      <w:pPr>
        <w:spacing w:line="360" w:lineRule="auto"/>
        <w:ind w:firstLine="480" w:firstLineChars="200"/>
        <w:rPr>
          <w:rFonts w:hint="eastAsia" w:ascii="仿宋" w:hAnsi="仿宋" w:eastAsia="仿宋" w:cs="仿宋"/>
          <w:color w:val="auto"/>
          <w:highlight w:val="none"/>
          <w:lang w:eastAsia="zh-CN" w:bidi="ar"/>
        </w:rPr>
      </w:pPr>
      <w:r>
        <w:rPr>
          <w:rFonts w:hint="eastAsia" w:ascii="仿宋" w:hAnsi="仿宋" w:eastAsia="仿宋" w:cs="仿宋"/>
          <w:color w:val="auto"/>
          <w:highlight w:val="none"/>
          <w:lang w:eastAsia="zh-CN" w:bidi="ar"/>
        </w:rPr>
        <w:t>2.1.1.</w:t>
      </w:r>
      <w:r>
        <w:rPr>
          <w:rFonts w:hint="eastAsia" w:ascii="仿宋" w:hAnsi="仿宋" w:eastAsia="仿宋" w:cs="仿宋"/>
          <w:color w:val="auto"/>
          <w:highlight w:val="none"/>
          <w:lang w:val="en-US" w:eastAsia="zh-CN" w:bidi="ar"/>
        </w:rPr>
        <w:t xml:space="preserve">6 </w:t>
      </w:r>
      <w:r>
        <w:rPr>
          <w:rFonts w:hint="eastAsia" w:ascii="仿宋" w:hAnsi="仿宋" w:eastAsia="仿宋" w:cs="仿宋"/>
          <w:color w:val="auto"/>
          <w:highlight w:val="none"/>
          <w:lang w:eastAsia="zh-CN" w:bidi="ar"/>
        </w:rPr>
        <w:t>剪切波速</w:t>
      </w:r>
    </w:p>
    <w:p w14:paraId="4266864A">
      <w:pPr>
        <w:spacing w:line="360" w:lineRule="auto"/>
        <w:ind w:firstLine="480" w:firstLineChars="200"/>
        <w:rPr>
          <w:rFonts w:hint="eastAsia" w:ascii="仿宋" w:hAnsi="仿宋" w:eastAsia="仿宋" w:cs="仿宋"/>
          <w:color w:val="auto"/>
          <w:highlight w:val="none"/>
          <w:lang w:eastAsia="zh-CN" w:bidi="ar"/>
        </w:rPr>
      </w:pPr>
      <w:r>
        <w:rPr>
          <w:rFonts w:hint="eastAsia" w:ascii="仿宋" w:hAnsi="仿宋" w:eastAsia="仿宋" w:cs="仿宋"/>
          <w:color w:val="auto"/>
          <w:highlight w:val="none"/>
          <w:lang w:eastAsia="zh-CN" w:bidi="ar"/>
        </w:rPr>
        <w:t>对项目所在地块按照《建筑抗震设计规范》（GB 50011-2010）（2016年版）相关规定进行剪切波速测试（预计6孔），并出具符合勘察设计要求的剪切波速报告。</w:t>
      </w:r>
    </w:p>
    <w:p w14:paraId="3EBBA59E">
      <w:pPr>
        <w:spacing w:line="360" w:lineRule="auto"/>
        <w:ind w:firstLine="480" w:firstLineChars="200"/>
        <w:rPr>
          <w:rFonts w:hint="eastAsia" w:ascii="仿宋" w:hAnsi="仿宋" w:eastAsia="仿宋" w:cs="仿宋"/>
          <w:color w:val="auto"/>
          <w:highlight w:val="none"/>
          <w:lang w:eastAsia="zh-CN" w:bidi="ar"/>
        </w:rPr>
      </w:pPr>
      <w:r>
        <w:rPr>
          <w:rFonts w:hint="eastAsia" w:ascii="仿宋" w:hAnsi="仿宋" w:eastAsia="仿宋" w:cs="仿宋"/>
          <w:color w:val="auto"/>
          <w:highlight w:val="none"/>
          <w:lang w:eastAsia="zh-CN" w:bidi="ar"/>
        </w:rPr>
        <w:t>2.1.1.</w:t>
      </w:r>
      <w:r>
        <w:rPr>
          <w:rFonts w:hint="eastAsia" w:ascii="仿宋" w:hAnsi="仿宋" w:eastAsia="仿宋" w:cs="仿宋"/>
          <w:color w:val="auto"/>
          <w:highlight w:val="none"/>
          <w:lang w:val="en-US" w:eastAsia="zh-CN" w:bidi="ar"/>
        </w:rPr>
        <w:t xml:space="preserve">7 </w:t>
      </w:r>
      <w:r>
        <w:rPr>
          <w:rFonts w:hint="eastAsia" w:ascii="仿宋" w:hAnsi="仿宋" w:eastAsia="仿宋" w:cs="仿宋"/>
          <w:color w:val="auto"/>
          <w:highlight w:val="none"/>
          <w:lang w:eastAsia="zh-CN" w:bidi="ar"/>
        </w:rPr>
        <w:t>土壤氡浓度测试</w:t>
      </w:r>
    </w:p>
    <w:p w14:paraId="593693BA">
      <w:pPr>
        <w:spacing w:line="360" w:lineRule="auto"/>
        <w:ind w:firstLine="480" w:firstLineChars="200"/>
        <w:rPr>
          <w:rFonts w:hint="eastAsia" w:ascii="仿宋" w:hAnsi="仿宋" w:eastAsia="仿宋" w:cs="仿宋"/>
          <w:color w:val="auto"/>
          <w:highlight w:val="none"/>
          <w:lang w:eastAsia="zh-CN" w:bidi="ar"/>
        </w:rPr>
      </w:pPr>
      <w:r>
        <w:rPr>
          <w:rFonts w:hint="eastAsia" w:ascii="仿宋" w:hAnsi="仿宋" w:eastAsia="仿宋" w:cs="仿宋"/>
          <w:color w:val="auto"/>
          <w:highlight w:val="none"/>
          <w:lang w:eastAsia="zh-CN" w:bidi="ar"/>
        </w:rPr>
        <w:t>对项目所在地块按照《民用建筑工程室内环境污控制标准》GB50325-2020相关规定进行土壤氡浓度测试（预计250点）地块5（360孔），并出具符合勘察设计要求的土壤氡浓度测试报告。</w:t>
      </w:r>
    </w:p>
    <w:p w14:paraId="7B6107CB">
      <w:pPr>
        <w:spacing w:line="360" w:lineRule="auto"/>
        <w:ind w:firstLine="480" w:firstLineChars="200"/>
        <w:rPr>
          <w:rFonts w:hint="eastAsia" w:ascii="仿宋" w:hAnsi="仿宋" w:eastAsia="仿宋" w:cs="仿宋"/>
          <w:color w:val="auto"/>
          <w:highlight w:val="none"/>
          <w:lang w:eastAsia="zh" w:bidi="ar"/>
        </w:rPr>
      </w:pPr>
      <w:r>
        <w:rPr>
          <w:rFonts w:hint="eastAsia" w:ascii="仿宋" w:hAnsi="仿宋" w:eastAsia="仿宋" w:cs="仿宋"/>
          <w:color w:val="auto"/>
          <w:highlight w:val="none"/>
          <w:lang w:eastAsia="zh" w:bidi="ar"/>
        </w:rPr>
        <w:t>2.1.1.8 微动探测</w:t>
      </w:r>
    </w:p>
    <w:p w14:paraId="5370A8FE">
      <w:pPr>
        <w:spacing w:line="360" w:lineRule="auto"/>
        <w:ind w:firstLine="480" w:firstLineChars="200"/>
        <w:rPr>
          <w:rFonts w:hint="eastAsia" w:ascii="仿宋" w:hAnsi="仿宋" w:eastAsia="仿宋" w:cs="仿宋"/>
          <w:color w:val="auto"/>
          <w:highlight w:val="none"/>
          <w:lang w:eastAsia="zh" w:bidi="ar"/>
        </w:rPr>
      </w:pPr>
      <w:r>
        <w:rPr>
          <w:rFonts w:hint="eastAsia" w:ascii="仿宋" w:hAnsi="仿宋" w:eastAsia="仿宋" w:cs="仿宋"/>
          <w:color w:val="auto"/>
          <w:highlight w:val="none"/>
          <w:lang w:eastAsia="zh" w:bidi="ar"/>
        </w:rPr>
        <w:t>（1）地球物理条件及方法选择</w:t>
      </w:r>
    </w:p>
    <w:p w14:paraId="019CE071">
      <w:pPr>
        <w:spacing w:line="360" w:lineRule="auto"/>
        <w:ind w:firstLine="480" w:firstLineChars="200"/>
        <w:rPr>
          <w:rFonts w:hint="eastAsia" w:ascii="仿宋" w:hAnsi="仿宋" w:eastAsia="仿宋" w:cs="仿宋"/>
          <w:color w:val="auto"/>
          <w:highlight w:val="none"/>
          <w:lang w:eastAsia="zh" w:bidi="ar"/>
        </w:rPr>
      </w:pPr>
      <w:r>
        <w:rPr>
          <w:rFonts w:hint="eastAsia" w:ascii="仿宋" w:hAnsi="仿宋" w:eastAsia="仿宋" w:cs="仿宋"/>
          <w:color w:val="auto"/>
          <w:highlight w:val="none"/>
          <w:lang w:eastAsia="zh" w:bidi="ar"/>
        </w:rPr>
        <w:t>根据周边测区地层分布条件分析，溶土洞与基岩之间存在明显的(或悬殊的)波阻抗及典型差异、这是物理探测的前提条件。本次选择微动面波法进行探测，有效探测深度不小于 50 米（预计300点）。</w:t>
      </w:r>
    </w:p>
    <w:p w14:paraId="7D0570D9">
      <w:pPr>
        <w:spacing w:line="360" w:lineRule="auto"/>
        <w:ind w:firstLine="480" w:firstLineChars="200"/>
        <w:rPr>
          <w:rFonts w:hint="eastAsia" w:ascii="仿宋" w:hAnsi="仿宋" w:eastAsia="仿宋" w:cs="仿宋"/>
          <w:color w:val="auto"/>
          <w:highlight w:val="none"/>
          <w:lang w:eastAsia="zh" w:bidi="ar"/>
        </w:rPr>
      </w:pPr>
      <w:r>
        <w:rPr>
          <w:rFonts w:hint="eastAsia" w:ascii="仿宋" w:hAnsi="仿宋" w:eastAsia="仿宋" w:cs="仿宋"/>
          <w:color w:val="auto"/>
          <w:highlight w:val="none"/>
          <w:lang w:eastAsia="zh" w:bidi="ar"/>
        </w:rPr>
        <w:t>（2） 主要遵循以下标准</w:t>
      </w:r>
    </w:p>
    <w:p w14:paraId="094C7FC8">
      <w:pPr>
        <w:spacing w:line="360" w:lineRule="auto"/>
        <w:ind w:firstLine="480" w:firstLineChars="200"/>
        <w:rPr>
          <w:rFonts w:hint="eastAsia" w:ascii="仿宋" w:hAnsi="仿宋" w:eastAsia="仿宋" w:cs="仿宋"/>
          <w:color w:val="auto"/>
          <w:highlight w:val="none"/>
          <w:lang w:eastAsia="zh" w:bidi="ar"/>
        </w:rPr>
      </w:pPr>
      <w:r>
        <w:rPr>
          <w:rFonts w:hint="eastAsia" w:ascii="仿宋" w:hAnsi="仿宋" w:eastAsia="仿宋" w:cs="仿宋"/>
          <w:color w:val="auto"/>
          <w:highlight w:val="none"/>
          <w:lang w:eastAsia="zh" w:bidi="ar"/>
        </w:rPr>
        <w:t>1）《城市工程地球物理探测规范》(CJJ7-2007)；</w:t>
      </w:r>
    </w:p>
    <w:p w14:paraId="6E1759E7">
      <w:pPr>
        <w:spacing w:line="360" w:lineRule="auto"/>
        <w:ind w:firstLine="480" w:firstLineChars="200"/>
        <w:rPr>
          <w:rFonts w:hint="eastAsia" w:ascii="仿宋" w:hAnsi="仿宋" w:eastAsia="仿宋" w:cs="仿宋"/>
          <w:color w:val="auto"/>
          <w:highlight w:val="none"/>
          <w:lang w:eastAsia="zh" w:bidi="ar"/>
        </w:rPr>
      </w:pPr>
      <w:r>
        <w:rPr>
          <w:rFonts w:hint="eastAsia" w:ascii="仿宋" w:hAnsi="仿宋" w:eastAsia="仿宋" w:cs="仿宋"/>
          <w:color w:val="auto"/>
          <w:highlight w:val="none"/>
          <w:lang w:eastAsia="zh" w:bidi="ar"/>
        </w:rPr>
        <w:t>2）《物化探工程测量规程》(DZ/T0153-2014)；</w:t>
      </w:r>
    </w:p>
    <w:p w14:paraId="4A441E98">
      <w:pPr>
        <w:spacing w:line="360" w:lineRule="auto"/>
        <w:ind w:firstLine="480" w:firstLineChars="200"/>
        <w:rPr>
          <w:rFonts w:hint="eastAsia" w:ascii="仿宋" w:hAnsi="仿宋" w:eastAsia="仿宋" w:cs="仿宋"/>
          <w:color w:val="auto"/>
          <w:highlight w:val="none"/>
          <w:lang w:eastAsia="zh" w:bidi="ar"/>
        </w:rPr>
      </w:pPr>
      <w:r>
        <w:rPr>
          <w:rFonts w:hint="eastAsia" w:ascii="仿宋" w:hAnsi="仿宋" w:eastAsia="仿宋" w:cs="仿宋"/>
          <w:color w:val="auto"/>
          <w:highlight w:val="none"/>
          <w:lang w:eastAsia="zh" w:bidi="ar"/>
        </w:rPr>
        <w:t>3）《建筑工程地质勘探与取样技术规程》(JGJ/T87-2012)；</w:t>
      </w:r>
    </w:p>
    <w:p w14:paraId="5BC5FB62">
      <w:pPr>
        <w:spacing w:line="360" w:lineRule="auto"/>
        <w:ind w:firstLine="480" w:firstLineChars="200"/>
        <w:rPr>
          <w:rFonts w:hint="eastAsia" w:ascii="仿宋" w:hAnsi="仿宋" w:eastAsia="仿宋" w:cs="仿宋"/>
          <w:color w:val="auto"/>
          <w:highlight w:val="none"/>
          <w:lang w:eastAsia="zh" w:bidi="ar"/>
        </w:rPr>
      </w:pPr>
      <w:r>
        <w:rPr>
          <w:rFonts w:hint="eastAsia" w:ascii="仿宋" w:hAnsi="仿宋" w:eastAsia="仿宋" w:cs="仿宋"/>
          <w:color w:val="auto"/>
          <w:highlight w:val="none"/>
          <w:lang w:eastAsia="zh" w:bidi="ar"/>
        </w:rPr>
        <w:t>4）《工程岩体分级标准》(GB50218-2014)</w:t>
      </w:r>
    </w:p>
    <w:p w14:paraId="59D01A2E">
      <w:pPr>
        <w:spacing w:line="360" w:lineRule="auto"/>
        <w:ind w:firstLine="480" w:firstLineChars="200"/>
        <w:rPr>
          <w:rFonts w:hint="eastAsia" w:ascii="仿宋" w:hAnsi="仿宋" w:eastAsia="仿宋" w:cs="仿宋"/>
          <w:color w:val="auto"/>
          <w:highlight w:val="none"/>
          <w:lang w:eastAsia="zh" w:bidi="ar"/>
        </w:rPr>
      </w:pPr>
      <w:r>
        <w:rPr>
          <w:rFonts w:hint="eastAsia" w:ascii="仿宋" w:hAnsi="仿宋" w:eastAsia="仿宋" w:cs="仿宋"/>
          <w:color w:val="auto"/>
          <w:highlight w:val="none"/>
          <w:lang w:eastAsia="zh" w:bidi="ar"/>
        </w:rPr>
        <w:t>（3） 操作要点</w:t>
      </w:r>
    </w:p>
    <w:p w14:paraId="4734B7DD">
      <w:pPr>
        <w:spacing w:line="360" w:lineRule="auto"/>
        <w:ind w:firstLine="480" w:firstLineChars="200"/>
        <w:rPr>
          <w:rFonts w:hint="eastAsia" w:ascii="仿宋" w:hAnsi="仿宋" w:eastAsia="仿宋" w:cs="仿宋"/>
          <w:color w:val="auto"/>
          <w:highlight w:val="none"/>
          <w:lang w:eastAsia="zh" w:bidi="ar"/>
        </w:rPr>
      </w:pPr>
      <w:r>
        <w:rPr>
          <w:rFonts w:hint="eastAsia" w:ascii="仿宋" w:hAnsi="仿宋" w:eastAsia="仿宋" w:cs="仿宋"/>
          <w:color w:val="auto"/>
          <w:highlight w:val="none"/>
          <w:lang w:eastAsia="zh" w:bidi="ar"/>
        </w:rPr>
        <w:t>微动面波勘探技术的方法流程分为5个步骤：方法试验、采集数据、提取频散曲线、频散曲线反演、单点数据连线成波速等值线剖面图。</w:t>
      </w:r>
    </w:p>
    <w:p w14:paraId="2CD727F1">
      <w:pPr>
        <w:spacing w:line="360" w:lineRule="auto"/>
        <w:ind w:firstLine="480" w:firstLineChars="200"/>
        <w:rPr>
          <w:rFonts w:hint="eastAsia" w:ascii="仿宋" w:hAnsi="仿宋" w:eastAsia="仿宋" w:cs="仿宋"/>
          <w:color w:val="auto"/>
          <w:highlight w:val="none"/>
          <w:lang w:eastAsia="zh" w:bidi="ar"/>
        </w:rPr>
      </w:pPr>
      <w:r>
        <w:rPr>
          <w:rFonts w:hint="eastAsia" w:ascii="仿宋" w:hAnsi="仿宋" w:eastAsia="仿宋" w:cs="仿宋"/>
          <w:color w:val="auto"/>
          <w:highlight w:val="none"/>
          <w:lang w:eastAsia="zh" w:bidi="ar"/>
        </w:rPr>
        <w:t>①方法试验。首先进行十字形台阵，三角形台阵，圆形台阵的实验，为了在狭小空间内获取更大的探测深度，尤其要重点开展三角形台阵实验，通过实验确定三角形台阵的最小边长和最大边长，以及数据的采集时长。</w:t>
      </w:r>
    </w:p>
    <w:p w14:paraId="457EDCAE">
      <w:pPr>
        <w:spacing w:line="360" w:lineRule="auto"/>
        <w:ind w:firstLine="480" w:firstLineChars="200"/>
        <w:rPr>
          <w:rFonts w:hint="eastAsia" w:ascii="仿宋" w:hAnsi="仿宋" w:eastAsia="仿宋" w:cs="仿宋"/>
          <w:color w:val="auto"/>
          <w:highlight w:val="none"/>
          <w:lang w:eastAsia="zh" w:bidi="ar"/>
        </w:rPr>
      </w:pPr>
      <w:r>
        <w:rPr>
          <w:rFonts w:hint="eastAsia" w:ascii="仿宋" w:hAnsi="仿宋" w:eastAsia="仿宋" w:cs="仿宋"/>
          <w:color w:val="auto"/>
          <w:highlight w:val="none"/>
          <w:lang w:eastAsia="zh" w:bidi="ar"/>
        </w:rPr>
        <w:t>②采集数据。采用空间自相关法(SPAC)从微动信号的垂直分量中提取面波频散曲线时，需要观察系统台站沿圆周布置，且至少在圆周上等间隔布置3个测点、在圆心布置一个台站组成圆形观测系统。圆形阵列的半径称为观测半径，决定探测深度，已有的研究表明 SPAC法的一般探测深度是三角形边长的 3-7倍。实测中往往需采用多重圆形阵列进行组合观测(即三角形台阵)。</w:t>
      </w:r>
    </w:p>
    <w:p w14:paraId="592E1785">
      <w:pPr>
        <w:spacing w:line="360" w:lineRule="auto"/>
        <w:ind w:firstLine="480" w:firstLineChars="200"/>
        <w:rPr>
          <w:rFonts w:hint="eastAsia" w:ascii="仿宋" w:hAnsi="仿宋" w:eastAsia="仿宋" w:cs="仿宋"/>
          <w:color w:val="auto"/>
          <w:highlight w:val="none"/>
          <w:lang w:eastAsia="zh" w:bidi="ar"/>
        </w:rPr>
      </w:pPr>
      <w:r>
        <w:rPr>
          <w:rFonts w:hint="eastAsia" w:ascii="仿宋" w:hAnsi="仿宋" w:eastAsia="仿宋" w:cs="仿宋"/>
          <w:color w:val="auto"/>
          <w:highlight w:val="none"/>
          <w:lang w:eastAsia="zh" w:bidi="ar"/>
        </w:rPr>
        <w:t>③提取频散曲线。空间自相关法提取频散曲线的步骤是:首先将实测记录分成若干个数据段，剔除于扰大的数据段，用中心频率不同的窄带滤波器处理各数据段，提取待分析的频率成分;再对各个频率分别计算中心接收点与不同圆周上各点之间的空间自相关系数并进行方向平均;最后拟合不同观测半径的空间自相关系数得到频散曲线。</w:t>
      </w:r>
    </w:p>
    <w:p w14:paraId="444AEDA0">
      <w:pPr>
        <w:spacing w:line="360" w:lineRule="auto"/>
        <w:ind w:firstLine="480" w:firstLineChars="200"/>
        <w:rPr>
          <w:rFonts w:hint="eastAsia" w:ascii="仿宋" w:hAnsi="仿宋" w:eastAsia="仿宋" w:cs="仿宋"/>
          <w:color w:val="auto"/>
          <w:highlight w:val="none"/>
          <w:lang w:eastAsia="zh" w:bidi="ar"/>
        </w:rPr>
      </w:pPr>
      <w:r>
        <w:rPr>
          <w:rFonts w:hint="eastAsia" w:ascii="仿宋" w:hAnsi="仿宋" w:eastAsia="仿宋" w:cs="仿宋"/>
          <w:color w:val="auto"/>
          <w:highlight w:val="none"/>
          <w:lang w:eastAsia="zh" w:bidi="ar"/>
        </w:rPr>
        <w:t>④频散曲线反演。校正有效波速值。</w:t>
      </w:r>
    </w:p>
    <w:p w14:paraId="5575C8FC">
      <w:pPr>
        <w:spacing w:line="360" w:lineRule="auto"/>
        <w:ind w:firstLine="480" w:firstLineChars="200"/>
        <w:rPr>
          <w:rFonts w:hint="eastAsia" w:ascii="仿宋" w:hAnsi="仿宋" w:eastAsia="仿宋" w:cs="仿宋"/>
          <w:color w:val="auto"/>
          <w:highlight w:val="none"/>
          <w:lang w:eastAsia="zh" w:bidi="ar"/>
        </w:rPr>
      </w:pPr>
      <w:r>
        <w:rPr>
          <w:rFonts w:hint="eastAsia" w:ascii="仿宋" w:hAnsi="仿宋" w:eastAsia="仿宋" w:cs="仿宋"/>
          <w:color w:val="auto"/>
          <w:highlight w:val="none"/>
          <w:lang w:eastAsia="zh" w:bidi="ar"/>
        </w:rPr>
        <w:t>⑤单点数据连线成波速等值线剖面图。在一条测线上的反演处理后的单点数据利用CCSWS等专业绘图软件编制，最终绘制成波速等值线剖面图。</w:t>
      </w:r>
    </w:p>
    <w:p w14:paraId="454ED2B7">
      <w:pPr>
        <w:spacing w:line="360" w:lineRule="auto"/>
        <w:ind w:firstLine="482" w:firstLineChars="200"/>
        <w:rPr>
          <w:rFonts w:hint="eastAsia" w:ascii="仿宋" w:hAnsi="仿宋" w:eastAsia="仿宋" w:cs="仿宋"/>
          <w:b/>
          <w:bCs/>
          <w:color w:val="auto"/>
          <w:highlight w:val="none"/>
          <w:u w:val="single"/>
          <w:lang w:eastAsia="zh-CN"/>
        </w:rPr>
      </w:pPr>
      <w:r>
        <w:rPr>
          <w:rFonts w:hint="eastAsia" w:ascii="仿宋" w:hAnsi="仿宋" w:eastAsia="仿宋" w:cs="仿宋"/>
          <w:b/>
          <w:bCs/>
          <w:color w:val="auto"/>
          <w:highlight w:val="none"/>
          <w:u w:val="single"/>
          <w:lang w:eastAsia="zh-CN"/>
        </w:rPr>
        <w:t>2.</w:t>
      </w:r>
      <w:r>
        <w:rPr>
          <w:rFonts w:ascii="仿宋" w:hAnsi="仿宋" w:eastAsia="仿宋" w:cs="仿宋"/>
          <w:b/>
          <w:bCs/>
          <w:color w:val="auto"/>
          <w:highlight w:val="none"/>
          <w:u w:val="single"/>
          <w:lang w:eastAsia="zh-CN"/>
        </w:rPr>
        <w:t>2</w:t>
      </w:r>
      <w:r>
        <w:rPr>
          <w:rFonts w:hint="eastAsia" w:ascii="仿宋" w:hAnsi="仿宋" w:eastAsia="仿宋" w:cs="仿宋"/>
          <w:b/>
          <w:bCs/>
          <w:color w:val="auto"/>
          <w:highlight w:val="none"/>
          <w:u w:val="single"/>
          <w:lang w:eastAsia="zh-CN"/>
        </w:rPr>
        <w:t xml:space="preserve"> 工程设计及相关服务</w:t>
      </w:r>
    </w:p>
    <w:p w14:paraId="57099C1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根据项目基础资料、勘察设计任务书及工程管理要求，承担本项目范围内：报建图设计和报建通编制、各专业工程方案设计、初步设计、概算编制（要</w:t>
      </w:r>
      <w:r>
        <w:rPr>
          <w:rFonts w:hint="eastAsia" w:ascii="仿宋" w:hAnsi="仿宋" w:eastAsia="仿宋" w:cs="仿宋"/>
          <w:color w:val="auto"/>
          <w:highlight w:val="none"/>
          <w:lang w:eastAsia="zh"/>
        </w:rPr>
        <w:t>求</w:t>
      </w:r>
      <w:r>
        <w:rPr>
          <w:rFonts w:hint="eastAsia" w:ascii="仿宋" w:hAnsi="仿宋" w:eastAsia="仿宋" w:cs="仿宋"/>
          <w:color w:val="auto"/>
          <w:highlight w:val="none"/>
          <w:lang w:eastAsia="zh-CN"/>
        </w:rPr>
        <w:t>达到预算深度，</w:t>
      </w:r>
      <w:r>
        <w:rPr>
          <w:rFonts w:hint="eastAsia" w:ascii="仿宋" w:hAnsi="仿宋" w:eastAsia="仿宋" w:cs="仿宋"/>
          <w:color w:val="auto"/>
          <w:highlight w:val="none"/>
          <w:lang w:val="en-US" w:eastAsia="zh-CN"/>
        </w:rPr>
        <w:t>合同签订</w:t>
      </w:r>
      <w:r>
        <w:rPr>
          <w:rFonts w:hint="eastAsia" w:ascii="仿宋" w:hAnsi="仿宋" w:eastAsia="仿宋" w:cs="仿宋"/>
          <w:color w:val="auto"/>
          <w:highlight w:val="none"/>
          <w:lang w:eastAsia="zh-CN"/>
        </w:rPr>
        <w:t>后</w:t>
      </w:r>
      <w:r>
        <w:rPr>
          <w:rFonts w:hint="eastAsia" w:ascii="仿宋" w:hAnsi="仿宋" w:eastAsia="仿宋" w:cs="仿宋"/>
          <w:color w:val="auto"/>
          <w:highlight w:val="none"/>
          <w:lang w:val="en-US" w:eastAsia="zh-CN"/>
        </w:rPr>
        <w:t>120</w:t>
      </w:r>
      <w:r>
        <w:rPr>
          <w:rFonts w:hint="eastAsia" w:ascii="仿宋" w:hAnsi="仿宋" w:eastAsia="仿宋" w:cs="仿宋"/>
          <w:color w:val="auto"/>
          <w:highlight w:val="none"/>
          <w:lang w:eastAsia="zh-CN"/>
        </w:rPr>
        <w:t>天内</w:t>
      </w:r>
      <w:r>
        <w:rPr>
          <w:rFonts w:hint="eastAsia" w:ascii="仿宋" w:hAnsi="仿宋" w:eastAsia="仿宋" w:cs="仿宋"/>
          <w:color w:val="auto"/>
          <w:highlight w:val="none"/>
          <w:u w:val="single"/>
          <w:lang w:val="en-US" w:eastAsia="zh-CN"/>
        </w:rPr>
        <w:t>承包人应根据广州市和白云区概算编审的规定及合同约定的概算编制依据及深度正式上报纸质版概算至相关主管部门处审核，概算需符合限额设计的要求</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180天完成概算评审</w:t>
      </w:r>
      <w:r>
        <w:rPr>
          <w:rFonts w:hint="eastAsia" w:ascii="仿宋" w:hAnsi="仿宋" w:eastAsia="仿宋" w:cs="仿宋"/>
          <w:color w:val="auto"/>
          <w:highlight w:val="none"/>
          <w:lang w:eastAsia="zh-CN"/>
        </w:rPr>
        <w:t>）、施工图设计、完整版施工图编制、完成施工深化图纸的确认并加盖审核章、配合完成工程验收和配合完成竣工图审核盖章（含验收通过）等、设计变更（含其造价分析）及现场技术指导，沟通各相关部门完成</w:t>
      </w:r>
      <w:r>
        <w:rPr>
          <w:rFonts w:hint="eastAsia" w:ascii="仿宋" w:hAnsi="仿宋" w:eastAsia="仿宋" w:cs="仿宋"/>
          <w:color w:val="auto"/>
          <w:highlight w:val="none"/>
          <w:lang w:eastAsia="zh"/>
        </w:rPr>
        <w:t>控规、</w:t>
      </w:r>
      <w:r>
        <w:rPr>
          <w:rFonts w:hint="eastAsia" w:ascii="仿宋" w:hAnsi="仿宋" w:eastAsia="仿宋" w:cs="仿宋"/>
          <w:color w:val="auto"/>
          <w:highlight w:val="none"/>
          <w:lang w:eastAsia="zh-CN"/>
        </w:rPr>
        <w:t>总平、单体、消防意见、人防审核意见等不限于以上设计内容通过政府部门的审核审批等，范围包括但不限于：</w:t>
      </w:r>
    </w:p>
    <w:p w14:paraId="25AB07D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（1）主项设计：建筑、结构、给排水、电气（含强电、常规弱电）、暖通、基坑支护（土石方平衡）、消防人防、建筑节能设计。</w:t>
      </w:r>
    </w:p>
    <w:p w14:paraId="443865B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（2）专项设计：智能化设计、幕墙设计、铝合金门窗设计（含</w:t>
      </w:r>
      <w:r>
        <w:rPr>
          <w:rFonts w:hint="eastAsia" w:ascii="仿宋" w:hAnsi="仿宋" w:eastAsia="仿宋" w:cs="仿宋"/>
          <w:color w:val="auto"/>
          <w:kern w:val="2"/>
          <w:highlight w:val="none"/>
          <w:lang w:eastAsia="zh-CN" w:bidi="ar"/>
        </w:rPr>
        <w:t>施工深化图纸的确认，并加盖审核章</w:t>
      </w:r>
      <w:r>
        <w:rPr>
          <w:rFonts w:hint="eastAsia" w:ascii="仿宋" w:hAnsi="仿宋" w:eastAsia="仿宋" w:cs="仿宋"/>
          <w:color w:val="auto"/>
          <w:highlight w:val="none"/>
          <w:lang w:eastAsia="zh-CN"/>
        </w:rPr>
        <w:t>）、栏杆设计（含</w:t>
      </w:r>
      <w:r>
        <w:rPr>
          <w:rFonts w:hint="eastAsia" w:ascii="仿宋" w:hAnsi="仿宋" w:eastAsia="仿宋" w:cs="仿宋"/>
          <w:color w:val="auto"/>
          <w:kern w:val="2"/>
          <w:highlight w:val="none"/>
          <w:lang w:eastAsia="zh-CN" w:bidi="ar"/>
        </w:rPr>
        <w:t>施工深化图纸的确认，并加盖审核章</w:t>
      </w:r>
      <w:r>
        <w:rPr>
          <w:rFonts w:hint="eastAsia" w:ascii="仿宋" w:hAnsi="仿宋" w:eastAsia="仿宋" w:cs="仿宋"/>
          <w:color w:val="auto"/>
          <w:highlight w:val="none"/>
          <w:lang w:eastAsia="zh-CN"/>
        </w:rPr>
        <w:t>）、园林景观设计、精装修设计（含软装，包括安置房户内及公区、公共服务配套设施、</w:t>
      </w:r>
      <w:r>
        <w:rPr>
          <w:rFonts w:hint="eastAsia" w:ascii="仿宋" w:hAnsi="仿宋" w:eastAsia="仿宋" w:cs="仿宋"/>
          <w:color w:val="auto"/>
          <w:highlight w:val="none"/>
          <w:lang w:val="en-US" w:eastAsia="zh-CN"/>
        </w:rPr>
        <w:t>样板间</w:t>
      </w:r>
      <w:r>
        <w:rPr>
          <w:rFonts w:hint="eastAsia" w:ascii="仿宋" w:hAnsi="仿宋" w:eastAsia="仿宋" w:cs="仿宋"/>
          <w:color w:val="auto"/>
          <w:highlight w:val="none"/>
          <w:lang w:eastAsia="zh-CN"/>
        </w:rPr>
        <w:t>等）、标识设计、临（永）水临（永）电设计、燃气设计、电信室分设计、泛光照明设计等专业设计、地下室地坪漆及交通划线设计及停车位优化、绿色建筑设计咨询、海绵城市设计咨询、道路工程及其配套设施（包括路外深港湾式公交首末站）、、装配式设计、模块化建筑技术设计、异地样板房设计、太阳能光伏设计、人防设计、新城建设计、5G通信配套设计、地块内排水等迁改设计（如有）及相关的衔接设计、</w:t>
      </w:r>
      <w:r>
        <w:rPr>
          <w:rFonts w:hint="eastAsia" w:ascii="仿宋" w:hAnsi="仿宋" w:eastAsia="仿宋" w:cs="仿宋"/>
          <w:color w:val="auto"/>
          <w:highlight w:val="none"/>
          <w:lang w:val="en-US" w:eastAsia="zh"/>
        </w:rPr>
        <w:t>满足地块和地铁接驳的相关设计及咨询服务(包括且不限于项目和地铁合建或预留地铁接驳条件、通道等)、</w:t>
      </w:r>
      <w:r>
        <w:rPr>
          <w:rFonts w:hint="eastAsia" w:ascii="仿宋" w:hAnsi="仿宋" w:eastAsia="仿宋" w:cs="仿宋"/>
          <w:color w:val="auto"/>
          <w:sz w:val="24"/>
          <w:szCs w:val="24"/>
          <w:highlight w:val="none"/>
          <w:lang w:eastAsia="zh"/>
        </w:rPr>
        <w:t>二期商业专项设计及策划咨询</w:t>
      </w:r>
      <w:r>
        <w:rPr>
          <w:rFonts w:hint="eastAsia" w:ascii="仿宋" w:hAnsi="仿宋" w:eastAsia="仿宋" w:cs="仿宋"/>
          <w:color w:val="auto"/>
          <w:highlight w:val="none"/>
          <w:lang w:eastAsia="zh-CN"/>
        </w:rPr>
        <w:t>。</w:t>
      </w:r>
    </w:p>
    <w:p w14:paraId="55D3CB3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（3）负责各专业报建、施工图报建、协助办理建设工程规划许可证等各专项报批报建和验收工作。</w:t>
      </w:r>
    </w:p>
    <w:p w14:paraId="1EDFAB3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（4）负责组织开展专项设计方案协调工作。</w:t>
      </w:r>
    </w:p>
    <w:p w14:paraId="4C6C9AD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编制报建图设计；编制初步设计概算:编制施工图设计文件；以及与主体建筑设计相关的各项设计工作，包括以下内容：建筑物（含建筑、结构、给排水、强电、弱电（含电话、网络、有线电视、可视对讲门禁、监控、安防等的管线预留）)、室内外消防及自动报警系统、暖通（含通风、防排烟、中央空调系统）、防雷的方案报建设计、建筑节能设计、施工图设计、基坑支护、人防设计等。</w:t>
      </w:r>
    </w:p>
    <w:p w14:paraId="2AFB9154">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（6）负责协助发包人组织各项专家评审。</w:t>
      </w:r>
    </w:p>
    <w:p w14:paraId="3F68762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需配合发包人聘用的第三方设计优化单位(如有）开展设计优化及提升工作，对优化单位提出的优化提升意见进行调整修改。对优化意见存有异议的，需有充分的论证说明，且不得以“经验”“习惯做法”“内部标准”等理由拒绝修改。</w:t>
      </w:r>
    </w:p>
    <w:p w14:paraId="67AC7ACA">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（8）除按合同约定的时间和要求向发包人提交设计成果文件外，还应承担工程施工过程直至竣工验收的设计服务（包含设计变更）等工作，保证设计变更满足施工进度要求。</w:t>
      </w:r>
    </w:p>
    <w:p w14:paraId="582D091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（9）负责设备、大宗材料采购时采购清单、技术参数等审核工作，还包括各阶段方案比选、技术选型比选的投资分析、施工阶段的设计变更造价变化分析等。</w:t>
      </w:r>
    </w:p>
    <w:p w14:paraId="71619B16">
      <w:pPr>
        <w:spacing w:line="360" w:lineRule="auto"/>
        <w:ind w:firstLine="48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eastAsia="zh-CN"/>
        </w:rPr>
        <w:t>（10）</w:t>
      </w:r>
      <w:r>
        <w:rPr>
          <w:rFonts w:hint="eastAsia" w:ascii="仿宋" w:hAnsi="仿宋" w:eastAsia="仿宋" w:cs="仿宋"/>
          <w:color w:val="auto"/>
          <w:highlight w:val="none"/>
          <w:lang w:val="en-US" w:eastAsia="zh-CN"/>
        </w:rPr>
        <w:t>设计单位需严格按照发包人的要求，及时、准确地准备项目汇报材料，包括但不限于项目进度报告、技术方案说明、成本分析数据及相关图纸资料，并确保材料的完整性、规范性和专业性，以满足发包人汇报需求。同时，设计单位应积极配合发包人对材料的修改和调整，确保汇报工作顺利进行。</w:t>
      </w:r>
    </w:p>
    <w:p w14:paraId="4524A01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11</w:t>
      </w:r>
      <w:r>
        <w:rPr>
          <w:rFonts w:hint="eastAsia" w:ascii="仿宋" w:hAnsi="仿宋" w:eastAsia="仿宋" w:cs="仿宋"/>
          <w:color w:val="auto"/>
          <w:highlight w:val="none"/>
          <w:lang w:eastAsia="zh-CN"/>
        </w:rPr>
        <w:t>）负责项目用地范围内的树木保护专章编制（包含树木资源调查）及审批，如施工过程影响红线外树木，需包含红线外相关范围的树木保护和迁移措施。相关费用已包含在设计费投标报价中综合考虑，不再另外开项支付。</w:t>
      </w:r>
    </w:p>
    <w:p w14:paraId="0243C54C">
      <w:pPr>
        <w:spacing w:line="360" w:lineRule="auto"/>
        <w:ind w:firstLine="480" w:firstLineChars="200"/>
        <w:rPr>
          <w:rFonts w:hint="eastAsia" w:ascii="仿宋" w:hAnsi="仿宋" w:eastAsia="仿宋" w:cs="仿宋"/>
          <w:color w:val="auto"/>
          <w:highlight w:val="none"/>
          <w:lang w:eastAsia="zh-CN"/>
        </w:rPr>
      </w:pPr>
      <w:bookmarkStart w:id="32" w:name="OLE_LINK14"/>
      <w:r>
        <w:rPr>
          <w:rFonts w:hint="eastAsia" w:ascii="仿宋" w:hAnsi="仿宋" w:eastAsia="仿宋" w:cs="仿宋"/>
          <w:color w:val="auto"/>
          <w:highlight w:val="none"/>
          <w:lang w:eastAsia="zh-CN"/>
        </w:rPr>
        <w:t>（1</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）绿色建筑（</w:t>
      </w:r>
      <w:r>
        <w:rPr>
          <w:rFonts w:hint="eastAsia" w:ascii="仿宋" w:hAnsi="仿宋" w:eastAsia="仿宋" w:cs="宋体"/>
          <w:bCs/>
          <w:snapToGrid w:val="0"/>
          <w:color w:val="auto"/>
          <w:highlight w:val="none"/>
          <w:lang w:eastAsia="zh-CN"/>
        </w:rPr>
        <w:t>本项目内绿色建筑不低于国标《绿色建筑评价标准》GB/T50378-2019</w:t>
      </w:r>
      <w:r>
        <w:rPr>
          <w:rFonts w:hint="eastAsia" w:ascii="仿宋" w:hAnsi="仿宋" w:eastAsia="仿宋" w:cs="宋体"/>
          <w:bCs/>
          <w:snapToGrid w:val="0"/>
          <w:color w:val="auto"/>
          <w:highlight w:val="none"/>
          <w:lang w:val="en-US" w:eastAsia="zh-CN"/>
        </w:rPr>
        <w:t>三</w:t>
      </w:r>
      <w:r>
        <w:rPr>
          <w:rFonts w:hint="eastAsia" w:ascii="仿宋" w:hAnsi="仿宋" w:eastAsia="仿宋" w:cs="宋体"/>
          <w:bCs/>
          <w:snapToGrid w:val="0"/>
          <w:color w:val="auto"/>
          <w:highlight w:val="none"/>
          <w:lang w:eastAsia="zh-CN"/>
        </w:rPr>
        <w:t>星（超高层</w:t>
      </w:r>
      <w:r>
        <w:rPr>
          <w:rFonts w:hint="eastAsia" w:ascii="仿宋" w:hAnsi="仿宋" w:eastAsia="仿宋" w:cs="宋体"/>
          <w:bCs/>
          <w:snapToGrid w:val="0"/>
          <w:color w:val="auto"/>
          <w:highlight w:val="none"/>
          <w:lang w:val="en-US" w:eastAsia="zh-CN"/>
        </w:rPr>
        <w:t>6</w:t>
      </w:r>
      <w:r>
        <w:rPr>
          <w:rFonts w:hint="eastAsia" w:ascii="仿宋" w:hAnsi="仿宋" w:eastAsia="仿宋" w:cs="宋体"/>
          <w:bCs/>
          <w:snapToGrid w:val="0"/>
          <w:color w:val="auto"/>
          <w:highlight w:val="none"/>
          <w:lang w:eastAsia="zh-CN"/>
        </w:rPr>
        <w:t>栋，1#/2#/A3#/4#/5#</w:t>
      </w:r>
      <w:r>
        <w:rPr>
          <w:rFonts w:hint="eastAsia" w:ascii="仿宋" w:hAnsi="仿宋" w:eastAsia="仿宋" w:cs="宋体"/>
          <w:bCs/>
          <w:snapToGrid w:val="0"/>
          <w:color w:val="auto"/>
          <w:highlight w:val="none"/>
          <w:lang w:val="en-US" w:eastAsia="zh-CN"/>
        </w:rPr>
        <w:t>/6#及商业</w:t>
      </w:r>
      <w:r>
        <w:rPr>
          <w:rFonts w:hint="eastAsia" w:ascii="仿宋" w:hAnsi="仿宋" w:eastAsia="仿宋" w:cs="宋体"/>
          <w:bCs/>
          <w:snapToGrid w:val="0"/>
          <w:color w:val="auto"/>
          <w:highlight w:val="none"/>
          <w:lang w:eastAsia="zh-CN"/>
        </w:rPr>
        <w:t>）级标准，同时满足住建“6+1”要求的绿色建筑等级、具体规划条件、政府部门文件、设计文件为准。</w:t>
      </w:r>
      <w:r>
        <w:rPr>
          <w:rFonts w:hint="eastAsia" w:ascii="仿宋" w:hAnsi="仿宋" w:eastAsia="仿宋" w:cs="仿宋"/>
          <w:color w:val="auto"/>
          <w:highlight w:val="none"/>
          <w:lang w:eastAsia="zh-CN"/>
        </w:rPr>
        <w:t>)设计咨询、施工图设计及施工图审查配合（不含绿建标识申报）。</w:t>
      </w:r>
    </w:p>
    <w:bookmarkEnd w:id="32"/>
    <w:p w14:paraId="7F843F64">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lang w:eastAsia="zh-CN"/>
        </w:rPr>
        <w:t>）配合项目竣工图编制、签审</w:t>
      </w:r>
      <w:r>
        <w:rPr>
          <w:rFonts w:hint="eastAsia" w:ascii="仿宋" w:hAnsi="仿宋" w:eastAsia="仿宋" w:cs="仿宋"/>
          <w:color w:val="auto"/>
          <w:highlight w:val="none"/>
          <w:lang w:eastAsia="zh-CN" w:bidi="ar"/>
        </w:rPr>
        <w:t>盖章</w:t>
      </w:r>
      <w:r>
        <w:rPr>
          <w:rFonts w:hint="eastAsia" w:ascii="仿宋" w:hAnsi="仿宋" w:eastAsia="仿宋" w:cs="仿宋"/>
          <w:color w:val="auto"/>
          <w:highlight w:val="none"/>
          <w:lang w:eastAsia="zh-CN"/>
        </w:rPr>
        <w:t>工作。</w:t>
      </w:r>
    </w:p>
    <w:p w14:paraId="35E08CE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lang w:eastAsia="zh-CN"/>
        </w:rPr>
        <w:t>）其他工作：超出红线范围的市政配套设施（道路、临时用电，临时给排水、永久用电、永久用水、燃气等）按政府审批的相关文件及规范确定。</w:t>
      </w:r>
    </w:p>
    <w:p w14:paraId="4DBC57CE">
      <w:pPr>
        <w:spacing w:line="360" w:lineRule="auto"/>
        <w:ind w:firstLine="480" w:firstLineChars="2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落实《广州市生活饮用水品质提升技术指引要点》（穗水资源〔2021〕20号）要求的高品质用水设计。</w:t>
      </w:r>
    </w:p>
    <w:p w14:paraId="503F3EF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16</w:t>
      </w:r>
      <w:r>
        <w:rPr>
          <w:rFonts w:hint="eastAsia" w:ascii="仿宋" w:hAnsi="仿宋" w:eastAsia="仿宋" w:cs="仿宋"/>
          <w:color w:val="auto"/>
          <w:highlight w:val="none"/>
          <w:lang w:eastAsia="zh-CN"/>
        </w:rPr>
        <w:t>）各专业具体工作详见附件六。</w:t>
      </w:r>
    </w:p>
    <w:p w14:paraId="79434C73">
      <w:pPr>
        <w:spacing w:line="360" w:lineRule="auto"/>
        <w:ind w:firstLine="569" w:firstLineChars="236"/>
        <w:rPr>
          <w:rFonts w:ascii="仿宋" w:hAnsi="仿宋" w:eastAsia="仿宋" w:cs="仿宋"/>
          <w:b/>
          <w:color w:val="auto"/>
          <w:highlight w:val="none"/>
          <w:lang w:eastAsia="zh-CN"/>
        </w:rPr>
      </w:pPr>
      <w:r>
        <w:rPr>
          <w:rFonts w:ascii="仿宋" w:hAnsi="仿宋" w:eastAsia="仿宋" w:cs="仿宋"/>
          <w:b/>
          <w:color w:val="auto"/>
          <w:highlight w:val="none"/>
          <w:lang w:eastAsia="zh-CN"/>
        </w:rPr>
        <w:t xml:space="preserve">2.3 </w:t>
      </w:r>
      <w:r>
        <w:rPr>
          <w:rFonts w:hint="eastAsia" w:ascii="仿宋" w:hAnsi="仿宋" w:eastAsia="仿宋" w:cs="仿宋"/>
          <w:b/>
          <w:color w:val="auto"/>
          <w:highlight w:val="none"/>
          <w:lang w:eastAsia="zh-CN"/>
        </w:rPr>
        <w:t>工程施工部分</w:t>
      </w:r>
    </w:p>
    <w:p w14:paraId="6F7E97CC">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本项目相关资料及施工图纸，承担本项目范围内的各专业工程施工、竣工验收、交付使用及配合办理选房、分房工作，配合确权房产证等办理工作，工程质量保修等，负责本项目的施工工作（包施工图预算编制、包工、包料、包设备、包质量、包安全生产、包文明施工、包工期、包承包范围内工程验收通过、包通水、包通电、包通气、包验收移交、包保修、包造价控制、包投资控制、包结算、包力争创优工程的组织实施工作和资料整理移交、包施工范围内的管理和现场整体组织、包专业协调及配合、包合同约定需购买的保险、负责质量、安全事故的处置及赔偿等善后工作、包竣工图编制（须满足规划等各专项验收要求）等），承包人负责主要范围包括但不限于：</w:t>
      </w:r>
    </w:p>
    <w:p w14:paraId="6705440F">
      <w:pPr>
        <w:numPr>
          <w:ilvl w:val="0"/>
          <w:numId w:val="1"/>
        </w:num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负责本合同范围内所有施工工作，包括但不限于以下工作：</w:t>
      </w:r>
      <w:r>
        <w:rPr>
          <w:rFonts w:hint="eastAsia" w:ascii="仿宋" w:hAnsi="仿宋" w:eastAsia="仿宋" w:cs="仿宋"/>
          <w:color w:val="auto"/>
          <w:highlight w:val="none"/>
          <w:lang w:val="en-US" w:eastAsia="zh-CN"/>
        </w:rPr>
        <w:t>土壤修复（包括方案报审、审核、修复）、</w:t>
      </w:r>
      <w:r>
        <w:rPr>
          <w:rFonts w:hint="eastAsia" w:ascii="仿宋" w:hAnsi="仿宋" w:eastAsia="仿宋" w:cs="仿宋"/>
          <w:color w:val="auto"/>
          <w:highlight w:val="none"/>
          <w:lang w:eastAsia="zh-CN"/>
        </w:rPr>
        <w:t>土建工程（含桩基础工程、溶（土）洞处理、软基处理、装配式）、基坑支护（含土石方工程及平衡）、机电工程（含暖通工程、给排水工程、强弱电）、装饰装修工程（含精装）、幕墙工程、消防工程、人防工程、防雷工程、电梯工程、室外工程（包括绿化、室外管网、室外园建、临时道路、海绵城市等）、地块内排水等迁改工程及施工场地临时工程及附属临时设施、充电桩工程、光伏工程、新城建工程、5G通信配套工程、智能化工程（含通讯网络、光纤入户、有线电视、门禁对讲系统、车库出入口管理系统、视频监控系统等工程）、燃气工程、抗震支架、永久用水、临时用水、永久用电、临时用电、智能停车、标识标牌（含地下室标线）、信号时分、配套市政、</w:t>
      </w:r>
      <w:r>
        <w:rPr>
          <w:rFonts w:hint="eastAsia" w:ascii="仿宋" w:hAnsi="仿宋" w:eastAsia="仿宋" w:cs="仿宋"/>
          <w:color w:val="auto"/>
          <w:highlight w:val="none"/>
          <w:lang w:val="en-US" w:eastAsia="zh-CN"/>
        </w:rPr>
        <w:t>道路</w:t>
      </w:r>
      <w:r>
        <w:rPr>
          <w:rFonts w:hint="eastAsia" w:ascii="仿宋" w:hAnsi="仿宋" w:eastAsia="仿宋" w:cs="仿宋"/>
          <w:color w:val="auto"/>
          <w:highlight w:val="none"/>
          <w:lang w:eastAsia="zh-CN"/>
        </w:rPr>
        <w:t>工程及其配套设施（</w:t>
      </w:r>
      <w:r>
        <w:rPr>
          <w:rFonts w:hint="eastAsia" w:ascii="仿宋" w:hAnsi="仿宋" w:eastAsia="仿宋" w:cs="仿宋"/>
          <w:color w:val="auto"/>
          <w:highlight w:val="none"/>
          <w:lang w:val="en-US" w:eastAsia="zh-CN"/>
        </w:rPr>
        <w:t>包括</w:t>
      </w:r>
      <w:r>
        <w:rPr>
          <w:rFonts w:hint="eastAsia" w:ascii="仿宋" w:hAnsi="仿宋" w:eastAsia="仿宋" w:cs="仿宋"/>
          <w:color w:val="auto"/>
          <w:highlight w:val="none"/>
          <w:lang w:val="en-US" w:eastAsia="zh"/>
        </w:rPr>
        <w:t>路外深港湾式公交首末站</w:t>
      </w:r>
      <w:r>
        <w:rPr>
          <w:rFonts w:hint="eastAsia" w:ascii="仿宋" w:hAnsi="仿宋" w:eastAsia="仿宋" w:cs="仿宋"/>
          <w:color w:val="auto"/>
          <w:highlight w:val="none"/>
          <w:lang w:eastAsia="zh-CN"/>
        </w:rPr>
        <w:t>）、配套市政绿化工程、零星工程（包括但不限于安装或吊装构件的预埋件和连接件、楼宇门牌标识的制作安装、信报箱的申报和制作安装工作等附属配套工程）及衔接工程、拆除工程（如有）、泛光照明、航空灯等及负责项目用地范围内的树木保护及迁移（包含树木保护实施方案编制与报批工作等）、8号线区间</w:t>
      </w:r>
      <w:r>
        <w:rPr>
          <w:rFonts w:hint="eastAsia" w:ascii="仿宋" w:hAnsi="仿宋" w:eastAsia="仿宋" w:cs="仿宋"/>
          <w:color w:val="auto"/>
          <w:highlight w:val="none"/>
          <w:lang w:val="en-US" w:eastAsia="zh-CN"/>
        </w:rPr>
        <w:t>结构处理</w:t>
      </w:r>
      <w:r>
        <w:rPr>
          <w:rFonts w:hint="eastAsia" w:ascii="仿宋" w:hAnsi="仿宋" w:eastAsia="仿宋" w:cs="仿宋"/>
          <w:color w:val="auto"/>
          <w:highlight w:val="none"/>
          <w:lang w:eastAsia="zh-CN"/>
        </w:rPr>
        <w:t>相关增加费、</w:t>
      </w:r>
      <w:r>
        <w:rPr>
          <w:rFonts w:hint="eastAsia" w:ascii="仿宋" w:hAnsi="仿宋" w:eastAsia="仿宋" w:cs="仿宋"/>
          <w:color w:val="auto"/>
          <w:highlight w:val="none"/>
          <w:lang w:val="en-US" w:eastAsia="zh-CN"/>
        </w:rPr>
        <w:t>与地铁接驳通道工作、</w:t>
      </w:r>
      <w:r>
        <w:rPr>
          <w:rFonts w:hint="eastAsia" w:ascii="仿宋" w:hAnsi="仿宋" w:eastAsia="仿宋" w:cs="仿宋"/>
          <w:color w:val="auto"/>
          <w:highlight w:val="none"/>
          <w:lang w:eastAsia="zh-CN"/>
        </w:rPr>
        <w:t>相关范围内各户型异地样板房</w:t>
      </w:r>
      <w:r>
        <w:rPr>
          <w:rFonts w:hint="eastAsia" w:ascii="仿宋" w:hAnsi="仿宋" w:eastAsia="仿宋" w:cs="仿宋"/>
          <w:color w:val="auto"/>
          <w:highlight w:val="none"/>
          <w:lang w:eastAsia="zh"/>
        </w:rPr>
        <w:t>（或者根据需要涉及本地样板房）</w:t>
      </w:r>
      <w:r>
        <w:rPr>
          <w:rFonts w:hint="eastAsia" w:ascii="仿宋" w:hAnsi="仿宋" w:eastAsia="仿宋" w:cs="仿宋"/>
          <w:color w:val="auto"/>
          <w:highlight w:val="none"/>
          <w:lang w:eastAsia="zh-CN"/>
        </w:rPr>
        <w:t>、施工图范围内规定的其他内容。</w:t>
      </w:r>
    </w:p>
    <w:p w14:paraId="162DCBE4">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（2）项目场地土方平整及基坑开挖所涉及的土石方挖填、爆破(若有)及安全防护、外运的土石方堆场、场内土方内倒转运、场内外运输及排放、余泥排放证、施工临时排水许可证、余泥运输绿色通道办理等。</w:t>
      </w:r>
    </w:p>
    <w:p w14:paraId="4C349624">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地形图数据复核：承包人须在进场3天内完成数据复核，并绘制方格网经发包人、监理、咨询单位和承包人签字盖章确认，否则以发包人提供的数据为准。承包人负责地块内平面坐标控制点的保护。如遇现场存在堆载情况，不考虑堆载成分、性质均按土方性质计量，工程量按方格网现场实际确认为准。</w:t>
      </w:r>
    </w:p>
    <w:p w14:paraId="6A045C74">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临时道路工程：按要求修建项目施工临时道路、大门及维护看守，所有现场施工的临时道路均允许其他单位共同使用，并负责维护保养；承包人需结合本工程的地质情况,在措施费中综合考虑满足施工需要的砖渣换填、铺钢板等措施费用</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以上所有费用均已包含在投标报价综合考虑中，不再另外开项支付。</w:t>
      </w:r>
    </w:p>
    <w:p w14:paraId="602C7002">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临时路口开设工程（按需要）：承包人需根据项目计划及发包人要求开设临时路口，由承包人根据现有资料方案进行现场摸查、管线探测、方案设计、方案确认（含方案的审批完成）、施工图设计（含通过相关规划、交通、城管、住建、水务等部门审批手续）、树木保护及迁移、报建报批、施工、验收、协调相关部门直至道路及路口开通以及交付等一系列工作（包括协调道路路口范围的权属单位和移除施工范围绿化苗木的费用补偿、管线设备迁移、路面开挖及原状修复等），以包人工、包机械设备、包质量、包材料、包工期、包安全、包方案设计、包检测、包竣工验收及移交、包保修、包施工现场交通维护设施、包括但不限于协调规划、交警、城管、住建、水务等部门的沟通工作、包相关审批手续及相关服务等方式进行承包</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以上所有费用均已包含在投标报价综合考虑中，不再另外开项支付。</w:t>
      </w:r>
    </w:p>
    <w:p w14:paraId="7B24FC88">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拆除工程：施工前进行场内的清表（若有，杂草及灌木等的清理及外运）、场内旧混凝土地面破除及旧基础（含桩基础）、原地面施工道路砼、原基础结构设施、排水管道及管沟拆除、原地块围网、围墙拆除等，以上所有费用均已包含在投标报价综合考虑中，不再另外开项支付。</w:t>
      </w:r>
    </w:p>
    <w:p w14:paraId="64CD3EDD">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排水工程：区域内提前降排水措施；开挖过程中的降排水措施；临时排水管网，包括但不限于坡顶排水、坡面排水、基坑坑内排水、污水和雨水管道及其附件、检查井、雨水口、沉淀池及边沟淤泥清疏等排水设施；市政道路排水的开挖及市政管道疏通、修复设置泥水泥浆处理设备；污水和废水经过五级沉淀池及泥浆处理器处理后接驳至市政管网并满足排放要求等，包括办理开挖许可、施工排水许可证；承包人负责沉淀池、洗车槽及边沟淤泥清疏。以上所有费用均已包含在投标报价综合考虑中，不再另外开项支付。承包人须考虑从开工至完工移交前，采取一切措施保证排水的及时性，由于排水不及时引起的浸泡等产生的工程质量、安全问题造成的经济及工期损失均由承包人承担。</w:t>
      </w:r>
    </w:p>
    <w:p w14:paraId="4C2A175D">
      <w:pPr>
        <w:spacing w:line="360" w:lineRule="auto"/>
        <w:ind w:firstLine="523" w:firstLineChars="218"/>
        <w:rPr>
          <w:rFonts w:hint="eastAsia" w:ascii="仿宋" w:hAnsi="仿宋" w:eastAsia="仿宋" w:cs="仿宋"/>
          <w:b/>
          <w:bCs/>
          <w:color w:val="auto"/>
          <w:highlight w:val="none"/>
          <w:lang w:eastAsia="zh-CN"/>
        </w:rPr>
      </w:pPr>
      <w:r>
        <w:rPr>
          <w:rFonts w:hint="eastAsia" w:ascii="仿宋" w:hAnsi="仿宋" w:eastAsia="仿宋" w:cs="仿宋"/>
          <w:color w:val="auto"/>
          <w:highlight w:val="none"/>
          <w:lang w:eastAsia="zh-CN"/>
        </w:rPr>
        <w:t>（8）整个施工过程中若发包人提供临水、临电接驳点，承包人负责施工场地用电及所需电缆、灯具安装、施工用水及所需管道敷设等。根据现场条件如无法及时提供临水、临电接驳等服务，承包人需根据施工需要自行解决临时用水用电（含临时发电机发电、施工场地用电及所需电缆、灯具安装、施工用水及所需管道敷设等）。以上所有费用均已包含在投标报价综合考虑中，不再另外开项支付。</w:t>
      </w:r>
    </w:p>
    <w:p w14:paraId="4FBCCA93">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用地红线内施工现场不提供项目部建设及宿舍等临时设施搭设场地，承包人需于现场附近租赁，自行解决项目部（包括但不限于：办公场所、工人宿舍等一切涉及本项目建设使用临时设施）建设及围蔽（含建设用地租赁费用）；并自行解决管理人员及工人的住宿问题；自行考虑住宿的地点及往来交通。承包人负责项目部建设，项目部建设方案须征得发包人同意后方可实施。以上所有费用均已包含在投标报价综合考虑中，不再另外开项支付。</w:t>
      </w:r>
    </w:p>
    <w:p w14:paraId="7440CAE6">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10）施工过程中需避免对周边楼房或楼房地基造成破坏，必要时前置进行房屋安全鉴定，如果施工导致周边楼房出现沉降开裂甚至更严重问题，引起投诉抗议，承包人须对周边楼房进行修补、对居民安抚补偿提供临迁费、安置房等措施。如果出现由于居民投诉抗议导致项目被罚款甚至停工影响施工进度，相关损失由承包人承担。</w:t>
      </w:r>
    </w:p>
    <w:p w14:paraId="6DF9FE19">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11）保护红线周边建筑物、管线、地铁线路等。为保证地铁结构安全，在地铁保护范围内的施工作业在施工前需报地铁集团征求意见并获得批准，相关地保人员进行现场核实后方能实施，上述相关费用在投标报价中综合考虑。因施工导致的高压电线、市政管线、煤气管线、电信管线、交通管线、地铁线路、军用管线等堵塞、破损、断裂，处理施工过程所引发的抢修工作费用及相关罚款由承包人自行承担。</w:t>
      </w:r>
    </w:p>
    <w:p w14:paraId="20541892">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（12）项目红线临近的公共设施、民房、厂房、道路、市政设施等的保护措施及施工修护；详勘孔洞的封堵、修复方案。以上产生的所有费用均已包含在投标报价综合考虑中，不再另外开项支付。</w:t>
      </w:r>
    </w:p>
    <w:p w14:paraId="6AA51D27">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（13）负责施工图预算编制、设计变更、设计变更造价分析、签证预算编制、竣工结算等造价文件的编制工作，配合相关部门结（决）算审计。</w:t>
      </w:r>
    </w:p>
    <w:p w14:paraId="2512346F">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14）负责配合办理或代为办理工程开工及验收所需的各项报监、报建、报验手续，包括但不限于：办理施工许可证（或临时施工许可证）、报监手续、缴交劳动保证金手续（如有）、施工合同备案手续、施工占道手续、余泥排放证、</w:t>
      </w:r>
      <w:r>
        <w:rPr>
          <w:rFonts w:hint="eastAsia" w:ascii="仿宋" w:hAnsi="仿宋" w:eastAsia="仿宋" w:cs="仿宋"/>
          <w:color w:val="auto"/>
          <w:highlight w:val="none"/>
          <w:lang w:val="en-US" w:eastAsia="zh-CN"/>
        </w:rPr>
        <w:t>树木砍伐证及相关树木保护/迁移手续、</w:t>
      </w:r>
      <w:r>
        <w:rPr>
          <w:rFonts w:hint="eastAsia" w:ascii="仿宋" w:hAnsi="仿宋" w:eastAsia="仿宋" w:cs="仿宋"/>
          <w:color w:val="auto"/>
          <w:highlight w:val="none"/>
          <w:lang w:eastAsia="zh-CN"/>
        </w:rPr>
        <w:t>地铁保护范围内准许手续、排污手续、交通疏解手续（含行政主管部门批复）、给排水接驳（永久用水接驳耗水费包含在合同总价中）、水质检测、排水许可证、夜间施工许可、施工噪声排污许可、临时排水许可、建筑废弃物处置核准、排水排污设施接驳许可、水电气等专业报建报装、分部分项工程验收、环保验收、消防验收、人防验收、卫生验收、防雷验收、永久排水许可证、节能验收、质量验收、规划验收、永久用水验收及通水、</w:t>
      </w:r>
      <w:r>
        <w:rPr>
          <w:rFonts w:hint="eastAsia" w:ascii="仿宋" w:hAnsi="仿宋" w:eastAsia="仿宋" w:cs="仿宋"/>
          <w:color w:val="auto"/>
          <w:highlight w:val="none"/>
          <w:lang w:eastAsia="zh"/>
        </w:rPr>
        <w:t>永久用电验收及通电、通信专项验收（光纤验收和信号覆盖验收）、有线电视验收、通邮验收、</w:t>
      </w:r>
      <w:r>
        <w:rPr>
          <w:rFonts w:hint="eastAsia" w:ascii="仿宋" w:hAnsi="仿宋" w:eastAsia="仿宋" w:cs="仿宋"/>
          <w:color w:val="auto"/>
          <w:highlight w:val="none"/>
          <w:lang w:eastAsia="zh-CN"/>
        </w:rPr>
        <w:t>永久路口开设验收、燃气验收及通气、办理公安门牌、制作安装主体工程竣工验收牌、竣工验收备案、配合确权登记、配合选房分房等工作，并支付办理上述工作中应由承包人承担的费用；承包人积极利用自身技术力量，负责组织实施开工前施工场地的地形复测工作，以上所有费用均已包含在投标报价综合考虑中，不再另外开项支付。</w:t>
      </w:r>
    </w:p>
    <w:p w14:paraId="0DBC78F5">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15）完成按有关规定应由承包人负责的检测、监测工作，及配合发包人委托的第三方检测、监测工作；为发包人委托的第三方单位提供至现场工作点的场地、道路、吊装设备、水、电等条件，以上所有费用均已包含在投标报价综合考虑中，不再另外开项支付。若因超前施工产生的扩大检测费用，由承包人承担。</w:t>
      </w:r>
    </w:p>
    <w:p w14:paraId="54892D7E">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16）负责施工期间至移交前的场地管理、保安、保洁、防噪音、防扬尘及绿化养护等管理工作；施工过程中不同施工阶段，均应做到工完场清，达到发包人、监理人的文明施工要求，交付时达到精保洁标准（精保洁以发包人及接收人的要求及次数为准）；负责设置卫生垃圾池和建筑垃圾外运工作；负责设置施工污水收集过滤系统，保证污水排放不得影响周边环境；本工程所有桩芯土、建筑垃圾、泥浆等承包人必须自行联系政府规定合法弃土地点，从工地清运出去，不论距离远近和运输过程中发生的环保费、城市卫生费等一切开支已包含在本项目合同价款中，并需做到满足项目要求、工完场清,以上所有费用均已包含在投标报价综合考虑中，不再另外开项支付。</w:t>
      </w:r>
    </w:p>
    <w:p w14:paraId="139CB0B3">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17）余泥渣土运输与排放费用，承包人须根据政府主管部门及相关政策要求、招标文件、现场条件、发包人提供的资料等，充分考虑实际所需的投入，含超前施工相关的公关、协调、沟通费用，并在投标报价中综合考虑。承包人须严格按政府主管部门及相关政策要求执行，发包人不接受承包人以此为理由的任何增加费用要求。</w:t>
      </w:r>
    </w:p>
    <w:p w14:paraId="532719F2">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（18）负责或配合做好开工、迎检、观摩、应急演练、竣工、移交、政府重大活动及日常接待等仪式或活动的筹备工作，以上所有费用均已包含在投标报价综合考虑中，不再另外开项支付。</w:t>
      </w:r>
    </w:p>
    <w:p w14:paraId="61638F2B">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19）项目施工范围为避免非法堆填等突发情况发生；本合同下全部工程移交前的成品保护和照管工作（含机电设备（包括智能化设备）检测、登记、运行、维护、耗材、水电气等费用）。以上所有费用均已包含在投标报价综合考虑中，不再另外开项支付。</w:t>
      </w:r>
    </w:p>
    <w:p w14:paraId="6515A643">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20）协助组织本项目的整体竣工验收及备案、负责整体工程资料汇总及档案整理归档工作、负责规划验收电子报批文件的办理。包括结算资料整理汇总、竣工图签审及竣工图编制；在本工程范围内工程资料正式移交给发包人及相关建设主管部门之前所产生的所有费用均已包含在投标报价综合考虑中，不再另外开项支付。</w:t>
      </w:r>
    </w:p>
    <w:p w14:paraId="27493A49">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21）装配式建筑运用。本项目要求积极响应《广东省人民政府办公厅关于印发广东省促进建筑业高质量发展若干措施的通知》（粤府办【2021】11号文）的文件要求，推进新型建筑工业化，住宅项目至少满足广东省《装配式建筑评价标准》（DBJ/T15-163-2019）基本级或者广州市《装配式建筑评价标准》（DB4401/T 151—2022）基本级的要求。有计划地开展装配式基地示范，积极发展成品住宅，形成一系列的科技研究成果，技术总结资料，促进项目的高质量发展。</w:t>
      </w:r>
    </w:p>
    <w:p w14:paraId="4679B5C0">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（22）模块化建造。承包人按照经各方审批同意的模块化建造实施方案及开放方案进行实施</w:t>
      </w:r>
      <w:r>
        <w:rPr>
          <w:rFonts w:hint="eastAsia" w:ascii="仿宋" w:hAnsi="仿宋" w:eastAsia="仿宋" w:cs="仿宋"/>
          <w:color w:val="auto"/>
          <w:highlight w:val="none"/>
          <w:lang w:eastAsia="zh"/>
        </w:rPr>
        <w:t>（以最后政府相关部门审批及政策实施要求为准</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eastAsia="zh"/>
        </w:rPr>
        <w:t>）</w:t>
      </w:r>
      <w:r>
        <w:rPr>
          <w:rFonts w:hint="eastAsia" w:ascii="仿宋" w:hAnsi="仿宋" w:eastAsia="仿宋" w:cs="仿宋"/>
          <w:color w:val="auto"/>
          <w:highlight w:val="none"/>
          <w:lang w:eastAsia="zh-CN"/>
        </w:rPr>
        <w:t>。负责模块化建筑的各类方案报批、检测试验、各类方案及其它所需评审工作（包括不限于专家评审；建造技术设计标准、检测标准、验收标准等评审工作）、建设、开放活动的组织与实施，至验收移交前的维护、保洁、接待、临时水电、绿化、安保、消防等所有管理工作。如模块化建造示范开放时间及范围与周边施工区域存在安全隐患或管理盲区，承包人应按发包人或监理要求完善其安全措施及相关管理措施。配合政府、发包人及其它单位完善模块化建筑的建造技术设计标准、检测标准、验收标准、造价资料收集及核定等工作，具体以政府及发包人要求为准。以上所有费用（含差旅费、试验费、专家评审费等）均已包含在投标报价综合考虑中，不再另外开项支付</w:t>
      </w:r>
      <w:r>
        <w:rPr>
          <w:rFonts w:hint="eastAsia" w:ascii="仿宋" w:hAnsi="仿宋" w:eastAsia="仿宋" w:cs="仿宋"/>
          <w:color w:val="auto"/>
          <w:highlight w:val="none"/>
          <w:lang w:eastAsia="zh"/>
        </w:rPr>
        <w:t>。</w:t>
      </w:r>
    </w:p>
    <w:p w14:paraId="3E620506">
      <w:pPr>
        <w:spacing w:line="360" w:lineRule="auto"/>
        <w:ind w:firstLine="523" w:firstLineChars="218"/>
        <w:rPr>
          <w:color w:val="auto"/>
          <w:highlight w:val="none"/>
          <w:lang w:eastAsia="zh-CN"/>
        </w:rPr>
      </w:pPr>
      <w:r>
        <w:rPr>
          <w:rFonts w:hint="eastAsia" w:ascii="仿宋" w:hAnsi="仿宋" w:eastAsia="仿宋" w:cs="仿宋"/>
          <w:color w:val="auto"/>
          <w:highlight w:val="none"/>
          <w:lang w:eastAsia="zh-CN"/>
        </w:rPr>
        <w:t>由于模块化建筑的建造技术设计标准、检测标准、验收标准等尚未颁布或未完善，超高层住宅属于结构超限，需在结构方案、设计方案、施工工艺及方案、检测方案、验收方案、成本方案、实施措施等需达到</w:t>
      </w:r>
      <w:r>
        <w:rPr>
          <w:rFonts w:hint="eastAsia" w:ascii="仿宋" w:hAnsi="仿宋" w:eastAsia="仿宋"/>
          <w:color w:val="auto"/>
          <w:highlight w:val="none"/>
          <w:lang w:eastAsia="zh-CN"/>
        </w:rPr>
        <w:t>发包人与政府联合专家组</w:t>
      </w:r>
      <w:r>
        <w:rPr>
          <w:rFonts w:hint="eastAsia" w:ascii="仿宋" w:hAnsi="仿宋" w:eastAsia="仿宋" w:cs="仿宋"/>
          <w:color w:val="auto"/>
          <w:highlight w:val="none"/>
          <w:lang w:eastAsia="zh-CN"/>
        </w:rPr>
        <w:t>给予评审、试验论证等</w:t>
      </w:r>
      <w:r>
        <w:rPr>
          <w:rFonts w:hint="eastAsia" w:ascii="仿宋" w:hAnsi="仿宋" w:eastAsia="仿宋"/>
          <w:color w:val="auto"/>
          <w:highlight w:val="none"/>
          <w:lang w:eastAsia="zh-CN"/>
        </w:rPr>
        <w:t>审议通过可行后</w:t>
      </w:r>
      <w:r>
        <w:rPr>
          <w:rFonts w:hint="eastAsia" w:ascii="仿宋" w:hAnsi="仿宋" w:eastAsia="仿宋" w:cs="仿宋"/>
          <w:color w:val="auto"/>
          <w:highlight w:val="none"/>
          <w:lang w:eastAsia="zh-CN"/>
        </w:rPr>
        <w:t>，才可动工实施。承包人需主导并配合政府及发包人充分做好相关工作。以上所有费用（含差旅费、试验费、专家评审费等）均已包含在投标报价综合考虑中，不再另外开项支付。</w:t>
      </w:r>
    </w:p>
    <w:p w14:paraId="544392BD">
      <w:pPr>
        <w:pStyle w:val="23"/>
        <w:spacing w:line="360" w:lineRule="auto"/>
        <w:ind w:firstLine="480" w:firstLineChars="200"/>
        <w:rPr>
          <w:rFonts w:hint="eastAsia"/>
          <w:color w:val="auto"/>
          <w:highlight w:val="none"/>
          <w:lang w:eastAsia="zh-CN"/>
        </w:rPr>
      </w:pPr>
      <w:r>
        <w:rPr>
          <w:rFonts w:hint="eastAsia" w:ascii="仿宋" w:hAnsi="仿宋" w:eastAsia="仿宋" w:cs="仿宋"/>
          <w:color w:val="auto"/>
          <w:sz w:val="24"/>
          <w:szCs w:val="24"/>
          <w:highlight w:val="none"/>
          <w:lang w:eastAsia="zh-CN"/>
        </w:rPr>
        <w:t>在建造过程中，应及时开展相关技术试验工作，在项目竣工验收前完成关键技术试验论证工作。本项目因模块化建造产生的在建造技术、工艺等方面突破的相关论文、研究成果发表、奖项申报应与发包人共享。</w:t>
      </w:r>
    </w:p>
    <w:p w14:paraId="2A303958">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（23）承包人需配合发包人做好征地拆迁、土地房屋征收、管线及绿化迁改等工作。</w:t>
      </w:r>
    </w:p>
    <w:p w14:paraId="5D290403">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24）本工程涉及的树木保护及迁移（包含树木保护实施方案编制与报批工作等），承包人应按照广州市人民政府最新的政策文件要求，完成树木迁移保护方案及实施养护，在建设工程交付期限内进行管养，如有政策更新，按最新文件执行。以上所有费用均已包含在投标报价中综合考虑，不再另外开项支付。</w:t>
      </w:r>
    </w:p>
    <w:p w14:paraId="7A6D07E7">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25）鼓励新能源应用，承包人应按照规定选用节能、节水、节地、节材、绿色环保的材料、设备和器具。承包人应提供绿色施工组织设计或绿色施工专项方案，并明确节能措施，因地制宜利用新能源、可再生能源，优先使用国家、行业推荐的节能、高效、环保的施工设备和机具。以上所有费用均已包含在投标报价综合考虑中，不再另外开项支付。</w:t>
      </w:r>
    </w:p>
    <w:p w14:paraId="15B4CE4A">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（26）为贯彻绿色发展理念，助力建筑业高质量发展，承包人应承诺推进氢燃料电池汽车作为混凝土搅拌车和建筑废弃物运输车在本项目的投入使用，投入比例需≥</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0%（即：投入的氢燃料电池汽车/投入的总车辆数≥</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0%），如有政策更新，按最新文件执行。经核查，如承包人未按上述要求执行，每发现一次承包人承担1次一般违约责任处罚。</w:t>
      </w:r>
      <w:r>
        <w:rPr>
          <w:rFonts w:hint="eastAsia" w:ascii="仿宋" w:hAnsi="仿宋" w:eastAsia="仿宋" w:cs="仿宋"/>
          <w:color w:val="auto"/>
          <w:highlight w:val="none"/>
          <w:lang w:val="en-US" w:eastAsia="zh-CN"/>
        </w:rPr>
        <w:t>额外</w:t>
      </w:r>
      <w:r>
        <w:rPr>
          <w:rFonts w:hint="eastAsia" w:ascii="仿宋" w:hAnsi="仿宋" w:eastAsia="仿宋" w:cs="仿宋"/>
          <w:color w:val="auto"/>
          <w:highlight w:val="none"/>
          <w:lang w:eastAsia="zh-CN"/>
        </w:rPr>
        <w:t>造成甲方损失或被相关主管部门通报的，承包人应积极整改并承担发包人损失。如承包人不予整改或整改不力，承包人除补偿发包人损失外，还应承担</w:t>
      </w:r>
      <w:r>
        <w:rPr>
          <w:rFonts w:hint="eastAsia" w:ascii="仿宋" w:hAnsi="仿宋" w:eastAsia="仿宋" w:cs="仿宋"/>
          <w:color w:val="auto"/>
          <w:highlight w:val="none"/>
          <w:lang w:val="en-US" w:eastAsia="zh-CN"/>
        </w:rPr>
        <w:t>严重</w:t>
      </w:r>
      <w:r>
        <w:rPr>
          <w:rFonts w:hint="eastAsia" w:ascii="仿宋" w:hAnsi="仿宋" w:eastAsia="仿宋" w:cs="仿宋"/>
          <w:color w:val="auto"/>
          <w:highlight w:val="none"/>
          <w:lang w:eastAsia="zh-CN"/>
        </w:rPr>
        <w:t>违约责任</w:t>
      </w:r>
      <w:r>
        <w:rPr>
          <w:rFonts w:hint="eastAsia" w:ascii="仿宋" w:hAnsi="仿宋" w:eastAsia="仿宋" w:cs="仿宋"/>
          <w:color w:val="auto"/>
          <w:highlight w:val="none"/>
          <w:lang w:val="en-US" w:eastAsia="zh-CN"/>
        </w:rPr>
        <w:t>处罚</w:t>
      </w:r>
      <w:r>
        <w:rPr>
          <w:rFonts w:hint="eastAsia" w:ascii="仿宋" w:hAnsi="仿宋" w:eastAsia="仿宋" w:cs="仿宋"/>
          <w:color w:val="auto"/>
          <w:highlight w:val="none"/>
          <w:lang w:eastAsia="zh-CN"/>
        </w:rPr>
        <w:t>。</w:t>
      </w:r>
    </w:p>
    <w:p w14:paraId="0A9CCF25">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（27）负责协调施工过程中的相关职能部门及周边居民，包括且不限于：街道居委、公安派出所、交通部门、质安监、住建、城管、劳动监察、检测等。</w:t>
      </w:r>
    </w:p>
    <w:p w14:paraId="0099CFC2">
      <w:pPr>
        <w:spacing w:line="360" w:lineRule="auto"/>
        <w:ind w:firstLine="523" w:firstLineChars="218"/>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（28）负责施工管理配合，配合发包人完成管线迁移工作，对由发包人另行发包的其他工程提供配合工作，包括但不限于提供场地、临时用水、临时用电和使用临时设施的配合工作。</w:t>
      </w:r>
    </w:p>
    <w:p w14:paraId="2F2C61FA">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（29）负责根据广州市住房和城乡建设局关于建设工程现场视频监控管理办法的规定，完成工程现场视频监控系统的方案（设计）报批、施工、维护等；</w:t>
      </w:r>
    </w:p>
    <w:p w14:paraId="65A70FE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（30）施工项目现场须使用智慧工地管理系统对施工现场（含周边设施）、办公区、生活区进行管理，智慧工地实施方案须经建设单位审批后实施。</w:t>
      </w:r>
    </w:p>
    <w:p w14:paraId="58C200E8">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31）负责完成的二次深化设计内容包括（但不限于幕墙设计（如有）、钢结构设计、栏杆设计、玻璃雨棚、铝合金百叶等）所有需二次深化设计的图纸。该部分费用已含在合同总价中，发包人不再另行计费。施工图二次深化时，乙方应满足甲方的使用要求，在不降低功能和保证安全的前提下，按不突破深化前该部分施工图计费总造价原则进行二次深化设计，否则增加的费用由承包人自行承担。</w:t>
      </w:r>
    </w:p>
    <w:p w14:paraId="2A3F48DC">
      <w:pPr>
        <w:spacing w:line="360" w:lineRule="auto"/>
        <w:ind w:firstLine="480" w:firstLineChars="200"/>
        <w:rPr>
          <w:rFonts w:hint="eastAsia" w:ascii="仿宋" w:hAnsi="仿宋" w:eastAsia="仿宋" w:cs="仿宋"/>
          <w:color w:val="auto"/>
          <w:highlight w:val="none"/>
          <w:lang w:eastAsia="zh-CN"/>
        </w:rPr>
      </w:pPr>
      <w:bookmarkStart w:id="33" w:name="OLE_LINK16"/>
      <w:r>
        <w:rPr>
          <w:rFonts w:hint="eastAsia" w:ascii="仿宋" w:hAnsi="仿宋" w:eastAsia="仿宋" w:cs="仿宋"/>
          <w:color w:val="auto"/>
          <w:highlight w:val="none"/>
          <w:lang w:eastAsia="zh-CN"/>
        </w:rPr>
        <w:t>（32）发包人指定的异地户型样板间</w:t>
      </w:r>
      <w:r>
        <w:rPr>
          <w:rFonts w:hint="eastAsia" w:ascii="仿宋" w:hAnsi="仿宋" w:eastAsia="仿宋" w:cs="仿宋"/>
          <w:color w:val="auto"/>
          <w:highlight w:val="none"/>
          <w:lang w:val="en-US" w:eastAsia="zh-CN"/>
        </w:rPr>
        <w:t>建设</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联合</w:t>
      </w:r>
      <w:r>
        <w:rPr>
          <w:rFonts w:hint="eastAsia" w:ascii="仿宋" w:hAnsi="仿宋" w:eastAsia="仿宋" w:cs="仿宋"/>
          <w:color w:val="auto"/>
          <w:highlight w:val="none"/>
          <w:lang w:eastAsia="zh-CN"/>
        </w:rPr>
        <w:t>办公场所外电</w:t>
      </w:r>
      <w:r>
        <w:rPr>
          <w:rFonts w:hint="eastAsia" w:ascii="仿宋" w:hAnsi="仿宋" w:eastAsia="仿宋" w:cs="仿宋"/>
          <w:color w:val="auto"/>
          <w:highlight w:val="none"/>
          <w:lang w:val="en-US" w:eastAsia="zh-CN"/>
        </w:rPr>
        <w:t>接入（暂定630KW，以现场实际情况为准）</w:t>
      </w:r>
      <w:r>
        <w:rPr>
          <w:rFonts w:hint="eastAsia" w:ascii="仿宋" w:hAnsi="仿宋" w:eastAsia="仿宋" w:cs="仿宋"/>
          <w:color w:val="auto"/>
          <w:highlight w:val="none"/>
          <w:lang w:eastAsia="zh-CN"/>
        </w:rPr>
        <w:t>的建设费用、</w:t>
      </w:r>
      <w:r>
        <w:rPr>
          <w:rFonts w:hint="eastAsia" w:ascii="仿宋" w:hAnsi="仿宋" w:eastAsia="仿宋" w:cs="仿宋"/>
          <w:color w:val="auto"/>
          <w:highlight w:val="none"/>
          <w:lang w:val="en-US" w:eastAsia="zh-CN"/>
        </w:rPr>
        <w:t>联合办公场所水电费用</w:t>
      </w:r>
      <w:r>
        <w:rPr>
          <w:rFonts w:hint="eastAsia" w:ascii="仿宋" w:hAnsi="仿宋" w:eastAsia="仿宋" w:cs="仿宋"/>
          <w:color w:val="auto"/>
          <w:highlight w:val="none"/>
          <w:lang w:eastAsia="zh-CN"/>
        </w:rPr>
        <w:t>已包含在投标报价中综合考虑，产生的费用均不再另外开项支付，</w:t>
      </w:r>
      <w:r>
        <w:rPr>
          <w:rFonts w:hint="eastAsia" w:ascii="仿宋" w:hAnsi="仿宋" w:eastAsia="仿宋" w:cs="仿宋"/>
          <w:color w:val="auto"/>
          <w:highlight w:val="none"/>
          <w:lang w:val="en-US" w:eastAsia="zh-CN"/>
        </w:rPr>
        <w:t>无论最终样板间、联合</w:t>
      </w:r>
      <w:r>
        <w:rPr>
          <w:rFonts w:hint="eastAsia" w:ascii="仿宋" w:hAnsi="仿宋" w:eastAsia="仿宋" w:cs="仿宋"/>
          <w:color w:val="auto"/>
          <w:highlight w:val="none"/>
          <w:lang w:eastAsia="zh-CN"/>
        </w:rPr>
        <w:t>办公场所</w:t>
      </w:r>
      <w:r>
        <w:rPr>
          <w:rFonts w:hint="eastAsia" w:ascii="仿宋" w:hAnsi="仿宋" w:eastAsia="仿宋" w:cs="仿宋"/>
          <w:color w:val="auto"/>
          <w:highlight w:val="none"/>
          <w:lang w:val="en-US" w:eastAsia="zh-CN"/>
        </w:rPr>
        <w:t>选址是否在原设计主体结构范围内或红线范围内/外</w:t>
      </w:r>
      <w:r>
        <w:rPr>
          <w:rFonts w:hint="eastAsia" w:ascii="仿宋" w:hAnsi="仿宋" w:eastAsia="仿宋" w:cs="仿宋"/>
          <w:color w:val="auto"/>
          <w:highlight w:val="none"/>
          <w:lang w:eastAsia="zh-CN"/>
        </w:rPr>
        <w:t>。</w:t>
      </w:r>
      <w:bookmarkEnd w:id="33"/>
    </w:p>
    <w:p w14:paraId="61F37590">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lang w:eastAsia="zh-CN"/>
        </w:rPr>
        <w:t>）发包人有权要求施工使用爬架，铝模，相关费用在合同总价中综合考虑。</w:t>
      </w:r>
    </w:p>
    <w:p w14:paraId="258BF42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lang w:eastAsia="zh-CN"/>
        </w:rPr>
        <w:t>）预制件条板，承包人应该结合装修图，提前预留水电管线及开关布置，不宜出现后期开孔打凿。否则，由此增加的额外费用由承包人自行承担。</w:t>
      </w:r>
    </w:p>
    <w:p w14:paraId="36A882D4">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eastAsia="zh-CN" w:bidi="ar-SA"/>
        </w:rPr>
        <w:t>按照《广州市住房和城乡建设局关于推进建筑施工设备更新工作的通知》</w:t>
      </w:r>
      <w:r>
        <w:rPr>
          <w:rFonts w:hint="eastAsia" w:ascii="仿宋" w:hAnsi="仿宋" w:eastAsia="仿宋" w:cs="仿宋"/>
          <w:color w:val="auto"/>
          <w:highlight w:val="none"/>
          <w:lang w:eastAsia="zh-CN"/>
        </w:rPr>
        <w:t>(穗建筑[2024]539号)要求实施建筑施工设备更新工作，各项内容应该符合要求。</w:t>
      </w:r>
    </w:p>
    <w:p w14:paraId="10C27F2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按照广州市城中村改造建设指挥部办公室关于印发《广州市城中村改造项目改造主体工作评估实施细则（试行）》的通知中关于“四好”建设、“平急两用”、新型建筑工业化、绿色建筑（含光伏）、建筑废弃物再利用、市政管线同步建设（含综合管廊建设）、城中村改造与保障性住房建设相结合等相关工作内容，各项内容均应达到“优秀”标准。</w:t>
      </w:r>
    </w:p>
    <w:p w14:paraId="2AE3241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lang w:eastAsia="zh-CN"/>
        </w:rPr>
        <w:t>）EPC联合体需配合建筑工程质量潜在缺陷保险承保人及其风险评估机构的工作，相关费用已包含在投标报价中综合考虑，不再另外开项支付。</w:t>
      </w:r>
    </w:p>
    <w:p w14:paraId="590A80C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lang w:eastAsia="zh-CN"/>
        </w:rPr>
        <w:t>）其他工作：</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14:paraId="503D4085">
      <w:pPr>
        <w:spacing w:line="360" w:lineRule="auto"/>
        <w:ind w:firstLine="48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eastAsia="zh-CN"/>
        </w:rPr>
        <w:t>2.4</w:t>
      </w:r>
      <w:r>
        <w:rPr>
          <w:rFonts w:hint="eastAsia" w:ascii="仿宋" w:hAnsi="仿宋" w:eastAsia="仿宋" w:cs="仿宋"/>
          <w:color w:val="auto"/>
          <w:highlight w:val="none"/>
          <w:lang w:val="en-US" w:eastAsia="zh-CN"/>
        </w:rPr>
        <w:t xml:space="preserve"> BIM技术应用</w:t>
      </w:r>
    </w:p>
    <w:p w14:paraId="29463425">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本项目在设计阶段、施工阶段采用BIM技术，并预留运营阶段的数据接入条件。</w:t>
      </w:r>
      <w:r>
        <w:rPr>
          <w:rFonts w:hint="eastAsia" w:ascii="仿宋" w:hAnsi="仿宋" w:eastAsia="仿宋" w:cs="仿宋"/>
          <w:color w:val="auto"/>
          <w:highlight w:val="none"/>
          <w:lang w:eastAsia="zh-CN"/>
        </w:rPr>
        <w:t>本项目要求充分运用BIM正向设计技术，要求在设计阶段利用BIM模块进行参数化设计、日照能耗分析、交通线规划、管线优化、结构分析、风向分析、环境分析、造价分析等；并利用BIM建模来优化设计、保证有效衔接施工管理工作，通过BIM审查和CIM系统管理；利用BIM模块进行施工模拟、方案优化、施工安全、进度控制、造价分析、实时反馈、工程自动化、供应链管理、场地布局规划等。</w:t>
      </w:r>
    </w:p>
    <w:p w14:paraId="4DEC42F8">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val="en-US" w:eastAsia="zh-CN"/>
        </w:rPr>
        <w:t xml:space="preserve">2.5 </w:t>
      </w:r>
      <w:r>
        <w:rPr>
          <w:rFonts w:hint="eastAsia" w:ascii="仿宋" w:hAnsi="仿宋" w:eastAsia="仿宋" w:cs="仿宋"/>
          <w:color w:val="auto"/>
          <w:highlight w:val="none"/>
          <w:lang w:eastAsia="zh-CN"/>
        </w:rPr>
        <w:t>根据附件六《勘察设计任务书》，在不降低初步设计相关标准和工程安全的前提下，实行全过程限额设计，限额投资。</w:t>
      </w:r>
    </w:p>
    <w:p w14:paraId="6EC69130">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2.</w:t>
      </w:r>
      <w:r>
        <w:rPr>
          <w:rFonts w:hint="eastAsia" w:ascii="仿宋" w:hAnsi="仿宋" w:eastAsia="仿宋" w:cs="仿宋"/>
          <w:color w:val="auto"/>
          <w:highlight w:val="none"/>
          <w:lang w:val="en-US" w:eastAsia="zh-CN"/>
        </w:rPr>
        <w:t>6</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做好项目勘察、设计、施工总协调（含专业分包管理）工作及工程涉及的其它协调管理工作。</w:t>
      </w:r>
    </w:p>
    <w:p w14:paraId="1F219548">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2.</w:t>
      </w:r>
      <w:r>
        <w:rPr>
          <w:rFonts w:hint="eastAsia" w:ascii="仿宋" w:hAnsi="仿宋" w:eastAsia="仿宋" w:cs="仿宋"/>
          <w:color w:val="auto"/>
          <w:highlight w:val="none"/>
          <w:lang w:val="en-US" w:eastAsia="zh-CN"/>
        </w:rPr>
        <w:t>7</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交付（包括但不限于交付移交村民）活动组织。承包人按照经发包人同意的交付实施方案组织现场交付一切工作。上述所有费用已包含在投标报价综合考虑中，不再另外开项支付。</w:t>
      </w:r>
    </w:p>
    <w:p w14:paraId="68637153">
      <w:pPr>
        <w:spacing w:line="360" w:lineRule="auto"/>
        <w:ind w:firstLine="523" w:firstLineChars="218"/>
        <w:rPr>
          <w:rFonts w:hint="eastAsia" w:ascii="仿宋" w:hAnsi="仿宋" w:eastAsia="仿宋" w:cs="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lang w:eastAsia="zh-CN"/>
        </w:rPr>
        <w:t>发包人根据工程实施情况，有权对承包人的承包范围及内容进行适当调整，调整的部分应及时通知承包人，双方另签协议明确承包人范围。</w:t>
      </w:r>
    </w:p>
    <w:p w14:paraId="7A066531">
      <w:pPr>
        <w:spacing w:line="360" w:lineRule="auto"/>
        <w:ind w:firstLine="523" w:firstLineChars="218"/>
        <w:rPr>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val="en-US" w:eastAsia="zh-CN"/>
        </w:rPr>
        <w:t>9</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以上未列出，但施工图纸或规范中已包括的其他内容。</w:t>
      </w:r>
    </w:p>
    <w:p w14:paraId="07004297">
      <w:pPr>
        <w:spacing w:line="360" w:lineRule="auto"/>
        <w:ind w:firstLine="523" w:firstLineChars="218"/>
        <w:rPr>
          <w:rFonts w:ascii="仿宋" w:hAnsi="仿宋" w:eastAsia="仿宋" w:cs="仿宋"/>
          <w:color w:val="auto"/>
          <w:highlight w:val="none"/>
          <w:u w:val="single"/>
          <w:lang w:eastAsia="zh-CN"/>
        </w:rPr>
      </w:pPr>
    </w:p>
    <w:p w14:paraId="2017C043">
      <w:pPr>
        <w:spacing w:line="360" w:lineRule="auto"/>
        <w:outlineLvl w:val="1"/>
        <w:rPr>
          <w:rFonts w:hint="eastAsia" w:ascii="仿宋" w:hAnsi="仿宋" w:eastAsia="仿宋" w:cs="仿宋"/>
          <w:b/>
          <w:bCs/>
          <w:color w:val="auto"/>
          <w:highlight w:val="none"/>
          <w:lang w:eastAsia="zh-CN"/>
        </w:rPr>
      </w:pPr>
      <w:bookmarkStart w:id="34" w:name="_Toc23438"/>
      <w:bookmarkStart w:id="35" w:name="_Toc18079"/>
      <w:bookmarkStart w:id="36" w:name="_Toc47694257"/>
      <w:bookmarkStart w:id="37" w:name="_Toc18578"/>
      <w:bookmarkStart w:id="38" w:name="_Toc26421"/>
      <w:bookmarkStart w:id="39" w:name="_Toc2892"/>
      <w:bookmarkStart w:id="40" w:name="_Toc8014"/>
      <w:bookmarkStart w:id="41" w:name="_Toc12244"/>
      <w:bookmarkStart w:id="42" w:name="_Toc28391"/>
      <w:r>
        <w:rPr>
          <w:rFonts w:hint="eastAsia" w:ascii="仿宋" w:hAnsi="仿宋" w:eastAsia="仿宋" w:cs="仿宋"/>
          <w:b/>
          <w:bCs/>
          <w:color w:val="auto"/>
          <w:highlight w:val="none"/>
          <w:lang w:eastAsia="zh-CN"/>
        </w:rPr>
        <w:t>★三、质量标准和要求</w:t>
      </w:r>
      <w:bookmarkEnd w:id="34"/>
      <w:bookmarkEnd w:id="35"/>
      <w:bookmarkEnd w:id="36"/>
      <w:bookmarkEnd w:id="37"/>
      <w:bookmarkEnd w:id="38"/>
      <w:bookmarkEnd w:id="39"/>
      <w:bookmarkEnd w:id="40"/>
      <w:bookmarkEnd w:id="41"/>
      <w:bookmarkEnd w:id="42"/>
    </w:p>
    <w:p w14:paraId="6D8F3B00">
      <w:pPr>
        <w:kinsoku w:val="0"/>
        <w:wordWrap w:val="0"/>
        <w:spacing w:line="360" w:lineRule="auto"/>
        <w:ind w:firstLine="566" w:firstLineChars="236"/>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w:t>
      </w:r>
      <w:r>
        <w:rPr>
          <w:rFonts w:hint="eastAsia" w:ascii="仿宋" w:hAnsi="仿宋" w:eastAsia="仿宋"/>
          <w:color w:val="auto"/>
          <w:highlight w:val="none"/>
          <w:lang w:eastAsia="zh-CN"/>
        </w:rPr>
        <w:t>勘察标准和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（勘察</w:t>
      </w:r>
      <w:r>
        <w:rPr>
          <w:rFonts w:ascii="仿宋" w:hAnsi="仿宋" w:eastAsia="仿宋"/>
          <w:color w:val="auto"/>
          <w:highlight w:val="none"/>
          <w:lang w:eastAsia="zh-CN"/>
        </w:rPr>
        <w:t>文件编制</w:t>
      </w:r>
      <w:r>
        <w:rPr>
          <w:rFonts w:hint="eastAsia" w:ascii="仿宋" w:hAnsi="仿宋" w:eastAsia="仿宋"/>
          <w:color w:val="auto"/>
          <w:highlight w:val="none"/>
          <w:lang w:eastAsia="zh-CN"/>
        </w:rPr>
        <w:t>及勘察目标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s="仿宋"/>
          <w:color w:val="auto"/>
          <w:highlight w:val="none"/>
          <w:u w:val="single"/>
          <w:lang w:eastAsia="zh-CN"/>
        </w:rPr>
        <w:t>满足勘察设计任务书要求，符合《建设工程质量管理条例》《建设工程勘察设计管理条例》《建筑工程设计文件编制深度规定（2016年版）》等国家及地方有关工程勘察管理法规和规章，达到行业相关规范技术标准等要求。</w:t>
      </w:r>
    </w:p>
    <w:p w14:paraId="1BB47641">
      <w:pPr>
        <w:kinsoku w:val="0"/>
        <w:wordWrap w:val="0"/>
        <w:spacing w:line="360" w:lineRule="auto"/>
        <w:ind w:firstLine="480" w:firstLineChars="200"/>
        <w:rPr>
          <w:rFonts w:hint="default" w:ascii="仿宋" w:hAnsi="仿宋" w:eastAsia="仿宋"/>
          <w:color w:val="auto"/>
          <w:highlight w:val="none"/>
          <w:u w:val="single"/>
          <w:lang w:val="en-US" w:eastAsia="zh-CN"/>
        </w:rPr>
      </w:pPr>
      <w:r>
        <w:rPr>
          <w:rFonts w:hint="eastAsia" w:ascii="仿宋" w:hAnsi="仿宋" w:eastAsia="仿宋" w:cs="仿宋"/>
          <w:color w:val="auto"/>
          <w:highlight w:val="none"/>
          <w:lang w:eastAsia="zh-CN"/>
        </w:rPr>
        <w:t>2、</w:t>
      </w:r>
      <w:r>
        <w:rPr>
          <w:rFonts w:hint="eastAsia" w:ascii="仿宋" w:hAnsi="仿宋" w:eastAsia="仿宋"/>
          <w:color w:val="auto"/>
          <w:highlight w:val="none"/>
          <w:lang w:eastAsia="zh-CN"/>
        </w:rPr>
        <w:t>设计标准和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（设计</w:t>
      </w:r>
      <w:r>
        <w:rPr>
          <w:rFonts w:ascii="仿宋" w:hAnsi="仿宋" w:eastAsia="仿宋"/>
          <w:color w:val="auto"/>
          <w:highlight w:val="none"/>
          <w:lang w:eastAsia="zh-CN"/>
        </w:rPr>
        <w:t>文件编制</w:t>
      </w:r>
      <w:r>
        <w:rPr>
          <w:rFonts w:hint="eastAsia" w:ascii="仿宋" w:hAnsi="仿宋" w:eastAsia="仿宋"/>
          <w:color w:val="auto"/>
          <w:highlight w:val="none"/>
          <w:lang w:eastAsia="zh-CN"/>
        </w:rPr>
        <w:t>及</w:t>
      </w:r>
      <w:r>
        <w:rPr>
          <w:rFonts w:ascii="仿宋" w:hAnsi="仿宋" w:eastAsia="仿宋"/>
          <w:color w:val="auto"/>
          <w:highlight w:val="none"/>
          <w:lang w:eastAsia="zh-CN"/>
        </w:rPr>
        <w:t>限额设计</w:t>
      </w:r>
      <w:r>
        <w:rPr>
          <w:rFonts w:hint="eastAsia" w:ascii="仿宋" w:hAnsi="仿宋" w:eastAsia="仿宋"/>
          <w:color w:val="auto"/>
          <w:highlight w:val="none"/>
          <w:lang w:eastAsia="zh-CN"/>
        </w:rPr>
        <w:t>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满足本工程勘察设计任务书要求（详见附件六），符合国家、地方及行业现行标准、规范及规定的要求及深度，</w:t>
      </w:r>
      <w:r>
        <w:rPr>
          <w:rFonts w:hint="eastAsia" w:ascii="仿宋" w:hAnsi="仿宋" w:eastAsia="仿宋"/>
          <w:color w:val="auto"/>
          <w:highlight w:val="none"/>
          <w:u w:val="single"/>
          <w:lang w:val="en-US" w:eastAsia="zh-CN"/>
        </w:rPr>
        <w:t>在</w:t>
      </w:r>
      <w:r>
        <w:rPr>
          <w:rFonts w:hint="eastAsia" w:ascii="仿宋" w:hAnsi="仿宋" w:eastAsia="仿宋"/>
          <w:color w:val="auto"/>
          <w:highlight w:val="none"/>
          <w:u w:val="single"/>
          <w:lang w:eastAsia="zh-CN"/>
        </w:rPr>
        <w:t>满足发包人发出的限额设计要求</w:t>
      </w:r>
      <w:r>
        <w:rPr>
          <w:rFonts w:hint="eastAsia" w:ascii="仿宋" w:hAnsi="仿宋" w:eastAsia="仿宋"/>
          <w:color w:val="auto"/>
          <w:highlight w:val="none"/>
          <w:u w:val="single"/>
          <w:lang w:val="en-US" w:eastAsia="zh-CN"/>
        </w:rPr>
        <w:t>的基础上，满足《广州市水务局关于印发广州市生活饮用水品质提升技术指引要点(试行）的通知》《广州市装配式装修认定指引(试行)》《广州市白云区人民政府办公室关于印发广州市白云区新城建实施工作方案的通知》（云府办</w:t>
      </w:r>
      <w:r>
        <w:rPr>
          <w:rFonts w:hint="eastAsia" w:ascii="仿宋" w:hAnsi="仿宋" w:eastAsia="仿宋" w:cs="仿宋"/>
          <w:color w:val="auto"/>
          <w:highlight w:val="none"/>
          <w:u w:val="single"/>
          <w:lang w:val="en-US" w:eastAsia="zh-CN"/>
        </w:rPr>
        <w:t>〔2024〕81号</w:t>
      </w:r>
      <w:r>
        <w:rPr>
          <w:rFonts w:hint="eastAsia" w:ascii="仿宋" w:hAnsi="仿宋" w:eastAsia="仿宋"/>
          <w:color w:val="auto"/>
          <w:highlight w:val="none"/>
          <w:u w:val="single"/>
          <w:lang w:val="en-US" w:eastAsia="zh-CN"/>
        </w:rPr>
        <w:t>）及广州市城中村改造建设指挥部办公室关于印发《广州市城中村改造项目改造主体工作评估实施细则（试行）》的通知（穗建前期</w:t>
      </w:r>
      <w:r>
        <w:rPr>
          <w:rFonts w:hint="eastAsia" w:ascii="仿宋" w:hAnsi="仿宋" w:eastAsia="仿宋" w:cs="仿宋"/>
          <w:color w:val="auto"/>
          <w:highlight w:val="none"/>
          <w:u w:val="single"/>
          <w:lang w:val="en-US" w:eastAsia="zh-CN"/>
        </w:rPr>
        <w:t>〔2025〕158号</w:t>
      </w:r>
      <w:r>
        <w:rPr>
          <w:rFonts w:hint="eastAsia" w:ascii="仿宋" w:hAnsi="仿宋" w:eastAsia="仿宋"/>
          <w:color w:val="auto"/>
          <w:highlight w:val="none"/>
          <w:u w:val="single"/>
          <w:lang w:val="en-US" w:eastAsia="zh-CN"/>
        </w:rPr>
        <w:t>）中“优秀档”的相关要求</w:t>
      </w:r>
      <w:r>
        <w:rPr>
          <w:rFonts w:hint="eastAsia" w:ascii="仿宋" w:hAnsi="仿宋" w:eastAsia="仿宋"/>
          <w:color w:val="auto"/>
          <w:highlight w:val="none"/>
          <w:u w:val="single"/>
          <w:lang w:eastAsia="zh-CN"/>
        </w:rPr>
        <w:t>，</w:t>
      </w:r>
      <w:r>
        <w:rPr>
          <w:rFonts w:hint="eastAsia" w:ascii="仿宋" w:hAnsi="仿宋" w:eastAsia="仿宋"/>
          <w:color w:val="auto"/>
          <w:highlight w:val="none"/>
          <w:u w:val="single"/>
          <w:lang w:val="en-US" w:eastAsia="zh-CN"/>
        </w:rPr>
        <w:t xml:space="preserve">其中：     </w:t>
      </w:r>
      <w:r>
        <w:rPr>
          <w:rFonts w:hint="eastAsia" w:ascii="仿宋" w:hAnsi="仿宋" w:eastAsia="仿宋"/>
          <w:color w:val="auto"/>
          <w:highlight w:val="none"/>
          <w:lang w:val="en-US" w:eastAsia="zh-CN"/>
        </w:rPr>
        <w:t>2.1、</w:t>
      </w:r>
      <w:r>
        <w:rPr>
          <w:rFonts w:hint="eastAsia" w:ascii="仿宋" w:hAnsi="仿宋" w:eastAsia="仿宋"/>
          <w:color w:val="auto"/>
          <w:highlight w:val="none"/>
          <w:u w:val="single"/>
          <w:lang w:val="en-US" w:eastAsia="zh-CN"/>
        </w:rPr>
        <w:t>“四好”建设</w:t>
      </w:r>
    </w:p>
    <w:p w14:paraId="08B316DA">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2.1.</w:t>
      </w:r>
      <w:r>
        <w:rPr>
          <w:rFonts w:hint="eastAsia" w:ascii="仿宋" w:hAnsi="仿宋" w:eastAsia="仿宋"/>
          <w:color w:val="auto"/>
          <w:highlight w:val="none"/>
          <w:lang w:eastAsia="zh-CN"/>
        </w:rPr>
        <w:t>1切实保障工程质量安全。工程设计和施工严格执行现行的技术标准规范，购买工程质量潜在缺陷保险和安全生产责任保险；室内设置空调室外机安装窗洞口，或者在阳台、开启窗扇内侧设置挂安全吊绳的埋件、挂勾等设施。</w:t>
      </w:r>
    </w:p>
    <w:p w14:paraId="465FB83F">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2.1.</w:t>
      </w:r>
      <w:r>
        <w:rPr>
          <w:rFonts w:hint="eastAsia" w:ascii="仿宋" w:hAnsi="仿宋" w:eastAsia="仿宋"/>
          <w:color w:val="auto"/>
          <w:highlight w:val="none"/>
          <w:lang w:eastAsia="zh-CN"/>
        </w:rPr>
        <w:t>2切实有效提升居住舒适感。安置房住宅建筑居住楼层的层高不小于3.0m；楼板厚度不少于130mm 且隔音涂料涂覆厚度不少于3mm，或楼板厚度不少于160mm；外窗采用6+9A+6 及以上规格中空low-e 玻璃；住宅建筑的电梯厅、公共走道等公共空间采用自然采光、自然通风或配置新风换气设施；电梯轿厢高度≥2500mm</w:t>
      </w:r>
      <w:r>
        <w:rPr>
          <w:rFonts w:hint="eastAsia" w:ascii="仿宋" w:hAnsi="仿宋" w:eastAsia="仿宋"/>
          <w:color w:val="auto"/>
          <w:highlight w:val="none"/>
          <w:lang w:eastAsia="zh"/>
        </w:rPr>
        <w:t>，电梯轿厢内置空调，电梯地面为瓷砖铺贴，配备断电平层功能</w:t>
      </w:r>
      <w:r>
        <w:rPr>
          <w:rFonts w:hint="eastAsia" w:ascii="仿宋" w:hAnsi="仿宋" w:eastAsia="仿宋"/>
          <w:color w:val="auto"/>
          <w:highlight w:val="none"/>
          <w:lang w:eastAsia="zh-CN"/>
        </w:rPr>
        <w:t>；生活供水采用分格双水箱，达到水箱清洗或维护不影响住户用水；建筑面积超过80 平方米的住宅起居室（厅）净宽不小于2.8 米，主要卧室的净宽不小于2.5 米，次要卧室的短边净宽不小于2 米，阳台进深不小于1.5 米。</w:t>
      </w:r>
    </w:p>
    <w:p w14:paraId="04E89DB7">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2.1.</w:t>
      </w:r>
      <w:r>
        <w:rPr>
          <w:rFonts w:hint="eastAsia" w:ascii="仿宋" w:hAnsi="仿宋" w:eastAsia="仿宋"/>
          <w:color w:val="auto"/>
          <w:highlight w:val="none"/>
          <w:lang w:eastAsia="zh-CN"/>
        </w:rPr>
        <w:t>3提升居住环境绿色健康。落实《加强园林绿化规划建设管理推进“四好”建设工作指引(试行)》（穗林业园林通〔2024〕307 号）相关要求。</w:t>
      </w:r>
    </w:p>
    <w:p w14:paraId="01F5896C">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2.1.</w:t>
      </w:r>
      <w:r>
        <w:rPr>
          <w:rFonts w:hint="eastAsia" w:ascii="仿宋" w:hAnsi="仿宋" w:eastAsia="仿宋"/>
          <w:color w:val="auto"/>
          <w:highlight w:val="none"/>
          <w:lang w:eastAsia="zh-CN"/>
        </w:rPr>
        <w:t>4开展数字家庭建设。信息综合布线满足数字家庭系统需求，能实现系统平台、家居产品互联互通；依照相关标准同步配建光纤到户和移动通信基础设施；户内设置基本智能产品，预留居家异常行为监控、紧急呼叫、健康管理等智能产品的设置条件；满足居民用电用火用气用水安全、环境与健康监测等需求。</w:t>
      </w:r>
    </w:p>
    <w:p w14:paraId="0637978D">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2.1.</w:t>
      </w:r>
      <w:r>
        <w:rPr>
          <w:rFonts w:hint="eastAsia" w:ascii="仿宋" w:hAnsi="仿宋" w:eastAsia="仿宋"/>
          <w:color w:val="auto"/>
          <w:highlight w:val="none"/>
          <w:lang w:eastAsia="zh-CN"/>
        </w:rPr>
        <w:t>5完善社区配套。按照《完整居住社区建设指南》《广州市城乡规划技术规定》、用地条件的相关要求统筹设置公建配套设施。</w:t>
      </w:r>
    </w:p>
    <w:p w14:paraId="33F36335">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2.1.</w:t>
      </w:r>
      <w:r>
        <w:rPr>
          <w:rFonts w:hint="eastAsia" w:ascii="仿宋" w:hAnsi="仿宋" w:eastAsia="仿宋"/>
          <w:color w:val="auto"/>
          <w:highlight w:val="none"/>
          <w:lang w:eastAsia="zh-CN"/>
        </w:rPr>
        <w:t>6智慧住区建设。满足广州市地方标准《基于城市信息模型的应用规范第三部分:智慧住区建设、运营及评价》智慧住区部分对单栋楼控制项要求，且不少于50%项目达到二星级水平且不少于20%项目达到三星级水平（以栋为单位进行评价）。</w:t>
      </w:r>
    </w:p>
    <w:p w14:paraId="5C07FBC1">
      <w:pPr>
        <w:kinsoku w:val="0"/>
        <w:wordWrap w:val="0"/>
        <w:spacing w:line="360" w:lineRule="auto"/>
        <w:ind w:firstLine="480" w:firstLineChars="200"/>
        <w:rPr>
          <w:rFonts w:hint="eastAsia" w:ascii="仿宋" w:hAnsi="仿宋" w:eastAsia="仿宋"/>
          <w:color w:val="auto"/>
          <w:highlight w:val="none"/>
          <w:lang w:val="en-US" w:eastAsia="zh-CN"/>
        </w:rPr>
      </w:pPr>
      <w:r>
        <w:rPr>
          <w:rFonts w:hint="eastAsia" w:ascii="仿宋" w:hAnsi="仿宋" w:eastAsia="仿宋"/>
          <w:color w:val="auto"/>
          <w:highlight w:val="none"/>
          <w:lang w:val="en-US" w:eastAsia="zh-CN"/>
        </w:rPr>
        <w:t>2.1.</w:t>
      </w:r>
      <w:r>
        <w:rPr>
          <w:rFonts w:hint="eastAsia" w:ascii="仿宋" w:hAnsi="仿宋" w:eastAsia="仿宋"/>
          <w:color w:val="auto"/>
          <w:highlight w:val="none"/>
          <w:lang w:eastAsia="zh-CN"/>
        </w:rPr>
        <w:t>7风貌保护与文化传承。保护历史文化遗产和特色风貌，保留、复建、恢复对原村落传统生活中已形成的有传统特征的空间和场所（祠堂、学堂）。</w:t>
      </w:r>
    </w:p>
    <w:p w14:paraId="3DC0483E">
      <w:pPr>
        <w:kinsoku w:val="0"/>
        <w:wordWrap w:val="0"/>
        <w:spacing w:line="360" w:lineRule="auto"/>
        <w:ind w:firstLine="480" w:firstLineChars="200"/>
        <w:rPr>
          <w:rFonts w:hint="eastAsia" w:ascii="仿宋" w:hAnsi="仿宋" w:eastAsia="仿宋"/>
          <w:color w:val="auto"/>
          <w:highlight w:val="none"/>
          <w:u w:val="single"/>
          <w:lang w:val="en-US" w:eastAsia="zh-CN"/>
        </w:rPr>
      </w:pPr>
      <w:r>
        <w:rPr>
          <w:rFonts w:hint="eastAsia" w:ascii="仿宋" w:hAnsi="仿宋" w:eastAsia="仿宋"/>
          <w:color w:val="auto"/>
          <w:highlight w:val="none"/>
          <w:u w:val="single"/>
          <w:lang w:val="en-US" w:eastAsia="zh-CN"/>
        </w:rPr>
        <w:t>2.2、“平急两用”</w:t>
      </w:r>
    </w:p>
    <w:p w14:paraId="64CCC9B5">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按照《广东省“平急两用”公共基础设施建设设计指引》《旅居类“平急两用”公共基础设施转换设计方案编制指引》，在设计中嵌入“急时”功能、预留转换空间，并编制《旅居类“平急两用”公共基础设施转换设计方案》《旅居类“平急两用”公共基础设施“平时转急时”功能转换实施方案》，且内容完整，且按方案执行。</w:t>
      </w:r>
    </w:p>
    <w:p w14:paraId="54D41453">
      <w:pPr>
        <w:kinsoku w:val="0"/>
        <w:wordWrap w:val="0"/>
        <w:spacing w:line="360" w:lineRule="auto"/>
        <w:ind w:firstLine="480" w:firstLineChars="200"/>
        <w:rPr>
          <w:rFonts w:hint="default" w:ascii="仿宋" w:hAnsi="仿宋" w:eastAsia="仿宋"/>
          <w:color w:val="auto"/>
          <w:highlight w:val="none"/>
          <w:u w:val="single"/>
          <w:lang w:val="en-US" w:eastAsia="zh-CN"/>
        </w:rPr>
      </w:pPr>
      <w:r>
        <w:rPr>
          <w:rFonts w:hint="eastAsia" w:ascii="仿宋" w:hAnsi="仿宋" w:eastAsia="仿宋"/>
          <w:color w:val="auto"/>
          <w:highlight w:val="none"/>
          <w:u w:val="single"/>
          <w:lang w:val="en-US" w:eastAsia="zh-CN"/>
        </w:rPr>
        <w:t>2.3、新型建筑工业化</w:t>
      </w:r>
    </w:p>
    <w:p w14:paraId="143B3828">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2.3.</w:t>
      </w:r>
      <w:r>
        <w:rPr>
          <w:rFonts w:hint="eastAsia" w:ascii="仿宋" w:hAnsi="仿宋" w:eastAsia="仿宋"/>
          <w:color w:val="auto"/>
          <w:highlight w:val="none"/>
          <w:lang w:eastAsia="zh-CN"/>
        </w:rPr>
        <w:t>1安置区80%以上项目面积按照装配式建筑评价标准进行规划、设计和建造，其中有不少于15%的项目面积达到装配式建筑评价标准A 级，居住建筑100%按照装配式建筑评价标准进行规划、设计和建造。</w:t>
      </w:r>
    </w:p>
    <w:p w14:paraId="2B41AC8A">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2.3.</w:t>
      </w:r>
      <w:r>
        <w:rPr>
          <w:rFonts w:hint="eastAsia" w:ascii="仿宋" w:hAnsi="仿宋" w:eastAsia="仿宋"/>
          <w:color w:val="auto"/>
          <w:highlight w:val="none"/>
          <w:lang w:eastAsia="zh-CN"/>
        </w:rPr>
        <w:t>2模块化建筑占新建项目总建筑面积和项目时序建设面积比例均不少于25%。</w:t>
      </w:r>
    </w:p>
    <w:p w14:paraId="67416FC8">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2.3.</w:t>
      </w:r>
      <w:r>
        <w:rPr>
          <w:rFonts w:hint="eastAsia" w:ascii="仿宋" w:hAnsi="仿宋" w:eastAsia="仿宋"/>
          <w:color w:val="auto"/>
          <w:highlight w:val="none"/>
          <w:lang w:eastAsia="zh-CN"/>
        </w:rPr>
        <w:t>3规划、设计、施工及竣工阶段采用BIM 技术，并采用BIM 正向设计，BIM 模型交付深度应满足广州市BIM、CIM 相关标准要求。</w:t>
      </w:r>
    </w:p>
    <w:p w14:paraId="3E082B7F">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2.3.</w:t>
      </w:r>
      <w:r>
        <w:rPr>
          <w:rFonts w:hint="eastAsia" w:ascii="仿宋" w:hAnsi="仿宋" w:eastAsia="仿宋"/>
          <w:color w:val="auto"/>
          <w:highlight w:val="none"/>
          <w:lang w:eastAsia="zh-CN"/>
        </w:rPr>
        <w:t>4当年开工项目使用《广州市智能建造技术清单》中的基础级技术，且至少1 个项目智能建造水平达到《广州市智能建造项目评价指引》中规定的综合评价三星级水平或2 个项目达到综合评价二星级水平；</w:t>
      </w:r>
    </w:p>
    <w:p w14:paraId="29A64F97">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2.3.</w:t>
      </w:r>
      <w:r>
        <w:rPr>
          <w:rFonts w:hint="eastAsia" w:ascii="仿宋" w:hAnsi="仿宋" w:eastAsia="仿宋"/>
          <w:color w:val="auto"/>
          <w:highlight w:val="none"/>
          <w:lang w:eastAsia="zh-CN"/>
        </w:rPr>
        <w:t>5当年开工项目根据《建筑工程智慧工地技术规程》建设智慧工地，且至少1 个项目达到三星智慧工地标准或2 个项目达到二星智慧工地标准。</w:t>
      </w:r>
    </w:p>
    <w:p w14:paraId="6E37FB93">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2.3.</w:t>
      </w:r>
      <w:r>
        <w:rPr>
          <w:rFonts w:hint="eastAsia" w:ascii="仿宋" w:hAnsi="仿宋" w:eastAsia="仿宋"/>
          <w:color w:val="auto"/>
          <w:highlight w:val="none"/>
          <w:lang w:eastAsia="zh-CN"/>
        </w:rPr>
        <w:t>6公共租赁住房、医院病房、酒店有不少于60%的项目采用装配化装修，符合我市装配化装修认定有关要求的。（项目数量以栋为单位计算）。</w:t>
      </w:r>
    </w:p>
    <w:p w14:paraId="2BAA96E3">
      <w:pPr>
        <w:kinsoku w:val="0"/>
        <w:wordWrap w:val="0"/>
        <w:spacing w:line="360" w:lineRule="auto"/>
        <w:ind w:firstLine="480" w:firstLineChars="200"/>
        <w:rPr>
          <w:rFonts w:hint="eastAsia" w:ascii="仿宋" w:hAnsi="仿宋" w:eastAsia="仿宋"/>
          <w:color w:val="auto"/>
          <w:highlight w:val="none"/>
          <w:lang w:eastAsia="zh"/>
        </w:rPr>
      </w:pPr>
      <w:r>
        <w:rPr>
          <w:rFonts w:hint="eastAsia" w:ascii="仿宋" w:hAnsi="仿宋" w:eastAsia="仿宋"/>
          <w:color w:val="auto"/>
          <w:highlight w:val="none"/>
          <w:lang w:eastAsia="zh"/>
        </w:rPr>
        <w:t>以上新型工业化的具体实施标准，以最后政府相关部门审批及政策实施要求为准。</w:t>
      </w:r>
    </w:p>
    <w:p w14:paraId="16315BDF">
      <w:pPr>
        <w:kinsoku w:val="0"/>
        <w:wordWrap w:val="0"/>
        <w:spacing w:line="360" w:lineRule="auto"/>
        <w:ind w:firstLine="480" w:firstLineChars="200"/>
        <w:rPr>
          <w:rFonts w:hint="eastAsia" w:ascii="仿宋" w:hAnsi="仿宋" w:eastAsia="仿宋"/>
          <w:color w:val="auto"/>
          <w:highlight w:val="none"/>
          <w:u w:val="single"/>
          <w:lang w:val="en-US" w:eastAsia="zh-CN"/>
        </w:rPr>
      </w:pPr>
      <w:r>
        <w:rPr>
          <w:rFonts w:hint="eastAsia" w:ascii="仿宋" w:hAnsi="仿宋" w:eastAsia="仿宋"/>
          <w:color w:val="auto"/>
          <w:highlight w:val="none"/>
          <w:u w:val="single"/>
          <w:lang w:val="en-US" w:eastAsia="zh-CN"/>
        </w:rPr>
        <w:t>2.4、绿色建筑（含光伏）</w:t>
      </w:r>
    </w:p>
    <w:p w14:paraId="0DC99F71">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2.4.</w:t>
      </w:r>
      <w:r>
        <w:rPr>
          <w:rFonts w:hint="eastAsia" w:ascii="仿宋" w:hAnsi="仿宋" w:eastAsia="仿宋"/>
          <w:color w:val="auto"/>
          <w:highlight w:val="none"/>
          <w:lang w:eastAsia="zh-CN"/>
        </w:rPr>
        <w:t>1按照《广州市绿色建筑发展专项规划（2021-2035）》的要求，明确新建建筑绿色建筑等级，并按绿建等级要求落实；有30%公共建筑项目按照超低能耗建筑以上标准进行建设。</w:t>
      </w:r>
    </w:p>
    <w:p w14:paraId="1446349A">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2.4.</w:t>
      </w:r>
      <w:r>
        <w:rPr>
          <w:rFonts w:hint="eastAsia" w:ascii="仿宋" w:hAnsi="仿宋" w:eastAsia="仿宋"/>
          <w:color w:val="auto"/>
          <w:highlight w:val="none"/>
          <w:lang w:eastAsia="zh-CN"/>
        </w:rPr>
        <w:t>2工程应使用绿色建材，绿色建材应用比例不低于30%。</w:t>
      </w:r>
    </w:p>
    <w:p w14:paraId="65881151">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2.4.</w:t>
      </w:r>
      <w:r>
        <w:rPr>
          <w:rFonts w:hint="eastAsia" w:ascii="仿宋" w:hAnsi="仿宋" w:eastAsia="仿宋"/>
          <w:color w:val="auto"/>
          <w:highlight w:val="none"/>
          <w:lang w:eastAsia="zh-CN"/>
        </w:rPr>
        <w:t>3新建建筑应安装分布式光伏，新建住宅项目光伏覆盖率≥15%（按屋顶水平投影面积计算），新建公共机构和公共设施屋顶光伏安装面积不小于屋顶可安装光伏面积的50%，且符合《新建建筑工程第五立面设计要求》。</w:t>
      </w:r>
    </w:p>
    <w:p w14:paraId="2A036E79">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2.4.</w:t>
      </w:r>
      <w:r>
        <w:rPr>
          <w:rFonts w:hint="eastAsia" w:ascii="仿宋" w:hAnsi="仿宋" w:eastAsia="仿宋"/>
          <w:color w:val="auto"/>
          <w:highlight w:val="none"/>
          <w:lang w:eastAsia="zh-CN"/>
        </w:rPr>
        <w:t>4开展建筑光伏一体化试点示范项目建设。</w:t>
      </w:r>
    </w:p>
    <w:p w14:paraId="5173A5C1">
      <w:pPr>
        <w:kinsoku w:val="0"/>
        <w:wordWrap w:val="0"/>
        <w:spacing w:line="360" w:lineRule="auto"/>
        <w:ind w:firstLine="480" w:firstLineChars="200"/>
        <w:rPr>
          <w:rFonts w:hint="eastAsia" w:ascii="仿宋" w:hAnsi="仿宋" w:eastAsia="仿宋"/>
          <w:color w:val="auto"/>
          <w:highlight w:val="none"/>
          <w:u w:val="single"/>
          <w:lang w:val="en-US" w:eastAsia="zh-CN"/>
        </w:rPr>
      </w:pPr>
      <w:r>
        <w:rPr>
          <w:rFonts w:hint="eastAsia" w:ascii="仿宋" w:hAnsi="仿宋" w:eastAsia="仿宋"/>
          <w:color w:val="auto"/>
          <w:highlight w:val="none"/>
          <w:u w:val="single"/>
          <w:lang w:val="en-US" w:eastAsia="zh-CN"/>
        </w:rPr>
        <w:t>2.5、建筑废弃物再利用</w:t>
      </w:r>
    </w:p>
    <w:p w14:paraId="669CA1F3">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2.5.</w:t>
      </w:r>
      <w:r>
        <w:rPr>
          <w:rFonts w:hint="eastAsia" w:ascii="仿宋" w:hAnsi="仿宋" w:eastAsia="仿宋"/>
          <w:color w:val="auto"/>
          <w:highlight w:val="none"/>
          <w:lang w:eastAsia="zh-CN"/>
        </w:rPr>
        <w:t>1制定建筑废弃物再利用方案，并按方案落实。</w:t>
      </w:r>
    </w:p>
    <w:p w14:paraId="0C7757CF">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2.5.</w:t>
      </w:r>
      <w:r>
        <w:rPr>
          <w:rFonts w:hint="eastAsia" w:ascii="仿宋" w:hAnsi="仿宋" w:eastAsia="仿宋"/>
          <w:color w:val="auto"/>
          <w:highlight w:val="none"/>
          <w:lang w:eastAsia="zh-CN"/>
        </w:rPr>
        <w:t>2在项目现场选取一块区域设立建筑废弃物资源化回收处理中心。</w:t>
      </w:r>
    </w:p>
    <w:p w14:paraId="3E45EB17">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2.5.</w:t>
      </w:r>
      <w:r>
        <w:rPr>
          <w:rFonts w:hint="eastAsia" w:ascii="仿宋" w:hAnsi="仿宋" w:eastAsia="仿宋"/>
          <w:color w:val="auto"/>
          <w:highlight w:val="none"/>
          <w:lang w:eastAsia="zh-CN"/>
        </w:rPr>
        <w:t>3实施“拆除与资源化利用”一体化处置模式。</w:t>
      </w:r>
    </w:p>
    <w:p w14:paraId="191B11CE">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2.5.</w:t>
      </w:r>
      <w:r>
        <w:rPr>
          <w:rFonts w:hint="eastAsia" w:ascii="仿宋" w:hAnsi="仿宋" w:eastAsia="仿宋"/>
          <w:color w:val="auto"/>
          <w:highlight w:val="none"/>
          <w:lang w:eastAsia="zh-CN"/>
        </w:rPr>
        <w:t>4项目在可使用再生建材部位使用再生建材占同类建材产品的比例应不低于25%。</w:t>
      </w:r>
    </w:p>
    <w:p w14:paraId="7DBA1740">
      <w:pPr>
        <w:kinsoku w:val="0"/>
        <w:wordWrap w:val="0"/>
        <w:spacing w:line="360" w:lineRule="auto"/>
        <w:ind w:firstLine="480" w:firstLineChars="200"/>
        <w:rPr>
          <w:rFonts w:hint="default" w:ascii="仿宋" w:hAnsi="仿宋" w:eastAsia="仿宋"/>
          <w:color w:val="auto"/>
          <w:highlight w:val="none"/>
          <w:u w:val="single"/>
          <w:lang w:val="en-US" w:eastAsia="zh-CN"/>
        </w:rPr>
      </w:pPr>
      <w:r>
        <w:rPr>
          <w:rFonts w:hint="eastAsia" w:ascii="仿宋" w:hAnsi="仿宋" w:eastAsia="仿宋"/>
          <w:color w:val="auto"/>
          <w:highlight w:val="none"/>
          <w:u w:val="single"/>
          <w:lang w:val="en-US" w:eastAsia="zh-CN"/>
        </w:rPr>
        <w:t>2.6、市政管线同步建设（含综合管廊建设）</w:t>
      </w:r>
    </w:p>
    <w:p w14:paraId="2AB59C93">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制定市政道路及市政配套设施分工方案和建设实施计划，并按照方案和计划实施；现状摸查分析详实，核实市政配套设施容量和建设需求科学准确，在前期工作环节提前谋划和编制管线综合平衡方案并通过项目初步设计审查；合理统筹同步建设市政道路及市政配套设施（含综合管廊）并早于安置区半年交付；集约地下空间，因地制宜推广同步建设小型综合管廊和缆线管沟。</w:t>
      </w:r>
    </w:p>
    <w:p w14:paraId="3CAB29E1">
      <w:pPr>
        <w:numPr>
          <w:ilvl w:val="0"/>
          <w:numId w:val="0"/>
        </w:numPr>
        <w:kinsoku w:val="0"/>
        <w:wordWrap w:val="0"/>
        <w:spacing w:line="360" w:lineRule="auto"/>
        <w:ind w:firstLine="480" w:firstLineChars="200"/>
        <w:rPr>
          <w:rFonts w:hint="eastAsia" w:ascii="仿宋" w:hAnsi="仿宋" w:eastAsia="仿宋"/>
          <w:color w:val="auto"/>
          <w:highlight w:val="none"/>
          <w:u w:val="single"/>
          <w:lang w:val="en-US" w:eastAsia="zh-CN"/>
        </w:rPr>
      </w:pPr>
      <w:r>
        <w:rPr>
          <w:rFonts w:hint="eastAsia" w:ascii="仿宋" w:hAnsi="仿宋" w:eastAsia="仿宋"/>
          <w:color w:val="auto"/>
          <w:highlight w:val="none"/>
          <w:u w:val="single"/>
          <w:lang w:val="en-US" w:eastAsia="zh-CN"/>
        </w:rPr>
        <w:t>2.7、城中村改造与保障性住房建设相结合</w:t>
      </w:r>
    </w:p>
    <w:p w14:paraId="56E27519">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u w:val="single"/>
          <w:lang w:val="en-US" w:eastAsia="zh-CN"/>
        </w:rPr>
        <w:t>2.7.</w:t>
      </w:r>
      <w:r>
        <w:rPr>
          <w:rFonts w:hint="eastAsia" w:ascii="仿宋" w:hAnsi="仿宋" w:eastAsia="仿宋"/>
          <w:color w:val="auto"/>
          <w:highlight w:val="none"/>
          <w:lang w:eastAsia="zh-CN"/>
        </w:rPr>
        <w:t>1由改造主体负责的保障性住房当年建设任务100%完成；</w:t>
      </w:r>
    </w:p>
    <w:p w14:paraId="6D278DAF">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u w:val="single"/>
          <w:lang w:val="en-US" w:eastAsia="zh-CN"/>
        </w:rPr>
        <w:t>2.7.</w:t>
      </w:r>
      <w:r>
        <w:rPr>
          <w:rFonts w:hint="eastAsia" w:ascii="仿宋" w:hAnsi="仿宋" w:eastAsia="仿宋"/>
          <w:color w:val="auto"/>
          <w:highlight w:val="none"/>
          <w:lang w:eastAsia="zh-CN"/>
        </w:rPr>
        <w:t>2按照动静分区、集中建设的形式开展安置房建设；</w:t>
      </w:r>
    </w:p>
    <w:p w14:paraId="365A2E18">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u w:val="single"/>
          <w:lang w:val="en-US" w:eastAsia="zh-CN"/>
        </w:rPr>
        <w:t>2.7.</w:t>
      </w:r>
      <w:r>
        <w:rPr>
          <w:rFonts w:hint="eastAsia" w:ascii="仿宋" w:hAnsi="仿宋" w:eastAsia="仿宋"/>
          <w:color w:val="auto"/>
          <w:highlight w:val="none"/>
          <w:lang w:eastAsia="zh-CN"/>
        </w:rPr>
        <w:t>3积极与政府有关部门联动，提前引入商业、物业及整租运营企业等，整租运营活化为保障性租赁住房，打造具有市场竞争力、可持续发展的“租住+商业＋市场化运作”新业态模式；</w:t>
      </w:r>
    </w:p>
    <w:p w14:paraId="5ACA7C33">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u w:val="single"/>
          <w:lang w:val="en-US" w:eastAsia="zh-CN"/>
        </w:rPr>
        <w:t>2.7.</w:t>
      </w:r>
      <w:r>
        <w:rPr>
          <w:rFonts w:hint="eastAsia" w:ascii="仿宋" w:hAnsi="仿宋" w:eastAsia="仿宋"/>
          <w:color w:val="auto"/>
          <w:highlight w:val="none"/>
          <w:lang w:eastAsia="zh-CN"/>
        </w:rPr>
        <w:t>4改造方案已落实保障性住房要求</w:t>
      </w:r>
    </w:p>
    <w:p w14:paraId="108B6A00">
      <w:pPr>
        <w:kinsoku w:val="0"/>
        <w:wordWrap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lang w:val="en-US" w:eastAsia="zh-CN"/>
        </w:rPr>
        <w:t>2.8、其他：</w:t>
      </w:r>
      <w:r>
        <w:rPr>
          <w:rFonts w:hint="eastAsia" w:ascii="仿宋" w:hAnsi="仿宋" w:eastAsia="仿宋"/>
          <w:color w:val="auto"/>
          <w:highlight w:val="none"/>
          <w:u w:val="single"/>
          <w:lang w:val="en-US" w:eastAsia="zh-CN"/>
        </w:rPr>
        <w:t xml:space="preserve"> 《广州市城中村改造项目改造主体工作评估实施细则（试行）》的通知中的其它工作内容    </w:t>
      </w:r>
    </w:p>
    <w:p w14:paraId="03F27B76">
      <w:pPr>
        <w:kinsoku w:val="0"/>
        <w:wordWrap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3、BIM技术应用</w:t>
      </w:r>
      <w:r>
        <w:rPr>
          <w:rFonts w:ascii="仿宋" w:hAnsi="仿宋" w:eastAsia="仿宋"/>
          <w:color w:val="auto"/>
          <w:highlight w:val="none"/>
          <w:lang w:eastAsia="zh-CN"/>
        </w:rPr>
        <w:t>要求</w:t>
      </w:r>
      <w:r>
        <w:rPr>
          <w:rFonts w:hint="eastAsia" w:ascii="仿宋" w:hAnsi="仿宋" w:eastAsia="仿宋"/>
          <w:color w:val="auto"/>
          <w:highlight w:val="none"/>
          <w:lang w:eastAsia="zh-CN"/>
        </w:rPr>
        <w:t>（建筑信息模型（BIM）、应用及协调管理目标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s="仿宋"/>
          <w:color w:val="auto"/>
          <w:highlight w:val="none"/>
          <w:u w:val="single"/>
          <w:lang w:eastAsia="zh-CN"/>
        </w:rPr>
        <w:t xml:space="preserve">  利用BIM技术进行正向设计与建模、施工实施、造价管理及相关协调配合</w:t>
      </w:r>
      <w:r>
        <w:rPr>
          <w:rFonts w:hint="eastAsia" w:ascii="仿宋" w:hAnsi="仿宋" w:eastAsia="仿宋" w:cs="仿宋"/>
          <w:color w:val="auto"/>
          <w:highlight w:val="none"/>
          <w:lang w:eastAsia="zh-CN"/>
        </w:rPr>
        <w:t>。</w:t>
      </w:r>
    </w:p>
    <w:p w14:paraId="524E04B1">
      <w:pPr>
        <w:kinsoku w:val="0"/>
        <w:wordWrap w:val="0"/>
        <w:spacing w:line="360" w:lineRule="auto"/>
        <w:ind w:firstLine="480" w:firstLineChars="200"/>
        <w:rPr>
          <w:rFonts w:ascii="仿宋" w:hAnsi="仿宋" w:eastAsia="仿宋" w:cs="宋体"/>
          <w:bCs/>
          <w:color w:val="auto"/>
          <w:highlight w:val="none"/>
          <w:u w:val="single"/>
          <w:lang w:eastAsia="zh-CN"/>
        </w:rPr>
      </w:pPr>
      <w:r>
        <w:rPr>
          <w:rFonts w:hint="eastAsia" w:ascii="仿宋" w:hAnsi="仿宋" w:eastAsia="仿宋" w:cs="宋体"/>
          <w:bCs/>
          <w:color w:val="auto"/>
          <w:highlight w:val="none"/>
          <w:u w:val="single"/>
          <w:lang w:eastAsia="zh-CN"/>
        </w:rPr>
        <w:t>承包人要将设计BIM模型交付施工阶段使用，承包人（联合体成员方）负责设计阶段的BIM设计应用，承包人施工方负责施工阶段的BIM施工应用：按国家、广东省、广州市及</w:t>
      </w:r>
      <w:r>
        <w:rPr>
          <w:rFonts w:hint="eastAsia" w:ascii="仿宋" w:hAnsi="仿宋" w:eastAsia="仿宋" w:cs="宋体"/>
          <w:bCs/>
          <w:color w:val="auto"/>
          <w:highlight w:val="none"/>
          <w:u w:val="single"/>
          <w:lang w:val="en-US" w:eastAsia="zh-CN"/>
        </w:rPr>
        <w:t>发包</w:t>
      </w:r>
      <w:r>
        <w:rPr>
          <w:rFonts w:hint="eastAsia" w:ascii="仿宋" w:hAnsi="仿宋" w:eastAsia="仿宋" w:cs="宋体"/>
          <w:bCs/>
          <w:color w:val="auto"/>
          <w:highlight w:val="none"/>
          <w:u w:val="single"/>
          <w:lang w:eastAsia="zh-CN"/>
        </w:rPr>
        <w:t>人的要求进行设计BIM技术应用，并提交相应成果。主要内容包括充分运用BIM技术，要求在项目前期编制全过程BIM实施规划，组织编制设计阶段BIM任务书，划分工作界面和技术管理要求；利用BIM模块进行参数化设计、虚拟仿真漫游、日照能耗分析、交通线规划、面积统计、疏散模拟；并利用BIM模型进行设计协调及优化，完成设计方案符合、碰撞检测、三维管线综合、竖向净空优化等BIM应用，并提交相应的成果报告；组织、参与BIM专题会、协调会；对BIM数据进行管理和维护，充分考虑BIM成果的复用性和沿用性，有效衔接施工管理工作。具体如下：</w:t>
      </w:r>
    </w:p>
    <w:p w14:paraId="180666C3">
      <w:pPr>
        <w:spacing w:line="360" w:lineRule="auto"/>
        <w:ind w:firstLine="480" w:firstLineChars="200"/>
        <w:rPr>
          <w:rFonts w:ascii="仿宋" w:hAnsi="仿宋" w:eastAsia="仿宋" w:cs="宋体"/>
          <w:bCs/>
          <w:color w:val="auto"/>
          <w:highlight w:val="none"/>
          <w:u w:val="single"/>
          <w:lang w:eastAsia="zh-CN"/>
        </w:rPr>
      </w:pPr>
      <w:r>
        <w:rPr>
          <w:rFonts w:ascii="仿宋" w:hAnsi="仿宋" w:eastAsia="仿宋" w:cs="宋体"/>
          <w:bCs/>
          <w:color w:val="auto"/>
          <w:highlight w:val="none"/>
          <w:u w:val="single"/>
          <w:lang w:eastAsia="zh-CN"/>
        </w:rPr>
        <w:t>1）报建阶段</w:t>
      </w:r>
    </w:p>
    <w:p w14:paraId="456FA4A3">
      <w:pPr>
        <w:spacing w:line="360" w:lineRule="auto"/>
        <w:ind w:firstLine="480" w:firstLineChars="200"/>
        <w:rPr>
          <w:rFonts w:ascii="仿宋" w:hAnsi="仿宋" w:eastAsia="仿宋" w:cs="宋体"/>
          <w:bCs/>
          <w:color w:val="auto"/>
          <w:highlight w:val="none"/>
          <w:u w:val="single"/>
          <w:lang w:eastAsia="zh-CN"/>
        </w:rPr>
      </w:pPr>
      <w:r>
        <w:rPr>
          <w:rFonts w:ascii="仿宋" w:hAnsi="仿宋" w:eastAsia="仿宋" w:cs="宋体"/>
          <w:bCs/>
          <w:color w:val="auto"/>
          <w:highlight w:val="none"/>
          <w:u w:val="single"/>
          <w:lang w:eastAsia="zh-CN"/>
        </w:rPr>
        <w:t>①BIM项目总体规划、BIM项目流程及标准制定、族\样板\模型分配\BIM数据标准、样板文件制定、族库文件准备</w:t>
      </w:r>
      <w:r>
        <w:rPr>
          <w:rFonts w:hint="eastAsia" w:ascii="仿宋" w:hAnsi="仿宋" w:eastAsia="仿宋" w:cs="宋体"/>
          <w:bCs/>
          <w:color w:val="auto"/>
          <w:highlight w:val="none"/>
          <w:u w:val="single"/>
          <w:lang w:eastAsia="zh-CN"/>
        </w:rPr>
        <w:t>。</w:t>
      </w:r>
    </w:p>
    <w:p w14:paraId="30D3FF0A">
      <w:pPr>
        <w:spacing w:line="360" w:lineRule="auto"/>
        <w:ind w:firstLine="480" w:firstLineChars="200"/>
        <w:rPr>
          <w:rFonts w:ascii="仿宋" w:hAnsi="仿宋" w:eastAsia="仿宋" w:cs="宋体"/>
          <w:bCs/>
          <w:color w:val="auto"/>
          <w:highlight w:val="none"/>
          <w:u w:val="single"/>
          <w:lang w:eastAsia="zh-CN"/>
        </w:rPr>
      </w:pPr>
      <w:r>
        <w:rPr>
          <w:rFonts w:ascii="仿宋" w:hAnsi="仿宋" w:eastAsia="仿宋" w:cs="宋体"/>
          <w:bCs/>
          <w:color w:val="auto"/>
          <w:highlight w:val="none"/>
          <w:u w:val="single"/>
          <w:lang w:eastAsia="zh-CN"/>
        </w:rPr>
        <w:t>2）施工图设计阶段</w:t>
      </w:r>
    </w:p>
    <w:p w14:paraId="7CAA284F">
      <w:pPr>
        <w:spacing w:line="360" w:lineRule="auto"/>
        <w:ind w:firstLine="480" w:firstLineChars="200"/>
        <w:rPr>
          <w:rFonts w:ascii="仿宋" w:hAnsi="仿宋" w:eastAsia="仿宋" w:cs="宋体"/>
          <w:bCs/>
          <w:color w:val="auto"/>
          <w:highlight w:val="none"/>
          <w:u w:val="single"/>
          <w:lang w:eastAsia="zh-CN"/>
        </w:rPr>
      </w:pPr>
      <w:r>
        <w:rPr>
          <w:rFonts w:ascii="仿宋" w:hAnsi="仿宋" w:eastAsia="仿宋" w:cs="宋体"/>
          <w:bCs/>
          <w:color w:val="auto"/>
          <w:highlight w:val="none"/>
          <w:u w:val="single"/>
          <w:lang w:eastAsia="zh-CN"/>
        </w:rPr>
        <w:t>①根据项目施工图，建立BIM模型，满足通过施工图审查需求</w:t>
      </w:r>
      <w:r>
        <w:rPr>
          <w:rFonts w:hint="eastAsia" w:ascii="仿宋" w:hAnsi="仿宋" w:eastAsia="仿宋" w:cs="宋体"/>
          <w:bCs/>
          <w:color w:val="auto"/>
          <w:highlight w:val="none"/>
          <w:u w:val="single"/>
          <w:lang w:eastAsia="zh-CN"/>
        </w:rPr>
        <w:t>；</w:t>
      </w:r>
    </w:p>
    <w:p w14:paraId="1CCA3A24">
      <w:pPr>
        <w:spacing w:line="360" w:lineRule="auto"/>
        <w:ind w:firstLine="480" w:firstLineChars="200"/>
        <w:rPr>
          <w:rFonts w:ascii="仿宋" w:hAnsi="仿宋" w:eastAsia="仿宋" w:cs="宋体"/>
          <w:bCs/>
          <w:color w:val="auto"/>
          <w:highlight w:val="none"/>
          <w:u w:val="single"/>
          <w:lang w:eastAsia="zh-CN"/>
        </w:rPr>
      </w:pPr>
      <w:r>
        <w:rPr>
          <w:rFonts w:ascii="仿宋" w:hAnsi="仿宋" w:eastAsia="仿宋" w:cs="宋体"/>
          <w:bCs/>
          <w:color w:val="auto"/>
          <w:highlight w:val="none"/>
          <w:u w:val="single"/>
          <w:lang w:eastAsia="zh-CN"/>
        </w:rPr>
        <w:t>②对模型中所有冲突进行检查、分析并提供报告(含净高检查)；</w:t>
      </w:r>
    </w:p>
    <w:p w14:paraId="39D99AE7">
      <w:pPr>
        <w:spacing w:line="360" w:lineRule="auto"/>
        <w:ind w:firstLine="480" w:firstLineChars="200"/>
        <w:rPr>
          <w:rFonts w:ascii="仿宋" w:hAnsi="仿宋" w:eastAsia="仿宋" w:cs="宋体"/>
          <w:bCs/>
          <w:color w:val="auto"/>
          <w:highlight w:val="none"/>
          <w:u w:val="single"/>
          <w:lang w:eastAsia="zh-CN"/>
        </w:rPr>
      </w:pPr>
      <w:r>
        <w:rPr>
          <w:rFonts w:ascii="仿宋" w:hAnsi="仿宋" w:eastAsia="仿宋" w:cs="宋体"/>
          <w:bCs/>
          <w:color w:val="auto"/>
          <w:highlight w:val="none"/>
          <w:u w:val="single"/>
          <w:lang w:eastAsia="zh-CN"/>
        </w:rPr>
        <w:t>③将模型中发现的主要碰撞问题进行综合优化。提出优化意见；</w:t>
      </w:r>
    </w:p>
    <w:p w14:paraId="4DA6AD31">
      <w:pPr>
        <w:spacing w:line="360" w:lineRule="auto"/>
        <w:ind w:firstLine="480" w:firstLineChars="200"/>
        <w:rPr>
          <w:rFonts w:ascii="仿宋" w:hAnsi="仿宋" w:eastAsia="仿宋" w:cs="宋体"/>
          <w:bCs/>
          <w:color w:val="auto"/>
          <w:highlight w:val="none"/>
          <w:u w:val="single"/>
          <w:lang w:eastAsia="zh-CN"/>
        </w:rPr>
      </w:pPr>
      <w:r>
        <w:rPr>
          <w:rFonts w:ascii="仿宋" w:hAnsi="仿宋" w:eastAsia="仿宋" w:cs="宋体"/>
          <w:bCs/>
          <w:color w:val="auto"/>
          <w:highlight w:val="none"/>
          <w:u w:val="single"/>
          <w:lang w:eastAsia="zh-CN"/>
        </w:rPr>
        <w:t>④对机电管线，主管线的竖向布置、横向排布进行管线综合，并根据最终模型</w:t>
      </w:r>
      <w:r>
        <w:rPr>
          <w:rFonts w:hint="eastAsia" w:ascii="仿宋" w:hAnsi="仿宋" w:eastAsia="仿宋" w:cs="宋体"/>
          <w:bCs/>
          <w:color w:val="auto"/>
          <w:highlight w:val="none"/>
          <w:u w:val="single"/>
          <w:lang w:eastAsia="zh-CN"/>
        </w:rPr>
        <w:t>得</w:t>
      </w:r>
      <w:r>
        <w:rPr>
          <w:rFonts w:ascii="仿宋" w:hAnsi="仿宋" w:eastAsia="仿宋" w:cs="宋体"/>
          <w:bCs/>
          <w:color w:val="auto"/>
          <w:highlight w:val="none"/>
          <w:u w:val="single"/>
          <w:lang w:eastAsia="zh-CN"/>
        </w:rPr>
        <w:t>出重点区域3D管线综合</w:t>
      </w:r>
      <w:r>
        <w:rPr>
          <w:rFonts w:hint="eastAsia" w:ascii="仿宋" w:hAnsi="仿宋" w:eastAsia="仿宋" w:cs="宋体"/>
          <w:bCs/>
          <w:color w:val="auto"/>
          <w:highlight w:val="none"/>
          <w:u w:val="single"/>
          <w:lang w:eastAsia="zh-CN"/>
        </w:rPr>
        <w:t>；</w:t>
      </w:r>
    </w:p>
    <w:p w14:paraId="32641307">
      <w:pPr>
        <w:spacing w:line="360" w:lineRule="auto"/>
        <w:ind w:firstLine="480" w:firstLineChars="200"/>
        <w:rPr>
          <w:rFonts w:ascii="仿宋" w:hAnsi="仿宋" w:eastAsia="仿宋" w:cs="宋体"/>
          <w:bCs/>
          <w:color w:val="auto"/>
          <w:highlight w:val="none"/>
          <w:u w:val="single"/>
          <w:lang w:eastAsia="zh-CN"/>
        </w:rPr>
      </w:pPr>
      <w:r>
        <w:rPr>
          <w:rFonts w:ascii="仿宋" w:hAnsi="仿宋" w:eastAsia="仿宋" w:cs="宋体"/>
          <w:bCs/>
          <w:color w:val="auto"/>
          <w:highlight w:val="none"/>
          <w:u w:val="single"/>
          <w:lang w:eastAsia="zh-CN"/>
        </w:rPr>
        <w:t>⑤综合</w:t>
      </w:r>
      <w:r>
        <w:rPr>
          <w:rFonts w:hint="eastAsia" w:ascii="仿宋" w:hAnsi="仿宋" w:eastAsia="仿宋" w:cs="宋体"/>
          <w:bCs/>
          <w:color w:val="auto"/>
          <w:highlight w:val="none"/>
          <w:u w:val="single"/>
          <w:lang w:eastAsia="zh-CN"/>
        </w:rPr>
        <w:t>发包人</w:t>
      </w:r>
      <w:r>
        <w:rPr>
          <w:rFonts w:ascii="仿宋" w:hAnsi="仿宋" w:eastAsia="仿宋" w:cs="宋体"/>
          <w:bCs/>
          <w:color w:val="auto"/>
          <w:highlight w:val="none"/>
          <w:u w:val="single"/>
          <w:lang w:eastAsia="zh-CN"/>
        </w:rPr>
        <w:t>的意见回复，重新调整管线模型和必要的建筑模型、修改相关模型信息内容。</w:t>
      </w:r>
    </w:p>
    <w:p w14:paraId="324683E9">
      <w:pPr>
        <w:spacing w:line="360" w:lineRule="auto"/>
        <w:ind w:firstLine="480" w:firstLineChars="200"/>
        <w:rPr>
          <w:rFonts w:ascii="仿宋" w:hAnsi="仿宋" w:eastAsia="仿宋" w:cs="宋体"/>
          <w:bCs/>
          <w:color w:val="auto"/>
          <w:highlight w:val="none"/>
          <w:u w:val="single"/>
          <w:lang w:eastAsia="zh-CN"/>
        </w:rPr>
      </w:pPr>
      <w:r>
        <w:rPr>
          <w:rFonts w:ascii="仿宋" w:hAnsi="仿宋" w:eastAsia="仿宋" w:cs="宋体"/>
          <w:bCs/>
          <w:color w:val="auto"/>
          <w:highlight w:val="none"/>
          <w:u w:val="single"/>
          <w:lang w:eastAsia="zh-CN"/>
        </w:rPr>
        <w:t>3）全过程BIM设计服务，基于项目成本控制及优化设计目标，提供特色增值服务</w:t>
      </w:r>
      <w:r>
        <w:rPr>
          <w:rFonts w:hint="eastAsia" w:ascii="仿宋" w:hAnsi="仿宋" w:eastAsia="仿宋" w:cs="宋体"/>
          <w:bCs/>
          <w:color w:val="auto"/>
          <w:highlight w:val="none"/>
          <w:u w:val="single"/>
          <w:lang w:eastAsia="zh-CN"/>
        </w:rPr>
        <w:t>：</w:t>
      </w:r>
    </w:p>
    <w:p w14:paraId="70E87699">
      <w:pPr>
        <w:kinsoku w:val="0"/>
        <w:wordWrap w:val="0"/>
        <w:spacing w:line="360" w:lineRule="auto"/>
        <w:ind w:firstLine="480" w:firstLineChars="200"/>
        <w:rPr>
          <w:rFonts w:ascii="仿宋" w:hAnsi="仿宋" w:eastAsia="仿宋" w:cs="仿宋"/>
          <w:color w:val="auto"/>
          <w:highlight w:val="none"/>
          <w:u w:val="single"/>
          <w:lang w:eastAsia="zh-CN"/>
        </w:rPr>
      </w:pPr>
      <w:r>
        <w:rPr>
          <w:rFonts w:ascii="仿宋" w:hAnsi="仿宋" w:eastAsia="仿宋" w:cs="宋体"/>
          <w:bCs/>
          <w:color w:val="auto"/>
          <w:highlight w:val="none"/>
          <w:u w:val="single"/>
          <w:lang w:eastAsia="zh-CN"/>
        </w:rPr>
        <w:t>①基于BIM模型的数据服务:工程量统计、材料统计、各类面积统计、为限额设计提供基础数据</w:t>
      </w:r>
      <w:r>
        <w:rPr>
          <w:rFonts w:hint="eastAsia" w:ascii="仿宋" w:hAnsi="仿宋" w:eastAsia="仿宋" w:cs="宋体"/>
          <w:bCs/>
          <w:color w:val="auto"/>
          <w:highlight w:val="none"/>
          <w:u w:val="single"/>
          <w:lang w:eastAsia="zh-CN"/>
        </w:rPr>
        <w:t>。</w:t>
      </w:r>
    </w:p>
    <w:p w14:paraId="36E790E6">
      <w:pPr>
        <w:kinsoku w:val="0"/>
        <w:wordWrap w:val="0"/>
        <w:spacing w:line="360" w:lineRule="auto"/>
        <w:ind w:left="480" w:left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4、设备及工器具购置</w:t>
      </w:r>
      <w:r>
        <w:rPr>
          <w:rFonts w:hint="eastAsia" w:ascii="仿宋" w:hAnsi="仿宋" w:eastAsia="仿宋"/>
          <w:color w:val="auto"/>
          <w:highlight w:val="none"/>
          <w:lang w:eastAsia="zh-CN"/>
        </w:rPr>
        <w:t>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（性能、参数、品质、产能等管理目标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r>
        <w:rPr>
          <w:rFonts w:ascii="仿宋" w:hAnsi="仿宋" w:eastAsia="仿宋"/>
          <w:color w:val="auto"/>
          <w:highlight w:val="none"/>
          <w:u w:val="single"/>
          <w:lang w:eastAsia="zh-CN"/>
        </w:rPr>
        <w:t xml:space="preserve"> /  </w:t>
      </w:r>
    </w:p>
    <w:p w14:paraId="75A031F2">
      <w:pPr>
        <w:kinsoku w:val="0"/>
        <w:wordWrap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5、装配式</w:t>
      </w:r>
      <w:r>
        <w:rPr>
          <w:rFonts w:hint="eastAsia" w:ascii="仿宋" w:hAnsi="仿宋" w:eastAsia="仿宋"/>
          <w:color w:val="auto"/>
          <w:highlight w:val="none"/>
          <w:lang w:eastAsia="zh-CN"/>
        </w:rPr>
        <w:t>建筑要求：</w:t>
      </w:r>
      <w:r>
        <w:rPr>
          <w:rFonts w:hint="eastAsia" w:ascii="仿宋" w:hAnsi="仿宋" w:eastAsia="仿宋" w:cs="仿宋"/>
          <w:color w:val="auto"/>
          <w:highlight w:val="none"/>
          <w:lang w:eastAsia="zh-CN"/>
        </w:rPr>
        <w:t>满足《广州市城中村改造项目改造主体工作评估实施细则（试行）的通知》中装配式建筑应用情况“优秀”档次的标准。</w:t>
      </w:r>
    </w:p>
    <w:p w14:paraId="47A7ACB8">
      <w:pPr>
        <w:numPr>
          <w:ilvl w:val="0"/>
          <w:numId w:val="2"/>
        </w:numPr>
        <w:kinsoku w:val="0"/>
        <w:wordWrap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装配式构件质量应满足《混凝土结构工程施工规范》GB50666、《普通混凝土配合比设计规程》JGJ55、《高强混凝土应用技术规程》JGJ/T281和《混凝土结构工程施工质量验收规范》GB50204等有关规范规定。</w:t>
      </w:r>
    </w:p>
    <w:p w14:paraId="0292860F">
      <w:pPr>
        <w:numPr>
          <w:ilvl w:val="0"/>
          <w:numId w:val="2"/>
        </w:numPr>
        <w:kinsoku w:val="0"/>
        <w:wordWrap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olor w:val="auto"/>
          <w:highlight w:val="none"/>
          <w:u w:val="single"/>
          <w:lang w:eastAsia="zh-CN"/>
        </w:rPr>
        <w:t>装配式构件的外观质量不应有严重缺陷，且不宜有一般缺陷。</w:t>
      </w:r>
    </w:p>
    <w:p w14:paraId="00B72816">
      <w:pPr>
        <w:numPr>
          <w:ilvl w:val="0"/>
          <w:numId w:val="2"/>
        </w:numPr>
        <w:kinsoku w:val="0"/>
        <w:wordWrap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olor w:val="auto"/>
          <w:highlight w:val="none"/>
          <w:u w:val="single"/>
          <w:lang w:eastAsia="zh-CN"/>
        </w:rPr>
        <w:t>满足本工程供货时限需求。</w:t>
      </w:r>
    </w:p>
    <w:p w14:paraId="078DFD31">
      <w:pPr>
        <w:kinsoku w:val="0"/>
        <w:wordWrap w:val="0"/>
        <w:spacing w:line="360" w:lineRule="auto"/>
        <w:ind w:firstLine="482" w:firstLineChars="200"/>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模块化建造</w:t>
      </w:r>
      <w:r>
        <w:rPr>
          <w:rFonts w:hint="eastAsia" w:ascii="仿宋" w:hAnsi="仿宋" w:eastAsia="仿宋"/>
          <w:b/>
          <w:bCs/>
          <w:color w:val="auto"/>
          <w:highlight w:val="none"/>
          <w:lang w:eastAsia="zh-CN"/>
        </w:rPr>
        <w:t>要求：</w:t>
      </w:r>
    </w:p>
    <w:p w14:paraId="6DDDB476">
      <w:pPr>
        <w:kinsoku w:val="0"/>
        <w:wordWrap w:val="0"/>
        <w:spacing w:line="360" w:lineRule="auto"/>
        <w:ind w:firstLine="482" w:firstLineChars="200"/>
        <w:rPr>
          <w:rFonts w:hint="eastAsia" w:ascii="仿宋" w:hAnsi="仿宋" w:eastAsia="仿宋"/>
          <w:b/>
          <w:bCs/>
          <w:color w:val="auto"/>
          <w:highlight w:val="none"/>
          <w:lang w:eastAsia="zh-CN"/>
        </w:rPr>
      </w:pPr>
      <w:r>
        <w:rPr>
          <w:rFonts w:hint="eastAsia" w:ascii="仿宋" w:hAnsi="仿宋" w:eastAsia="仿宋"/>
          <w:b/>
          <w:bCs/>
          <w:color w:val="auto"/>
          <w:highlight w:val="none"/>
          <w:lang w:eastAsia="zh-CN"/>
        </w:rPr>
        <w:t>1）数量、造型等以政府相关正式审批文件为准，施工技术方案需能达到设计初衷，需在结构方案、设计方案、施工工艺及方案、检测方案、验收方案、成本方案、实施措施等需达到甲方与政府联合专家组给予评审、试验论证等审议通过可行后，才可动工实施。</w:t>
      </w:r>
    </w:p>
    <w:p w14:paraId="21FE5D57">
      <w:pPr>
        <w:pStyle w:val="23"/>
        <w:ind w:left="360"/>
        <w:rPr>
          <w:rFonts w:ascii="仿宋" w:hAnsi="仿宋" w:eastAsia="仿宋"/>
          <w:b/>
          <w:bCs/>
          <w:color w:val="auto"/>
          <w:sz w:val="24"/>
          <w:szCs w:val="24"/>
          <w:highlight w:val="none"/>
          <w:lang w:eastAsia="zh-CN" w:bidi="en-US"/>
        </w:rPr>
      </w:pPr>
      <w:r>
        <w:rPr>
          <w:rFonts w:hint="eastAsia" w:ascii="仿宋" w:hAnsi="仿宋" w:eastAsia="仿宋"/>
          <w:b/>
          <w:bCs/>
          <w:color w:val="auto"/>
          <w:sz w:val="24"/>
          <w:szCs w:val="24"/>
          <w:highlight w:val="none"/>
          <w:lang w:eastAsia="zh-CN" w:bidi="en-US"/>
        </w:rPr>
        <w:t>2）质量不应有严重缺陷，且不宜有一般缺陷。</w:t>
      </w:r>
    </w:p>
    <w:p w14:paraId="4E0AF045">
      <w:pPr>
        <w:kinsoku w:val="0"/>
        <w:wordWrap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olor w:val="auto"/>
          <w:highlight w:val="none"/>
          <w:u w:val="single"/>
          <w:lang w:eastAsia="zh-CN"/>
        </w:rPr>
        <w:t>3）满足本工程供货时限需求。</w:t>
      </w:r>
    </w:p>
    <w:p w14:paraId="60A81875">
      <w:pPr>
        <w:kinsoku w:val="0"/>
        <w:wordWrap w:val="0"/>
        <w:spacing w:line="360" w:lineRule="auto"/>
        <w:ind w:firstLine="480" w:firstLineChars="200"/>
        <w:jc w:val="both"/>
        <w:rPr>
          <w:rFonts w:ascii="仿宋" w:hAnsi="仿宋" w:eastAsia="仿宋" w:cs="仿宋"/>
          <w:b/>
          <w:bCs/>
          <w:color w:val="auto"/>
          <w:highlight w:val="none"/>
          <w:lang w:eastAsia="zh-CN"/>
        </w:rPr>
      </w:pPr>
      <w:r>
        <w:rPr>
          <w:rFonts w:hint="eastAsia" w:ascii="仿宋" w:hAnsi="仿宋" w:eastAsia="仿宋" w:cs="仿宋"/>
          <w:color w:val="auto"/>
          <w:highlight w:val="none"/>
          <w:lang w:eastAsia="zh-CN"/>
        </w:rPr>
        <w:t>6、</w:t>
      </w:r>
      <w:r>
        <w:rPr>
          <w:rFonts w:hint="eastAsia" w:ascii="仿宋" w:hAnsi="仿宋" w:eastAsia="仿宋"/>
          <w:color w:val="auto"/>
          <w:highlight w:val="none"/>
          <w:lang w:eastAsia="zh-CN"/>
        </w:rPr>
        <w:t>工程质量标准和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（施工质量</w:t>
      </w:r>
      <w:r>
        <w:rPr>
          <w:rFonts w:ascii="仿宋" w:hAnsi="仿宋" w:eastAsia="仿宋"/>
          <w:color w:val="auto"/>
          <w:highlight w:val="none"/>
          <w:lang w:eastAsia="zh-CN"/>
        </w:rPr>
        <w:t>及项目成效</w:t>
      </w:r>
      <w:r>
        <w:rPr>
          <w:rFonts w:hint="eastAsia" w:ascii="仿宋" w:hAnsi="仿宋" w:eastAsia="仿宋"/>
          <w:color w:val="auto"/>
          <w:highlight w:val="none"/>
          <w:lang w:eastAsia="zh-CN"/>
        </w:rPr>
        <w:t>目标</w:t>
      </w:r>
      <w:r>
        <w:rPr>
          <w:rFonts w:ascii="仿宋" w:hAnsi="仿宋" w:eastAsia="仿宋"/>
          <w:color w:val="auto"/>
          <w:highlight w:val="none"/>
          <w:lang w:eastAsia="zh-CN"/>
        </w:rPr>
        <w:t>）</w:t>
      </w:r>
      <w:r>
        <w:rPr>
          <w:rFonts w:hint="eastAsia" w:ascii="仿宋" w:hAnsi="仿宋" w:eastAsia="仿宋"/>
          <w:color w:val="auto"/>
          <w:highlight w:val="none"/>
          <w:lang w:eastAsia="zh-CN"/>
        </w:rPr>
        <w:t>：在满足相关技术标准规定合格的基础上，经过对工程结构安全、使用功能、建筑节能、观感质量以及工程资料的综合评价，达到《建筑工程施工质量评价标准》（GBT 50375-2016）规定的优良标准。水、电、燃气、通信及其他专业工程等通过专业部门验收，达到正常使用为质量合格标准。</w:t>
      </w:r>
      <w:r>
        <w:rPr>
          <w:rFonts w:hint="eastAsia" w:ascii="仿宋" w:hAnsi="仿宋" w:eastAsia="仿宋" w:cs="仿宋"/>
          <w:b/>
          <w:bCs/>
          <w:color w:val="auto"/>
          <w:highlight w:val="none"/>
          <w:u w:val="single"/>
          <w:lang w:eastAsia="zh-CN"/>
        </w:rPr>
        <w:t>（若有新规范标准按新的执行）。</w:t>
      </w:r>
    </w:p>
    <w:p w14:paraId="6FA894CF">
      <w:pPr>
        <w:kinsoku w:val="0"/>
        <w:wordWrap w:val="0"/>
        <w:spacing w:line="360" w:lineRule="auto"/>
        <w:ind w:left="480" w:leftChars="200"/>
        <w:rPr>
          <w:rFonts w:hint="eastAsia" w:ascii="仿宋" w:hAnsi="仿宋" w:eastAsia="仿宋" w:cs="仿宋"/>
          <w:color w:val="auto"/>
          <w:highlight w:val="none"/>
          <w:lang w:eastAsia="zh-CN"/>
        </w:rPr>
      </w:pP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 xml:space="preserve">、绿色建筑建设目标：□一星  </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二星  ☑三星</w:t>
      </w:r>
      <w:r>
        <w:rPr>
          <w:rFonts w:hint="eastAsia" w:ascii="仿宋" w:hAnsi="仿宋" w:eastAsia="仿宋" w:cs="仿宋"/>
          <w:color w:val="auto"/>
          <w:kern w:val="2"/>
          <w:sz w:val="24"/>
          <w:szCs w:val="24"/>
          <w:highlight w:val="none"/>
          <w:lang w:bidi="ar"/>
        </w:rPr>
        <w:t>（高层</w:t>
      </w:r>
      <w:r>
        <w:rPr>
          <w:rFonts w:hint="eastAsia" w:ascii="仿宋" w:hAnsi="仿宋" w:eastAsia="仿宋" w:cs="仿宋"/>
          <w:color w:val="auto"/>
          <w:kern w:val="2"/>
          <w:sz w:val="24"/>
          <w:szCs w:val="24"/>
          <w:highlight w:val="none"/>
          <w:lang w:val="en-US" w:eastAsia="zh-CN" w:bidi="ar"/>
        </w:rPr>
        <w:t>6</w:t>
      </w:r>
      <w:r>
        <w:rPr>
          <w:rFonts w:hint="eastAsia" w:ascii="仿宋" w:hAnsi="仿宋" w:eastAsia="仿宋" w:cs="仿宋"/>
          <w:color w:val="auto"/>
          <w:kern w:val="2"/>
          <w:sz w:val="24"/>
          <w:szCs w:val="24"/>
          <w:highlight w:val="none"/>
          <w:lang w:bidi="ar"/>
        </w:rPr>
        <w:t>栋，1#/2#/A3#/4#/5#</w:t>
      </w:r>
      <w:r>
        <w:rPr>
          <w:rFonts w:hint="eastAsia" w:ascii="仿宋" w:hAnsi="仿宋" w:eastAsia="仿宋" w:cs="仿宋"/>
          <w:color w:val="auto"/>
          <w:kern w:val="2"/>
          <w:sz w:val="24"/>
          <w:szCs w:val="24"/>
          <w:highlight w:val="none"/>
          <w:lang w:val="en-US" w:eastAsia="zh-CN" w:bidi="ar"/>
        </w:rPr>
        <w:t>/6#，商业</w:t>
      </w:r>
      <w:r>
        <w:rPr>
          <w:rFonts w:hint="eastAsia" w:ascii="仿宋" w:hAnsi="仿宋" w:eastAsia="仿宋" w:cs="仿宋"/>
          <w:color w:val="auto"/>
          <w:kern w:val="2"/>
          <w:sz w:val="24"/>
          <w:szCs w:val="24"/>
          <w:highlight w:val="none"/>
          <w:lang w:bidi="ar"/>
        </w:rPr>
        <w:t>）</w:t>
      </w:r>
    </w:p>
    <w:p w14:paraId="397D2438">
      <w:pPr>
        <w:kinsoku w:val="0"/>
        <w:wordWrap w:val="0"/>
        <w:spacing w:line="360" w:lineRule="auto"/>
        <w:ind w:left="1984" w:leftChars="315" w:hanging="1228" w:hangingChars="512"/>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评价标准：☑《绿色建筑评价标准》(GB/T 50378-2019）</w:t>
      </w:r>
    </w:p>
    <w:p w14:paraId="1EF6AEC7">
      <w:pPr>
        <w:kinsoku w:val="0"/>
        <w:wordWrap w:val="0"/>
        <w:spacing w:line="360" w:lineRule="auto"/>
        <w:ind w:left="1814" w:leftChars="747" w:hanging="21" w:hangingChars="9"/>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☑《广东省绿色建筑评价标准》（DBJ/T 15-83-2017）</w:t>
      </w:r>
    </w:p>
    <w:p w14:paraId="287972DE">
      <w:pPr>
        <w:kinsoku w:val="0"/>
        <w:wordWrap w:val="0"/>
        <w:spacing w:line="360" w:lineRule="auto"/>
        <w:ind w:left="1814" w:leftChars="747" w:hanging="21" w:hangingChars="9"/>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□其他：</w:t>
      </w:r>
      <w:r>
        <w:rPr>
          <w:rFonts w:ascii="仿宋" w:hAnsi="仿宋" w:eastAsia="仿宋"/>
          <w:color w:val="auto"/>
          <w:highlight w:val="none"/>
          <w:u w:val="single"/>
          <w:lang w:eastAsia="zh-CN"/>
        </w:rPr>
        <w:t xml:space="preserve">    </w:t>
      </w:r>
      <w:r>
        <w:rPr>
          <w:rFonts w:hint="eastAsia" w:ascii="仿宋" w:hAnsi="仿宋" w:eastAsia="仿宋"/>
          <w:color w:val="auto"/>
          <w:highlight w:val="none"/>
          <w:u w:val="single"/>
          <w:lang w:eastAsia="zh-CN"/>
        </w:rPr>
        <w:t xml:space="preserve">/         </w:t>
      </w:r>
    </w:p>
    <w:p w14:paraId="332BC731">
      <w:pPr>
        <w:kinsoku w:val="0"/>
        <w:wordWrap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8、需配合</w:t>
      </w:r>
      <w:r>
        <w:rPr>
          <w:rFonts w:hint="eastAsia" w:ascii="仿宋" w:hAnsi="仿宋" w:eastAsia="仿宋"/>
          <w:color w:val="auto"/>
          <w:highlight w:val="none"/>
          <w:u w:val="single"/>
          <w:lang w:val="en-US" w:eastAsia="zh-CN"/>
        </w:rPr>
        <w:t>发包人</w:t>
      </w:r>
      <w:r>
        <w:rPr>
          <w:rFonts w:hint="eastAsia" w:ascii="仿宋" w:hAnsi="仿宋" w:eastAsia="仿宋"/>
          <w:color w:val="auto"/>
          <w:highlight w:val="none"/>
          <w:u w:val="single"/>
          <w:lang w:eastAsia="zh-CN"/>
        </w:rPr>
        <w:t>参照穗建前期〔2025〕158号广州市城中村改造建设指挥部办公室关于印发《广州市城中村改造项目改造主体工作评估实施细则(试行)》的通知开展改造主体工作评估工作，并确保</w:t>
      </w:r>
      <w:r>
        <w:rPr>
          <w:rFonts w:hint="eastAsia" w:ascii="仿宋" w:hAnsi="仿宋" w:eastAsia="仿宋"/>
          <w:b/>
          <w:bCs/>
          <w:color w:val="auto"/>
          <w:highlight w:val="none"/>
          <w:u w:val="single"/>
          <w:lang w:eastAsia="zh-CN"/>
        </w:rPr>
        <w:t>每年度评估均为“优秀”。</w:t>
      </w:r>
      <w:r>
        <w:rPr>
          <w:rFonts w:hint="eastAsia" w:ascii="仿宋" w:hAnsi="仿宋" w:eastAsia="仿宋"/>
          <w:b/>
          <w:bCs/>
          <w:color w:val="auto"/>
          <w:highlight w:val="none"/>
          <w:u w:val="single"/>
          <w:lang w:val="en-US" w:eastAsia="zh-CN"/>
        </w:rPr>
        <w:t>如因承包人原因，造成发包人未能按“优秀”档次足额获批年度综合建设管理费的，造成发包人的管理费损失在承包人工程款中进行扣减。承包人除承担发包人的管理费损失外，发包人有权按严重违约的相关约定进行处罚。如承包人经处罚后仍不改进的，发包人有权按合同根本违约责任的相关约定，追究承包人责任。因政策及技术等因素，造成项目实际已无法达到优秀的评估标准，经承包人论证，并报发包人及行业专家充分研判确认后可免除相关责任。若确实无法达到《实施细则》所规定的优秀评估标准，则核减对应的项目设计限额。</w:t>
      </w:r>
    </w:p>
    <w:p w14:paraId="4E9AB9E0">
      <w:pPr>
        <w:spacing w:line="360" w:lineRule="auto"/>
        <w:outlineLvl w:val="1"/>
        <w:rPr>
          <w:rFonts w:hint="eastAsia" w:ascii="仿宋" w:hAnsi="仿宋" w:eastAsia="仿宋" w:cs="仿宋"/>
          <w:b/>
          <w:bCs/>
          <w:color w:val="auto"/>
          <w:highlight w:val="none"/>
          <w:lang w:eastAsia="zh-CN"/>
        </w:rPr>
      </w:pPr>
      <w:bookmarkStart w:id="43" w:name="_Toc25327"/>
      <w:bookmarkStart w:id="44" w:name="_Toc5877"/>
      <w:bookmarkStart w:id="45" w:name="_Toc8031"/>
      <w:bookmarkStart w:id="46" w:name="_Toc621"/>
      <w:bookmarkStart w:id="47" w:name="_Toc14463"/>
      <w:bookmarkStart w:id="48" w:name="_Toc27814"/>
      <w:bookmarkStart w:id="49" w:name="_Toc4557"/>
      <w:bookmarkStart w:id="50" w:name="_Toc47694258"/>
      <w:bookmarkStart w:id="51" w:name="_Toc26666"/>
      <w:r>
        <w:rPr>
          <w:rFonts w:hint="eastAsia" w:ascii="仿宋" w:hAnsi="仿宋" w:eastAsia="仿宋" w:cs="仿宋"/>
          <w:b/>
          <w:bCs/>
          <w:color w:val="auto"/>
          <w:highlight w:val="none"/>
          <w:lang w:eastAsia="zh-CN"/>
        </w:rPr>
        <w:t>四、创优目标</w:t>
      </w:r>
      <w:bookmarkEnd w:id="43"/>
      <w:bookmarkEnd w:id="44"/>
      <w:bookmarkEnd w:id="45"/>
      <w:bookmarkEnd w:id="46"/>
      <w:bookmarkEnd w:id="47"/>
      <w:bookmarkEnd w:id="48"/>
      <w:bookmarkEnd w:id="49"/>
      <w:bookmarkEnd w:id="50"/>
      <w:bookmarkEnd w:id="51"/>
    </w:p>
    <w:p w14:paraId="352E7C56">
      <w:pPr>
        <w:autoSpaceDE w:val="0"/>
        <w:autoSpaceDN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市级优秀勘察设计奖（□一等奖  □二等奖  □三等奖  □其他：</w:t>
      </w:r>
      <w:r>
        <w:rPr>
          <w:rFonts w:ascii="仿宋" w:hAnsi="仿宋" w:eastAsia="仿宋"/>
          <w:color w:val="auto"/>
          <w:highlight w:val="none"/>
          <w:u w:val="single"/>
          <w:lang w:eastAsia="zh-CN"/>
        </w:rPr>
        <w:t></w:t>
      </w: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w:t>
      </w:r>
    </w:p>
    <w:p w14:paraId="21CEE6FB">
      <w:pPr>
        <w:autoSpaceDE w:val="0"/>
        <w:autoSpaceDN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市级优秀勘察设计奖（□一等奖  □二等奖  □三等奖  □其他：</w:t>
      </w:r>
      <w:r>
        <w:rPr>
          <w:rFonts w:ascii="仿宋" w:hAnsi="仿宋" w:eastAsia="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lang w:eastAsia="zh-CN"/>
        </w:rPr>
        <w:t>）；</w:t>
      </w:r>
    </w:p>
    <w:p w14:paraId="0C47662E">
      <w:pPr>
        <w:autoSpaceDE w:val="0"/>
        <w:autoSpaceDN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省部级优秀勘察设计奖（□一等奖  □二等奖  □三等奖  □其他：</w:t>
      </w:r>
      <w:r>
        <w:rPr>
          <w:rFonts w:ascii="仿宋" w:hAnsi="仿宋" w:eastAsia="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lang w:eastAsia="zh-CN"/>
        </w:rPr>
        <w:t>）；</w:t>
      </w:r>
    </w:p>
    <w:p w14:paraId="7BCC4A4B">
      <w:pPr>
        <w:autoSpaceDE w:val="0"/>
        <w:autoSpaceDN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国家级优秀勘察设计奖（□金奖  □银奖  □其他：</w:t>
      </w:r>
      <w:r>
        <w:rPr>
          <w:rFonts w:ascii="仿宋" w:hAnsi="仿宋" w:eastAsia="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lang w:eastAsia="zh-CN"/>
        </w:rPr>
        <w:t>）；</w:t>
      </w:r>
    </w:p>
    <w:p w14:paraId="4027905B">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市级工程优质奖；</w:t>
      </w:r>
    </w:p>
    <w:p w14:paraId="08D99C49">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省级工程优质奖；</w:t>
      </w:r>
    </w:p>
    <w:p w14:paraId="360DD835">
      <w:pPr>
        <w:pStyle w:val="15"/>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国家级工程优质奖；</w:t>
      </w:r>
    </w:p>
    <w:p w14:paraId="4BF87E1A">
      <w:pPr>
        <w:pStyle w:val="15"/>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精品工程；</w:t>
      </w:r>
    </w:p>
    <w:p w14:paraId="4016F7C7">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其他：</w:t>
      </w:r>
      <w:r>
        <w:rPr>
          <w:rFonts w:ascii="仿宋" w:hAnsi="仿宋" w:eastAsia="仿宋"/>
          <w:color w:val="auto"/>
          <w:highlight w:val="none"/>
          <w:u w:val="single"/>
          <w:lang w:eastAsia="zh-CN"/>
        </w:rPr>
        <w:t xml:space="preserve"> </w:t>
      </w:r>
      <w:r>
        <w:rPr>
          <w:rFonts w:hint="eastAsia" w:ascii="仿宋" w:hAnsi="仿宋" w:eastAsia="仿宋"/>
          <w:color w:val="auto"/>
          <w:highlight w:val="none"/>
          <w:u w:val="single"/>
          <w:lang w:eastAsia="zh-CN"/>
        </w:rPr>
        <w:t>本项目力争取得</w:t>
      </w:r>
      <w:r>
        <w:rPr>
          <w:rFonts w:hint="eastAsia" w:ascii="仿宋" w:hAnsi="仿宋" w:eastAsia="仿宋" w:cs="仿宋"/>
          <w:color w:val="auto"/>
          <w:highlight w:val="none"/>
          <w:u w:val="single"/>
          <w:lang w:eastAsia="zh-CN"/>
        </w:rPr>
        <w:t>市级工程优质奖，</w:t>
      </w:r>
      <w:r>
        <w:rPr>
          <w:rFonts w:hint="eastAsia" w:ascii="仿宋" w:hAnsi="仿宋" w:eastAsia="仿宋"/>
          <w:color w:val="auto"/>
          <w:highlight w:val="none"/>
          <w:u w:val="single"/>
          <w:lang w:eastAsia="zh-CN"/>
        </w:rPr>
        <w:t>相关费用在投标报价中综合考虑，发包人不另支付。</w:t>
      </w:r>
    </w:p>
    <w:p w14:paraId="127435A7">
      <w:pPr>
        <w:spacing w:line="360" w:lineRule="auto"/>
        <w:outlineLvl w:val="1"/>
        <w:rPr>
          <w:rFonts w:ascii="仿宋" w:hAnsi="仿宋" w:eastAsia="仿宋" w:cs="仿宋"/>
          <w:b/>
          <w:bCs/>
          <w:color w:val="auto"/>
          <w:highlight w:val="none"/>
          <w:lang w:eastAsia="zh-CN"/>
        </w:rPr>
      </w:pPr>
      <w:bookmarkStart w:id="52" w:name="_Toc22889"/>
      <w:bookmarkStart w:id="53" w:name="_Toc1002"/>
      <w:bookmarkStart w:id="54" w:name="_Toc15047"/>
      <w:bookmarkStart w:id="55" w:name="_Toc12082"/>
      <w:bookmarkStart w:id="56" w:name="_Toc22268"/>
      <w:bookmarkStart w:id="57" w:name="_Toc47694259"/>
      <w:bookmarkStart w:id="58" w:name="_Toc21620"/>
      <w:bookmarkStart w:id="59" w:name="_Toc31710"/>
      <w:bookmarkStart w:id="60" w:name="_Toc12987"/>
      <w:r>
        <w:rPr>
          <w:rFonts w:hint="eastAsia" w:ascii="仿宋" w:hAnsi="仿宋" w:eastAsia="仿宋" w:cs="仿宋"/>
          <w:b/>
          <w:bCs/>
          <w:color w:val="auto"/>
          <w:highlight w:val="none"/>
          <w:lang w:eastAsia="zh-CN"/>
        </w:rPr>
        <w:t>五、创文明工地目标</w:t>
      </w:r>
      <w:bookmarkEnd w:id="52"/>
      <w:bookmarkEnd w:id="53"/>
      <w:bookmarkEnd w:id="54"/>
      <w:bookmarkEnd w:id="55"/>
      <w:bookmarkEnd w:id="56"/>
      <w:bookmarkEnd w:id="57"/>
      <w:bookmarkEnd w:id="58"/>
      <w:bookmarkEnd w:id="59"/>
      <w:bookmarkEnd w:id="60"/>
    </w:p>
    <w:p w14:paraId="16DF9E0F">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市级安全文明绿色施工样板工地；</w:t>
      </w:r>
    </w:p>
    <w:p w14:paraId="5EE858E7">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省级安全文明示范工地；</w:t>
      </w:r>
    </w:p>
    <w:p w14:paraId="522CA1FD">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国家级安全文明工地；</w:t>
      </w:r>
    </w:p>
    <w:p w14:paraId="2F341A2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广州市建筑业绿色施工示范工程；</w:t>
      </w:r>
    </w:p>
    <w:p w14:paraId="5BEDAE89">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广东省建筑业绿色施工示范工程；</w:t>
      </w:r>
    </w:p>
    <w:p w14:paraId="4965CC62">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全国建筑业绿色施工示范工程；</w:t>
      </w:r>
    </w:p>
    <w:p w14:paraId="681FCC94">
      <w:pPr>
        <w:spacing w:line="360" w:lineRule="auto"/>
        <w:ind w:firstLine="482" w:firstLineChars="200"/>
        <w:rPr>
          <w:rFonts w:hint="eastAsia" w:ascii="仿宋" w:hAnsi="仿宋" w:eastAsia="仿宋"/>
          <w:color w:val="auto"/>
          <w:highlight w:val="none"/>
          <w:u w:val="single"/>
          <w:lang w:eastAsia="zh-CN"/>
        </w:rPr>
      </w:pPr>
      <w:r>
        <w:rPr>
          <w:rFonts w:hint="eastAsia" w:ascii="仿宋" w:hAnsi="仿宋" w:eastAsia="仿宋" w:cs="仿宋"/>
          <w:b/>
          <w:bCs/>
          <w:color w:val="auto"/>
          <w:highlight w:val="none"/>
          <w:lang w:eastAsia="zh-CN"/>
        </w:rPr>
        <w:t>☑</w:t>
      </w:r>
      <w:r>
        <w:rPr>
          <w:rFonts w:ascii="仿宋" w:hAnsi="仿宋" w:eastAsia="仿宋" w:cs="仿宋"/>
          <w:b/>
          <w:bCs/>
          <w:color w:val="auto"/>
          <w:highlight w:val="none"/>
          <w:lang w:eastAsia="zh-CN"/>
        </w:rPr>
        <w:t xml:space="preserve"> </w:t>
      </w:r>
      <w:r>
        <w:rPr>
          <w:rFonts w:hint="eastAsia" w:ascii="仿宋" w:hAnsi="仿宋" w:eastAsia="仿宋" w:cs="仿宋"/>
          <w:b/>
          <w:bCs/>
          <w:color w:val="auto"/>
          <w:highlight w:val="none"/>
          <w:lang w:eastAsia="zh-CN"/>
        </w:rPr>
        <w:t>其他：</w:t>
      </w:r>
      <w:r>
        <w:rPr>
          <w:rFonts w:hint="eastAsia" w:ascii="仿宋" w:hAnsi="仿宋" w:eastAsia="仿宋"/>
          <w:b/>
          <w:bCs/>
          <w:color w:val="auto"/>
          <w:highlight w:val="none"/>
          <w:u w:val="single"/>
          <w:lang w:eastAsia="zh-CN"/>
        </w:rPr>
        <w:t>确保取得市级安全文明绿色施工样板工地，争创省级安全文明示范工地或国家级施工安全生产标准化工地。</w:t>
      </w:r>
      <w:r>
        <w:rPr>
          <w:rFonts w:hint="eastAsia" w:ascii="仿宋" w:hAnsi="仿宋" w:eastAsia="仿宋"/>
          <w:color w:val="auto"/>
          <w:highlight w:val="none"/>
          <w:u w:val="single"/>
          <w:lang w:eastAsia="zh-CN"/>
        </w:rPr>
        <w:t>市级文明工地的增加费已在投标报价中综合考虑，如最终未获市级文明工地称号，则按工程结算分部分项工程费的0.4%为标准扣除市级文明工地增加费。如获得省级或以上等级文明工地称号，该项费用按投标报价不作调整。</w:t>
      </w:r>
    </w:p>
    <w:p w14:paraId="32BA42F0">
      <w:pPr>
        <w:pStyle w:val="23"/>
        <w:rPr>
          <w:color w:val="auto"/>
          <w:highlight w:val="none"/>
          <w:lang w:eastAsia="zh-CN"/>
        </w:rPr>
      </w:pPr>
    </w:p>
    <w:p w14:paraId="2D3B002D">
      <w:pPr>
        <w:spacing w:line="360" w:lineRule="auto"/>
        <w:outlineLvl w:val="1"/>
        <w:rPr>
          <w:rFonts w:hint="eastAsia" w:ascii="仿宋" w:hAnsi="仿宋" w:eastAsia="仿宋" w:cs="仿宋"/>
          <w:b/>
          <w:bCs/>
          <w:color w:val="auto"/>
          <w:highlight w:val="none"/>
          <w:lang w:eastAsia="zh-CN"/>
        </w:rPr>
      </w:pPr>
      <w:bookmarkStart w:id="61" w:name="_Toc14672"/>
      <w:bookmarkStart w:id="62" w:name="_Toc1098"/>
      <w:bookmarkStart w:id="63" w:name="_Toc6921"/>
      <w:bookmarkStart w:id="64" w:name="_Toc17301"/>
      <w:bookmarkStart w:id="65" w:name="_Toc16932"/>
      <w:bookmarkStart w:id="66" w:name="_Toc8717"/>
      <w:bookmarkStart w:id="67" w:name="_Toc16350"/>
      <w:bookmarkStart w:id="68" w:name="_Toc7291"/>
      <w:bookmarkStart w:id="69" w:name="_Toc47694260"/>
      <w:r>
        <w:rPr>
          <w:rFonts w:hint="eastAsia" w:ascii="仿宋" w:hAnsi="仿宋" w:eastAsia="仿宋" w:cs="仿宋"/>
          <w:b/>
          <w:bCs/>
          <w:color w:val="auto"/>
          <w:highlight w:val="none"/>
          <w:lang w:eastAsia="zh-CN"/>
        </w:rPr>
        <w:t>六、职业健康安全管理目标和环境管理目标</w:t>
      </w:r>
      <w:bookmarkEnd w:id="61"/>
      <w:bookmarkEnd w:id="62"/>
      <w:bookmarkEnd w:id="63"/>
      <w:bookmarkEnd w:id="64"/>
      <w:bookmarkEnd w:id="65"/>
      <w:bookmarkEnd w:id="66"/>
      <w:bookmarkEnd w:id="67"/>
      <w:bookmarkEnd w:id="68"/>
      <w:bookmarkEnd w:id="69"/>
    </w:p>
    <w:p w14:paraId="594DEDB6">
      <w:pPr>
        <w:spacing w:line="360" w:lineRule="auto"/>
        <w:ind w:firstLine="482" w:firstLineChars="200"/>
        <w:rPr>
          <w:rFonts w:hint="eastAsia" w:ascii="仿宋" w:hAnsi="仿宋" w:eastAsia="仿宋"/>
          <w:color w:val="auto"/>
          <w:highlight w:val="none"/>
          <w:u w:val="single"/>
          <w:lang w:eastAsia="zh-CN"/>
        </w:rPr>
      </w:pPr>
      <w:r>
        <w:rPr>
          <w:rFonts w:hint="eastAsia" w:ascii="仿宋" w:hAnsi="仿宋" w:eastAsia="仿宋" w:cs="仿宋"/>
          <w:b/>
          <w:bCs/>
          <w:color w:val="auto"/>
          <w:highlight w:val="none"/>
          <w:lang w:eastAsia="zh-CN"/>
        </w:rPr>
        <w:t>1.职业健康安全管理目标</w:t>
      </w:r>
    </w:p>
    <w:p w14:paraId="19D412F4">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（1）杜绝发生一般事故等级及以上的伤亡事故且工伤责任事故死亡人数为零。</w:t>
      </w:r>
    </w:p>
    <w:p w14:paraId="0C466990">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lang w:eastAsia="zh-CN"/>
        </w:rPr>
        <w:t>（2）杜绝发生火灾（火情）、舆情、行政处罚、职业病等事故事件。</w:t>
      </w:r>
    </w:p>
    <w:p w14:paraId="0C7A1410">
      <w:pPr>
        <w:spacing w:line="360" w:lineRule="auto"/>
        <w:ind w:firstLine="482" w:firstLineChars="2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2.环境管理目标</w:t>
      </w:r>
    </w:p>
    <w:p w14:paraId="3856EF5A">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严格执行包括但不限于《广州市建设工程现场文明施工管理办法》（穗建质〔2008〕937号）、《关于进一步规范建设工程施工现场围蔽的通知》（穗建质〔2008〕1008号）、《广州市住房和城乡建设局等8部门关于印发广州市建设工程扬尘防治“6个100%”管理标准图集（V2.0版）的通知》和《广州市住房和城乡建设局等9部门关于印发广州市建设工程绿色施工围蔽指导图集（V2.0版）的通知》（穗建质〔2020〕1号）等，杜绝环境破坏、环境污染和水体污染事故等</w:t>
      </w:r>
      <w:r>
        <w:rPr>
          <w:rFonts w:hint="eastAsia" w:ascii="仿宋" w:hAnsi="仿宋" w:eastAsia="仿宋" w:cs="仿宋"/>
          <w:b/>
          <w:bCs/>
          <w:color w:val="auto"/>
          <w:highlight w:val="none"/>
          <w:lang w:eastAsia="zh-CN"/>
        </w:rPr>
        <w:t>（若有新规定标准按新的执行）。</w:t>
      </w:r>
    </w:p>
    <w:p w14:paraId="5AFB756B">
      <w:pPr>
        <w:spacing w:line="360" w:lineRule="auto"/>
        <w:rPr>
          <w:rFonts w:hint="eastAsia" w:ascii="仿宋" w:hAnsi="仿宋" w:eastAsia="仿宋" w:cs="仿宋"/>
          <w:b/>
          <w:bCs/>
          <w:color w:val="auto"/>
          <w:highlight w:val="none"/>
          <w:lang w:eastAsia="zh-CN"/>
        </w:rPr>
      </w:pPr>
    </w:p>
    <w:p w14:paraId="363DA35F">
      <w:pPr>
        <w:spacing w:line="360" w:lineRule="auto"/>
        <w:outlineLvl w:val="1"/>
        <w:rPr>
          <w:rFonts w:ascii="仿宋" w:hAnsi="仿宋" w:eastAsia="仿宋" w:cs="仿宋"/>
          <w:b/>
          <w:bCs/>
          <w:color w:val="auto"/>
          <w:highlight w:val="none"/>
          <w:lang w:eastAsia="zh-CN"/>
        </w:rPr>
      </w:pPr>
      <w:bookmarkStart w:id="70" w:name="_Toc20112"/>
      <w:bookmarkStart w:id="71" w:name="_Toc47694261"/>
      <w:bookmarkStart w:id="72" w:name="_Toc29659"/>
      <w:bookmarkStart w:id="73" w:name="_Toc8683"/>
      <w:bookmarkStart w:id="74" w:name="_Toc860"/>
      <w:bookmarkStart w:id="75" w:name="_Toc10086"/>
      <w:bookmarkStart w:id="76" w:name="_Toc9163"/>
      <w:bookmarkStart w:id="77" w:name="_Toc12909"/>
      <w:bookmarkStart w:id="78" w:name="_Toc15808"/>
      <w:r>
        <w:rPr>
          <w:rFonts w:hint="eastAsia" w:ascii="仿宋" w:hAnsi="仿宋" w:eastAsia="仿宋" w:cs="仿宋"/>
          <w:b/>
          <w:bCs/>
          <w:color w:val="auto"/>
          <w:highlight w:val="none"/>
          <w:lang w:eastAsia="zh-CN"/>
        </w:rPr>
        <w:t>七、合同工期</w:t>
      </w:r>
      <w:bookmarkEnd w:id="70"/>
      <w:bookmarkEnd w:id="71"/>
      <w:bookmarkEnd w:id="72"/>
      <w:bookmarkEnd w:id="73"/>
      <w:bookmarkEnd w:id="74"/>
      <w:bookmarkEnd w:id="75"/>
      <w:bookmarkEnd w:id="76"/>
      <w:bookmarkEnd w:id="77"/>
      <w:bookmarkEnd w:id="78"/>
    </w:p>
    <w:p w14:paraId="01F87BA9">
      <w:pPr>
        <w:spacing w:line="360" w:lineRule="auto"/>
        <w:ind w:firstLine="482" w:firstLineChars="2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合同</w:t>
      </w:r>
      <w:r>
        <w:rPr>
          <w:rFonts w:ascii="仿宋" w:hAnsi="仿宋" w:eastAsia="仿宋" w:cs="仿宋"/>
          <w:b/>
          <w:bCs/>
          <w:color w:val="auto"/>
          <w:highlight w:val="none"/>
          <w:lang w:eastAsia="zh-CN"/>
        </w:rPr>
        <w:t>工期</w:t>
      </w:r>
      <w:r>
        <w:rPr>
          <w:rFonts w:hint="eastAsia" w:ascii="仿宋" w:hAnsi="仿宋" w:eastAsia="仿宋" w:cs="仿宋"/>
          <w:b/>
          <w:bCs/>
          <w:color w:val="auto"/>
          <w:highlight w:val="none"/>
          <w:lang w:eastAsia="zh-CN"/>
        </w:rPr>
        <w:t>总日历天数</w:t>
      </w:r>
      <w:r>
        <w:rPr>
          <w:rFonts w:ascii="仿宋" w:hAnsi="仿宋" w:eastAsia="仿宋" w:cs="仿宋"/>
          <w:b/>
          <w:bCs/>
          <w:color w:val="auto"/>
          <w:highlight w:val="none"/>
          <w:lang w:eastAsia="zh-CN"/>
        </w:rPr>
        <w:t>：</w:t>
      </w:r>
      <w:r>
        <w:rPr>
          <w:rFonts w:hint="eastAsia"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val="en-US" w:eastAsia="zh-CN"/>
        </w:rPr>
        <w:t>800</w:t>
      </w:r>
      <w:r>
        <w:rPr>
          <w:rFonts w:hint="eastAsia"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lang w:eastAsia="zh-CN"/>
        </w:rPr>
        <w:t>个日历天，</w:t>
      </w:r>
      <w:r>
        <w:rPr>
          <w:rFonts w:hint="eastAsia" w:ascii="仿宋" w:hAnsi="仿宋" w:eastAsia="仿宋" w:cs="仿宋"/>
          <w:color w:val="auto"/>
          <w:highlight w:val="none"/>
          <w:lang w:eastAsia="zh-CN"/>
        </w:rPr>
        <w:t>具体以实际开工日期为准。</w:t>
      </w:r>
    </w:p>
    <w:p w14:paraId="39C79CD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合同工期总日历天数与勘察、设计、采购、施工等各分项计划开工竣工日期计算的工期天数不一致的，以合同工期总日历天数为准。</w:t>
      </w:r>
    </w:p>
    <w:p w14:paraId="3A8CD3B2">
      <w:pPr>
        <w:pStyle w:val="167"/>
        <w:tabs>
          <w:tab w:val="left" w:pos="993"/>
        </w:tabs>
        <w:spacing w:line="360" w:lineRule="auto"/>
        <w:ind w:left="0" w:firstLine="482" w:firstLineChars="2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实际开工日期：</w:t>
      </w:r>
      <w:r>
        <w:rPr>
          <w:rFonts w:hint="eastAsia" w:ascii="仿宋" w:hAnsi="仿宋" w:eastAsia="仿宋" w:cs="仿宋"/>
          <w:color w:val="auto"/>
          <w:highlight w:val="none"/>
          <w:lang w:eastAsia="zh-CN"/>
        </w:rPr>
        <w:t>发包人或监理单位（监理单位须事先取得发包人同意）在工程施工条件具备后发出的书面开工指令中载明的开工日期。</w:t>
      </w:r>
    </w:p>
    <w:p w14:paraId="6CA846DF">
      <w:pPr>
        <w:pStyle w:val="167"/>
        <w:tabs>
          <w:tab w:val="left" w:pos="993"/>
        </w:tabs>
        <w:spacing w:line="360" w:lineRule="auto"/>
        <w:ind w:left="0" w:firstLine="482" w:firstLineChars="2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实际竣工日期：取得</w:t>
      </w:r>
      <w:r>
        <w:rPr>
          <w:rFonts w:hint="eastAsia" w:ascii="仿宋" w:hAnsi="仿宋" w:eastAsia="仿宋" w:cs="仿宋"/>
          <w:color w:val="auto"/>
          <w:highlight w:val="none"/>
          <w:lang w:eastAsia="zh-CN"/>
        </w:rPr>
        <w:t>联合验收意见书时间。</w:t>
      </w:r>
    </w:p>
    <w:p w14:paraId="5E7C88EA">
      <w:pPr>
        <w:spacing w:line="360" w:lineRule="auto"/>
        <w:ind w:left="480" w:leftChars="200"/>
        <w:rPr>
          <w:rFonts w:ascii="宋体" w:hAnsi="宋体"/>
          <w:color w:val="auto"/>
          <w:highlight w:val="none"/>
          <w:u w:val="single"/>
          <w:lang w:eastAsia="zh-CN"/>
        </w:rPr>
      </w:pPr>
      <w:r>
        <w:rPr>
          <w:rFonts w:hint="eastAsia" w:ascii="仿宋" w:hAnsi="仿宋" w:eastAsia="仿宋" w:cs="仿宋"/>
          <w:color w:val="auto"/>
          <w:highlight w:val="none"/>
          <w:lang w:eastAsia="zh-CN"/>
        </w:rPr>
        <w:t>☑勘察开始工作日期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具体以发包人发出的书面指令为准</w:t>
      </w:r>
      <w:r>
        <w:rPr>
          <w:rFonts w:hint="eastAsia" w:ascii="仿宋" w:hAnsi="仿宋" w:eastAsia="仿宋" w:cs="仿宋"/>
          <w:color w:val="auto"/>
          <w:highlight w:val="none"/>
          <w:lang w:eastAsia="zh-CN"/>
        </w:rPr>
        <w:t>；完成工作日期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ascii="仿宋" w:hAnsi="仿宋" w:eastAsia="仿宋" w:cs="仿宋"/>
          <w:color w:val="auto"/>
          <w:highlight w:val="none"/>
          <w:u w:val="single"/>
          <w:lang w:eastAsia="zh-CN"/>
        </w:rPr>
        <w:t>以实际正式</w:t>
      </w:r>
      <w:r>
        <w:rPr>
          <w:rFonts w:hint="eastAsia" w:ascii="仿宋" w:hAnsi="仿宋" w:eastAsia="仿宋" w:cs="仿宋"/>
          <w:color w:val="auto"/>
          <w:highlight w:val="none"/>
          <w:u w:val="single"/>
          <w:lang w:eastAsia="zh-CN"/>
        </w:rPr>
        <w:t>勘察</w:t>
      </w:r>
      <w:r>
        <w:rPr>
          <w:rFonts w:ascii="仿宋" w:hAnsi="仿宋" w:eastAsia="仿宋" w:cs="仿宋"/>
          <w:color w:val="auto"/>
          <w:highlight w:val="none"/>
          <w:u w:val="single"/>
          <w:lang w:eastAsia="zh-CN"/>
        </w:rPr>
        <w:t>日期</w:t>
      </w:r>
      <w:r>
        <w:rPr>
          <w:rFonts w:hint="eastAsia" w:ascii="仿宋" w:hAnsi="仿宋" w:eastAsia="仿宋" w:cs="仿宋"/>
          <w:color w:val="auto"/>
          <w:highlight w:val="none"/>
          <w:u w:val="single"/>
          <w:lang w:eastAsia="zh-CN"/>
        </w:rPr>
        <w:t>+合同要求</w:t>
      </w:r>
      <w:r>
        <w:rPr>
          <w:rFonts w:ascii="仿宋" w:hAnsi="仿宋" w:eastAsia="仿宋" w:cs="仿宋"/>
          <w:color w:val="auto"/>
          <w:highlight w:val="none"/>
          <w:u w:val="single"/>
          <w:lang w:eastAsia="zh-CN"/>
        </w:rPr>
        <w:t>为准</w:t>
      </w:r>
      <w:r>
        <w:rPr>
          <w:rFonts w:hint="eastAsia" w:ascii="仿宋" w:hAnsi="仿宋" w:eastAsia="仿宋" w:cs="仿宋"/>
          <w:color w:val="auto"/>
          <w:highlight w:val="none"/>
          <w:lang w:eastAsia="zh-CN"/>
        </w:rPr>
        <w:t>；</w:t>
      </w:r>
    </w:p>
    <w:p w14:paraId="5C7194E8">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☑设计开始工作日期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具体以发包人发出的书面指令为准</w:t>
      </w:r>
      <w:r>
        <w:rPr>
          <w:rFonts w:hint="eastAsia" w:ascii="宋体" w:hAnsi="宋体"/>
          <w:color w:val="auto"/>
          <w:highlight w:val="none"/>
          <w:lang w:eastAsia="zh-CN"/>
        </w:rPr>
        <w:t>；</w:t>
      </w:r>
      <w:r>
        <w:rPr>
          <w:rFonts w:hint="eastAsia" w:ascii="仿宋" w:hAnsi="仿宋" w:eastAsia="仿宋" w:cs="仿宋"/>
          <w:color w:val="auto"/>
          <w:highlight w:val="none"/>
          <w:lang w:eastAsia="zh-CN"/>
        </w:rPr>
        <w:t>完成工作日期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ascii="仿宋" w:hAnsi="仿宋" w:eastAsia="仿宋" w:cs="仿宋"/>
          <w:color w:val="auto"/>
          <w:highlight w:val="none"/>
          <w:u w:val="single"/>
          <w:lang w:eastAsia="zh-CN"/>
        </w:rPr>
        <w:t>以实际正式设计日期</w:t>
      </w:r>
      <w:r>
        <w:rPr>
          <w:rFonts w:hint="eastAsia" w:ascii="仿宋" w:hAnsi="仿宋" w:eastAsia="仿宋" w:cs="仿宋"/>
          <w:color w:val="auto"/>
          <w:highlight w:val="none"/>
          <w:u w:val="single"/>
          <w:lang w:eastAsia="zh-CN"/>
        </w:rPr>
        <w:t>+合同要求</w:t>
      </w:r>
      <w:r>
        <w:rPr>
          <w:rFonts w:ascii="仿宋" w:hAnsi="仿宋" w:eastAsia="仿宋" w:cs="仿宋"/>
          <w:color w:val="auto"/>
          <w:highlight w:val="none"/>
          <w:u w:val="single"/>
          <w:lang w:eastAsia="zh-CN"/>
        </w:rPr>
        <w:t>为准</w:t>
      </w:r>
      <w:r>
        <w:rPr>
          <w:rFonts w:hint="eastAsia" w:ascii="仿宋" w:hAnsi="仿宋" w:eastAsia="仿宋" w:cs="仿宋"/>
          <w:color w:val="auto"/>
          <w:highlight w:val="none"/>
          <w:lang w:eastAsia="zh-CN"/>
        </w:rPr>
        <w:t>；</w:t>
      </w:r>
    </w:p>
    <w:p w14:paraId="35DE75BD">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☑BIM技术应用开始工作日期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 xml:space="preserve"> 具体以发包人发出的书面指令为准 </w:t>
      </w:r>
      <w:r>
        <w:rPr>
          <w:rFonts w:hint="eastAsia" w:ascii="宋体" w:hAnsi="宋体"/>
          <w:color w:val="auto"/>
          <w:highlight w:val="none"/>
          <w:lang w:eastAsia="zh-CN"/>
        </w:rPr>
        <w:t>；</w:t>
      </w:r>
      <w:r>
        <w:rPr>
          <w:rFonts w:hint="eastAsia" w:ascii="仿宋" w:hAnsi="仿宋" w:eastAsia="仿宋" w:cs="仿宋"/>
          <w:color w:val="auto"/>
          <w:highlight w:val="none"/>
          <w:lang w:eastAsia="zh-CN"/>
        </w:rPr>
        <w:t>完成工作日期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以实际正式设计日期</w:t>
      </w:r>
      <w:r>
        <w:rPr>
          <w:rFonts w:hint="eastAsia" w:ascii="仿宋" w:hAnsi="仿宋" w:eastAsia="仿宋" w:cs="仿宋"/>
          <w:color w:val="auto"/>
          <w:highlight w:val="none"/>
          <w:u w:val="single"/>
          <w:lang w:eastAsia="zh-CN"/>
        </w:rPr>
        <w:t>+合同要求</w:t>
      </w:r>
      <w:r>
        <w:rPr>
          <w:rFonts w:ascii="仿宋" w:hAnsi="仿宋" w:eastAsia="仿宋" w:cs="仿宋"/>
          <w:color w:val="auto"/>
          <w:highlight w:val="none"/>
          <w:u w:val="single"/>
          <w:lang w:eastAsia="zh-CN"/>
        </w:rPr>
        <w:t>为准</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48BDA133">
      <w:pPr>
        <w:spacing w:line="360" w:lineRule="auto"/>
        <w:ind w:left="480" w:leftChars="200"/>
        <w:rPr>
          <w:rFonts w:hint="eastAsia" w:ascii="宋体" w:hAnsi="宋体"/>
          <w:color w:val="auto"/>
          <w:highlight w:val="none"/>
          <w:lang w:eastAsia="zh-CN"/>
        </w:rPr>
      </w:pPr>
      <w:r>
        <w:rPr>
          <w:rFonts w:hint="eastAsia" w:ascii="仿宋" w:hAnsi="仿宋" w:eastAsia="仿宋" w:cs="仿宋"/>
          <w:color w:val="auto"/>
          <w:highlight w:val="none"/>
          <w:lang w:eastAsia="zh-CN"/>
        </w:rPr>
        <w:t>□设备及工器具购置开始工作日期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如有，绝对日期或相对日期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w:t>
      </w:r>
      <w:r>
        <w:rPr>
          <w:rFonts w:ascii="宋体" w:hAnsi="宋体"/>
          <w:color w:val="auto"/>
          <w:highlight w:val="none"/>
          <w:u w:val="single"/>
          <w:lang w:eastAsia="zh-CN"/>
        </w:rPr>
        <w:t xml:space="preserve">    </w:t>
      </w:r>
      <w:r>
        <w:rPr>
          <w:rFonts w:hint="eastAsia" w:ascii="宋体" w:hAnsi="宋体"/>
          <w:color w:val="auto"/>
          <w:highlight w:val="none"/>
          <w:lang w:eastAsia="zh-CN"/>
        </w:rPr>
        <w:t>；</w:t>
      </w:r>
    </w:p>
    <w:p w14:paraId="6741F193">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完成工作日期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w:t>
      </w:r>
      <w:r>
        <w:rPr>
          <w:rFonts w:ascii="宋体" w:hAnsi="宋体"/>
          <w:color w:val="auto"/>
          <w:highlight w:val="none"/>
          <w:u w:val="single"/>
          <w:lang w:eastAsia="zh-CN"/>
        </w:rPr>
        <w:t xml:space="preserve">     </w:t>
      </w:r>
      <w:r>
        <w:rPr>
          <w:rFonts w:hint="eastAsia" w:ascii="仿宋" w:hAnsi="仿宋" w:eastAsia="仿宋" w:cs="仿宋"/>
          <w:color w:val="auto"/>
          <w:highlight w:val="none"/>
          <w:lang w:eastAsia="zh-CN"/>
        </w:rPr>
        <w:t>；</w:t>
      </w:r>
    </w:p>
    <w:p w14:paraId="6B258367">
      <w:pPr>
        <w:spacing w:line="360" w:lineRule="auto"/>
        <w:ind w:left="480" w:leftChars="200"/>
        <w:rPr>
          <w:rFonts w:ascii="宋体" w:hAnsi="宋体"/>
          <w:color w:val="auto"/>
          <w:highlight w:val="none"/>
          <w:lang w:eastAsia="zh-CN"/>
        </w:rPr>
      </w:pPr>
      <w:r>
        <w:rPr>
          <w:rFonts w:hint="eastAsia" w:ascii="仿宋" w:hAnsi="仿宋" w:eastAsia="仿宋" w:cs="仿宋"/>
          <w:color w:val="auto"/>
          <w:highlight w:val="none"/>
          <w:lang w:eastAsia="zh-CN"/>
        </w:rPr>
        <w:t>☑施工开工日期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具体以发包人或总监理工程师发出的书面开工令为准</w:t>
      </w:r>
      <w:r>
        <w:rPr>
          <w:rFonts w:hint="eastAsia" w:ascii="宋体" w:hAnsi="宋体"/>
          <w:color w:val="auto"/>
          <w:highlight w:val="none"/>
          <w:lang w:eastAsia="zh-CN"/>
        </w:rPr>
        <w:t>；</w:t>
      </w:r>
      <w:r>
        <w:rPr>
          <w:rFonts w:hint="eastAsia" w:ascii="仿宋" w:hAnsi="仿宋" w:eastAsia="仿宋" w:cs="仿宋"/>
          <w:color w:val="auto"/>
          <w:highlight w:val="none"/>
          <w:lang w:eastAsia="zh-CN"/>
        </w:rPr>
        <w:t>竣工日期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ascii="仿宋" w:hAnsi="仿宋" w:eastAsia="仿宋" w:cs="仿宋"/>
          <w:color w:val="auto"/>
          <w:highlight w:val="none"/>
          <w:u w:val="single"/>
          <w:lang w:eastAsia="zh-CN"/>
        </w:rPr>
        <w:t>以实际正式开工日期</w:t>
      </w:r>
      <w:r>
        <w:rPr>
          <w:rFonts w:hint="eastAsia" w:ascii="仿宋" w:hAnsi="仿宋" w:eastAsia="仿宋" w:cs="仿宋"/>
          <w:color w:val="auto"/>
          <w:highlight w:val="none"/>
          <w:u w:val="single"/>
          <w:lang w:eastAsia="zh-CN"/>
        </w:rPr>
        <w:t>+合同</w:t>
      </w:r>
      <w:r>
        <w:rPr>
          <w:rFonts w:ascii="仿宋" w:hAnsi="仿宋" w:eastAsia="仿宋" w:cs="仿宋"/>
          <w:color w:val="auto"/>
          <w:highlight w:val="none"/>
          <w:u w:val="single"/>
          <w:lang w:eastAsia="zh-CN"/>
        </w:rPr>
        <w:t>总工期为准</w:t>
      </w:r>
      <w:r>
        <w:rPr>
          <w:rFonts w:hint="eastAsia" w:ascii="仿宋" w:hAnsi="仿宋" w:eastAsia="仿宋" w:cs="仿宋"/>
          <w:color w:val="auto"/>
          <w:highlight w:val="none"/>
          <w:lang w:eastAsia="zh-CN"/>
        </w:rPr>
        <w:t>；</w:t>
      </w:r>
    </w:p>
    <w:p w14:paraId="37AA157E">
      <w:pPr>
        <w:spacing w:line="360" w:lineRule="auto"/>
        <w:ind w:left="48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施工关键节点工期要求（实施时间按发包人的具体要求执行）：</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
        <w:gridCol w:w="2262"/>
        <w:gridCol w:w="3645"/>
        <w:gridCol w:w="1640"/>
      </w:tblGrid>
      <w:tr w14:paraId="76BD1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26"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11D3F2E9">
            <w:pPr>
              <w:spacing w:before="45"/>
              <w:ind w:right="3" w:rightChars="0"/>
              <w:jc w:val="center"/>
              <w:rPr>
                <w:rFonts w:ascii="仿宋_GB2312" w:hAnsi="仿宋_GB2312" w:eastAsia="仿宋_GB2312" w:cs="仿宋_GB2312"/>
                <w:b/>
                <w:color w:val="auto"/>
                <w:highlight w:val="none"/>
              </w:rPr>
            </w:pPr>
            <w:r>
              <w:rPr>
                <w:rFonts w:ascii="仿宋_GB2312" w:hAnsi="仿宋_GB2312" w:eastAsia="仿宋_GB2312" w:cs="仿宋_GB2312"/>
                <w:b/>
                <w:color w:val="auto"/>
                <w:sz w:val="21"/>
                <w:highlight w:val="none"/>
              </w:rPr>
              <w:t>序号</w:t>
            </w:r>
          </w:p>
        </w:tc>
        <w:tc>
          <w:tcPr>
            <w:tcW w:w="2262"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395B1365">
            <w:pPr>
              <w:spacing w:before="45"/>
              <w:ind w:left="656" w:leftChars="0"/>
              <w:rPr>
                <w:rFonts w:ascii="仿宋_GB2312" w:hAnsi="仿宋_GB2312" w:eastAsia="仿宋_GB2312" w:cs="仿宋_GB2312"/>
                <w:b/>
                <w:color w:val="auto"/>
                <w:highlight w:val="none"/>
              </w:rPr>
            </w:pPr>
            <w:r>
              <w:rPr>
                <w:rFonts w:ascii="仿宋_GB2312" w:hAnsi="仿宋_GB2312" w:eastAsia="仿宋_GB2312" w:cs="仿宋_GB2312"/>
                <w:b/>
                <w:color w:val="auto"/>
                <w:sz w:val="21"/>
                <w:highlight w:val="none"/>
              </w:rPr>
              <w:t>Ⅰ级关键节点</w:t>
            </w:r>
          </w:p>
        </w:tc>
        <w:tc>
          <w:tcPr>
            <w:tcW w:w="3645"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08F9DE00">
            <w:pPr>
              <w:spacing w:before="45"/>
              <w:jc w:val="center"/>
              <w:rPr>
                <w:rFonts w:ascii="仿宋_GB2312" w:hAnsi="仿宋_GB2312" w:eastAsia="仿宋_GB2312" w:cs="仿宋_GB2312"/>
                <w:b/>
                <w:color w:val="auto"/>
                <w:highlight w:val="none"/>
              </w:rPr>
            </w:pPr>
            <w:r>
              <w:rPr>
                <w:rFonts w:ascii="仿宋_GB2312" w:hAnsi="仿宋_GB2312" w:eastAsia="仿宋_GB2312" w:cs="仿宋_GB2312"/>
                <w:b/>
                <w:color w:val="auto"/>
                <w:sz w:val="21"/>
                <w:highlight w:val="none"/>
              </w:rPr>
              <w:t>关键节点完成时间</w:t>
            </w:r>
          </w:p>
        </w:tc>
        <w:tc>
          <w:tcPr>
            <w:tcW w:w="1640"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60FA39D0">
            <w:pPr>
              <w:spacing w:before="45"/>
              <w:jc w:val="center"/>
              <w:rPr>
                <w:rFonts w:ascii="仿宋_GB2312" w:hAnsi="仿宋_GB2312" w:eastAsia="仿宋_GB2312" w:cs="仿宋_GB2312"/>
                <w:b/>
                <w:color w:val="auto"/>
                <w:highlight w:val="none"/>
              </w:rPr>
            </w:pPr>
            <w:r>
              <w:rPr>
                <w:rFonts w:ascii="仿宋_GB2312" w:hAnsi="仿宋_GB2312" w:eastAsia="仿宋_GB2312" w:cs="仿宋_GB2312"/>
                <w:b/>
                <w:color w:val="auto"/>
                <w:sz w:val="21"/>
                <w:highlight w:val="none"/>
              </w:rPr>
              <w:t>备注</w:t>
            </w:r>
          </w:p>
        </w:tc>
      </w:tr>
      <w:tr w14:paraId="43DB7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26"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5A1FEE77">
            <w:pPr>
              <w:spacing w:before="44"/>
              <w:jc w:val="center"/>
              <w:rPr>
                <w:rFonts w:ascii="仿宋_GB2312" w:hAnsi="仿宋_GB2312" w:eastAsia="仿宋_GB2312" w:cs="仿宋_GB2312"/>
                <w:color w:val="auto"/>
                <w:highlight w:val="none"/>
              </w:rPr>
            </w:pPr>
            <w:r>
              <w:rPr>
                <w:rFonts w:ascii="仿宋_GB2312" w:hAnsi="仿宋_GB2312" w:eastAsia="仿宋_GB2312" w:cs="仿宋_GB2312"/>
                <w:color w:val="auto"/>
                <w:highlight w:val="none"/>
              </w:rPr>
              <w:t>1</w:t>
            </w:r>
          </w:p>
        </w:tc>
        <w:tc>
          <w:tcPr>
            <w:tcW w:w="2262"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34970926">
            <w:pPr>
              <w:spacing w:before="44"/>
              <w:jc w:val="center"/>
              <w:rPr>
                <w:rFonts w:ascii="仿宋_GB2312" w:hAnsi="仿宋_GB2312" w:eastAsia="仿宋_GB2312" w:cs="仿宋_GB2312"/>
                <w:color w:val="auto"/>
                <w:highlight w:val="none"/>
              </w:rPr>
            </w:pPr>
            <w:r>
              <w:rPr>
                <w:rFonts w:ascii="仿宋_GB2312" w:hAnsi="仿宋_GB2312" w:eastAsia="仿宋_GB2312" w:cs="仿宋_GB2312"/>
                <w:color w:val="auto"/>
                <w:highlight w:val="none"/>
              </w:rPr>
              <w:t>桩基础</w:t>
            </w:r>
            <w:r>
              <w:rPr>
                <w:rFonts w:hint="eastAsia" w:ascii="仿宋_GB2312" w:hAnsi="仿宋_GB2312" w:eastAsia="仿宋_GB2312" w:cs="仿宋_GB2312"/>
                <w:color w:val="auto"/>
                <w:highlight w:val="none"/>
                <w:lang w:eastAsia="zh-CN"/>
              </w:rPr>
              <w:t>及基坑支护</w:t>
            </w:r>
          </w:p>
        </w:tc>
        <w:tc>
          <w:tcPr>
            <w:tcW w:w="3645"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33A55FFA">
            <w:pPr>
              <w:spacing w:before="45"/>
              <w:jc w:val="center"/>
              <w:rPr>
                <w:rFonts w:ascii="仿宋_GB2312" w:hAnsi="仿宋_GB2312" w:eastAsia="仿宋_GB2312" w:cs="仿宋_GB2312"/>
                <w:color w:val="auto"/>
                <w:highlight w:val="none"/>
                <w:lang w:eastAsia="zh-CN"/>
              </w:rPr>
            </w:pPr>
            <w:r>
              <w:rPr>
                <w:rFonts w:ascii="仿宋_GB2312" w:hAnsi="仿宋_GB2312" w:eastAsia="仿宋_GB2312" w:cs="仿宋_GB2312"/>
                <w:color w:val="auto"/>
                <w:highlight w:val="none"/>
                <w:lang w:eastAsia="zh-CN"/>
              </w:rPr>
              <w:t>发出开工令之日起</w:t>
            </w:r>
            <w:r>
              <w:rPr>
                <w:rFonts w:hint="eastAsia" w:ascii="仿宋_GB2312" w:hAnsi="仿宋_GB2312" w:eastAsia="仿宋_GB2312" w:cs="仿宋_GB2312"/>
                <w:color w:val="auto"/>
                <w:highlight w:val="none"/>
                <w:u w:val="single"/>
                <w:lang w:eastAsia="zh-CN"/>
              </w:rPr>
              <w:t xml:space="preserve"> </w:t>
            </w:r>
            <w:r>
              <w:rPr>
                <w:rFonts w:hint="eastAsia" w:ascii="仿宋_GB2312" w:hAnsi="仿宋_GB2312" w:eastAsia="仿宋_GB2312" w:cs="仿宋_GB2312"/>
                <w:color w:val="auto"/>
                <w:highlight w:val="none"/>
                <w:u w:val="single"/>
                <w:lang w:val="en-US" w:eastAsia="zh-CN"/>
              </w:rPr>
              <w:t xml:space="preserve"> </w:t>
            </w:r>
            <w:r>
              <w:rPr>
                <w:rFonts w:hint="eastAsia" w:ascii="仿宋_GB2312" w:hAnsi="仿宋_GB2312" w:eastAsia="仿宋_GB2312" w:cs="仿宋_GB2312"/>
                <w:color w:val="auto"/>
                <w:highlight w:val="none"/>
                <w:u w:val="single"/>
                <w:lang w:eastAsia="zh-CN"/>
              </w:rPr>
              <w:t xml:space="preserve"> </w:t>
            </w:r>
            <w:r>
              <w:rPr>
                <w:rFonts w:ascii="仿宋_GB2312" w:hAnsi="仿宋_GB2312" w:eastAsia="仿宋_GB2312" w:cs="仿宋_GB2312"/>
                <w:color w:val="auto"/>
                <w:highlight w:val="none"/>
                <w:lang w:eastAsia="zh-CN"/>
              </w:rPr>
              <w:t>日历天完成</w:t>
            </w:r>
          </w:p>
        </w:tc>
        <w:tc>
          <w:tcPr>
            <w:tcW w:w="1640" w:type="dxa"/>
            <w:vMerge w:val="restart"/>
            <w:tcBorders>
              <w:top w:val="single" w:color="CBCDD1" w:sz="6" w:space="0"/>
              <w:left w:val="single" w:color="000000" w:sz="6" w:space="0"/>
              <w:right w:val="single" w:color="000000" w:sz="6" w:space="0"/>
            </w:tcBorders>
            <w:noWrap w:val="0"/>
            <w:tcMar>
              <w:top w:w="0" w:type="dxa"/>
              <w:left w:w="0" w:type="dxa"/>
              <w:bottom w:w="0" w:type="dxa"/>
              <w:right w:w="0" w:type="dxa"/>
            </w:tcMar>
            <w:vAlign w:val="center"/>
          </w:tcPr>
          <w:p w14:paraId="7CD1CDB2">
            <w:pPr>
              <w:spacing w:before="133"/>
              <w:jc w:val="center"/>
              <w:rPr>
                <w:rFonts w:hint="default" w:ascii="仿宋_GB2312" w:hAnsi="仿宋_GB2312" w:eastAsia="宋体" w:cs="仿宋_GB2312"/>
                <w:color w:val="auto"/>
                <w:highlight w:val="none"/>
                <w:lang w:val="en-US" w:eastAsia="zh-CN"/>
              </w:rPr>
            </w:pPr>
            <w:r>
              <w:rPr>
                <w:rFonts w:hint="default" w:ascii="仿宋_GB2312" w:hAnsi="仿宋_GB2312" w:eastAsia="仿宋_GB2312" w:cs="仿宋_GB2312"/>
                <w:color w:val="auto"/>
                <w:highlight w:val="none"/>
                <w:lang w:val="en-US" w:eastAsia="zh-CN"/>
              </w:rPr>
              <w:t>具体以</w:t>
            </w:r>
            <w:r>
              <w:rPr>
                <w:rFonts w:hint="eastAsia" w:ascii="仿宋_GB2312" w:hAnsi="仿宋_GB2312" w:eastAsia="仿宋_GB2312" w:cs="仿宋_GB2312"/>
                <w:color w:val="auto"/>
                <w:highlight w:val="none"/>
                <w:lang w:val="en-US" w:eastAsia="zh-CN"/>
              </w:rPr>
              <w:t>承包人申报，并经</w:t>
            </w:r>
            <w:r>
              <w:rPr>
                <w:rFonts w:hint="default" w:ascii="仿宋_GB2312" w:hAnsi="仿宋_GB2312" w:eastAsia="仿宋_GB2312" w:cs="仿宋_GB2312"/>
                <w:color w:val="auto"/>
                <w:highlight w:val="none"/>
                <w:lang w:val="en-US" w:eastAsia="zh-CN"/>
              </w:rPr>
              <w:t>监理、建设管理单位</w:t>
            </w:r>
            <w:r>
              <w:rPr>
                <w:rFonts w:hint="eastAsia" w:ascii="仿宋_GB2312" w:hAnsi="仿宋_GB2312" w:eastAsia="仿宋_GB2312" w:cs="仿宋_GB2312"/>
                <w:color w:val="auto"/>
                <w:highlight w:val="none"/>
                <w:lang w:val="en-US" w:eastAsia="zh-CN"/>
              </w:rPr>
              <w:t>、</w:t>
            </w:r>
            <w:r>
              <w:rPr>
                <w:rFonts w:hint="default" w:ascii="仿宋_GB2312" w:hAnsi="仿宋_GB2312" w:eastAsia="仿宋_GB2312" w:cs="仿宋_GB2312"/>
                <w:color w:val="auto"/>
                <w:highlight w:val="none"/>
                <w:lang w:val="en-US" w:eastAsia="zh-CN"/>
              </w:rPr>
              <w:t>发包人</w:t>
            </w:r>
            <w:r>
              <w:rPr>
                <w:rFonts w:hint="eastAsia" w:ascii="仿宋_GB2312" w:hAnsi="仿宋_GB2312" w:eastAsia="仿宋_GB2312" w:cs="仿宋_GB2312"/>
                <w:color w:val="auto"/>
                <w:highlight w:val="none"/>
                <w:lang w:val="en-US" w:eastAsia="zh-CN"/>
              </w:rPr>
              <w:t>确认</w:t>
            </w:r>
            <w:r>
              <w:rPr>
                <w:rFonts w:hint="default" w:ascii="仿宋_GB2312" w:hAnsi="仿宋_GB2312" w:eastAsia="仿宋_GB2312" w:cs="仿宋_GB2312"/>
                <w:color w:val="auto"/>
                <w:highlight w:val="none"/>
                <w:lang w:val="en-US" w:eastAsia="zh-CN"/>
              </w:rPr>
              <w:t>为准</w:t>
            </w:r>
            <w:r>
              <w:rPr>
                <w:rFonts w:hint="eastAsia" w:ascii="仿宋_GB2312" w:hAnsi="仿宋_GB2312" w:eastAsia="仿宋_GB2312" w:cs="仿宋_GB2312"/>
                <w:color w:val="auto"/>
                <w:highlight w:val="none"/>
                <w:lang w:val="en-US" w:eastAsia="zh-CN"/>
              </w:rPr>
              <w:t>。</w:t>
            </w:r>
          </w:p>
        </w:tc>
      </w:tr>
      <w:tr w14:paraId="101A7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26"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766449A9">
            <w:pPr>
              <w:spacing w:before="44"/>
              <w:jc w:val="center"/>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2</w:t>
            </w:r>
          </w:p>
        </w:tc>
        <w:tc>
          <w:tcPr>
            <w:tcW w:w="2262"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41F2D623">
            <w:pPr>
              <w:spacing w:before="44"/>
              <w:jc w:val="center"/>
              <w:rPr>
                <w:rFonts w:ascii="仿宋_GB2312" w:hAnsi="仿宋_GB2312" w:eastAsia="仿宋_GB2312" w:cs="仿宋_GB2312"/>
                <w:color w:val="auto"/>
                <w:highlight w:val="none"/>
                <w:lang w:eastAsia="zh-CN"/>
              </w:rPr>
            </w:pPr>
            <w:r>
              <w:rPr>
                <w:rFonts w:ascii="仿宋_GB2312" w:hAnsi="仿宋_GB2312" w:eastAsia="仿宋_GB2312" w:cs="仿宋_GB2312"/>
                <w:color w:val="auto"/>
                <w:highlight w:val="none"/>
              </w:rPr>
              <w:t>土方开挖</w:t>
            </w:r>
            <w:r>
              <w:rPr>
                <w:rFonts w:hint="eastAsia" w:ascii="仿宋_GB2312" w:hAnsi="仿宋_GB2312" w:eastAsia="仿宋_GB2312" w:cs="仿宋_GB2312"/>
                <w:color w:val="auto"/>
                <w:highlight w:val="none"/>
                <w:lang w:eastAsia="zh-CN"/>
              </w:rPr>
              <w:t>及外运</w:t>
            </w:r>
          </w:p>
        </w:tc>
        <w:tc>
          <w:tcPr>
            <w:tcW w:w="3645"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03B74993">
            <w:pPr>
              <w:spacing w:before="45"/>
              <w:jc w:val="center"/>
              <w:rPr>
                <w:rFonts w:ascii="仿宋_GB2312" w:hAnsi="仿宋_GB2312" w:eastAsia="仿宋_GB2312" w:cs="仿宋_GB2312"/>
                <w:color w:val="auto"/>
                <w:highlight w:val="none"/>
                <w:lang w:eastAsia="zh-CN"/>
              </w:rPr>
            </w:pPr>
            <w:r>
              <w:rPr>
                <w:rFonts w:ascii="仿宋_GB2312" w:hAnsi="仿宋_GB2312" w:eastAsia="仿宋_GB2312" w:cs="仿宋_GB2312"/>
                <w:color w:val="auto"/>
                <w:highlight w:val="none"/>
                <w:lang w:eastAsia="zh-CN"/>
              </w:rPr>
              <w:t>发出开工令之日起</w:t>
            </w:r>
            <w:r>
              <w:rPr>
                <w:rFonts w:hint="eastAsia" w:ascii="仿宋_GB2312" w:hAnsi="仿宋_GB2312" w:eastAsia="仿宋_GB2312" w:cs="仿宋_GB2312"/>
                <w:color w:val="auto"/>
                <w:highlight w:val="none"/>
                <w:u w:val="single"/>
                <w:lang w:eastAsia="zh-CN"/>
              </w:rPr>
              <w:t xml:space="preserve"> </w:t>
            </w:r>
            <w:r>
              <w:rPr>
                <w:rFonts w:hint="eastAsia" w:ascii="仿宋_GB2312" w:hAnsi="仿宋_GB2312" w:eastAsia="仿宋_GB2312" w:cs="仿宋_GB2312"/>
                <w:color w:val="auto"/>
                <w:highlight w:val="none"/>
                <w:u w:val="single"/>
                <w:lang w:val="en-US" w:eastAsia="zh-CN"/>
              </w:rPr>
              <w:t xml:space="preserve"> </w:t>
            </w:r>
            <w:r>
              <w:rPr>
                <w:rFonts w:hint="eastAsia" w:ascii="仿宋_GB2312" w:hAnsi="仿宋_GB2312" w:eastAsia="仿宋_GB2312" w:cs="仿宋_GB2312"/>
                <w:color w:val="auto"/>
                <w:highlight w:val="none"/>
                <w:u w:val="single"/>
                <w:lang w:eastAsia="zh-CN"/>
              </w:rPr>
              <w:t xml:space="preserve"> </w:t>
            </w:r>
            <w:r>
              <w:rPr>
                <w:rFonts w:ascii="仿宋_GB2312" w:hAnsi="仿宋_GB2312" w:eastAsia="仿宋_GB2312" w:cs="仿宋_GB2312"/>
                <w:color w:val="auto"/>
                <w:highlight w:val="none"/>
                <w:lang w:eastAsia="zh-CN"/>
              </w:rPr>
              <w:t>日历天完成</w:t>
            </w:r>
          </w:p>
        </w:tc>
        <w:tc>
          <w:tcPr>
            <w:tcW w:w="1640" w:type="dxa"/>
            <w:vMerge w:val="continue"/>
            <w:tcBorders>
              <w:left w:val="single" w:color="000000" w:sz="6" w:space="0"/>
              <w:right w:val="single" w:color="000000" w:sz="6" w:space="0"/>
            </w:tcBorders>
            <w:noWrap w:val="0"/>
            <w:tcMar>
              <w:top w:w="0" w:type="dxa"/>
              <w:left w:w="0" w:type="dxa"/>
              <w:bottom w:w="0" w:type="dxa"/>
              <w:right w:w="0" w:type="dxa"/>
            </w:tcMar>
            <w:vAlign w:val="top"/>
          </w:tcPr>
          <w:p w14:paraId="18965C67">
            <w:pPr>
              <w:spacing w:before="44"/>
              <w:ind w:right="2"/>
              <w:jc w:val="center"/>
              <w:rPr>
                <w:rFonts w:ascii="仿宋_GB2312" w:hAnsi="仿宋_GB2312" w:eastAsia="仿宋_GB2312" w:cs="仿宋_GB2312"/>
                <w:color w:val="auto"/>
                <w:highlight w:val="none"/>
                <w:lang w:eastAsia="zh-CN"/>
              </w:rPr>
            </w:pPr>
          </w:p>
        </w:tc>
      </w:tr>
      <w:tr w14:paraId="6F91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26"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0DB12516">
            <w:pPr>
              <w:spacing w:before="44"/>
              <w:jc w:val="center"/>
              <w:rPr>
                <w:rFonts w:ascii="仿宋_GB2312" w:hAnsi="仿宋_GB2312" w:eastAsia="仿宋_GB2312" w:cs="仿宋_GB2312"/>
                <w:color w:val="auto"/>
                <w:highlight w:val="none"/>
              </w:rPr>
            </w:pPr>
            <w:r>
              <w:rPr>
                <w:rFonts w:ascii="仿宋_GB2312" w:hAnsi="仿宋_GB2312" w:eastAsia="仿宋_GB2312" w:cs="仿宋_GB2312"/>
                <w:color w:val="auto"/>
                <w:highlight w:val="none"/>
              </w:rPr>
              <w:t>3</w:t>
            </w:r>
          </w:p>
        </w:tc>
        <w:tc>
          <w:tcPr>
            <w:tcW w:w="2262"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10839860">
            <w:pPr>
              <w:spacing w:before="44"/>
              <w:jc w:val="center"/>
              <w:rPr>
                <w:rFonts w:ascii="仿宋_GB2312" w:hAnsi="仿宋_GB2312" w:eastAsia="仿宋_GB2312" w:cs="仿宋_GB2312"/>
                <w:color w:val="auto"/>
                <w:highlight w:val="none"/>
                <w:lang w:eastAsia="zh-CN"/>
              </w:rPr>
            </w:pPr>
            <w:r>
              <w:rPr>
                <w:rFonts w:ascii="仿宋_GB2312" w:hAnsi="仿宋_GB2312" w:eastAsia="仿宋_GB2312" w:cs="仿宋_GB2312"/>
                <w:color w:val="auto"/>
                <w:highlight w:val="none"/>
              </w:rPr>
              <w:t>地下室结构</w:t>
            </w:r>
            <w:r>
              <w:rPr>
                <w:rFonts w:hint="eastAsia" w:ascii="仿宋_GB2312" w:hAnsi="仿宋_GB2312" w:eastAsia="仿宋_GB2312" w:cs="仿宋_GB2312"/>
                <w:color w:val="auto"/>
                <w:highlight w:val="none"/>
                <w:lang w:eastAsia="zh-CN"/>
              </w:rPr>
              <w:t>±0.00</w:t>
            </w:r>
          </w:p>
        </w:tc>
        <w:tc>
          <w:tcPr>
            <w:tcW w:w="3645"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055B925A">
            <w:pPr>
              <w:spacing w:before="45"/>
              <w:jc w:val="center"/>
              <w:rPr>
                <w:rFonts w:ascii="仿宋_GB2312" w:hAnsi="仿宋_GB2312" w:eastAsia="仿宋_GB2312" w:cs="仿宋_GB2312"/>
                <w:color w:val="auto"/>
                <w:highlight w:val="none"/>
                <w:lang w:eastAsia="zh-CN"/>
              </w:rPr>
            </w:pPr>
            <w:r>
              <w:rPr>
                <w:rFonts w:ascii="仿宋_GB2312" w:hAnsi="仿宋_GB2312" w:eastAsia="仿宋_GB2312" w:cs="仿宋_GB2312"/>
                <w:color w:val="auto"/>
                <w:highlight w:val="none"/>
                <w:lang w:eastAsia="zh-CN"/>
              </w:rPr>
              <w:t>发出开工令之日起</w:t>
            </w:r>
            <w:r>
              <w:rPr>
                <w:rFonts w:hint="eastAsia" w:ascii="仿宋_GB2312" w:hAnsi="仿宋_GB2312" w:eastAsia="仿宋_GB2312" w:cs="仿宋_GB2312"/>
                <w:color w:val="auto"/>
                <w:highlight w:val="none"/>
                <w:u w:val="single"/>
                <w:lang w:eastAsia="zh-CN"/>
              </w:rPr>
              <w:t xml:space="preserve"> </w:t>
            </w:r>
            <w:r>
              <w:rPr>
                <w:rFonts w:hint="eastAsia" w:ascii="仿宋_GB2312" w:hAnsi="仿宋_GB2312" w:eastAsia="仿宋_GB2312" w:cs="仿宋_GB2312"/>
                <w:color w:val="auto"/>
                <w:highlight w:val="none"/>
                <w:u w:val="single"/>
                <w:lang w:val="en-US" w:eastAsia="zh-CN"/>
              </w:rPr>
              <w:t xml:space="preserve"> </w:t>
            </w:r>
            <w:r>
              <w:rPr>
                <w:rFonts w:hint="eastAsia" w:ascii="仿宋_GB2312" w:hAnsi="仿宋_GB2312" w:eastAsia="仿宋_GB2312" w:cs="仿宋_GB2312"/>
                <w:color w:val="auto"/>
                <w:highlight w:val="none"/>
                <w:u w:val="single"/>
                <w:lang w:eastAsia="zh-CN"/>
              </w:rPr>
              <w:t xml:space="preserve"> </w:t>
            </w:r>
            <w:r>
              <w:rPr>
                <w:rFonts w:ascii="仿宋_GB2312" w:hAnsi="仿宋_GB2312" w:eastAsia="仿宋_GB2312" w:cs="仿宋_GB2312"/>
                <w:color w:val="auto"/>
                <w:highlight w:val="none"/>
                <w:lang w:eastAsia="zh-CN"/>
              </w:rPr>
              <w:t>日历天完成</w:t>
            </w:r>
          </w:p>
        </w:tc>
        <w:tc>
          <w:tcPr>
            <w:tcW w:w="1640" w:type="dxa"/>
            <w:vMerge w:val="continue"/>
            <w:tcBorders>
              <w:left w:val="single" w:color="000000" w:sz="6" w:space="0"/>
              <w:right w:val="single" w:color="000000" w:sz="6" w:space="0"/>
            </w:tcBorders>
            <w:noWrap w:val="0"/>
            <w:tcMar>
              <w:top w:w="0" w:type="dxa"/>
              <w:left w:w="0" w:type="dxa"/>
              <w:bottom w:w="0" w:type="dxa"/>
              <w:right w:w="0" w:type="dxa"/>
            </w:tcMar>
            <w:vAlign w:val="top"/>
          </w:tcPr>
          <w:p w14:paraId="748D477C">
            <w:pPr>
              <w:spacing w:before="44"/>
              <w:ind w:right="2"/>
              <w:jc w:val="center"/>
              <w:rPr>
                <w:rFonts w:ascii="仿宋_GB2312" w:hAnsi="仿宋_GB2312" w:eastAsia="仿宋_GB2312" w:cs="仿宋_GB2312"/>
                <w:color w:val="auto"/>
                <w:highlight w:val="none"/>
                <w:lang w:eastAsia="zh-CN"/>
              </w:rPr>
            </w:pPr>
          </w:p>
        </w:tc>
      </w:tr>
      <w:tr w14:paraId="3CE82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26"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5F9DA5E2">
            <w:pPr>
              <w:spacing w:before="45"/>
              <w:jc w:val="center"/>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4</w:t>
            </w:r>
          </w:p>
        </w:tc>
        <w:tc>
          <w:tcPr>
            <w:tcW w:w="2262"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6E4609DB">
            <w:pPr>
              <w:spacing w:before="45"/>
              <w:ind w:right="1" w:rightChars="0"/>
              <w:jc w:val="center"/>
              <w:rPr>
                <w:rFonts w:hint="eastAsia" w:ascii="仿宋_GB2312" w:hAnsi="仿宋_GB2312" w:eastAsia="仿宋_GB2312" w:cs="仿宋_GB2312"/>
                <w:color w:val="auto"/>
                <w:highlight w:val="none"/>
                <w:lang w:eastAsia="zh-CN"/>
              </w:rPr>
            </w:pPr>
            <w:r>
              <w:rPr>
                <w:rFonts w:ascii="仿宋_GB2312" w:hAnsi="仿宋_GB2312" w:eastAsia="仿宋_GB2312" w:cs="仿宋_GB2312"/>
                <w:color w:val="auto"/>
                <w:highlight w:val="none"/>
              </w:rPr>
              <w:t>主体结构</w:t>
            </w:r>
            <w:r>
              <w:rPr>
                <w:rFonts w:hint="eastAsia" w:ascii="仿宋_GB2312" w:hAnsi="仿宋_GB2312" w:eastAsia="仿宋_GB2312" w:cs="仿宋_GB2312"/>
                <w:color w:val="auto"/>
                <w:highlight w:val="none"/>
                <w:lang w:eastAsia="zh-CN"/>
              </w:rPr>
              <w:t>封顶</w:t>
            </w:r>
          </w:p>
        </w:tc>
        <w:tc>
          <w:tcPr>
            <w:tcW w:w="3645"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04043EFD">
            <w:pPr>
              <w:spacing w:before="45"/>
              <w:jc w:val="center"/>
              <w:rPr>
                <w:rFonts w:ascii="仿宋_GB2312" w:hAnsi="仿宋_GB2312" w:eastAsia="仿宋_GB2312" w:cs="仿宋_GB2312"/>
                <w:color w:val="auto"/>
                <w:highlight w:val="none"/>
                <w:lang w:eastAsia="zh-CN"/>
              </w:rPr>
            </w:pPr>
            <w:r>
              <w:rPr>
                <w:rFonts w:ascii="仿宋_GB2312" w:hAnsi="仿宋_GB2312" w:eastAsia="仿宋_GB2312" w:cs="仿宋_GB2312"/>
                <w:color w:val="auto"/>
                <w:highlight w:val="none"/>
                <w:lang w:eastAsia="zh-CN"/>
              </w:rPr>
              <w:t>发出开工令之日起</w:t>
            </w:r>
            <w:r>
              <w:rPr>
                <w:rFonts w:hint="eastAsia" w:ascii="仿宋_GB2312" w:hAnsi="仿宋_GB2312" w:eastAsia="仿宋_GB2312" w:cs="仿宋_GB2312"/>
                <w:color w:val="auto"/>
                <w:highlight w:val="none"/>
                <w:u w:val="single"/>
                <w:lang w:eastAsia="zh-CN"/>
              </w:rPr>
              <w:t xml:space="preserve"> </w:t>
            </w:r>
            <w:r>
              <w:rPr>
                <w:rFonts w:hint="eastAsia" w:ascii="仿宋_GB2312" w:hAnsi="仿宋_GB2312" w:eastAsia="仿宋_GB2312" w:cs="仿宋_GB2312"/>
                <w:color w:val="auto"/>
                <w:highlight w:val="none"/>
                <w:u w:val="single"/>
                <w:lang w:val="en-US" w:eastAsia="zh-CN"/>
              </w:rPr>
              <w:t xml:space="preserve"> </w:t>
            </w:r>
            <w:r>
              <w:rPr>
                <w:rFonts w:hint="eastAsia" w:ascii="仿宋_GB2312" w:hAnsi="仿宋_GB2312" w:eastAsia="仿宋_GB2312" w:cs="仿宋_GB2312"/>
                <w:color w:val="auto"/>
                <w:highlight w:val="none"/>
                <w:u w:val="single"/>
                <w:lang w:eastAsia="zh-CN"/>
              </w:rPr>
              <w:t xml:space="preserve"> </w:t>
            </w:r>
            <w:r>
              <w:rPr>
                <w:rFonts w:ascii="仿宋_GB2312" w:hAnsi="仿宋_GB2312" w:eastAsia="仿宋_GB2312" w:cs="仿宋_GB2312"/>
                <w:color w:val="auto"/>
                <w:highlight w:val="none"/>
                <w:lang w:eastAsia="zh-CN"/>
              </w:rPr>
              <w:t>日历天完成</w:t>
            </w:r>
          </w:p>
        </w:tc>
        <w:tc>
          <w:tcPr>
            <w:tcW w:w="1640" w:type="dxa"/>
            <w:vMerge w:val="continue"/>
            <w:tcBorders>
              <w:left w:val="single" w:color="000000" w:sz="6" w:space="0"/>
              <w:right w:val="single" w:color="000000" w:sz="6" w:space="0"/>
            </w:tcBorders>
            <w:noWrap w:val="0"/>
            <w:tcMar>
              <w:top w:w="0" w:type="dxa"/>
              <w:left w:w="0" w:type="dxa"/>
              <w:bottom w:w="0" w:type="dxa"/>
              <w:right w:w="0" w:type="dxa"/>
            </w:tcMar>
            <w:vAlign w:val="top"/>
          </w:tcPr>
          <w:p w14:paraId="3B80C957">
            <w:pPr>
              <w:spacing w:before="45"/>
              <w:ind w:right="2"/>
              <w:jc w:val="center"/>
              <w:rPr>
                <w:rFonts w:ascii="仿宋_GB2312" w:hAnsi="仿宋_GB2312" w:eastAsia="仿宋_GB2312" w:cs="仿宋_GB2312"/>
                <w:color w:val="auto"/>
                <w:highlight w:val="none"/>
                <w:lang w:eastAsia="zh-CN"/>
              </w:rPr>
            </w:pPr>
          </w:p>
        </w:tc>
      </w:tr>
      <w:tr w14:paraId="64AA6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26"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5B93077A">
            <w:pPr>
              <w:spacing w:before="169"/>
              <w:jc w:val="center"/>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5</w:t>
            </w:r>
          </w:p>
        </w:tc>
        <w:tc>
          <w:tcPr>
            <w:tcW w:w="2262"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710DD67C">
            <w:pPr>
              <w:spacing w:before="169"/>
              <w:ind w:right="1" w:rightChars="0"/>
              <w:jc w:val="center"/>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取得联合验收意见书</w:t>
            </w:r>
          </w:p>
        </w:tc>
        <w:tc>
          <w:tcPr>
            <w:tcW w:w="3645"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3A50800E">
            <w:pPr>
              <w:spacing w:before="45"/>
              <w:jc w:val="center"/>
              <w:rPr>
                <w:rFonts w:ascii="仿宋_GB2312" w:hAnsi="仿宋_GB2312" w:eastAsia="仿宋_GB2312" w:cs="仿宋_GB2312"/>
                <w:color w:val="auto"/>
                <w:highlight w:val="none"/>
                <w:lang w:eastAsia="zh-CN"/>
              </w:rPr>
            </w:pPr>
            <w:r>
              <w:rPr>
                <w:rFonts w:ascii="仿宋_GB2312" w:hAnsi="仿宋_GB2312" w:eastAsia="仿宋_GB2312" w:cs="仿宋_GB2312"/>
                <w:color w:val="auto"/>
                <w:highlight w:val="none"/>
                <w:lang w:eastAsia="zh-CN"/>
              </w:rPr>
              <w:t>发出开工令之日起</w:t>
            </w:r>
            <w:r>
              <w:rPr>
                <w:rFonts w:hint="eastAsia" w:ascii="仿宋_GB2312" w:hAnsi="仿宋_GB2312" w:eastAsia="仿宋_GB2312" w:cs="仿宋_GB2312"/>
                <w:color w:val="auto"/>
                <w:highlight w:val="none"/>
                <w:u w:val="single"/>
                <w:lang w:eastAsia="zh-CN"/>
              </w:rPr>
              <w:t xml:space="preserve"> </w:t>
            </w:r>
            <w:r>
              <w:rPr>
                <w:rFonts w:hint="eastAsia" w:ascii="仿宋_GB2312" w:hAnsi="仿宋_GB2312" w:eastAsia="仿宋_GB2312" w:cs="仿宋_GB2312"/>
                <w:color w:val="auto"/>
                <w:highlight w:val="none"/>
                <w:u w:val="single"/>
                <w:lang w:val="en-US" w:eastAsia="zh-CN"/>
              </w:rPr>
              <w:t xml:space="preserve"> </w:t>
            </w:r>
            <w:r>
              <w:rPr>
                <w:rFonts w:hint="eastAsia" w:ascii="仿宋_GB2312" w:hAnsi="仿宋_GB2312" w:eastAsia="仿宋_GB2312" w:cs="仿宋_GB2312"/>
                <w:color w:val="auto"/>
                <w:highlight w:val="none"/>
                <w:u w:val="single"/>
                <w:lang w:eastAsia="zh-CN"/>
              </w:rPr>
              <w:t xml:space="preserve"> </w:t>
            </w:r>
            <w:r>
              <w:rPr>
                <w:rFonts w:ascii="仿宋_GB2312" w:hAnsi="仿宋_GB2312" w:eastAsia="仿宋_GB2312" w:cs="仿宋_GB2312"/>
                <w:color w:val="auto"/>
                <w:highlight w:val="none"/>
                <w:lang w:eastAsia="zh-CN"/>
              </w:rPr>
              <w:t>日历天完成</w:t>
            </w:r>
          </w:p>
        </w:tc>
        <w:tc>
          <w:tcPr>
            <w:tcW w:w="1640" w:type="dxa"/>
            <w:vMerge w:val="continue"/>
            <w:tcBorders>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29568181">
            <w:pPr>
              <w:spacing w:before="133"/>
              <w:jc w:val="center"/>
              <w:rPr>
                <w:rFonts w:ascii="仿宋_GB2312" w:hAnsi="仿宋_GB2312" w:eastAsia="仿宋_GB2312" w:cs="仿宋_GB2312"/>
                <w:color w:val="auto"/>
                <w:highlight w:val="none"/>
                <w:lang w:eastAsia="zh-CN"/>
              </w:rPr>
            </w:pPr>
          </w:p>
        </w:tc>
      </w:tr>
    </w:tbl>
    <w:p w14:paraId="09207427">
      <w:pPr>
        <w:spacing w:line="360" w:lineRule="auto"/>
        <w:ind w:firstLine="482" w:firstLineChars="200"/>
        <w:rPr>
          <w:rFonts w:ascii="仿宋" w:hAnsi="仿宋" w:eastAsia="仿宋" w:cs="仿宋"/>
          <w:b/>
          <w:bCs/>
          <w:color w:val="auto"/>
          <w:highlight w:val="none"/>
          <w:lang w:eastAsia="zh-CN"/>
        </w:rPr>
      </w:pPr>
      <w:r>
        <w:rPr>
          <w:rFonts w:ascii="仿宋" w:hAnsi="仿宋" w:eastAsia="仿宋" w:cs="仿宋"/>
          <w:b/>
          <w:bCs/>
          <w:color w:val="auto"/>
          <w:highlight w:val="none"/>
          <w:lang w:eastAsia="zh-CN"/>
        </w:rPr>
        <w:t>备注：</w:t>
      </w:r>
      <w:r>
        <w:rPr>
          <w:rFonts w:hint="eastAsia" w:ascii="仿宋" w:hAnsi="仿宋" w:eastAsia="仿宋" w:cs="仿宋"/>
          <w:b/>
          <w:bCs/>
          <w:color w:val="auto"/>
          <w:highlight w:val="none"/>
          <w:lang w:eastAsia="zh-CN"/>
        </w:rPr>
        <w:t>1.</w:t>
      </w:r>
      <w:r>
        <w:rPr>
          <w:rFonts w:ascii="仿宋" w:hAnsi="仿宋" w:eastAsia="仿宋" w:cs="仿宋"/>
          <w:b/>
          <w:bCs/>
          <w:color w:val="auto"/>
          <w:highlight w:val="none"/>
          <w:lang w:eastAsia="zh-CN"/>
        </w:rPr>
        <w:t>若由于征拆影响，场地移交延后则相应调整</w:t>
      </w:r>
      <w:r>
        <w:rPr>
          <w:rFonts w:hint="eastAsia" w:ascii="仿宋" w:hAnsi="仿宋" w:eastAsia="仿宋" w:cs="仿宋"/>
          <w:b/>
          <w:bCs/>
          <w:color w:val="auto"/>
          <w:highlight w:val="none"/>
          <w:lang w:eastAsia="zh-CN"/>
        </w:rPr>
        <w:t>，调整后的工期以双方另行签署的补充协议约定为准</w:t>
      </w:r>
      <w:r>
        <w:rPr>
          <w:rFonts w:ascii="仿宋" w:hAnsi="仿宋" w:eastAsia="仿宋" w:cs="仿宋"/>
          <w:b/>
          <w:bCs/>
          <w:color w:val="auto"/>
          <w:highlight w:val="none"/>
          <w:lang w:eastAsia="zh-CN"/>
        </w:rPr>
        <w:t>。</w:t>
      </w:r>
    </w:p>
    <w:p w14:paraId="74CBB624">
      <w:pPr>
        <w:spacing w:line="360" w:lineRule="auto"/>
        <w:ind w:firstLine="1205" w:firstLineChars="5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2.乙方应于</w:t>
      </w:r>
      <w:r>
        <w:rPr>
          <w:rFonts w:hint="eastAsia" w:ascii="仿宋" w:hAnsi="仿宋" w:eastAsia="仿宋" w:cs="仿宋"/>
          <w:b/>
          <w:bCs/>
          <w:color w:val="auto"/>
          <w:highlight w:val="none"/>
          <w:lang w:val="en-US" w:eastAsia="zh-CN"/>
        </w:rPr>
        <w:t>合同签订</w:t>
      </w:r>
      <w:r>
        <w:rPr>
          <w:rFonts w:hint="eastAsia" w:ascii="仿宋" w:hAnsi="仿宋" w:eastAsia="仿宋" w:cs="仿宋"/>
          <w:b/>
          <w:bCs/>
          <w:color w:val="auto"/>
          <w:highlight w:val="none"/>
          <w:lang w:eastAsia="zh-CN"/>
        </w:rPr>
        <w:t>后</w:t>
      </w:r>
      <w:r>
        <w:rPr>
          <w:rFonts w:hint="eastAsia" w:ascii="仿宋" w:hAnsi="仿宋" w:eastAsia="仿宋" w:cs="仿宋"/>
          <w:b/>
          <w:bCs/>
          <w:color w:val="auto"/>
          <w:highlight w:val="none"/>
          <w:lang w:val="en-US" w:eastAsia="zh-CN"/>
        </w:rPr>
        <w:t>30</w:t>
      </w:r>
      <w:r>
        <w:rPr>
          <w:rFonts w:hint="eastAsia" w:ascii="仿宋" w:hAnsi="仿宋" w:eastAsia="仿宋" w:cs="仿宋"/>
          <w:b/>
          <w:bCs/>
          <w:color w:val="auto"/>
          <w:highlight w:val="none"/>
          <w:lang w:eastAsia="zh-CN"/>
        </w:rPr>
        <w:t>天内向发包人提交</w:t>
      </w:r>
      <w:r>
        <w:rPr>
          <w:rFonts w:hint="eastAsia" w:ascii="仿宋" w:hAnsi="仿宋" w:eastAsia="仿宋" w:cs="仿宋"/>
          <w:b/>
          <w:bCs/>
          <w:color w:val="auto"/>
          <w:highlight w:val="none"/>
          <w:lang w:val="en-US" w:eastAsia="zh-CN"/>
        </w:rPr>
        <w:t>包含</w:t>
      </w:r>
      <w:r>
        <w:rPr>
          <w:rFonts w:hint="eastAsia" w:ascii="仿宋" w:hAnsi="仿宋" w:eastAsia="仿宋" w:cs="仿宋"/>
          <w:b/>
          <w:bCs/>
          <w:color w:val="auto"/>
          <w:highlight w:val="none"/>
          <w:lang w:eastAsia="zh-CN"/>
        </w:rPr>
        <w:t>上述关键控制节点的总体工程进度计划，该计划为本合同的附件，与本合同具</w:t>
      </w:r>
      <w:r>
        <w:rPr>
          <w:rFonts w:hint="eastAsia" w:ascii="仿宋" w:hAnsi="仿宋" w:eastAsia="仿宋" w:cs="仿宋"/>
          <w:b/>
          <w:bCs/>
          <w:color w:val="auto"/>
          <w:highlight w:val="none"/>
          <w:lang w:val="en-US" w:eastAsia="zh-CN"/>
        </w:rPr>
        <w:t>有</w:t>
      </w:r>
      <w:r>
        <w:rPr>
          <w:rFonts w:hint="eastAsia" w:ascii="仿宋" w:hAnsi="仿宋" w:eastAsia="仿宋" w:cs="仿宋"/>
          <w:b/>
          <w:bCs/>
          <w:color w:val="auto"/>
          <w:highlight w:val="none"/>
          <w:lang w:eastAsia="zh-CN"/>
        </w:rPr>
        <w:t>同等效力。</w:t>
      </w:r>
    </w:p>
    <w:p w14:paraId="77AC1657">
      <w:pPr>
        <w:spacing w:line="360" w:lineRule="auto"/>
        <w:ind w:firstLine="1200" w:firstLineChars="500"/>
        <w:rPr>
          <w:rFonts w:hint="eastAsia" w:ascii="仿宋" w:hAnsi="仿宋" w:eastAsia="仿宋" w:cs="仿宋"/>
          <w:color w:val="auto"/>
          <w:highlight w:val="non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除合同约定调整的情形外，本合同工期不予调整。</w:t>
      </w:r>
    </w:p>
    <w:p w14:paraId="02F50831">
      <w:pPr>
        <w:spacing w:line="360" w:lineRule="auto"/>
        <w:outlineLvl w:val="1"/>
        <w:rPr>
          <w:rFonts w:ascii="仿宋" w:hAnsi="仿宋" w:eastAsia="仿宋" w:cs="仿宋"/>
          <w:b/>
          <w:bCs/>
          <w:color w:val="auto"/>
          <w:highlight w:val="none"/>
          <w:lang w:eastAsia="zh-CN"/>
        </w:rPr>
      </w:pPr>
      <w:bookmarkStart w:id="79" w:name="_Toc47694262"/>
      <w:bookmarkStart w:id="80" w:name="_Toc14850"/>
      <w:bookmarkStart w:id="81" w:name="_Toc6640"/>
      <w:bookmarkStart w:id="82" w:name="_Toc12407"/>
      <w:bookmarkStart w:id="83" w:name="_Toc17381"/>
      <w:bookmarkStart w:id="84" w:name="_Toc28723"/>
      <w:bookmarkStart w:id="85" w:name="_Toc3394"/>
      <w:bookmarkStart w:id="86" w:name="_Toc19666"/>
      <w:bookmarkStart w:id="87" w:name="_Toc9067"/>
      <w:r>
        <w:rPr>
          <w:rFonts w:hint="eastAsia" w:ascii="仿宋" w:hAnsi="仿宋" w:eastAsia="仿宋" w:cs="仿宋"/>
          <w:b/>
          <w:bCs/>
          <w:color w:val="auto"/>
          <w:highlight w:val="none"/>
          <w:lang w:eastAsia="zh-CN"/>
        </w:rPr>
        <w:t>八、签约合同价</w:t>
      </w:r>
      <w:bookmarkEnd w:id="79"/>
      <w:bookmarkEnd w:id="80"/>
      <w:r>
        <w:rPr>
          <w:rFonts w:hint="eastAsia" w:ascii="仿宋" w:hAnsi="仿宋" w:eastAsia="仿宋" w:cs="仿宋"/>
          <w:b/>
          <w:bCs/>
          <w:color w:val="auto"/>
          <w:highlight w:val="none"/>
          <w:lang w:eastAsia="zh-CN"/>
        </w:rPr>
        <w:t>与合同价格形式</w:t>
      </w:r>
      <w:bookmarkEnd w:id="81"/>
      <w:bookmarkEnd w:id="82"/>
      <w:bookmarkEnd w:id="83"/>
      <w:bookmarkEnd w:id="84"/>
      <w:bookmarkEnd w:id="85"/>
      <w:bookmarkEnd w:id="86"/>
      <w:bookmarkEnd w:id="87"/>
    </w:p>
    <w:p w14:paraId="24E0519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1.签约合同价（含税）：人民币（大写）</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元）。其中：</w:t>
      </w:r>
    </w:p>
    <w:p w14:paraId="281A849B">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1.1 ☑工程勘察费（含税）：</w:t>
      </w:r>
    </w:p>
    <w:p w14:paraId="5A11953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元），不含税价为</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元，税率为</w:t>
      </w:r>
      <w:r>
        <w:rPr>
          <w:rFonts w:hint="eastAsia" w:ascii="仿宋" w:hAnsi="仿宋" w:eastAsia="仿宋" w:cs="仿宋"/>
          <w:color w:val="auto"/>
          <w:highlight w:val="none"/>
          <w:u w:val="single"/>
          <w:lang w:eastAsia="zh-CN"/>
        </w:rPr>
        <w:t xml:space="preserve"> 6 </w:t>
      </w:r>
      <w:r>
        <w:rPr>
          <w:rFonts w:hint="eastAsia" w:ascii="仿宋" w:hAnsi="仿宋" w:eastAsia="仿宋" w:cs="仿宋"/>
          <w:color w:val="auto"/>
          <w:highlight w:val="none"/>
          <w:lang w:eastAsia="zh-CN"/>
        </w:rPr>
        <w:t>%，税金为</w:t>
      </w:r>
      <w:r>
        <w:rPr>
          <w:rFonts w:hint="eastAsia" w:ascii="仿宋" w:hAnsi="仿宋" w:eastAsia="仿宋" w:cs="仿宋"/>
          <w:color w:val="auto"/>
          <w:highlight w:val="none"/>
          <w:u w:val="single"/>
          <w:lang w:eastAsia="zh-CN"/>
        </w:rPr>
        <w:t xml:space="preserve"> </w:t>
      </w:r>
      <w:r>
        <w:rPr>
          <w:rFonts w:hint="eastAsia" w:ascii="宋体" w:hAnsi="宋体" w:cs="宋体"/>
          <w:color w:val="auto"/>
          <w:highlight w:val="none"/>
          <w:u w:val="single"/>
          <w:lang w:eastAsia="zh-CN"/>
        </w:rPr>
        <w:t>¥</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元；合同约定下浮率为</w:t>
      </w:r>
      <w:r>
        <w:rPr>
          <w:rFonts w:hint="eastAsia" w:ascii="仿宋" w:hAnsi="仿宋" w:eastAsia="仿宋" w:cs="仿宋"/>
          <w:color w:val="auto"/>
          <w:highlight w:val="none"/>
          <w:u w:val="single"/>
          <w:lang w:val="en-US" w:eastAsia="zh-CN"/>
        </w:rPr>
        <w:t>4</w:t>
      </w:r>
      <w:r>
        <w:rPr>
          <w:rFonts w:hint="eastAsia" w:ascii="仿宋" w:hAnsi="仿宋" w:eastAsia="仿宋" w:cs="仿宋"/>
          <w:color w:val="auto"/>
          <w:highlight w:val="none"/>
          <w:u w:val="single"/>
          <w:lang w:eastAsia="zh-CN"/>
        </w:rPr>
        <w:t>0</w:t>
      </w:r>
      <w:r>
        <w:rPr>
          <w:rFonts w:hint="eastAsia" w:ascii="仿宋" w:hAnsi="仿宋" w:eastAsia="仿宋" w:cs="仿宋"/>
          <w:color w:val="auto"/>
          <w:highlight w:val="none"/>
          <w:lang w:eastAsia="zh-CN"/>
        </w:rPr>
        <w:t>%、中标下浮率</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中标下浮率及合同约定下浮率是用于计算经审定概算相应费用采用的下浮率，用于后续补充协议价款、结算价款的计算）。按投标综合单价结算的清单项目不再计取中标下浮率及合同约定下浮率。新增勘察项目计取合同约定下浮率及中标下浮率。</w:t>
      </w:r>
    </w:p>
    <w:p w14:paraId="3A480DF3">
      <w:pPr>
        <w:spacing w:line="360" w:lineRule="auto"/>
        <w:ind w:left="480" w:leftChars="2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1.2 ☑工程设计费（含税）：</w:t>
      </w:r>
    </w:p>
    <w:p w14:paraId="1A25B537">
      <w:pPr>
        <w:pStyle w:val="23"/>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人民币（大写）</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eastAsia="zh-CN"/>
        </w:rPr>
        <w:t>元），不含税价为</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eastAsia="zh-CN"/>
        </w:rPr>
        <w:t>元，税率为</w:t>
      </w:r>
      <w:r>
        <w:rPr>
          <w:rFonts w:hint="eastAsia" w:ascii="仿宋" w:hAnsi="仿宋" w:eastAsia="仿宋" w:cs="仿宋"/>
          <w:color w:val="auto"/>
          <w:sz w:val="24"/>
          <w:szCs w:val="24"/>
          <w:highlight w:val="none"/>
          <w:u w:val="single"/>
          <w:lang w:eastAsia="zh-CN"/>
        </w:rPr>
        <w:t xml:space="preserve"> 6  </w:t>
      </w:r>
      <w:r>
        <w:rPr>
          <w:rFonts w:hint="eastAsia" w:ascii="仿宋" w:hAnsi="仿宋" w:eastAsia="仿宋" w:cs="仿宋"/>
          <w:color w:val="auto"/>
          <w:sz w:val="24"/>
          <w:szCs w:val="24"/>
          <w:highlight w:val="none"/>
          <w:lang w:eastAsia="zh-CN"/>
        </w:rPr>
        <w:t>%，税金为</w:t>
      </w:r>
      <w:r>
        <w:rPr>
          <w:rFonts w:hint="eastAsia"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eastAsia="zh-CN"/>
        </w:rPr>
        <w:t>元；合同约定下浮率为</w:t>
      </w:r>
      <w:r>
        <w:rPr>
          <w:rFonts w:hint="eastAsia" w:ascii="仿宋" w:hAnsi="仿宋" w:eastAsia="仿宋" w:cs="仿宋"/>
          <w:color w:val="auto"/>
          <w:sz w:val="24"/>
          <w:szCs w:val="24"/>
          <w:highlight w:val="none"/>
          <w:u w:val="single"/>
          <w:lang w:eastAsia="zh-CN"/>
        </w:rPr>
        <w:t>3</w:t>
      </w:r>
      <w:r>
        <w:rPr>
          <w:rFonts w:hint="eastAsia" w:ascii="仿宋" w:hAnsi="仿宋" w:eastAsia="仿宋" w:cs="仿宋"/>
          <w:color w:val="auto"/>
          <w:sz w:val="24"/>
          <w:szCs w:val="24"/>
          <w:highlight w:val="none"/>
          <w:u w:val="single"/>
          <w:lang w:val="en-US" w:eastAsia="zh-CN"/>
        </w:rPr>
        <w:t>5</w:t>
      </w:r>
      <w:r>
        <w:rPr>
          <w:rFonts w:hint="eastAsia" w:ascii="仿宋" w:hAnsi="仿宋" w:eastAsia="仿宋" w:cs="仿宋"/>
          <w:color w:val="auto"/>
          <w:sz w:val="24"/>
          <w:szCs w:val="24"/>
          <w:highlight w:val="none"/>
          <w:lang w:eastAsia="zh-CN"/>
        </w:rPr>
        <w:t>% 、中标下浮率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eastAsia="zh-CN"/>
        </w:rPr>
        <w:t>%(中标下浮率及合同约定下浮率是指计算经审定概算相应费用采用的下浮率，用于后续补充协议价款、结算价款的计算）。本项目工程基本设计费计取中标下浮率及合同约定下浮率，专业工程设计费只计取中标下浮率。</w:t>
      </w:r>
    </w:p>
    <w:p w14:paraId="14D5C94E">
      <w:pPr>
        <w:spacing w:line="360" w:lineRule="auto"/>
        <w:ind w:left="480" w:leftChars="2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1.3 ☑建筑安装工程费（含税）：</w:t>
      </w:r>
    </w:p>
    <w:p w14:paraId="7ED3100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人民币（大写）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元），不含税价为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元，税率为</w:t>
      </w:r>
      <w:r>
        <w:rPr>
          <w:rFonts w:hint="eastAsia" w:ascii="仿宋" w:hAnsi="仿宋" w:eastAsia="仿宋" w:cs="仿宋"/>
          <w:color w:val="auto"/>
          <w:highlight w:val="none"/>
          <w:u w:val="single"/>
          <w:lang w:eastAsia="zh-CN"/>
        </w:rPr>
        <w:t xml:space="preserve"> 9 </w:t>
      </w:r>
      <w:r>
        <w:rPr>
          <w:rFonts w:hint="eastAsia" w:ascii="仿宋" w:hAnsi="仿宋" w:eastAsia="仿宋" w:cs="仿宋"/>
          <w:color w:val="auto"/>
          <w:highlight w:val="none"/>
          <w:lang w:eastAsia="zh-CN"/>
        </w:rPr>
        <w:t>%，税金为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元；合同约定下浮率为</w:t>
      </w:r>
      <w:r>
        <w:rPr>
          <w:rFonts w:hint="eastAsia" w:ascii="仿宋" w:hAnsi="仿宋" w:eastAsia="仿宋" w:cs="仿宋"/>
          <w:color w:val="auto"/>
          <w:highlight w:val="none"/>
          <w:u w:val="single"/>
          <w:lang w:eastAsia="zh-CN"/>
        </w:rPr>
        <w:t xml:space="preserve">  5  </w:t>
      </w:r>
      <w:r>
        <w:rPr>
          <w:rFonts w:hint="eastAsia" w:ascii="仿宋" w:hAnsi="仿宋" w:eastAsia="仿宋" w:cs="仿宋"/>
          <w:color w:val="auto"/>
          <w:highlight w:val="none"/>
          <w:lang w:eastAsia="zh-CN"/>
        </w:rPr>
        <w:t>% 、中标下浮率</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%(中标下浮率及合同约定下浮率用于后续补充协议价款、结算价款的计算）。</w:t>
      </w:r>
    </w:p>
    <w:p w14:paraId="0FC71573">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建筑安装工程费中含有以下费用：</w:t>
      </w:r>
    </w:p>
    <w:p w14:paraId="775740BB">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（1）☑安全生产措施费用（不含税）：</w:t>
      </w:r>
    </w:p>
    <w:p w14:paraId="5616807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w:t>
      </w:r>
    </w:p>
    <w:p w14:paraId="67C0554E">
      <w:pPr>
        <w:spacing w:line="360" w:lineRule="auto"/>
        <w:ind w:firstLine="960" w:firstLineChars="4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（2）☑余泥渣土（土方、石方、淤泥）场外运输与排放费用（不含税）：</w:t>
      </w:r>
    </w:p>
    <w:p w14:paraId="3F64D8B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人民币（大写） </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w:t>
      </w:r>
    </w:p>
    <w:p w14:paraId="023A1EFE">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（3）☑专业工程暂估价（不含税）：</w:t>
      </w:r>
    </w:p>
    <w:p w14:paraId="482DE02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2782379A">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其他（不含税，按实填写费用名称</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768681E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w:t>
      </w:r>
    </w:p>
    <w:p w14:paraId="4C0B540F">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（5）☑暂列金额（不含税）：</w:t>
      </w:r>
    </w:p>
    <w:p w14:paraId="3F9D9A3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w:t>
      </w:r>
    </w:p>
    <w:p w14:paraId="3D7B9AD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1.4 BIM技术应用费已包含在合同总价中，不另外开项计算。 </w:t>
      </w:r>
    </w:p>
    <w:p w14:paraId="5DCC26E1">
      <w:pPr>
        <w:widowControl w:val="0"/>
        <w:spacing w:line="360" w:lineRule="auto"/>
        <w:ind w:left="480" w:leftChars="2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1.5 □联合体牵头人项目管理费（单列）：联合体牵头人对联合体各成员的组织、管理和协调产生的费用，在本合同价中不得增加计算本费用，从合同总价中提取后，在本协议书中单列供各方监督使用情况；</w:t>
      </w:r>
    </w:p>
    <w:p w14:paraId="2971F202">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（1）□设计单位为联合体牵头人时项目管理费（含税）：</w:t>
      </w:r>
    </w:p>
    <w:p w14:paraId="4B8A7BF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w:t>
      </w:r>
    </w:p>
    <w:p w14:paraId="2DE2E004">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（2）□施工单位为联合体牵头人时项目管理费（含税）：</w:t>
      </w:r>
    </w:p>
    <w:p w14:paraId="62124B6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     元</w:t>
      </w:r>
      <w:r>
        <w:rPr>
          <w:rFonts w:hint="eastAsia" w:ascii="仿宋" w:hAnsi="仿宋" w:eastAsia="仿宋" w:cs="仿宋"/>
          <w:color w:val="auto"/>
          <w:highlight w:val="none"/>
          <w:lang w:eastAsia="zh-CN"/>
        </w:rPr>
        <w:t>）。</w:t>
      </w:r>
    </w:p>
    <w:p w14:paraId="51A2D60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eastAsia="zh-CN"/>
        </w:rPr>
        <w:t>2</w:t>
      </w:r>
      <w:r>
        <w:rPr>
          <w:rFonts w:ascii="仿宋" w:hAnsi="仿宋" w:eastAsia="仿宋" w:cs="仿宋"/>
          <w:color w:val="auto"/>
          <w:szCs w:val="21"/>
          <w:highlight w:val="none"/>
          <w:lang w:eastAsia="zh-CN"/>
        </w:rPr>
        <w:t>.</w:t>
      </w:r>
      <w:r>
        <w:rPr>
          <w:rFonts w:hint="eastAsia" w:ascii="仿宋" w:hAnsi="仿宋" w:eastAsia="仿宋" w:cs="仿宋"/>
          <w:color w:val="auto"/>
          <w:highlight w:val="none"/>
          <w:lang w:eastAsia="zh-CN"/>
        </w:rPr>
        <w:t>计价方式：</w:t>
      </w:r>
      <w:r>
        <w:rPr>
          <w:rFonts w:hint="eastAsia" w:ascii="仿宋" w:hAnsi="仿宋" w:eastAsia="仿宋" w:cs="仿宋"/>
          <w:color w:val="auto"/>
          <w:szCs w:val="21"/>
          <w:highlight w:val="none"/>
          <w:lang w:eastAsia="zh-CN"/>
        </w:rPr>
        <w:t>若增值税税率发生变化，双方本着平等、自愿的原则，以“价税分离”为基础，原合同不含税价不变，发包人、承包人应按照不含税价及调整后的税率重新核算含税价，承包人据此开具发票，发包人据此付款。</w:t>
      </w:r>
    </w:p>
    <w:p w14:paraId="7BC7FCC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3.根据经过第三方评审，并经合同双方确认的概算（达到预算深度），按照下述原则调整合同价并签订补充协议，具体如下：</w:t>
      </w:r>
    </w:p>
    <w:p w14:paraId="79E1E61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3.1工程勘察：以经审定的项目概算对应勘察费的各项目单价为依据，根据经发包人批准的勘察工作大纲中的工作量调整合同价，已完成的工作量则按经确认的实际工作量计算，超出范围或未确认的实际工作量不予计算。</w:t>
      </w:r>
    </w:p>
    <w:p w14:paraId="29152884">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补充协议勘察费的各项目单价=以经审定的项目概算勘察费的各项目单价×（1-合同约定下浮率）×（1-中标下浮率）。（备注：已有投标综合单价的，则直接计算相应费用，不再计取中标下浮率及合同约定下浮率。）</w:t>
      </w:r>
    </w:p>
    <w:p w14:paraId="3F07148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勘察部分补充协议价=∑补充协议勘察费的各项目单价×经批准的勘察工作大纲的工作量。</w:t>
      </w:r>
    </w:p>
    <w:p w14:paraId="37C729C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3.2工程设计</w:t>
      </w:r>
    </w:p>
    <w:p w14:paraId="6A28C5D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3.2.1以经审定的项目概算下浮前工程费用对应的设计费×（1-合同约定下浮率）×（1-设计费投标下浮率）（其中专业工程设计费不计取合同约定下浮率）≥中标价时，设计费合同价以设计费中标价为准；以经审定的项目概算下浮前工程费用对应的设计费×（1-合同约定下浮率）×（1-设计费投标下浮率）（其中专业工程设计费不计取合同约定下浮率）﹤中标价时，设计费合同价以“【工程基本设计费=以经审定的项目概算下浮前工程费用对应的基本设计费×（1-合同约定下浮率）×（1-设计费投标下浮率）】+【专业工程设计费＝∑以经审定的项目概算下浮前工程费用对应的专业设计费×（1-设计费投标下浮率）】”为准。</w:t>
      </w:r>
    </w:p>
    <w:p w14:paraId="16FF23E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3.3 施工部分</w:t>
      </w:r>
    </w:p>
    <w:p w14:paraId="55054672">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3.3</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 xml:space="preserve">补充协议为可调价格合同，采用综合单价包干，项目措施费包干，工程量按实计算的方式确定，具体如下： </w:t>
      </w:r>
    </w:p>
    <w:p w14:paraId="6B9E3835">
      <w:pPr>
        <w:spacing w:line="360" w:lineRule="auto"/>
        <w:ind w:firstLine="480" w:firstLineChars="200"/>
        <w:rPr>
          <w:rFonts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分部分项工程量清单包干综合单价=以经审定的项目概算（达到预算深度)工程费用中的分部分项工程量清单综合单价（或以经审定的项目概算编制新增综合单价）×（1-合同约定下浮率）×（1-中标下浮率），本项目合同约定下浮率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5</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%固定不变，中标下浮率以投标文件为准。</w:t>
      </w:r>
    </w:p>
    <w:p w14:paraId="210289D5">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分部分项工程费=∑</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分部分项工程量清单包干综合单价×工程量），工程量暂以经第三方</w:t>
      </w:r>
      <w:r>
        <w:rPr>
          <w:rFonts w:hint="eastAsia" w:ascii="仿宋" w:hAnsi="仿宋" w:eastAsia="仿宋" w:cs="仿宋"/>
          <w:color w:val="auto"/>
          <w:highlight w:val="none"/>
          <w:lang w:val="en-US" w:eastAsia="zh-CN"/>
        </w:rPr>
        <w:t>造价</w:t>
      </w:r>
      <w:r>
        <w:rPr>
          <w:rFonts w:hint="eastAsia" w:ascii="仿宋" w:hAnsi="仿宋" w:eastAsia="仿宋" w:cs="仿宋"/>
          <w:color w:val="auto"/>
          <w:highlight w:val="none"/>
          <w:lang w:eastAsia="zh-CN"/>
        </w:rPr>
        <w:t>咨询单位（</w:t>
      </w:r>
      <w:r>
        <w:rPr>
          <w:rFonts w:hint="eastAsia" w:ascii="仿宋" w:hAnsi="仿宋" w:eastAsia="仿宋" w:cs="仿宋"/>
          <w:color w:val="auto"/>
          <w:highlight w:val="none"/>
          <w:lang w:val="en-US" w:eastAsia="zh-CN"/>
        </w:rPr>
        <w:t>或财政评审部门</w:t>
      </w:r>
      <w:r>
        <w:rPr>
          <w:rFonts w:hint="eastAsia" w:ascii="仿宋" w:hAnsi="仿宋" w:eastAsia="仿宋" w:cs="仿宋"/>
          <w:color w:val="auto"/>
          <w:highlight w:val="none"/>
          <w:lang w:eastAsia="zh-CN"/>
        </w:rPr>
        <w:t>）审核的项目概算（达到预算深度)工程费用中对应工程量计算，结算依据竣工文件按实计量。</w:t>
      </w:r>
    </w:p>
    <w:p w14:paraId="2598682E">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（2）措施项目费：单价措施费单价=已审批项目概算（达到预算深度)工程费用中的措施费单价×（1-合同约定下浮率）×（1-中标下浮率）×工程量。</w:t>
      </w:r>
    </w:p>
    <w:p w14:paraId="76B1F1A7">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总价措施费=已审批项目概算（达到预算深度)工程费用中对应的总价措施费×（1-合同约定下浮率）×（1-中标下浮率）。</w:t>
      </w:r>
    </w:p>
    <w:p w14:paraId="7BC6BB2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安全生产措施费属非竞争性费用不下浮。</w:t>
      </w:r>
    </w:p>
    <w:p w14:paraId="2C23555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（3）其他项目费=已审批项目概算（达到预算深度)工程费用中对应其他项目费×（1-合同约定下浮率）×（1-中标下浮率）。暂列金额根据工程需要开列，余泥消纳费以有效发票实报实销，纳入工程结算。</w:t>
      </w:r>
    </w:p>
    <w:p w14:paraId="2A8A376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（4）规费、税金：按规定计取，费率固定不变（市造价站文件规定可调整除外）。</w:t>
      </w:r>
    </w:p>
    <w:p w14:paraId="362986D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w:t>
      </w:r>
      <w:r>
        <w:rPr>
          <w:rFonts w:ascii="仿宋" w:hAnsi="仿宋" w:eastAsia="仿宋" w:cs="仿宋"/>
          <w:color w:val="auto"/>
          <w:highlight w:val="none"/>
          <w:lang w:eastAsia="zh-CN"/>
        </w:rPr>
        <w:t>施工</w:t>
      </w:r>
      <w:r>
        <w:rPr>
          <w:rFonts w:hint="eastAsia" w:ascii="仿宋" w:hAnsi="仿宋" w:eastAsia="仿宋" w:cs="仿宋"/>
          <w:color w:val="auto"/>
          <w:highlight w:val="none"/>
          <w:lang w:eastAsia="zh-CN"/>
        </w:rPr>
        <w:t>部分补充协议价</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分部分项工程费+措施项目费+其他项目费+规费+税金。</w:t>
      </w:r>
    </w:p>
    <w:p w14:paraId="7C8E259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6）当按（1）~(5)点计算的不良地质处理费用</w:t>
      </w:r>
      <w:r>
        <w:rPr>
          <w:rFonts w:hint="eastAsia" w:ascii="仿宋" w:hAnsi="仿宋" w:eastAsia="仿宋" w:cs="仿宋"/>
          <w:color w:val="auto"/>
          <w:highlight w:val="none"/>
          <w:lang w:eastAsia="zh"/>
        </w:rPr>
        <w:t>、管线迁改费用</w:t>
      </w:r>
      <w:r>
        <w:rPr>
          <w:rFonts w:hint="eastAsia" w:ascii="仿宋" w:hAnsi="仿宋" w:eastAsia="仿宋" w:cs="仿宋"/>
          <w:color w:val="auto"/>
          <w:highlight w:val="none"/>
          <w:lang w:val="en-US" w:eastAsia="zh-CN"/>
        </w:rPr>
        <w:t>超过合同约定的对应设计限额时，以上述较低值进行补充合同签订及结算。</w:t>
      </w:r>
    </w:p>
    <w:p w14:paraId="0B8A5999">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3.3</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已审批的项目概算（达到预算深度)工程费用中措施项目费根据补充协议总价包干，竣工结算不再调整。项目措施费调减的特殊情况：工程实施内容减少，按分部分项工程费计算减少比例超过10%的，超过部分按分部分项工程费的比例调减措施项目费。施工部分补充协议内的暂列金额根据工程实际需要开支，结算多退少补。</w:t>
      </w:r>
    </w:p>
    <w:p w14:paraId="551601E0">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3.3</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本工程概（预）算编制费、竣工图编制费由承包人在设计费及工程施工费投标报价中综合考虑，中标后发包人不再另行支付费用。</w:t>
      </w:r>
    </w:p>
    <w:p w14:paraId="33D3BFF5">
      <w:pPr>
        <w:spacing w:line="360" w:lineRule="auto"/>
        <w:ind w:firstLine="480" w:firstLineChars="2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3.3</w:t>
      </w:r>
      <w:r>
        <w:rPr>
          <w:rFonts w:ascii="仿宋" w:hAnsi="仿宋" w:eastAsia="仿宋" w:cs="仿宋"/>
          <w:color w:val="auto"/>
          <w:highlight w:val="none"/>
          <w:lang w:eastAsia="zh-CN"/>
        </w:rPr>
        <w:t xml:space="preserve">.4 </w:t>
      </w:r>
      <w:r>
        <w:rPr>
          <w:rFonts w:hint="eastAsia" w:ascii="仿宋" w:hAnsi="仿宋" w:eastAsia="仿宋" w:cs="仿宋"/>
          <w:color w:val="auto"/>
          <w:highlight w:val="none"/>
          <w:lang w:eastAsia="zh-CN"/>
        </w:rPr>
        <w:t>发包人有权依据项目具体情况决定是否要求编制施工图预算。如经审定的概算已达施工图预算深度，经发包人确认不再要求编制施工图预算的，则以经最终审批通过的项目概算中的建安工程费视为施工图预算，</w:t>
      </w:r>
      <w:r>
        <w:rPr>
          <w:rFonts w:hint="eastAsia" w:ascii="仿宋" w:hAnsi="仿宋" w:eastAsia="仿宋" w:cs="仿宋"/>
          <w:color w:val="auto"/>
          <w:highlight w:val="none"/>
          <w:lang w:val="en-US" w:eastAsia="zh-CN"/>
        </w:rPr>
        <w:t>按本合同约定的计价方式确定补充协议价，签订补充协议。</w:t>
      </w:r>
    </w:p>
    <w:p w14:paraId="4FBAACC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4.签订补充协议涉及工程造价的，按上述约定原则进行计价。</w:t>
      </w:r>
    </w:p>
    <w:p w14:paraId="1D563BA8">
      <w:pPr>
        <w:spacing w:line="360" w:lineRule="auto"/>
        <w:ind w:firstLine="480" w:firstLineChars="20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5.本工程适用的计价依据</w:t>
      </w:r>
    </w:p>
    <w:p w14:paraId="75831C00">
      <w:pPr>
        <w:pStyle w:val="17"/>
        <w:spacing w:after="0"/>
        <w:ind w:right="317"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国家标准《</w:t>
      </w:r>
      <w:r>
        <w:rPr>
          <w:rFonts w:hint="eastAsia" w:ascii="仿宋" w:hAnsi="仿宋" w:eastAsia="仿宋" w:cs="仿宋"/>
          <w:snapToGrid w:val="0"/>
          <w:color w:val="auto"/>
          <w:kern w:val="0"/>
          <w:sz w:val="24"/>
          <w:highlight w:val="none"/>
        </w:rPr>
        <w:t>建设工程工程量清单计价规范</w:t>
      </w:r>
      <w:r>
        <w:rPr>
          <w:rFonts w:hint="eastAsia" w:ascii="仿宋" w:hAnsi="仿宋" w:eastAsia="仿宋" w:cs="仿宋"/>
          <w:snapToGrid w:val="0"/>
          <w:color w:val="auto"/>
          <w:spacing w:val="0"/>
          <w:kern w:val="0"/>
          <w:sz w:val="24"/>
          <w:szCs w:val="20"/>
          <w:highlight w:val="none"/>
        </w:rPr>
        <w:t>GB/T50500-2024</w:t>
      </w:r>
      <w:r>
        <w:rPr>
          <w:rFonts w:hint="eastAsia" w:ascii="仿宋" w:hAnsi="仿宋" w:eastAsia="仿宋" w:cs="仿宋"/>
          <w:color w:val="auto"/>
          <w:highlight w:val="none"/>
          <w:lang w:eastAsia="zh-CN"/>
        </w:rPr>
        <w:t>》和《广东省建筑、装饰工程工程量清单计价指引（2013）》《广东省安装、市政、园林绿化工程工程量清单计价指引（2013）》《广东省建筑与装饰工程综合定额（2018）》《广东省通用安装工程综合定额（2018）》《广东省市政工程综合定额（2018）》《广东省园林绿化工程综合定额（2018）》及其配套文件（包括不限于</w:t>
      </w:r>
      <w:r>
        <w:rPr>
          <w:rFonts w:hint="eastAsia" w:ascii="仿宋" w:hAnsi="仿宋" w:eastAsia="仿宋"/>
          <w:color w:val="auto"/>
          <w:szCs w:val="28"/>
          <w:highlight w:val="none"/>
          <w:lang w:eastAsia="zh-CN"/>
        </w:rPr>
        <w:t>定额勘误和定额动态调整文件等</w:t>
      </w:r>
      <w:r>
        <w:rPr>
          <w:rFonts w:hint="eastAsia" w:ascii="仿宋" w:hAnsi="仿宋" w:eastAsia="仿宋" w:cs="仿宋"/>
          <w:color w:val="auto"/>
          <w:highlight w:val="none"/>
          <w:lang w:eastAsia="zh-CN"/>
        </w:rPr>
        <w:t>）；建设期间项目所在地对应时期工程造价管理部门颁布的计价文件。</w:t>
      </w:r>
    </w:p>
    <w:p w14:paraId="2277D77A">
      <w:pPr>
        <w:spacing w:line="360" w:lineRule="auto"/>
        <w:ind w:firstLine="480" w:firstLineChars="20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6.限额结算</w:t>
      </w:r>
    </w:p>
    <w:p w14:paraId="513E3FF2">
      <w:pPr>
        <w:pStyle w:val="17"/>
        <w:spacing w:after="0"/>
        <w:ind w:right="317"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本项目为EPC模式，承包人对施工图、项目概算（达到预算深度)工程费用及工程量清单负责。工程量清单漏项漏量、工程变更、签证等引起工程结算造价增加的（含人、材、机调整价差），</w:t>
      </w:r>
      <w:r>
        <w:rPr>
          <w:rFonts w:hint="eastAsia" w:ascii="仿宋" w:hAnsi="仿宋" w:eastAsia="仿宋" w:cs="仿宋"/>
          <w:color w:val="auto"/>
          <w:highlight w:val="none"/>
          <w:lang w:val="en-US" w:eastAsia="zh-CN"/>
        </w:rPr>
        <w:t>结算价</w:t>
      </w:r>
      <w:r>
        <w:rPr>
          <w:rFonts w:hint="eastAsia" w:ascii="仿宋" w:hAnsi="仿宋" w:eastAsia="仿宋" w:cs="仿宋"/>
          <w:color w:val="auto"/>
          <w:highlight w:val="none"/>
          <w:lang w:eastAsia="zh-CN"/>
        </w:rPr>
        <w:t>不得超过原合同价。</w:t>
      </w:r>
    </w:p>
    <w:p w14:paraId="39D28DE8">
      <w:pPr>
        <w:pStyle w:val="17"/>
        <w:spacing w:after="0"/>
        <w:ind w:right="317"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涉及不良地质处理工程</w:t>
      </w:r>
      <w:r>
        <w:rPr>
          <w:rFonts w:hint="eastAsia" w:ascii="仿宋" w:hAnsi="仿宋" w:eastAsia="仿宋"/>
          <w:color w:val="auto"/>
          <w:highlight w:val="none"/>
          <w:lang w:eastAsia="zh"/>
        </w:rPr>
        <w:t>、管线迁改工程</w:t>
      </w:r>
      <w:r>
        <w:rPr>
          <w:rFonts w:hint="eastAsia" w:ascii="仿宋" w:hAnsi="仿宋" w:eastAsia="仿宋"/>
          <w:color w:val="auto"/>
          <w:highlight w:val="none"/>
          <w:lang w:eastAsia="zh-CN"/>
        </w:rPr>
        <w:t>，</w:t>
      </w:r>
      <w:r>
        <w:rPr>
          <w:rFonts w:hint="eastAsia" w:ascii="仿宋" w:hAnsi="仿宋" w:eastAsia="仿宋" w:cs="仿宋"/>
          <w:color w:val="auto"/>
          <w:highlight w:val="none"/>
          <w:lang w:eastAsia="zh-CN"/>
        </w:rPr>
        <w:t>实际费用超出合同约定限额部分不予增加，按合同约定限额结算。工程最终结算总价(含本条款所述各项调整)超过原合同价的，以原合同价作为最终结算价。</w:t>
      </w:r>
    </w:p>
    <w:p w14:paraId="6295B7DD">
      <w:pPr>
        <w:spacing w:line="360" w:lineRule="auto"/>
        <w:outlineLvl w:val="1"/>
        <w:rPr>
          <w:rFonts w:ascii="仿宋" w:hAnsi="仿宋" w:eastAsia="仿宋" w:cs="仿宋"/>
          <w:b/>
          <w:bCs/>
          <w:color w:val="auto"/>
          <w:highlight w:val="none"/>
          <w:lang w:eastAsia="zh-CN"/>
        </w:rPr>
      </w:pPr>
      <w:bookmarkStart w:id="88" w:name="_Toc21001"/>
      <w:bookmarkStart w:id="89" w:name="_Toc18905"/>
      <w:bookmarkStart w:id="90" w:name="_Toc673"/>
      <w:bookmarkStart w:id="91" w:name="_Toc203"/>
      <w:bookmarkStart w:id="92" w:name="_Toc5821"/>
      <w:bookmarkStart w:id="93" w:name="_Toc1479"/>
      <w:bookmarkStart w:id="94" w:name="_Toc3067"/>
      <w:bookmarkStart w:id="95" w:name="_Toc47694263"/>
      <w:bookmarkStart w:id="96" w:name="_Toc4558"/>
      <w:r>
        <w:rPr>
          <w:rFonts w:hint="eastAsia" w:ascii="仿宋" w:hAnsi="仿宋" w:eastAsia="仿宋" w:cs="仿宋"/>
          <w:b/>
          <w:bCs/>
          <w:color w:val="auto"/>
          <w:highlight w:val="none"/>
          <w:lang w:eastAsia="zh-CN"/>
        </w:rPr>
        <w:t>★九、工人工资支付分账</w:t>
      </w:r>
      <w:bookmarkEnd w:id="88"/>
      <w:r>
        <w:rPr>
          <w:rFonts w:hint="eastAsia" w:ascii="仿宋" w:hAnsi="仿宋" w:eastAsia="仿宋" w:cs="仿宋"/>
          <w:b/>
          <w:bCs/>
          <w:color w:val="auto"/>
          <w:highlight w:val="none"/>
          <w:lang w:eastAsia="zh-CN"/>
        </w:rPr>
        <w:t>、建筑安装工程费支付专户</w:t>
      </w:r>
      <w:bookmarkEnd w:id="89"/>
      <w:bookmarkEnd w:id="90"/>
      <w:bookmarkEnd w:id="91"/>
      <w:bookmarkEnd w:id="92"/>
      <w:bookmarkEnd w:id="93"/>
      <w:bookmarkEnd w:id="94"/>
      <w:bookmarkEnd w:id="95"/>
      <w:bookmarkEnd w:id="96"/>
    </w:p>
    <w:p w14:paraId="04BC70E2">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工人工资款支付专用账户开设的约定内容：</w:t>
      </w:r>
      <w:r>
        <w:rPr>
          <w:rFonts w:hint="eastAsia" w:ascii="仿宋" w:hAnsi="仿宋" w:eastAsia="仿宋" w:cs="仿宋"/>
          <w:color w:val="auto"/>
          <w:highlight w:val="none"/>
          <w:u w:val="single"/>
          <w:lang w:eastAsia="zh-CN"/>
        </w:rPr>
        <w:t>工人工资支付专用账户的监管和管理按照</w:t>
      </w:r>
      <w:r>
        <w:rPr>
          <w:rFonts w:hint="eastAsia" w:ascii="仿宋" w:hAnsi="仿宋" w:eastAsia="仿宋" w:cs="仿宋"/>
          <w:color w:val="auto"/>
          <w:highlight w:val="none"/>
          <w:u w:val="single"/>
          <w:lang w:eastAsia="zh"/>
        </w:rPr>
        <w:t>《工程建设领域农民工工资专用账户管理暂行办法》(人社部发【2021】53号)和</w:t>
      </w:r>
      <w:r>
        <w:rPr>
          <w:rFonts w:hint="eastAsia" w:ascii="仿宋" w:hAnsi="仿宋" w:eastAsia="仿宋" w:cs="仿宋"/>
          <w:color w:val="auto"/>
          <w:highlight w:val="none"/>
          <w:u w:val="single"/>
          <w:lang w:eastAsia="zh-CN"/>
        </w:rPr>
        <w:t>《广州市建设领域工人工资支付分账管理实施细则》（穗建规字〔2020〕37号）</w:t>
      </w:r>
      <w:r>
        <w:rPr>
          <w:rFonts w:hint="eastAsia" w:ascii="仿宋" w:hAnsi="仿宋" w:eastAsia="仿宋" w:cs="仿宋"/>
          <w:color w:val="auto"/>
          <w:highlight w:val="none"/>
          <w:lang w:eastAsia="zh-CN"/>
        </w:rPr>
        <w:t>。</w:t>
      </w:r>
    </w:p>
    <w:p w14:paraId="1B9AD2A2">
      <w:pPr>
        <w:spacing w:line="360" w:lineRule="auto"/>
        <w:ind w:firstLine="480" w:firstLineChars="200"/>
        <w:rPr>
          <w:rFonts w:ascii="仿宋" w:hAnsi="仿宋" w:eastAsia="仿宋"/>
          <w:b/>
          <w:bCs/>
          <w:color w:val="auto"/>
          <w:highlight w:val="none"/>
          <w:lang w:eastAsia="zh-CN"/>
        </w:rPr>
      </w:pPr>
      <w:r>
        <w:rPr>
          <w:rFonts w:hint="eastAsia" w:ascii="仿宋" w:hAnsi="仿宋" w:eastAsia="仿宋" w:cs="仿宋"/>
          <w:color w:val="auto"/>
          <w:highlight w:val="none"/>
          <w:u w:val="single"/>
          <w:lang w:eastAsia="zh-CN"/>
        </w:rPr>
        <w:t>本工程自合同生效之日起至首次工程进度款申请前，承包人向发包人提供在建设项目所在地设立的工人工资支付专用账户的开户证明。承包人在申请工程进度款时，需向发包人提供工人工资支付的有关证明资料，经审核后报发包人备案。</w:t>
      </w:r>
    </w:p>
    <w:p w14:paraId="55FAA57C">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工人工资款支付专用账户开户银行：</w:t>
      </w:r>
      <w:r>
        <w:rPr>
          <w:rFonts w:hint="eastAsia" w:ascii="仿宋" w:hAnsi="仿宋" w:eastAsia="仿宋" w:cs="仿宋"/>
          <w:color w:val="auto"/>
          <w:highlight w:val="none"/>
          <w:u w:val="single"/>
          <w:lang w:eastAsia="zh-CN"/>
        </w:rPr>
        <w:t>以承包人开立的专用账户为准；</w:t>
      </w:r>
    </w:p>
    <w:p w14:paraId="727841EC">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工人工资款支付专用账户：</w:t>
      </w:r>
      <w:r>
        <w:rPr>
          <w:rFonts w:hint="eastAsia" w:ascii="仿宋" w:hAnsi="仿宋" w:eastAsia="仿宋" w:cs="仿宋"/>
          <w:color w:val="auto"/>
          <w:highlight w:val="none"/>
          <w:u w:val="single"/>
          <w:lang w:eastAsia="zh-CN"/>
        </w:rPr>
        <w:t>以承包人开立的专用账户为准；</w:t>
      </w:r>
    </w:p>
    <w:p w14:paraId="5008EBD4">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工程款中的工人工资款比例：</w:t>
      </w:r>
      <w:r>
        <w:rPr>
          <w:rFonts w:hint="eastAsia" w:ascii="仿宋" w:hAnsi="仿宋" w:eastAsia="仿宋" w:cs="仿宋"/>
          <w:color w:val="auto"/>
          <w:highlight w:val="none"/>
          <w:u w:val="single"/>
          <w:lang w:eastAsia="zh-CN"/>
        </w:rPr>
        <w:t>工人工资款比例按照本合同所附《中标通知书》中单列的人工费金额除以中标金额计算，暂定为20%，由发包人按照合同约定按时足额支付至工人工资专用账户，工人工资款最终以实际结算金额为准；</w:t>
      </w:r>
    </w:p>
    <w:p w14:paraId="25A4E77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其中：每一期工程进度款中的工人工资款比例：</w:t>
      </w:r>
      <w:r>
        <w:rPr>
          <w:rFonts w:hint="eastAsia" w:ascii="仿宋" w:hAnsi="仿宋" w:eastAsia="仿宋" w:cs="仿宋"/>
          <w:color w:val="auto"/>
          <w:highlight w:val="none"/>
          <w:u w:val="single"/>
          <w:lang w:eastAsia="zh-CN"/>
        </w:rPr>
        <w:t>暂定为20%；</w:t>
      </w:r>
    </w:p>
    <w:p w14:paraId="6E34976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工人工资支付周期：</w:t>
      </w:r>
      <w:r>
        <w:rPr>
          <w:rFonts w:hint="eastAsia" w:ascii="仿宋" w:hAnsi="仿宋" w:eastAsia="仿宋" w:cs="仿宋"/>
          <w:color w:val="auto"/>
          <w:highlight w:val="none"/>
          <w:u w:val="single"/>
          <w:lang w:eastAsia="zh-CN"/>
        </w:rPr>
        <w:t>按月支付；</w:t>
      </w:r>
    </w:p>
    <w:p w14:paraId="53FB968A">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承包人已确认上述约定工程款中的工人工资款比例能满足本工程项目的工人工资支付。</w:t>
      </w:r>
    </w:p>
    <w:p w14:paraId="0A7E92D0">
      <w:pPr>
        <w:spacing w:line="360" w:lineRule="auto"/>
        <w:ind w:firstLine="480" w:firstLineChars="200"/>
        <w:rPr>
          <w:rFonts w:ascii="仿宋" w:hAnsi="仿宋" w:eastAsia="仿宋"/>
          <w:b/>
          <w:bCs/>
          <w:color w:val="auto"/>
          <w:highlight w:val="none"/>
          <w:lang w:eastAsia="zh-CN"/>
        </w:rPr>
      </w:pPr>
      <w:r>
        <w:rPr>
          <w:rFonts w:hint="eastAsia" w:ascii="仿宋" w:hAnsi="仿宋" w:eastAsia="仿宋" w:cs="仿宋"/>
          <w:color w:val="auto"/>
          <w:highlight w:val="none"/>
          <w:lang w:eastAsia="zh-CN"/>
        </w:rPr>
        <w:t>建筑安装工程费支付专用账户开设的约定内容：</w:t>
      </w:r>
      <w:r>
        <w:rPr>
          <w:rFonts w:hint="eastAsia" w:ascii="仿宋" w:hAnsi="仿宋" w:eastAsia="仿宋" w:cs="仿宋"/>
          <w:color w:val="auto"/>
          <w:highlight w:val="none"/>
          <w:u w:val="single"/>
          <w:lang w:eastAsia="zh-CN"/>
        </w:rPr>
        <w:t>本合同工程款实行资金专户管理。承包人须在发包人指定的监管银行开设工程专用账户，未经核准的账户，发包人不予以拨付资金。承包人须严格执行发包人的资金管理规定，并与发包人及指定监管银行另行签订《工程项目建设资金管理协议》（如有）。承包人需保证资金全部用于本项目工程建设，若一旦发现资金被挪用、被冻结，经函告后，承包人须在7～10个自然日内将挪用资金返还至本项目资金监管账户，并承担挪用资金的10%作为违约金。因资金被挪用、被冻结影响本项目未能按施工计划进行施工的，按延误工期相关处罚条款执行。</w:t>
      </w:r>
    </w:p>
    <w:p w14:paraId="69A151AE">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建筑安装工程费支付专用账户开户银行（如果有）：如有则以发包人届时要求为准。因涉及使用政策性银行借款支付，政策性银行是否对承包人收款账户开户银行有所要求待与政策性银行确认。</w:t>
      </w:r>
      <w:r>
        <w:rPr>
          <w:rFonts w:ascii="仿宋" w:hAnsi="仿宋" w:eastAsia="仿宋" w:cs="仿宋"/>
          <w:color w:val="auto"/>
          <w:highlight w:val="none"/>
          <w:lang w:eastAsia="zh-CN"/>
        </w:rPr>
        <w:t xml:space="preserve"> </w:t>
      </w:r>
    </w:p>
    <w:p w14:paraId="6708394D">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建筑安装工程费中的工程材料、工程设备款比例：</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p>
    <w:p w14:paraId="54C2A6F7">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其中：每一期建筑安装工程费的工程进度款中的工程材料、工程设备款比例：</w:t>
      </w:r>
      <w:r>
        <w:rPr>
          <w:rFonts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14:paraId="6942483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工程材料、工程设备款支付周期：</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299F9D1E">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承包人已确认上述约定建筑安装工程费中的工程材料、工程设备款比例能满足本工程项目的工程材料、工程设备款支付。</w:t>
      </w:r>
    </w:p>
    <w:p w14:paraId="5E1CF6D0">
      <w:pPr>
        <w:pStyle w:val="23"/>
        <w:spacing w:line="360" w:lineRule="auto"/>
        <w:ind w:firstLine="480" w:firstLineChars="200"/>
        <w:rPr>
          <w:rFonts w:hint="eastAsia" w:ascii="仿宋" w:hAnsi="仿宋" w:eastAsia="仿宋" w:cs="仿宋"/>
          <w:color w:val="auto"/>
          <w:sz w:val="24"/>
          <w:szCs w:val="24"/>
          <w:highlight w:val="none"/>
          <w:lang w:eastAsia="zh-CN" w:bidi="en-US"/>
        </w:rPr>
      </w:pPr>
      <w:r>
        <w:rPr>
          <w:rFonts w:hint="eastAsia" w:ascii="仿宋" w:hAnsi="仿宋" w:eastAsia="仿宋" w:cs="仿宋"/>
          <w:color w:val="auto"/>
          <w:sz w:val="24"/>
          <w:szCs w:val="24"/>
          <w:highlight w:val="none"/>
          <w:lang w:eastAsia="zh-CN" w:bidi="en-US"/>
        </w:rPr>
        <w:t>在工程款监管账户遭遇司法冻结的情况下，承包方有责任立即向发包方通报此情况，并以正式书面形式发出通知。若承包方未能履行上述告知义务，导致发包方未能及时采取相应措施，因此产生的任何经济损失或法律责任应由承包方自行承担。</w:t>
      </w:r>
    </w:p>
    <w:p w14:paraId="70A2BF8C">
      <w:pPr>
        <w:spacing w:line="360" w:lineRule="auto"/>
        <w:rPr>
          <w:rFonts w:hint="eastAsia"/>
          <w:color w:val="auto"/>
          <w:highlight w:val="none"/>
          <w:lang w:eastAsia="zh-CN"/>
        </w:rPr>
      </w:pPr>
    </w:p>
    <w:p w14:paraId="61B683B7">
      <w:pPr>
        <w:spacing w:line="360" w:lineRule="auto"/>
        <w:outlineLvl w:val="1"/>
        <w:rPr>
          <w:rFonts w:hint="eastAsia" w:ascii="仿宋" w:hAnsi="仿宋" w:eastAsia="仿宋" w:cs="仿宋"/>
          <w:b/>
          <w:bCs/>
          <w:color w:val="auto"/>
          <w:highlight w:val="none"/>
          <w:lang w:eastAsia="zh-CN"/>
        </w:rPr>
      </w:pPr>
      <w:bookmarkStart w:id="97" w:name="_Toc22115"/>
      <w:bookmarkStart w:id="98" w:name="_Toc17069"/>
      <w:bookmarkStart w:id="99" w:name="_Toc16680"/>
      <w:bookmarkStart w:id="100" w:name="_Toc1504"/>
      <w:bookmarkStart w:id="101" w:name="_Toc16238"/>
      <w:r>
        <w:rPr>
          <w:rFonts w:hint="eastAsia" w:ascii="仿宋" w:hAnsi="仿宋" w:eastAsia="仿宋" w:cs="仿宋"/>
          <w:b/>
          <w:bCs/>
          <w:color w:val="auto"/>
          <w:highlight w:val="none"/>
          <w:lang w:eastAsia="zh-CN"/>
        </w:rPr>
        <w:t>十、投资控制</w:t>
      </w:r>
      <w:bookmarkEnd w:id="97"/>
      <w:bookmarkEnd w:id="98"/>
      <w:bookmarkEnd w:id="99"/>
      <w:bookmarkEnd w:id="100"/>
      <w:bookmarkEnd w:id="101"/>
    </w:p>
    <w:p w14:paraId="5DEB305C">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1、本工程建筑安装工程费用设计总限额约为</w:t>
      </w:r>
      <w:r>
        <w:rPr>
          <w:rFonts w:hint="default" w:ascii="仿宋" w:hAnsi="仿宋" w:eastAsia="仿宋" w:cs="仿宋"/>
          <w:color w:val="auto"/>
          <w:highlight w:val="none"/>
          <w:u w:val="single"/>
          <w:lang w:eastAsia="zh-CN"/>
        </w:rPr>
        <w:t>1</w:t>
      </w:r>
      <w:r>
        <w:rPr>
          <w:rFonts w:hint="eastAsia" w:ascii="仿宋" w:hAnsi="仿宋" w:eastAsia="仿宋" w:cs="仿宋"/>
          <w:color w:val="auto"/>
          <w:highlight w:val="none"/>
          <w:u w:val="single"/>
          <w:lang w:val="en-US" w:eastAsia="zh-CN"/>
        </w:rPr>
        <w:t>34881.15</w:t>
      </w:r>
      <w:r>
        <w:rPr>
          <w:rFonts w:hint="eastAsia" w:ascii="仿宋" w:hAnsi="仿宋" w:eastAsia="仿宋" w:cs="仿宋"/>
          <w:color w:val="auto"/>
          <w:highlight w:val="none"/>
          <w:lang w:eastAsia="zh-CN"/>
        </w:rPr>
        <w:t>万元人民币（含税）(其中包含房建工程、不良地质处理工程、8号线区间与1号地相关增加费、路外深港湾式公交首末站、地铁通道工程、配建道路工程、污染场地土壤修复工程、管线迁改工程)，设计费用限额2</w:t>
      </w:r>
      <w:r>
        <w:rPr>
          <w:rFonts w:hint="eastAsia" w:ascii="仿宋" w:hAnsi="仿宋" w:eastAsia="仿宋" w:cs="仿宋"/>
          <w:color w:val="auto"/>
          <w:highlight w:val="none"/>
          <w:lang w:val="en-US" w:eastAsia="zh-CN"/>
        </w:rPr>
        <w:t>141.13</w:t>
      </w:r>
      <w:r>
        <w:rPr>
          <w:rFonts w:hint="eastAsia" w:ascii="仿宋" w:hAnsi="仿宋" w:eastAsia="仿宋" w:cs="仿宋"/>
          <w:color w:val="auto"/>
          <w:highlight w:val="none"/>
          <w:lang w:eastAsia="zh-CN"/>
        </w:rPr>
        <w:t>万元，勘察费用限额</w:t>
      </w:r>
      <w:r>
        <w:rPr>
          <w:rFonts w:hint="default" w:ascii="仿宋" w:hAnsi="仿宋" w:eastAsia="仿宋" w:cs="仿宋"/>
          <w:color w:val="auto"/>
          <w:highlight w:val="none"/>
          <w:lang w:eastAsia="zh-CN"/>
        </w:rPr>
        <w:t>1024.23</w:t>
      </w:r>
      <w:r>
        <w:rPr>
          <w:rFonts w:hint="eastAsia" w:ascii="仿宋" w:hAnsi="仿宋" w:eastAsia="仿宋" w:cs="仿宋"/>
          <w:color w:val="auto"/>
          <w:highlight w:val="none"/>
          <w:lang w:eastAsia="zh-CN"/>
        </w:rPr>
        <w:t>万元。具体限额以甲方另行发出的文件为准。应按照甲方的要求，并结合全要素标准的各项内容、要求，遵循功能适用、标准合理、经济合理的原则开展设计。在投资限额目标的基础上，按工程设计内容进一步分解投资，根据投资控制主要指标，在编制设计概、预算时逐步细化落实。</w:t>
      </w:r>
    </w:p>
    <w:p w14:paraId="3622B6D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2、方案设计、初步设计、施工图设计按基本建设流程执行并报发包人审核、审批后，由承包人编制项目相应的概算和预算，并配合概算和预算的第三方审核。</w:t>
      </w:r>
    </w:p>
    <w:p w14:paraId="0A52D87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3、概算编制依据</w:t>
      </w:r>
    </w:p>
    <w:p w14:paraId="1A340F33">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项目概算的建安工程费按施工图预算深度编制，编制完整项目概算报</w:t>
      </w:r>
      <w:r>
        <w:rPr>
          <w:rFonts w:hint="eastAsia" w:ascii="仿宋" w:hAnsi="仿宋" w:eastAsia="仿宋" w:cs="仿宋"/>
          <w:color w:val="auto"/>
          <w:highlight w:val="none"/>
          <w:lang w:val="en-US" w:eastAsia="zh-CN"/>
        </w:rPr>
        <w:t>第三方造价</w:t>
      </w:r>
      <w:r>
        <w:rPr>
          <w:rFonts w:hint="eastAsia" w:ascii="仿宋" w:hAnsi="仿宋" w:eastAsia="仿宋" w:cs="仿宋"/>
          <w:color w:val="auto"/>
          <w:highlight w:val="none"/>
          <w:lang w:eastAsia="zh-CN"/>
        </w:rPr>
        <w:t>咨询单位审核后，送发包人及按现行财政评审程序审批确认后，出具概算审核报告。</w:t>
      </w:r>
    </w:p>
    <w:p w14:paraId="186362EF">
      <w:pPr>
        <w:spacing w:line="360" w:lineRule="auto"/>
        <w:ind w:firstLine="703" w:firstLineChars="29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3.1勘察、设计费：本合同的相关约定；《2002年勘察设计收费标准》；招标文件；投标文件，其他相关规范和标准。</w:t>
      </w:r>
    </w:p>
    <w:p w14:paraId="47CE4305">
      <w:pPr>
        <w:spacing w:line="360" w:lineRule="auto"/>
        <w:ind w:firstLine="703" w:firstLineChars="29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3.2概算建安工程费：</w:t>
      </w:r>
    </w:p>
    <w:p w14:paraId="1EA12ABB">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（1）工程项目概算建安工程费造价的计算原则为：采用清单计价方式，计价依据执行《</w:t>
      </w:r>
      <w:r>
        <w:rPr>
          <w:rFonts w:hint="eastAsia" w:ascii="仿宋" w:hAnsi="仿宋" w:eastAsia="仿宋" w:cs="仿宋"/>
          <w:snapToGrid w:val="0"/>
          <w:color w:val="auto"/>
          <w:kern w:val="0"/>
          <w:sz w:val="24"/>
          <w:highlight w:val="none"/>
        </w:rPr>
        <w:t>建设工程工程量清单计价规范</w:t>
      </w:r>
      <w:r>
        <w:rPr>
          <w:rFonts w:hint="eastAsia" w:ascii="仿宋" w:hAnsi="仿宋" w:eastAsia="仿宋" w:cs="仿宋"/>
          <w:snapToGrid w:val="0"/>
          <w:color w:val="auto"/>
          <w:spacing w:val="0"/>
          <w:kern w:val="0"/>
          <w:sz w:val="24"/>
          <w:szCs w:val="20"/>
          <w:highlight w:val="none"/>
        </w:rPr>
        <w:t>GB/T50500-2024</w:t>
      </w:r>
      <w:r>
        <w:rPr>
          <w:rFonts w:hint="eastAsia" w:ascii="仿宋" w:hAnsi="仿宋" w:eastAsia="仿宋" w:cs="仿宋"/>
          <w:color w:val="auto"/>
          <w:highlight w:val="none"/>
          <w:lang w:eastAsia="zh-CN"/>
        </w:rPr>
        <w:t>》与《广东省建设工程计价依据（2018）》。上述定额有修订或新版时，按其规定执行；工程项目概算建安工程费编制时当上述定额子目有缺项则参考其它相关定额子目编制补充定额子目。</w:t>
      </w:r>
    </w:p>
    <w:p w14:paraId="18EC3632">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人、材、机价格，套用初步设计通过行业主管部门批复或专家评审完成时（以最后时间优先）广州市建设工程造价管理站发布的《广州地区建设工程常用材料税前综合价格》。《广州地区建设工程常用材料税前综合价格》缺项部分可以参考《广州地区建设工程材料（设备）厂商价格信息》及结合市场价（就低原则计取），其中厂商价格</w:t>
      </w:r>
      <w:r>
        <w:rPr>
          <w:rFonts w:hint="eastAsia" w:ascii="仿宋" w:hAnsi="仿宋" w:eastAsia="仿宋" w:cs="仿宋"/>
          <w:color w:val="auto"/>
          <w:highlight w:val="none"/>
          <w:u w:val="single"/>
          <w:lang w:eastAsia="zh-CN"/>
        </w:rPr>
        <w:t>土建工程、园建工程、市政工程下浮10%，机电安装工程下浮20%</w:t>
      </w:r>
      <w:r>
        <w:rPr>
          <w:rFonts w:hint="eastAsia" w:ascii="仿宋" w:hAnsi="仿宋" w:eastAsia="仿宋" w:cs="仿宋"/>
          <w:color w:val="auto"/>
          <w:highlight w:val="none"/>
          <w:lang w:eastAsia="zh-CN"/>
        </w:rPr>
        <w:t>，市场询价原则上应在就近工程所在地询价，询价文件应提供3~5家供应商的报价，并且盖有供应商的公章，且单价必须明确是否包税、包运、包安装等影响单价的关键内容，</w:t>
      </w:r>
      <w:r>
        <w:rPr>
          <w:rFonts w:hint="eastAsia" w:ascii="仿宋" w:hAnsi="仿宋" w:eastAsia="仿宋" w:cs="仿宋"/>
          <w:color w:val="auto"/>
          <w:highlight w:val="none"/>
          <w:lang w:val="en-US" w:eastAsia="zh-CN"/>
        </w:rPr>
        <w:t>经</w:t>
      </w:r>
      <w:r>
        <w:rPr>
          <w:rFonts w:hint="eastAsia" w:ascii="仿宋" w:hAnsi="仿宋" w:eastAsia="仿宋" w:cs="仿宋"/>
          <w:color w:val="auto"/>
          <w:highlight w:val="none"/>
          <w:lang w:eastAsia="zh-CN"/>
        </w:rPr>
        <w:t>监理、</w:t>
      </w:r>
      <w:r>
        <w:rPr>
          <w:rFonts w:hint="eastAsia" w:ascii="仿宋" w:hAnsi="仿宋" w:eastAsia="仿宋" w:cs="仿宋"/>
          <w:color w:val="auto"/>
          <w:highlight w:val="none"/>
          <w:lang w:val="en-US" w:eastAsia="zh-CN"/>
        </w:rPr>
        <w:t>第三方</w:t>
      </w:r>
      <w:r>
        <w:rPr>
          <w:rFonts w:hint="eastAsia" w:ascii="仿宋" w:hAnsi="仿宋" w:eastAsia="仿宋" w:cs="仿宋"/>
          <w:color w:val="auto"/>
          <w:highlight w:val="none"/>
          <w:lang w:eastAsia="zh-CN"/>
        </w:rPr>
        <w:t>造价咨询单位、建设管理单位、发包人审批确认后执行；</w:t>
      </w:r>
      <w:r>
        <w:rPr>
          <w:rFonts w:hint="eastAsia" w:ascii="仿宋" w:hAnsi="仿宋" w:eastAsia="仿宋" w:cs="仿宋"/>
          <w:color w:val="auto"/>
          <w:highlight w:val="none"/>
          <w:lang w:val="en-US" w:eastAsia="zh-CN"/>
        </w:rPr>
        <w:t>最终结算价格以财政评审中心审核为准。</w:t>
      </w:r>
    </w:p>
    <w:p w14:paraId="61779C7E">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4、施工图预算编制</w:t>
      </w:r>
    </w:p>
    <w:p w14:paraId="4761F09F">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以经最终审批通过的项目概算</w:t>
      </w:r>
      <w:r>
        <w:rPr>
          <w:rFonts w:hint="eastAsia" w:ascii="仿宋" w:hAnsi="仿宋" w:eastAsia="仿宋" w:cs="仿宋"/>
          <w:color w:val="auto"/>
          <w:highlight w:val="none"/>
          <w:lang w:val="en-US" w:eastAsia="zh-CN"/>
        </w:rPr>
        <w:t>及合同协议书第八点第3.3款的约定</w:t>
      </w:r>
      <w:r>
        <w:rPr>
          <w:rFonts w:hint="eastAsia" w:ascii="仿宋" w:hAnsi="仿宋" w:eastAsia="仿宋" w:cs="仿宋"/>
          <w:color w:val="auto"/>
          <w:highlight w:val="none"/>
          <w:lang w:eastAsia="zh-CN"/>
        </w:rPr>
        <w:t>为依据，编制施工图预算，并按程序审批通过后，依据审定的预算、按本合同约定的计价方式签订本合同补充协议。</w:t>
      </w:r>
    </w:p>
    <w:p w14:paraId="510933F9">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4.1施工图预算文件：施工图预算文件由工程总承包单位编制，经</w:t>
      </w:r>
      <w:r>
        <w:rPr>
          <w:rFonts w:hint="eastAsia" w:ascii="仿宋" w:hAnsi="仿宋" w:eastAsia="仿宋" w:cs="仿宋"/>
          <w:color w:val="auto"/>
          <w:highlight w:val="none"/>
          <w:lang w:val="en-US" w:eastAsia="zh-CN"/>
        </w:rPr>
        <w:t>监理、建设管理单位、第三方造价咨询单位（如需）及发包人</w:t>
      </w:r>
      <w:r>
        <w:rPr>
          <w:rFonts w:hint="eastAsia" w:ascii="仿宋" w:hAnsi="仿宋" w:eastAsia="仿宋" w:cs="仿宋"/>
          <w:color w:val="auto"/>
          <w:highlight w:val="none"/>
          <w:lang w:eastAsia="zh-CN"/>
        </w:rPr>
        <w:t>审核并按程序审批定案。施工图预算中的建安费不得超过已审批概算对应的建安工程费。</w:t>
      </w:r>
    </w:p>
    <w:p w14:paraId="231D4D2F">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4.2施工图预算编制依据：</w:t>
      </w:r>
    </w:p>
    <w:p w14:paraId="3AE42A22">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（1）工程项目施工图预算造价的计算原则为：参照本协议书第十条款“投资控制”中的第3条款中第3.2条第（1）点。</w:t>
      </w:r>
    </w:p>
    <w:p w14:paraId="2C35E4FE">
      <w:pPr>
        <w:numPr>
          <w:ilvl w:val="0"/>
          <w:numId w:val="3"/>
        </w:num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人、材、机价格：参照本协议</w:t>
      </w:r>
      <w:r>
        <w:rPr>
          <w:rFonts w:hint="eastAsia" w:ascii="仿宋" w:hAnsi="仿宋" w:eastAsia="仿宋" w:cs="仿宋"/>
          <w:color w:val="auto"/>
          <w:highlight w:val="none"/>
          <w:lang w:val="en-US" w:eastAsia="zh-CN"/>
        </w:rPr>
        <w:t>书</w:t>
      </w:r>
      <w:r>
        <w:rPr>
          <w:rFonts w:hint="eastAsia" w:ascii="仿宋" w:hAnsi="仿宋" w:eastAsia="仿宋" w:cs="仿宋"/>
          <w:color w:val="auto"/>
          <w:highlight w:val="none"/>
          <w:lang w:eastAsia="zh-CN"/>
        </w:rPr>
        <w:t>第</w:t>
      </w:r>
      <w:r>
        <w:rPr>
          <w:rFonts w:hint="eastAsia" w:ascii="仿宋" w:hAnsi="仿宋" w:eastAsia="仿宋" w:cs="仿宋"/>
          <w:color w:val="auto"/>
          <w:highlight w:val="none"/>
          <w:lang w:val="en-US" w:eastAsia="zh-CN"/>
        </w:rPr>
        <w:t>十</w:t>
      </w:r>
      <w:r>
        <w:rPr>
          <w:rFonts w:hint="eastAsia" w:ascii="仿宋" w:hAnsi="仿宋" w:eastAsia="仿宋" w:cs="仿宋"/>
          <w:color w:val="auto"/>
          <w:highlight w:val="none"/>
          <w:lang w:eastAsia="zh-CN"/>
        </w:rPr>
        <w:t>条款“</w:t>
      </w:r>
      <w:r>
        <w:rPr>
          <w:rFonts w:hint="eastAsia" w:ascii="仿宋" w:hAnsi="仿宋" w:eastAsia="仿宋" w:cs="仿宋"/>
          <w:color w:val="auto"/>
          <w:highlight w:val="none"/>
          <w:lang w:val="en-US" w:eastAsia="zh-CN"/>
        </w:rPr>
        <w:t>投资控制</w:t>
      </w:r>
      <w:r>
        <w:rPr>
          <w:rFonts w:hint="eastAsia" w:ascii="仿宋" w:hAnsi="仿宋" w:eastAsia="仿宋" w:cs="仿宋"/>
          <w:color w:val="auto"/>
          <w:highlight w:val="none"/>
          <w:lang w:eastAsia="zh-CN"/>
        </w:rPr>
        <w:t>”中的第</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lang w:eastAsia="zh-CN"/>
        </w:rPr>
        <w:t>条款中第</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lang w:eastAsia="zh-CN"/>
        </w:rPr>
        <w:t>.2条</w:t>
      </w:r>
      <w:r>
        <w:rPr>
          <w:rFonts w:hint="eastAsia" w:ascii="仿宋" w:hAnsi="仿宋" w:eastAsia="仿宋" w:cs="仿宋"/>
          <w:color w:val="auto"/>
          <w:highlight w:val="none"/>
          <w:lang w:val="en-US" w:eastAsia="zh-CN"/>
        </w:rPr>
        <w:t>第</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点</w:t>
      </w:r>
      <w:r>
        <w:rPr>
          <w:rFonts w:hint="eastAsia" w:ascii="仿宋" w:hAnsi="仿宋" w:eastAsia="仿宋" w:cs="仿宋"/>
          <w:color w:val="auto"/>
          <w:highlight w:val="none"/>
          <w:lang w:eastAsia="zh-CN"/>
        </w:rPr>
        <w:t>。</w:t>
      </w:r>
    </w:p>
    <w:p w14:paraId="79EB5A5A">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 投资控制原则</w:t>
      </w:r>
    </w:p>
    <w:p w14:paraId="27BD9666">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5.1结果控制。本工程实行全过程限额勘察、设计和施工，承包人须严格将项目投资控制在目标以内。</w:t>
      </w:r>
    </w:p>
    <w:p w14:paraId="440B1EC4">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5.2过程控制</w:t>
      </w:r>
    </w:p>
    <w:p w14:paraId="14D56EB0">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（1）本工程实行全过程限额设计；严格控制每阶段投资目标，承包人应根据发包人设计限额标准制定各阶段、各专业工程限额设计指标和具体控制措施，做好投资控制工作。合同签订之日起</w:t>
      </w:r>
      <w:r>
        <w:rPr>
          <w:rFonts w:hint="eastAsia" w:ascii="仿宋" w:hAnsi="仿宋" w:eastAsia="仿宋" w:cs="仿宋"/>
          <w:color w:val="auto"/>
          <w:highlight w:val="none"/>
          <w:lang w:val="en-US" w:eastAsia="zh-CN"/>
        </w:rPr>
        <w:t>30</w:t>
      </w:r>
      <w:r>
        <w:rPr>
          <w:rFonts w:hint="eastAsia" w:ascii="仿宋" w:hAnsi="仿宋" w:eastAsia="仿宋" w:cs="仿宋"/>
          <w:color w:val="auto"/>
          <w:highlight w:val="none"/>
          <w:lang w:eastAsia="zh-CN"/>
        </w:rPr>
        <w:t>天内，承包人应根据合同专用条款第8.5.1款约定，制定限额设计工作方案，统筹分解限额设计指标，包括一级指标（按单位工程划分）、二级指标（按分部工程划分）、三级指标（按分项工程划分），确保设计人员有效开展限额设计及设计优化工作。限额设计方案报发包人批准后执行，批准后如承包人需调整的，需书面报发包人审批。</w:t>
      </w:r>
    </w:p>
    <w:p w14:paraId="518E7C67">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施工图设计阶段，应结合勘察设计任务书、项目管理要求中的主要设计指标开展设计工作，确保工程预算能满足甲方对工程投资的控制要求。如各单体、各专业的设计预算超出相应限额设计指标的，启动预警机制，允许承包人在满足或优于勘察设计任务书、确保建筑功能且不突破建筑安装工程费设计限额总体造价指标的前提下，经发包人书面同意，调整各单体、各专业的限额设计指标。</w:t>
      </w:r>
    </w:p>
    <w:p w14:paraId="26E26BBC">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本工程设计预算须分单体、分专业进行编制。设计预算须结合设计进度分阶段提供（承包人提供施工图时须同步提交设计预算），以便于复核限额设计落实情况，必要时及时进行设计优化，确保不突破限额才能报施工图审查。</w:t>
      </w:r>
    </w:p>
    <w:p w14:paraId="19C8F7B9">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施工图审查合格并进入施工阶段，允许承包人在满足或优于勘察设计任务书、确保建筑功能且不突破建筑安装工程费设计限额总体造价指标的前提下，调整各单体、各专业之间的限额设计指标，但须报发包人审批同意；承包人设计缺陷等原因造成工程变更的，承包人自行承担工程变更造成的额外费用损失。</w:t>
      </w:r>
    </w:p>
    <w:p w14:paraId="4227B8FD">
      <w:pPr>
        <w:spacing w:line="360" w:lineRule="auto"/>
        <w:ind w:firstLine="465"/>
        <w:rPr>
          <w:rFonts w:ascii="仿宋" w:hAnsi="仿宋" w:eastAsia="仿宋" w:cs="仿宋"/>
          <w:color w:val="auto"/>
          <w:highlight w:val="none"/>
          <w:lang w:eastAsia="zh-CN"/>
        </w:rPr>
      </w:pPr>
      <w:r>
        <w:rPr>
          <w:rFonts w:hint="eastAsia" w:ascii="仿宋" w:hAnsi="仿宋" w:eastAsia="仿宋" w:cs="仿宋"/>
          <w:color w:val="auto"/>
          <w:highlight w:val="none"/>
          <w:lang w:eastAsia="zh-CN"/>
        </w:rPr>
        <w:t>5.3.多方案比选。对地基基础工程、基坑支护工程、装修工程、机电工程等专业工程（包括承包人或发包人提出有需要进行多方案比选的专业工程），承包人应进行多方案比选，由承包人经发包人同意后组织专家论证，综合选择最优方案。以上费用在投标报价综合考虑中，不再另外开项支付。</w:t>
      </w:r>
    </w:p>
    <w:p w14:paraId="6C30EE6D">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5.4. 承包人承诺在不降低勘察设计任务书、初步设计文件、材料设备技术需求书中的主要设计指标（建筑高度、建筑面积等）、材料设备品牌档次的前提下进行施工图设计。</w:t>
      </w:r>
    </w:p>
    <w:p w14:paraId="76C5F74A">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5.5. </w:t>
      </w:r>
      <w:r>
        <w:rPr>
          <w:rFonts w:hint="eastAsia" w:ascii="仿宋" w:hAnsi="仿宋" w:eastAsia="仿宋" w:cs="仿宋"/>
          <w:bCs/>
          <w:snapToGrid w:val="0"/>
          <w:color w:val="auto"/>
          <w:kern w:val="0"/>
          <w:sz w:val="24"/>
          <w:szCs w:val="22"/>
          <w:highlight w:val="none"/>
          <w:lang w:val="en-US" w:eastAsia="zh-CN"/>
        </w:rPr>
        <w:t>承包人施工方应在概算批复后20天内完成预算编制并送发包人，由发包人委托监理单位、第三方造价咨询单位、建设管理单位（如有）审核（15天内出审核初稿），承包人对各审核单位的审核意见应在3天内核对、回复、确认；因承包人预算送审延迟或对数时间延误，导致工程款不能及时支付等后果由承包人承担，承包人不得因此延误工程施工；承包人不同意各审核单位审核意见，在预算审定前工程进度款暂按各审核单位的审核初稿出具的预算数额计付。发包人有权停止支付承包人未确认部分预算所对应的工程进度款，合同节点不得延后，如违约按合同违约条款处罚。</w:t>
      </w:r>
    </w:p>
    <w:p w14:paraId="7775B3E0">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5.6. 在合同执行期内因施工条件、施工环境、气候等自然条件（不可抗力除外）、技术经济条件（如资源、劳力、交通条件等）等因素导致调整及发生的施工费用，以上费用在投标报价综合考虑中，不再另外开项支付。</w:t>
      </w:r>
    </w:p>
    <w:p w14:paraId="3F58A053">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5.7发包人根据工程实施情况，有权对本工程的实施范围和内容进行调整，承包人必须无条件服从。减小实施范围、减少实施内容的，甲方不补偿承包人任何费用，承包人无异议。承包人未经发包人书面同意不得擅自变更工程实施范围和内容。</w:t>
      </w:r>
    </w:p>
    <w:p w14:paraId="2684F6F3">
      <w:pPr>
        <w:spacing w:line="360" w:lineRule="auto"/>
        <w:ind w:firstLine="465"/>
        <w:rPr>
          <w:rFonts w:hint="eastAsia"/>
          <w:color w:val="auto"/>
          <w:highlight w:val="none"/>
          <w:lang w:eastAsia="zh-CN"/>
        </w:rPr>
      </w:pPr>
      <w:r>
        <w:rPr>
          <w:rFonts w:hint="eastAsia" w:ascii="仿宋" w:hAnsi="仿宋" w:eastAsia="仿宋" w:cs="仿宋"/>
          <w:color w:val="auto"/>
          <w:highlight w:val="none"/>
          <w:lang w:eastAsia="zh-CN"/>
        </w:rPr>
        <w:t>5.8承包人应尽一切可行办法积极完成合同约定的全部工作内容，由于承包人自身原因（包括但不限于内部管理不善、未履行限额设计等）导致合同范围内产生额外增加的费用由承包人负责，由此造成损失的（包括但不限于工期延误、工程质量问题、安全问题等），发包人有权向承包人追偿。</w:t>
      </w:r>
    </w:p>
    <w:p w14:paraId="36C6BB43">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5.9 其他投资控制要求详见本合同条款约定。</w:t>
      </w:r>
    </w:p>
    <w:p w14:paraId="12521528">
      <w:pPr>
        <w:spacing w:line="360" w:lineRule="auto"/>
        <w:rPr>
          <w:rFonts w:hint="eastAsia" w:ascii="仿宋" w:hAnsi="仿宋" w:eastAsia="仿宋" w:cs="仿宋"/>
          <w:b/>
          <w:bCs/>
          <w:color w:val="auto"/>
          <w:highlight w:val="none"/>
          <w:lang w:eastAsia="zh-CN"/>
        </w:rPr>
      </w:pPr>
    </w:p>
    <w:p w14:paraId="7C736AB0">
      <w:pPr>
        <w:spacing w:line="360" w:lineRule="auto"/>
        <w:outlineLvl w:val="1"/>
        <w:rPr>
          <w:rFonts w:hint="eastAsia" w:ascii="仿宋" w:hAnsi="仿宋" w:eastAsia="仿宋" w:cs="仿宋"/>
          <w:b/>
          <w:bCs/>
          <w:color w:val="auto"/>
          <w:highlight w:val="none"/>
          <w:lang w:eastAsia="zh-CN"/>
        </w:rPr>
      </w:pPr>
      <w:bookmarkStart w:id="102" w:name="_Toc16274"/>
      <w:bookmarkStart w:id="103" w:name="_Toc23830"/>
      <w:bookmarkStart w:id="104" w:name="_Toc27656"/>
      <w:bookmarkStart w:id="105" w:name="_Toc11341"/>
      <w:bookmarkStart w:id="106" w:name="_Toc31039"/>
      <w:r>
        <w:rPr>
          <w:rFonts w:hint="eastAsia" w:ascii="仿宋" w:hAnsi="仿宋" w:eastAsia="仿宋" w:cs="仿宋"/>
          <w:b/>
          <w:bCs/>
          <w:color w:val="auto"/>
          <w:highlight w:val="none"/>
          <w:lang w:eastAsia="zh-CN"/>
        </w:rPr>
        <w:t>十一、组成合同的文件</w:t>
      </w:r>
      <w:bookmarkEnd w:id="102"/>
      <w:bookmarkEnd w:id="103"/>
      <w:bookmarkEnd w:id="104"/>
      <w:bookmarkEnd w:id="105"/>
      <w:bookmarkEnd w:id="106"/>
    </w:p>
    <w:p w14:paraId="1FE46FAF">
      <w:pPr>
        <w:pStyle w:val="23"/>
        <w:tabs>
          <w:tab w:val="left" w:pos="1260"/>
        </w:tabs>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组成本合同的文件及其优先解释顺序与本合同第三部分《专用条款》第</w:t>
      </w:r>
      <w:r>
        <w:rPr>
          <w:rFonts w:ascii="仿宋" w:hAnsi="仿宋" w:eastAsia="仿宋" w:cs="仿宋"/>
          <w:color w:val="auto"/>
          <w:sz w:val="24"/>
          <w:szCs w:val="24"/>
          <w:highlight w:val="none"/>
          <w:lang w:eastAsia="zh-CN"/>
        </w:rPr>
        <w:t>2.2</w:t>
      </w:r>
      <w:r>
        <w:rPr>
          <w:rFonts w:hint="eastAsia" w:ascii="仿宋" w:hAnsi="仿宋" w:eastAsia="仿宋" w:cs="仿宋"/>
          <w:color w:val="auto"/>
          <w:sz w:val="24"/>
          <w:szCs w:val="24"/>
          <w:highlight w:val="none"/>
          <w:lang w:eastAsia="zh-CN"/>
        </w:rPr>
        <w:t>款赋予的约定一致。</w:t>
      </w:r>
    </w:p>
    <w:p w14:paraId="316D3C95">
      <w:pPr>
        <w:pStyle w:val="23"/>
        <w:tabs>
          <w:tab w:val="left" w:pos="1260"/>
        </w:tabs>
        <w:spacing w:line="360" w:lineRule="auto"/>
        <w:ind w:firstLine="520" w:firstLineChars="217"/>
        <w:rPr>
          <w:rFonts w:ascii="仿宋" w:hAnsi="仿宋" w:eastAsia="仿宋"/>
          <w:color w:val="auto"/>
          <w:sz w:val="24"/>
          <w:szCs w:val="24"/>
          <w:highlight w:val="none"/>
          <w:lang w:eastAsia="zh-CN"/>
        </w:rPr>
      </w:pPr>
    </w:p>
    <w:p w14:paraId="5AC4E79A">
      <w:pPr>
        <w:spacing w:line="360" w:lineRule="auto"/>
        <w:outlineLvl w:val="1"/>
        <w:rPr>
          <w:rFonts w:hint="eastAsia" w:ascii="仿宋" w:hAnsi="仿宋" w:eastAsia="仿宋" w:cs="仿宋"/>
          <w:b/>
          <w:bCs/>
          <w:color w:val="auto"/>
          <w:highlight w:val="none"/>
          <w:lang w:eastAsia="zh-CN"/>
        </w:rPr>
      </w:pPr>
      <w:bookmarkStart w:id="107" w:name="_Toc26765"/>
      <w:bookmarkStart w:id="108" w:name="_Toc47694265"/>
      <w:bookmarkStart w:id="109" w:name="_Toc7435"/>
      <w:bookmarkStart w:id="110" w:name="_Toc24613"/>
      <w:bookmarkStart w:id="111" w:name="_Toc1029"/>
      <w:bookmarkStart w:id="112" w:name="_Toc27624"/>
      <w:bookmarkStart w:id="113" w:name="_Toc26235"/>
      <w:bookmarkStart w:id="114" w:name="_Toc168"/>
      <w:bookmarkStart w:id="115" w:name="_Toc11450"/>
      <w:r>
        <w:rPr>
          <w:rFonts w:hint="eastAsia" w:ascii="仿宋" w:hAnsi="仿宋" w:eastAsia="仿宋" w:cs="仿宋"/>
          <w:b/>
          <w:bCs/>
          <w:color w:val="auto"/>
          <w:highlight w:val="none"/>
          <w:lang w:eastAsia="zh-CN"/>
        </w:rPr>
        <w:t>十二、词语含义</w:t>
      </w:r>
      <w:bookmarkEnd w:id="107"/>
      <w:bookmarkEnd w:id="108"/>
      <w:bookmarkEnd w:id="109"/>
      <w:bookmarkEnd w:id="110"/>
      <w:bookmarkEnd w:id="111"/>
      <w:bookmarkEnd w:id="112"/>
      <w:bookmarkEnd w:id="113"/>
      <w:bookmarkEnd w:id="114"/>
      <w:bookmarkEnd w:id="115"/>
    </w:p>
    <w:p w14:paraId="7408EFF5">
      <w:pPr>
        <w:pStyle w:val="18"/>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本协议书中有关词语含义与本合同第二部分《通用条款》第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条赋予它们的定义相同。</w:t>
      </w:r>
    </w:p>
    <w:p w14:paraId="197A0418">
      <w:pPr>
        <w:pStyle w:val="18"/>
        <w:spacing w:line="360" w:lineRule="auto"/>
        <w:ind w:firstLine="480" w:firstLineChars="200"/>
        <w:rPr>
          <w:rFonts w:ascii="仿宋" w:hAnsi="仿宋" w:eastAsia="仿宋"/>
          <w:color w:val="auto"/>
          <w:sz w:val="24"/>
          <w:szCs w:val="24"/>
          <w:highlight w:val="none"/>
          <w:lang w:eastAsia="zh-CN"/>
        </w:rPr>
      </w:pPr>
    </w:p>
    <w:p w14:paraId="5D1F2DA9">
      <w:pPr>
        <w:spacing w:line="360" w:lineRule="auto"/>
        <w:outlineLvl w:val="1"/>
        <w:rPr>
          <w:rFonts w:ascii="仿宋" w:hAnsi="仿宋" w:eastAsia="仿宋" w:cs="仿宋"/>
          <w:b/>
          <w:bCs/>
          <w:color w:val="auto"/>
          <w:highlight w:val="none"/>
          <w:lang w:eastAsia="zh-CN"/>
        </w:rPr>
      </w:pPr>
      <w:bookmarkStart w:id="116" w:name="_Toc11810"/>
      <w:bookmarkStart w:id="117" w:name="_Toc28296"/>
      <w:bookmarkStart w:id="118" w:name="_Toc22060"/>
      <w:bookmarkStart w:id="119" w:name="_Toc47694266"/>
      <w:bookmarkStart w:id="120" w:name="_Toc32280"/>
      <w:bookmarkStart w:id="121" w:name="_Toc23335"/>
      <w:bookmarkStart w:id="122" w:name="_Toc16151"/>
      <w:bookmarkStart w:id="123" w:name="_Toc29340"/>
      <w:bookmarkStart w:id="124" w:name="_Toc1441"/>
      <w:r>
        <w:rPr>
          <w:rFonts w:hint="eastAsia" w:ascii="仿宋" w:hAnsi="仿宋" w:eastAsia="仿宋" w:cs="仿宋"/>
          <w:b/>
          <w:bCs/>
          <w:color w:val="auto"/>
          <w:highlight w:val="none"/>
          <w:lang w:eastAsia="zh-CN"/>
        </w:rPr>
        <w:t>十三、承诺</w:t>
      </w:r>
      <w:bookmarkEnd w:id="116"/>
      <w:bookmarkEnd w:id="117"/>
      <w:bookmarkEnd w:id="118"/>
      <w:bookmarkEnd w:id="119"/>
      <w:bookmarkEnd w:id="120"/>
      <w:bookmarkEnd w:id="121"/>
      <w:bookmarkEnd w:id="122"/>
      <w:bookmarkEnd w:id="123"/>
      <w:bookmarkEnd w:id="124"/>
    </w:p>
    <w:p w14:paraId="74A29208">
      <w:pPr>
        <w:widowControl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1.发包人承诺已阅读、理解并接受本合同所有条款，按照法律规定履行项目审批或备案手续、筹集工程建设资金，按照本合同约定的时限和方法支付工程款及其他应当支付的款项，履行本合同所约定的全部义务。</w:t>
      </w:r>
    </w:p>
    <w:p w14:paraId="20F5526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承包人承诺已阅读、理解并接受本合同所有条款，按照法律规定及合同约定组织完成勘察、设计、施工总承包内容，并对工程的质量、安全、工期和造价等全面负责，不进行转包及违法分包，并在缺陷责任期及保修期内承担相应的工程维修责任</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履行本合同所约定的全部义务。</w:t>
      </w:r>
    </w:p>
    <w:p w14:paraId="4CFE518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承包人承诺合同生效后，积极履行合同义务及职责，接受及认同发包人各项相关建设管理规定，包括但不限于管理制度、作业指导书、工作流程等。如承包人若未达到发包人相关建设管理要求，发包人有权要求承包人承担违约责任及赔偿损失。</w:t>
      </w:r>
    </w:p>
    <w:p w14:paraId="2B4A7D0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4.承包人承诺积极配合本工程</w:t>
      </w:r>
      <w:r>
        <w:rPr>
          <w:rFonts w:hint="eastAsia" w:ascii="仿宋" w:hAnsi="仿宋" w:eastAsia="仿宋" w:cs="仿宋"/>
          <w:color w:val="auto"/>
          <w:highlight w:val="none"/>
          <w:lang w:val="en-US" w:eastAsia="zh-CN"/>
        </w:rPr>
        <w:t>建设管理单位、</w:t>
      </w:r>
      <w:r>
        <w:rPr>
          <w:rFonts w:hint="eastAsia" w:ascii="仿宋" w:hAnsi="仿宋" w:eastAsia="仿宋" w:cs="仿宋"/>
          <w:color w:val="auto"/>
          <w:highlight w:val="none"/>
          <w:lang w:eastAsia="zh-CN"/>
        </w:rPr>
        <w:t>设计顾问人、造价咨询人开展工作。</w:t>
      </w:r>
    </w:p>
    <w:p w14:paraId="772F4AA8">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5.承包人承诺按发包人要求，积极响应广州市关于投身“百千万工程”的号召，主动参与建筑业结对帮扶。</w:t>
      </w:r>
    </w:p>
    <w:p w14:paraId="338D3C3C">
      <w:pPr>
        <w:spacing w:line="360" w:lineRule="auto"/>
        <w:ind w:firstLine="480" w:firstLineChars="200"/>
        <w:rPr>
          <w:rFonts w:hint="eastAsia" w:ascii="仿宋" w:hAnsi="仿宋" w:eastAsia="仿宋" w:cs="仿宋"/>
          <w:color w:val="auto"/>
          <w:highlight w:val="none"/>
          <w:lang w:eastAsia="zh-CN"/>
        </w:rPr>
      </w:pPr>
    </w:p>
    <w:p w14:paraId="22A0DCC2">
      <w:pPr>
        <w:numPr>
          <w:ilvl w:val="0"/>
          <w:numId w:val="0"/>
        </w:numPr>
        <w:spacing w:line="360" w:lineRule="auto"/>
        <w:outlineLvl w:val="1"/>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十四、合同约定法律法规政策规范性文件要求</w:t>
      </w:r>
    </w:p>
    <w:p w14:paraId="52EF9AC5">
      <w:pPr>
        <w:numPr>
          <w:ilvl w:val="0"/>
          <w:numId w:val="0"/>
        </w:numPr>
        <w:spacing w:line="360" w:lineRule="auto"/>
        <w:outlineLvl w:val="1"/>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 xml:space="preserve">   本合同签订后，合同内所涉及的法律法规政策规范性文件，若有新标准的一律按新标准执行。</w:t>
      </w:r>
    </w:p>
    <w:p w14:paraId="3871F149">
      <w:pPr>
        <w:spacing w:line="360" w:lineRule="auto"/>
        <w:ind w:firstLine="480" w:firstLineChars="200"/>
        <w:rPr>
          <w:rFonts w:hint="eastAsia" w:ascii="仿宋" w:hAnsi="仿宋" w:eastAsia="仿宋" w:cs="仿宋"/>
          <w:color w:val="auto"/>
          <w:highlight w:val="none"/>
          <w:lang w:eastAsia="zh-CN"/>
        </w:rPr>
      </w:pPr>
    </w:p>
    <w:p w14:paraId="563D06C6">
      <w:pPr>
        <w:spacing w:line="360" w:lineRule="auto"/>
        <w:outlineLvl w:val="1"/>
        <w:rPr>
          <w:rFonts w:hint="eastAsia" w:ascii="仿宋" w:hAnsi="仿宋" w:eastAsia="仿宋" w:cs="仿宋"/>
          <w:b/>
          <w:bCs/>
          <w:color w:val="auto"/>
          <w:highlight w:val="none"/>
          <w:lang w:eastAsia="zh-CN"/>
        </w:rPr>
      </w:pPr>
      <w:bookmarkStart w:id="125" w:name="_Toc8809"/>
      <w:bookmarkStart w:id="126" w:name="_Toc2787"/>
      <w:bookmarkStart w:id="127" w:name="_Toc16595"/>
      <w:bookmarkStart w:id="128" w:name="_Toc29615"/>
      <w:bookmarkStart w:id="129" w:name="_Toc19250"/>
      <w:bookmarkStart w:id="130" w:name="_Toc25240"/>
      <w:bookmarkStart w:id="131" w:name="_Toc15288"/>
      <w:bookmarkStart w:id="132" w:name="_Toc7694"/>
      <w:bookmarkStart w:id="133" w:name="_Toc47694267"/>
      <w:r>
        <w:rPr>
          <w:rFonts w:hint="eastAsia" w:ascii="仿宋" w:hAnsi="仿宋" w:eastAsia="仿宋" w:cs="仿宋"/>
          <w:b/>
          <w:bCs/>
          <w:color w:val="auto"/>
          <w:highlight w:val="none"/>
          <w:lang w:eastAsia="zh-CN"/>
        </w:rPr>
        <w:t>十五、合同生效</w:t>
      </w:r>
      <w:bookmarkEnd w:id="125"/>
      <w:bookmarkEnd w:id="126"/>
      <w:bookmarkEnd w:id="127"/>
      <w:bookmarkEnd w:id="128"/>
      <w:bookmarkEnd w:id="129"/>
      <w:bookmarkEnd w:id="130"/>
      <w:bookmarkEnd w:id="131"/>
      <w:bookmarkEnd w:id="132"/>
      <w:bookmarkEnd w:id="133"/>
    </w:p>
    <w:p w14:paraId="20C00BB4">
      <w:pPr>
        <w:spacing w:line="360" w:lineRule="auto"/>
        <w:ind w:left="525"/>
        <w:rPr>
          <w:rFonts w:ascii="仿宋" w:hAnsi="仿宋" w:eastAsia="仿宋"/>
          <w:color w:val="auto"/>
          <w:highlight w:val="none"/>
          <w:lang w:eastAsia="zh-CN"/>
        </w:rPr>
      </w:pPr>
      <w:r>
        <w:rPr>
          <w:rFonts w:hint="eastAsia" w:ascii="仿宋" w:hAnsi="仿宋" w:eastAsia="仿宋" w:cs="仿宋"/>
          <w:color w:val="auto"/>
          <w:highlight w:val="none"/>
          <w:lang w:eastAsia="zh-CN"/>
        </w:rPr>
        <w:t>本合同订立时间：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2025</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1FB3FAC0">
      <w:pPr>
        <w:spacing w:line="360" w:lineRule="auto"/>
        <w:ind w:left="52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本合同订立地点：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广州市白云区</w:t>
      </w:r>
      <w:r>
        <w:rPr>
          <w:rFonts w:ascii="仿宋" w:hAnsi="仿宋" w:eastAsia="仿宋" w:cs="仿宋"/>
          <w:color w:val="auto"/>
          <w:highlight w:val="none"/>
          <w:u w:val="single"/>
          <w:lang w:eastAsia="zh-CN"/>
        </w:rPr>
        <w:t xml:space="preserve">    </w:t>
      </w:r>
    </w:p>
    <w:p w14:paraId="0084D533">
      <w:pPr>
        <w:spacing w:line="360" w:lineRule="auto"/>
        <w:ind w:left="52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合同双方当事人约定本合同自双方签字盖公章或合同专用章后生效。</w:t>
      </w:r>
    </w:p>
    <w:p w14:paraId="6E53DCBD">
      <w:pPr>
        <w:spacing w:line="360" w:lineRule="auto"/>
        <w:rPr>
          <w:rFonts w:hint="eastAsia" w:ascii="仿宋" w:hAnsi="仿宋" w:eastAsia="仿宋" w:cs="仿宋"/>
          <w:b/>
          <w:bCs/>
          <w:color w:val="auto"/>
          <w:highlight w:val="none"/>
          <w:lang w:eastAsia="zh-CN"/>
        </w:rPr>
      </w:pPr>
    </w:p>
    <w:p w14:paraId="74018B1D">
      <w:pPr>
        <w:spacing w:line="360" w:lineRule="auto"/>
        <w:outlineLvl w:val="1"/>
        <w:rPr>
          <w:rFonts w:hint="eastAsia" w:ascii="仿宋" w:hAnsi="仿宋" w:eastAsia="仿宋" w:cs="仿宋"/>
          <w:b/>
          <w:bCs/>
          <w:color w:val="auto"/>
          <w:highlight w:val="none"/>
          <w:lang w:eastAsia="zh-CN"/>
        </w:rPr>
      </w:pPr>
      <w:bookmarkStart w:id="134" w:name="_Toc10645"/>
      <w:bookmarkStart w:id="135" w:name="_Toc9391"/>
      <w:bookmarkStart w:id="136" w:name="_Toc137"/>
      <w:bookmarkStart w:id="137" w:name="_Toc18883"/>
      <w:bookmarkStart w:id="138" w:name="_Toc6670"/>
      <w:bookmarkStart w:id="139" w:name="_Toc47694268"/>
      <w:bookmarkStart w:id="140" w:name="_Toc24530"/>
      <w:bookmarkStart w:id="141" w:name="_Toc28212"/>
      <w:bookmarkStart w:id="142" w:name="_Toc16450"/>
      <w:r>
        <w:rPr>
          <w:rFonts w:hint="eastAsia" w:ascii="仿宋" w:hAnsi="仿宋" w:eastAsia="仿宋" w:cs="仿宋"/>
          <w:b/>
          <w:bCs/>
          <w:color w:val="auto"/>
          <w:highlight w:val="none"/>
          <w:lang w:eastAsia="zh-CN"/>
        </w:rPr>
        <w:t>十六、合同份数</w:t>
      </w:r>
      <w:bookmarkEnd w:id="134"/>
      <w:bookmarkEnd w:id="135"/>
      <w:bookmarkEnd w:id="136"/>
      <w:bookmarkEnd w:id="137"/>
      <w:bookmarkEnd w:id="138"/>
      <w:bookmarkEnd w:id="139"/>
      <w:bookmarkEnd w:id="140"/>
      <w:bookmarkEnd w:id="141"/>
      <w:bookmarkEnd w:id="142"/>
    </w:p>
    <w:p w14:paraId="73DA3D58">
      <w:pPr>
        <w:spacing w:line="360" w:lineRule="auto"/>
        <w:ind w:firstLine="480" w:firstLineChars="200"/>
        <w:rPr>
          <w:rFonts w:hint="eastAsia" w:ascii="仿宋_GB2312" w:eastAsia="仿宋_GB2312"/>
          <w:color w:val="auto"/>
          <w:sz w:val="32"/>
          <w:szCs w:val="32"/>
          <w:highlight w:val="none"/>
          <w:lang w:eastAsia="zh-CN"/>
        </w:rPr>
      </w:pPr>
      <w:r>
        <w:rPr>
          <w:rFonts w:hint="eastAsia" w:ascii="仿宋" w:hAnsi="仿宋" w:eastAsia="仿宋" w:cs="仿宋"/>
          <w:color w:val="auto"/>
          <w:highlight w:val="none"/>
          <w:lang w:eastAsia="zh-CN"/>
        </w:rPr>
        <w:t>本合同一式</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份，具有同等法律效力，其中发包人执</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份，承包人各执</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份。</w:t>
      </w:r>
    </w:p>
    <w:p w14:paraId="59E3E724">
      <w:pPr>
        <w:spacing w:line="360" w:lineRule="auto"/>
        <w:rPr>
          <w:rFonts w:ascii="仿宋" w:hAnsi="仿宋" w:eastAsia="仿宋"/>
          <w:color w:val="auto"/>
          <w:highlight w:val="none"/>
          <w:lang w:eastAsia="zh-CN"/>
        </w:rPr>
      </w:pPr>
    </w:p>
    <w:p w14:paraId="58E51604">
      <w:pPr>
        <w:spacing w:line="360" w:lineRule="auto"/>
        <w:rPr>
          <w:rFonts w:ascii="仿宋" w:hAnsi="仿宋" w:eastAsia="仿宋"/>
          <w:color w:val="auto"/>
          <w:highlight w:val="none"/>
          <w:lang w:eastAsia="zh-CN"/>
        </w:rPr>
        <w:sectPr>
          <w:footerReference r:id="rId7" w:type="default"/>
          <w:pgSz w:w="11906" w:h="16838"/>
          <w:pgMar w:top="1417" w:right="1134" w:bottom="1417" w:left="1134" w:header="851" w:footer="523" w:gutter="0"/>
          <w:pgNumType w:start="1"/>
          <w:cols w:space="720" w:num="1"/>
          <w:docGrid w:type="lines" w:linePitch="312" w:charSpace="0"/>
        </w:sectPr>
      </w:pPr>
      <w:r>
        <w:rPr>
          <w:rFonts w:hint="eastAsia" w:ascii="仿宋" w:hAnsi="仿宋" w:eastAsia="仿宋"/>
          <w:color w:val="auto"/>
          <w:highlight w:val="none"/>
          <w:lang w:eastAsia="zh-CN"/>
        </w:rPr>
        <w:t>（以下无正文）</w:t>
      </w:r>
    </w:p>
    <w:p w14:paraId="56C6A180">
      <w:pPr>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（本页为签署页）</w:t>
      </w:r>
    </w:p>
    <w:p w14:paraId="5373D631">
      <w:pPr>
        <w:spacing w:line="288" w:lineRule="auto"/>
        <w:ind w:left="5272" w:leftChars="100" w:hanging="5032" w:hangingChars="2097"/>
        <w:rPr>
          <w:rFonts w:hint="eastAsia" w:ascii="仿宋" w:hAnsi="仿宋" w:eastAsia="仿宋" w:cs="仿宋"/>
          <w:color w:val="auto"/>
          <w:highlight w:val="none"/>
          <w:lang w:eastAsia="zh-CN"/>
        </w:rPr>
      </w:pP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4"/>
        <w:gridCol w:w="4644"/>
      </w:tblGrid>
      <w:tr w14:paraId="5A810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nil"/>
              <w:left w:val="nil"/>
              <w:bottom w:val="nil"/>
              <w:right w:val="nil"/>
            </w:tcBorders>
            <w:noWrap w:val="0"/>
            <w:vAlign w:val="top"/>
          </w:tcPr>
          <w:p w14:paraId="480FAE5D">
            <w:pPr>
              <w:spacing w:line="312" w:lineRule="auto"/>
              <w:rPr>
                <w:rFonts w:hint="eastAsia" w:ascii="仿宋" w:hAnsi="仿宋" w:eastAsia="仿宋" w:cs="仿宋"/>
                <w:color w:val="auto"/>
                <w:kern w:val="0"/>
                <w:highlight w:val="none"/>
                <w:vertAlign w:val="baseline"/>
                <w:lang w:eastAsia="zh-CN"/>
              </w:rPr>
            </w:pPr>
            <w:r>
              <w:rPr>
                <w:rFonts w:hint="eastAsia" w:ascii="仿宋" w:hAnsi="仿宋" w:eastAsia="仿宋" w:cs="仿宋"/>
                <w:color w:val="auto"/>
                <w:kern w:val="0"/>
                <w:highlight w:val="none"/>
                <w:lang w:eastAsia="zh-CN"/>
              </w:rPr>
              <w:t>发包人：（盖章）</w:t>
            </w:r>
            <w:r>
              <w:rPr>
                <w:rFonts w:ascii="仿宋" w:hAnsi="仿宋" w:eastAsia="仿宋" w:cs="仿宋"/>
                <w:color w:val="auto"/>
                <w:kern w:val="0"/>
                <w:highlight w:val="none"/>
                <w:lang w:eastAsia="zh-CN"/>
              </w:rPr>
              <w:t xml:space="preserve"> </w:t>
            </w:r>
            <w:r>
              <w:rPr>
                <w:rFonts w:hint="eastAsia" w:ascii="仿宋" w:hAnsi="仿宋" w:eastAsia="仿宋" w:cs="仿宋"/>
                <w:color w:val="auto"/>
                <w:kern w:val="0"/>
                <w:highlight w:val="none"/>
                <w:lang w:eastAsia="zh-CN"/>
              </w:rPr>
              <w:t>广州三元里片区改造投资有限公司</w:t>
            </w:r>
          </w:p>
        </w:tc>
        <w:tc>
          <w:tcPr>
            <w:tcW w:w="4644" w:type="dxa"/>
            <w:tcBorders>
              <w:top w:val="nil"/>
              <w:left w:val="nil"/>
              <w:bottom w:val="nil"/>
              <w:right w:val="nil"/>
            </w:tcBorders>
            <w:noWrap w:val="0"/>
            <w:vAlign w:val="top"/>
          </w:tcPr>
          <w:p w14:paraId="31E3C20E">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val="en-US" w:eastAsia="zh-CN"/>
              </w:rPr>
              <w:t>承</w:t>
            </w:r>
            <w:r>
              <w:rPr>
                <w:rFonts w:hint="eastAsia" w:ascii="仿宋" w:hAnsi="仿宋" w:eastAsia="仿宋" w:cs="仿宋"/>
                <w:color w:val="auto"/>
                <w:kern w:val="0"/>
                <w:highlight w:val="none"/>
                <w:lang w:eastAsia="zh-CN"/>
              </w:rPr>
              <w:t>包人：（盖章）（</w:t>
            </w:r>
            <w:r>
              <w:rPr>
                <w:rFonts w:hint="eastAsia" w:ascii="仿宋" w:hAnsi="仿宋" w:eastAsia="仿宋" w:cs="仿宋"/>
                <w:color w:val="auto"/>
                <w:kern w:val="0"/>
                <w:highlight w:val="none"/>
                <w:lang w:val="en-US" w:eastAsia="zh-CN"/>
              </w:rPr>
              <w:t>主</w:t>
            </w:r>
            <w:r>
              <w:rPr>
                <w:rFonts w:hint="eastAsia" w:ascii="仿宋" w:hAnsi="仿宋" w:eastAsia="仿宋" w:cs="仿宋"/>
                <w:color w:val="auto"/>
                <w:kern w:val="0"/>
                <w:highlight w:val="none"/>
                <w:lang w:eastAsia="zh-CN"/>
              </w:rPr>
              <w:t xml:space="preserve">） </w:t>
            </w:r>
          </w:p>
        </w:tc>
      </w:tr>
      <w:tr w14:paraId="38FDE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nil"/>
              <w:left w:val="nil"/>
              <w:bottom w:val="nil"/>
              <w:right w:val="nil"/>
            </w:tcBorders>
            <w:noWrap w:val="0"/>
            <w:vAlign w:val="top"/>
          </w:tcPr>
          <w:p w14:paraId="6D296CC3">
            <w:pPr>
              <w:spacing w:line="312" w:lineRule="auto"/>
              <w:rPr>
                <w:rFonts w:hint="default" w:ascii="仿宋" w:hAnsi="仿宋" w:eastAsia="仿宋" w:cs="仿宋"/>
                <w:color w:val="auto"/>
                <w:kern w:val="0"/>
                <w:highlight w:val="none"/>
                <w:vertAlign w:val="baseline"/>
                <w:lang w:val="en-US" w:eastAsia="zh-CN"/>
              </w:rPr>
            </w:pPr>
            <w:r>
              <w:rPr>
                <w:rFonts w:hint="eastAsia" w:ascii="仿宋" w:hAnsi="仿宋" w:eastAsia="仿宋" w:cs="仿宋"/>
                <w:color w:val="auto"/>
                <w:kern w:val="0"/>
                <w:highlight w:val="none"/>
                <w:lang w:eastAsia="zh-CN"/>
              </w:rPr>
              <w:t>统一社会信用代码：91440111MAE</w:t>
            </w:r>
            <w:r>
              <w:rPr>
                <w:rFonts w:hint="eastAsia" w:ascii="仿宋" w:hAnsi="仿宋" w:eastAsia="仿宋" w:cs="仿宋"/>
                <w:color w:val="auto"/>
                <w:kern w:val="0"/>
                <w:highlight w:val="none"/>
                <w:lang w:val="en-US" w:eastAsia="zh-CN"/>
              </w:rPr>
              <w:t>FRWQ144</w:t>
            </w:r>
          </w:p>
        </w:tc>
        <w:tc>
          <w:tcPr>
            <w:tcW w:w="4644" w:type="dxa"/>
            <w:tcBorders>
              <w:top w:val="nil"/>
              <w:left w:val="nil"/>
              <w:bottom w:val="nil"/>
              <w:right w:val="nil"/>
            </w:tcBorders>
            <w:noWrap w:val="0"/>
            <w:vAlign w:val="top"/>
          </w:tcPr>
          <w:p w14:paraId="7F481A31">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 xml:space="preserve">统一社会信用代码： </w:t>
            </w:r>
          </w:p>
        </w:tc>
      </w:tr>
      <w:tr w14:paraId="74D5A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nil"/>
              <w:left w:val="nil"/>
              <w:bottom w:val="nil"/>
              <w:right w:val="nil"/>
            </w:tcBorders>
            <w:noWrap w:val="0"/>
            <w:vAlign w:val="top"/>
          </w:tcPr>
          <w:p w14:paraId="6EBF2077">
            <w:pPr>
              <w:spacing w:line="312" w:lineRule="auto"/>
              <w:rPr>
                <w:rFonts w:hint="eastAsia" w:ascii="仿宋" w:hAnsi="仿宋" w:eastAsia="仿宋" w:cs="仿宋"/>
                <w:color w:val="auto"/>
                <w:kern w:val="0"/>
                <w:highlight w:val="none"/>
                <w:vertAlign w:val="baseline"/>
                <w:lang w:eastAsia="zh-CN"/>
              </w:rPr>
            </w:pPr>
            <w:r>
              <w:rPr>
                <w:rFonts w:hint="eastAsia" w:ascii="仿宋" w:hAnsi="仿宋" w:eastAsia="仿宋" w:cs="仿宋"/>
                <w:color w:val="auto"/>
                <w:kern w:val="0"/>
                <w:highlight w:val="none"/>
                <w:lang w:eastAsia="zh-CN"/>
              </w:rPr>
              <w:t>地址：广州市白云区三元里大道270号  1101房自编1109A单元</w:t>
            </w:r>
          </w:p>
        </w:tc>
        <w:tc>
          <w:tcPr>
            <w:tcW w:w="4644" w:type="dxa"/>
            <w:tcBorders>
              <w:top w:val="nil"/>
              <w:left w:val="nil"/>
              <w:bottom w:val="nil"/>
              <w:right w:val="nil"/>
            </w:tcBorders>
            <w:noWrap w:val="0"/>
            <w:vAlign w:val="top"/>
          </w:tcPr>
          <w:p w14:paraId="522D8522">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 xml:space="preserve">地址： </w:t>
            </w:r>
          </w:p>
        </w:tc>
      </w:tr>
      <w:tr w14:paraId="3895B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nil"/>
              <w:left w:val="nil"/>
              <w:bottom w:val="nil"/>
              <w:right w:val="nil"/>
            </w:tcBorders>
            <w:noWrap w:val="0"/>
            <w:vAlign w:val="top"/>
          </w:tcPr>
          <w:p w14:paraId="53CD20F7">
            <w:pPr>
              <w:spacing w:line="312" w:lineRule="auto"/>
              <w:rPr>
                <w:rFonts w:hint="eastAsia" w:ascii="仿宋" w:hAnsi="仿宋" w:eastAsia="仿宋" w:cs="仿宋"/>
                <w:color w:val="auto"/>
                <w:kern w:val="0"/>
                <w:highlight w:val="none"/>
                <w:vertAlign w:val="baseline"/>
                <w:lang w:eastAsia="zh-CN"/>
              </w:rPr>
            </w:pPr>
            <w:r>
              <w:rPr>
                <w:rFonts w:hint="eastAsia" w:ascii="仿宋" w:hAnsi="仿宋" w:eastAsia="仿宋" w:cs="仿宋"/>
                <w:color w:val="auto"/>
                <w:kern w:val="0"/>
                <w:highlight w:val="none"/>
                <w:lang w:eastAsia="zh-CN"/>
              </w:rPr>
              <w:t>法定代表人：</w:t>
            </w:r>
          </w:p>
        </w:tc>
        <w:tc>
          <w:tcPr>
            <w:tcW w:w="4644" w:type="dxa"/>
            <w:tcBorders>
              <w:top w:val="nil"/>
              <w:left w:val="nil"/>
              <w:bottom w:val="nil"/>
              <w:right w:val="nil"/>
            </w:tcBorders>
            <w:noWrap w:val="0"/>
            <w:vAlign w:val="top"/>
          </w:tcPr>
          <w:p w14:paraId="6B28489D">
            <w:pPr>
              <w:spacing w:line="312" w:lineRule="auto"/>
              <w:rPr>
                <w:rFonts w:hint="default"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法定代表人：</w:t>
            </w:r>
            <w:r>
              <w:rPr>
                <w:rFonts w:hint="eastAsia" w:ascii="仿宋" w:hAnsi="仿宋" w:eastAsia="仿宋" w:cs="仿宋"/>
                <w:color w:val="auto"/>
                <w:kern w:val="0"/>
                <w:highlight w:val="none"/>
                <w:lang w:val="en-US" w:eastAsia="zh-CN"/>
              </w:rPr>
              <w:t xml:space="preserve"> </w:t>
            </w:r>
          </w:p>
        </w:tc>
      </w:tr>
      <w:tr w14:paraId="65B8F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nil"/>
              <w:left w:val="nil"/>
              <w:bottom w:val="nil"/>
              <w:right w:val="nil"/>
            </w:tcBorders>
            <w:noWrap w:val="0"/>
            <w:vAlign w:val="top"/>
          </w:tcPr>
          <w:p w14:paraId="341E32B6">
            <w:pPr>
              <w:spacing w:line="312" w:lineRule="auto"/>
              <w:rPr>
                <w:rFonts w:hint="eastAsia" w:ascii="仿宋" w:hAnsi="仿宋" w:eastAsia="仿宋" w:cs="仿宋"/>
                <w:color w:val="auto"/>
                <w:kern w:val="0"/>
                <w:highlight w:val="none"/>
                <w:vertAlign w:val="baseline"/>
                <w:lang w:eastAsia="zh-CN"/>
              </w:rPr>
            </w:pPr>
            <w:r>
              <w:rPr>
                <w:rFonts w:hint="eastAsia" w:ascii="仿宋" w:hAnsi="仿宋" w:eastAsia="仿宋" w:cs="仿宋"/>
                <w:color w:val="auto"/>
                <w:kern w:val="0"/>
                <w:highlight w:val="none"/>
                <w:lang w:eastAsia="zh-CN"/>
              </w:rPr>
              <w:t>委托代理人：</w:t>
            </w:r>
          </w:p>
        </w:tc>
        <w:tc>
          <w:tcPr>
            <w:tcW w:w="4644" w:type="dxa"/>
            <w:tcBorders>
              <w:top w:val="nil"/>
              <w:left w:val="nil"/>
              <w:bottom w:val="nil"/>
              <w:right w:val="nil"/>
            </w:tcBorders>
            <w:noWrap w:val="0"/>
            <w:vAlign w:val="top"/>
          </w:tcPr>
          <w:p w14:paraId="59993069">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委托代理人：</w:t>
            </w:r>
          </w:p>
        </w:tc>
      </w:tr>
      <w:tr w14:paraId="04927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nil"/>
              <w:left w:val="nil"/>
              <w:bottom w:val="nil"/>
              <w:right w:val="nil"/>
            </w:tcBorders>
            <w:noWrap w:val="0"/>
            <w:vAlign w:val="top"/>
          </w:tcPr>
          <w:p w14:paraId="489051B6">
            <w:pPr>
              <w:spacing w:line="312" w:lineRule="auto"/>
              <w:rPr>
                <w:rFonts w:hint="eastAsia" w:ascii="仿宋" w:hAnsi="仿宋" w:eastAsia="仿宋" w:cs="仿宋"/>
                <w:color w:val="auto"/>
                <w:kern w:val="0"/>
                <w:highlight w:val="none"/>
                <w:vertAlign w:val="baseline"/>
                <w:lang w:eastAsia="zh-CN"/>
              </w:rPr>
            </w:pPr>
            <w:r>
              <w:rPr>
                <w:rFonts w:hint="eastAsia" w:ascii="仿宋" w:hAnsi="仿宋" w:eastAsia="仿宋" w:cs="仿宋"/>
                <w:color w:val="auto"/>
                <w:kern w:val="0"/>
                <w:highlight w:val="none"/>
                <w:lang w:eastAsia="zh-CN"/>
              </w:rPr>
              <w:t>电</w:t>
            </w:r>
            <w:r>
              <w:rPr>
                <w:rFonts w:ascii="仿宋" w:hAnsi="仿宋" w:eastAsia="仿宋" w:cs="仿宋"/>
                <w:color w:val="auto"/>
                <w:kern w:val="0"/>
                <w:highlight w:val="none"/>
                <w:lang w:eastAsia="zh-CN"/>
              </w:rPr>
              <w:t xml:space="preserve">    </w:t>
            </w:r>
            <w:r>
              <w:rPr>
                <w:rFonts w:hint="eastAsia" w:ascii="仿宋" w:hAnsi="仿宋" w:eastAsia="仿宋" w:cs="仿宋"/>
                <w:color w:val="auto"/>
                <w:kern w:val="0"/>
                <w:highlight w:val="none"/>
                <w:lang w:eastAsia="zh-CN"/>
              </w:rPr>
              <w:t>话：</w:t>
            </w:r>
          </w:p>
        </w:tc>
        <w:tc>
          <w:tcPr>
            <w:tcW w:w="4644" w:type="dxa"/>
            <w:tcBorders>
              <w:top w:val="nil"/>
              <w:left w:val="nil"/>
              <w:bottom w:val="nil"/>
              <w:right w:val="nil"/>
            </w:tcBorders>
            <w:noWrap w:val="0"/>
            <w:vAlign w:val="top"/>
          </w:tcPr>
          <w:p w14:paraId="79E25A0F">
            <w:pPr>
              <w:spacing w:line="312" w:lineRule="auto"/>
              <w:rPr>
                <w:rFonts w:hint="default"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电</w:t>
            </w:r>
            <w:r>
              <w:rPr>
                <w:rFonts w:ascii="仿宋" w:hAnsi="仿宋" w:eastAsia="仿宋" w:cs="仿宋"/>
                <w:color w:val="auto"/>
                <w:kern w:val="0"/>
                <w:highlight w:val="none"/>
                <w:lang w:eastAsia="zh-CN"/>
              </w:rPr>
              <w:t xml:space="preserve">    </w:t>
            </w:r>
            <w:r>
              <w:rPr>
                <w:rFonts w:hint="eastAsia" w:ascii="仿宋" w:hAnsi="仿宋" w:eastAsia="仿宋" w:cs="仿宋"/>
                <w:color w:val="auto"/>
                <w:kern w:val="0"/>
                <w:highlight w:val="none"/>
                <w:lang w:eastAsia="zh-CN"/>
              </w:rPr>
              <w:t>话：</w:t>
            </w:r>
            <w:r>
              <w:rPr>
                <w:rFonts w:hint="eastAsia" w:ascii="仿宋" w:hAnsi="仿宋" w:eastAsia="仿宋" w:cs="仿宋"/>
                <w:color w:val="auto"/>
                <w:kern w:val="0"/>
                <w:highlight w:val="none"/>
                <w:lang w:val="en-US" w:eastAsia="zh-CN"/>
              </w:rPr>
              <w:t xml:space="preserve"> </w:t>
            </w:r>
          </w:p>
        </w:tc>
      </w:tr>
      <w:tr w14:paraId="5AC83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nil"/>
              <w:left w:val="nil"/>
              <w:bottom w:val="nil"/>
              <w:right w:val="nil"/>
            </w:tcBorders>
            <w:noWrap w:val="0"/>
            <w:vAlign w:val="top"/>
          </w:tcPr>
          <w:p w14:paraId="0169B70B">
            <w:pPr>
              <w:spacing w:line="312" w:lineRule="auto"/>
              <w:rPr>
                <w:rFonts w:hint="eastAsia" w:ascii="仿宋" w:hAnsi="仿宋" w:eastAsia="仿宋" w:cs="仿宋"/>
                <w:color w:val="auto"/>
                <w:kern w:val="0"/>
                <w:highlight w:val="none"/>
                <w:vertAlign w:val="baseline"/>
                <w:lang w:eastAsia="zh-CN"/>
              </w:rPr>
            </w:pPr>
            <w:r>
              <w:rPr>
                <w:rFonts w:hint="eastAsia" w:ascii="仿宋" w:hAnsi="仿宋" w:eastAsia="仿宋" w:cs="仿宋"/>
                <w:color w:val="auto"/>
                <w:kern w:val="0"/>
                <w:highlight w:val="none"/>
                <w:lang w:eastAsia="zh-CN"/>
              </w:rPr>
              <w:t>传</w:t>
            </w:r>
            <w:r>
              <w:rPr>
                <w:rFonts w:ascii="仿宋" w:hAnsi="仿宋" w:eastAsia="仿宋" w:cs="仿宋"/>
                <w:color w:val="auto"/>
                <w:kern w:val="0"/>
                <w:highlight w:val="none"/>
                <w:lang w:eastAsia="zh-CN"/>
              </w:rPr>
              <w:t xml:space="preserve">    </w:t>
            </w:r>
            <w:r>
              <w:rPr>
                <w:rFonts w:hint="eastAsia" w:ascii="仿宋" w:hAnsi="仿宋" w:eastAsia="仿宋" w:cs="仿宋"/>
                <w:color w:val="auto"/>
                <w:kern w:val="0"/>
                <w:highlight w:val="none"/>
                <w:lang w:eastAsia="zh-CN"/>
              </w:rPr>
              <w:t>真：</w:t>
            </w:r>
          </w:p>
        </w:tc>
        <w:tc>
          <w:tcPr>
            <w:tcW w:w="4644" w:type="dxa"/>
            <w:tcBorders>
              <w:top w:val="nil"/>
              <w:left w:val="nil"/>
              <w:bottom w:val="nil"/>
              <w:right w:val="nil"/>
            </w:tcBorders>
            <w:noWrap w:val="0"/>
            <w:vAlign w:val="top"/>
          </w:tcPr>
          <w:p w14:paraId="1B4E746E">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传</w:t>
            </w:r>
            <w:r>
              <w:rPr>
                <w:rFonts w:ascii="仿宋" w:hAnsi="仿宋" w:eastAsia="仿宋" w:cs="仿宋"/>
                <w:color w:val="auto"/>
                <w:kern w:val="0"/>
                <w:highlight w:val="none"/>
                <w:lang w:eastAsia="zh-CN"/>
              </w:rPr>
              <w:t xml:space="preserve">    </w:t>
            </w:r>
            <w:r>
              <w:rPr>
                <w:rFonts w:hint="eastAsia" w:ascii="仿宋" w:hAnsi="仿宋" w:eastAsia="仿宋" w:cs="仿宋"/>
                <w:color w:val="auto"/>
                <w:kern w:val="0"/>
                <w:highlight w:val="none"/>
                <w:lang w:eastAsia="zh-CN"/>
              </w:rPr>
              <w:t>真：</w:t>
            </w:r>
          </w:p>
        </w:tc>
      </w:tr>
      <w:tr w14:paraId="48D04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nil"/>
              <w:left w:val="nil"/>
              <w:bottom w:val="nil"/>
              <w:right w:val="nil"/>
            </w:tcBorders>
            <w:noWrap w:val="0"/>
            <w:vAlign w:val="top"/>
          </w:tcPr>
          <w:p w14:paraId="33211970">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开户银行：</w:t>
            </w:r>
          </w:p>
        </w:tc>
        <w:tc>
          <w:tcPr>
            <w:tcW w:w="4644" w:type="dxa"/>
            <w:tcBorders>
              <w:top w:val="nil"/>
              <w:left w:val="nil"/>
              <w:bottom w:val="nil"/>
              <w:right w:val="nil"/>
            </w:tcBorders>
            <w:noWrap w:val="0"/>
            <w:vAlign w:val="top"/>
          </w:tcPr>
          <w:p w14:paraId="6E9C7C9A">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 xml:space="preserve">开户银行： </w:t>
            </w:r>
          </w:p>
        </w:tc>
      </w:tr>
      <w:tr w14:paraId="0AAF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nil"/>
              <w:left w:val="nil"/>
              <w:bottom w:val="nil"/>
              <w:right w:val="nil"/>
            </w:tcBorders>
            <w:noWrap w:val="0"/>
            <w:vAlign w:val="top"/>
          </w:tcPr>
          <w:p w14:paraId="3893AD94">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帐    号：</w:t>
            </w:r>
          </w:p>
        </w:tc>
        <w:tc>
          <w:tcPr>
            <w:tcW w:w="4644" w:type="dxa"/>
            <w:tcBorders>
              <w:top w:val="nil"/>
              <w:left w:val="nil"/>
              <w:bottom w:val="nil"/>
              <w:right w:val="nil"/>
            </w:tcBorders>
            <w:noWrap w:val="0"/>
            <w:vAlign w:val="top"/>
          </w:tcPr>
          <w:p w14:paraId="60D4B711">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 xml:space="preserve">帐    号： </w:t>
            </w:r>
          </w:p>
        </w:tc>
      </w:tr>
      <w:tr w14:paraId="56EAE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nil"/>
              <w:left w:val="nil"/>
              <w:bottom w:val="nil"/>
              <w:right w:val="nil"/>
            </w:tcBorders>
            <w:noWrap w:val="0"/>
            <w:vAlign w:val="top"/>
          </w:tcPr>
          <w:p w14:paraId="4C7576CE">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邮政编码：</w:t>
            </w:r>
          </w:p>
        </w:tc>
        <w:tc>
          <w:tcPr>
            <w:tcW w:w="4644" w:type="dxa"/>
            <w:tcBorders>
              <w:top w:val="nil"/>
              <w:left w:val="nil"/>
              <w:bottom w:val="nil"/>
              <w:right w:val="nil"/>
            </w:tcBorders>
            <w:noWrap w:val="0"/>
            <w:vAlign w:val="top"/>
          </w:tcPr>
          <w:p w14:paraId="567D39D6">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 xml:space="preserve">邮政编码： </w:t>
            </w:r>
          </w:p>
        </w:tc>
      </w:tr>
      <w:tr w14:paraId="4F25B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nil"/>
              <w:left w:val="nil"/>
              <w:bottom w:val="nil"/>
              <w:right w:val="nil"/>
            </w:tcBorders>
            <w:noWrap w:val="0"/>
            <w:vAlign w:val="top"/>
          </w:tcPr>
          <w:p w14:paraId="0726286A">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电子邮箱：</w:t>
            </w:r>
          </w:p>
        </w:tc>
        <w:tc>
          <w:tcPr>
            <w:tcW w:w="4644" w:type="dxa"/>
            <w:tcBorders>
              <w:top w:val="nil"/>
              <w:left w:val="nil"/>
              <w:bottom w:val="nil"/>
              <w:right w:val="nil"/>
            </w:tcBorders>
            <w:noWrap w:val="0"/>
            <w:vAlign w:val="top"/>
          </w:tcPr>
          <w:p w14:paraId="63DF4B74">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 xml:space="preserve">电子邮箱 </w:t>
            </w:r>
          </w:p>
        </w:tc>
      </w:tr>
      <w:tr w14:paraId="5492B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nil"/>
              <w:left w:val="nil"/>
              <w:bottom w:val="nil"/>
              <w:right w:val="nil"/>
            </w:tcBorders>
            <w:noWrap w:val="0"/>
            <w:vAlign w:val="top"/>
          </w:tcPr>
          <w:p w14:paraId="44BCEF33">
            <w:pPr>
              <w:spacing w:line="312" w:lineRule="auto"/>
              <w:rPr>
                <w:rFonts w:hint="eastAsia" w:ascii="仿宋" w:hAnsi="仿宋" w:eastAsia="仿宋" w:cs="仿宋"/>
                <w:color w:val="auto"/>
                <w:kern w:val="0"/>
                <w:sz w:val="24"/>
                <w:szCs w:val="24"/>
                <w:highlight w:val="none"/>
                <w:vertAlign w:val="baseline"/>
                <w:lang w:val="en-US" w:eastAsia="zh-CN" w:bidi="en-US"/>
              </w:rPr>
            </w:pPr>
          </w:p>
        </w:tc>
        <w:tc>
          <w:tcPr>
            <w:tcW w:w="4644" w:type="dxa"/>
            <w:tcBorders>
              <w:top w:val="nil"/>
              <w:left w:val="nil"/>
              <w:bottom w:val="nil"/>
              <w:right w:val="nil"/>
            </w:tcBorders>
            <w:noWrap w:val="0"/>
            <w:vAlign w:val="top"/>
          </w:tcPr>
          <w:p w14:paraId="04014F28">
            <w:pPr>
              <w:spacing w:line="312" w:lineRule="auto"/>
              <w:rPr>
                <w:rFonts w:hint="eastAsia" w:ascii="仿宋" w:hAnsi="仿宋" w:eastAsia="仿宋" w:cs="仿宋"/>
                <w:color w:val="auto"/>
                <w:kern w:val="0"/>
                <w:sz w:val="24"/>
                <w:szCs w:val="24"/>
                <w:highlight w:val="none"/>
                <w:vertAlign w:val="baseline"/>
                <w:lang w:val="en-US" w:eastAsia="zh-CN" w:bidi="en-US"/>
              </w:rPr>
            </w:pPr>
          </w:p>
        </w:tc>
      </w:tr>
      <w:tr w14:paraId="03D3D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nil"/>
              <w:left w:val="nil"/>
              <w:bottom w:val="nil"/>
              <w:right w:val="nil"/>
            </w:tcBorders>
            <w:noWrap w:val="0"/>
            <w:vAlign w:val="top"/>
          </w:tcPr>
          <w:p w14:paraId="2E1F295E">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val="en-US" w:eastAsia="zh-CN"/>
              </w:rPr>
              <w:t>承</w:t>
            </w:r>
            <w:r>
              <w:rPr>
                <w:rFonts w:hint="eastAsia" w:ascii="仿宋" w:hAnsi="仿宋" w:eastAsia="仿宋" w:cs="仿宋"/>
                <w:color w:val="auto"/>
                <w:kern w:val="0"/>
                <w:highlight w:val="none"/>
                <w:lang w:eastAsia="zh-CN"/>
              </w:rPr>
              <w:t>包人：（盖章）（</w:t>
            </w:r>
            <w:r>
              <w:rPr>
                <w:rFonts w:hint="eastAsia" w:ascii="仿宋" w:hAnsi="仿宋" w:eastAsia="仿宋" w:cs="仿宋"/>
                <w:color w:val="auto"/>
                <w:kern w:val="0"/>
                <w:highlight w:val="none"/>
                <w:lang w:val="en-US" w:eastAsia="zh-CN"/>
              </w:rPr>
              <w:t>成</w:t>
            </w:r>
            <w:r>
              <w:rPr>
                <w:rFonts w:hint="eastAsia" w:ascii="仿宋" w:hAnsi="仿宋" w:eastAsia="仿宋" w:cs="仿宋"/>
                <w:color w:val="auto"/>
                <w:kern w:val="0"/>
                <w:highlight w:val="none"/>
                <w:lang w:eastAsia="zh-CN"/>
              </w:rPr>
              <w:t xml:space="preserve">） </w:t>
            </w:r>
          </w:p>
        </w:tc>
        <w:tc>
          <w:tcPr>
            <w:tcW w:w="4644" w:type="dxa"/>
            <w:tcBorders>
              <w:top w:val="nil"/>
              <w:left w:val="nil"/>
              <w:bottom w:val="nil"/>
              <w:right w:val="nil"/>
            </w:tcBorders>
            <w:noWrap w:val="0"/>
            <w:vAlign w:val="top"/>
          </w:tcPr>
          <w:p w14:paraId="3FAC0F88">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val="en-US" w:eastAsia="zh-CN"/>
              </w:rPr>
              <w:t>承</w:t>
            </w:r>
            <w:r>
              <w:rPr>
                <w:rFonts w:hint="eastAsia" w:ascii="仿宋" w:hAnsi="仿宋" w:eastAsia="仿宋" w:cs="仿宋"/>
                <w:color w:val="auto"/>
                <w:kern w:val="0"/>
                <w:highlight w:val="none"/>
                <w:lang w:eastAsia="zh-CN"/>
              </w:rPr>
              <w:t>包人：（盖章）（</w:t>
            </w:r>
            <w:r>
              <w:rPr>
                <w:rFonts w:hint="eastAsia" w:ascii="仿宋" w:hAnsi="仿宋" w:eastAsia="仿宋" w:cs="仿宋"/>
                <w:color w:val="auto"/>
                <w:kern w:val="0"/>
                <w:highlight w:val="none"/>
                <w:lang w:val="en-US" w:eastAsia="zh-CN"/>
              </w:rPr>
              <w:t>成</w:t>
            </w:r>
            <w:r>
              <w:rPr>
                <w:rFonts w:hint="eastAsia" w:ascii="仿宋" w:hAnsi="仿宋" w:eastAsia="仿宋" w:cs="仿宋"/>
                <w:color w:val="auto"/>
                <w:kern w:val="0"/>
                <w:highlight w:val="none"/>
                <w:lang w:eastAsia="zh-CN"/>
              </w:rPr>
              <w:t xml:space="preserve">） </w:t>
            </w:r>
          </w:p>
        </w:tc>
      </w:tr>
      <w:tr w14:paraId="6A7AD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nil"/>
              <w:left w:val="nil"/>
              <w:bottom w:val="nil"/>
              <w:right w:val="nil"/>
            </w:tcBorders>
            <w:noWrap w:val="0"/>
            <w:vAlign w:val="top"/>
          </w:tcPr>
          <w:p w14:paraId="65F4C0F4">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 xml:space="preserve">统一社会信用代码： </w:t>
            </w:r>
          </w:p>
        </w:tc>
        <w:tc>
          <w:tcPr>
            <w:tcW w:w="4644" w:type="dxa"/>
            <w:tcBorders>
              <w:top w:val="nil"/>
              <w:left w:val="nil"/>
              <w:bottom w:val="nil"/>
              <w:right w:val="nil"/>
            </w:tcBorders>
            <w:noWrap w:val="0"/>
            <w:vAlign w:val="top"/>
          </w:tcPr>
          <w:p w14:paraId="7D3639E0">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统一社会信用代码：</w:t>
            </w:r>
          </w:p>
        </w:tc>
      </w:tr>
      <w:tr w14:paraId="77145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nil"/>
              <w:left w:val="nil"/>
              <w:bottom w:val="nil"/>
              <w:right w:val="nil"/>
            </w:tcBorders>
            <w:noWrap w:val="0"/>
            <w:vAlign w:val="top"/>
          </w:tcPr>
          <w:p w14:paraId="6F0C5462">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 xml:space="preserve">地址： </w:t>
            </w:r>
          </w:p>
        </w:tc>
        <w:tc>
          <w:tcPr>
            <w:tcW w:w="4644" w:type="dxa"/>
            <w:tcBorders>
              <w:top w:val="nil"/>
              <w:left w:val="nil"/>
              <w:bottom w:val="nil"/>
              <w:right w:val="nil"/>
            </w:tcBorders>
            <w:noWrap w:val="0"/>
            <w:vAlign w:val="top"/>
          </w:tcPr>
          <w:p w14:paraId="5160F497">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地址：</w:t>
            </w:r>
          </w:p>
        </w:tc>
      </w:tr>
      <w:tr w14:paraId="1EA66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nil"/>
              <w:left w:val="nil"/>
              <w:bottom w:val="nil"/>
              <w:right w:val="nil"/>
            </w:tcBorders>
            <w:noWrap w:val="0"/>
            <w:vAlign w:val="top"/>
          </w:tcPr>
          <w:p w14:paraId="2DD8C7E0">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 xml:space="preserve">法定代表人： </w:t>
            </w:r>
          </w:p>
        </w:tc>
        <w:tc>
          <w:tcPr>
            <w:tcW w:w="4644" w:type="dxa"/>
            <w:tcBorders>
              <w:top w:val="nil"/>
              <w:left w:val="nil"/>
              <w:bottom w:val="nil"/>
              <w:right w:val="nil"/>
            </w:tcBorders>
            <w:noWrap w:val="0"/>
            <w:vAlign w:val="top"/>
          </w:tcPr>
          <w:p w14:paraId="3328828A">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法定代表人：</w:t>
            </w:r>
          </w:p>
        </w:tc>
      </w:tr>
      <w:tr w14:paraId="1D90C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nil"/>
              <w:left w:val="nil"/>
              <w:bottom w:val="nil"/>
              <w:right w:val="nil"/>
            </w:tcBorders>
            <w:noWrap w:val="0"/>
            <w:vAlign w:val="top"/>
          </w:tcPr>
          <w:p w14:paraId="46A359A1">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委托代理人：</w:t>
            </w:r>
          </w:p>
        </w:tc>
        <w:tc>
          <w:tcPr>
            <w:tcW w:w="4644" w:type="dxa"/>
            <w:tcBorders>
              <w:top w:val="nil"/>
              <w:left w:val="nil"/>
              <w:bottom w:val="nil"/>
              <w:right w:val="nil"/>
            </w:tcBorders>
            <w:noWrap w:val="0"/>
            <w:vAlign w:val="top"/>
          </w:tcPr>
          <w:p w14:paraId="151483A9">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委托代理人：</w:t>
            </w:r>
          </w:p>
        </w:tc>
      </w:tr>
      <w:tr w14:paraId="78503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nil"/>
              <w:left w:val="nil"/>
              <w:bottom w:val="nil"/>
              <w:right w:val="nil"/>
            </w:tcBorders>
            <w:noWrap w:val="0"/>
            <w:vAlign w:val="top"/>
          </w:tcPr>
          <w:p w14:paraId="4B0D1192">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电</w:t>
            </w:r>
            <w:r>
              <w:rPr>
                <w:rFonts w:ascii="仿宋" w:hAnsi="仿宋" w:eastAsia="仿宋" w:cs="仿宋"/>
                <w:color w:val="auto"/>
                <w:kern w:val="0"/>
                <w:highlight w:val="none"/>
                <w:lang w:eastAsia="zh-CN"/>
              </w:rPr>
              <w:t xml:space="preserve">    </w:t>
            </w:r>
            <w:r>
              <w:rPr>
                <w:rFonts w:hint="eastAsia" w:ascii="仿宋" w:hAnsi="仿宋" w:eastAsia="仿宋" w:cs="仿宋"/>
                <w:color w:val="auto"/>
                <w:kern w:val="0"/>
                <w:highlight w:val="none"/>
                <w:lang w:eastAsia="zh-CN"/>
              </w:rPr>
              <w:t xml:space="preserve">话： </w:t>
            </w:r>
          </w:p>
        </w:tc>
        <w:tc>
          <w:tcPr>
            <w:tcW w:w="4644" w:type="dxa"/>
            <w:tcBorders>
              <w:top w:val="nil"/>
              <w:left w:val="nil"/>
              <w:bottom w:val="nil"/>
              <w:right w:val="nil"/>
            </w:tcBorders>
            <w:noWrap w:val="0"/>
            <w:vAlign w:val="top"/>
          </w:tcPr>
          <w:p w14:paraId="4E7F9E0E">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电</w:t>
            </w:r>
            <w:r>
              <w:rPr>
                <w:rFonts w:ascii="仿宋" w:hAnsi="仿宋" w:eastAsia="仿宋" w:cs="仿宋"/>
                <w:color w:val="auto"/>
                <w:kern w:val="0"/>
                <w:highlight w:val="none"/>
                <w:lang w:eastAsia="zh-CN"/>
              </w:rPr>
              <w:t xml:space="preserve">    </w:t>
            </w:r>
            <w:r>
              <w:rPr>
                <w:rFonts w:hint="eastAsia" w:ascii="仿宋" w:hAnsi="仿宋" w:eastAsia="仿宋" w:cs="仿宋"/>
                <w:color w:val="auto"/>
                <w:kern w:val="0"/>
                <w:highlight w:val="none"/>
                <w:lang w:eastAsia="zh-CN"/>
              </w:rPr>
              <w:t>话：</w:t>
            </w:r>
          </w:p>
        </w:tc>
      </w:tr>
      <w:tr w14:paraId="3100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nil"/>
              <w:left w:val="nil"/>
              <w:bottom w:val="nil"/>
              <w:right w:val="nil"/>
            </w:tcBorders>
            <w:noWrap w:val="0"/>
            <w:vAlign w:val="top"/>
          </w:tcPr>
          <w:p w14:paraId="68BBBB62">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传</w:t>
            </w:r>
            <w:r>
              <w:rPr>
                <w:rFonts w:ascii="仿宋" w:hAnsi="仿宋" w:eastAsia="仿宋" w:cs="仿宋"/>
                <w:color w:val="auto"/>
                <w:kern w:val="0"/>
                <w:highlight w:val="none"/>
                <w:lang w:eastAsia="zh-CN"/>
              </w:rPr>
              <w:t xml:space="preserve">    </w:t>
            </w:r>
            <w:r>
              <w:rPr>
                <w:rFonts w:hint="eastAsia" w:ascii="仿宋" w:hAnsi="仿宋" w:eastAsia="仿宋" w:cs="仿宋"/>
                <w:color w:val="auto"/>
                <w:kern w:val="0"/>
                <w:highlight w:val="none"/>
                <w:lang w:eastAsia="zh-CN"/>
              </w:rPr>
              <w:t xml:space="preserve">真： </w:t>
            </w:r>
          </w:p>
        </w:tc>
        <w:tc>
          <w:tcPr>
            <w:tcW w:w="4644" w:type="dxa"/>
            <w:tcBorders>
              <w:top w:val="nil"/>
              <w:left w:val="nil"/>
              <w:bottom w:val="nil"/>
              <w:right w:val="nil"/>
            </w:tcBorders>
            <w:noWrap w:val="0"/>
            <w:vAlign w:val="top"/>
          </w:tcPr>
          <w:p w14:paraId="481985A8">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传</w:t>
            </w:r>
            <w:r>
              <w:rPr>
                <w:rFonts w:ascii="仿宋" w:hAnsi="仿宋" w:eastAsia="仿宋" w:cs="仿宋"/>
                <w:color w:val="auto"/>
                <w:kern w:val="0"/>
                <w:highlight w:val="none"/>
                <w:lang w:eastAsia="zh-CN"/>
              </w:rPr>
              <w:t xml:space="preserve">    </w:t>
            </w:r>
            <w:r>
              <w:rPr>
                <w:rFonts w:hint="eastAsia" w:ascii="仿宋" w:hAnsi="仿宋" w:eastAsia="仿宋" w:cs="仿宋"/>
                <w:color w:val="auto"/>
                <w:kern w:val="0"/>
                <w:highlight w:val="none"/>
                <w:lang w:eastAsia="zh-CN"/>
              </w:rPr>
              <w:t>真：</w:t>
            </w:r>
          </w:p>
        </w:tc>
      </w:tr>
      <w:tr w14:paraId="3A200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nil"/>
              <w:left w:val="nil"/>
              <w:bottom w:val="nil"/>
              <w:right w:val="nil"/>
            </w:tcBorders>
            <w:noWrap w:val="0"/>
            <w:vAlign w:val="top"/>
          </w:tcPr>
          <w:p w14:paraId="586CA1BD">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 xml:space="preserve">开户银行： </w:t>
            </w:r>
          </w:p>
        </w:tc>
        <w:tc>
          <w:tcPr>
            <w:tcW w:w="4644" w:type="dxa"/>
            <w:tcBorders>
              <w:top w:val="nil"/>
              <w:left w:val="nil"/>
              <w:bottom w:val="nil"/>
              <w:right w:val="nil"/>
            </w:tcBorders>
            <w:noWrap w:val="0"/>
            <w:vAlign w:val="top"/>
          </w:tcPr>
          <w:p w14:paraId="71CDDE9B">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开户银行：</w:t>
            </w:r>
          </w:p>
        </w:tc>
      </w:tr>
      <w:tr w14:paraId="6C0AC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nil"/>
              <w:left w:val="nil"/>
              <w:bottom w:val="nil"/>
              <w:right w:val="nil"/>
            </w:tcBorders>
            <w:noWrap w:val="0"/>
            <w:vAlign w:val="top"/>
          </w:tcPr>
          <w:p w14:paraId="1582A271">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 xml:space="preserve">帐    号： </w:t>
            </w:r>
          </w:p>
        </w:tc>
        <w:tc>
          <w:tcPr>
            <w:tcW w:w="4644" w:type="dxa"/>
            <w:tcBorders>
              <w:top w:val="nil"/>
              <w:left w:val="nil"/>
              <w:bottom w:val="nil"/>
              <w:right w:val="nil"/>
            </w:tcBorders>
            <w:noWrap w:val="0"/>
            <w:vAlign w:val="top"/>
          </w:tcPr>
          <w:p w14:paraId="31A5DE7D">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帐    号：</w:t>
            </w:r>
          </w:p>
        </w:tc>
      </w:tr>
      <w:tr w14:paraId="4FD3E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nil"/>
              <w:left w:val="nil"/>
              <w:bottom w:val="nil"/>
              <w:right w:val="nil"/>
            </w:tcBorders>
            <w:noWrap w:val="0"/>
            <w:vAlign w:val="top"/>
          </w:tcPr>
          <w:p w14:paraId="02D9AD01">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 xml:space="preserve">邮政编码： </w:t>
            </w:r>
          </w:p>
        </w:tc>
        <w:tc>
          <w:tcPr>
            <w:tcW w:w="4644" w:type="dxa"/>
            <w:tcBorders>
              <w:top w:val="nil"/>
              <w:left w:val="nil"/>
              <w:bottom w:val="nil"/>
              <w:right w:val="nil"/>
            </w:tcBorders>
            <w:noWrap w:val="0"/>
            <w:vAlign w:val="top"/>
          </w:tcPr>
          <w:p w14:paraId="26834B65">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邮政编码：</w:t>
            </w:r>
          </w:p>
        </w:tc>
      </w:tr>
      <w:tr w14:paraId="1F685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nil"/>
              <w:left w:val="nil"/>
              <w:bottom w:val="nil"/>
              <w:right w:val="nil"/>
            </w:tcBorders>
            <w:noWrap w:val="0"/>
            <w:vAlign w:val="top"/>
          </w:tcPr>
          <w:p w14:paraId="290A52A0">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电子邮箱</w:t>
            </w:r>
          </w:p>
        </w:tc>
        <w:tc>
          <w:tcPr>
            <w:tcW w:w="4644" w:type="dxa"/>
            <w:tcBorders>
              <w:top w:val="nil"/>
              <w:left w:val="nil"/>
              <w:bottom w:val="nil"/>
              <w:right w:val="nil"/>
            </w:tcBorders>
            <w:noWrap w:val="0"/>
            <w:vAlign w:val="top"/>
          </w:tcPr>
          <w:p w14:paraId="37AEE532">
            <w:pPr>
              <w:spacing w:line="312" w:lineRule="auto"/>
              <w:rPr>
                <w:rFonts w:hint="eastAsia" w:ascii="仿宋" w:hAnsi="仿宋" w:eastAsia="仿宋" w:cs="仿宋"/>
                <w:color w:val="auto"/>
                <w:kern w:val="0"/>
                <w:sz w:val="24"/>
                <w:szCs w:val="24"/>
                <w:highlight w:val="none"/>
                <w:vertAlign w:val="baseline"/>
                <w:lang w:val="en-US" w:eastAsia="zh-CN" w:bidi="en-US"/>
              </w:rPr>
            </w:pPr>
            <w:r>
              <w:rPr>
                <w:rFonts w:hint="eastAsia" w:ascii="仿宋" w:hAnsi="仿宋" w:eastAsia="仿宋" w:cs="仿宋"/>
                <w:color w:val="auto"/>
                <w:kern w:val="0"/>
                <w:highlight w:val="none"/>
                <w:lang w:eastAsia="zh-CN"/>
              </w:rPr>
              <w:t>电子邮箱：</w:t>
            </w:r>
          </w:p>
        </w:tc>
      </w:tr>
      <w:tr w14:paraId="2DFFA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nil"/>
              <w:left w:val="nil"/>
              <w:bottom w:val="nil"/>
              <w:right w:val="nil"/>
            </w:tcBorders>
            <w:noWrap w:val="0"/>
            <w:vAlign w:val="top"/>
          </w:tcPr>
          <w:p w14:paraId="748E4A6E">
            <w:pPr>
              <w:spacing w:line="312" w:lineRule="auto"/>
              <w:rPr>
                <w:rFonts w:hint="eastAsia" w:ascii="仿宋" w:hAnsi="仿宋" w:eastAsia="仿宋" w:cs="仿宋"/>
                <w:color w:val="auto"/>
                <w:kern w:val="0"/>
                <w:sz w:val="24"/>
                <w:szCs w:val="24"/>
                <w:highlight w:val="none"/>
                <w:vertAlign w:val="baseline"/>
                <w:lang w:val="en-US" w:eastAsia="zh-CN" w:bidi="en-US"/>
              </w:rPr>
            </w:pPr>
          </w:p>
        </w:tc>
        <w:tc>
          <w:tcPr>
            <w:tcW w:w="4644" w:type="dxa"/>
            <w:tcBorders>
              <w:top w:val="nil"/>
              <w:left w:val="nil"/>
              <w:bottom w:val="nil"/>
              <w:right w:val="nil"/>
            </w:tcBorders>
            <w:noWrap w:val="0"/>
            <w:vAlign w:val="top"/>
          </w:tcPr>
          <w:p w14:paraId="76BE05D9">
            <w:pPr>
              <w:spacing w:line="312" w:lineRule="auto"/>
              <w:rPr>
                <w:rFonts w:hint="eastAsia" w:ascii="仿宋" w:hAnsi="仿宋" w:eastAsia="仿宋" w:cs="仿宋"/>
                <w:color w:val="auto"/>
                <w:kern w:val="0"/>
                <w:sz w:val="24"/>
                <w:szCs w:val="24"/>
                <w:highlight w:val="none"/>
                <w:vertAlign w:val="baseline"/>
                <w:lang w:val="en-US" w:eastAsia="zh-CN" w:bidi="en-US"/>
              </w:rPr>
            </w:pPr>
          </w:p>
        </w:tc>
      </w:tr>
    </w:tbl>
    <w:p w14:paraId="1101A1E0">
      <w:pPr>
        <w:spacing w:line="312" w:lineRule="auto"/>
        <w:rPr>
          <w:color w:val="auto"/>
          <w:highlight w:val="none"/>
          <w:lang w:eastAsia="zh-CN"/>
        </w:rPr>
        <w:sectPr>
          <w:pgSz w:w="11906" w:h="16838"/>
          <w:pgMar w:top="1417" w:right="1134" w:bottom="1417" w:left="1134" w:header="851" w:footer="523" w:gutter="0"/>
          <w:cols w:space="720" w:num="1"/>
          <w:docGrid w:type="lines" w:linePitch="312" w:charSpace="0"/>
        </w:sectPr>
      </w:pPr>
    </w:p>
    <w:p w14:paraId="194A8A7B">
      <w:pPr>
        <w:ind w:firstLine="1990"/>
        <w:rPr>
          <w:rFonts w:hint="eastAsia"/>
          <w:color w:val="auto"/>
          <w:highlight w:val="none"/>
          <w:lang w:eastAsia="zh-CN"/>
        </w:rPr>
      </w:pPr>
    </w:p>
    <w:p w14:paraId="04391028">
      <w:pPr>
        <w:ind w:firstLine="1990"/>
        <w:rPr>
          <w:rFonts w:hint="eastAsia"/>
          <w:color w:val="auto"/>
          <w:highlight w:val="none"/>
          <w:lang w:eastAsia="zh-CN"/>
        </w:rPr>
      </w:pPr>
    </w:p>
    <w:p w14:paraId="1710B760">
      <w:pPr>
        <w:spacing w:line="360" w:lineRule="auto"/>
        <w:jc w:val="center"/>
        <w:outlineLvl w:val="0"/>
        <w:rPr>
          <w:rFonts w:ascii="宋体"/>
          <w:b/>
          <w:bCs/>
          <w:color w:val="auto"/>
          <w:sz w:val="36"/>
          <w:szCs w:val="36"/>
          <w:highlight w:val="none"/>
          <w:lang w:eastAsia="zh-CN"/>
        </w:rPr>
      </w:pPr>
      <w:bookmarkStart w:id="143" w:name="_Toc28013"/>
      <w:bookmarkStart w:id="144" w:name="_Toc5814"/>
      <w:bookmarkStart w:id="145" w:name="_Toc31494"/>
      <w:bookmarkStart w:id="146" w:name="_Toc12687"/>
      <w:bookmarkStart w:id="147" w:name="_Toc5135"/>
      <w:bookmarkStart w:id="148" w:name="_Toc23851"/>
      <w:bookmarkStart w:id="149" w:name="_Toc31062"/>
      <w:bookmarkStart w:id="150" w:name="_Toc469383978"/>
      <w:bookmarkStart w:id="151" w:name="_Toc47694269"/>
      <w:r>
        <w:rPr>
          <w:rFonts w:hint="eastAsia" w:ascii="宋体" w:hAnsi="宋体" w:cs="宋体"/>
          <w:b/>
          <w:bCs/>
          <w:color w:val="auto"/>
          <w:sz w:val="36"/>
          <w:szCs w:val="36"/>
          <w:highlight w:val="none"/>
          <w:lang w:eastAsia="zh-CN"/>
        </w:rPr>
        <w:t>第二部分</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通用条款</w:t>
      </w:r>
      <w:bookmarkEnd w:id="143"/>
      <w:bookmarkEnd w:id="144"/>
      <w:bookmarkEnd w:id="145"/>
      <w:bookmarkEnd w:id="146"/>
      <w:bookmarkEnd w:id="147"/>
      <w:bookmarkEnd w:id="148"/>
      <w:bookmarkEnd w:id="149"/>
      <w:bookmarkEnd w:id="150"/>
      <w:bookmarkEnd w:id="151"/>
    </w:p>
    <w:p w14:paraId="4940C173">
      <w:pPr>
        <w:pStyle w:val="23"/>
        <w:rPr>
          <w:rFonts w:hint="eastAsia" w:hAnsi="宋体"/>
          <w:color w:val="auto"/>
          <w:sz w:val="32"/>
          <w:szCs w:val="32"/>
          <w:highlight w:val="none"/>
          <w:lang w:eastAsia="zh-CN"/>
        </w:rPr>
      </w:pPr>
    </w:p>
    <w:p w14:paraId="3DCB0BAD">
      <w:pPr>
        <w:pStyle w:val="23"/>
        <w:jc w:val="center"/>
        <w:outlineLvl w:val="1"/>
        <w:rPr>
          <w:rFonts w:hAnsi="宋体"/>
          <w:b/>
          <w:bCs/>
          <w:color w:val="auto"/>
          <w:sz w:val="32"/>
          <w:szCs w:val="32"/>
          <w:highlight w:val="none"/>
          <w:lang w:eastAsia="zh-CN"/>
        </w:rPr>
      </w:pPr>
      <w:bookmarkStart w:id="152" w:name="_Toc16415"/>
      <w:bookmarkStart w:id="153" w:name="_Toc16482"/>
      <w:bookmarkStart w:id="154" w:name="_Toc31573"/>
      <w:bookmarkStart w:id="155" w:name="_Toc47694270"/>
      <w:bookmarkStart w:id="156" w:name="_Toc4511"/>
      <w:bookmarkStart w:id="157" w:name="_Toc10240"/>
      <w:bookmarkStart w:id="158" w:name="_Toc29005"/>
      <w:bookmarkStart w:id="159" w:name="_Toc30576"/>
      <w:bookmarkStart w:id="160" w:name="_Toc469383979"/>
      <w:r>
        <w:rPr>
          <w:rFonts w:hint="eastAsia" w:hAnsi="宋体"/>
          <w:b/>
          <w:bCs/>
          <w:color w:val="auto"/>
          <w:sz w:val="32"/>
          <w:szCs w:val="32"/>
          <w:highlight w:val="none"/>
          <w:lang w:eastAsia="zh-CN"/>
        </w:rPr>
        <w:t>一、总</w:t>
      </w:r>
      <w:r>
        <w:rPr>
          <w:rFonts w:hAnsi="宋体"/>
          <w:b/>
          <w:bCs/>
          <w:color w:val="auto"/>
          <w:sz w:val="32"/>
          <w:szCs w:val="32"/>
          <w:highlight w:val="none"/>
          <w:lang w:eastAsia="zh-CN"/>
        </w:rPr>
        <w:t xml:space="preserve">  </w:t>
      </w:r>
      <w:r>
        <w:rPr>
          <w:rFonts w:hint="eastAsia" w:hAnsi="宋体"/>
          <w:b/>
          <w:bCs/>
          <w:color w:val="auto"/>
          <w:sz w:val="32"/>
          <w:szCs w:val="32"/>
          <w:highlight w:val="none"/>
          <w:lang w:eastAsia="zh-CN"/>
        </w:rPr>
        <w:t>则</w:t>
      </w:r>
      <w:bookmarkEnd w:id="152"/>
      <w:bookmarkEnd w:id="153"/>
      <w:bookmarkEnd w:id="154"/>
      <w:bookmarkEnd w:id="155"/>
      <w:bookmarkEnd w:id="156"/>
      <w:bookmarkEnd w:id="157"/>
      <w:bookmarkEnd w:id="158"/>
      <w:bookmarkEnd w:id="159"/>
      <w:bookmarkEnd w:id="160"/>
    </w:p>
    <w:p w14:paraId="2C06B886">
      <w:pPr>
        <w:pStyle w:val="23"/>
        <w:spacing w:line="360" w:lineRule="auto"/>
        <w:jc w:val="center"/>
        <w:rPr>
          <w:rFonts w:hAnsi="宋体"/>
          <w:b/>
          <w:bCs/>
          <w:color w:val="auto"/>
          <w:sz w:val="32"/>
          <w:szCs w:val="32"/>
          <w:highlight w:val="none"/>
          <w:lang w:eastAsia="zh-CN"/>
        </w:rPr>
      </w:pPr>
    </w:p>
    <w:p w14:paraId="1191151E">
      <w:pPr>
        <w:pStyle w:val="23"/>
        <w:widowControl w:val="0"/>
        <w:tabs>
          <w:tab w:val="left" w:pos="900"/>
          <w:tab w:val="left" w:pos="1080"/>
        </w:tabs>
        <w:spacing w:before="120" w:after="120" w:line="360" w:lineRule="auto"/>
        <w:jc w:val="both"/>
        <w:outlineLvl w:val="2"/>
        <w:rPr>
          <w:rFonts w:ascii="仿宋" w:hAnsi="仿宋" w:eastAsia="仿宋"/>
          <w:b/>
          <w:bCs/>
          <w:color w:val="auto"/>
          <w:sz w:val="24"/>
          <w:szCs w:val="24"/>
          <w:highlight w:val="none"/>
          <w:lang w:eastAsia="zh-CN"/>
        </w:rPr>
      </w:pPr>
      <w:bookmarkStart w:id="161" w:name="_Toc13411"/>
      <w:bookmarkStart w:id="162" w:name="_Toc20881"/>
      <w:bookmarkStart w:id="163" w:name="_Toc15845"/>
      <w:bookmarkStart w:id="164" w:name="_Toc47694271"/>
      <w:bookmarkStart w:id="165" w:name="_Toc3886"/>
      <w:bookmarkStart w:id="166" w:name="_Toc10811"/>
      <w:bookmarkStart w:id="167" w:name="_Toc18659"/>
      <w:bookmarkStart w:id="168" w:name="_Toc469383980"/>
      <w:bookmarkStart w:id="169" w:name="_Toc19479"/>
      <w:r>
        <w:rPr>
          <w:rFonts w:ascii="仿宋" w:hAnsi="仿宋" w:eastAsia="仿宋" w:cs="仿宋"/>
          <w:b/>
          <w:bCs/>
          <w:color w:val="auto"/>
          <w:sz w:val="24"/>
          <w:szCs w:val="24"/>
          <w:highlight w:val="none"/>
          <w:lang w:eastAsia="zh-CN"/>
        </w:rPr>
        <w:t xml:space="preserve">1 </w:t>
      </w:r>
      <w:r>
        <w:rPr>
          <w:rFonts w:hint="eastAsia" w:ascii="仿宋" w:hAnsi="仿宋" w:eastAsia="仿宋" w:cs="仿宋"/>
          <w:b/>
          <w:bCs/>
          <w:color w:val="auto"/>
          <w:sz w:val="24"/>
          <w:szCs w:val="24"/>
          <w:highlight w:val="none"/>
          <w:lang w:eastAsia="zh-CN"/>
        </w:rPr>
        <w:t>定义</w:t>
      </w:r>
      <w:bookmarkEnd w:id="161"/>
      <w:bookmarkEnd w:id="162"/>
      <w:bookmarkEnd w:id="163"/>
      <w:bookmarkEnd w:id="164"/>
      <w:bookmarkEnd w:id="165"/>
      <w:bookmarkEnd w:id="166"/>
      <w:bookmarkEnd w:id="167"/>
      <w:bookmarkEnd w:id="168"/>
      <w:bookmarkEnd w:id="169"/>
    </w:p>
    <w:p w14:paraId="2ACCA3B3">
      <w:pPr>
        <w:pStyle w:val="23"/>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下列词语或措辞，除非特别说明，在本合同中均具有以下赋予的含义：</w:t>
      </w:r>
    </w:p>
    <w:p w14:paraId="26E21539">
      <w:pPr>
        <w:pStyle w:val="23"/>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bookmarkStart w:id="170" w:name="_Toc4774"/>
      <w:r>
        <w:rPr>
          <w:rFonts w:hint="eastAsia" w:ascii="仿宋" w:hAnsi="仿宋" w:eastAsia="仿宋" w:cs="仿宋"/>
          <w:b/>
          <w:bCs/>
          <w:color w:val="auto"/>
          <w:sz w:val="24"/>
          <w:szCs w:val="24"/>
          <w:highlight w:val="none"/>
          <w:lang w:eastAsia="zh-CN"/>
        </w:rPr>
        <w:t>1.1 合同文件</w:t>
      </w:r>
      <w:bookmarkEnd w:id="170"/>
    </w:p>
    <w:p w14:paraId="30E69202">
      <w:pPr>
        <w:pStyle w:val="23"/>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u w:val="dotted"/>
          <w:lang w:eastAsia="zh-CN"/>
        </w:rPr>
      </w:pPr>
      <w:r>
        <w:rPr>
          <w:rFonts w:ascii="仿宋" w:hAnsi="仿宋" w:eastAsia="仿宋" w:cs="仿宋"/>
          <w:b/>
          <w:bCs/>
          <w:color w:val="auto"/>
          <w:sz w:val="24"/>
          <w:szCs w:val="24"/>
          <w:highlight w:val="none"/>
          <w:lang w:eastAsia="zh-CN"/>
        </w:rPr>
        <w:t>1.1</w:t>
      </w:r>
      <w:r>
        <w:rPr>
          <w:rFonts w:hint="eastAsia"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w:t>
      </w:r>
      <w:r>
        <w:rPr>
          <w:rFonts w:hint="eastAsia" w:ascii="仿宋" w:hAnsi="仿宋" w:eastAsia="仿宋" w:cs="仿宋"/>
          <w:color w:val="auto"/>
          <w:sz w:val="24"/>
          <w:szCs w:val="24"/>
          <w:highlight w:val="none"/>
          <w:lang w:eastAsia="zh-CN"/>
        </w:rPr>
        <w:t>指合同双方当事人为实施、完成并保修合同工程所订立的全部合同文件。合同文件由第</w:t>
      </w:r>
      <w:r>
        <w:rPr>
          <w:rFonts w:ascii="仿宋" w:hAnsi="仿宋" w:eastAsia="仿宋" w:cs="仿宋"/>
          <w:color w:val="auto"/>
          <w:sz w:val="24"/>
          <w:szCs w:val="24"/>
          <w:highlight w:val="none"/>
          <w:lang w:eastAsia="zh-CN"/>
        </w:rPr>
        <w:t>2.2</w:t>
      </w:r>
      <w:r>
        <w:rPr>
          <w:rFonts w:hint="eastAsia" w:ascii="仿宋" w:hAnsi="仿宋" w:eastAsia="仿宋" w:cs="仿宋"/>
          <w:color w:val="auto"/>
          <w:sz w:val="24"/>
          <w:szCs w:val="24"/>
          <w:highlight w:val="none"/>
          <w:lang w:eastAsia="zh-CN"/>
        </w:rPr>
        <w:t>款所列的文件组成。</w:t>
      </w:r>
    </w:p>
    <w:p w14:paraId="64A19FCB">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lang w:eastAsia="zh-CN"/>
        </w:rPr>
        <w:t xml:space="preserve">2 </w:t>
      </w:r>
      <w:r>
        <w:rPr>
          <w:rFonts w:hint="eastAsia" w:ascii="仿宋" w:hAnsi="仿宋" w:eastAsia="仿宋" w:cs="仿宋"/>
          <w:b/>
          <w:bCs/>
          <w:color w:val="auto"/>
          <w:sz w:val="24"/>
          <w:szCs w:val="24"/>
          <w:highlight w:val="none"/>
          <w:lang w:eastAsia="zh-CN"/>
        </w:rPr>
        <w:t>协议书：</w:t>
      </w:r>
      <w:r>
        <w:rPr>
          <w:rFonts w:hint="eastAsia" w:ascii="仿宋" w:hAnsi="仿宋" w:eastAsia="仿宋" w:cs="仿宋"/>
          <w:color w:val="auto"/>
          <w:sz w:val="24"/>
          <w:szCs w:val="24"/>
          <w:highlight w:val="none"/>
          <w:lang w:eastAsia="zh-CN"/>
        </w:rPr>
        <w:t>是指构成合同的由发包人和承包人共同签署的称为“协议书”的书面文件。</w:t>
      </w:r>
    </w:p>
    <w:p w14:paraId="546321AD">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color w:val="auto"/>
          <w:sz w:val="24"/>
          <w:szCs w:val="24"/>
          <w:highlight w:val="none"/>
          <w:lang w:eastAsia="zh-CN"/>
        </w:rPr>
        <w:t>1.</w:t>
      </w:r>
      <w:r>
        <w:rPr>
          <w:rFonts w:hint="eastAsia" w:ascii="仿宋" w:hAnsi="仿宋" w:eastAsia="仿宋" w:cs="仿宋"/>
          <w:b/>
          <w:color w:val="auto"/>
          <w:sz w:val="24"/>
          <w:szCs w:val="24"/>
          <w:highlight w:val="none"/>
          <w:lang w:eastAsia="zh-CN"/>
        </w:rPr>
        <w:t>1.</w:t>
      </w:r>
      <w:r>
        <w:rPr>
          <w:rFonts w:ascii="仿宋" w:hAnsi="仿宋" w:eastAsia="仿宋" w:cs="仿宋"/>
          <w:b/>
          <w:color w:val="auto"/>
          <w:sz w:val="24"/>
          <w:szCs w:val="24"/>
          <w:highlight w:val="none"/>
          <w:lang w:eastAsia="zh-CN"/>
        </w:rPr>
        <w:t xml:space="preserve">3 </w:t>
      </w:r>
      <w:r>
        <w:rPr>
          <w:rFonts w:hint="eastAsia" w:ascii="仿宋" w:hAnsi="仿宋" w:eastAsia="仿宋" w:cs="仿宋"/>
          <w:b/>
          <w:color w:val="auto"/>
          <w:sz w:val="24"/>
          <w:szCs w:val="24"/>
          <w:highlight w:val="none"/>
          <w:lang w:eastAsia="zh-CN"/>
        </w:rPr>
        <w:t>通用条款：</w:t>
      </w:r>
      <w:r>
        <w:rPr>
          <w:rFonts w:hint="eastAsia" w:ascii="仿宋" w:hAnsi="仿宋" w:eastAsia="仿宋" w:cs="仿宋"/>
          <w:color w:val="auto"/>
          <w:sz w:val="24"/>
          <w:szCs w:val="24"/>
          <w:highlight w:val="none"/>
          <w:lang w:eastAsia="zh-CN"/>
        </w:rPr>
        <w:t>指根据法律、法规以及建设项目工程总承包管理的需要所订立的，是通用于建设工程设计、采购、施工或设计、施工等阶段总承包实施的基础性合同条款。</w:t>
      </w:r>
    </w:p>
    <w:p w14:paraId="50893649">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1.1.4 专用条款：</w:t>
      </w:r>
      <w:r>
        <w:rPr>
          <w:rFonts w:hint="eastAsia" w:ascii="仿宋" w:hAnsi="仿宋" w:eastAsia="仿宋" w:cs="仿宋"/>
          <w:color w:val="auto"/>
          <w:sz w:val="24"/>
          <w:szCs w:val="24"/>
          <w:highlight w:val="none"/>
          <w:lang w:eastAsia="zh-CN"/>
        </w:rPr>
        <w:t>指合同双方当事人根据法律、法规，结合本合同工程实际情况，经协商达成一致意见的，专用于实施、完成本合同工程总承包范围与工程内容的条款。它是对通用条款的具体化，也是对通用条款的补充和完善。</w:t>
      </w:r>
    </w:p>
    <w:p w14:paraId="12F439A1">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中标通知书：</w:t>
      </w:r>
      <w:r>
        <w:rPr>
          <w:rFonts w:hint="eastAsia" w:ascii="仿宋" w:hAnsi="仿宋" w:eastAsia="仿宋" w:cs="仿宋"/>
          <w:color w:val="auto"/>
          <w:sz w:val="24"/>
          <w:szCs w:val="24"/>
          <w:highlight w:val="none"/>
          <w:lang w:eastAsia="zh-CN"/>
        </w:rPr>
        <w:t>是指构成合同的由发包人通知承包人中标的书面文件。中标通知书随附的澄清、说明、补正事项纪要等，是中标通知书的组成部分。</w:t>
      </w:r>
    </w:p>
    <w:p w14:paraId="09A1CF88">
      <w:pPr>
        <w:pStyle w:val="23"/>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bookmarkStart w:id="171" w:name="_Toc26352"/>
      <w:r>
        <w:rPr>
          <w:rFonts w:hint="eastAsia" w:ascii="仿宋" w:hAnsi="仿宋" w:eastAsia="仿宋" w:cs="仿宋"/>
          <w:b/>
          <w:bCs/>
          <w:color w:val="auto"/>
          <w:sz w:val="24"/>
          <w:szCs w:val="24"/>
          <w:highlight w:val="none"/>
          <w:lang w:eastAsia="zh-CN"/>
        </w:rPr>
        <w:t>1.2 技术文件</w:t>
      </w:r>
      <w:bookmarkEnd w:id="171"/>
    </w:p>
    <w:p w14:paraId="170C9B77">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2.1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标准、规范：</w:t>
      </w:r>
      <w:r>
        <w:rPr>
          <w:rFonts w:hint="eastAsia" w:ascii="仿宋" w:hAnsi="仿宋" w:eastAsia="仿宋" w:cs="仿宋"/>
          <w:color w:val="auto"/>
          <w:sz w:val="24"/>
          <w:szCs w:val="24"/>
          <w:highlight w:val="none"/>
          <w:lang w:eastAsia="zh-CN"/>
        </w:rPr>
        <w:t>指承包人实施工程总承包过程中应依法遵守的国家、行业或地方性标准与规范，以及本合同约定的其他技术标准与规范，构成合同的组成部分。由双方在专用条款中明确约定。</w:t>
      </w:r>
    </w:p>
    <w:p w14:paraId="0610A93A">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1.2.2 《发包人要求》：</w:t>
      </w:r>
      <w:r>
        <w:rPr>
          <w:rFonts w:hint="eastAsia" w:ascii="仿宋" w:hAnsi="仿宋" w:eastAsia="仿宋" w:cs="仿宋"/>
          <w:color w:val="auto"/>
          <w:sz w:val="24"/>
          <w:szCs w:val="24"/>
          <w:highlight w:val="none"/>
          <w:lang w:eastAsia="zh-CN"/>
        </w:rPr>
        <w:t>指发包人就工程总承包范围与工程内容提出相应要求的书面文件，包括勘察、设计、BIM技术应用、采购、施工等方面，构成合同的组成部分。由双方在专用条款中明确约定。</w:t>
      </w:r>
    </w:p>
    <w:p w14:paraId="3C565A11">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color w:val="auto"/>
          <w:sz w:val="24"/>
          <w:szCs w:val="24"/>
          <w:highlight w:val="none"/>
          <w:lang w:eastAsia="zh-CN"/>
        </w:rPr>
        <w:t>1</w:t>
      </w:r>
      <w:r>
        <w:rPr>
          <w:rFonts w:hint="eastAsia" w:ascii="仿宋" w:hAnsi="仿宋" w:eastAsia="仿宋" w:cs="仿宋"/>
          <w:b/>
          <w:color w:val="auto"/>
          <w:sz w:val="24"/>
          <w:szCs w:val="24"/>
          <w:highlight w:val="none"/>
          <w:lang w:eastAsia="zh-CN"/>
        </w:rPr>
        <w:t>.2.3</w:t>
      </w:r>
      <w:r>
        <w:rPr>
          <w:rFonts w:ascii="仿宋" w:hAnsi="仿宋" w:eastAsia="仿宋" w:cs="仿宋"/>
          <w:b/>
          <w:color w:val="auto"/>
          <w:sz w:val="24"/>
          <w:szCs w:val="24"/>
          <w:highlight w:val="none"/>
          <w:lang w:eastAsia="zh-CN"/>
        </w:rPr>
        <w:t xml:space="preserve"> </w:t>
      </w:r>
      <w:r>
        <w:rPr>
          <w:rFonts w:hint="eastAsia" w:ascii="仿宋" w:hAnsi="仿宋" w:eastAsia="仿宋" w:cs="仿宋"/>
          <w:b/>
          <w:color w:val="auto"/>
          <w:sz w:val="24"/>
          <w:szCs w:val="24"/>
          <w:highlight w:val="none"/>
          <w:lang w:eastAsia="zh-CN"/>
        </w:rPr>
        <w:t>项目基础资料：</w:t>
      </w:r>
      <w:r>
        <w:rPr>
          <w:rFonts w:hint="eastAsia" w:ascii="仿宋" w:hAnsi="仿宋" w:eastAsia="仿宋" w:cs="仿宋"/>
          <w:color w:val="auto"/>
          <w:sz w:val="24"/>
          <w:szCs w:val="24"/>
          <w:highlight w:val="none"/>
          <w:lang w:eastAsia="zh-CN"/>
        </w:rPr>
        <w:t>指按合同约定由发包人提供给承包人实施、完成工程总承包范围与工程内容所需的工程资料，构成合同的组成部分。发包人应提供的项目基础资料由双方在专用条款中明确约定。</w:t>
      </w:r>
    </w:p>
    <w:p w14:paraId="5BEA00C2">
      <w:pPr>
        <w:pStyle w:val="23"/>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2.4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技术标：</w:t>
      </w:r>
      <w:r>
        <w:rPr>
          <w:rFonts w:hint="eastAsia" w:ascii="仿宋" w:hAnsi="仿宋" w:eastAsia="仿宋" w:cs="仿宋"/>
          <w:color w:val="auto"/>
          <w:sz w:val="24"/>
          <w:szCs w:val="24"/>
          <w:highlight w:val="none"/>
          <w:lang w:eastAsia="zh-CN"/>
        </w:rPr>
        <w:t>指承包人根据招标文件要求编制、签署并被发包人所接受的投标文件中技术部分及有效的澄清文件。</w:t>
      </w:r>
    </w:p>
    <w:p w14:paraId="47DC5E64">
      <w:pPr>
        <w:pStyle w:val="23"/>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bookmarkStart w:id="172" w:name="_Toc28161"/>
      <w:r>
        <w:rPr>
          <w:rFonts w:hint="eastAsia" w:ascii="仿宋" w:hAnsi="仿宋" w:eastAsia="仿宋" w:cs="仿宋"/>
          <w:b/>
          <w:bCs/>
          <w:color w:val="auto"/>
          <w:sz w:val="24"/>
          <w:szCs w:val="24"/>
          <w:highlight w:val="none"/>
          <w:lang w:eastAsia="zh-CN"/>
        </w:rPr>
        <w:t>1.3 价格文件</w:t>
      </w:r>
      <w:bookmarkEnd w:id="172"/>
    </w:p>
    <w:p w14:paraId="220C743D">
      <w:pPr>
        <w:pStyle w:val="23"/>
        <w:widowControl w:val="0"/>
        <w:tabs>
          <w:tab w:val="left" w:pos="1260"/>
          <w:tab w:val="left" w:pos="2160"/>
        </w:tabs>
        <w:spacing w:before="120" w:line="360" w:lineRule="auto"/>
        <w:ind w:left="1850" w:leftChars="771"/>
        <w:jc w:val="both"/>
        <w:rPr>
          <w:rFonts w:hint="eastAsia" w:ascii="仿宋" w:hAnsi="仿宋" w:eastAsia="仿宋"/>
          <w:b/>
          <w:color w:val="auto"/>
          <w:sz w:val="24"/>
          <w:szCs w:val="24"/>
          <w:highlight w:val="none"/>
          <w:lang w:eastAsia="zh-CN"/>
        </w:rPr>
      </w:pPr>
      <w:r>
        <w:rPr>
          <w:rFonts w:hint="eastAsia" w:ascii="仿宋" w:hAnsi="仿宋" w:eastAsia="仿宋" w:cs="仿宋"/>
          <w:b/>
          <w:bCs/>
          <w:color w:val="auto"/>
          <w:sz w:val="24"/>
          <w:szCs w:val="24"/>
          <w:highlight w:val="none"/>
          <w:lang w:eastAsia="zh-CN"/>
        </w:rPr>
        <w:t>1.</w:t>
      </w:r>
      <w:r>
        <w:rPr>
          <w:rFonts w:hint="eastAsia" w:ascii="仿宋" w:hAnsi="仿宋" w:eastAsia="仿宋"/>
          <w:b/>
          <w:color w:val="auto"/>
          <w:sz w:val="24"/>
          <w:szCs w:val="24"/>
          <w:highlight w:val="none"/>
          <w:lang w:eastAsia="zh-CN"/>
        </w:rPr>
        <w:t>3.1 签约合同价：</w:t>
      </w:r>
      <w:r>
        <w:rPr>
          <w:rFonts w:hint="eastAsia" w:ascii="仿宋" w:hAnsi="仿宋" w:eastAsia="仿宋"/>
          <w:color w:val="auto"/>
          <w:sz w:val="24"/>
          <w:szCs w:val="24"/>
          <w:highlight w:val="none"/>
          <w:lang w:eastAsia="zh-CN"/>
        </w:rPr>
        <w:t>是指发包人和承包人在合同协议书中确定的总金额，包括暂估价及暂列金额等。</w:t>
      </w:r>
    </w:p>
    <w:p w14:paraId="115E7A31">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w:t>
      </w:r>
      <w:r>
        <w:rPr>
          <w:rFonts w:hint="eastAsia" w:ascii="仿宋" w:hAnsi="仿宋" w:eastAsia="仿宋"/>
          <w:b/>
          <w:color w:val="auto"/>
          <w:sz w:val="24"/>
          <w:szCs w:val="24"/>
          <w:highlight w:val="none"/>
          <w:lang w:eastAsia="zh-CN"/>
        </w:rPr>
        <w:t>3.2 合同价格：</w:t>
      </w:r>
      <w:r>
        <w:rPr>
          <w:rFonts w:hint="eastAsia" w:ascii="仿宋" w:hAnsi="仿宋" w:eastAsia="仿宋"/>
          <w:color w:val="auto"/>
          <w:sz w:val="24"/>
          <w:szCs w:val="24"/>
          <w:highlight w:val="none"/>
          <w:lang w:eastAsia="zh-CN"/>
        </w:rPr>
        <w:t>是指发包人用于支付承包人按照合同约定完成承包范围内全部工作的金额，包括合同履行过程中按合同约定</w:t>
      </w:r>
      <w:r>
        <w:rPr>
          <w:rFonts w:hint="eastAsia" w:ascii="仿宋" w:hAnsi="仿宋" w:eastAsia="仿宋" w:cs="仿宋"/>
          <w:color w:val="auto"/>
          <w:sz w:val="24"/>
          <w:szCs w:val="24"/>
          <w:highlight w:val="none"/>
          <w:lang w:eastAsia="zh-CN"/>
        </w:rPr>
        <w:t>发生</w:t>
      </w:r>
      <w:r>
        <w:rPr>
          <w:rFonts w:hint="eastAsia" w:ascii="仿宋" w:hAnsi="仿宋" w:eastAsia="仿宋"/>
          <w:color w:val="auto"/>
          <w:sz w:val="24"/>
          <w:szCs w:val="24"/>
          <w:highlight w:val="none"/>
          <w:lang w:eastAsia="zh-CN"/>
        </w:rPr>
        <w:t>的价格变化。</w:t>
      </w:r>
    </w:p>
    <w:p w14:paraId="0767B26F">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1.3.3 合同价格清单：</w:t>
      </w:r>
      <w:r>
        <w:rPr>
          <w:rFonts w:hint="eastAsia" w:ascii="仿宋" w:hAnsi="仿宋" w:eastAsia="仿宋" w:cs="仿宋"/>
          <w:color w:val="auto"/>
          <w:sz w:val="24"/>
          <w:szCs w:val="24"/>
          <w:highlight w:val="none"/>
          <w:lang w:eastAsia="zh-CN"/>
        </w:rPr>
        <w:t>指承包人按发包人规定的格式和要求填写、标明总承包范围内所有服务和（或）施工内容的项目名称、项目特征、数量及价格的清单项目及价格明细表，是双方进行合同价格结算的依据。价格清单包括工程勘察费（如果有）、工程设计费、BIM技术应用费、设备及工器具购置费（如果有）、建筑安装工程费等各项费用及明细。招标发包工程为中标通知书所接受的经济标以及有效的澄清文件。</w:t>
      </w:r>
    </w:p>
    <w:p w14:paraId="00F6FDBE">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中标价格：</w:t>
      </w:r>
      <w:r>
        <w:rPr>
          <w:rFonts w:hint="eastAsia" w:ascii="仿宋" w:hAnsi="仿宋" w:eastAsia="仿宋" w:cs="仿宋"/>
          <w:color w:val="auto"/>
          <w:sz w:val="24"/>
          <w:szCs w:val="24"/>
          <w:highlight w:val="none"/>
          <w:lang w:eastAsia="zh-CN"/>
        </w:rPr>
        <w:t>指中标通知书中列明的，发包人接受中标人（承包人）完成工程总承包范围及工程内容并保修合同工程的价格。</w:t>
      </w:r>
    </w:p>
    <w:p w14:paraId="6EC2CC96">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经济标或报价文件：</w:t>
      </w:r>
      <w:r>
        <w:rPr>
          <w:rFonts w:hint="eastAsia" w:ascii="仿宋" w:hAnsi="仿宋" w:eastAsia="仿宋" w:cs="仿宋"/>
          <w:color w:val="auto"/>
          <w:sz w:val="24"/>
          <w:szCs w:val="24"/>
          <w:highlight w:val="none"/>
          <w:lang w:eastAsia="zh-CN"/>
        </w:rPr>
        <w:t>指承包人根据招标文件要求编制、签署，并被发包人所接受的投标文件中的经济标及有效的澄清文件。</w:t>
      </w:r>
    </w:p>
    <w:p w14:paraId="5757CB7B">
      <w:pPr>
        <w:pStyle w:val="23"/>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费用或成本：</w:t>
      </w:r>
      <w:r>
        <w:rPr>
          <w:rFonts w:hint="eastAsia" w:ascii="仿宋" w:hAnsi="仿宋" w:eastAsia="仿宋" w:cs="仿宋"/>
          <w:color w:val="auto"/>
          <w:sz w:val="24"/>
          <w:szCs w:val="24"/>
          <w:highlight w:val="none"/>
          <w:lang w:eastAsia="zh-CN"/>
        </w:rPr>
        <w:t>指承包人履行本工程总承包合同过程中所发生或将发生的所有合理开支，包括管理费用或其他性质的合理开支，除合同专用条款及合同价格清单另有约定外，不包括利润和税金。</w:t>
      </w:r>
    </w:p>
    <w:p w14:paraId="7F7F0BD9">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1.3.7 工程勘察费：</w:t>
      </w:r>
      <w:r>
        <w:rPr>
          <w:rFonts w:hint="eastAsia" w:ascii="仿宋" w:hAnsi="仿宋" w:eastAsia="仿宋" w:cs="仿宋"/>
          <w:color w:val="auto"/>
          <w:sz w:val="24"/>
          <w:szCs w:val="24"/>
          <w:highlight w:val="none"/>
          <w:lang w:eastAsia="zh-CN"/>
        </w:rPr>
        <w:t>指承包人完成合同约定的工程勘察工作向发包人收取的服务费。</w:t>
      </w:r>
    </w:p>
    <w:p w14:paraId="38EA3B94">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1.3.8 工程设计费：</w:t>
      </w:r>
      <w:r>
        <w:rPr>
          <w:rFonts w:hint="eastAsia" w:ascii="仿宋" w:hAnsi="仿宋" w:eastAsia="仿宋" w:cs="仿宋"/>
          <w:color w:val="auto"/>
          <w:sz w:val="24"/>
          <w:szCs w:val="24"/>
          <w:highlight w:val="none"/>
          <w:lang w:eastAsia="zh-CN"/>
        </w:rPr>
        <w:t>指承包人完成合同约定的设计工作向发包人收取的服务费。</w:t>
      </w:r>
    </w:p>
    <w:p w14:paraId="20CED462">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1.3.9 BIM技术应用费：</w:t>
      </w:r>
      <w:r>
        <w:rPr>
          <w:rFonts w:hint="eastAsia" w:ascii="仿宋" w:hAnsi="仿宋" w:eastAsia="仿宋" w:cs="仿宋"/>
          <w:color w:val="auto"/>
          <w:sz w:val="24"/>
          <w:szCs w:val="24"/>
          <w:highlight w:val="none"/>
          <w:lang w:eastAsia="zh-CN"/>
        </w:rPr>
        <w:t>指承包人完成合同约定的BIM技术服务内容和（或）利用BIM技术进行正向设计与建模（或建模与出图同步完成）、施工实施、造价管理、运营维护等向发包人收取的费用。</w:t>
      </w:r>
    </w:p>
    <w:p w14:paraId="3C3998BA">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1.3.10 设备及工器具购置费：</w:t>
      </w:r>
      <w:r>
        <w:rPr>
          <w:rFonts w:hint="eastAsia" w:ascii="仿宋" w:hAnsi="仿宋" w:eastAsia="仿宋" w:cs="仿宋"/>
          <w:color w:val="auto"/>
          <w:sz w:val="24"/>
          <w:szCs w:val="24"/>
          <w:highlight w:val="none"/>
          <w:lang w:eastAsia="zh-CN"/>
        </w:rPr>
        <w:t>指合同约定由承包人负责为本项目提供发包人组织生产、运营、办公等所需设备及工器具的购置费用。</w:t>
      </w:r>
    </w:p>
    <w:p w14:paraId="43125E82">
      <w:pPr>
        <w:pStyle w:val="23"/>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 建筑安装工程费：</w:t>
      </w:r>
      <w:r>
        <w:rPr>
          <w:rFonts w:hint="eastAsia" w:ascii="仿宋" w:hAnsi="仿宋" w:eastAsia="仿宋" w:cs="仿宋"/>
          <w:bCs/>
          <w:color w:val="auto"/>
          <w:sz w:val="24"/>
          <w:szCs w:val="24"/>
          <w:highlight w:val="none"/>
          <w:lang w:eastAsia="zh-CN"/>
        </w:rPr>
        <w:t>指</w:t>
      </w:r>
      <w:r>
        <w:rPr>
          <w:rFonts w:hint="eastAsia" w:ascii="仿宋" w:hAnsi="仿宋" w:eastAsia="仿宋" w:cs="仿宋"/>
          <w:color w:val="auto"/>
          <w:sz w:val="24"/>
          <w:szCs w:val="24"/>
          <w:highlight w:val="none"/>
          <w:lang w:eastAsia="zh-CN"/>
        </w:rPr>
        <w:t>承包人按合同约定实施、完成并保修合同工程</w:t>
      </w:r>
      <w:r>
        <w:rPr>
          <w:rFonts w:hint="eastAsia" w:ascii="仿宋" w:hAnsi="仿宋" w:eastAsia="仿宋" w:cs="仿宋"/>
          <w:bCs/>
          <w:color w:val="auto"/>
          <w:sz w:val="24"/>
          <w:szCs w:val="24"/>
          <w:highlight w:val="none"/>
          <w:lang w:eastAsia="zh-CN"/>
        </w:rPr>
        <w:t>的施工费用</w:t>
      </w:r>
      <w:r>
        <w:rPr>
          <w:rFonts w:hint="eastAsia" w:ascii="仿宋" w:hAnsi="仿宋" w:eastAsia="仿宋" w:cs="仿宋"/>
          <w:color w:val="auto"/>
          <w:sz w:val="24"/>
          <w:szCs w:val="24"/>
          <w:highlight w:val="none"/>
          <w:lang w:eastAsia="zh-CN"/>
        </w:rPr>
        <w:t>。其中包含的</w:t>
      </w:r>
      <w:r>
        <w:rPr>
          <w:rFonts w:hint="eastAsia" w:ascii="仿宋" w:hAnsi="仿宋" w:eastAsia="仿宋" w:cs="仿宋"/>
          <w:bCs/>
          <w:color w:val="auto"/>
          <w:sz w:val="24"/>
          <w:szCs w:val="24"/>
          <w:highlight w:val="none"/>
          <w:lang w:eastAsia="zh-CN"/>
        </w:rPr>
        <w:t>分部分项工程费、措施项目费、税金的定义分述如下：</w:t>
      </w:r>
    </w:p>
    <w:p w14:paraId="131E572F">
      <w:pPr>
        <w:pStyle w:val="23"/>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1.3.11.1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分部分项工程费：</w:t>
      </w:r>
      <w:r>
        <w:rPr>
          <w:rFonts w:hint="eastAsia" w:ascii="仿宋" w:hAnsi="仿宋" w:eastAsia="仿宋" w:cs="仿宋"/>
          <w:color w:val="auto"/>
          <w:sz w:val="24"/>
          <w:szCs w:val="24"/>
          <w:highlight w:val="none"/>
          <w:lang w:eastAsia="zh-CN"/>
        </w:rPr>
        <w:t>指为实施、完成并保修合同工程，发生于永久工程实体项目所需的人工费、材料费、施工机具使用费、管理费、利润和风险费用。</w:t>
      </w:r>
    </w:p>
    <w:p w14:paraId="21CBF254">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措施项目费：</w:t>
      </w:r>
      <w:r>
        <w:rPr>
          <w:rFonts w:hint="eastAsia" w:ascii="仿宋" w:hAnsi="仿宋" w:eastAsia="仿宋" w:cs="仿宋"/>
          <w:color w:val="auto"/>
          <w:sz w:val="24"/>
          <w:szCs w:val="24"/>
          <w:highlight w:val="none"/>
          <w:lang w:eastAsia="zh-CN"/>
        </w:rPr>
        <w:t>指为实施、完成并保修合同工程，发生于合同工程施工准备和施工过程中的技术、生活、安全、</w:t>
      </w:r>
      <w:r>
        <w:rPr>
          <w:rFonts w:hint="eastAsia" w:ascii="仿宋" w:hAnsi="仿宋" w:eastAsia="仿宋"/>
          <w:color w:val="auto"/>
          <w:sz w:val="24"/>
          <w:szCs w:val="24"/>
          <w:highlight w:val="none"/>
          <w:lang w:eastAsia="zh-CN"/>
        </w:rPr>
        <w:t>环境保护等方面的非永久工程实体项目费用</w:t>
      </w:r>
      <w:r>
        <w:rPr>
          <w:rFonts w:hint="eastAsia" w:ascii="仿宋" w:hAnsi="仿宋" w:eastAsia="仿宋" w:cs="仿宋"/>
          <w:color w:val="auto"/>
          <w:sz w:val="24"/>
          <w:szCs w:val="24"/>
          <w:highlight w:val="none"/>
          <w:lang w:eastAsia="zh-CN"/>
        </w:rPr>
        <w:t>。</w:t>
      </w:r>
    </w:p>
    <w:p w14:paraId="099D8B52">
      <w:pPr>
        <w:pStyle w:val="23"/>
        <w:widowControl w:val="0"/>
        <w:tabs>
          <w:tab w:val="left" w:pos="1260"/>
          <w:tab w:val="left" w:pos="2160"/>
        </w:tabs>
        <w:spacing w:before="12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税金：</w:t>
      </w:r>
      <w:r>
        <w:rPr>
          <w:rFonts w:hint="eastAsia" w:ascii="仿宋" w:hAnsi="仿宋" w:eastAsia="仿宋" w:cs="仿宋"/>
          <w:color w:val="auto"/>
          <w:sz w:val="24"/>
          <w:szCs w:val="24"/>
          <w:highlight w:val="none"/>
          <w:lang w:eastAsia="zh-CN"/>
        </w:rPr>
        <w:t>指根据国家税法规定的应计入建筑安装工程造价内的增值税。</w:t>
      </w:r>
    </w:p>
    <w:p w14:paraId="07761644">
      <w:pPr>
        <w:pStyle w:val="23"/>
        <w:widowControl w:val="0"/>
        <w:tabs>
          <w:tab w:val="left" w:pos="1260"/>
          <w:tab w:val="left" w:pos="2160"/>
        </w:tabs>
        <w:spacing w:before="12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.3.12 暂列金额：</w:t>
      </w:r>
      <w:r>
        <w:rPr>
          <w:rFonts w:hint="eastAsia" w:ascii="仿宋" w:hAnsi="仿宋" w:eastAsia="仿宋" w:cs="仿宋"/>
          <w:color w:val="auto"/>
          <w:sz w:val="24"/>
          <w:szCs w:val="24"/>
          <w:highlight w:val="none"/>
          <w:lang w:eastAsia="zh-CN"/>
        </w:rPr>
        <w:t>指发包人在工程量清单中暂定并包括在合同总价中的一笔金额（如果有）。用于在签订协议书时尚未确定或者不可预见的工程某一部分的施工；所需某一部分工程材料、工程设备、服务等的采购；</w:t>
      </w:r>
      <w:r>
        <w:rPr>
          <w:rFonts w:hint="eastAsia" w:ascii="仿宋" w:hAnsi="仿宋" w:eastAsia="仿宋"/>
          <w:color w:val="auto"/>
          <w:sz w:val="24"/>
          <w:szCs w:val="24"/>
          <w:highlight w:val="none"/>
          <w:lang w:eastAsia="zh-CN"/>
        </w:rPr>
        <w:t>合同约定的调整事项以及经确认的索赔</w:t>
      </w:r>
      <w:r>
        <w:rPr>
          <w:rFonts w:hint="eastAsia" w:ascii="仿宋" w:hAnsi="仿宋" w:eastAsia="仿宋" w:cs="仿宋"/>
          <w:color w:val="auto"/>
          <w:sz w:val="24"/>
          <w:szCs w:val="24"/>
          <w:highlight w:val="none"/>
          <w:lang w:eastAsia="zh-CN"/>
        </w:rPr>
        <w:t>、现场签证等的金额（包括以计日工方式支付的金额）。实际发生时按合同约定的计价方法计算调整，实际未发生不予计取。</w:t>
      </w:r>
    </w:p>
    <w:p w14:paraId="489F5F3F">
      <w:pPr>
        <w:pStyle w:val="23"/>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暂估价：</w:t>
      </w:r>
      <w:r>
        <w:rPr>
          <w:rFonts w:hint="eastAsia" w:ascii="仿宋" w:hAnsi="仿宋" w:eastAsia="仿宋"/>
          <w:color w:val="auto"/>
          <w:sz w:val="24"/>
          <w:szCs w:val="24"/>
          <w:highlight w:val="none"/>
          <w:lang w:eastAsia="zh-CN"/>
        </w:rPr>
        <w:t>指发包人在工程量清单中暂定的，用于支付必然发生但签订合同前无法确定的部分工程材料</w:t>
      </w:r>
      <w:r>
        <w:rPr>
          <w:rFonts w:hint="eastAsia" w:ascii="仿宋" w:hAnsi="仿宋" w:eastAsia="仿宋" w:cs="仿宋"/>
          <w:color w:val="auto"/>
          <w:sz w:val="24"/>
          <w:szCs w:val="24"/>
          <w:highlight w:val="none"/>
          <w:lang w:eastAsia="zh-CN"/>
        </w:rPr>
        <w:t>、工程设备及专业工程的价格（如果有）。合同履行过程中，应视所涉及的采购金额或工程费用大小，遵守招投标政策法规组织采购或专业工程招标或双方根据市场行情协商确定，并按合同约定的调整方法调整合同价格。</w:t>
      </w:r>
    </w:p>
    <w:p w14:paraId="106C7ABF">
      <w:pPr>
        <w:pStyle w:val="23"/>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计日工：</w:t>
      </w:r>
      <w:r>
        <w:rPr>
          <w:rFonts w:hint="eastAsia" w:ascii="仿宋" w:hAnsi="仿宋" w:eastAsia="仿宋" w:cs="仿宋"/>
          <w:color w:val="auto"/>
          <w:sz w:val="24"/>
          <w:szCs w:val="24"/>
          <w:highlight w:val="none"/>
          <w:lang w:eastAsia="zh-CN"/>
        </w:rPr>
        <w:t>指在合同履行过程中，承包人完成发包人提出的总承包范围以外的零星项目或工作，按照合同中约定计价付款。</w:t>
      </w:r>
    </w:p>
    <w:p w14:paraId="4D09F9B0">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质量保证金：</w:t>
      </w:r>
      <w:r>
        <w:rPr>
          <w:rFonts w:hint="eastAsia" w:ascii="仿宋" w:hAnsi="仿宋" w:eastAsia="仿宋" w:cs="仿宋"/>
          <w:color w:val="auto"/>
          <w:sz w:val="24"/>
          <w:szCs w:val="24"/>
          <w:highlight w:val="none"/>
          <w:lang w:eastAsia="zh-CN"/>
        </w:rPr>
        <w:t>指按照第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9条约定用于保证在缺陷责任期内履行缺陷修复义务的金额。</w:t>
      </w:r>
    </w:p>
    <w:p w14:paraId="355F769E">
      <w:pPr>
        <w:pStyle w:val="23"/>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1.3.1</w:t>
      </w: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 xml:space="preserve"> 利润：</w:t>
      </w:r>
      <w:r>
        <w:rPr>
          <w:rFonts w:hint="eastAsia" w:ascii="仿宋" w:hAnsi="仿宋" w:eastAsia="仿宋" w:cs="仿宋"/>
          <w:bCs/>
          <w:color w:val="auto"/>
          <w:sz w:val="24"/>
          <w:szCs w:val="24"/>
          <w:highlight w:val="none"/>
          <w:lang w:eastAsia="zh-CN"/>
        </w:rPr>
        <w:t>系指合同专用条款中所列的适用的利润百分比（如未列出，则为百分之五（5%））。如承包人根据本合同的任何条款有权就成本加利润获得支付，则利润应以该部分成本作为基数计算。</w:t>
      </w:r>
    </w:p>
    <w:p w14:paraId="6960893A">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w:t>
      </w:r>
      <w:r>
        <w:rPr>
          <w:rFonts w:ascii="仿宋" w:hAnsi="仿宋" w:eastAsia="仿宋" w:cs="仿宋"/>
          <w:b/>
          <w:bCs/>
          <w:color w:val="auto"/>
          <w:sz w:val="24"/>
          <w:szCs w:val="24"/>
          <w:highlight w:val="none"/>
          <w:lang w:eastAsia="zh-CN"/>
        </w:rPr>
        <w:t xml:space="preserve">7 </w:t>
      </w:r>
      <w:r>
        <w:rPr>
          <w:rFonts w:hint="eastAsia" w:ascii="仿宋" w:hAnsi="仿宋" w:eastAsia="仿宋" w:cs="仿宋"/>
          <w:b/>
          <w:bCs/>
          <w:color w:val="auto"/>
          <w:sz w:val="24"/>
          <w:szCs w:val="24"/>
          <w:highlight w:val="none"/>
          <w:lang w:eastAsia="zh-CN"/>
        </w:rPr>
        <w:t>工程款：</w:t>
      </w:r>
      <w:r>
        <w:rPr>
          <w:rFonts w:hint="eastAsia" w:ascii="仿宋" w:hAnsi="仿宋" w:eastAsia="仿宋" w:cs="仿宋"/>
          <w:color w:val="auto"/>
          <w:sz w:val="24"/>
          <w:szCs w:val="24"/>
          <w:highlight w:val="none"/>
          <w:lang w:eastAsia="zh-CN"/>
        </w:rPr>
        <w:t>指为实施、完成并保修合同工程，发包人支付或应当支付给承包人的各种价款，包括进度款、结算款等。</w:t>
      </w:r>
    </w:p>
    <w:p w14:paraId="1FD9360B">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1.3.1</w:t>
      </w:r>
      <w:r>
        <w:rPr>
          <w:rFonts w:ascii="仿宋" w:hAnsi="仿宋" w:eastAsia="仿宋" w:cs="仿宋"/>
          <w:b/>
          <w:color w:val="auto"/>
          <w:sz w:val="24"/>
          <w:szCs w:val="24"/>
          <w:highlight w:val="none"/>
          <w:lang w:eastAsia="zh-CN"/>
        </w:rPr>
        <w:t>8</w:t>
      </w:r>
      <w:r>
        <w:rPr>
          <w:rFonts w:hint="eastAsia" w:ascii="仿宋" w:hAnsi="仿宋" w:eastAsia="仿宋" w:cs="仿宋"/>
          <w:b/>
          <w:color w:val="auto"/>
          <w:sz w:val="24"/>
          <w:szCs w:val="24"/>
          <w:highlight w:val="none"/>
          <w:lang w:eastAsia="zh-CN"/>
        </w:rPr>
        <w:t xml:space="preserve"> 竣工结算书：</w:t>
      </w:r>
      <w:r>
        <w:rPr>
          <w:rFonts w:hint="eastAsia" w:ascii="仿宋" w:hAnsi="仿宋" w:eastAsia="仿宋" w:cs="仿宋"/>
          <w:color w:val="auto"/>
          <w:sz w:val="24"/>
          <w:szCs w:val="24"/>
          <w:highlight w:val="none"/>
          <w:lang w:eastAsia="zh-CN"/>
        </w:rPr>
        <w:t>指合同工程通过竣工验收并移交交付使用后，承包人按合同约定编制并经发包人审定的合同价格报表。</w:t>
      </w:r>
    </w:p>
    <w:p w14:paraId="2788432D">
      <w:pPr>
        <w:pStyle w:val="23"/>
        <w:widowControl w:val="0"/>
        <w:tabs>
          <w:tab w:val="left" w:pos="1260"/>
          <w:tab w:val="left" w:pos="2160"/>
        </w:tabs>
        <w:spacing w:before="120" w:line="360" w:lineRule="auto"/>
        <w:ind w:left="1850" w:leftChars="771"/>
        <w:jc w:val="both"/>
        <w:rPr>
          <w:rFonts w:ascii="仿宋" w:hAnsi="仿宋" w:eastAsia="仿宋" w:cs="仿宋"/>
          <w:b/>
          <w:bCs/>
          <w:color w:val="auto"/>
          <w:sz w:val="24"/>
          <w:szCs w:val="24"/>
          <w:highlight w:val="none"/>
          <w:lang w:eastAsia="zh-CN"/>
        </w:rPr>
      </w:pPr>
      <w:bookmarkStart w:id="173" w:name="_Toc30064"/>
      <w:r>
        <w:rPr>
          <w:rFonts w:hint="eastAsia" w:ascii="仿宋" w:hAnsi="仿宋" w:eastAsia="仿宋" w:cs="仿宋"/>
          <w:b/>
          <w:bCs/>
          <w:color w:val="auto"/>
          <w:sz w:val="24"/>
          <w:szCs w:val="24"/>
          <w:highlight w:val="none"/>
          <w:lang w:eastAsia="zh-CN"/>
        </w:rPr>
        <w:t>1.4 承包范围及工程内容</w:t>
      </w:r>
      <w:bookmarkEnd w:id="173"/>
    </w:p>
    <w:p w14:paraId="0340D1FB">
      <w:pPr>
        <w:pStyle w:val="23"/>
        <w:widowControl w:val="0"/>
        <w:tabs>
          <w:tab w:val="left" w:pos="1260"/>
          <w:tab w:val="left" w:pos="2160"/>
        </w:tabs>
        <w:spacing w:before="12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勘察：</w:t>
      </w:r>
      <w:r>
        <w:rPr>
          <w:rFonts w:hint="eastAsia" w:ascii="仿宋" w:hAnsi="仿宋" w:eastAsia="仿宋" w:cs="仿宋"/>
          <w:color w:val="auto"/>
          <w:sz w:val="24"/>
          <w:szCs w:val="24"/>
          <w:highlight w:val="none"/>
          <w:lang w:eastAsia="zh-CN"/>
        </w:rPr>
        <w:t>指发包人要求承包人提供本项目的工程地质勘察服务。具体承包范围及工程内容由双方在协议书中约定。</w:t>
      </w:r>
    </w:p>
    <w:p w14:paraId="1565EA8D">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 xml:space="preserve"> 设计：</w:t>
      </w:r>
      <w:r>
        <w:rPr>
          <w:rFonts w:hint="eastAsia" w:ascii="仿宋" w:hAnsi="仿宋" w:eastAsia="仿宋" w:cs="仿宋"/>
          <w:color w:val="auto"/>
          <w:sz w:val="24"/>
          <w:szCs w:val="24"/>
          <w:highlight w:val="none"/>
          <w:lang w:eastAsia="zh-CN"/>
        </w:rPr>
        <w:t>指发包人要求承包人提供本项目的初步设计文件和（或）施工图设计文件及相关深化设计、后期配合等服务。具体承包范围及工程内容由双方在协议书中约定。</w:t>
      </w:r>
    </w:p>
    <w:p w14:paraId="4BED7914">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 xml:space="preserve"> BIM技术应用：</w:t>
      </w:r>
      <w:r>
        <w:rPr>
          <w:rFonts w:hint="eastAsia" w:ascii="仿宋" w:hAnsi="仿宋" w:eastAsia="仿宋" w:cs="仿宋"/>
          <w:color w:val="auto"/>
          <w:sz w:val="24"/>
          <w:szCs w:val="24"/>
          <w:highlight w:val="none"/>
          <w:lang w:eastAsia="zh-CN"/>
        </w:rPr>
        <w:t>指发包人要求承包人于设计、施工、竣工验收或运维等阶段开展BIM技术应用或有关服务，提供本项目的建筑信息模型（BIM），利用BIM技术进行正向设计与建模（或建模与出图同步完成）、施工实施、造价管理及相关协调配合。具体承包范围及工程内容由双方在协议书中约定。</w:t>
      </w:r>
    </w:p>
    <w:p w14:paraId="2B0039FC">
      <w:pPr>
        <w:pStyle w:val="23"/>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1.4.</w:t>
      </w:r>
      <w:r>
        <w:rPr>
          <w:rFonts w:ascii="仿宋" w:hAnsi="仿宋" w:eastAsia="仿宋" w:cs="仿宋"/>
          <w:b/>
          <w:bCs/>
          <w:color w:val="auto"/>
          <w:sz w:val="24"/>
          <w:szCs w:val="24"/>
          <w:highlight w:val="none"/>
          <w:lang w:eastAsia="zh-CN"/>
        </w:rPr>
        <w:t>4</w:t>
      </w:r>
      <w:r>
        <w:rPr>
          <w:rFonts w:hint="eastAsia" w:ascii="仿宋" w:hAnsi="仿宋" w:eastAsia="仿宋" w:cs="仿宋"/>
          <w:b/>
          <w:bCs/>
          <w:color w:val="auto"/>
          <w:sz w:val="24"/>
          <w:szCs w:val="24"/>
          <w:highlight w:val="none"/>
          <w:lang w:eastAsia="zh-CN"/>
        </w:rPr>
        <w:t xml:space="preserve"> </w:t>
      </w:r>
      <w:bookmarkStart w:id="174" w:name="OLE_LINK8"/>
      <w:bookmarkStart w:id="175" w:name="OLE_LINK9"/>
      <w:r>
        <w:rPr>
          <w:rFonts w:hint="eastAsia" w:ascii="仿宋" w:hAnsi="仿宋" w:eastAsia="仿宋" w:cs="仿宋"/>
          <w:b/>
          <w:bCs/>
          <w:color w:val="auto"/>
          <w:sz w:val="24"/>
          <w:szCs w:val="24"/>
          <w:highlight w:val="none"/>
          <w:lang w:eastAsia="zh-CN"/>
        </w:rPr>
        <w:t>BIM正向设计：</w:t>
      </w:r>
      <w:bookmarkEnd w:id="174"/>
      <w:bookmarkEnd w:id="175"/>
      <w:r>
        <w:rPr>
          <w:rFonts w:hint="eastAsia" w:ascii="仿宋" w:hAnsi="仿宋" w:eastAsia="仿宋" w:cs="仿宋"/>
          <w:color w:val="auto"/>
          <w:sz w:val="24"/>
          <w:szCs w:val="24"/>
          <w:highlight w:val="none"/>
          <w:lang w:eastAsia="zh-CN"/>
        </w:rPr>
        <w:t>在三维环境下开展设计，将不同维度的相关信息进行集成统一形成建筑信息模型（BIM）的设计方式。</w:t>
      </w:r>
    </w:p>
    <w:p w14:paraId="6F4C1B20">
      <w:pPr>
        <w:pStyle w:val="23"/>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5 </w:t>
      </w:r>
      <w:r>
        <w:rPr>
          <w:rFonts w:hint="eastAsia" w:ascii="仿宋" w:hAnsi="仿宋" w:eastAsia="仿宋" w:cs="仿宋"/>
          <w:b/>
          <w:bCs/>
          <w:color w:val="auto"/>
          <w:sz w:val="24"/>
          <w:szCs w:val="24"/>
          <w:highlight w:val="none"/>
          <w:lang w:eastAsia="zh-CN"/>
        </w:rPr>
        <w:t>设备及工器具购置：</w:t>
      </w:r>
      <w:r>
        <w:rPr>
          <w:rFonts w:hint="eastAsia" w:ascii="仿宋" w:hAnsi="仿宋" w:eastAsia="仿宋" w:cs="仿宋"/>
          <w:color w:val="auto"/>
          <w:sz w:val="24"/>
          <w:szCs w:val="24"/>
          <w:highlight w:val="none"/>
          <w:lang w:eastAsia="zh-CN"/>
        </w:rPr>
        <w:t>指发包人要求承包人提供本项目所需的、为达到生产能力应配备的设备及工器具（不含构成建筑安装工程实体的建筑材料、建筑设备、机电设备以及施工用机械设备）。具体承包范围及工程内容由双方在协议书中约定。</w:t>
      </w:r>
    </w:p>
    <w:p w14:paraId="21160C51">
      <w:pPr>
        <w:pStyle w:val="23"/>
        <w:widowControl w:val="0"/>
        <w:tabs>
          <w:tab w:val="left" w:pos="1260"/>
          <w:tab w:val="left" w:pos="2160"/>
        </w:tabs>
        <w:spacing w:before="12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6 </w:t>
      </w:r>
      <w:r>
        <w:rPr>
          <w:rFonts w:hint="eastAsia" w:ascii="仿宋" w:hAnsi="仿宋" w:eastAsia="仿宋" w:cs="仿宋"/>
          <w:b/>
          <w:bCs/>
          <w:color w:val="auto"/>
          <w:sz w:val="24"/>
          <w:szCs w:val="24"/>
          <w:highlight w:val="none"/>
          <w:lang w:eastAsia="zh-CN"/>
        </w:rPr>
        <w:t>施工：</w:t>
      </w:r>
      <w:r>
        <w:rPr>
          <w:rFonts w:hint="eastAsia" w:ascii="仿宋" w:hAnsi="仿宋" w:eastAsia="仿宋" w:cs="仿宋"/>
          <w:color w:val="auto"/>
          <w:sz w:val="24"/>
          <w:szCs w:val="24"/>
          <w:highlight w:val="none"/>
          <w:lang w:eastAsia="zh-CN"/>
        </w:rPr>
        <w:t>指发包人要求承包人建造、完成并保修工程。具体承包范围及工程内容由双方在协议书中约定。</w:t>
      </w:r>
    </w:p>
    <w:p w14:paraId="1545B8F0">
      <w:pPr>
        <w:pStyle w:val="23"/>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bookmarkStart w:id="176" w:name="_Toc20462"/>
      <w:r>
        <w:rPr>
          <w:rFonts w:hint="eastAsia" w:ascii="仿宋" w:hAnsi="仿宋" w:eastAsia="仿宋" w:cs="仿宋"/>
          <w:b/>
          <w:bCs/>
          <w:color w:val="auto"/>
          <w:sz w:val="24"/>
          <w:szCs w:val="24"/>
          <w:highlight w:val="none"/>
          <w:lang w:eastAsia="zh-CN"/>
        </w:rPr>
        <w:t>1.5 施工现场</w:t>
      </w:r>
      <w:bookmarkEnd w:id="176"/>
    </w:p>
    <w:p w14:paraId="1C4B1572">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施工现场：</w:t>
      </w:r>
      <w:r>
        <w:rPr>
          <w:rFonts w:hint="eastAsia" w:ascii="仿宋" w:hAnsi="仿宋" w:eastAsia="仿宋" w:cs="仿宋"/>
          <w:color w:val="auto"/>
          <w:sz w:val="24"/>
          <w:szCs w:val="24"/>
          <w:highlight w:val="none"/>
          <w:lang w:eastAsia="zh-CN"/>
        </w:rPr>
        <w:t>指由发包人提供的用于合同工程施工、工程材料与工程设备存放的场所，以及发包人在合同中具体指定的供施工使用的其他任何场所。</w:t>
      </w:r>
    </w:p>
    <w:p w14:paraId="5855FD6E">
      <w:pPr>
        <w:pStyle w:val="23"/>
        <w:widowControl w:val="0"/>
        <w:tabs>
          <w:tab w:val="left" w:pos="1260"/>
          <w:tab w:val="left" w:pos="2160"/>
        </w:tabs>
        <w:spacing w:before="120" w:line="360" w:lineRule="auto"/>
        <w:ind w:left="1850" w:leftChars="771"/>
        <w:jc w:val="both"/>
        <w:rPr>
          <w:rFonts w:hint="eastAsia" w:ascii="仿宋" w:hAnsi="仿宋" w:eastAsia="仿宋"/>
          <w:b/>
          <w:color w:val="auto"/>
          <w:sz w:val="24"/>
          <w:szCs w:val="24"/>
          <w:highlight w:val="none"/>
          <w:lang w:eastAsia="zh-CN"/>
        </w:rPr>
      </w:pPr>
      <w:r>
        <w:rPr>
          <w:rFonts w:hint="eastAsia" w:ascii="仿宋" w:hAnsi="仿宋" w:eastAsia="仿宋"/>
          <w:b/>
          <w:color w:val="auto"/>
          <w:sz w:val="24"/>
          <w:szCs w:val="24"/>
          <w:highlight w:val="none"/>
          <w:lang w:eastAsia="zh-CN"/>
        </w:rPr>
        <w:t>1.5.2 现场进入权：</w:t>
      </w:r>
      <w:r>
        <w:rPr>
          <w:rFonts w:hint="eastAsia" w:ascii="仿宋" w:hAnsi="仿宋" w:eastAsia="仿宋"/>
          <w:color w:val="auto"/>
          <w:sz w:val="24"/>
          <w:szCs w:val="24"/>
          <w:highlight w:val="none"/>
          <w:lang w:eastAsia="zh-CN"/>
        </w:rPr>
        <w:t>指发包人允许承包人为实施勘察、设计、采购、施工、验收、试验、缺陷修复等合同约定的工作内容，进入和占用现场各部分的权利。具体进入现场的</w:t>
      </w:r>
      <w:r>
        <w:rPr>
          <w:rFonts w:hint="eastAsia" w:ascii="仿宋" w:hAnsi="仿宋" w:eastAsia="仿宋" w:cs="仿宋"/>
          <w:color w:val="auto"/>
          <w:sz w:val="24"/>
          <w:szCs w:val="24"/>
          <w:highlight w:val="none"/>
          <w:lang w:eastAsia="zh-CN"/>
        </w:rPr>
        <w:t>时间、占用各部分内容（建筑物、构筑物、生产设备等）及占用方式</w:t>
      </w:r>
      <w:r>
        <w:rPr>
          <w:rFonts w:hint="eastAsia" w:ascii="仿宋" w:hAnsi="仿宋" w:eastAsia="仿宋"/>
          <w:color w:val="auto"/>
          <w:sz w:val="24"/>
          <w:szCs w:val="24"/>
          <w:highlight w:val="none"/>
          <w:lang w:eastAsia="zh-CN"/>
        </w:rPr>
        <w:t>，由合同双方在专用条款中约定。</w:t>
      </w:r>
    </w:p>
    <w:p w14:paraId="4C80ACCE">
      <w:pPr>
        <w:pStyle w:val="23"/>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bookmarkStart w:id="177" w:name="_Toc23046"/>
      <w:r>
        <w:rPr>
          <w:rFonts w:hint="eastAsia" w:ascii="仿宋" w:hAnsi="仿宋" w:eastAsia="仿宋" w:cs="仿宋"/>
          <w:b/>
          <w:bCs/>
          <w:color w:val="auto"/>
          <w:sz w:val="24"/>
          <w:szCs w:val="24"/>
          <w:highlight w:val="none"/>
          <w:lang w:eastAsia="zh-CN"/>
        </w:rPr>
        <w:t>1.6 合同当事人及相关方</w:t>
      </w:r>
      <w:bookmarkEnd w:id="177"/>
    </w:p>
    <w:p w14:paraId="364CC796">
      <w:pPr>
        <w:pStyle w:val="23"/>
        <w:widowControl w:val="0"/>
        <w:tabs>
          <w:tab w:val="left" w:pos="1260"/>
          <w:tab w:val="left" w:pos="2160"/>
        </w:tabs>
        <w:spacing w:before="12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1.6.1合同当事人：</w:t>
      </w:r>
      <w:r>
        <w:rPr>
          <w:rFonts w:hint="eastAsia" w:ascii="仿宋" w:hAnsi="仿宋" w:eastAsia="仿宋" w:cs="仿宋"/>
          <w:bCs/>
          <w:color w:val="auto"/>
          <w:sz w:val="24"/>
          <w:szCs w:val="24"/>
          <w:highlight w:val="none"/>
          <w:lang w:eastAsia="zh-CN"/>
        </w:rPr>
        <w:t>指发包人和（或）承包人。</w:t>
      </w:r>
    </w:p>
    <w:p w14:paraId="1860B338">
      <w:pPr>
        <w:pStyle w:val="23"/>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发包人：</w:t>
      </w:r>
      <w:r>
        <w:rPr>
          <w:rFonts w:hint="eastAsia" w:ascii="仿宋" w:hAnsi="仿宋" w:eastAsia="仿宋" w:cs="仿宋"/>
          <w:color w:val="auto"/>
          <w:sz w:val="24"/>
          <w:szCs w:val="24"/>
          <w:highlight w:val="none"/>
          <w:lang w:eastAsia="zh-CN"/>
        </w:rPr>
        <w:t>指在协议书中约定，具有工程发包主体资格和支付工程款能力的当事人，以及取得该当事人资格的合法继受人。</w:t>
      </w:r>
    </w:p>
    <w:p w14:paraId="201CB7F9">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承包人：</w:t>
      </w:r>
      <w:r>
        <w:rPr>
          <w:rFonts w:hint="eastAsia" w:ascii="仿宋" w:hAnsi="仿宋" w:eastAsia="仿宋" w:cs="仿宋"/>
          <w:color w:val="auto"/>
          <w:sz w:val="24"/>
          <w:szCs w:val="24"/>
          <w:highlight w:val="none"/>
          <w:lang w:eastAsia="zh-CN"/>
        </w:rPr>
        <w:t>指在协议书中约定，被发包人接受且具有勘察、设计、采购、施工或设计、施工等阶段总承包主体资格的当事人，以及取得该当事人资格的合法继受人。</w:t>
      </w:r>
    </w:p>
    <w:p w14:paraId="4203BB5C">
      <w:pPr>
        <w:pStyle w:val="23"/>
        <w:widowControl w:val="0"/>
        <w:tabs>
          <w:tab w:val="left" w:pos="1260"/>
          <w:tab w:val="left" w:pos="2160"/>
        </w:tabs>
        <w:spacing w:before="12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1.6.4 联合体：</w:t>
      </w:r>
      <w:r>
        <w:rPr>
          <w:rFonts w:hint="eastAsia" w:ascii="仿宋" w:hAnsi="仿宋" w:eastAsia="仿宋" w:cs="仿宋"/>
          <w:bCs/>
          <w:color w:val="auto"/>
          <w:sz w:val="24"/>
          <w:szCs w:val="24"/>
          <w:highlight w:val="none"/>
          <w:lang w:eastAsia="zh-CN"/>
        </w:rPr>
        <w:t>指经发包人同意由两个或两个以上法人或者其他组织组成的，</w:t>
      </w:r>
      <w:r>
        <w:rPr>
          <w:rFonts w:hint="eastAsia" w:ascii="仿宋" w:hAnsi="仿宋" w:eastAsia="仿宋" w:cs="仿宋"/>
          <w:color w:val="auto"/>
          <w:sz w:val="24"/>
          <w:szCs w:val="24"/>
          <w:highlight w:val="none"/>
          <w:lang w:eastAsia="zh-CN"/>
        </w:rPr>
        <w:t>作为承包人的临时机构，联合体各方向发包人承担连带责任。联合体各方应指定其中一方作为牵头人。</w:t>
      </w:r>
    </w:p>
    <w:p w14:paraId="2DA8CDD1">
      <w:pPr>
        <w:pStyle w:val="23"/>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分包人：</w:t>
      </w:r>
      <w:r>
        <w:rPr>
          <w:rFonts w:hint="eastAsia" w:ascii="仿宋" w:hAnsi="仿宋" w:eastAsia="仿宋" w:cs="仿宋"/>
          <w:color w:val="auto"/>
          <w:sz w:val="24"/>
          <w:szCs w:val="24"/>
          <w:highlight w:val="none"/>
          <w:lang w:eastAsia="zh-CN"/>
        </w:rPr>
        <w:t>指承包人对总承包范围内的部分工程、工程材料、工程设备或服务依法招标或直接分包，被发包人接受且具有相应资格，并与承包人签订了分包合同，接受承包人管理，依法开展施工、供货或服务的分包合同当事人，以及取得该分包合同当事人资格的合法继受人。</w:t>
      </w:r>
    </w:p>
    <w:p w14:paraId="36DEF3B1">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相关方：</w:t>
      </w:r>
      <w:r>
        <w:rPr>
          <w:rFonts w:hint="eastAsia" w:ascii="仿宋" w:hAnsi="仿宋" w:eastAsia="仿宋" w:cs="仿宋"/>
          <w:color w:val="auto"/>
          <w:sz w:val="24"/>
          <w:szCs w:val="24"/>
          <w:highlight w:val="none"/>
          <w:lang w:eastAsia="zh-CN"/>
        </w:rPr>
        <w:t>除合同当事人</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含双方雇员及代表其工作的人员</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以外的任何自然人、法人或其它组织。</w:t>
      </w:r>
    </w:p>
    <w:p w14:paraId="3CDF0F92">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1.6.7 设计顾问人：</w:t>
      </w:r>
      <w:r>
        <w:rPr>
          <w:rFonts w:hint="eastAsia" w:ascii="仿宋" w:hAnsi="仿宋" w:eastAsia="仿宋" w:cs="仿宋"/>
          <w:color w:val="auto"/>
          <w:sz w:val="24"/>
          <w:szCs w:val="24"/>
          <w:highlight w:val="none"/>
          <w:lang w:eastAsia="zh-CN"/>
        </w:rPr>
        <w:t>指受发包人委托，在项目建设各阶段协助发包人监督管理承包人的工程设计活动、审核设计成果、提供设计优化建议、审核设计变更、参与相关设计评审会、参与竣工验收等的自然人、法人或其他组织。</w:t>
      </w:r>
    </w:p>
    <w:p w14:paraId="0CD17A1F">
      <w:pPr>
        <w:pStyle w:val="23"/>
        <w:widowControl w:val="0"/>
        <w:tabs>
          <w:tab w:val="left" w:pos="1260"/>
          <w:tab w:val="left" w:pos="2160"/>
        </w:tabs>
        <w:spacing w:before="120" w:line="360" w:lineRule="auto"/>
        <w:ind w:left="1850" w:leftChars="771"/>
        <w:jc w:val="both"/>
        <w:rPr>
          <w:rFonts w:hint="eastAsia"/>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color w:val="auto"/>
          <w:sz w:val="24"/>
          <w:szCs w:val="24"/>
          <w:highlight w:val="none"/>
          <w:lang w:eastAsia="zh-CN"/>
        </w:rPr>
        <w:t>监理人</w:t>
      </w:r>
      <w:r>
        <w:rPr>
          <w:rFonts w:hint="eastAsia" w:ascii="仿宋" w:hAnsi="仿宋" w:eastAsia="仿宋" w:cs="仿宋"/>
          <w:b/>
          <w:bCs/>
          <w:color w:val="auto"/>
          <w:sz w:val="24"/>
          <w:szCs w:val="24"/>
          <w:highlight w:val="none"/>
          <w:lang w:eastAsia="zh-CN"/>
        </w:rPr>
        <w:t>：</w:t>
      </w:r>
      <w:r>
        <w:rPr>
          <w:rFonts w:hint="eastAsia" w:ascii="仿宋" w:hAnsi="仿宋" w:eastAsia="仿宋" w:cs="仿宋"/>
          <w:color w:val="auto"/>
          <w:sz w:val="24"/>
          <w:szCs w:val="24"/>
          <w:highlight w:val="none"/>
          <w:lang w:eastAsia="zh-CN"/>
        </w:rPr>
        <w:t>指受发包人委托，负责合同工程的施工阶段及保修阶段监理且具有相应工程监理资质的法人或组织。</w:t>
      </w:r>
    </w:p>
    <w:p w14:paraId="26393D0E">
      <w:pPr>
        <w:pStyle w:val="23"/>
        <w:widowControl w:val="0"/>
        <w:tabs>
          <w:tab w:val="left" w:pos="1260"/>
          <w:tab w:val="left" w:pos="2160"/>
        </w:tabs>
        <w:spacing w:before="12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造价咨询人：</w:t>
      </w:r>
      <w:r>
        <w:rPr>
          <w:rFonts w:hint="eastAsia" w:ascii="仿宋" w:hAnsi="仿宋" w:eastAsia="仿宋" w:cs="仿宋"/>
          <w:color w:val="auto"/>
          <w:sz w:val="24"/>
          <w:szCs w:val="24"/>
          <w:highlight w:val="none"/>
          <w:lang w:eastAsia="zh-CN"/>
        </w:rPr>
        <w:t>指受发包人委托，负责合同工程的工程造价管理的法人或组织。</w:t>
      </w:r>
    </w:p>
    <w:p w14:paraId="459604E9">
      <w:pPr>
        <w:pStyle w:val="23"/>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工程造价管理机构：</w:t>
      </w:r>
      <w:r>
        <w:rPr>
          <w:rFonts w:hint="eastAsia" w:ascii="仿宋" w:hAnsi="仿宋" w:eastAsia="仿宋" w:cs="仿宋"/>
          <w:color w:val="auto"/>
          <w:sz w:val="24"/>
          <w:szCs w:val="24"/>
          <w:highlight w:val="none"/>
          <w:lang w:eastAsia="zh-CN"/>
        </w:rPr>
        <w:t>指国务院有关部门、县级以上人民政府建设行政主管部门或受其委托的工程造价管理机构。</w:t>
      </w:r>
    </w:p>
    <w:p w14:paraId="39544DDF">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发包人代表：</w:t>
      </w:r>
      <w:r>
        <w:rPr>
          <w:rFonts w:hint="eastAsia" w:ascii="仿宋" w:hAnsi="仿宋" w:eastAsia="仿宋" w:cs="仿宋"/>
          <w:color w:val="auto"/>
          <w:sz w:val="24"/>
          <w:szCs w:val="24"/>
          <w:highlight w:val="none"/>
          <w:lang w:eastAsia="zh-CN"/>
        </w:rPr>
        <w:t>指发包人指定，代表发包人对合同工程进行管理的全权代表。发包人代表由发包人依据第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4CB1E05B">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承包人代表及专业负责人：</w:t>
      </w:r>
      <w:r>
        <w:rPr>
          <w:rFonts w:hint="eastAsia" w:ascii="仿宋" w:hAnsi="仿宋" w:eastAsia="仿宋" w:cs="仿宋"/>
          <w:color w:val="auto"/>
          <w:sz w:val="24"/>
          <w:szCs w:val="24"/>
          <w:highlight w:val="none"/>
          <w:lang w:eastAsia="zh-CN"/>
        </w:rPr>
        <w:t>指承包人指定，代表承包人负责合同工程总承包管理的全权代表，以及负责合同工程的勘察、设计、BIM技术、采购、施工等各专业管理的负责人。承包人代表及专业负责人由承包人依据第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款约定任命并书面通知发包人。其中：</w:t>
      </w:r>
    </w:p>
    <w:p w14:paraId="3F97213D">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1.6.12.1 勘察负责人</w:t>
      </w:r>
      <w:r>
        <w:rPr>
          <w:rFonts w:hint="eastAsia" w:ascii="仿宋" w:hAnsi="仿宋" w:eastAsia="仿宋" w:cs="仿宋"/>
          <w:color w:val="auto"/>
          <w:sz w:val="24"/>
          <w:szCs w:val="24"/>
          <w:highlight w:val="none"/>
          <w:lang w:eastAsia="zh-CN"/>
        </w:rPr>
        <w:t>：指承包人指定负责开展勘察工作并具有相应资格的人员。</w:t>
      </w:r>
    </w:p>
    <w:p w14:paraId="456BC337">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w:t>
      </w:r>
      <w:r>
        <w:rPr>
          <w:rFonts w:ascii="仿宋" w:hAnsi="仿宋" w:eastAsia="仿宋" w:cs="仿宋"/>
          <w:b/>
          <w:color w:val="auto"/>
          <w:sz w:val="24"/>
          <w:szCs w:val="24"/>
          <w:highlight w:val="none"/>
          <w:lang w:eastAsia="zh-CN"/>
        </w:rPr>
        <w:t>2</w:t>
      </w:r>
      <w:r>
        <w:rPr>
          <w:rFonts w:hint="eastAsia" w:ascii="仿宋" w:hAnsi="仿宋" w:eastAsia="仿宋" w:cs="仿宋"/>
          <w:b/>
          <w:color w:val="auto"/>
          <w:sz w:val="24"/>
          <w:szCs w:val="24"/>
          <w:highlight w:val="none"/>
          <w:lang w:eastAsia="zh-CN"/>
        </w:rPr>
        <w:t xml:space="preserve"> 设计负责人：</w:t>
      </w:r>
      <w:r>
        <w:rPr>
          <w:rFonts w:hint="eastAsia" w:ascii="仿宋" w:hAnsi="仿宋" w:eastAsia="仿宋" w:cs="仿宋"/>
          <w:color w:val="auto"/>
          <w:sz w:val="24"/>
          <w:szCs w:val="24"/>
          <w:highlight w:val="none"/>
          <w:lang w:eastAsia="zh-CN"/>
        </w:rPr>
        <w:t>指承包人指定负责开展设计工作并具有相应资格的人员。</w:t>
      </w:r>
    </w:p>
    <w:p w14:paraId="520259B5">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w:t>
      </w:r>
      <w:r>
        <w:rPr>
          <w:rFonts w:ascii="仿宋" w:hAnsi="仿宋" w:eastAsia="仿宋" w:cs="仿宋"/>
          <w:b/>
          <w:color w:val="auto"/>
          <w:sz w:val="24"/>
          <w:szCs w:val="24"/>
          <w:highlight w:val="none"/>
          <w:lang w:eastAsia="zh-CN"/>
        </w:rPr>
        <w:t>3</w:t>
      </w:r>
      <w:r>
        <w:rPr>
          <w:rFonts w:hint="eastAsia" w:ascii="仿宋" w:hAnsi="仿宋" w:eastAsia="仿宋" w:cs="仿宋"/>
          <w:b/>
          <w:color w:val="auto"/>
          <w:sz w:val="24"/>
          <w:szCs w:val="24"/>
          <w:highlight w:val="none"/>
          <w:lang w:eastAsia="zh-CN"/>
        </w:rPr>
        <w:t xml:space="preserve"> BIM负责人：</w:t>
      </w:r>
      <w:r>
        <w:rPr>
          <w:rFonts w:hint="eastAsia" w:ascii="仿宋" w:hAnsi="仿宋" w:eastAsia="仿宋" w:cs="仿宋"/>
          <w:color w:val="auto"/>
          <w:sz w:val="24"/>
          <w:szCs w:val="24"/>
          <w:highlight w:val="none"/>
          <w:lang w:eastAsia="zh-CN"/>
        </w:rPr>
        <w:t>指承包人指定负责开展BIM技术应用工作并具有相应资格的人员。</w:t>
      </w:r>
    </w:p>
    <w:p w14:paraId="5888E4DD">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1.6.12.4 采购负责人</w:t>
      </w:r>
      <w:r>
        <w:rPr>
          <w:rFonts w:hint="eastAsia" w:ascii="仿宋" w:hAnsi="仿宋" w:eastAsia="仿宋" w:cs="仿宋"/>
          <w:color w:val="auto"/>
          <w:sz w:val="24"/>
          <w:szCs w:val="24"/>
          <w:highlight w:val="none"/>
          <w:lang w:eastAsia="zh-CN"/>
        </w:rPr>
        <w:t>：指承包人指定负责开展工程材料、工程设备、装配式构件、设备及工器具等采购工作的人员。</w:t>
      </w:r>
    </w:p>
    <w:p w14:paraId="08C8FCBB">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w:t>
      </w:r>
      <w:r>
        <w:rPr>
          <w:rFonts w:ascii="仿宋" w:hAnsi="仿宋" w:eastAsia="仿宋" w:cs="仿宋"/>
          <w:b/>
          <w:color w:val="auto"/>
          <w:sz w:val="24"/>
          <w:szCs w:val="24"/>
          <w:highlight w:val="none"/>
          <w:lang w:eastAsia="zh-CN"/>
        </w:rPr>
        <w:t>5</w:t>
      </w:r>
      <w:r>
        <w:rPr>
          <w:rFonts w:hint="eastAsia" w:ascii="仿宋" w:hAnsi="仿宋" w:eastAsia="仿宋" w:cs="仿宋"/>
          <w:b/>
          <w:color w:val="auto"/>
          <w:sz w:val="24"/>
          <w:szCs w:val="24"/>
          <w:highlight w:val="none"/>
          <w:lang w:eastAsia="zh-CN"/>
        </w:rPr>
        <w:t xml:space="preserve"> 施工负责人：</w:t>
      </w:r>
      <w:r>
        <w:rPr>
          <w:rFonts w:hint="eastAsia" w:ascii="仿宋" w:hAnsi="仿宋" w:eastAsia="仿宋" w:cs="仿宋"/>
          <w:color w:val="auto"/>
          <w:sz w:val="24"/>
          <w:szCs w:val="24"/>
          <w:highlight w:val="none"/>
          <w:lang w:eastAsia="zh-CN"/>
        </w:rPr>
        <w:t>指承包人指定负责工程施工管理并具有相应资格的人员。</w:t>
      </w:r>
    </w:p>
    <w:p w14:paraId="399DBE42">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w:t>
      </w:r>
      <w:r>
        <w:rPr>
          <w:rFonts w:ascii="仿宋" w:hAnsi="仿宋" w:eastAsia="仿宋" w:cs="仿宋"/>
          <w:b/>
          <w:color w:val="auto"/>
          <w:sz w:val="24"/>
          <w:szCs w:val="24"/>
          <w:highlight w:val="none"/>
          <w:lang w:eastAsia="zh-CN"/>
        </w:rPr>
        <w:t>6</w:t>
      </w:r>
      <w:r>
        <w:rPr>
          <w:rFonts w:hint="eastAsia" w:ascii="仿宋" w:hAnsi="仿宋" w:eastAsia="仿宋" w:cs="仿宋"/>
          <w:b/>
          <w:color w:val="auto"/>
          <w:sz w:val="24"/>
          <w:szCs w:val="24"/>
          <w:highlight w:val="none"/>
          <w:lang w:eastAsia="zh-CN"/>
        </w:rPr>
        <w:t xml:space="preserve"> 其他工作负责人（如果有）：</w:t>
      </w:r>
      <w:r>
        <w:rPr>
          <w:rFonts w:hint="eastAsia" w:ascii="仿宋" w:hAnsi="仿宋" w:eastAsia="仿宋" w:cs="仿宋"/>
          <w:color w:val="auto"/>
          <w:sz w:val="24"/>
          <w:szCs w:val="24"/>
          <w:highlight w:val="none"/>
          <w:lang w:eastAsia="zh-CN"/>
        </w:rPr>
        <w:t>指承包人指定负责开展其他工作并具有相应资格（如果有</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的人员。</w:t>
      </w:r>
    </w:p>
    <w:p w14:paraId="2C9F253B">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6.13 设计顾问工程师：</w:t>
      </w:r>
      <w:r>
        <w:rPr>
          <w:rFonts w:hint="eastAsia" w:ascii="仿宋" w:hAnsi="仿宋" w:eastAsia="仿宋" w:cs="仿宋"/>
          <w:color w:val="auto"/>
          <w:sz w:val="24"/>
          <w:szCs w:val="24"/>
          <w:highlight w:val="none"/>
          <w:lang w:eastAsia="zh-CN"/>
        </w:rPr>
        <w:t>指设计顾问人委派负责合同工程的设计专业技术咨询的专业人员。设计顾问工程师由设计顾问人提名，经发包人依据第26.1款约定任命并书面通知承包人。</w:t>
      </w:r>
    </w:p>
    <w:p w14:paraId="17659025">
      <w:pPr>
        <w:pStyle w:val="23"/>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监理工程师：</w:t>
      </w:r>
      <w:r>
        <w:rPr>
          <w:rFonts w:hint="eastAsia" w:ascii="仿宋" w:hAnsi="仿宋" w:eastAsia="仿宋" w:cs="仿宋"/>
          <w:color w:val="auto"/>
          <w:sz w:val="24"/>
          <w:szCs w:val="24"/>
          <w:highlight w:val="none"/>
          <w:lang w:eastAsia="zh-CN"/>
        </w:rPr>
        <w:t>指监理人委派常驻施工现场负责合同工程的工程监理专业技术的专业人员。监理工程师由监理人提名，经发包人依据第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3B41C2B9">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造价工程师：</w:t>
      </w:r>
      <w:r>
        <w:rPr>
          <w:rFonts w:hint="eastAsia" w:ascii="仿宋" w:hAnsi="仿宋" w:eastAsia="仿宋" w:cs="仿宋"/>
          <w:color w:val="auto"/>
          <w:sz w:val="24"/>
          <w:szCs w:val="24"/>
          <w:highlight w:val="none"/>
          <w:lang w:eastAsia="zh-CN"/>
        </w:rPr>
        <w:t>指造价咨询人委派负责合同工程的工程造价专业技术与管理的专业人员。造价工程师由造价咨询人提名，经发包人依据第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1BE715E4">
      <w:pPr>
        <w:pStyle w:val="23"/>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bookmarkStart w:id="178" w:name="_Toc27450"/>
      <w:r>
        <w:rPr>
          <w:rFonts w:hint="eastAsia" w:ascii="仿宋" w:hAnsi="仿宋" w:eastAsia="仿宋" w:cs="仿宋"/>
          <w:b/>
          <w:bCs/>
          <w:color w:val="auto"/>
          <w:sz w:val="24"/>
          <w:szCs w:val="24"/>
          <w:highlight w:val="none"/>
          <w:lang w:eastAsia="zh-CN"/>
        </w:rPr>
        <w:t>1.7 工期</w:t>
      </w:r>
      <w:bookmarkEnd w:id="178"/>
    </w:p>
    <w:p w14:paraId="069B5E4E">
      <w:pPr>
        <w:pStyle w:val="23"/>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合同工期：</w:t>
      </w:r>
      <w:r>
        <w:rPr>
          <w:rFonts w:hint="eastAsia" w:ascii="仿宋" w:hAnsi="仿宋" w:eastAsia="仿宋" w:cs="仿宋"/>
          <w:color w:val="auto"/>
          <w:sz w:val="24"/>
          <w:szCs w:val="24"/>
          <w:highlight w:val="none"/>
          <w:lang w:eastAsia="zh-CN"/>
        </w:rPr>
        <w:t>指合同双方当事人在协议书中约定，按照总日历天数（包括法定节假日）计算的从开始实施到完成合同工程的天数。包括勘察工期、设计工期、施工工期等。</w:t>
      </w:r>
    </w:p>
    <w:p w14:paraId="4AF837E1">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开始工作日期与开工日期：</w:t>
      </w:r>
      <w:r>
        <w:rPr>
          <w:rFonts w:hint="eastAsia" w:ascii="仿宋" w:hAnsi="仿宋" w:eastAsia="仿宋" w:cs="仿宋"/>
          <w:bCs/>
          <w:color w:val="auto"/>
          <w:sz w:val="24"/>
          <w:szCs w:val="24"/>
          <w:highlight w:val="none"/>
          <w:lang w:eastAsia="zh-CN"/>
        </w:rPr>
        <w:t>开始工作日期</w:t>
      </w:r>
      <w:r>
        <w:rPr>
          <w:rFonts w:hint="eastAsia" w:ascii="仿宋" w:hAnsi="仿宋" w:eastAsia="仿宋" w:cs="仿宋"/>
          <w:color w:val="auto"/>
          <w:sz w:val="24"/>
          <w:szCs w:val="24"/>
          <w:highlight w:val="none"/>
          <w:lang w:eastAsia="zh-CN"/>
        </w:rPr>
        <w:t>指发包人代表发出的工作指令中写明的、承包人按照合同约定最迟在该日期开始工程的勘察、初步设计和（或）施工图设计、设备及工器具购置等某项工作的日期；开工日期指根据第41条约定，监理人在开工令中写明的、承包人按照合同约定最迟在该日期开始施工的日期。</w:t>
      </w:r>
    </w:p>
    <w:p w14:paraId="3B8BF57A">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完成工作日期：</w:t>
      </w:r>
      <w:r>
        <w:rPr>
          <w:rFonts w:hint="eastAsia" w:ascii="仿宋" w:hAnsi="仿宋" w:eastAsia="仿宋" w:cs="仿宋"/>
          <w:color w:val="auto"/>
          <w:sz w:val="24"/>
          <w:szCs w:val="24"/>
          <w:highlight w:val="none"/>
          <w:lang w:eastAsia="zh-CN"/>
        </w:rPr>
        <w:t>指承包人完成合同工程或某单项工程的勘察、初步设计和（或）施工图设计、设备及工器具购置等某项工作后，由发包人按照专用条款约定的发包人要求、标准、规范等，对其工作成果组织审查或验收并颁发审查批准或验收合格通知书的日期。</w:t>
      </w:r>
    </w:p>
    <w:p w14:paraId="6239D49B">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竣工日期：</w:t>
      </w:r>
      <w:r>
        <w:rPr>
          <w:rFonts w:hint="eastAsia" w:ascii="仿宋" w:hAnsi="仿宋" w:eastAsia="仿宋" w:cs="仿宋"/>
          <w:color w:val="auto"/>
          <w:sz w:val="24"/>
          <w:szCs w:val="24"/>
          <w:highlight w:val="none"/>
          <w:lang w:eastAsia="zh-CN"/>
        </w:rPr>
        <w:t>指承包人完成合同工程或某单项工程的施工后，由发包人按照第65条约定组织竣工验收、接收工程并颁发工程接收证书的日期。包括合同约定的工期与按合同约定允许调整的工期。</w:t>
      </w:r>
    </w:p>
    <w:p w14:paraId="7A660048">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绝对日期：</w:t>
      </w:r>
      <w:r>
        <w:rPr>
          <w:rFonts w:hint="eastAsia" w:ascii="仿宋" w:hAnsi="仿宋" w:eastAsia="仿宋" w:cs="仿宋"/>
          <w:color w:val="auto"/>
          <w:sz w:val="24"/>
          <w:szCs w:val="24"/>
          <w:highlight w:val="none"/>
          <w:lang w:eastAsia="zh-CN"/>
        </w:rPr>
        <w:t>指以公历年、月、日所表示的起止时间。</w:t>
      </w:r>
    </w:p>
    <w:p w14:paraId="7E5D4A66">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7.6</w:t>
      </w:r>
      <w:r>
        <w:rPr>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相对日期</w:t>
      </w:r>
      <w:r>
        <w:rPr>
          <w:rFonts w:hint="eastAsia"/>
          <w:b/>
          <w:bCs/>
          <w:color w:val="auto"/>
          <w:highlight w:val="none"/>
          <w:lang w:eastAsia="zh-CN"/>
        </w:rPr>
        <w:t>：</w:t>
      </w:r>
      <w:r>
        <w:rPr>
          <w:rFonts w:hint="eastAsia" w:ascii="仿宋" w:hAnsi="仿宋" w:eastAsia="仿宋" w:cs="仿宋"/>
          <w:color w:val="auto"/>
          <w:sz w:val="24"/>
          <w:szCs w:val="24"/>
          <w:highlight w:val="none"/>
          <w:lang w:eastAsia="zh-CN"/>
        </w:rPr>
        <w:t>指以日历天数表示两个绝对日期之间的时长，例如：合同签订日期后28天内开工。</w:t>
      </w:r>
    </w:p>
    <w:p w14:paraId="3306CF46">
      <w:pPr>
        <w:pStyle w:val="23"/>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7.7</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基准日期：</w:t>
      </w:r>
      <w:r>
        <w:rPr>
          <w:rFonts w:hint="eastAsia" w:ascii="仿宋" w:hAnsi="仿宋" w:eastAsia="仿宋" w:cs="仿宋"/>
          <w:color w:val="auto"/>
          <w:sz w:val="24"/>
          <w:szCs w:val="24"/>
          <w:highlight w:val="none"/>
          <w:lang w:eastAsia="zh-CN"/>
        </w:rPr>
        <w:t>指招标发包工程递交投标文件截止日期前</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天的日期；直接发包工程订立合同前第</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天的日期。</w:t>
      </w:r>
    </w:p>
    <w:p w14:paraId="40E4CAF1">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缺陷责任期：</w:t>
      </w:r>
      <w:r>
        <w:rPr>
          <w:rFonts w:hint="eastAsia" w:ascii="仿宋" w:hAnsi="仿宋" w:eastAsia="仿宋" w:cs="仿宋"/>
          <w:color w:val="auto"/>
          <w:sz w:val="24"/>
          <w:szCs w:val="24"/>
          <w:highlight w:val="none"/>
          <w:lang w:eastAsia="zh-CN"/>
        </w:rPr>
        <w:t>指履行第66</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3款约定的缺陷责任的期限。具体期限在专用条款中约定，包括第66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款约定的延长期限。</w:t>
      </w:r>
    </w:p>
    <w:p w14:paraId="12B905B2">
      <w:pPr>
        <w:pStyle w:val="23"/>
        <w:widowControl w:val="0"/>
        <w:tabs>
          <w:tab w:val="left" w:pos="1260"/>
          <w:tab w:val="left" w:pos="2160"/>
        </w:tabs>
        <w:spacing w:before="12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保修期：</w:t>
      </w:r>
      <w:r>
        <w:rPr>
          <w:rFonts w:hint="eastAsia" w:ascii="仿宋" w:hAnsi="仿宋" w:eastAsia="仿宋" w:cs="仿宋"/>
          <w:color w:val="auto"/>
          <w:sz w:val="24"/>
          <w:szCs w:val="24"/>
          <w:highlight w:val="none"/>
          <w:lang w:eastAsia="zh-CN"/>
        </w:rPr>
        <w:t>是指承包人按照合同约定和法律规定对工程质量缺陷责任承担保修责任的期限，该期限自缺陷责任期起算之日起计算。</w:t>
      </w:r>
    </w:p>
    <w:p w14:paraId="5870C40E">
      <w:pPr>
        <w:pStyle w:val="23"/>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小时或天：</w:t>
      </w:r>
      <w:r>
        <w:rPr>
          <w:rFonts w:hint="eastAsia" w:ascii="仿宋" w:hAnsi="仿宋" w:eastAsia="仿宋" w:cs="仿宋"/>
          <w:color w:val="auto"/>
          <w:sz w:val="24"/>
          <w:szCs w:val="24"/>
          <w:highlight w:val="none"/>
          <w:lang w:eastAsia="zh-CN"/>
        </w:rPr>
        <w:t>除特别指明外，指时钟小时或日历天。合同中约定按照小时计算时间的，从发生事项有效时开始计算，不扣除休息时间；约定按照天计算时间的，开始当天不计入，从次日开始计算。时限的最后一天是休息日或其他法定节假日的，以节假日次日为时限，但竣工日期和完成工作日期除外。时限最后一天的截止时间为当天</w:t>
      </w:r>
      <w:r>
        <w:rPr>
          <w:rFonts w:ascii="仿宋" w:hAnsi="仿宋" w:eastAsia="仿宋" w:cs="仿宋"/>
          <w:color w:val="auto"/>
          <w:sz w:val="24"/>
          <w:szCs w:val="24"/>
          <w:highlight w:val="none"/>
          <w:lang w:eastAsia="zh-CN"/>
        </w:rPr>
        <w:t>24:00</w:t>
      </w:r>
      <w:r>
        <w:rPr>
          <w:rFonts w:hint="eastAsia" w:ascii="仿宋" w:hAnsi="仿宋" w:eastAsia="仿宋" w:cs="仿宋"/>
          <w:color w:val="auto"/>
          <w:sz w:val="24"/>
          <w:szCs w:val="24"/>
          <w:highlight w:val="none"/>
          <w:lang w:eastAsia="zh-CN"/>
        </w:rPr>
        <w:t>（即次日零点）。</w:t>
      </w:r>
    </w:p>
    <w:p w14:paraId="7190FE50">
      <w:pPr>
        <w:pStyle w:val="23"/>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bookmarkStart w:id="179" w:name="_Toc29850"/>
      <w:r>
        <w:rPr>
          <w:rFonts w:hint="eastAsia" w:ascii="仿宋" w:hAnsi="仿宋" w:eastAsia="仿宋" w:cs="仿宋"/>
          <w:b/>
          <w:bCs/>
          <w:color w:val="auto"/>
          <w:sz w:val="24"/>
          <w:szCs w:val="24"/>
          <w:highlight w:val="none"/>
          <w:lang w:eastAsia="zh-CN"/>
        </w:rPr>
        <w:t>1.8 工程、工程材料与设备、装配式构件</w:t>
      </w:r>
      <w:bookmarkEnd w:id="179"/>
    </w:p>
    <w:p w14:paraId="7854D1E0">
      <w:pPr>
        <w:pStyle w:val="23"/>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合同工程：</w:t>
      </w:r>
      <w:r>
        <w:rPr>
          <w:rFonts w:hint="eastAsia" w:ascii="仿宋" w:hAnsi="仿宋" w:eastAsia="仿宋" w:cs="仿宋"/>
          <w:color w:val="auto"/>
          <w:sz w:val="24"/>
          <w:szCs w:val="24"/>
          <w:highlight w:val="none"/>
          <w:lang w:eastAsia="zh-CN"/>
        </w:rPr>
        <w:t>指合同双方当事人在协议书中约定的承包范围内的工程，包括永久工程和（或）临时工程。</w:t>
      </w:r>
    </w:p>
    <w:p w14:paraId="052ACD32">
      <w:pPr>
        <w:pStyle w:val="23"/>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永久工程：</w:t>
      </w:r>
      <w:r>
        <w:rPr>
          <w:rFonts w:hint="eastAsia" w:ascii="仿宋" w:hAnsi="仿宋" w:eastAsia="仿宋" w:cs="仿宋"/>
          <w:color w:val="auto"/>
          <w:sz w:val="24"/>
          <w:szCs w:val="24"/>
          <w:highlight w:val="none"/>
          <w:lang w:eastAsia="zh-CN"/>
        </w:rPr>
        <w:t>指按照合同约定承包人应当实施、完成并移交给发包人的永久性工程，包括工程设备。</w:t>
      </w:r>
    </w:p>
    <w:p w14:paraId="7E13BC78">
      <w:pPr>
        <w:pStyle w:val="23"/>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临时工程：</w:t>
      </w:r>
      <w:r>
        <w:rPr>
          <w:rFonts w:hint="eastAsia" w:ascii="仿宋" w:hAnsi="仿宋" w:eastAsia="仿宋" w:cs="仿宋"/>
          <w:color w:val="auto"/>
          <w:sz w:val="24"/>
          <w:szCs w:val="24"/>
          <w:highlight w:val="none"/>
          <w:lang w:eastAsia="zh-CN"/>
        </w:rPr>
        <w:t>指实施、完成并保修永久工程过程中所需要的各类临时性工程，不包括施工设备。</w:t>
      </w:r>
    </w:p>
    <w:p w14:paraId="4B3A1110">
      <w:pPr>
        <w:pStyle w:val="23"/>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分包：</w:t>
      </w:r>
      <w:r>
        <w:rPr>
          <w:rFonts w:hint="eastAsia" w:ascii="仿宋" w:hAnsi="仿宋" w:eastAsia="仿宋" w:cs="仿宋"/>
          <w:color w:val="auto"/>
          <w:sz w:val="24"/>
          <w:szCs w:val="24"/>
          <w:highlight w:val="none"/>
          <w:lang w:eastAsia="zh-CN"/>
        </w:rPr>
        <w:t>指合同工程中，由具有相应分包资质的分包人实施、完成的非主体、关键性工作。</w:t>
      </w:r>
    </w:p>
    <w:p w14:paraId="0E7382F4">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单项工程：</w:t>
      </w:r>
      <w:r>
        <w:rPr>
          <w:rFonts w:hint="eastAsia" w:ascii="仿宋" w:hAnsi="仿宋" w:eastAsia="仿宋" w:cs="仿宋"/>
          <w:color w:val="auto"/>
          <w:sz w:val="24"/>
          <w:szCs w:val="24"/>
          <w:highlight w:val="none"/>
          <w:lang w:eastAsia="zh-CN"/>
        </w:rPr>
        <w:t>指具有独立的设计文件，竣工后可以独立发挥生产能力和效益的永久工程。组成合同工程的单项工程名称、内容和范围等应在专用条款中明确。</w:t>
      </w:r>
    </w:p>
    <w:p w14:paraId="136FC642">
      <w:pPr>
        <w:pStyle w:val="23"/>
        <w:widowControl w:val="0"/>
        <w:tabs>
          <w:tab w:val="left" w:pos="1260"/>
          <w:tab w:val="left" w:pos="2160"/>
        </w:tabs>
        <w:spacing w:before="12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1.8.6 工程材料：</w:t>
      </w:r>
      <w:r>
        <w:rPr>
          <w:rFonts w:hint="eastAsia" w:ascii="仿宋" w:hAnsi="仿宋" w:eastAsia="仿宋" w:cs="仿宋"/>
          <w:bCs/>
          <w:color w:val="auto"/>
          <w:sz w:val="24"/>
          <w:szCs w:val="24"/>
          <w:highlight w:val="none"/>
          <w:lang w:eastAsia="zh-CN"/>
        </w:rPr>
        <w:t>指构成永久工程实体的各类物品（工程设备、装配式构件除外），包括根据合同约定由承包人自主采购供应的物品、由承包人采购供应的发包人指定物品（如果有）或由发包人采购</w:t>
      </w:r>
      <w:r>
        <w:rPr>
          <w:rFonts w:hint="eastAsia" w:ascii="仿宋" w:hAnsi="仿宋" w:eastAsia="仿宋" w:cs="仿宋"/>
          <w:color w:val="auto"/>
          <w:sz w:val="24"/>
          <w:szCs w:val="24"/>
          <w:highlight w:val="none"/>
          <w:lang w:eastAsia="zh-CN"/>
        </w:rPr>
        <w:t>供应</w:t>
      </w:r>
      <w:r>
        <w:rPr>
          <w:rFonts w:hint="eastAsia" w:ascii="仿宋" w:hAnsi="仿宋" w:eastAsia="仿宋" w:cs="仿宋"/>
          <w:bCs/>
          <w:color w:val="auto"/>
          <w:sz w:val="24"/>
          <w:szCs w:val="24"/>
          <w:highlight w:val="none"/>
          <w:lang w:eastAsia="zh-CN"/>
        </w:rPr>
        <w:t>的物品（如果有）。</w:t>
      </w:r>
    </w:p>
    <w:p w14:paraId="7A3DEF7A">
      <w:pPr>
        <w:pStyle w:val="23"/>
        <w:widowControl w:val="0"/>
        <w:tabs>
          <w:tab w:val="left" w:pos="1260"/>
          <w:tab w:val="left" w:pos="2160"/>
        </w:tabs>
        <w:spacing w:before="12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1.8.7 装配式构件：</w:t>
      </w:r>
      <w:r>
        <w:rPr>
          <w:rFonts w:hint="eastAsia" w:ascii="仿宋" w:hAnsi="仿宋" w:eastAsia="仿宋" w:cs="仿宋"/>
          <w:bCs/>
          <w:color w:val="auto"/>
          <w:sz w:val="24"/>
          <w:szCs w:val="24"/>
          <w:highlight w:val="none"/>
          <w:lang w:eastAsia="zh-CN"/>
        </w:rPr>
        <w:t>指由承包人工厂自行预制或采购、运输到施工现场进行吊装、拼接后构成永久工程实体，且符合装配式结构技术标准与施工规范的主要结构及围护构件（梁、板、柱、墙板等），包括钢结构构件、预制钢筋混凝土构件等。</w:t>
      </w:r>
    </w:p>
    <w:p w14:paraId="292EF0E5">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工程设备：</w:t>
      </w:r>
      <w:r>
        <w:rPr>
          <w:rFonts w:hint="eastAsia" w:ascii="仿宋" w:hAnsi="仿宋" w:eastAsia="仿宋" w:cs="仿宋"/>
          <w:color w:val="auto"/>
          <w:sz w:val="24"/>
          <w:szCs w:val="24"/>
          <w:highlight w:val="none"/>
          <w:lang w:eastAsia="zh-CN"/>
        </w:rPr>
        <w:t>指构成永久工程实体、能够发挥建筑安装工程功能的建筑设备、机电设备及其他配套设备和装置。</w:t>
      </w:r>
    </w:p>
    <w:p w14:paraId="641DE91A">
      <w:pPr>
        <w:pStyle w:val="23"/>
        <w:widowControl w:val="0"/>
        <w:tabs>
          <w:tab w:val="left" w:pos="1260"/>
          <w:tab w:val="left" w:pos="2160"/>
        </w:tabs>
        <w:spacing w:before="12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设备及工器具：</w:t>
      </w:r>
      <w:r>
        <w:rPr>
          <w:rFonts w:hint="eastAsia" w:ascii="仿宋" w:hAnsi="仿宋" w:eastAsia="仿宋" w:cs="仿宋"/>
          <w:color w:val="auto"/>
          <w:sz w:val="24"/>
          <w:szCs w:val="24"/>
          <w:highlight w:val="none"/>
          <w:lang w:eastAsia="zh-CN"/>
        </w:rPr>
        <w:t>指独立于永久工程的实体之外、用于生产或运营的生产设备、办公设备及相关工具、仪器。</w:t>
      </w:r>
    </w:p>
    <w:p w14:paraId="59E35359">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施工设备：</w:t>
      </w:r>
      <w:r>
        <w:rPr>
          <w:rFonts w:hint="eastAsia" w:ascii="仿宋" w:hAnsi="仿宋" w:eastAsia="仿宋" w:cs="仿宋"/>
          <w:color w:val="auto"/>
          <w:sz w:val="24"/>
          <w:szCs w:val="24"/>
          <w:highlight w:val="none"/>
          <w:lang w:eastAsia="zh-CN"/>
        </w:rPr>
        <w:t>指为实施、完成并保修永久工程，由承包人临时带入工程现场的所有仪器、机械、运输工具或其他物品，但不包括业主设备（如果有）、用于生产或运营的设备及工器具（如果有）和其他不属于承包人的物品（如果有）。</w:t>
      </w:r>
    </w:p>
    <w:p w14:paraId="426BA3EE">
      <w:pPr>
        <w:pStyle w:val="23"/>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bookmarkStart w:id="180" w:name="_Toc32566"/>
      <w:r>
        <w:rPr>
          <w:rFonts w:hint="eastAsia" w:ascii="仿宋" w:hAnsi="仿宋" w:eastAsia="仿宋" w:cs="仿宋"/>
          <w:b/>
          <w:bCs/>
          <w:color w:val="auto"/>
          <w:sz w:val="24"/>
          <w:szCs w:val="24"/>
          <w:highlight w:val="none"/>
          <w:lang w:eastAsia="zh-CN"/>
        </w:rPr>
        <w:t>1.9 缺陷及修复</w:t>
      </w:r>
      <w:bookmarkEnd w:id="180"/>
    </w:p>
    <w:p w14:paraId="2A7DA080">
      <w:pPr>
        <w:pStyle w:val="23"/>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1.9.1</w:t>
      </w:r>
      <w:r>
        <w:rPr>
          <w:rFonts w:hint="eastAsia" w:ascii="仿宋" w:hAnsi="仿宋" w:eastAsia="仿宋" w:cs="仿宋"/>
          <w:b/>
          <w:bCs/>
          <w:color w:val="auto"/>
          <w:sz w:val="24"/>
          <w:szCs w:val="24"/>
          <w:highlight w:val="none"/>
          <w:lang w:eastAsia="zh-CN"/>
        </w:rPr>
        <w:t xml:space="preserve"> 勘察缺陷：</w:t>
      </w:r>
      <w:r>
        <w:rPr>
          <w:rFonts w:hint="eastAsia" w:ascii="仿宋" w:hAnsi="仿宋" w:eastAsia="仿宋" w:cs="仿宋"/>
          <w:bCs/>
          <w:color w:val="auto"/>
          <w:sz w:val="24"/>
          <w:szCs w:val="24"/>
          <w:highlight w:val="none"/>
          <w:lang w:eastAsia="zh-CN"/>
        </w:rPr>
        <w:t>指因承包人未按合同约定的要求进行工程勘察或勘察成果不符合合同约定的标准规范及发包人具体要求，勘察成果存在遗漏、错误，</w:t>
      </w:r>
      <w:r>
        <w:rPr>
          <w:rFonts w:hint="eastAsia" w:ascii="仿宋" w:hAnsi="仿宋" w:eastAsia="仿宋"/>
          <w:color w:val="auto"/>
          <w:sz w:val="24"/>
          <w:szCs w:val="24"/>
          <w:highlight w:val="none"/>
          <w:lang w:eastAsia="zh-CN"/>
        </w:rPr>
        <w:t>导致设计成果或已完成</w:t>
      </w:r>
      <w:r>
        <w:rPr>
          <w:rFonts w:hint="eastAsia" w:ascii="仿宋" w:hAnsi="仿宋" w:eastAsia="仿宋" w:cs="仿宋"/>
          <w:bCs/>
          <w:color w:val="auto"/>
          <w:sz w:val="24"/>
          <w:szCs w:val="24"/>
          <w:highlight w:val="none"/>
          <w:lang w:eastAsia="zh-CN"/>
        </w:rPr>
        <w:t>工程存在重大缺陷或出现质量事故。</w:t>
      </w:r>
    </w:p>
    <w:p w14:paraId="4BCB3593">
      <w:pPr>
        <w:pStyle w:val="23"/>
        <w:widowControl w:val="0"/>
        <w:tabs>
          <w:tab w:val="left" w:pos="1260"/>
          <w:tab w:val="left" w:pos="2160"/>
        </w:tabs>
        <w:spacing w:before="12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w:t>
      </w:r>
      <w:r>
        <w:rPr>
          <w:rFonts w:ascii="仿宋" w:hAnsi="仿宋" w:eastAsia="仿宋"/>
          <w:b/>
          <w:color w:val="auto"/>
          <w:sz w:val="24"/>
          <w:szCs w:val="24"/>
          <w:highlight w:val="none"/>
          <w:lang w:eastAsia="zh-CN"/>
        </w:rPr>
        <w:t>2</w:t>
      </w:r>
      <w:r>
        <w:rPr>
          <w:rFonts w:hint="eastAsia" w:ascii="仿宋" w:hAnsi="仿宋" w:eastAsia="仿宋" w:cs="仿宋"/>
          <w:b/>
          <w:bCs/>
          <w:color w:val="auto"/>
          <w:sz w:val="24"/>
          <w:szCs w:val="24"/>
          <w:highlight w:val="none"/>
          <w:lang w:eastAsia="zh-CN"/>
        </w:rPr>
        <w:t xml:space="preserve"> 设计缺陷：</w:t>
      </w:r>
      <w:r>
        <w:rPr>
          <w:rFonts w:hint="eastAsia" w:ascii="仿宋" w:hAnsi="仿宋" w:eastAsia="仿宋" w:cs="仿宋"/>
          <w:bCs/>
          <w:color w:val="auto"/>
          <w:sz w:val="24"/>
          <w:szCs w:val="24"/>
          <w:highlight w:val="none"/>
          <w:lang w:eastAsia="zh-CN"/>
        </w:rPr>
        <w:t>指因承包人未按合同约定的要求进行工程设计或设计成果不符合合同约定的标准规范及发包人具体要求，</w:t>
      </w:r>
      <w:r>
        <w:rPr>
          <w:rFonts w:ascii="仿宋" w:hAnsi="仿宋" w:eastAsia="仿宋"/>
          <w:color w:val="auto"/>
          <w:sz w:val="24"/>
          <w:szCs w:val="24"/>
          <w:highlight w:val="none"/>
          <w:lang w:eastAsia="zh-CN"/>
        </w:rPr>
        <w:t>设计文件存在遗漏、错误</w:t>
      </w:r>
      <w:r>
        <w:rPr>
          <w:rFonts w:hint="eastAsia" w:ascii="仿宋" w:hAnsi="仿宋" w:eastAsia="仿宋"/>
          <w:color w:val="auto"/>
          <w:sz w:val="24"/>
          <w:szCs w:val="24"/>
          <w:highlight w:val="none"/>
          <w:lang w:eastAsia="zh-CN"/>
        </w:rPr>
        <w:t>或超过限额设计指标，导致已完</w:t>
      </w:r>
      <w:r>
        <w:rPr>
          <w:rFonts w:hint="eastAsia" w:ascii="仿宋" w:hAnsi="仿宋" w:eastAsia="仿宋" w:cs="仿宋"/>
          <w:bCs/>
          <w:color w:val="auto"/>
          <w:sz w:val="24"/>
          <w:szCs w:val="24"/>
          <w:highlight w:val="none"/>
          <w:lang w:eastAsia="zh-CN"/>
        </w:rPr>
        <w:t>工程存在重大缺陷、出现质量事故或增加工程费用。</w:t>
      </w:r>
    </w:p>
    <w:p w14:paraId="71A99361">
      <w:pPr>
        <w:pStyle w:val="23"/>
        <w:widowControl w:val="0"/>
        <w:tabs>
          <w:tab w:val="left" w:pos="1260"/>
          <w:tab w:val="left" w:pos="2160"/>
        </w:tabs>
        <w:spacing w:before="12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w:t>
      </w:r>
      <w:r>
        <w:rPr>
          <w:rFonts w:ascii="仿宋" w:hAnsi="仿宋" w:eastAsia="仿宋"/>
          <w:b/>
          <w:color w:val="auto"/>
          <w:sz w:val="24"/>
          <w:szCs w:val="24"/>
          <w:highlight w:val="none"/>
          <w:lang w:eastAsia="zh-CN"/>
        </w:rPr>
        <w:t>3</w:t>
      </w:r>
      <w:r>
        <w:rPr>
          <w:rFonts w:hint="eastAsia" w:ascii="仿宋" w:hAnsi="仿宋" w:eastAsia="仿宋"/>
          <w:b/>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BIM技术应用缺陷：</w:t>
      </w:r>
      <w:r>
        <w:rPr>
          <w:rFonts w:hint="eastAsia" w:ascii="仿宋" w:hAnsi="仿宋" w:eastAsia="仿宋" w:cs="仿宋"/>
          <w:bCs/>
          <w:color w:val="auto"/>
          <w:sz w:val="24"/>
          <w:szCs w:val="24"/>
          <w:highlight w:val="none"/>
          <w:lang w:eastAsia="zh-CN"/>
        </w:rPr>
        <w:t>指因承包人提供的建筑信息模型（BIM）、信息服务平台及协调管理等服务内容不符合合同约定的标准规范及发包人具体要求，</w:t>
      </w:r>
      <w:r>
        <w:rPr>
          <w:rFonts w:hint="eastAsia" w:ascii="仿宋" w:hAnsi="仿宋" w:eastAsia="仿宋"/>
          <w:color w:val="auto"/>
          <w:sz w:val="24"/>
          <w:szCs w:val="24"/>
          <w:highlight w:val="none"/>
          <w:lang w:eastAsia="zh-CN"/>
        </w:rPr>
        <w:t>建筑信息模型（BIM）及相关工作</w:t>
      </w:r>
      <w:r>
        <w:rPr>
          <w:rFonts w:ascii="仿宋" w:hAnsi="仿宋" w:eastAsia="仿宋"/>
          <w:color w:val="auto"/>
          <w:sz w:val="24"/>
          <w:szCs w:val="24"/>
          <w:highlight w:val="none"/>
          <w:lang w:eastAsia="zh-CN"/>
        </w:rPr>
        <w:t>存在遗漏、错误</w:t>
      </w:r>
      <w:r>
        <w:rPr>
          <w:rFonts w:hint="eastAsia" w:ascii="仿宋" w:hAnsi="仿宋" w:eastAsia="仿宋"/>
          <w:color w:val="auto"/>
          <w:sz w:val="24"/>
          <w:szCs w:val="24"/>
          <w:highlight w:val="none"/>
          <w:lang w:eastAsia="zh-CN"/>
        </w:rPr>
        <w:t>，导致已完</w:t>
      </w:r>
      <w:r>
        <w:rPr>
          <w:rFonts w:hint="eastAsia" w:ascii="仿宋" w:hAnsi="仿宋" w:eastAsia="仿宋" w:cs="仿宋"/>
          <w:bCs/>
          <w:color w:val="auto"/>
          <w:sz w:val="24"/>
          <w:szCs w:val="24"/>
          <w:highlight w:val="none"/>
          <w:lang w:eastAsia="zh-CN"/>
        </w:rPr>
        <w:t>工程存在重大缺陷、出现质量事故或增加工程费用。</w:t>
      </w:r>
    </w:p>
    <w:p w14:paraId="4B5628C1">
      <w:pPr>
        <w:pStyle w:val="23"/>
        <w:widowControl w:val="0"/>
        <w:tabs>
          <w:tab w:val="left" w:pos="1260"/>
          <w:tab w:val="left" w:pos="2160"/>
        </w:tabs>
        <w:spacing w:before="12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1.9.4</w:t>
      </w:r>
      <w:r>
        <w:rPr>
          <w:rFonts w:hint="eastAsia" w:ascii="仿宋" w:hAnsi="仿宋" w:eastAsia="仿宋" w:cs="仿宋"/>
          <w:b/>
          <w:bCs/>
          <w:color w:val="auto"/>
          <w:sz w:val="24"/>
          <w:szCs w:val="24"/>
          <w:highlight w:val="none"/>
          <w:lang w:eastAsia="zh-CN"/>
        </w:rPr>
        <w:t xml:space="preserve"> 设备及工器具购置缺陷：</w:t>
      </w:r>
      <w:r>
        <w:rPr>
          <w:rFonts w:hint="eastAsia" w:ascii="仿宋" w:hAnsi="仿宋" w:eastAsia="仿宋" w:cs="仿宋"/>
          <w:bCs/>
          <w:color w:val="auto"/>
          <w:sz w:val="24"/>
          <w:szCs w:val="24"/>
          <w:highlight w:val="none"/>
          <w:lang w:eastAsia="zh-CN"/>
        </w:rPr>
        <w:t>指因承包人未按合同约定的要求购置设备及工器具，或购置的设备及工器具质量与数量不符合合同约定的标准规范或发包人具体要求</w:t>
      </w:r>
      <w:r>
        <w:rPr>
          <w:rFonts w:hint="eastAsia" w:ascii="仿宋" w:hAnsi="仿宋" w:eastAsia="仿宋"/>
          <w:color w:val="auto"/>
          <w:sz w:val="24"/>
          <w:szCs w:val="24"/>
          <w:highlight w:val="none"/>
          <w:lang w:eastAsia="zh-CN"/>
        </w:rPr>
        <w:t>，导致建设项目无法</w:t>
      </w:r>
      <w:r>
        <w:rPr>
          <w:rFonts w:hint="eastAsia" w:ascii="仿宋" w:hAnsi="仿宋" w:eastAsia="仿宋" w:cs="仿宋"/>
          <w:bCs/>
          <w:color w:val="auto"/>
          <w:sz w:val="24"/>
          <w:szCs w:val="24"/>
          <w:highlight w:val="none"/>
          <w:lang w:eastAsia="zh-CN"/>
        </w:rPr>
        <w:t>达到生产或运营能力。</w:t>
      </w:r>
    </w:p>
    <w:p w14:paraId="62C860D3">
      <w:pPr>
        <w:pStyle w:val="23"/>
        <w:widowControl w:val="0"/>
        <w:tabs>
          <w:tab w:val="left" w:pos="1260"/>
          <w:tab w:val="left" w:pos="2160"/>
        </w:tabs>
        <w:spacing w:before="12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1.9.5</w:t>
      </w:r>
      <w:r>
        <w:rPr>
          <w:rFonts w:hint="eastAsia" w:ascii="仿宋" w:hAnsi="仿宋" w:eastAsia="仿宋" w:cs="仿宋"/>
          <w:b/>
          <w:bCs/>
          <w:color w:val="auto"/>
          <w:sz w:val="24"/>
          <w:szCs w:val="24"/>
          <w:highlight w:val="none"/>
          <w:lang w:eastAsia="zh-CN"/>
        </w:rPr>
        <w:t xml:space="preserve"> 采购缺陷：</w:t>
      </w:r>
      <w:r>
        <w:rPr>
          <w:rFonts w:hint="eastAsia" w:ascii="仿宋" w:hAnsi="仿宋" w:eastAsia="仿宋" w:cs="仿宋"/>
          <w:bCs/>
          <w:color w:val="auto"/>
          <w:sz w:val="24"/>
          <w:szCs w:val="24"/>
          <w:highlight w:val="none"/>
          <w:lang w:eastAsia="zh-CN"/>
        </w:rPr>
        <w:t>指因承包人采购的构成工程实体的工程材料、工程设备及装配式构件等不符合产品合格标准或发包人要求，导致工程实体存在质量隐患、不良效果等缺陷。</w:t>
      </w:r>
    </w:p>
    <w:p w14:paraId="11DD4881">
      <w:pPr>
        <w:pStyle w:val="23"/>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w:t>
      </w:r>
      <w:r>
        <w:rPr>
          <w:rFonts w:ascii="仿宋" w:hAnsi="仿宋" w:eastAsia="仿宋"/>
          <w:b/>
          <w:color w:val="auto"/>
          <w:sz w:val="24"/>
          <w:szCs w:val="24"/>
          <w:highlight w:val="none"/>
          <w:lang w:eastAsia="zh-CN"/>
        </w:rPr>
        <w:t>6</w:t>
      </w:r>
      <w:r>
        <w:rPr>
          <w:rFonts w:hint="eastAsia" w:ascii="仿宋" w:hAnsi="仿宋" w:eastAsia="仿宋" w:cs="仿宋"/>
          <w:b/>
          <w:bCs/>
          <w:color w:val="auto"/>
          <w:sz w:val="24"/>
          <w:szCs w:val="24"/>
          <w:highlight w:val="none"/>
          <w:lang w:eastAsia="zh-CN"/>
        </w:rPr>
        <w:t xml:space="preserve"> 工程质量缺陷：</w:t>
      </w:r>
      <w:r>
        <w:rPr>
          <w:rFonts w:hint="eastAsia" w:ascii="仿宋" w:hAnsi="仿宋" w:eastAsia="仿宋" w:cs="仿宋"/>
          <w:bCs/>
          <w:color w:val="auto"/>
          <w:sz w:val="24"/>
          <w:szCs w:val="24"/>
          <w:highlight w:val="none"/>
          <w:lang w:eastAsia="zh-CN"/>
        </w:rPr>
        <w:t>指因承包人未按合同约定的要求进行施工或施工质量不符合合同约定的标准规范或发包人具体要求，</w:t>
      </w:r>
      <w:r>
        <w:rPr>
          <w:rFonts w:hint="eastAsia" w:ascii="仿宋" w:hAnsi="仿宋" w:eastAsia="仿宋"/>
          <w:color w:val="auto"/>
          <w:sz w:val="24"/>
          <w:szCs w:val="24"/>
          <w:highlight w:val="none"/>
          <w:lang w:eastAsia="zh-CN"/>
        </w:rPr>
        <w:t>导致</w:t>
      </w:r>
      <w:r>
        <w:rPr>
          <w:rFonts w:hint="eastAsia" w:ascii="仿宋" w:hAnsi="仿宋" w:eastAsia="仿宋" w:cs="仿宋"/>
          <w:bCs/>
          <w:color w:val="auto"/>
          <w:sz w:val="24"/>
          <w:szCs w:val="24"/>
          <w:highlight w:val="none"/>
          <w:lang w:eastAsia="zh-CN"/>
        </w:rPr>
        <w:t>工程存在重大缺陷或出现质量事故。</w:t>
      </w:r>
    </w:p>
    <w:p w14:paraId="6CF491A7">
      <w:pPr>
        <w:pStyle w:val="23"/>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w:t>
      </w:r>
      <w:r>
        <w:rPr>
          <w:rFonts w:ascii="仿宋" w:hAnsi="仿宋" w:eastAsia="仿宋"/>
          <w:b/>
          <w:color w:val="auto"/>
          <w:sz w:val="24"/>
          <w:szCs w:val="24"/>
          <w:highlight w:val="none"/>
          <w:lang w:eastAsia="zh-CN"/>
        </w:rPr>
        <w:t>7</w:t>
      </w:r>
      <w:r>
        <w:rPr>
          <w:rFonts w:hint="eastAsia" w:ascii="仿宋" w:hAnsi="仿宋" w:eastAsia="仿宋"/>
          <w:b/>
          <w:color w:val="auto"/>
          <w:sz w:val="24"/>
          <w:szCs w:val="24"/>
          <w:highlight w:val="none"/>
          <w:lang w:eastAsia="zh-CN"/>
        </w:rPr>
        <w:t xml:space="preserve"> 其他服务缺陷：</w:t>
      </w:r>
      <w:r>
        <w:rPr>
          <w:rFonts w:hint="eastAsia" w:ascii="仿宋" w:hAnsi="仿宋" w:eastAsia="仿宋"/>
          <w:color w:val="auto"/>
          <w:sz w:val="24"/>
          <w:szCs w:val="24"/>
          <w:highlight w:val="none"/>
          <w:lang w:eastAsia="zh-CN"/>
        </w:rPr>
        <w:t>指承包人未按合同约定的要求开展其他服务或服务质量达不到合同约定的标准规范或发包人具体要求，导致发包人无法</w:t>
      </w:r>
      <w:r>
        <w:rPr>
          <w:rFonts w:hint="eastAsia" w:ascii="仿宋" w:hAnsi="仿宋" w:eastAsia="仿宋" w:cs="仿宋"/>
          <w:color w:val="auto"/>
          <w:sz w:val="24"/>
          <w:szCs w:val="24"/>
          <w:highlight w:val="none"/>
          <w:lang w:eastAsia="zh-CN"/>
        </w:rPr>
        <w:t>正常</w:t>
      </w:r>
      <w:r>
        <w:rPr>
          <w:rFonts w:hint="eastAsia" w:ascii="仿宋" w:hAnsi="仿宋" w:eastAsia="仿宋"/>
          <w:color w:val="auto"/>
          <w:sz w:val="24"/>
          <w:szCs w:val="24"/>
          <w:highlight w:val="none"/>
          <w:lang w:eastAsia="zh-CN"/>
        </w:rPr>
        <w:t>使用。</w:t>
      </w:r>
    </w:p>
    <w:p w14:paraId="4C020E58">
      <w:pPr>
        <w:pStyle w:val="23"/>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bookmarkStart w:id="181" w:name="_Toc4634"/>
      <w:r>
        <w:rPr>
          <w:rFonts w:hint="eastAsia" w:ascii="仿宋" w:hAnsi="仿宋" w:eastAsia="仿宋" w:cs="仿宋"/>
          <w:b/>
          <w:bCs/>
          <w:color w:val="auto"/>
          <w:sz w:val="24"/>
          <w:szCs w:val="24"/>
          <w:highlight w:val="none"/>
          <w:lang w:eastAsia="zh-CN"/>
        </w:rPr>
        <w:t>1.10 变更、索赔、验收及其他</w:t>
      </w:r>
      <w:bookmarkEnd w:id="181"/>
    </w:p>
    <w:p w14:paraId="2AC8DD3C">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10.1变更：</w:t>
      </w:r>
      <w:r>
        <w:rPr>
          <w:rFonts w:hint="eastAsia" w:ascii="仿宋" w:hAnsi="仿宋" w:eastAsia="仿宋" w:cs="仿宋"/>
          <w:color w:val="auto"/>
          <w:sz w:val="24"/>
          <w:szCs w:val="24"/>
          <w:highlight w:val="none"/>
          <w:lang w:eastAsia="zh-CN"/>
        </w:rPr>
        <w:t>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w:t>
      </w:r>
    </w:p>
    <w:p w14:paraId="0ACE8E75">
      <w:pPr>
        <w:pStyle w:val="23"/>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索赔：</w:t>
      </w:r>
      <w:r>
        <w:rPr>
          <w:rFonts w:hint="eastAsia" w:ascii="仿宋" w:hAnsi="仿宋" w:eastAsia="仿宋" w:cs="仿宋"/>
          <w:color w:val="auto"/>
          <w:sz w:val="24"/>
          <w:szCs w:val="24"/>
          <w:highlight w:val="none"/>
          <w:lang w:eastAsia="zh-CN"/>
        </w:rPr>
        <w:t>指合同履行期间，对于非自己的过错而应由对方当事人承担责任的情况所造成的损失，并根据第43条和第80条约定向对方当事人提出费用补偿和（或）工期顺延的要求。</w:t>
      </w:r>
    </w:p>
    <w:p w14:paraId="70237896">
      <w:pPr>
        <w:pStyle w:val="23"/>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现场签证：</w:t>
      </w:r>
      <w:r>
        <w:rPr>
          <w:rFonts w:hint="eastAsia" w:ascii="仿宋" w:hAnsi="仿宋" w:eastAsia="仿宋" w:cs="仿宋"/>
          <w:color w:val="auto"/>
          <w:sz w:val="24"/>
          <w:szCs w:val="24"/>
          <w:highlight w:val="none"/>
          <w:lang w:eastAsia="zh-CN"/>
        </w:rPr>
        <w:t>指合同双方当事人按照第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款约定的指定人选根据第81条约定就工程总承包实施过程中涉及的责任事项所作的签认证明。</w:t>
      </w:r>
    </w:p>
    <w:p w14:paraId="55F0582F">
      <w:pPr>
        <w:pStyle w:val="23"/>
        <w:widowControl w:val="0"/>
        <w:tabs>
          <w:tab w:val="left" w:pos="1260"/>
          <w:tab w:val="left" w:pos="2160"/>
        </w:tabs>
        <w:spacing w:before="12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工作成果验收：</w:t>
      </w:r>
      <w:r>
        <w:rPr>
          <w:rFonts w:hint="eastAsia" w:ascii="仿宋" w:hAnsi="仿宋" w:eastAsia="仿宋" w:cs="仿宋"/>
          <w:color w:val="auto"/>
          <w:sz w:val="24"/>
          <w:szCs w:val="24"/>
          <w:highlight w:val="none"/>
          <w:lang w:eastAsia="zh-CN"/>
        </w:rPr>
        <w:t>指承包人完成了勘察、设计、建筑信息模型（BIM）等合同约定的阶段性工作后，发包人按照合同约定对其完成的工作成效和（或）成果文件进行的验收或确认。</w:t>
      </w:r>
    </w:p>
    <w:p w14:paraId="266054F7">
      <w:pPr>
        <w:pStyle w:val="23"/>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竣工验收：</w:t>
      </w:r>
      <w:r>
        <w:rPr>
          <w:rFonts w:hint="eastAsia" w:ascii="仿宋" w:hAnsi="仿宋" w:eastAsia="仿宋" w:cs="仿宋"/>
          <w:color w:val="auto"/>
          <w:sz w:val="24"/>
          <w:szCs w:val="24"/>
          <w:highlight w:val="none"/>
          <w:lang w:eastAsia="zh-CN"/>
        </w:rPr>
        <w:t>指承包人完成了全部合同工作后，发包人按照合同约定进行的验收。</w:t>
      </w:r>
    </w:p>
    <w:p w14:paraId="56BFA344">
      <w:pPr>
        <w:pStyle w:val="23"/>
        <w:widowControl w:val="0"/>
        <w:tabs>
          <w:tab w:val="left" w:pos="1260"/>
          <w:tab w:val="left" w:pos="2160"/>
        </w:tabs>
        <w:spacing w:before="120" w:line="360" w:lineRule="auto"/>
        <w:ind w:left="1850" w:leftChars="771"/>
        <w:jc w:val="both"/>
        <w:rPr>
          <w:rFonts w:hint="eastAsia"/>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国家验收：</w:t>
      </w:r>
      <w:r>
        <w:rPr>
          <w:rFonts w:hint="eastAsia" w:ascii="仿宋" w:hAnsi="仿宋" w:eastAsia="仿宋" w:cs="仿宋"/>
          <w:color w:val="auto"/>
          <w:sz w:val="24"/>
          <w:szCs w:val="24"/>
          <w:highlight w:val="none"/>
          <w:lang w:eastAsia="zh-CN"/>
        </w:rPr>
        <w:t>指政府部门根据法律和政策等有关规定，针对发包人全面组织实施的整个工程在正式交付投运前的验收。</w:t>
      </w:r>
    </w:p>
    <w:p w14:paraId="28020ECA">
      <w:pPr>
        <w:pStyle w:val="23"/>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10.7</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书面形式：</w:t>
      </w:r>
      <w:r>
        <w:rPr>
          <w:rFonts w:hint="eastAsia" w:ascii="仿宋" w:hAnsi="仿宋" w:eastAsia="仿宋" w:cs="仿宋"/>
          <w:color w:val="auto"/>
          <w:sz w:val="24"/>
          <w:szCs w:val="24"/>
          <w:highlight w:val="none"/>
          <w:lang w:eastAsia="zh-CN"/>
        </w:rPr>
        <w:t>指合同文件、信函、电报、电传、传真、电子数据交换文件、电子邮件、会议纪要等可以有形地表现所载内容的形式。合同双方当事人可在专用条款中注明所采用的书面形式。</w:t>
      </w:r>
    </w:p>
    <w:p w14:paraId="0DF5A1C3">
      <w:pPr>
        <w:pStyle w:val="23"/>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国家：</w:t>
      </w:r>
      <w:r>
        <w:rPr>
          <w:rFonts w:hint="eastAsia" w:ascii="仿宋" w:hAnsi="仿宋" w:eastAsia="仿宋" w:cs="仿宋"/>
          <w:color w:val="auto"/>
          <w:sz w:val="24"/>
          <w:szCs w:val="24"/>
          <w:highlight w:val="none"/>
          <w:lang w:eastAsia="zh-CN"/>
        </w:rPr>
        <w:t>指中华人民共和国。</w:t>
      </w:r>
    </w:p>
    <w:p w14:paraId="31D0A816">
      <w:pPr>
        <w:tabs>
          <w:tab w:val="left" w:pos="1620"/>
        </w:tabs>
        <w:spacing w:line="360" w:lineRule="auto"/>
        <w:rPr>
          <w:rFonts w:ascii="仿宋" w:hAnsi="仿宋" w:eastAsia="仿宋"/>
          <w:b/>
          <w:bCs/>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66298E6B">
      <w:pPr>
        <w:pStyle w:val="4"/>
        <w:tabs>
          <w:tab w:val="left" w:pos="420"/>
        </w:tabs>
        <w:spacing w:before="120" w:after="120" w:line="360" w:lineRule="auto"/>
        <w:rPr>
          <w:rFonts w:ascii="仿宋" w:hAnsi="仿宋" w:eastAsia="仿宋"/>
          <w:bCs w:val="0"/>
          <w:color w:val="auto"/>
          <w:sz w:val="24"/>
          <w:szCs w:val="24"/>
          <w:highlight w:val="none"/>
          <w:lang w:eastAsia="zh-CN"/>
        </w:rPr>
      </w:pPr>
      <w:bookmarkStart w:id="182" w:name="_Toc31579"/>
      <w:bookmarkStart w:id="183" w:name="_Toc24983"/>
      <w:bookmarkStart w:id="184" w:name="_Toc22784"/>
      <w:bookmarkStart w:id="185" w:name="_Toc614"/>
      <w:bookmarkStart w:id="186" w:name="_Toc29044"/>
      <w:bookmarkStart w:id="187" w:name="_Toc47694272"/>
      <w:bookmarkStart w:id="188" w:name="_Toc469383981"/>
      <w:bookmarkStart w:id="189" w:name="_Toc8434"/>
      <w:bookmarkStart w:id="190" w:name="_Toc3155"/>
      <w:r>
        <w:rPr>
          <w:rFonts w:ascii="仿宋" w:hAnsi="仿宋" w:eastAsia="仿宋" w:cs="仿宋"/>
          <w:bCs w:val="0"/>
          <w:color w:val="auto"/>
          <w:sz w:val="24"/>
          <w:szCs w:val="24"/>
          <w:highlight w:val="none"/>
          <w:lang w:eastAsia="zh-CN"/>
        </w:rPr>
        <w:t xml:space="preserve">2 </w:t>
      </w:r>
      <w:r>
        <w:rPr>
          <w:rFonts w:hint="eastAsia" w:ascii="仿宋" w:hAnsi="仿宋" w:eastAsia="仿宋" w:cs="仿宋"/>
          <w:bCs w:val="0"/>
          <w:color w:val="auto"/>
          <w:sz w:val="24"/>
          <w:szCs w:val="24"/>
          <w:highlight w:val="none"/>
          <w:lang w:eastAsia="zh-CN"/>
        </w:rPr>
        <w:t>合同文件及解释</w:t>
      </w:r>
      <w:bookmarkEnd w:id="182"/>
      <w:bookmarkEnd w:id="183"/>
      <w:bookmarkEnd w:id="184"/>
      <w:bookmarkEnd w:id="185"/>
      <w:bookmarkEnd w:id="186"/>
      <w:bookmarkEnd w:id="187"/>
      <w:bookmarkEnd w:id="188"/>
      <w:bookmarkEnd w:id="189"/>
      <w:bookmarkEnd w:id="190"/>
    </w:p>
    <w:p w14:paraId="40D345FD">
      <w:pPr>
        <w:pStyle w:val="23"/>
        <w:tabs>
          <w:tab w:val="left" w:pos="1202"/>
        </w:tabs>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293370</wp:posOffset>
                </wp:positionV>
                <wp:extent cx="832485" cy="254000"/>
                <wp:effectExtent l="0" t="0" r="0" b="0"/>
                <wp:wrapNone/>
                <wp:docPr id="1" name="000104"/>
                <wp:cNvGraphicFramePr/>
                <a:graphic xmlns:a="http://schemas.openxmlformats.org/drawingml/2006/main">
                  <a:graphicData uri="http://schemas.microsoft.com/office/word/2010/wordprocessingShape">
                    <wps:wsp>
                      <wps:cNvSpPr txBox="1"/>
                      <wps:spPr>
                        <a:xfrm>
                          <a:off x="0" y="0"/>
                          <a:ext cx="832485" cy="254000"/>
                        </a:xfrm>
                        <a:prstGeom prst="rect">
                          <a:avLst/>
                        </a:prstGeom>
                        <a:solidFill>
                          <a:srgbClr val="FFFFFF"/>
                        </a:solidFill>
                        <a:ln>
                          <a:noFill/>
                        </a:ln>
                        <a:effectLst/>
                      </wps:spPr>
                      <wps:txbx>
                        <w:txbxContent>
                          <w:p w14:paraId="02AF91D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p w14:paraId="4AAB4102"/>
                        </w:txbxContent>
                      </wps:txbx>
                      <wps:bodyPr wrap="square" upright="1"/>
                    </wps:wsp>
                  </a:graphicData>
                </a:graphic>
              </wp:anchor>
            </w:drawing>
          </mc:Choice>
          <mc:Fallback>
            <w:pict>
              <v:shape id="000104" o:spid="_x0000_s1026" o:spt="202" type="#_x0000_t202" style="position:absolute;left:0pt;margin-left:-7.5pt;margin-top:23.1pt;height:20pt;width:65.55pt;z-index:251659264;mso-width-relative:page;mso-height-relative:page;" fillcolor="#FFFFFF" filled="t" stroked="f" coordsize="21600,21600" o:gfxdata="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HEGbrXAAAACQEAAA8AAAAAAAAAAQAgAAAAIgAAAGRycy9kb3ducmV2LnhtbFBLAQIU&#10;ABQAAAAIAIdO4kDW7vl6uwEAAI0DAAAOAAAAAAAAAAEAIAAAACYBAABkcnMvZTJvRG9jLnhtbFBL&#10;BQYAAAAABgAGAFkBAABTBQAAAAA=&#10;">
                <v:fill on="t" focussize="0,0"/>
                <v:stroke on="f"/>
                <v:imagedata o:title=""/>
                <o:lock v:ext="edit" aspectratio="f"/>
                <v:textbox>
                  <w:txbxContent>
                    <w:p w14:paraId="02AF91D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p w14:paraId="4AAB4102"/>
                  </w:txbxContent>
                </v:textbox>
              </v:shape>
            </w:pict>
          </mc:Fallback>
        </mc:AlternateContent>
      </w:r>
      <w:r>
        <w:rPr>
          <w:rFonts w:ascii="仿宋" w:hAnsi="仿宋" w:eastAsia="仿宋" w:cs="仿宋"/>
          <w:b/>
          <w:bCs/>
          <w:color w:val="auto"/>
          <w:sz w:val="24"/>
          <w:szCs w:val="24"/>
          <w:highlight w:val="none"/>
          <w:lang w:eastAsia="zh-CN"/>
        </w:rPr>
        <w:t>2.1</w:t>
      </w:r>
    </w:p>
    <w:p w14:paraId="5DCF7C04">
      <w:pPr>
        <w:pStyle w:val="23"/>
        <w:widowControl w:val="0"/>
        <w:tabs>
          <w:tab w:val="left" w:pos="1202"/>
          <w:tab w:val="left" w:pos="1620"/>
          <w:tab w:val="left" w:pos="1800"/>
          <w:tab w:val="left" w:pos="2160"/>
        </w:tabs>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本合同条款的标题和旁注不构成合同的组成部分。</w:t>
      </w:r>
    </w:p>
    <w:p w14:paraId="08E6901E">
      <w:pPr>
        <w:pStyle w:val="23"/>
        <w:tabs>
          <w:tab w:val="left" w:pos="1202"/>
        </w:tabs>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w:t>
      </w:r>
      <w:r>
        <w:rPr>
          <w:rFonts w:ascii="仿宋" w:hAnsi="仿宋" w:eastAsia="仿宋" w:cs="仿宋"/>
          <w:b/>
          <w:bCs/>
          <w:color w:val="auto"/>
          <w:sz w:val="24"/>
          <w:szCs w:val="24"/>
          <w:highlight w:val="none"/>
          <w:lang w:eastAsia="zh-CN"/>
        </w:rPr>
        <w:t xml:space="preserve">2.2  </w:t>
      </w:r>
      <w:r>
        <w:rPr>
          <w:rFonts w:ascii="仿宋" w:hAnsi="仿宋" w:eastAsia="仿宋" w:cs="仿宋"/>
          <w:b/>
          <w:bCs/>
          <w:color w:val="auto"/>
          <w:sz w:val="24"/>
          <w:szCs w:val="24"/>
          <w:highlight w:val="none"/>
          <w:u w:val="dotted"/>
          <w:lang w:eastAsia="zh-CN"/>
        </w:rPr>
        <w:t xml:space="preserve">                                                                             </w:t>
      </w:r>
    </w:p>
    <w:p w14:paraId="64B81A01">
      <w:pPr>
        <w:pStyle w:val="23"/>
        <w:widowControl w:val="0"/>
        <w:tabs>
          <w:tab w:val="left" w:pos="1202"/>
          <w:tab w:val="left" w:pos="1620"/>
          <w:tab w:val="left" w:pos="1800"/>
          <w:tab w:val="left" w:pos="2160"/>
        </w:tabs>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774065" cy="673735"/>
                <wp:effectExtent l="0" t="0" r="0" b="0"/>
                <wp:wrapNone/>
                <wp:docPr id="2" name="000105"/>
                <wp:cNvGraphicFramePr/>
                <a:graphic xmlns:a="http://schemas.openxmlformats.org/drawingml/2006/main">
                  <a:graphicData uri="http://schemas.microsoft.com/office/word/2010/wordprocessingShape">
                    <wps:wsp>
                      <wps:cNvSpPr txBox="1"/>
                      <wps:spPr>
                        <a:xfrm>
                          <a:off x="0" y="0"/>
                          <a:ext cx="774065" cy="673735"/>
                        </a:xfrm>
                        <a:prstGeom prst="rect">
                          <a:avLst/>
                        </a:prstGeom>
                        <a:noFill/>
                        <a:ln>
                          <a:noFill/>
                        </a:ln>
                        <a:effectLst/>
                      </wps:spPr>
                      <wps:txbx>
                        <w:txbxContent>
                          <w:p w14:paraId="73AACD22">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p w14:paraId="7951A134">
                            <w:pPr>
                              <w:rPr>
                                <w:lang w:eastAsia="zh-CN"/>
                              </w:rPr>
                            </w:pPr>
                          </w:p>
                        </w:txbxContent>
                      </wps:txbx>
                      <wps:bodyPr wrap="square" upright="1"/>
                    </wps:wsp>
                  </a:graphicData>
                </a:graphic>
              </wp:anchor>
            </w:drawing>
          </mc:Choice>
          <mc:Fallback>
            <w:pict>
              <v:shape id="000105" o:spid="_x0000_s1026" o:spt="202" type="#_x0000_t202" style="position:absolute;left:0pt;margin-left:-9pt;margin-top:5.3pt;height:53.05pt;width:60.95pt;z-index:251660288;mso-width-relative:page;mso-height-relative:page;" filled="f" stroked="f" coordsize="21600,21600" o:gfxdata="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AI9Ps1wAAAAoB&#10;AAAPAAAAAAAAAAEAIAAAACIAAABkcnMvZG93bnJldi54bWxQSwECFAAUAAAACACHTuJAcz/F46oB&#10;AABkAwAADgAAAAAAAAABACAAAAAmAQAAZHJzL2Uyb0RvYy54bWxQSwUGAAAAAAYABgBZAQAAQgUA&#10;AAAA&#10;">
                <v:fill on="f" focussize="0,0"/>
                <v:stroke on="f"/>
                <v:imagedata o:title=""/>
                <o:lock v:ext="edit" aspectratio="f"/>
                <v:textbox>
                  <w:txbxContent>
                    <w:p w14:paraId="73AACD22">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p w14:paraId="7951A134">
                      <w:pPr>
                        <w:rPr>
                          <w:lang w:eastAsia="zh-CN"/>
                        </w:rPr>
                      </w:pPr>
                    </w:p>
                  </w:txbxContent>
                </v:textbox>
              </v:shape>
            </w:pict>
          </mc:Fallback>
        </mc:AlternateContent>
      </w:r>
      <w:bookmarkStart w:id="191" w:name="_Ref531948776"/>
      <w:r>
        <w:rPr>
          <w:rFonts w:hint="eastAsia" w:ascii="仿宋" w:hAnsi="仿宋" w:eastAsia="仿宋" w:cs="仿宋"/>
          <w:color w:val="auto"/>
          <w:sz w:val="24"/>
          <w:szCs w:val="24"/>
          <w:highlight w:val="none"/>
          <w:lang w:eastAsia="zh-CN"/>
        </w:rPr>
        <w:t>组成合同的各项文件应互相解释，互为说明。除专用条款另有约定外，</w:t>
      </w:r>
      <w:bookmarkEnd w:id="191"/>
      <w:r>
        <w:rPr>
          <w:rFonts w:hint="eastAsia" w:ascii="仿宋" w:hAnsi="仿宋" w:eastAsia="仿宋" w:cs="仿宋"/>
          <w:color w:val="auto"/>
          <w:sz w:val="24"/>
          <w:szCs w:val="24"/>
          <w:highlight w:val="none"/>
          <w:lang w:eastAsia="zh-CN"/>
        </w:rPr>
        <w:t>解释合同文件的优先顺序如下：</w:t>
      </w:r>
    </w:p>
    <w:p w14:paraId="26046989">
      <w:pPr>
        <w:widowControl w:val="0"/>
        <w:numPr>
          <w:ilvl w:val="0"/>
          <w:numId w:val="4"/>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协议书；</w:t>
      </w:r>
    </w:p>
    <w:p w14:paraId="4593B58D">
      <w:pPr>
        <w:widowControl w:val="0"/>
        <w:numPr>
          <w:ilvl w:val="0"/>
          <w:numId w:val="4"/>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中标通知书（如果有）；</w:t>
      </w:r>
    </w:p>
    <w:p w14:paraId="078F7E5D">
      <w:pPr>
        <w:widowControl w:val="0"/>
        <w:numPr>
          <w:ilvl w:val="0"/>
          <w:numId w:val="4"/>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承包人投标文件及其附件（含评标期间的澄清文件和补充资料）（如果有）；</w:t>
      </w:r>
    </w:p>
    <w:p w14:paraId="06328E9C">
      <w:pPr>
        <w:widowControl w:val="0"/>
        <w:numPr>
          <w:ilvl w:val="0"/>
          <w:numId w:val="4"/>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专用条款；</w:t>
      </w:r>
    </w:p>
    <w:p w14:paraId="0C964E54">
      <w:pPr>
        <w:widowControl w:val="0"/>
        <w:numPr>
          <w:ilvl w:val="0"/>
          <w:numId w:val="4"/>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通用条款；</w:t>
      </w:r>
    </w:p>
    <w:p w14:paraId="5455F0BA">
      <w:pPr>
        <w:widowControl w:val="0"/>
        <w:numPr>
          <w:ilvl w:val="0"/>
          <w:numId w:val="4"/>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《发包人要求》；</w:t>
      </w:r>
    </w:p>
    <w:p w14:paraId="5EC112B1">
      <w:pPr>
        <w:widowControl w:val="0"/>
        <w:numPr>
          <w:ilvl w:val="0"/>
          <w:numId w:val="4"/>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标准、规范；</w:t>
      </w:r>
    </w:p>
    <w:p w14:paraId="594BF53A">
      <w:pPr>
        <w:widowControl w:val="0"/>
        <w:numPr>
          <w:ilvl w:val="0"/>
          <w:numId w:val="4"/>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项目基础资料；</w:t>
      </w:r>
    </w:p>
    <w:p w14:paraId="18DDEC13">
      <w:pPr>
        <w:widowControl w:val="0"/>
        <w:numPr>
          <w:ilvl w:val="0"/>
          <w:numId w:val="4"/>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合同价格清单；</w:t>
      </w:r>
    </w:p>
    <w:p w14:paraId="40861FE2">
      <w:pPr>
        <w:widowControl w:val="0"/>
        <w:numPr>
          <w:ilvl w:val="0"/>
          <w:numId w:val="4"/>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rPr>
        <w:t>招标文件（包括补充、修改、澄清的文件、答疑纪要）（如果有）；</w:t>
      </w:r>
    </w:p>
    <w:p w14:paraId="20177380">
      <w:pPr>
        <w:widowControl w:val="0"/>
        <w:numPr>
          <w:ilvl w:val="0"/>
          <w:numId w:val="4"/>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双方约定的其他合同文件。</w:t>
      </w:r>
      <w:bookmarkStart w:id="192" w:name="_Hlk18951547"/>
    </w:p>
    <w:p w14:paraId="1FDEAD96">
      <w:pPr>
        <w:widowControl w:val="0"/>
        <w:spacing w:line="360" w:lineRule="auto"/>
        <w:ind w:left="1680" w:leftChars="700"/>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上述各项合同文件包括合同当事人就该项合同文件所作出的补充和修改，同类文件相应内容不一致的，应以最新签署的为准</w:t>
      </w:r>
      <w:bookmarkEnd w:id="192"/>
      <w:r>
        <w:rPr>
          <w:rFonts w:hint="eastAsia" w:ascii="仿宋" w:hAnsi="仿宋" w:eastAsia="仿宋" w:cs="仿宋"/>
          <w:color w:val="auto"/>
          <w:highlight w:val="none"/>
          <w:lang w:eastAsia="zh-CN" w:bidi="ar-SA"/>
        </w:rPr>
        <w:t>。</w:t>
      </w:r>
      <w:r>
        <w:rPr>
          <w:rFonts w:hint="eastAsia" w:ascii="仿宋" w:hAnsi="仿宋" w:eastAsia="仿宋" w:cs="仿宋"/>
          <w:color w:val="auto"/>
          <w:highlight w:val="none"/>
          <w:lang w:eastAsia="zh-CN"/>
        </w:rPr>
        <w:t>合同专用条款及其附件须经合同当事人签字并盖章。</w:t>
      </w:r>
    </w:p>
    <w:p w14:paraId="71196E15">
      <w:pPr>
        <w:widowControl w:val="0"/>
        <w:spacing w:line="360" w:lineRule="auto"/>
        <w:ind w:firstLine="1680" w:firstLineChars="700"/>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在合同订立及履行过程中形成的与合同有关的文件均构成合同文件组成部分，并根</w:t>
      </w:r>
    </w:p>
    <w:p w14:paraId="50820A81">
      <w:pPr>
        <w:widowControl w:val="0"/>
        <w:spacing w:line="360" w:lineRule="auto"/>
        <w:ind w:firstLine="1680" w:firstLineChars="700"/>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据其性质确定优先解释顺序。</w:t>
      </w:r>
    </w:p>
    <w:p w14:paraId="18315BE9">
      <w:pPr>
        <w:pStyle w:val="23"/>
        <w:tabs>
          <w:tab w:val="left" w:pos="1202"/>
        </w:tabs>
        <w:spacing w:line="360" w:lineRule="auto"/>
        <w:rPr>
          <w:rFonts w:ascii="仿宋" w:hAnsi="仿宋" w:eastAsia="仿宋"/>
          <w:b/>
          <w:bCs/>
          <w:color w:val="auto"/>
          <w:sz w:val="24"/>
          <w:szCs w:val="24"/>
          <w:highlight w:val="none"/>
          <w:lang w:eastAsia="zh-CN"/>
        </w:rPr>
      </w:pPr>
      <w:bookmarkStart w:id="193" w:name="_Toc25289"/>
      <w:r>
        <w:rPr>
          <w:rFonts w:ascii="仿宋" w:hAnsi="仿宋" w:eastAsia="仿宋" w:cs="仿宋"/>
          <w:b/>
          <w:bCs/>
          <w:color w:val="auto"/>
          <w:sz w:val="24"/>
          <w:szCs w:val="24"/>
          <w:highlight w:val="none"/>
          <w:lang w:eastAsia="zh-CN"/>
        </w:rPr>
        <w:t>2.3</w:t>
      </w:r>
      <w:bookmarkEnd w:id="193"/>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17BC23C5">
      <w:pPr>
        <w:widowControl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851535" cy="899160"/>
                <wp:effectExtent l="0" t="0" r="0" b="0"/>
                <wp:wrapNone/>
                <wp:docPr id="3" name="000106"/>
                <wp:cNvGraphicFramePr/>
                <a:graphic xmlns:a="http://schemas.openxmlformats.org/drawingml/2006/main">
                  <a:graphicData uri="http://schemas.microsoft.com/office/word/2010/wordprocessingShape">
                    <wps:wsp>
                      <wps:cNvSpPr txBox="1"/>
                      <wps:spPr>
                        <a:xfrm>
                          <a:off x="0" y="0"/>
                          <a:ext cx="851535" cy="899160"/>
                        </a:xfrm>
                        <a:prstGeom prst="rect">
                          <a:avLst/>
                        </a:prstGeom>
                        <a:noFill/>
                        <a:ln>
                          <a:noFill/>
                        </a:ln>
                        <a:effectLst/>
                      </wps:spPr>
                      <wps:txbx>
                        <w:txbxContent>
                          <w:p w14:paraId="6ADFDF35">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p w14:paraId="6772AD38">
                            <w:pPr>
                              <w:rPr>
                                <w:lang w:eastAsia="zh-CN"/>
                              </w:rPr>
                            </w:pPr>
                          </w:p>
                        </w:txbxContent>
                      </wps:txbx>
                      <wps:bodyPr wrap="square" upright="1"/>
                    </wps:wsp>
                  </a:graphicData>
                </a:graphic>
              </wp:anchor>
            </w:drawing>
          </mc:Choice>
          <mc:Fallback>
            <w:pict>
              <v:shape id="000106" o:spid="_x0000_s1026" o:spt="202" type="#_x0000_t202" style="position:absolute;left:0pt;margin-left:-9pt;margin-top:0pt;height:70.8pt;width:67.05pt;z-index:251661312;mso-width-relative:page;mso-height-relative:page;" filled="f" stroked="f" coordsize="21600,21600" o:gfxdata="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BWSxDWAAAACAEA&#10;AA8AAAAAAAAAAQAgAAAAIgAAAGRycy9kb3ducmV2LnhtbFBLAQIUABQAAAAIAIdO4kCMQCpdqgEA&#10;AGQDAAAOAAAAAAAAAAEAIAAAACUBAABkcnMvZTJvRG9jLnhtbFBLBQYAAAAABgAGAFkBAABBBQAA&#10;AAA=&#10;">
                <v:fill on="f" focussize="0,0"/>
                <v:stroke on="f"/>
                <v:imagedata o:title=""/>
                <o:lock v:ext="edit" aspectratio="f"/>
                <v:textbox>
                  <w:txbxContent>
                    <w:p w14:paraId="6ADFDF35">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p w14:paraId="6772AD38">
                      <w:pPr>
                        <w:rPr>
                          <w:lang w:eastAsia="zh-CN"/>
                        </w:rPr>
                      </w:pPr>
                    </w:p>
                  </w:txbxContent>
                </v:textbox>
              </v:shape>
            </w:pict>
          </mc:Fallback>
        </mc:AlternateContent>
      </w:r>
      <w:r>
        <w:rPr>
          <w:rFonts w:hint="eastAsia" w:ascii="仿宋" w:hAnsi="仿宋" w:eastAsia="仿宋" w:cs="仿宋"/>
          <w:color w:val="auto"/>
          <w:highlight w:val="none"/>
          <w:lang w:eastAsia="zh-CN"/>
        </w:rPr>
        <w:t>当合同文件内容出现含糊不清或不一致时，由合同双方当事人在不影响合同工程正常实施的情况下协商解决。协商不成的，由设计顾问人、监理人、造价咨询人分别按照第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6</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7</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款约定职权作出解释。如合同任何一方当事人不同意设计顾问人、监理人或造价咨询人作出的解释，按照第91条约定处理。</w:t>
      </w:r>
    </w:p>
    <w:p w14:paraId="257E1A17">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051ED06B">
      <w:pPr>
        <w:pStyle w:val="4"/>
        <w:tabs>
          <w:tab w:val="left" w:pos="420"/>
        </w:tabs>
        <w:spacing w:before="120" w:after="120" w:line="360" w:lineRule="auto"/>
        <w:rPr>
          <w:rFonts w:ascii="仿宋" w:hAnsi="仿宋" w:eastAsia="仿宋"/>
          <w:bCs w:val="0"/>
          <w:color w:val="auto"/>
          <w:sz w:val="24"/>
          <w:szCs w:val="24"/>
          <w:highlight w:val="none"/>
          <w:lang w:eastAsia="zh-CN"/>
        </w:rPr>
      </w:pPr>
      <w:bookmarkStart w:id="194" w:name="_Toc469383982"/>
      <w:bookmarkStart w:id="195" w:name="_Toc23602"/>
      <w:bookmarkStart w:id="196" w:name="_Toc14572"/>
      <w:bookmarkStart w:id="197" w:name="_Toc26100"/>
      <w:bookmarkStart w:id="198" w:name="_Toc3919"/>
      <w:bookmarkStart w:id="199" w:name="_Toc24693"/>
      <w:bookmarkStart w:id="200" w:name="_Toc47694273"/>
      <w:bookmarkStart w:id="201" w:name="_Toc19884"/>
      <w:bookmarkStart w:id="202" w:name="_Toc17280"/>
      <w:r>
        <w:rPr>
          <w:rFonts w:ascii="仿宋" w:hAnsi="仿宋" w:eastAsia="仿宋" w:cs="仿宋"/>
          <w:bCs w:val="0"/>
          <w:color w:val="auto"/>
          <w:sz w:val="24"/>
          <w:szCs w:val="24"/>
          <w:highlight w:val="none"/>
          <w:lang w:eastAsia="zh-CN"/>
        </w:rPr>
        <w:t xml:space="preserve">3 </w:t>
      </w:r>
      <w:r>
        <w:rPr>
          <w:rFonts w:hint="eastAsia" w:ascii="仿宋" w:hAnsi="仿宋" w:eastAsia="仿宋" w:cs="仿宋"/>
          <w:bCs w:val="0"/>
          <w:color w:val="auto"/>
          <w:sz w:val="24"/>
          <w:szCs w:val="24"/>
          <w:highlight w:val="none"/>
          <w:lang w:eastAsia="zh-CN"/>
        </w:rPr>
        <w:t>阅读、理解与接受</w:t>
      </w:r>
      <w:bookmarkEnd w:id="194"/>
      <w:bookmarkEnd w:id="195"/>
      <w:bookmarkEnd w:id="196"/>
      <w:bookmarkEnd w:id="197"/>
      <w:bookmarkEnd w:id="198"/>
      <w:bookmarkEnd w:id="199"/>
      <w:bookmarkEnd w:id="200"/>
      <w:bookmarkEnd w:id="201"/>
      <w:bookmarkEnd w:id="202"/>
    </w:p>
    <w:p w14:paraId="719EB97B">
      <w:pPr>
        <w:tabs>
          <w:tab w:val="left" w:pos="1260"/>
        </w:tabs>
        <w:spacing w:before="240"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3.1</w:t>
      </w:r>
    </w:p>
    <w:p w14:paraId="776ACAD7">
      <w:pPr>
        <w:pStyle w:val="23"/>
        <w:widowControl w:val="0"/>
        <w:spacing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775970" cy="527050"/>
                <wp:effectExtent l="0" t="0" r="0" b="0"/>
                <wp:wrapNone/>
                <wp:docPr id="4" name="000107"/>
                <wp:cNvGraphicFramePr/>
                <a:graphic xmlns:a="http://schemas.openxmlformats.org/drawingml/2006/main">
                  <a:graphicData uri="http://schemas.microsoft.com/office/word/2010/wordprocessingShape">
                    <wps:wsp>
                      <wps:cNvSpPr txBox="1"/>
                      <wps:spPr>
                        <a:xfrm>
                          <a:off x="0" y="0"/>
                          <a:ext cx="775970" cy="527050"/>
                        </a:xfrm>
                        <a:prstGeom prst="rect">
                          <a:avLst/>
                        </a:prstGeom>
                        <a:noFill/>
                        <a:ln>
                          <a:noFill/>
                        </a:ln>
                        <a:effectLst/>
                      </wps:spPr>
                      <wps:txbx>
                        <w:txbxContent>
                          <w:p w14:paraId="630CEC2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p w14:paraId="67938930"/>
                        </w:txbxContent>
                      </wps:txbx>
                      <wps:bodyPr wrap="square" upright="1"/>
                    </wps:wsp>
                  </a:graphicData>
                </a:graphic>
              </wp:anchor>
            </w:drawing>
          </mc:Choice>
          <mc:Fallback>
            <w:pict>
              <v:shape id="000107" o:spid="_x0000_s1026" o:spt="202" type="#_x0000_t202" style="position:absolute;left:0pt;margin-left:-9pt;margin-top:0pt;height:41.5pt;width:61.1pt;z-index:251662336;mso-width-relative:page;mso-height-relative:page;" filled="f" stroked="f" coordsize="21600,21600" o:gfxdata="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NtGTKNUAAAAHAQAA&#10;DwAAAAAAAAABACAAAAAiAAAAZHJzL2Rvd25yZXYueG1sUEsBAhQAFAAAAAgAh07iQCNtAjSqAQAA&#10;ZAMAAA4AAAAAAAAAAQAgAAAAJAEAAGRycy9lMm9Eb2MueG1sUEsFBgAAAAAGAAYAWQEAAEAFAAAA&#10;AA==&#10;">
                <v:fill on="f" focussize="0,0"/>
                <v:stroke on="f"/>
                <v:imagedata o:title=""/>
                <o:lock v:ext="edit" aspectratio="f"/>
                <v:textbox>
                  <w:txbxContent>
                    <w:p w14:paraId="630CEC2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p w14:paraId="67938930"/>
                  </w:txbxContent>
                </v:textbox>
              </v:shape>
            </w:pict>
          </mc:Fallback>
        </mc:AlternateContent>
      </w:r>
      <w:r>
        <w:rPr>
          <w:rFonts w:hint="eastAsia" w:ascii="仿宋" w:hAnsi="仿宋" w:eastAsia="仿宋" w:cs="仿宋"/>
          <w:color w:val="auto"/>
          <w:sz w:val="24"/>
          <w:szCs w:val="24"/>
          <w:highlight w:val="none"/>
          <w:lang w:eastAsia="zh-CN"/>
        </w:rPr>
        <w:t>合同双方当事人应认真阅读和理解本合同的全部内容。除合同双方当事人同意修改外，本合同一旦订立，视为合同双方当事人已全面接受本合同的所有条款。</w:t>
      </w:r>
    </w:p>
    <w:p w14:paraId="191A7337">
      <w:pPr>
        <w:tabs>
          <w:tab w:val="left" w:pos="1260"/>
        </w:tabs>
        <w:spacing w:before="240" w:line="360" w:lineRule="auto"/>
        <w:rPr>
          <w:rFonts w:ascii="仿宋" w:hAnsi="仿宋" w:eastAsia="仿宋" w:cs="仿宋"/>
          <w:b/>
          <w:bCs/>
          <w:color w:val="auto"/>
          <w:highlight w:val="none"/>
          <w:u w:val="dotted"/>
          <w:lang w:eastAsia="zh-CN"/>
        </w:rPr>
      </w:pPr>
      <w:bookmarkStart w:id="203" w:name="_Toc5121"/>
      <w:r>
        <w:rPr>
          <w:rFonts w:ascii="仿宋" w:hAnsi="仿宋" w:eastAsia="仿宋" w:cs="仿宋"/>
          <w:b/>
          <w:bCs/>
          <w:color w:val="auto"/>
          <w:highlight w:val="none"/>
          <w:lang w:eastAsia="zh-CN"/>
        </w:rPr>
        <w:t>3.2</w:t>
      </w:r>
      <w:bookmarkEnd w:id="20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E3575D4">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126365</wp:posOffset>
                </wp:positionV>
                <wp:extent cx="847725" cy="517525"/>
                <wp:effectExtent l="0" t="0" r="0" b="0"/>
                <wp:wrapNone/>
                <wp:docPr id="5" name="000108"/>
                <wp:cNvGraphicFramePr/>
                <a:graphic xmlns:a="http://schemas.openxmlformats.org/drawingml/2006/main">
                  <a:graphicData uri="http://schemas.microsoft.com/office/word/2010/wordprocessingShape">
                    <wps:wsp>
                      <wps:cNvSpPr txBox="1"/>
                      <wps:spPr>
                        <a:xfrm>
                          <a:off x="0" y="0"/>
                          <a:ext cx="847725" cy="517525"/>
                        </a:xfrm>
                        <a:prstGeom prst="rect">
                          <a:avLst/>
                        </a:prstGeom>
                        <a:noFill/>
                        <a:ln>
                          <a:noFill/>
                        </a:ln>
                        <a:effectLst/>
                      </wps:spPr>
                      <wps:txbx>
                        <w:txbxContent>
                          <w:p w14:paraId="520875B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p w14:paraId="28439404"/>
                        </w:txbxContent>
                      </wps:txbx>
                      <wps:bodyPr wrap="square" upright="1"/>
                    </wps:wsp>
                  </a:graphicData>
                </a:graphic>
              </wp:anchor>
            </w:drawing>
          </mc:Choice>
          <mc:Fallback>
            <w:pict>
              <v:shape id="000108" o:spid="_x0000_s1026" o:spt="202" type="#_x0000_t202" style="position:absolute;left:0pt;margin-left:-9pt;margin-top:9.95pt;height:40.75pt;width:66.75pt;z-index:251663360;mso-width-relative:page;mso-height-relative:page;" filled="f" stroked="f" coordsize="21600,21600" o:gfxdata="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8bB9F1gAAAAoBAAAP&#10;AAAAAAAAAAEAIAAAACIAAABkcnMvZG93bnJldi54bWxQSwECFAAUAAAACACHTuJAndtCQ6gBAABk&#10;AwAADgAAAAAAAAABACAAAAAlAQAAZHJzL2Uyb0RvYy54bWxQSwUGAAAAAAYABgBZAQAAPwUAAAAA&#10;">
                <v:fill on="f" focussize="0,0"/>
                <v:stroke on="f"/>
                <v:imagedata o:title=""/>
                <o:lock v:ext="edit" aspectratio="f"/>
                <v:textbox>
                  <w:txbxContent>
                    <w:p w14:paraId="520875B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p w14:paraId="28439404"/>
                  </w:txbxContent>
                </v:textbox>
              </v:shape>
            </w:pict>
          </mc:Fallback>
        </mc:AlternateContent>
      </w:r>
      <w:r>
        <w:rPr>
          <w:rFonts w:hint="eastAsia" w:ascii="仿宋" w:hAnsi="仿宋" w:eastAsia="仿宋" w:cs="仿宋"/>
          <w:color w:val="auto"/>
          <w:sz w:val="24"/>
          <w:szCs w:val="24"/>
          <w:highlight w:val="none"/>
          <w:lang w:eastAsia="zh-CN"/>
        </w:rPr>
        <w:t>合同一方当事人违背本合同的承诺，要求另一方当事人接受对合同不公平修改,另一方当事人不接受的，应及时提出修正意见。经再次催告修正无效的情况下，不利一方当事人有权拒绝订立或单方解除本合同；给对方当事人造成损失的，责任方应予赔偿。</w:t>
      </w:r>
    </w:p>
    <w:p w14:paraId="2E578A32">
      <w:pPr>
        <w:pStyle w:val="23"/>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0709F6E3">
      <w:pPr>
        <w:pStyle w:val="4"/>
        <w:widowControl w:val="0"/>
        <w:tabs>
          <w:tab w:val="left" w:pos="420"/>
        </w:tabs>
        <w:spacing w:before="120" w:after="120" w:line="360" w:lineRule="auto"/>
        <w:rPr>
          <w:rFonts w:ascii="仿宋" w:hAnsi="仿宋" w:eastAsia="仿宋"/>
          <w:bCs w:val="0"/>
          <w:color w:val="auto"/>
          <w:sz w:val="24"/>
          <w:szCs w:val="24"/>
          <w:highlight w:val="none"/>
          <w:lang w:eastAsia="zh-CN"/>
        </w:rPr>
      </w:pPr>
      <w:bookmarkStart w:id="204" w:name="_Toc32675"/>
      <w:bookmarkStart w:id="205" w:name="_Toc17960"/>
      <w:bookmarkStart w:id="206" w:name="_Toc27227"/>
      <w:bookmarkStart w:id="207" w:name="_Toc47694274"/>
      <w:bookmarkStart w:id="208" w:name="_Toc21203"/>
      <w:bookmarkStart w:id="209" w:name="_Toc23301"/>
      <w:bookmarkStart w:id="210" w:name="_Toc24376"/>
      <w:bookmarkStart w:id="211" w:name="_Toc469383983"/>
      <w:bookmarkStart w:id="212" w:name="_Toc974"/>
      <w:r>
        <w:rPr>
          <w:rFonts w:ascii="仿宋" w:hAnsi="仿宋" w:eastAsia="仿宋" w:cs="仿宋"/>
          <w:bCs w:val="0"/>
          <w:color w:val="auto"/>
          <w:sz w:val="24"/>
          <w:szCs w:val="24"/>
          <w:highlight w:val="none"/>
          <w:lang w:eastAsia="zh-CN"/>
        </w:rPr>
        <w:t xml:space="preserve">4 </w:t>
      </w:r>
      <w:r>
        <w:rPr>
          <w:rFonts w:hint="eastAsia" w:ascii="仿宋" w:hAnsi="仿宋" w:eastAsia="仿宋" w:cs="仿宋"/>
          <w:bCs w:val="0"/>
          <w:color w:val="auto"/>
          <w:sz w:val="24"/>
          <w:szCs w:val="24"/>
          <w:highlight w:val="none"/>
          <w:lang w:eastAsia="zh-CN"/>
        </w:rPr>
        <w:t>语言及适用的法律、标准与规范</w:t>
      </w:r>
      <w:bookmarkEnd w:id="204"/>
      <w:bookmarkEnd w:id="205"/>
      <w:bookmarkEnd w:id="206"/>
      <w:bookmarkEnd w:id="207"/>
      <w:bookmarkEnd w:id="208"/>
      <w:bookmarkEnd w:id="209"/>
      <w:bookmarkEnd w:id="210"/>
      <w:bookmarkEnd w:id="211"/>
      <w:bookmarkEnd w:id="212"/>
    </w:p>
    <w:p w14:paraId="2380F357">
      <w:pPr>
        <w:rPr>
          <w:rFonts w:ascii="仿宋" w:hAnsi="仿宋" w:eastAsia="仿宋"/>
          <w:b/>
          <w:bCs/>
          <w:color w:val="auto"/>
          <w:highlight w:val="none"/>
          <w:lang w:eastAsia="zh-CN"/>
        </w:rPr>
      </w:pPr>
      <w:bookmarkStart w:id="213" w:name="_Toc12567"/>
      <w:r>
        <w:rPr>
          <w:rFonts w:ascii="仿宋" w:hAnsi="仿宋" w:eastAsia="仿宋" w:cs="仿宋"/>
          <w:b/>
          <w:bCs/>
          <w:color w:val="auto"/>
          <w:highlight w:val="none"/>
          <w:lang w:eastAsia="zh-CN"/>
        </w:rPr>
        <w:t>4.1</w:t>
      </w:r>
      <w:bookmarkEnd w:id="213"/>
    </w:p>
    <w:p w14:paraId="1B3968F2">
      <w:pPr>
        <w:pStyle w:val="23"/>
        <w:widowControl w:val="0"/>
        <w:spacing w:line="360" w:lineRule="auto"/>
        <w:ind w:left="1850" w:leftChars="771"/>
        <w:jc w:val="both"/>
        <w:rPr>
          <w:rFonts w:hint="eastAsia" w:ascii="仿宋" w:hAnsi="仿宋" w:eastAsia="仿宋" w:cs="仿宋"/>
          <w:color w:val="auto"/>
          <w:sz w:val="24"/>
          <w:szCs w:val="24"/>
          <w:highlight w:val="none"/>
          <w:lang w:eastAsia="zh-CN" w:bidi="en-US"/>
        </w:rPr>
      </w:pPr>
      <w:r>
        <w:rPr>
          <w:rFonts w:hint="eastAsia" w:ascii="仿宋" w:hAnsi="仿宋" w:eastAsia="仿宋" w:cs="仿宋"/>
          <w:color w:val="auto"/>
          <w:sz w:val="24"/>
          <w:szCs w:val="24"/>
          <w:highlight w:val="none"/>
          <w:lang w:bidi="en-US"/>
        </w:rPr>
        <mc:AlternateContent>
          <mc:Choice Requires="wps">
            <w:drawing>
              <wp:anchor distT="0" distB="0" distL="114300" distR="114300" simplePos="0" relativeHeight="251664384" behindDoc="0" locked="0" layoutInCell="1" allowOverlap="1">
                <wp:simplePos x="0" y="0"/>
                <wp:positionH relativeFrom="column">
                  <wp:posOffset>-133350</wp:posOffset>
                </wp:positionH>
                <wp:positionV relativeFrom="paragraph">
                  <wp:posOffset>63500</wp:posOffset>
                </wp:positionV>
                <wp:extent cx="647700" cy="287655"/>
                <wp:effectExtent l="0" t="0" r="0" b="0"/>
                <wp:wrapNone/>
                <wp:docPr id="6" name="000109"/>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a:noFill/>
                        </a:ln>
                        <a:effectLst/>
                      </wps:spPr>
                      <wps:txbx>
                        <w:txbxContent>
                          <w:p w14:paraId="2A0CB36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p w14:paraId="7F66C3B0"/>
                        </w:txbxContent>
                      </wps:txbx>
                      <wps:bodyPr wrap="square" upright="1"/>
                    </wps:wsp>
                  </a:graphicData>
                </a:graphic>
              </wp:anchor>
            </w:drawing>
          </mc:Choice>
          <mc:Fallback>
            <w:pict>
              <v:shape id="000109" o:spid="_x0000_s1026" o:spt="202" type="#_x0000_t202" style="position:absolute;left:0pt;margin-left:-10.5pt;margin-top:5pt;height:22.65pt;width:51pt;z-index:251664384;mso-width-relative:page;mso-height-relative:page;" filled="f" stroked="f" coordsize="21600,21600" o:gfxdata="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Jvj2JvUAAAACAEAAA8A&#10;AAAAAAAAAQAgAAAAIgAAAGRycy9kb3ducmV2LnhtbFBLAQIUABQAAAAIAIdO4kAfCwFLqQEAAGQD&#10;AAAOAAAAAAAAAAEAIAAAACMBAABkcnMvZTJvRG9jLnhtbFBLBQYAAAAABgAGAFkBAAA+BQAAAAA=&#10;">
                <v:fill on="f" focussize="0,0"/>
                <v:stroke on="f"/>
                <v:imagedata o:title=""/>
                <o:lock v:ext="edit" aspectratio="f"/>
                <v:textbox>
                  <w:txbxContent>
                    <w:p w14:paraId="2A0CB36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p w14:paraId="7F66C3B0"/>
                  </w:txbxContent>
                </v:textbox>
              </v:shape>
            </w:pict>
          </mc:Fallback>
        </mc:AlternateContent>
      </w:r>
      <w:r>
        <w:rPr>
          <w:rFonts w:hint="eastAsia" w:ascii="仿宋" w:hAnsi="仿宋" w:eastAsia="仿宋" w:cs="仿宋"/>
          <w:color w:val="auto"/>
          <w:sz w:val="24"/>
          <w:szCs w:val="24"/>
          <w:highlight w:val="none"/>
          <w:lang w:eastAsia="zh-CN" w:bidi="en-US"/>
        </w:rPr>
        <w:t>合同文件以中国的汉语简体语言文字编写、解释和说明。专用术语使用外文的，应附有中文注释。合同当事人在约定使用两种及以上语言时，汉语为优先解释和说明合同的语言。</w:t>
      </w:r>
    </w:p>
    <w:p w14:paraId="00BBE1BF">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与合同有关的联络应使用约定的语言。如没有约定，则应使用中国的汉语简体语言文字。</w:t>
      </w:r>
    </w:p>
    <w:p w14:paraId="451C625D">
      <w:pPr>
        <w:spacing w:line="360" w:lineRule="auto"/>
        <w:rPr>
          <w:rFonts w:ascii="仿宋" w:hAnsi="仿宋" w:eastAsia="仿宋" w:cs="仿宋"/>
          <w:b/>
          <w:bCs/>
          <w:color w:val="auto"/>
          <w:highlight w:val="none"/>
          <w:lang w:eastAsia="zh-CN"/>
        </w:rPr>
      </w:pPr>
      <w:bookmarkStart w:id="214" w:name="_Toc5003"/>
      <w:r>
        <w:rPr>
          <w:rFonts w:ascii="仿宋" w:hAnsi="仿宋" w:eastAsia="仿宋" w:cs="仿宋"/>
          <w:b/>
          <w:bCs/>
          <w:color w:val="auto"/>
          <w:highlight w:val="none"/>
          <w:lang w:eastAsia="zh-CN"/>
        </w:rPr>
        <w:t>4.2</w:t>
      </w:r>
      <w:bookmarkEnd w:id="21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01186EB">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38100</wp:posOffset>
                </wp:positionV>
                <wp:extent cx="647700" cy="287655"/>
                <wp:effectExtent l="0" t="0" r="0" b="0"/>
                <wp:wrapNone/>
                <wp:docPr id="7" name="00010a"/>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a:noFill/>
                        </a:ln>
                        <a:effectLst/>
                      </wps:spPr>
                      <wps:txbx>
                        <w:txbxContent>
                          <w:p w14:paraId="0184FE7A">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p w14:paraId="1B43AB14"/>
                        </w:txbxContent>
                      </wps:txbx>
                      <wps:bodyPr wrap="square" upright="1"/>
                    </wps:wsp>
                  </a:graphicData>
                </a:graphic>
              </wp:anchor>
            </w:drawing>
          </mc:Choice>
          <mc:Fallback>
            <w:pict>
              <v:shape id="00010a" o:spid="_x0000_s1026" o:spt="202" type="#_x0000_t202" style="position:absolute;left:0pt;margin-left:-9pt;margin-top:3pt;height:22.65pt;width:51pt;z-index:251665408;mso-width-relative:page;mso-height-relative:page;" filled="f" stroked="f" coordsize="21600,21600" o:gfxdata="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JHS39QAAAAHAQAADwAA&#10;AAAAAAABACAAAAAiAAAAZHJzL2Rvd25yZXYueG1sUEsBAhQAFAAAAAgAh07iQM/1Ao+oAQAAZAMA&#10;AA4AAAAAAAAAAQAgAAAAIwEAAGRycy9lMm9Eb2MueG1sUEsFBgAAAAAGAAYAWQEAAD0FAAAAAA==&#10;">
                <v:fill on="f" focussize="0,0"/>
                <v:stroke on="f"/>
                <v:imagedata o:title=""/>
                <o:lock v:ext="edit" aspectratio="f"/>
                <v:textbox>
                  <w:txbxContent>
                    <w:p w14:paraId="0184FE7A">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p w14:paraId="1B43AB14"/>
                  </w:txbxContent>
                </v:textbox>
              </v:shape>
            </w:pict>
          </mc:Fallback>
        </mc:AlternateContent>
      </w:r>
      <w:r>
        <w:rPr>
          <w:rFonts w:hint="eastAsia" w:ascii="仿宋" w:hAnsi="仿宋" w:eastAsia="仿宋" w:cs="仿宋"/>
          <w:color w:val="auto"/>
          <w:highlight w:val="none"/>
          <w:lang w:eastAsia="zh-CN"/>
        </w:rPr>
        <w:t>本合同适用的法律为中华人民共和国的现行法律、行政法规、部门规章和合同工程所在地的地方性法规、地方政府规章、行政规范性文件。</w:t>
      </w:r>
    </w:p>
    <w:p w14:paraId="2AE4412E">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合同当事人可以在合同专用条款中约定合同适用的其他规范性文件。</w:t>
      </w:r>
    </w:p>
    <w:p w14:paraId="4DDB012A">
      <w:pPr>
        <w:spacing w:line="360" w:lineRule="auto"/>
        <w:rPr>
          <w:rFonts w:ascii="仿宋" w:hAnsi="仿宋" w:eastAsia="仿宋" w:cs="仿宋"/>
          <w:b/>
          <w:bCs/>
          <w:color w:val="auto"/>
          <w:highlight w:val="none"/>
          <w:lang w:eastAsia="zh-CN"/>
        </w:rPr>
      </w:pPr>
      <w:bookmarkStart w:id="215" w:name="_Toc19514"/>
      <w:r>
        <w:rPr>
          <w:rFonts w:ascii="仿宋" w:hAnsi="仿宋" w:eastAsia="仿宋" w:cs="仿宋"/>
          <w:b/>
          <w:bCs/>
          <w:color w:val="auto"/>
          <w:highlight w:val="none"/>
          <w:lang w:eastAsia="zh-CN"/>
        </w:rPr>
        <w:t>4.3</w:t>
      </w:r>
      <w:bookmarkEnd w:id="21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055B638">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0</wp:posOffset>
                </wp:positionV>
                <wp:extent cx="828040" cy="382270"/>
                <wp:effectExtent l="0" t="0" r="0" b="0"/>
                <wp:wrapNone/>
                <wp:docPr id="8" name="00010b"/>
                <wp:cNvGraphicFramePr/>
                <a:graphic xmlns:a="http://schemas.openxmlformats.org/drawingml/2006/main">
                  <a:graphicData uri="http://schemas.microsoft.com/office/word/2010/wordprocessingShape">
                    <wps:wsp>
                      <wps:cNvSpPr txBox="1"/>
                      <wps:spPr>
                        <a:xfrm>
                          <a:off x="0" y="0"/>
                          <a:ext cx="828040" cy="382270"/>
                        </a:xfrm>
                        <a:prstGeom prst="rect">
                          <a:avLst/>
                        </a:prstGeom>
                        <a:noFill/>
                        <a:ln>
                          <a:noFill/>
                        </a:ln>
                        <a:effectLst/>
                      </wps:spPr>
                      <wps:txbx>
                        <w:txbxContent>
                          <w:p w14:paraId="6DD0E63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p w14:paraId="116E1DF3"/>
                        </w:txbxContent>
                      </wps:txbx>
                      <wps:bodyPr wrap="square" upright="1"/>
                    </wps:wsp>
                  </a:graphicData>
                </a:graphic>
              </wp:anchor>
            </w:drawing>
          </mc:Choice>
          <mc:Fallback>
            <w:pict>
              <v:shape id="00010b" o:spid="_x0000_s1026" o:spt="202" type="#_x0000_t202" style="position:absolute;left:0pt;margin-left:-9pt;margin-top:0pt;height:30.1pt;width:65.2pt;z-index:251666432;mso-width-relative:page;mso-height-relative:page;" filled="f" stroked="f" coordsize="21600,21600" o:gfxdata="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BAco/rVAAAABwEAAA8A&#10;AAAAAAAAAQAgAAAAIgAAAGRycy9kb3ducmV2LnhtbFBLAQIUABQAAAAIAIdO4kDDf+KAqAEAAGQD&#10;AAAOAAAAAAAAAAEAIAAAACQBAABkcnMvZTJvRG9jLnhtbFBLBQYAAAAABgAGAFkBAAA+BQAAAAA=&#10;">
                <v:fill on="f" focussize="0,0"/>
                <v:stroke on="f"/>
                <v:imagedata o:title=""/>
                <o:lock v:ext="edit" aspectratio="f"/>
                <v:textbox>
                  <w:txbxContent>
                    <w:p w14:paraId="6DD0E63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p w14:paraId="116E1DF3"/>
                  </w:txbxContent>
                </v:textbox>
              </v:shape>
            </w:pict>
          </mc:Fallback>
        </mc:AlternateContent>
      </w:r>
      <w:r>
        <w:rPr>
          <w:rFonts w:hint="eastAsia" w:ascii="仿宋" w:hAnsi="仿宋" w:eastAsia="仿宋" w:cs="仿宋"/>
          <w:color w:val="auto"/>
          <w:highlight w:val="none"/>
          <w:lang w:eastAsia="zh-CN"/>
        </w:rPr>
        <w:t>4.3.1 本合同适用的标准与规范为国家、行业和广东省的标准与规范或规程，以及发包人在合同中要求使用的标准与规范。</w:t>
      </w:r>
    </w:p>
    <w:p w14:paraId="795E6E89">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4.3.2 合同双方当事人在专用条款中约定适用的国家标准、规范名称；国家没有但行业有的，约定适用的行业标准、规范名称；国家和行业没有但广东省有的，约定适用的广东省地方标准、规范名称。</w:t>
      </w:r>
    </w:p>
    <w:p w14:paraId="4A5E98E1">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4.3.3 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译本；有异议时，以中文译本为准。</w:t>
      </w:r>
    </w:p>
    <w:p w14:paraId="04BBBB7E">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4.3.4 在基准日期之后，因国家颁布新的强制性标准、规范导致承包人的费用增加的，应由发包人与承包人协商合理增加合同价格；导致关键路径工期延误的，应由发包人与承包人协商合理延长工期。</w:t>
      </w:r>
    </w:p>
    <w:p w14:paraId="19DABEDA">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3DE032CD">
      <w:pPr>
        <w:pStyle w:val="4"/>
        <w:tabs>
          <w:tab w:val="left" w:pos="420"/>
        </w:tabs>
        <w:spacing w:before="120" w:after="120" w:line="360" w:lineRule="auto"/>
        <w:rPr>
          <w:rFonts w:hint="eastAsia" w:ascii="仿宋" w:hAnsi="仿宋" w:eastAsia="仿宋" w:cs="仿宋"/>
          <w:bCs w:val="0"/>
          <w:color w:val="auto"/>
          <w:sz w:val="24"/>
          <w:szCs w:val="24"/>
          <w:highlight w:val="none"/>
          <w:lang w:eastAsia="zh-CN"/>
        </w:rPr>
      </w:pPr>
      <w:bookmarkStart w:id="216" w:name="_Toc19697"/>
      <w:bookmarkStart w:id="217" w:name="_Toc47694275"/>
      <w:bookmarkStart w:id="218" w:name="_Toc16357"/>
      <w:bookmarkStart w:id="219" w:name="_Toc22250"/>
      <w:bookmarkStart w:id="220" w:name="_Toc16411"/>
      <w:bookmarkStart w:id="221" w:name="_Toc26044"/>
      <w:bookmarkStart w:id="222" w:name="_Toc20365"/>
      <w:bookmarkStart w:id="223" w:name="_Toc3479"/>
      <w:bookmarkStart w:id="224" w:name="_Toc469383984"/>
      <w:r>
        <w:rPr>
          <w:rFonts w:hint="eastAsia" w:ascii="仿宋" w:hAnsi="仿宋" w:eastAsia="仿宋" w:cs="仿宋"/>
          <w:bCs w:val="0"/>
          <w:color w:val="auto"/>
          <w:sz w:val="24"/>
          <w:szCs w:val="24"/>
          <w:highlight w:val="none"/>
          <w:lang w:eastAsia="zh-CN"/>
        </w:rPr>
        <w:t>5 发包人要求</w:t>
      </w:r>
      <w:bookmarkEnd w:id="216"/>
      <w:bookmarkEnd w:id="217"/>
      <w:bookmarkEnd w:id="218"/>
      <w:bookmarkEnd w:id="219"/>
      <w:bookmarkEnd w:id="220"/>
      <w:bookmarkEnd w:id="221"/>
      <w:bookmarkEnd w:id="222"/>
      <w:bookmarkEnd w:id="223"/>
    </w:p>
    <w:p w14:paraId="4F36A64B">
      <w:pPr>
        <w:rPr>
          <w:rFonts w:hint="eastAsia" w:ascii="仿宋" w:hAnsi="仿宋" w:eastAsia="仿宋"/>
          <w:b/>
          <w:color w:val="auto"/>
          <w:highlight w:val="none"/>
          <w:lang w:eastAsia="zh-CN"/>
        </w:rPr>
      </w:pPr>
      <w:bookmarkStart w:id="225" w:name="_Toc14222"/>
      <w:r>
        <w:rPr>
          <w:rFonts w:hint="eastAsia" w:ascii="仿宋" w:hAnsi="仿宋" w:eastAsia="仿宋"/>
          <w:b/>
          <w:color w:val="auto"/>
          <w:highlight w:val="none"/>
          <w:lang w:eastAsia="zh-CN"/>
        </w:rPr>
        <w:t>5.1</w:t>
      </w:r>
      <w:bookmarkEnd w:id="225"/>
    </w:p>
    <w:p w14:paraId="47DB05FE">
      <w:pPr>
        <w:widowControl w:val="0"/>
        <w:tabs>
          <w:tab w:val="left" w:pos="4970"/>
        </w:tabs>
        <w:spacing w:line="360" w:lineRule="auto"/>
        <w:ind w:left="1850" w:leftChars="771"/>
        <w:jc w:val="both"/>
        <w:rPr>
          <w:rFonts w:hint="eastAsia" w:ascii="仿宋" w:hAnsi="仿宋" w:eastAsia="仿宋" w:cs="仿宋"/>
          <w:color w:val="auto"/>
          <w:highlight w:val="none"/>
          <w:lang w:eastAsia="zh-CN" w:bidi="ar-SA"/>
        </w:rPr>
      </w:pPr>
      <w:r>
        <w:rPr>
          <w:rFonts w:ascii="仿宋" w:hAnsi="仿宋" w:eastAsia="仿宋" w:cs="仿宋"/>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20320</wp:posOffset>
                </wp:positionV>
                <wp:extent cx="756920" cy="587375"/>
                <wp:effectExtent l="0" t="0" r="0" b="0"/>
                <wp:wrapNone/>
                <wp:docPr id="9" name="00010c"/>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1880C23B">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p w14:paraId="3EC428BD"/>
                        </w:txbxContent>
                      </wps:txbx>
                      <wps:bodyPr wrap="square" upright="1"/>
                    </wps:wsp>
                  </a:graphicData>
                </a:graphic>
              </wp:anchor>
            </w:drawing>
          </mc:Choice>
          <mc:Fallback>
            <w:pict>
              <v:shape id="00010c" o:spid="_x0000_s1026" o:spt="202" type="#_x0000_t202" style="position:absolute;left:0pt;margin-left:-9pt;margin-top:1.6pt;height:46.25pt;width:59.6pt;z-index:251667456;mso-width-relative:page;mso-height-relative:page;" filled="f" stroked="f" coordsize="21600,21600" o:gfxdata="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Hi6hDtYAAAAIAQAA&#10;DwAAAAAAAAABACAAAAAiAAAAZHJzL2Rvd25yZXYueG1sUEsBAhQAFAAAAAgAh07iQKayz/SpAQAA&#10;ZAMAAA4AAAAAAAAAAQAgAAAAJQEAAGRycy9lMm9Eb2MueG1sUEsFBgAAAAAGAAYAWQEAAEAFAAAA&#10;AA==&#10;">
                <v:fill on="f" focussize="0,0"/>
                <v:stroke on="f"/>
                <v:imagedata o:title=""/>
                <o:lock v:ext="edit" aspectratio="f"/>
                <v:textbox>
                  <w:txbxContent>
                    <w:p w14:paraId="1880C23B">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p w14:paraId="3EC428BD"/>
                  </w:txbxContent>
                </v:textbox>
              </v:shape>
            </w:pict>
          </mc:Fallback>
        </mc:AlternateContent>
      </w:r>
      <w:r>
        <w:rPr>
          <w:rFonts w:hint="eastAsia" w:ascii="仿宋" w:hAnsi="仿宋" w:eastAsia="仿宋" w:cs="仿宋"/>
          <w:color w:val="auto"/>
          <w:highlight w:val="none"/>
          <w:lang w:eastAsia="zh-CN"/>
        </w:rPr>
        <w:t>发包人</w:t>
      </w:r>
      <w:r>
        <w:rPr>
          <w:rFonts w:hint="eastAsia" w:ascii="仿宋" w:hAnsi="仿宋" w:eastAsia="仿宋" w:cs="仿宋"/>
          <w:color w:val="auto"/>
          <w:highlight w:val="none"/>
          <w:lang w:eastAsia="zh-CN" w:bidi="ar-SA"/>
        </w:rPr>
        <w:t>（或其委托设计顾问人）应按</w:t>
      </w:r>
      <w:r>
        <w:rPr>
          <w:rFonts w:hint="eastAsia" w:ascii="仿宋" w:hAnsi="仿宋" w:eastAsia="仿宋" w:cs="仿宋"/>
          <w:color w:val="auto"/>
          <w:highlight w:val="none"/>
          <w:lang w:eastAsia="zh-CN"/>
        </w:rPr>
        <w:t>专用条款约定的时间提供书面文件，分别明确勘察、设计、BIM技术应用、采购、施工等合同约定工作的范围、内容、标准、规范及具体要求。因发包人未按时提供该书面文件，承包人无法按时开展总承包各阶段工作造成合同总工期延误及费用增加，由发包人</w:t>
      </w:r>
      <w:r>
        <w:rPr>
          <w:rFonts w:hint="eastAsia" w:ascii="仿宋" w:hAnsi="仿宋" w:eastAsia="仿宋" w:cs="仿宋"/>
          <w:color w:val="auto"/>
          <w:highlight w:val="none"/>
          <w:lang w:eastAsia="zh-CN" w:bidi="ar-SA"/>
        </w:rPr>
        <w:t>承担责任，按第43.3款约定处理。</w:t>
      </w:r>
    </w:p>
    <w:p w14:paraId="40CF4900">
      <w:pPr>
        <w:spacing w:line="360" w:lineRule="auto"/>
        <w:rPr>
          <w:rFonts w:hint="eastAsia" w:ascii="仿宋" w:hAnsi="仿宋" w:eastAsia="仿宋"/>
          <w:b/>
          <w:color w:val="auto"/>
          <w:highlight w:val="none"/>
          <w:lang w:eastAsia="zh-CN"/>
        </w:rPr>
      </w:pPr>
      <w:bookmarkStart w:id="226" w:name="_Toc26954"/>
      <w:r>
        <w:rPr>
          <w:rFonts w:hint="eastAsia" w:ascii="仿宋" w:hAnsi="仿宋" w:eastAsia="仿宋"/>
          <w:b/>
          <w:color w:val="auto"/>
          <w:highlight w:val="none"/>
          <w:lang w:eastAsia="zh-CN"/>
        </w:rPr>
        <w:t>5.2</w:t>
      </w:r>
      <w:bookmarkEnd w:id="226"/>
      <w:r>
        <w:rPr>
          <w:rFonts w:ascii="仿宋" w:hAnsi="仿宋" w:eastAsia="仿宋"/>
          <w:b/>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68117D9">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-132715</wp:posOffset>
                </wp:positionH>
                <wp:positionV relativeFrom="paragraph">
                  <wp:posOffset>49530</wp:posOffset>
                </wp:positionV>
                <wp:extent cx="765810" cy="511810"/>
                <wp:effectExtent l="0" t="0" r="0" b="0"/>
                <wp:wrapNone/>
                <wp:docPr id="10" name="00010d"/>
                <wp:cNvGraphicFramePr/>
                <a:graphic xmlns:a="http://schemas.openxmlformats.org/drawingml/2006/main">
                  <a:graphicData uri="http://schemas.microsoft.com/office/word/2010/wordprocessingShape">
                    <wps:wsp>
                      <wps:cNvSpPr txBox="1"/>
                      <wps:spPr>
                        <a:xfrm>
                          <a:off x="0" y="0"/>
                          <a:ext cx="765810" cy="511810"/>
                        </a:xfrm>
                        <a:prstGeom prst="rect">
                          <a:avLst/>
                        </a:prstGeom>
                        <a:noFill/>
                        <a:ln>
                          <a:noFill/>
                        </a:ln>
                        <a:effectLst/>
                      </wps:spPr>
                      <wps:txbx>
                        <w:txbxContent>
                          <w:p w14:paraId="61874CE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p w14:paraId="2D28862A"/>
                        </w:txbxContent>
                      </wps:txbx>
                      <wps:bodyPr wrap="square" upright="1"/>
                    </wps:wsp>
                  </a:graphicData>
                </a:graphic>
              </wp:anchor>
            </w:drawing>
          </mc:Choice>
          <mc:Fallback>
            <w:pict>
              <v:shape id="00010d" o:spid="_x0000_s1026" o:spt="202" type="#_x0000_t202" style="position:absolute;left:0pt;margin-left:-10.45pt;margin-top:3.9pt;height:40.3pt;width:60.3pt;z-index:251668480;mso-width-relative:page;mso-height-relative:page;" filled="f" stroked="f" coordsize="21600,21600" o:gfxdata="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fN32i1QAAAAcBAAAPAAAA&#10;AAAAAAEAIAAAACIAAABkcnMvZG93bnJldi54bWxQSwECFAAUAAAACACHTuJAHDcn0qYBAABlAwAA&#10;DgAAAAAAAAABACAAAAAkAQAAZHJzL2Uyb0RvYy54bWxQSwUGAAAAAAYABgBZAQAAPAUAAAAA&#10;">
                <v:fill on="f" focussize="0,0"/>
                <v:stroke on="f"/>
                <v:imagedata o:title=""/>
                <o:lock v:ext="edit" aspectratio="f"/>
                <v:textbox>
                  <w:txbxContent>
                    <w:p w14:paraId="61874CE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p w14:paraId="2D28862A"/>
                  </w:txbxContent>
                </v:textbox>
              </v:shape>
            </w:pict>
          </mc:Fallback>
        </mc:AlternateContent>
      </w:r>
      <w:r>
        <w:rPr>
          <w:rFonts w:hint="eastAsia" w:ascii="仿宋" w:hAnsi="仿宋" w:eastAsia="仿宋"/>
          <w:color w:val="auto"/>
          <w:highlight w:val="none"/>
          <w:lang w:eastAsia="zh-CN"/>
        </w:rPr>
        <w:t>5.2.1 承包人应被视为其已于基准日期前仔细审阅了发包人的勘察要求（包括标准、规范和相关数据，如果有），承包人应对发包人的勘察要求进行核实，并对发包人勘察要求的正确性和（或）完整性负责。但下述情况的正确性和（或）完整性，应由发包人负责：</w:t>
      </w:r>
    </w:p>
    <w:p w14:paraId="1AE6FEC5">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（1）承包人不能或无法核实的部分要求、数据和（或）资料；</w:t>
      </w:r>
    </w:p>
    <w:p w14:paraId="59021C4E">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（2）专用条款约定不可变更的部分要求、数据和（或）资料。</w:t>
      </w:r>
    </w:p>
    <w:p w14:paraId="2E4AF8B8">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5.2.2因承包人勘察工作缺陷影响后续设计或施工的，承包人应及时完善勘察工作及成果，因此对勘察及后续设计和（或）施工等阶段工作造成的工期延误及费用增加由承包人承担。</w:t>
      </w:r>
    </w:p>
    <w:p w14:paraId="48E1C135">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5.2.3 因承包人自身原因造成的勘察及后续设计和（或）施工等阶段工期延误及费用增加，由承包人承担。</w:t>
      </w:r>
    </w:p>
    <w:p w14:paraId="47805BEC">
      <w:pPr>
        <w:spacing w:line="360" w:lineRule="auto"/>
        <w:rPr>
          <w:rFonts w:hint="eastAsia"/>
          <w:color w:val="auto"/>
          <w:highlight w:val="none"/>
          <w:lang w:eastAsia="zh-CN"/>
        </w:rPr>
      </w:pPr>
      <w:bookmarkStart w:id="227" w:name="_Toc6094"/>
      <w:r>
        <w:rPr>
          <w:rFonts w:hint="eastAsia" w:ascii="仿宋" w:hAnsi="仿宋" w:eastAsia="仿宋"/>
          <w:b/>
          <w:color w:val="auto"/>
          <w:highlight w:val="none"/>
          <w:lang w:eastAsia="zh-CN"/>
        </w:rPr>
        <w:t>5.3</w:t>
      </w:r>
      <w:bookmarkEnd w:id="227"/>
      <w:r>
        <w:rPr>
          <w:rFonts w:ascii="仿宋" w:hAnsi="仿宋" w:eastAsia="仿宋"/>
          <w:b/>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2519215">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-66675</wp:posOffset>
                </wp:positionH>
                <wp:positionV relativeFrom="paragraph">
                  <wp:posOffset>19685</wp:posOffset>
                </wp:positionV>
                <wp:extent cx="772795" cy="390525"/>
                <wp:effectExtent l="0" t="0" r="0" b="0"/>
                <wp:wrapNone/>
                <wp:docPr id="11" name="00010e"/>
                <wp:cNvGraphicFramePr/>
                <a:graphic xmlns:a="http://schemas.openxmlformats.org/drawingml/2006/main">
                  <a:graphicData uri="http://schemas.microsoft.com/office/word/2010/wordprocessingShape">
                    <wps:wsp>
                      <wps:cNvSpPr txBox="1"/>
                      <wps:spPr>
                        <a:xfrm>
                          <a:off x="0" y="0"/>
                          <a:ext cx="772795" cy="390525"/>
                        </a:xfrm>
                        <a:prstGeom prst="rect">
                          <a:avLst/>
                        </a:prstGeom>
                        <a:noFill/>
                        <a:ln>
                          <a:noFill/>
                        </a:ln>
                        <a:effectLst/>
                      </wps:spPr>
                      <wps:txbx>
                        <w:txbxContent>
                          <w:p w14:paraId="5A3036E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p w14:paraId="282C03BF"/>
                        </w:txbxContent>
                      </wps:txbx>
                      <wps:bodyPr wrap="square" upright="1"/>
                    </wps:wsp>
                  </a:graphicData>
                </a:graphic>
              </wp:anchor>
            </w:drawing>
          </mc:Choice>
          <mc:Fallback>
            <w:pict>
              <v:shape id="00010e" o:spid="_x0000_s1026" o:spt="202" type="#_x0000_t202" style="position:absolute;left:0pt;margin-left:-5.25pt;margin-top:1.55pt;height:30.75pt;width:60.85pt;z-index:251669504;mso-width-relative:page;mso-height-relative:page;" filled="f" stroked="f" coordsize="21600,21600" o:gfxdata="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zVsv91QAAAAgBAAAP&#10;AAAAAAAAAAEAIAAAACIAAABkcnMvZG93bnJldi54bWxQSwECFAAUAAAACACHTuJAO4uNCakBAABl&#10;AwAADgAAAAAAAAABACAAAAAkAQAAZHJzL2Uyb0RvYy54bWxQSwUGAAAAAAYABgBZAQAAPwUAAAAA&#10;">
                <v:fill on="f" focussize="0,0"/>
                <v:stroke on="f"/>
                <v:imagedata o:title=""/>
                <o:lock v:ext="edit" aspectratio="f"/>
                <v:textbox>
                  <w:txbxContent>
                    <w:p w14:paraId="5A3036E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p w14:paraId="282C03BF"/>
                  </w:txbxContent>
                </v:textbox>
              </v:shape>
            </w:pict>
          </mc:Fallback>
        </mc:AlternateContent>
      </w:r>
      <w:r>
        <w:rPr>
          <w:rFonts w:hint="eastAsia" w:ascii="仿宋" w:hAnsi="仿宋" w:eastAsia="仿宋"/>
          <w:color w:val="auto"/>
          <w:highlight w:val="none"/>
          <w:lang w:eastAsia="zh-CN"/>
        </w:rPr>
        <w:t>5.3.1 承包人应被视为其已于基准日期前仔细审阅了发包人的设计要求（包括标准、规范和限额设计指标等相关数据，如果有），承包人应对发包人的设计要求进行核实，并对发包人设计要求的正确性和（或）完整性负责。但下述情况的正确性和（或）完整性，应由发包人负责：</w:t>
      </w:r>
    </w:p>
    <w:p w14:paraId="329E564B">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7AFF58CB">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（2）有关合同工程的试车、试验和（或）性能标准；</w:t>
      </w:r>
    </w:p>
    <w:p w14:paraId="3A9A70CF">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（3）承包人不能或无法核实的部分要求、数据和（或）资料；</w:t>
      </w:r>
    </w:p>
    <w:p w14:paraId="0B37FC6D">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（4）专用条款约定不可变更的部分要求、数据和资料。</w:t>
      </w:r>
    </w:p>
    <w:p w14:paraId="463B5375">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5.3.2 因承包人原因造成设计文件存在遗漏、错误、缺陷和不足的，承包人应及时修复、弥补、纠正和完善。因此对设计及后续设计和（或）施工等阶段工作造成的工期延误及费用增加由承包人承担。</w:t>
      </w:r>
    </w:p>
    <w:p w14:paraId="548FF7EE">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5.3.3 因承包人自身原因造成的设计及后续设计和（或）施工等阶段工期延误及费用增加，由承包人承担。</w:t>
      </w:r>
    </w:p>
    <w:p w14:paraId="31B3759D">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5.3.4 承包人应遵守国家法律、强制性标准规范及《发包人要求》进行设计，提倡采用BIM技术进行正向设计</w:t>
      </w:r>
      <w:r>
        <w:rPr>
          <w:rFonts w:hint="eastAsia" w:ascii="仿宋" w:hAnsi="仿宋" w:eastAsia="仿宋" w:cs="仿宋"/>
          <w:color w:val="auto"/>
          <w:highlight w:val="none"/>
          <w:lang w:eastAsia="zh-CN"/>
        </w:rPr>
        <w:t>或建模与出图同步完成的设计方式</w:t>
      </w:r>
      <w:r>
        <w:rPr>
          <w:rFonts w:hint="eastAsia" w:ascii="仿宋" w:hAnsi="仿宋" w:eastAsia="仿宋"/>
          <w:color w:val="auto"/>
          <w:highlight w:val="none"/>
          <w:lang w:eastAsia="zh-CN"/>
        </w:rPr>
        <w:t>，且设计文件不得超过发包人要求中的合理限额设计指标。由于承包人违规设计或设计文件超过合理限额设计指标的，承包人应当承担相应的违约责任。</w:t>
      </w:r>
    </w:p>
    <w:p w14:paraId="200D67D2">
      <w:pPr>
        <w:spacing w:line="360" w:lineRule="auto"/>
        <w:rPr>
          <w:rFonts w:hint="eastAsia" w:ascii="仿宋" w:hAnsi="仿宋" w:eastAsia="仿宋"/>
          <w:color w:val="auto"/>
          <w:highlight w:val="none"/>
          <w:lang w:eastAsia="zh-CN"/>
        </w:rPr>
      </w:pPr>
      <w:bookmarkStart w:id="228" w:name="_Toc6473"/>
      <w:r>
        <w:rPr>
          <w:rFonts w:hint="eastAsia" w:ascii="仿宋" w:hAnsi="仿宋" w:eastAsia="仿宋"/>
          <w:b/>
          <w:color w:val="auto"/>
          <w:highlight w:val="none"/>
          <w:lang w:eastAsia="zh-CN"/>
        </w:rPr>
        <w:t>5.4</w:t>
      </w:r>
      <w:bookmarkEnd w:id="228"/>
      <w:r>
        <w:rPr>
          <w:rFonts w:ascii="仿宋" w:hAnsi="仿宋" w:eastAsia="仿宋"/>
          <w:b/>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1E75EAD">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-66675</wp:posOffset>
                </wp:positionH>
                <wp:positionV relativeFrom="paragraph">
                  <wp:posOffset>19685</wp:posOffset>
                </wp:positionV>
                <wp:extent cx="810260" cy="523240"/>
                <wp:effectExtent l="0" t="0" r="0" b="0"/>
                <wp:wrapNone/>
                <wp:docPr id="12" name="00010f"/>
                <wp:cNvGraphicFramePr/>
                <a:graphic xmlns:a="http://schemas.openxmlformats.org/drawingml/2006/main">
                  <a:graphicData uri="http://schemas.microsoft.com/office/word/2010/wordprocessingShape">
                    <wps:wsp>
                      <wps:cNvSpPr txBox="1"/>
                      <wps:spPr>
                        <a:xfrm>
                          <a:off x="0" y="0"/>
                          <a:ext cx="810260" cy="523240"/>
                        </a:xfrm>
                        <a:prstGeom prst="rect">
                          <a:avLst/>
                        </a:prstGeom>
                        <a:noFill/>
                        <a:ln>
                          <a:noFill/>
                        </a:ln>
                        <a:effectLst/>
                      </wps:spPr>
                      <wps:txbx>
                        <w:txbxContent>
                          <w:p w14:paraId="112CABD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p w14:paraId="66C5A751">
                            <w:pPr>
                              <w:rPr>
                                <w:lang w:eastAsia="zh-CN"/>
                              </w:rPr>
                            </w:pPr>
                          </w:p>
                        </w:txbxContent>
                      </wps:txbx>
                      <wps:bodyPr wrap="square" upright="1"/>
                    </wps:wsp>
                  </a:graphicData>
                </a:graphic>
              </wp:anchor>
            </w:drawing>
          </mc:Choice>
          <mc:Fallback>
            <w:pict>
              <v:shape id="00010f" o:spid="_x0000_s1026" o:spt="202" type="#_x0000_t202" style="position:absolute;left:0pt;margin-left:-5.25pt;margin-top:1.55pt;height:41.2pt;width:63.8pt;z-index:251670528;mso-width-relative:page;mso-height-relative:page;" filled="f" stroked="f" coordsize="21600,21600" o:gfxdata="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IcQdXtYAAAAIAQAA&#10;DwAAAAAAAAABACAAAAAiAAAAZHJzL2Rvd25yZXYueG1sUEsBAhQAFAAAAAgAh07iQIo6sTqpAQAA&#10;ZQMAAA4AAAAAAAAAAQAgAAAAJQEAAGRycy9lMm9Eb2MueG1sUEsFBgAAAAAGAAYAWQEAAEAFAAAA&#10;AA==&#10;">
                <v:fill on="f" focussize="0,0"/>
                <v:stroke on="f"/>
                <v:imagedata o:title=""/>
                <o:lock v:ext="edit" aspectratio="f"/>
                <v:textbox>
                  <w:txbxContent>
                    <w:p w14:paraId="112CABD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p w14:paraId="66C5A751">
                      <w:pPr>
                        <w:rPr>
                          <w:lang w:eastAsia="zh-CN"/>
                        </w:rPr>
                      </w:pPr>
                    </w:p>
                  </w:txbxContent>
                </v:textbox>
              </v:shape>
            </w:pict>
          </mc:Fallback>
        </mc:AlternateContent>
      </w:r>
      <w:r>
        <w:rPr>
          <w:rFonts w:hint="eastAsia" w:ascii="仿宋" w:hAnsi="仿宋" w:eastAsia="仿宋"/>
          <w:color w:val="auto"/>
          <w:highlight w:val="none"/>
          <w:lang w:eastAsia="zh-CN"/>
        </w:rPr>
        <w:t>5.4.1 承包人应被视为其已于基准日期前仔细审阅了发包人的BIM技术应用要求（包括标准、规范和相关数据，如果有），承包人应对发包人的设计要求进行核实，并对发包人BIM技术应用要求的正确性和（或）完整性负责。但下述情况的正确性和（或）完整性，应由发包人负责：</w:t>
      </w:r>
    </w:p>
    <w:p w14:paraId="597AD922">
      <w:pPr>
        <w:tabs>
          <w:tab w:val="left" w:pos="4970"/>
        </w:tabs>
        <w:spacing w:line="360" w:lineRule="auto"/>
        <w:ind w:left="1850" w:leftChars="771"/>
        <w:rPr>
          <w:rFonts w:hint="eastAsia"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06C1A2F4">
      <w:pPr>
        <w:tabs>
          <w:tab w:val="left" w:pos="4970"/>
        </w:tabs>
        <w:spacing w:line="360" w:lineRule="auto"/>
        <w:ind w:left="1850" w:leftChars="771"/>
        <w:rPr>
          <w:rFonts w:hint="eastAsia" w:ascii="仿宋" w:hAnsi="仿宋" w:eastAsia="仿宋"/>
          <w:color w:val="auto"/>
          <w:highlight w:val="none"/>
          <w:lang w:eastAsia="zh-CN"/>
        </w:rPr>
      </w:pPr>
      <w:r>
        <w:rPr>
          <w:rFonts w:hint="eastAsia" w:ascii="仿宋" w:hAnsi="仿宋" w:eastAsia="仿宋"/>
          <w:color w:val="auto"/>
          <w:highlight w:val="none"/>
          <w:lang w:eastAsia="zh-CN"/>
        </w:rPr>
        <w:t>（2）有关合同工程的试车、试验和（或）性能标准；</w:t>
      </w:r>
    </w:p>
    <w:p w14:paraId="585F762A">
      <w:pPr>
        <w:tabs>
          <w:tab w:val="left" w:pos="4970"/>
        </w:tabs>
        <w:spacing w:line="360" w:lineRule="auto"/>
        <w:ind w:left="1850" w:leftChars="771"/>
        <w:rPr>
          <w:rFonts w:hint="eastAsia" w:ascii="仿宋" w:hAnsi="仿宋" w:eastAsia="仿宋"/>
          <w:color w:val="auto"/>
          <w:highlight w:val="none"/>
          <w:lang w:eastAsia="zh-CN"/>
        </w:rPr>
      </w:pPr>
      <w:r>
        <w:rPr>
          <w:rFonts w:hint="eastAsia" w:ascii="仿宋" w:hAnsi="仿宋" w:eastAsia="仿宋"/>
          <w:color w:val="auto"/>
          <w:highlight w:val="none"/>
          <w:lang w:eastAsia="zh-CN"/>
        </w:rPr>
        <w:t>（3）承包人不能或无法核实的部分要求、数据和（或）资料；</w:t>
      </w:r>
    </w:p>
    <w:p w14:paraId="41CA8DD2">
      <w:pPr>
        <w:tabs>
          <w:tab w:val="left" w:pos="4970"/>
        </w:tabs>
        <w:spacing w:line="360" w:lineRule="auto"/>
        <w:ind w:left="1850" w:leftChars="771"/>
        <w:rPr>
          <w:rFonts w:hint="eastAsia" w:ascii="仿宋" w:hAnsi="仿宋" w:eastAsia="仿宋"/>
          <w:color w:val="auto"/>
          <w:highlight w:val="none"/>
          <w:lang w:eastAsia="zh-CN"/>
        </w:rPr>
      </w:pPr>
      <w:r>
        <w:rPr>
          <w:rFonts w:hint="eastAsia" w:ascii="仿宋" w:hAnsi="仿宋" w:eastAsia="仿宋"/>
          <w:color w:val="auto"/>
          <w:highlight w:val="none"/>
          <w:lang w:eastAsia="zh-CN"/>
        </w:rPr>
        <w:t>（4）专用条款约定不可变更的部分要求、数据和资料。</w:t>
      </w:r>
    </w:p>
    <w:p w14:paraId="04D85092">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5.4.2 承包人提供的建筑信息模型（BIM）、协调管理平台及应用点等相关服务存在遗漏、错误、缺陷和不足的，承包人应及时修复、弥补、纠正和完善。因此对设计、采购、施工、造价管理等工作造成的工期延误及费用增加由承包人承担。</w:t>
      </w:r>
    </w:p>
    <w:p w14:paraId="72CC9CED">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5.4.3 因承包人自身原因造成的设计和（或）施工等阶段工期延误及费用增加，由承包人承担。</w:t>
      </w:r>
    </w:p>
    <w:p w14:paraId="45F74622">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5.4.4 承包人应遵守国家法律、强制性标准规范及《发包人要求》，采用BIM技术进行正向设计出图或建模和出图同步完成，并协助发包人及相关方等正确使用。由于承包人违规建模或应用造成质量缺陷、安全事故、工期延误、费用增加的，承包人应当承担相应的违约责任。</w:t>
      </w:r>
    </w:p>
    <w:p w14:paraId="4A7B8D18">
      <w:pPr>
        <w:spacing w:line="360" w:lineRule="auto"/>
        <w:rPr>
          <w:rFonts w:hint="eastAsia" w:ascii="仿宋" w:hAnsi="仿宋" w:eastAsia="仿宋"/>
          <w:b/>
          <w:color w:val="auto"/>
          <w:highlight w:val="none"/>
          <w:lang w:eastAsia="zh-CN"/>
        </w:rPr>
      </w:pPr>
      <w:bookmarkStart w:id="229" w:name="_Toc9522"/>
      <w:r>
        <w:rPr>
          <w:rFonts w:hint="eastAsia"/>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-76200</wp:posOffset>
                </wp:positionH>
                <wp:positionV relativeFrom="paragraph">
                  <wp:posOffset>242570</wp:posOffset>
                </wp:positionV>
                <wp:extent cx="766445" cy="701040"/>
                <wp:effectExtent l="0" t="0" r="0" b="0"/>
                <wp:wrapNone/>
                <wp:docPr id="13" name="000110"/>
                <wp:cNvGraphicFramePr/>
                <a:graphic xmlns:a="http://schemas.openxmlformats.org/drawingml/2006/main">
                  <a:graphicData uri="http://schemas.microsoft.com/office/word/2010/wordprocessingShape">
                    <wps:wsp>
                      <wps:cNvSpPr txBox="1"/>
                      <wps:spPr>
                        <a:xfrm>
                          <a:off x="0" y="0"/>
                          <a:ext cx="766445" cy="701040"/>
                        </a:xfrm>
                        <a:prstGeom prst="rect">
                          <a:avLst/>
                        </a:prstGeom>
                        <a:noFill/>
                        <a:ln>
                          <a:noFill/>
                        </a:ln>
                        <a:effectLst/>
                      </wps:spPr>
                      <wps:txbx>
                        <w:txbxContent>
                          <w:p w14:paraId="4A6DACCA">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p w14:paraId="673FED3F">
                            <w:pPr>
                              <w:rPr>
                                <w:lang w:eastAsia="zh-CN"/>
                              </w:rPr>
                            </w:pPr>
                          </w:p>
                        </w:txbxContent>
                      </wps:txbx>
                      <wps:bodyPr wrap="square" upright="1"/>
                    </wps:wsp>
                  </a:graphicData>
                </a:graphic>
              </wp:anchor>
            </w:drawing>
          </mc:Choice>
          <mc:Fallback>
            <w:pict>
              <v:shape id="000110" o:spid="_x0000_s1026" o:spt="202" type="#_x0000_t202" style="position:absolute;left:0pt;margin-left:-6pt;margin-top:19.1pt;height:55.2pt;width:60.35pt;z-index:251671552;mso-width-relative:page;mso-height-relative:page;" filled="f" stroked="f" coordsize="21600,21600" o:gfxdata="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1ezBf2AAAAAoB&#10;AAAPAAAAAAAAAAEAIAAAACIAAABkcnMvZG93bnJldi54bWxQSwECFAAUAAAACACHTuJAaIA/KqkB&#10;AABlAwAADgAAAAAAAAABACAAAAAnAQAAZHJzL2Uyb0RvYy54bWxQSwUGAAAAAAYABgBZAQAAQgUA&#10;AAAA&#10;">
                <v:fill on="f" focussize="0,0"/>
                <v:stroke on="f"/>
                <v:imagedata o:title=""/>
                <o:lock v:ext="edit" aspectratio="f"/>
                <v:textbox>
                  <w:txbxContent>
                    <w:p w14:paraId="4A6DACCA">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p w14:paraId="673FED3F">
                      <w:pPr>
                        <w:rPr>
                          <w:lang w:eastAsia="zh-CN"/>
                        </w:rPr>
                      </w:pPr>
                    </w:p>
                  </w:txbxContent>
                </v:textbox>
              </v:shape>
            </w:pict>
          </mc:Fallback>
        </mc:AlternateContent>
      </w:r>
      <w:r>
        <w:rPr>
          <w:rFonts w:hint="eastAsia" w:ascii="仿宋" w:hAnsi="仿宋" w:eastAsia="仿宋"/>
          <w:b/>
          <w:color w:val="auto"/>
          <w:highlight w:val="none"/>
          <w:lang w:eastAsia="zh-CN"/>
        </w:rPr>
        <w:t>5.5</w:t>
      </w:r>
      <w:bookmarkEnd w:id="22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F5EC55B">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 xml:space="preserve">5.5.1 </w:t>
      </w:r>
      <w:r>
        <w:rPr>
          <w:rFonts w:hint="eastAsia" w:ascii="仿宋" w:hAnsi="仿宋" w:eastAsia="仿宋" w:cs="仿宋"/>
          <w:color w:val="auto"/>
          <w:highlight w:val="none"/>
          <w:lang w:eastAsia="zh-CN"/>
        </w:rPr>
        <w:t>承包人被视为其已于基准日期前仔细审阅了发包人的设备及工器具购置要求和购置工程量清单（包括标准、规范和相关数据，如果有），承包人应对发包人的购置要求及购置工程量清单进行核实，并对发包人购置要求和购置工程量清单的正确性和（或）完整性负责。但下述情况的正确性和（或）完整性，应由发包人负责：</w:t>
      </w:r>
    </w:p>
    <w:p w14:paraId="7D4667EF">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（1）有关设备及工器具的预期目的的说明；</w:t>
      </w:r>
    </w:p>
    <w:p w14:paraId="17E3ECFC">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（2）有关设备及工器具的试车、试验、工艺流程、组装图纸、性能标准和（或）产品合格标准；</w:t>
      </w:r>
    </w:p>
    <w:p w14:paraId="35137A4E">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（3）承包人不能或无法核实的部分要求、数据和（或）资料；</w:t>
      </w:r>
    </w:p>
    <w:p w14:paraId="165E39E2">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（4）专用条款约定不可变更的部分要求、数据和资料。</w:t>
      </w:r>
    </w:p>
    <w:p w14:paraId="1EA85CF3">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5.5.2 因承包人购置的设备及工器具不合格或不符合发包人要求，承包人应及时更换或修复。因此对设计和（或）施工等阶段工作造成的工期延误及费用增加由承包人承担。</w:t>
      </w:r>
    </w:p>
    <w:p w14:paraId="15444CC2">
      <w:pPr>
        <w:spacing w:line="360" w:lineRule="auto"/>
        <w:rPr>
          <w:rFonts w:hint="eastAsia" w:ascii="仿宋" w:hAnsi="仿宋" w:eastAsia="仿宋"/>
          <w:b/>
          <w:color w:val="auto"/>
          <w:highlight w:val="none"/>
          <w:lang w:eastAsia="zh-CN"/>
        </w:rPr>
      </w:pPr>
      <w:bookmarkStart w:id="230" w:name="_Toc27158"/>
      <w:r>
        <w:rPr>
          <w:rFonts w:hint="eastAsia" w:ascii="仿宋" w:hAnsi="仿宋" w:eastAsia="仿宋"/>
          <w:b/>
          <w:color w:val="auto"/>
          <w:highlight w:val="none"/>
          <w:lang w:eastAsia="zh-CN"/>
        </w:rPr>
        <w:t>5.6</w:t>
      </w:r>
      <w:bookmarkEnd w:id="23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C2E5943">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-66675</wp:posOffset>
                </wp:positionH>
                <wp:positionV relativeFrom="paragraph">
                  <wp:posOffset>3175</wp:posOffset>
                </wp:positionV>
                <wp:extent cx="756920" cy="975360"/>
                <wp:effectExtent l="0" t="0" r="0" b="0"/>
                <wp:wrapNone/>
                <wp:docPr id="14" name="000111"/>
                <wp:cNvGraphicFramePr/>
                <a:graphic xmlns:a="http://schemas.openxmlformats.org/drawingml/2006/main">
                  <a:graphicData uri="http://schemas.microsoft.com/office/word/2010/wordprocessingShape">
                    <wps:wsp>
                      <wps:cNvSpPr txBox="1"/>
                      <wps:spPr>
                        <a:xfrm>
                          <a:off x="0" y="0"/>
                          <a:ext cx="756920" cy="975360"/>
                        </a:xfrm>
                        <a:prstGeom prst="rect">
                          <a:avLst/>
                        </a:prstGeom>
                        <a:noFill/>
                        <a:ln>
                          <a:noFill/>
                        </a:ln>
                        <a:effectLst/>
                      </wps:spPr>
                      <wps:txbx>
                        <w:txbxContent>
                          <w:p w14:paraId="5BCD6FF5">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p w14:paraId="689BBD69">
                            <w:pPr>
                              <w:rPr>
                                <w:lang w:eastAsia="zh-CN"/>
                              </w:rPr>
                            </w:pPr>
                          </w:p>
                        </w:txbxContent>
                      </wps:txbx>
                      <wps:bodyPr wrap="square" upright="1"/>
                    </wps:wsp>
                  </a:graphicData>
                </a:graphic>
              </wp:anchor>
            </w:drawing>
          </mc:Choice>
          <mc:Fallback>
            <w:pict>
              <v:shape id="000111" o:spid="_x0000_s1026" o:spt="202" type="#_x0000_t202" style="position:absolute;left:0pt;margin-left:-5.25pt;margin-top:0.25pt;height:76.8pt;width:59.6pt;z-index:251672576;mso-width-relative:page;mso-height-relative:page;" filled="f" stroked="f" coordsize="21600,21600" o:gfxdata="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DZ+gzVAAAACAEA&#10;AA8AAAAAAAAAAQAgAAAAIgAAAGRycy9kb3ducmV2LnhtbFBLAQIUABQAAAAIAIdO4kBIL0SiqwEA&#10;AGUDAAAOAAAAAAAAAAEAIAAAACQBAABkcnMvZTJvRG9jLnhtbFBLBQYAAAAABgAGAFkBAABBBQAA&#10;AAA=&#10;">
                <v:fill on="f" focussize="0,0"/>
                <v:stroke on="f"/>
                <v:imagedata o:title=""/>
                <o:lock v:ext="edit" aspectratio="f"/>
                <v:textbox>
                  <w:txbxContent>
                    <w:p w14:paraId="5BCD6FF5">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p w14:paraId="689BBD69">
                      <w:pPr>
                        <w:rPr>
                          <w:lang w:eastAsia="zh-CN"/>
                        </w:rPr>
                      </w:pPr>
                    </w:p>
                  </w:txbxContent>
                </v:textbox>
              </v:shape>
            </w:pict>
          </mc:Fallback>
        </mc:AlternateContent>
      </w:r>
      <w:r>
        <w:rPr>
          <w:rFonts w:hint="eastAsia" w:ascii="仿宋" w:hAnsi="仿宋" w:eastAsia="仿宋"/>
          <w:color w:val="auto"/>
          <w:highlight w:val="none"/>
          <w:lang w:eastAsia="zh-CN"/>
        </w:rPr>
        <w:t xml:space="preserve">5.6.1 </w:t>
      </w:r>
      <w:r>
        <w:rPr>
          <w:rFonts w:hint="eastAsia" w:ascii="仿宋" w:hAnsi="仿宋" w:eastAsia="仿宋" w:cs="仿宋"/>
          <w:color w:val="auto"/>
          <w:highlight w:val="none"/>
          <w:lang w:eastAsia="zh-CN"/>
        </w:rPr>
        <w:t>承包人被视为其已于基准日期前仔细审阅了发包人基于保证工程质量和功能用途对主要工程材料、工程设备的采购要求（包括标准、规范、品质、档次、生产厂家、运输方式、堆放场地、拼装工艺和相关数据等，如果有），承包人应对发包人的采购要求进行核实，并对发包人要求的正确性和（或）完整性负责。</w:t>
      </w:r>
      <w:r>
        <w:rPr>
          <w:rFonts w:hint="eastAsia" w:ascii="仿宋" w:hAnsi="仿宋" w:eastAsia="仿宋"/>
          <w:color w:val="auto"/>
          <w:highlight w:val="none"/>
          <w:lang w:eastAsia="zh-CN"/>
        </w:rPr>
        <w:t>但下述情况的正确性和（或）完整性，应由发包人负责：</w:t>
      </w:r>
    </w:p>
    <w:p w14:paraId="6ED6178A">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（1）有关采购的预期目</w:t>
      </w:r>
      <w:r>
        <w:rPr>
          <w:rFonts w:hint="eastAsia" w:ascii="仿宋" w:hAnsi="仿宋" w:eastAsia="仿宋" w:cs="仿宋"/>
          <w:color w:val="auto"/>
          <w:highlight w:val="none"/>
          <w:lang w:eastAsia="zh-CN"/>
        </w:rPr>
        <w:t>的的说明；</w:t>
      </w:r>
    </w:p>
    <w:p w14:paraId="451A522E">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（2）有关工程设备或装配式构件的试车、试验、工艺流程、组装图纸、性能标准和（或）产品合格标准；</w:t>
      </w:r>
    </w:p>
    <w:p w14:paraId="2647B600">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（3）承包人不能或无法核实的部分要求、数据和（或）资料；</w:t>
      </w:r>
    </w:p>
    <w:p w14:paraId="51F920C6">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（4）专用条款约定不可变</w:t>
      </w:r>
      <w:r>
        <w:rPr>
          <w:rFonts w:hint="eastAsia" w:ascii="仿宋" w:hAnsi="仿宋" w:eastAsia="仿宋"/>
          <w:color w:val="auto"/>
          <w:highlight w:val="none"/>
          <w:lang w:eastAsia="zh-CN"/>
        </w:rPr>
        <w:t>更的部分要求、数据和资料。</w:t>
      </w:r>
    </w:p>
    <w:p w14:paraId="1FEE2847">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5.6.2 因承包人采购的工程材料、工程设备、装配式构件等不合格或不符合发包人要求，承包人应及时更换或修复。因此对设计和（或）施工等阶段工作造成的工期延误及费用增加由承包人承担。</w:t>
      </w:r>
    </w:p>
    <w:p w14:paraId="0BF5D2C7">
      <w:pPr>
        <w:tabs>
          <w:tab w:val="left" w:pos="4970"/>
        </w:tabs>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5B32EAF0">
      <w:pPr>
        <w:pStyle w:val="4"/>
        <w:tabs>
          <w:tab w:val="left" w:pos="420"/>
        </w:tabs>
        <w:spacing w:before="120" w:after="120" w:line="360" w:lineRule="auto"/>
        <w:rPr>
          <w:rFonts w:hint="eastAsia" w:ascii="仿宋" w:hAnsi="仿宋" w:eastAsia="仿宋" w:cs="仿宋"/>
          <w:bCs w:val="0"/>
          <w:color w:val="auto"/>
          <w:sz w:val="24"/>
          <w:szCs w:val="24"/>
          <w:highlight w:val="none"/>
          <w:lang w:eastAsia="zh-CN"/>
        </w:rPr>
      </w:pPr>
      <w:bookmarkStart w:id="231" w:name="_Toc4965"/>
      <w:bookmarkStart w:id="232" w:name="_Toc47694276"/>
      <w:bookmarkStart w:id="233" w:name="_Toc2464"/>
      <w:bookmarkStart w:id="234" w:name="_Toc18255"/>
      <w:bookmarkStart w:id="235" w:name="_Toc28138"/>
      <w:bookmarkStart w:id="236" w:name="_Toc21624"/>
      <w:bookmarkStart w:id="237" w:name="_Toc1187"/>
      <w:bookmarkStart w:id="238" w:name="_Toc6731"/>
      <w:r>
        <w:rPr>
          <w:rFonts w:hint="eastAsia" w:ascii="仿宋" w:hAnsi="仿宋" w:eastAsia="仿宋" w:cs="仿宋"/>
          <w:bCs w:val="0"/>
          <w:color w:val="auto"/>
          <w:sz w:val="24"/>
          <w:szCs w:val="24"/>
          <w:highlight w:val="none"/>
          <w:lang w:eastAsia="zh-CN"/>
        </w:rPr>
        <w:t>6 项目基础资料</w:t>
      </w:r>
      <w:bookmarkEnd w:id="231"/>
      <w:bookmarkEnd w:id="232"/>
      <w:bookmarkEnd w:id="233"/>
      <w:bookmarkEnd w:id="234"/>
      <w:bookmarkEnd w:id="235"/>
      <w:bookmarkEnd w:id="236"/>
      <w:bookmarkEnd w:id="237"/>
      <w:bookmarkEnd w:id="238"/>
    </w:p>
    <w:p w14:paraId="018B77B1">
      <w:pPr>
        <w:spacing w:line="360" w:lineRule="auto"/>
        <w:rPr>
          <w:rFonts w:hint="eastAsia" w:ascii="仿宋" w:hAnsi="仿宋" w:eastAsia="仿宋"/>
          <w:b/>
          <w:color w:val="auto"/>
          <w:highlight w:val="none"/>
          <w:lang w:eastAsia="zh-CN"/>
        </w:rPr>
      </w:pPr>
      <w:r>
        <w:rPr>
          <w:rFonts w:hint="eastAsia" w:ascii="仿宋" w:hAnsi="仿宋" w:eastAsia="仿宋"/>
          <w:b/>
          <w:color w:val="auto"/>
          <w:highlight w:val="none"/>
          <w:lang w:eastAsia="zh-CN"/>
        </w:rPr>
        <w:t>6.1</w:t>
      </w:r>
    </w:p>
    <w:p w14:paraId="4D1F1C53">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-47625</wp:posOffset>
                </wp:positionH>
                <wp:positionV relativeFrom="paragraph">
                  <wp:posOffset>24765</wp:posOffset>
                </wp:positionV>
                <wp:extent cx="803910" cy="462915"/>
                <wp:effectExtent l="0" t="0" r="0" b="0"/>
                <wp:wrapNone/>
                <wp:docPr id="15" name="000112"/>
                <wp:cNvGraphicFramePr/>
                <a:graphic xmlns:a="http://schemas.openxmlformats.org/drawingml/2006/main">
                  <a:graphicData uri="http://schemas.microsoft.com/office/word/2010/wordprocessingShape">
                    <wps:wsp>
                      <wps:cNvSpPr txBox="1"/>
                      <wps:spPr>
                        <a:xfrm>
                          <a:off x="0" y="0"/>
                          <a:ext cx="803910" cy="462915"/>
                        </a:xfrm>
                        <a:prstGeom prst="rect">
                          <a:avLst/>
                        </a:prstGeom>
                        <a:noFill/>
                        <a:ln>
                          <a:noFill/>
                        </a:ln>
                        <a:effectLst/>
                      </wps:spPr>
                      <wps:txbx>
                        <w:txbxContent>
                          <w:p w14:paraId="2BAD20F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p w14:paraId="5A54B985"/>
                        </w:txbxContent>
                      </wps:txbx>
                      <wps:bodyPr wrap="square" upright="1"/>
                    </wps:wsp>
                  </a:graphicData>
                </a:graphic>
              </wp:anchor>
            </w:drawing>
          </mc:Choice>
          <mc:Fallback>
            <w:pict>
              <v:shape id="000112" o:spid="_x0000_s1026" o:spt="202" type="#_x0000_t202" style="position:absolute;left:0pt;margin-left:-3.75pt;margin-top:1.95pt;height:36.45pt;width:63.3pt;z-index:251673600;mso-width-relative:page;mso-height-relative:page;" filled="f" stroked="f" coordsize="21600,21600" o:gfxdata="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rlP/9UAAAAHAQAA&#10;DwAAAAAAAAABACAAAAAiAAAAZHJzL2Rvd25yZXYueG1sUEsBAhQAFAAAAAgAh07iQDNi/FSqAQAA&#10;ZQMAAA4AAAAAAAAAAQAgAAAAJAEAAGRycy9lMm9Eb2MueG1sUEsFBgAAAAAGAAYAWQEAAEAFAAAA&#10;AA==&#10;">
                <v:fill on="f" focussize="0,0"/>
                <v:stroke on="f"/>
                <v:imagedata o:title=""/>
                <o:lock v:ext="edit" aspectratio="f"/>
                <v:textbox>
                  <w:txbxContent>
                    <w:p w14:paraId="2BAD20F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p w14:paraId="5A54B985"/>
                  </w:txbxContent>
                </v:textbox>
              </v:shape>
            </w:pict>
          </mc:Fallback>
        </mc:AlternateContent>
      </w:r>
      <w:r>
        <w:rPr>
          <w:rFonts w:hint="eastAsia" w:ascii="仿宋" w:hAnsi="仿宋" w:eastAsia="仿宋"/>
          <w:color w:val="auto"/>
          <w:highlight w:val="none"/>
          <w:lang w:eastAsia="zh-CN"/>
        </w:rPr>
        <w:t>6.1.1 发包人</w:t>
      </w:r>
      <w:r>
        <w:rPr>
          <w:rFonts w:hint="eastAsia" w:ascii="仿宋" w:hAnsi="仿宋" w:eastAsia="仿宋" w:cs="仿宋"/>
          <w:color w:val="auto"/>
          <w:highlight w:val="none"/>
          <w:lang w:eastAsia="zh-CN"/>
        </w:rPr>
        <w:t>（或其委托设计顾问人）应按专用条款约定的时间和份数提供书面文件，</w:t>
      </w:r>
      <w:r>
        <w:rPr>
          <w:rFonts w:hint="eastAsia" w:ascii="仿宋" w:hAnsi="仿宋" w:eastAsia="仿宋"/>
          <w:color w:val="auto"/>
          <w:highlight w:val="none"/>
          <w:lang w:eastAsia="zh-CN"/>
        </w:rPr>
        <w:t>向承包人提供已知悉的工程现场情况、工程地质勘察报告（如果有）、图纸（如果有）、项目建议书、已批准或备案的可行性研究报告、建设方案、工艺流程、初步设计文件（如果有）等相关资料，并为承包人收集其他有关资料提供必要的协助。</w:t>
      </w:r>
      <w:r>
        <w:rPr>
          <w:rFonts w:hint="eastAsia" w:ascii="仿宋" w:hAnsi="仿宋" w:eastAsia="仿宋" w:cs="仿宋"/>
          <w:color w:val="auto"/>
          <w:highlight w:val="none"/>
          <w:lang w:eastAsia="zh-CN"/>
        </w:rPr>
        <w:t>如发包人未按时提供项目基础资料，承包人无法按时开展总承包各阶段工作造成合同总工期延误及费用增加，由发包人承担责任，按第43.3款约定处理。</w:t>
      </w:r>
    </w:p>
    <w:p w14:paraId="3BBE563B">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 xml:space="preserve">6.1.2 </w:t>
      </w:r>
      <w:r>
        <w:rPr>
          <w:rFonts w:ascii="仿宋" w:hAnsi="仿宋" w:eastAsia="仿宋"/>
          <w:color w:val="auto"/>
          <w:highlight w:val="none"/>
          <w:lang w:eastAsia="zh-CN"/>
        </w:rPr>
        <w:t>发包人提供的项目基础资料中有专利</w:t>
      </w:r>
      <w:r>
        <w:rPr>
          <w:rFonts w:hint="eastAsia" w:ascii="仿宋" w:hAnsi="仿宋" w:eastAsia="仿宋"/>
          <w:color w:val="auto"/>
          <w:highlight w:val="none"/>
          <w:lang w:eastAsia="zh-CN"/>
        </w:rPr>
        <w:t>人或制造商</w:t>
      </w:r>
      <w:r>
        <w:rPr>
          <w:rFonts w:ascii="仿宋" w:hAnsi="仿宋" w:eastAsia="仿宋"/>
          <w:color w:val="auto"/>
          <w:highlight w:val="none"/>
          <w:lang w:eastAsia="zh-CN"/>
        </w:rPr>
        <w:t>提供的技术或工艺包，或是第三方设计单位提供的建筑造型等，发包人应组织专利</w:t>
      </w:r>
      <w:r>
        <w:rPr>
          <w:rFonts w:hint="eastAsia" w:ascii="仿宋" w:hAnsi="仿宋" w:eastAsia="仿宋"/>
          <w:color w:val="auto"/>
          <w:highlight w:val="none"/>
          <w:lang w:eastAsia="zh-CN"/>
        </w:rPr>
        <w:t>人、制造商</w:t>
      </w:r>
      <w:r>
        <w:rPr>
          <w:rFonts w:ascii="仿宋" w:hAnsi="仿宋" w:eastAsia="仿宋"/>
          <w:color w:val="auto"/>
          <w:highlight w:val="none"/>
          <w:lang w:eastAsia="zh-CN"/>
        </w:rPr>
        <w:t>或第三方设计单位与承包人进行数据、条件和资料的交换、协调和交接。</w:t>
      </w:r>
    </w:p>
    <w:p w14:paraId="1D925D61">
      <w:pPr>
        <w:spacing w:line="360" w:lineRule="auto"/>
        <w:rPr>
          <w:rFonts w:hint="eastAsia" w:ascii="仿宋" w:hAnsi="仿宋" w:eastAsia="仿宋"/>
          <w:b/>
          <w:color w:val="auto"/>
          <w:highlight w:val="none"/>
          <w:lang w:eastAsia="zh-CN"/>
        </w:rPr>
      </w:pPr>
      <w:r>
        <w:rPr>
          <w:rFonts w:hint="eastAsia" w:ascii="仿宋" w:hAnsi="仿宋" w:eastAsia="仿宋"/>
          <w:b/>
          <w:color w:val="auto"/>
          <w:highlight w:val="none"/>
          <w:lang w:eastAsia="zh-CN"/>
        </w:rPr>
        <w:t>6.2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1D6459B">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-207010</wp:posOffset>
                </wp:positionH>
                <wp:positionV relativeFrom="paragraph">
                  <wp:posOffset>156845</wp:posOffset>
                </wp:positionV>
                <wp:extent cx="813435" cy="520700"/>
                <wp:effectExtent l="0" t="0" r="0" b="0"/>
                <wp:wrapNone/>
                <wp:docPr id="16" name="000113"/>
                <wp:cNvGraphicFramePr/>
                <a:graphic xmlns:a="http://schemas.openxmlformats.org/drawingml/2006/main">
                  <a:graphicData uri="http://schemas.microsoft.com/office/word/2010/wordprocessingShape">
                    <wps:wsp>
                      <wps:cNvSpPr txBox="1"/>
                      <wps:spPr>
                        <a:xfrm>
                          <a:off x="0" y="0"/>
                          <a:ext cx="813435" cy="520700"/>
                        </a:xfrm>
                        <a:prstGeom prst="rect">
                          <a:avLst/>
                        </a:prstGeom>
                        <a:noFill/>
                        <a:ln>
                          <a:noFill/>
                        </a:ln>
                        <a:effectLst/>
                      </wps:spPr>
                      <wps:txbx>
                        <w:txbxContent>
                          <w:p w14:paraId="38811BF3">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p w14:paraId="41C8AEC4">
                            <w:pPr>
                              <w:rPr>
                                <w:lang w:eastAsia="zh-CN"/>
                              </w:rPr>
                            </w:pPr>
                          </w:p>
                        </w:txbxContent>
                      </wps:txbx>
                      <wps:bodyPr wrap="square" upright="1"/>
                    </wps:wsp>
                  </a:graphicData>
                </a:graphic>
              </wp:anchor>
            </w:drawing>
          </mc:Choice>
          <mc:Fallback>
            <w:pict>
              <v:shape id="000113" o:spid="_x0000_s1026" o:spt="202" type="#_x0000_t202" style="position:absolute;left:0pt;margin-left:-16.3pt;margin-top:12.35pt;height:41pt;width:64.05pt;z-index:251674624;mso-width-relative:page;mso-height-relative:page;" filled="f" stroked="f" coordsize="21600,21600" o:gfxdata="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emumDXAAAA&#10;CQEAAA8AAAAAAAAAAQAgAAAAIgAAAGRycy9kb3ducmV2LnhtbFBLAQIUABQAAAAIAIdO4kCREhP7&#10;rAEAAGUDAAAOAAAAAAAAAAEAIAAAACYBAABkcnMvZTJvRG9jLnhtbFBLBQYAAAAABgAGAFkBAABE&#10;BQAAAAA=&#10;">
                <v:fill on="f" focussize="0,0"/>
                <v:stroke on="f"/>
                <v:imagedata o:title=""/>
                <o:lock v:ext="edit" aspectratio="f"/>
                <v:textbox>
                  <w:txbxContent>
                    <w:p w14:paraId="38811BF3">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p w14:paraId="41C8AEC4">
                      <w:pPr>
                        <w:rPr>
                          <w:lang w:eastAsia="zh-CN"/>
                        </w:rPr>
                      </w:pPr>
                    </w:p>
                  </w:txbxContent>
                </v:textbox>
              </v:shape>
            </w:pict>
          </mc:Fallback>
        </mc:AlternateContent>
      </w:r>
      <w:r>
        <w:rPr>
          <w:rFonts w:hint="eastAsia" w:ascii="仿宋" w:hAnsi="仿宋" w:eastAsia="仿宋"/>
          <w:color w:val="auto"/>
          <w:highlight w:val="none"/>
          <w:lang w:eastAsia="zh-CN"/>
        </w:rPr>
        <w:t>承包人被视为其已于基准日期前仔细审阅了发包人提供的项目基础资料，</w:t>
      </w:r>
      <w:r>
        <w:rPr>
          <w:rFonts w:hint="eastAsia" w:ascii="仿宋" w:hAnsi="仿宋" w:eastAsia="仿宋" w:cs="仿宋"/>
          <w:color w:val="auto"/>
          <w:highlight w:val="none"/>
          <w:lang w:eastAsia="zh-CN"/>
        </w:rPr>
        <w:t>承包人应对发包人提供的资料进行核实，</w:t>
      </w:r>
      <w:r>
        <w:rPr>
          <w:rFonts w:hint="eastAsia" w:ascii="仿宋" w:hAnsi="仿宋" w:eastAsia="仿宋"/>
          <w:color w:val="auto"/>
          <w:highlight w:val="none"/>
          <w:lang w:eastAsia="zh-CN"/>
        </w:rPr>
        <w:t>并对发包人提供资料的正确性和（或）完整性负责。承包人从发包人或其他方面得到的任何数据或资料，不免除承包人应承担的责任。但下述情况的正确性和（或）完整性，应由发包人负责：</w:t>
      </w:r>
    </w:p>
    <w:p w14:paraId="23460975">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4874111F">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（2）有关合同工程的试车、试验、工艺流程和（或）性能标准；</w:t>
      </w:r>
    </w:p>
    <w:p w14:paraId="4ADA61FE">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（3）承包人不能或无法核实的数据和（或）资料；</w:t>
      </w:r>
    </w:p>
    <w:p w14:paraId="1F3CEB9D">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（4）工程现场发生的不利物质条件，包括不能预见的自然物质条件、非自然物质障碍和污染物；</w:t>
      </w:r>
    </w:p>
    <w:p w14:paraId="6E241CD8">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（5）专用条款约定不可变更的数据和资料。</w:t>
      </w:r>
    </w:p>
    <w:p w14:paraId="15B93641">
      <w:pPr>
        <w:widowControl w:val="0"/>
        <w:tabs>
          <w:tab w:val="left" w:pos="4970"/>
        </w:tabs>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38170CEE">
      <w:pPr>
        <w:pStyle w:val="4"/>
        <w:tabs>
          <w:tab w:val="left" w:pos="420"/>
        </w:tabs>
        <w:spacing w:before="120" w:after="120" w:line="360" w:lineRule="auto"/>
        <w:rPr>
          <w:rFonts w:hint="eastAsia" w:ascii="仿宋" w:hAnsi="仿宋" w:eastAsia="仿宋" w:cs="仿宋"/>
          <w:bCs w:val="0"/>
          <w:color w:val="auto"/>
          <w:sz w:val="24"/>
          <w:szCs w:val="24"/>
          <w:highlight w:val="none"/>
          <w:lang w:eastAsia="zh-CN"/>
        </w:rPr>
      </w:pPr>
      <w:bookmarkStart w:id="239" w:name="_Toc2840"/>
      <w:bookmarkStart w:id="240" w:name="_Toc9946"/>
      <w:bookmarkStart w:id="241" w:name="_Toc1853"/>
      <w:bookmarkStart w:id="242" w:name="_Toc10098"/>
      <w:bookmarkStart w:id="243" w:name="_Toc12449"/>
      <w:bookmarkStart w:id="244" w:name="_Toc16557"/>
      <w:bookmarkStart w:id="245" w:name="_Toc22392"/>
      <w:bookmarkStart w:id="246" w:name="_Toc47694277"/>
      <w:r>
        <w:rPr>
          <w:rFonts w:hint="eastAsia" w:ascii="仿宋" w:hAnsi="仿宋" w:eastAsia="仿宋" w:cs="仿宋"/>
          <w:bCs w:val="0"/>
          <w:color w:val="auto"/>
          <w:sz w:val="24"/>
          <w:szCs w:val="24"/>
          <w:highlight w:val="none"/>
          <w:lang w:eastAsia="zh-CN"/>
        </w:rPr>
        <w:t>7 勘察报告、设计文件、建筑信息模型（BIM）</w:t>
      </w:r>
      <w:bookmarkEnd w:id="239"/>
      <w:bookmarkEnd w:id="240"/>
      <w:bookmarkEnd w:id="241"/>
      <w:bookmarkEnd w:id="242"/>
      <w:bookmarkEnd w:id="243"/>
      <w:bookmarkEnd w:id="244"/>
      <w:bookmarkEnd w:id="245"/>
      <w:bookmarkEnd w:id="246"/>
    </w:p>
    <w:p w14:paraId="339F4008">
      <w:pPr>
        <w:spacing w:line="360" w:lineRule="auto"/>
        <w:rPr>
          <w:rFonts w:hint="eastAsia" w:ascii="仿宋" w:hAnsi="仿宋" w:eastAsia="仿宋"/>
          <w:b/>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316865</wp:posOffset>
                </wp:positionV>
                <wp:extent cx="841375" cy="690880"/>
                <wp:effectExtent l="0" t="0" r="0" b="0"/>
                <wp:wrapNone/>
                <wp:docPr id="17" name="000114"/>
                <wp:cNvGraphicFramePr/>
                <a:graphic xmlns:a="http://schemas.openxmlformats.org/drawingml/2006/main">
                  <a:graphicData uri="http://schemas.microsoft.com/office/word/2010/wordprocessingShape">
                    <wps:wsp>
                      <wps:cNvSpPr txBox="1"/>
                      <wps:spPr>
                        <a:xfrm>
                          <a:off x="0" y="0"/>
                          <a:ext cx="841375" cy="690880"/>
                        </a:xfrm>
                        <a:prstGeom prst="rect">
                          <a:avLst/>
                        </a:prstGeom>
                        <a:noFill/>
                        <a:ln>
                          <a:noFill/>
                        </a:ln>
                        <a:effectLst/>
                      </wps:spPr>
                      <wps:txbx>
                        <w:txbxContent>
                          <w:p w14:paraId="5068E00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p w14:paraId="18D39BA2">
                            <w:pPr>
                              <w:rPr>
                                <w:lang w:eastAsia="zh-CN"/>
                              </w:rPr>
                            </w:pPr>
                          </w:p>
                        </w:txbxContent>
                      </wps:txbx>
                      <wps:bodyPr wrap="square" upright="1"/>
                    </wps:wsp>
                  </a:graphicData>
                </a:graphic>
              </wp:anchor>
            </w:drawing>
          </mc:Choice>
          <mc:Fallback>
            <w:pict>
              <v:shape id="000114" o:spid="_x0000_s1026" o:spt="202" type="#_x0000_t202" style="position:absolute;left:0pt;margin-left:-9pt;margin-top:24.95pt;height:54.4pt;width:66.25pt;z-index:251675648;mso-width-relative:page;mso-height-relative:page;" filled="f" stroked="f" coordsize="21600,21600" o:gfxdata="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seg1f2AAA&#10;AAoBAAAPAAAAAAAAAAEAIAAAACIAAABkcnMvZG93bnJldi54bWxQSwECFAAUAAAACACHTuJACrkf&#10;gKwBAABlAwAADgAAAAAAAAABACAAAAAnAQAAZHJzL2Uyb0RvYy54bWxQSwUGAAAAAAYABgBZAQAA&#10;RQUAAAAA&#10;">
                <v:fill on="f" focussize="0,0"/>
                <v:stroke on="f"/>
                <v:imagedata o:title=""/>
                <o:lock v:ext="edit" aspectratio="f"/>
                <v:textbox>
                  <w:txbxContent>
                    <w:p w14:paraId="5068E00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p w14:paraId="18D39BA2">
                      <w:pPr>
                        <w:rPr>
                          <w:lang w:eastAsia="zh-CN"/>
                        </w:rPr>
                      </w:pPr>
                    </w:p>
                  </w:txbxContent>
                </v:textbox>
              </v:shape>
            </w:pict>
          </mc:Fallback>
        </mc:AlternateContent>
      </w:r>
      <w:r>
        <w:rPr>
          <w:rFonts w:ascii="仿宋" w:hAnsi="仿宋" w:eastAsia="仿宋"/>
          <w:b/>
          <w:color w:val="auto"/>
          <w:highlight w:val="none"/>
          <w:lang w:eastAsia="zh-CN"/>
        </w:rPr>
        <w:t>7.1</w:t>
      </w:r>
    </w:p>
    <w:p w14:paraId="5D707C3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7.1.1 合同约定由承包人负责工程勘察的，承包人应按合同约定提供勘察报告，按约定的时间和份数报送发包人、设计顾问人。承包人应按审查意见修改完善勘察报告。如承包人未按时提供勘察报告并通过审查，导致后续设计和（或）施工工期延误及费用增加，由承包人承担责任，按第43.8款约定处理。</w:t>
      </w:r>
    </w:p>
    <w:p w14:paraId="068B9174">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7.1.2 工程勘察报告的完备性、正确性由承包人负责，若勘察报告存在缺陷，承包人应及时完善、修正或补充勘察，由此造成的工程质量缺陷、工期延误及费用增加，责任由承包人承担。</w:t>
      </w:r>
    </w:p>
    <w:p w14:paraId="235373EC">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7.1.3 承包人不得将其承包的勘察工作或将其肢解后以分包的名义转包给第三方。因承包人不具备勘察资质，承包人应经发包人同意后方可将勘察工作分包给具有相应资质的勘察单位，但不免除承包人的相关责任。</w:t>
      </w:r>
    </w:p>
    <w:p w14:paraId="0BF53898">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7.1.4 承包人应按约定向发包人及设计顾问人、监理人、造价咨询人等相关方报送成果文件，配合审查、审批或备案，确认工作完成时间和成果。</w:t>
      </w:r>
    </w:p>
    <w:p w14:paraId="0929911D">
      <w:pPr>
        <w:spacing w:line="360" w:lineRule="auto"/>
        <w:rPr>
          <w:rFonts w:hint="eastAsia" w:ascii="仿宋" w:hAnsi="仿宋" w:eastAsia="仿宋"/>
          <w:b/>
          <w:color w:val="auto"/>
          <w:highlight w:val="none"/>
          <w:lang w:eastAsia="zh-CN"/>
        </w:rPr>
      </w:pPr>
      <w:r>
        <w:rPr>
          <w:rFonts w:hint="eastAsia" w:ascii="仿宋" w:hAnsi="仿宋" w:eastAsia="仿宋"/>
          <w:b/>
          <w:color w:val="auto"/>
          <w:highlight w:val="none"/>
          <w:lang w:eastAsia="zh-CN"/>
        </w:rPr>
        <w:t>7.2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0EEB51F">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20320</wp:posOffset>
                </wp:positionV>
                <wp:extent cx="852170" cy="615315"/>
                <wp:effectExtent l="0" t="0" r="0" b="0"/>
                <wp:wrapNone/>
                <wp:docPr id="18" name="000115"/>
                <wp:cNvGraphicFramePr/>
                <a:graphic xmlns:a="http://schemas.openxmlformats.org/drawingml/2006/main">
                  <a:graphicData uri="http://schemas.microsoft.com/office/word/2010/wordprocessingShape">
                    <wps:wsp>
                      <wps:cNvSpPr txBox="1"/>
                      <wps:spPr>
                        <a:xfrm>
                          <a:off x="0" y="0"/>
                          <a:ext cx="852170" cy="615315"/>
                        </a:xfrm>
                        <a:prstGeom prst="rect">
                          <a:avLst/>
                        </a:prstGeom>
                        <a:noFill/>
                        <a:ln>
                          <a:noFill/>
                        </a:ln>
                        <a:effectLst/>
                      </wps:spPr>
                      <wps:txbx>
                        <w:txbxContent>
                          <w:p w14:paraId="7E7F40E3">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p w14:paraId="0C2AF611">
                            <w:pPr>
                              <w:rPr>
                                <w:lang w:eastAsia="zh-CN"/>
                              </w:rPr>
                            </w:pPr>
                          </w:p>
                        </w:txbxContent>
                      </wps:txbx>
                      <wps:bodyPr wrap="square" upright="1"/>
                    </wps:wsp>
                  </a:graphicData>
                </a:graphic>
              </wp:anchor>
            </w:drawing>
          </mc:Choice>
          <mc:Fallback>
            <w:pict>
              <v:shape id="000115" o:spid="_x0000_s1026" o:spt="202" type="#_x0000_t202" style="position:absolute;left:0pt;margin-left:-9pt;margin-top:1.6pt;height:48.45pt;width:67.1pt;z-index:251676672;mso-width-relative:page;mso-height-relative:page;" filled="f" stroked="f" coordsize="21600,21600" o:gfxdata="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lAOeLtYAAAAJAQAA&#10;DwAAAAAAAAABACAAAAAiAAAAZHJzL2Rvd25yZXYueG1sUEsBAhQAFAAAAAgAh07iQItaD/GpAQAA&#10;ZQMAAA4AAAAAAAAAAQAgAAAAJQEAAGRycy9lMm9Eb2MueG1sUEsFBgAAAAAGAAYAWQEAAEAFAAAA&#10;AA==&#10;">
                <v:fill on="f" focussize="0,0"/>
                <v:stroke on="f"/>
                <v:imagedata o:title=""/>
                <o:lock v:ext="edit" aspectratio="f"/>
                <v:textbox>
                  <w:txbxContent>
                    <w:p w14:paraId="7E7F40E3">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p w14:paraId="0C2AF611">
                      <w:pPr>
                        <w:rPr>
                          <w:lang w:eastAsia="zh-CN"/>
                        </w:rPr>
                      </w:pPr>
                    </w:p>
                  </w:txbxContent>
                </v:textbox>
              </v:shape>
            </w:pict>
          </mc:Fallback>
        </mc:AlternateContent>
      </w:r>
      <w:r>
        <w:rPr>
          <w:rFonts w:hint="eastAsia" w:ascii="仿宋" w:hAnsi="仿宋" w:eastAsia="仿宋" w:cs="仿宋"/>
          <w:color w:val="auto"/>
          <w:highlight w:val="none"/>
          <w:lang w:eastAsia="zh-CN"/>
        </w:rPr>
        <w:t>7.2.1 合同约定由承包人负责初步设计文件编制的，承包人应按合同约定提供包括初步设计图纸与设计概算的完整设计文件，按约定的时间和份数报送发包人及设计顾问人。承包人应按审查意见修改完善初步设计图纸及设计概算，直到审查批准或备案。</w:t>
      </w:r>
    </w:p>
    <w:p w14:paraId="08BF9929">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初步设计图纸及设计概算审查合格后，承包人应配合发包人完成审批或备案程序，并按审批或备案的初步设计文件进行施工图设计和投资控制。如承包人未按合理时间完成初步设计图纸及设计概算的编制，导致后续设计或施工工期延误及费用增加，由承包人承担责任，按第43.8款约定处理。</w:t>
      </w:r>
    </w:p>
    <w:p w14:paraId="63DC20A8">
      <w:pPr>
        <w:widowControl w:val="0"/>
        <w:spacing w:line="360" w:lineRule="auto"/>
        <w:ind w:left="1850" w:leftChars="771"/>
        <w:jc w:val="both"/>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7.2.2 承包人应按合同约定提供包括施工图及施工图预算的完整设计文件，按约定的时间和份数报送发包人及设计顾问人。承包人应按审查意见修改完善施工图。</w:t>
      </w:r>
    </w:p>
    <w:p w14:paraId="52DB731A">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承包人应配合发包人完成审批或备案程序以及发放工作，并按图施工。如承包人未按合理时间完成施工图设计及施工图预算编制，导致施工工期延误及费用增加，责任由承包人承担，按第43.8款约定处理。</w:t>
      </w:r>
    </w:p>
    <w:p w14:paraId="60B9919A">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7.2.3 初步设计文件和（或）施工图设计文件的完备性、正确性由承包人负责，若初步设计文件和（或）施工图设计文件等存在缺陷，承包人应及时修正，其造成的工程质量缺陷、工期延误及费用增加，责任由承包人承担。</w:t>
      </w:r>
    </w:p>
    <w:p w14:paraId="380F25AA">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7.2.4 承包人不得将其承包的全部设计工作或将其肢解后以分包的名义转包给第三方，也不得将建设工程主体部分的设计工作分包给第三方。因承包人不具备部分专项设计资质（如人防、幕墙、园林景观、装修等专业工程），承包人应经发包人同意后方可将部分工作分包给具有相应资质的专项设计单位，但不免除承包人的相关责任。</w:t>
      </w:r>
    </w:p>
    <w:p w14:paraId="28585506">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7.2.5 承包人应及时组织勘察、设计、BIM技术应用、采购、施工等专业负责人对设计文件进行技术交底和审核，协调内部专业分工及责任划分，对设计文件的深度和质量进行完善和修正。</w:t>
      </w:r>
    </w:p>
    <w:p w14:paraId="30369280">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7.2.6 承包人应按约定向发包人及设计顾问人、监理人、造价咨询人等相关方报送设计文件，配合审查、审批或备案，确认工作完成时间和成果。但发包人及相关方的审查、审批或确认通过与否，发包人及相关方均不承担责任，设计文件的质量责任由承包人承担。</w:t>
      </w:r>
    </w:p>
    <w:p w14:paraId="679EC086">
      <w:pPr>
        <w:spacing w:line="360" w:lineRule="auto"/>
        <w:rPr>
          <w:rFonts w:hint="eastAsia" w:ascii="仿宋" w:hAnsi="仿宋" w:eastAsia="仿宋"/>
          <w:b/>
          <w:color w:val="auto"/>
          <w:highlight w:val="none"/>
          <w:lang w:eastAsia="zh-CN"/>
        </w:rPr>
      </w:pPr>
      <w:r>
        <w:rPr>
          <w:rFonts w:hint="eastAsia" w:ascii="仿宋" w:hAnsi="仿宋" w:eastAsia="仿宋"/>
          <w:b/>
          <w:color w:val="auto"/>
          <w:highlight w:val="none"/>
          <w:lang w:eastAsia="zh-CN"/>
        </w:rPr>
        <w:t>7.3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483A5864">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20320</wp:posOffset>
                </wp:positionV>
                <wp:extent cx="765810" cy="606425"/>
                <wp:effectExtent l="0" t="0" r="0" b="0"/>
                <wp:wrapNone/>
                <wp:docPr id="19" name="000116"/>
                <wp:cNvGraphicFramePr/>
                <a:graphic xmlns:a="http://schemas.openxmlformats.org/drawingml/2006/main">
                  <a:graphicData uri="http://schemas.microsoft.com/office/word/2010/wordprocessingShape">
                    <wps:wsp>
                      <wps:cNvSpPr txBox="1"/>
                      <wps:spPr>
                        <a:xfrm>
                          <a:off x="0" y="0"/>
                          <a:ext cx="765810" cy="606425"/>
                        </a:xfrm>
                        <a:prstGeom prst="rect">
                          <a:avLst/>
                        </a:prstGeom>
                        <a:noFill/>
                        <a:ln>
                          <a:noFill/>
                        </a:ln>
                        <a:effectLst/>
                      </wps:spPr>
                      <wps:txbx>
                        <w:txbxContent>
                          <w:p w14:paraId="3414D1B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p w14:paraId="65FC822A"/>
                        </w:txbxContent>
                      </wps:txbx>
                      <wps:bodyPr wrap="square" upright="1"/>
                    </wps:wsp>
                  </a:graphicData>
                </a:graphic>
              </wp:anchor>
            </w:drawing>
          </mc:Choice>
          <mc:Fallback>
            <w:pict>
              <v:shape id="000116" o:spid="_x0000_s1026" o:spt="202" type="#_x0000_t202" style="position:absolute;left:0pt;margin-left:-9pt;margin-top:1.6pt;height:47.75pt;width:60.3pt;z-index:251677696;mso-width-relative:page;mso-height-relative:page;" filled="f" stroked="f" coordsize="21600,21600" o:gfxdata="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0URv29YAAAAIAQAA&#10;DwAAAAAAAAABACAAAAAiAAAAZHJzL2Rvd25yZXYueG1sUEsBAhQAFAAAAAgAh07iQCjNUvKpAQAA&#10;ZQMAAA4AAAAAAAAAAQAgAAAAJQEAAGRycy9lMm9Eb2MueG1sUEsFBgAAAAAGAAYAWQEAAEAFAAAA&#10;AA==&#10;">
                <v:fill on="f" focussize="0,0"/>
                <v:stroke on="f"/>
                <v:imagedata o:title=""/>
                <o:lock v:ext="edit" aspectratio="f"/>
                <v:textbox>
                  <w:txbxContent>
                    <w:p w14:paraId="3414D1B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p w14:paraId="65FC822A"/>
                  </w:txbxContent>
                </v:textbox>
              </v:shape>
            </w:pict>
          </mc:Fallback>
        </mc:AlternateContent>
      </w:r>
      <w:r>
        <w:rPr>
          <w:rFonts w:hint="eastAsia" w:ascii="仿宋" w:hAnsi="仿宋" w:eastAsia="仿宋" w:cs="仿宋"/>
          <w:color w:val="auto"/>
          <w:highlight w:val="none"/>
          <w:lang w:eastAsia="zh-CN"/>
        </w:rPr>
        <w:t>合同约定由承包人负责提供本项目设计、施工、竣工验收、运维（如果有）等阶段的建筑信息模型（BIM）及有关应用的，承包人应按合同约定的应用节点和时间提供BIM模型及有关成果，同时协助发包人及设计顾问人、监理人、造价咨询人等相关方正确使用。如承包人未按要求提供建筑信息模型（BIM）及有关应用成果，导致设计和（或）施工工期延误及费用增加，责任由承包人承担，按第44.8款约定处理。</w:t>
      </w:r>
    </w:p>
    <w:p w14:paraId="7253572A">
      <w:pPr>
        <w:widowControl w:val="0"/>
        <w:numPr>
          <w:ilvl w:val="0"/>
          <w:numId w:val="5"/>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建筑信息模型（BIM）及有关应用成果的完备性、正确性由承包人负责，若存在缺陷，承包人应及时修正，其造成的工程质量缺陷、工期延误及费用增加，责任由承包人承担。</w:t>
      </w:r>
    </w:p>
    <w:p w14:paraId="6A894949">
      <w:pPr>
        <w:widowControl w:val="0"/>
        <w:numPr>
          <w:ilvl w:val="0"/>
          <w:numId w:val="5"/>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承包人应及时组织勘察、设计、BIM技术应用、采购、施工等专业负责人对建筑信息模型（BIM）及有关应用成果进行技术交底和审核，协调内部专业分工及责任划分，对建模的深度和质量进行完善和修正。</w:t>
      </w:r>
    </w:p>
    <w:p w14:paraId="542592D4">
      <w:pPr>
        <w:widowControl w:val="0"/>
        <w:numPr>
          <w:ilvl w:val="0"/>
          <w:numId w:val="5"/>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按约定向发包人及设计顾问人、监理人、造价咨询人等相关方报送建筑信息模型（BIM）及有关应用成果，配合审查、审批或备案，确认工作完成时间和成果。但发包人及相关方的审查、审批或确认通过与否，发包人及相关方均不承担责任，建筑信息模型（BIM）及有关应用成果的质量责任由承包人承担。</w:t>
      </w:r>
    </w:p>
    <w:p w14:paraId="192B7C9E">
      <w:pPr>
        <w:widowControl w:val="0"/>
        <w:numPr>
          <w:ilvl w:val="0"/>
          <w:numId w:val="5"/>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在发包人有建立BIM协同管理平台需求时协助发包人建立BIM协同管理平台，指导设计顾问人、监理人、造价咨询人等参建各方正确使用建筑信息模型（BIM）及有关应用成果，实现项目建设各阶段BIM应用的信息传递和共享。具体服务内容和要求在专用条款中约定。</w:t>
      </w:r>
    </w:p>
    <w:p w14:paraId="22AF7769">
      <w:pPr>
        <w:spacing w:line="360" w:lineRule="auto"/>
        <w:rPr>
          <w:rFonts w:hint="eastAsia" w:ascii="仿宋" w:hAnsi="仿宋" w:eastAsia="仿宋" w:cs="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03B6D469">
      <w:pPr>
        <w:pStyle w:val="4"/>
        <w:tabs>
          <w:tab w:val="left" w:pos="420"/>
        </w:tabs>
        <w:spacing w:before="120" w:after="120" w:line="360" w:lineRule="auto"/>
        <w:rPr>
          <w:rFonts w:hint="eastAsia" w:ascii="仿宋" w:hAnsi="仿宋" w:eastAsia="仿宋" w:cs="仿宋"/>
          <w:color w:val="auto"/>
          <w:sz w:val="24"/>
          <w:szCs w:val="24"/>
          <w:highlight w:val="none"/>
          <w:lang w:eastAsia="zh-CN"/>
        </w:rPr>
      </w:pPr>
      <w:bookmarkStart w:id="247" w:name="_Toc4668"/>
      <w:bookmarkStart w:id="248" w:name="_Toc7596"/>
      <w:bookmarkStart w:id="249" w:name="_Toc9977"/>
      <w:bookmarkStart w:id="250" w:name="_Toc25718"/>
      <w:bookmarkStart w:id="251" w:name="_Toc10218"/>
      <w:bookmarkStart w:id="252" w:name="_Toc25622"/>
      <w:bookmarkStart w:id="253" w:name="_Toc47694278"/>
      <w:bookmarkStart w:id="254" w:name="_Toc25099"/>
      <w:r>
        <w:rPr>
          <w:rFonts w:hint="eastAsia" w:ascii="仿宋" w:hAnsi="仿宋" w:eastAsia="仿宋" w:cs="仿宋"/>
          <w:color w:val="auto"/>
          <w:sz w:val="24"/>
          <w:szCs w:val="24"/>
          <w:highlight w:val="none"/>
          <w:lang w:eastAsia="zh-CN"/>
        </w:rPr>
        <w:t>8 合同价格的控制原则</w:t>
      </w:r>
      <w:bookmarkEnd w:id="247"/>
      <w:bookmarkEnd w:id="248"/>
      <w:bookmarkEnd w:id="249"/>
      <w:bookmarkEnd w:id="250"/>
      <w:bookmarkEnd w:id="251"/>
      <w:bookmarkEnd w:id="252"/>
      <w:bookmarkEnd w:id="253"/>
      <w:bookmarkEnd w:id="254"/>
    </w:p>
    <w:p w14:paraId="2C05B8B0">
      <w:pPr>
        <w:spacing w:line="360" w:lineRule="auto"/>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8.1</w:t>
      </w:r>
    </w:p>
    <w:p w14:paraId="662837C6">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rPr>
        <mc:AlternateContent>
          <mc:Choice Requires="wps">
            <w:drawing>
              <wp:anchor distT="0" distB="0" distL="114300" distR="114300" simplePos="0" relativeHeight="251678720" behindDoc="0" locked="0" layoutInCell="1" allowOverlap="1">
                <wp:simplePos x="0" y="0"/>
                <wp:positionH relativeFrom="column">
                  <wp:posOffset>-171450</wp:posOffset>
                </wp:positionH>
                <wp:positionV relativeFrom="paragraph">
                  <wp:posOffset>78105</wp:posOffset>
                </wp:positionV>
                <wp:extent cx="795655" cy="396240"/>
                <wp:effectExtent l="0" t="0" r="0" b="0"/>
                <wp:wrapNone/>
                <wp:docPr id="20" name="000117"/>
                <wp:cNvGraphicFramePr/>
                <a:graphic xmlns:a="http://schemas.openxmlformats.org/drawingml/2006/main">
                  <a:graphicData uri="http://schemas.microsoft.com/office/word/2010/wordprocessingShape">
                    <wps:wsp>
                      <wps:cNvSpPr txBox="1"/>
                      <wps:spPr>
                        <a:xfrm>
                          <a:off x="0" y="0"/>
                          <a:ext cx="795655" cy="396240"/>
                        </a:xfrm>
                        <a:prstGeom prst="rect">
                          <a:avLst/>
                        </a:prstGeom>
                        <a:noFill/>
                        <a:ln>
                          <a:noFill/>
                        </a:ln>
                        <a:effectLst/>
                      </wps:spPr>
                      <wps:txbx>
                        <w:txbxContent>
                          <w:p w14:paraId="465EF2D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p w14:paraId="04068CF7"/>
                        </w:txbxContent>
                      </wps:txbx>
                      <wps:bodyPr wrap="square" upright="1"/>
                    </wps:wsp>
                  </a:graphicData>
                </a:graphic>
              </wp:anchor>
            </w:drawing>
          </mc:Choice>
          <mc:Fallback>
            <w:pict>
              <v:shape id="000117" o:spid="_x0000_s1026" o:spt="202" type="#_x0000_t202" style="position:absolute;left:0pt;margin-left:-13.5pt;margin-top:6.15pt;height:31.2pt;width:62.65pt;z-index:251678720;mso-width-relative:page;mso-height-relative:page;" filled="f" stroked="f" coordsize="21600,21600" o:gfxdata="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41KanXAAAA&#10;CAEAAA8AAAAAAAAAAQAgAAAAIgAAAGRycy9kb3ducmV2LnhtbFBLAQIUABQAAAAIAIdO4kBVg2fe&#10;rAEAAGUDAAAOAAAAAAAAAAEAIAAAACYBAABkcnMvZTJvRG9jLnhtbFBLBQYAAAAABgAGAFkBAABE&#10;BQAAAAA=&#10;">
                <v:fill on="f" focussize="0,0"/>
                <v:stroke on="f"/>
                <v:imagedata o:title=""/>
                <o:lock v:ext="edit" aspectratio="f"/>
                <v:textbox>
                  <w:txbxContent>
                    <w:p w14:paraId="465EF2D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p w14:paraId="04068CF7"/>
                  </w:txbxContent>
                </v:textbox>
              </v:shape>
            </w:pict>
          </mc:Fallback>
        </mc:AlternateContent>
      </w:r>
      <w:r>
        <w:rPr>
          <w:rFonts w:hint="eastAsia" w:ascii="仿宋" w:hAnsi="仿宋" w:eastAsia="仿宋" w:cs="仿宋"/>
          <w:color w:val="auto"/>
          <w:highlight w:val="none"/>
          <w:lang w:eastAsia="zh-CN"/>
        </w:rPr>
        <w:t>8.1.1 对于立项后发包的，总承包范围内的工程勘察费、工程设计费、BIM技术应用费、设备及工器具购置费、建筑安装工程费等各项费用的概算金额及汇总金额，不得超过已批准立项的投资估算中相应各项费用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406B1346">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8.1.2 对于初步设计批准或备案后发包的，总承包范围内的工程勘察费、工程设计费、BIM技术应用费、设备及工器具购置费、建筑安装工程费等各项费用及汇总金额，不得超过已批准的初步设计概算中相应各项费用的概算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30A9B83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8.1.3 已批准或备案的投资估算或初步设计概算中，工程勘察费、工程设计费、BIM技术应用费中没有初步勘察费、详细勘察费、初步设计费、施工图设计费、设计建模、施工建模等项目建设各阶段相应费用明细列项的，发包人应对工程勘察费、工程设计费、BIM技术应用费等分别按其各阶段工作合理比例进行划分，作为总承包范围内工程勘察费、工程设计费、BIM技术应用费的控制指标。</w:t>
      </w:r>
    </w:p>
    <w:p w14:paraId="74608E7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8.1.4 按合同约定的计价方法及允许调整事项进行竣工结算，工程勘察费、工程设计费、BIM技术应用费、设备及工器具购置费、建筑安装工程费等结算金额及汇总金额不得超过协议书约定的相应合同价格、合同总价及允许调整金额。</w:t>
      </w:r>
    </w:p>
    <w:p w14:paraId="4A7F3AFF">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8.2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4636A0D">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55880</wp:posOffset>
                </wp:positionV>
                <wp:extent cx="803910" cy="436245"/>
                <wp:effectExtent l="0" t="0" r="0" b="0"/>
                <wp:wrapNone/>
                <wp:docPr id="21" name="000118"/>
                <wp:cNvGraphicFramePr/>
                <a:graphic xmlns:a="http://schemas.openxmlformats.org/drawingml/2006/main">
                  <a:graphicData uri="http://schemas.microsoft.com/office/word/2010/wordprocessingShape">
                    <wps:wsp>
                      <wps:cNvSpPr txBox="1"/>
                      <wps:spPr>
                        <a:xfrm>
                          <a:off x="0" y="0"/>
                          <a:ext cx="803910" cy="436245"/>
                        </a:xfrm>
                        <a:prstGeom prst="rect">
                          <a:avLst/>
                        </a:prstGeom>
                        <a:noFill/>
                        <a:ln>
                          <a:noFill/>
                        </a:ln>
                        <a:effectLst/>
                      </wps:spPr>
                      <wps:txbx>
                        <w:txbxContent>
                          <w:p w14:paraId="3E127E3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p w14:paraId="15E5CAA9"/>
                        </w:txbxContent>
                      </wps:txbx>
                      <wps:bodyPr wrap="square" upright="1"/>
                    </wps:wsp>
                  </a:graphicData>
                </a:graphic>
              </wp:anchor>
            </w:drawing>
          </mc:Choice>
          <mc:Fallback>
            <w:pict>
              <v:shape id="000118" o:spid="_x0000_s1026" o:spt="202" type="#_x0000_t202" style="position:absolute;left:0pt;margin-left:-9pt;margin-top:4.4pt;height:34.35pt;width:63.3pt;z-index:251679744;mso-width-relative:page;mso-height-relative:page;" filled="f" stroked="f" coordsize="21600,21600" o:gfxdata="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OKC4CdUAAAAIAQAA&#10;DwAAAAAAAAABACAAAAAiAAAAZHJzL2Rvd25yZXYueG1sUEsBAhQAFAAAAAgAh07iQDHzp8iqAQAA&#10;ZQMAAA4AAAAAAAAAAQAgAAAAJAEAAGRycy9lMm9Eb2MueG1sUEsFBgAAAAAGAAYAWQEAAEAFAAAA&#10;AA==&#10;">
                <v:fill on="f" focussize="0,0"/>
                <v:stroke on="f"/>
                <v:imagedata o:title=""/>
                <o:lock v:ext="edit" aspectratio="f"/>
                <v:textbox>
                  <w:txbxContent>
                    <w:p w14:paraId="3E127E3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p w14:paraId="15E5CAA9"/>
                  </w:txbxContent>
                </v:textbox>
              </v:shape>
            </w:pict>
          </mc:Fallback>
        </mc:AlternateContent>
      </w:r>
      <w:r>
        <w:rPr>
          <w:rFonts w:hint="eastAsia" w:ascii="仿宋" w:hAnsi="仿宋" w:eastAsia="仿宋" w:cs="仿宋"/>
          <w:color w:val="auto"/>
          <w:highlight w:val="none"/>
          <w:lang w:eastAsia="zh-CN"/>
        </w:rPr>
        <w:t>8.2.1对于立项后发包、合同约定由承包人提供勘察服务的，承包人应按专用条款约定的计价方式和允许调整事项编制初步设计概算，工程勘察费概算金额不得超过协议书中约定的相应合同价格及允许调整金额。</w:t>
      </w:r>
    </w:p>
    <w:p w14:paraId="56B3A54B">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8.2.2对于初步设计批准或备案后发包、合同约定由承包人提供详细勘察服务的，承包人应按专用条款约定的计价方式和允许调整事项计算，工程勘察费金额不得超过协议书中约定的相应合同价格及允许调整金额。</w:t>
      </w:r>
    </w:p>
    <w:p w14:paraId="036B469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8.2.3按合同约定的计价方法及允许调整事项进行工程勘察费结算，其结算金额不得超过协议书约定的工程勘察费合同价格及允许调整金额。</w:t>
      </w:r>
    </w:p>
    <w:p w14:paraId="70434BF5">
      <w:pPr>
        <w:spacing w:line="360" w:lineRule="auto"/>
        <w:rPr>
          <w:rFonts w:hint="eastAsia" w:ascii="仿宋" w:hAnsi="仿宋" w:eastAsia="仿宋" w:cs="仿宋"/>
          <w:b/>
          <w:color w:val="auto"/>
          <w:highlight w:val="none"/>
          <w:lang w:eastAsia="zh-CN"/>
        </w:rPr>
      </w:pPr>
      <w:bookmarkStart w:id="255" w:name="_Toc11973"/>
      <w:r>
        <w:rPr>
          <w:rFonts w:ascii="仿宋" w:hAnsi="仿宋" w:eastAsia="仿宋" w:cs="仿宋"/>
          <w:color w:val="auto"/>
          <w:highlight w:val="none"/>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292100</wp:posOffset>
                </wp:positionV>
                <wp:extent cx="813435" cy="417195"/>
                <wp:effectExtent l="0" t="0" r="0" b="0"/>
                <wp:wrapNone/>
                <wp:docPr id="22" name="000119"/>
                <wp:cNvGraphicFramePr/>
                <a:graphic xmlns:a="http://schemas.openxmlformats.org/drawingml/2006/main">
                  <a:graphicData uri="http://schemas.microsoft.com/office/word/2010/wordprocessingShape">
                    <wps:wsp>
                      <wps:cNvSpPr txBox="1"/>
                      <wps:spPr>
                        <a:xfrm>
                          <a:off x="0" y="0"/>
                          <a:ext cx="813435" cy="417195"/>
                        </a:xfrm>
                        <a:prstGeom prst="rect">
                          <a:avLst/>
                        </a:prstGeom>
                        <a:noFill/>
                        <a:ln>
                          <a:noFill/>
                        </a:ln>
                        <a:effectLst/>
                      </wps:spPr>
                      <wps:txbx>
                        <w:txbxContent>
                          <w:p w14:paraId="7F5ED12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p w14:paraId="7AA6B9DE"/>
                        </w:txbxContent>
                      </wps:txbx>
                      <wps:bodyPr wrap="square" upright="1"/>
                    </wps:wsp>
                  </a:graphicData>
                </a:graphic>
              </wp:anchor>
            </w:drawing>
          </mc:Choice>
          <mc:Fallback>
            <w:pict>
              <v:shape id="000119" o:spid="_x0000_s1026" o:spt="202" type="#_x0000_t202" style="position:absolute;left:0pt;margin-left:-9pt;margin-top:23pt;height:32.85pt;width:64.05pt;z-index:251680768;mso-width-relative:page;mso-height-relative:page;" filled="f" stroked="f" coordsize="21600,21600" o:gfxdata="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nbieGdYAAAAK&#10;AQAADwAAAAAAAAABACAAAAAiAAAAZHJzL2Rvd25yZXYueG1sUEsBAhQAFAAAAAgAh07iQJsSGIus&#10;AQAAZQMAAA4AAAAAAAAAAQAgAAAAJQEAAGRycy9lMm9Eb2MueG1sUEsFBgAAAAAGAAYAWQEAAEMF&#10;AAAAAA==&#10;">
                <v:fill on="f" focussize="0,0"/>
                <v:stroke on="f"/>
                <v:imagedata o:title=""/>
                <o:lock v:ext="edit" aspectratio="f"/>
                <v:textbox>
                  <w:txbxContent>
                    <w:p w14:paraId="7F5ED12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p w14:paraId="7AA6B9DE"/>
                  </w:txbxContent>
                </v:textbox>
              </v:shape>
            </w:pict>
          </mc:Fallback>
        </mc:AlternateContent>
      </w:r>
      <w:r>
        <w:rPr>
          <w:rFonts w:hint="eastAsia" w:ascii="仿宋" w:hAnsi="仿宋" w:eastAsia="仿宋" w:cs="仿宋"/>
          <w:b/>
          <w:color w:val="auto"/>
          <w:highlight w:val="none"/>
          <w:lang w:eastAsia="zh-CN"/>
        </w:rPr>
        <w:t>8.3</w:t>
      </w:r>
      <w:bookmarkEnd w:id="25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2A72C3F">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8.3.1对于立项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14:paraId="513D9D5D">
      <w:pPr>
        <w:widowControl w:val="0"/>
        <w:spacing w:line="360" w:lineRule="auto"/>
        <w:ind w:left="1850" w:leftChars="771"/>
        <w:jc w:val="both"/>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8.3.2对于初步设计批准或备案后发包的、合同约定由承包人提供施工图设计服务的，承包人应按专用条款约定的计价方式和允许调整事项计算，施工图设计费金额不得超过协议书中约定的相应合同价格及允许调整金额。</w:t>
      </w:r>
    </w:p>
    <w:p w14:paraId="16D81747">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8.3.3  按合同约定的计价方法及允许调整事项进行工程设计费结算，其结算金额不得超过协议书约定的相应合同价格及允许调整金额。</w:t>
      </w:r>
    </w:p>
    <w:p w14:paraId="3BE72E40">
      <w:pPr>
        <w:spacing w:line="360" w:lineRule="auto"/>
        <w:rPr>
          <w:rFonts w:hint="eastAsia" w:ascii="仿宋" w:hAnsi="仿宋" w:eastAsia="仿宋" w:cs="仿宋"/>
          <w:b/>
          <w:color w:val="auto"/>
          <w:highlight w:val="none"/>
          <w:lang w:eastAsia="zh-CN"/>
        </w:rPr>
      </w:pPr>
      <w:bookmarkStart w:id="256" w:name="_Toc15376"/>
      <w:r>
        <w:rPr>
          <w:rFonts w:ascii="仿宋" w:hAnsi="仿宋" w:eastAsia="仿宋" w:cs="仿宋"/>
          <w:color w:val="auto"/>
          <w:highlight w:val="none"/>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269875</wp:posOffset>
                </wp:positionV>
                <wp:extent cx="803910" cy="473710"/>
                <wp:effectExtent l="0" t="0" r="0" b="0"/>
                <wp:wrapNone/>
                <wp:docPr id="23" name="00011a"/>
                <wp:cNvGraphicFramePr/>
                <a:graphic xmlns:a="http://schemas.openxmlformats.org/drawingml/2006/main">
                  <a:graphicData uri="http://schemas.microsoft.com/office/word/2010/wordprocessingShape">
                    <wps:wsp>
                      <wps:cNvSpPr txBox="1"/>
                      <wps:spPr>
                        <a:xfrm>
                          <a:off x="0" y="0"/>
                          <a:ext cx="803910" cy="473710"/>
                        </a:xfrm>
                        <a:prstGeom prst="rect">
                          <a:avLst/>
                        </a:prstGeom>
                        <a:noFill/>
                        <a:ln>
                          <a:noFill/>
                        </a:ln>
                        <a:effectLst/>
                      </wps:spPr>
                      <wps:txbx>
                        <w:txbxContent>
                          <w:p w14:paraId="63442F6E">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p w14:paraId="60856194">
                            <w:pPr>
                              <w:rPr>
                                <w:lang w:eastAsia="zh-CN"/>
                              </w:rPr>
                            </w:pPr>
                          </w:p>
                        </w:txbxContent>
                      </wps:txbx>
                      <wps:bodyPr wrap="square" upright="1"/>
                    </wps:wsp>
                  </a:graphicData>
                </a:graphic>
              </wp:anchor>
            </w:drawing>
          </mc:Choice>
          <mc:Fallback>
            <w:pict>
              <v:shape id="00011a" o:spid="_x0000_s1026" o:spt="202" type="#_x0000_t202" style="position:absolute;left:0pt;margin-left:-9pt;margin-top:21.25pt;height:37.3pt;width:63.3pt;z-index:251681792;mso-width-relative:page;mso-height-relative:page;" filled="f" stroked="f" coordsize="21600,21600" o:gfxdata="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ElHxyPXAAAACgEA&#10;AA8AAAAAAAAAAQAgAAAAIgAAAGRycy9kb3ducmV2LnhtbFBLAQIUABQAAAAIAIdO4kCpMvO1qQEA&#10;AGUDAAAOAAAAAAAAAAEAIAAAACYBAABkcnMvZTJvRG9jLnhtbFBLBQYAAAAABgAGAFkBAABBBQAA&#10;AAA=&#10;">
                <v:fill on="f" focussize="0,0"/>
                <v:stroke on="f"/>
                <v:imagedata o:title=""/>
                <o:lock v:ext="edit" aspectratio="f"/>
                <v:textbox>
                  <w:txbxContent>
                    <w:p w14:paraId="63442F6E">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p w14:paraId="60856194">
                      <w:pPr>
                        <w:rPr>
                          <w:lang w:eastAsia="zh-CN"/>
                        </w:rPr>
                      </w:pPr>
                    </w:p>
                  </w:txbxContent>
                </v:textbox>
              </v:shape>
            </w:pict>
          </mc:Fallback>
        </mc:AlternateContent>
      </w:r>
      <w:r>
        <w:rPr>
          <w:rFonts w:hint="eastAsia" w:ascii="仿宋" w:hAnsi="仿宋" w:eastAsia="仿宋" w:cs="仿宋"/>
          <w:b/>
          <w:color w:val="auto"/>
          <w:highlight w:val="none"/>
          <w:lang w:eastAsia="zh-CN"/>
        </w:rPr>
        <w:t>8.4</w:t>
      </w:r>
      <w:bookmarkEnd w:id="25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1196190">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8.4.1对于可行性研究批准立项或备案后发包的、合同约定由承包人提供初步设计、施工图设计、施工、竣工验收、运维（如果有）等阶段BIM技术应用的，承包人应按专用条款约定的计价方式和允许调整事项编制初步设计概算，BIM技术应用费的概算金额不得超过已批准立项的投资估算中相应费用的金额。</w:t>
      </w:r>
    </w:p>
    <w:p w14:paraId="49B636B9">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8.4.2对于初步设计批准或备案后发包的、合同约定由承包人提供施工图设计、施工、竣工验收、运维（如果有）等阶段BIM技术应用的，承包人应按专用条款约定的计价方式和允许调整事项计算，BIM技术应用费金额不得超过协议书中约定的相应合同价格及允许调整金额。</w:t>
      </w:r>
    </w:p>
    <w:p w14:paraId="4D8A4EAF">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8.4.3  按合同约定的计价方法及允许调整事项进行BIM技术应用费结算，其结算金额不得超过协议书约定的相应合同价格及允许调整金额。</w:t>
      </w:r>
    </w:p>
    <w:p w14:paraId="3D40123C">
      <w:pPr>
        <w:spacing w:line="360" w:lineRule="auto"/>
        <w:rPr>
          <w:rFonts w:hint="eastAsia" w:ascii="仿宋" w:hAnsi="仿宋" w:eastAsia="仿宋" w:cs="仿宋"/>
          <w:b/>
          <w:color w:val="auto"/>
          <w:highlight w:val="none"/>
          <w:lang w:eastAsia="zh-CN"/>
        </w:rPr>
      </w:pPr>
      <w:bookmarkStart w:id="257" w:name="_Toc10468"/>
      <w:r>
        <w:rPr>
          <w:rFonts w:hint="eastAsia" w:ascii="仿宋" w:hAnsi="仿宋" w:eastAsia="仿宋" w:cs="仿宋"/>
          <w:b/>
          <w:color w:val="auto"/>
          <w:highlight w:val="none"/>
          <w:lang w:eastAsia="zh-CN"/>
        </w:rPr>
        <w:t>8.5</w:t>
      </w:r>
      <w:bookmarkEnd w:id="25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FE2813B">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b/>
          <w:color w:val="auto"/>
          <w:highlight w:val="none"/>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50800</wp:posOffset>
                </wp:positionV>
                <wp:extent cx="803910" cy="378460"/>
                <wp:effectExtent l="0" t="0" r="0" b="0"/>
                <wp:wrapNone/>
                <wp:docPr id="24" name="00011b"/>
                <wp:cNvGraphicFramePr/>
                <a:graphic xmlns:a="http://schemas.openxmlformats.org/drawingml/2006/main">
                  <a:graphicData uri="http://schemas.microsoft.com/office/word/2010/wordprocessingShape">
                    <wps:wsp>
                      <wps:cNvSpPr txBox="1"/>
                      <wps:spPr>
                        <a:xfrm>
                          <a:off x="0" y="0"/>
                          <a:ext cx="803910" cy="378460"/>
                        </a:xfrm>
                        <a:prstGeom prst="rect">
                          <a:avLst/>
                        </a:prstGeom>
                        <a:noFill/>
                        <a:ln>
                          <a:noFill/>
                        </a:ln>
                        <a:effectLst/>
                      </wps:spPr>
                      <wps:txbx>
                        <w:txbxContent>
                          <w:p w14:paraId="35AFBE1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p w14:paraId="2F751498"/>
                        </w:txbxContent>
                      </wps:txbx>
                      <wps:bodyPr wrap="square" upright="1"/>
                    </wps:wsp>
                  </a:graphicData>
                </a:graphic>
              </wp:anchor>
            </w:drawing>
          </mc:Choice>
          <mc:Fallback>
            <w:pict>
              <v:shape id="00011b" o:spid="_x0000_s1026" o:spt="202" type="#_x0000_t202" style="position:absolute;left:0pt;margin-left:-9pt;margin-top:4pt;height:29.8pt;width:63.3pt;z-index:251682816;mso-width-relative:page;mso-height-relative:page;" filled="f" stroked="f" coordsize="21600,21600" o:gfxdata="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CEUlEXVAAAACAEA&#10;AA8AAAAAAAAAAQAgAAAAIgAAAGRycy9kb3ducmV2LnhtbFBLAQIUABQAAAAIAIdO4kCnCpPxqwEA&#10;AGUDAAAOAAAAAAAAAAEAIAAAACQBAABkcnMvZTJvRG9jLnhtbFBLBQYAAAAABgAGAFkBAABBBQAA&#10;AAA=&#10;">
                <v:fill on="f" focussize="0,0"/>
                <v:stroke on="f"/>
                <v:imagedata o:title=""/>
                <o:lock v:ext="edit" aspectratio="f"/>
                <v:textbox>
                  <w:txbxContent>
                    <w:p w14:paraId="35AFBE1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p w14:paraId="2F751498"/>
                  </w:txbxContent>
                </v:textbox>
              </v:shape>
            </w:pict>
          </mc:Fallback>
        </mc:AlternateContent>
      </w:r>
      <w:r>
        <w:rPr>
          <w:rFonts w:hint="eastAsia" w:ascii="仿宋" w:hAnsi="仿宋" w:eastAsia="仿宋" w:cs="仿宋"/>
          <w:color w:val="auto"/>
          <w:highlight w:val="none"/>
          <w:lang w:eastAsia="zh-CN"/>
        </w:rPr>
        <w:t>8.5.1建筑安装工程费严格实行限额设计，承包人提供的初步设计文件（如果有）、施工图设计文件、变更设计文件（如果有）均不得高于专用条款约定的相应投资限额（包括总额限额及专业分解限额指标）。承包人的设计应当依据分解限额控制标准和规模，确保项目投资得到充分利用，层层控制，但不得突破。确需局部突破的，必须获得发包人批准并应重新分配专业分解指标，确保总额不突破相应限额及合同约定允许调整金额，否则超出部分由承包人自行承担。</w:t>
      </w:r>
    </w:p>
    <w:p w14:paraId="63EC8811">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8.5.2对于立项后发包的，在初步设计符合承包范围、工程内容、功能、规模、标准等要求的前提下，承包人应按专用条款约定的计价方式和允许调整事项编制初步设计概算，建筑安装工程费金额不得超过协议书约定的相应合同价格及允许调整金额。否则，承包人应在不降低承包范围、工程内容、功能、规模、标准等要求的前提下组织优化设计并修编初步设计概算。</w:t>
      </w:r>
    </w:p>
    <w:p w14:paraId="6DF2E01C">
      <w:pPr>
        <w:widowControl w:val="0"/>
        <w:spacing w:line="360" w:lineRule="auto"/>
        <w:ind w:left="1850" w:leftChars="771"/>
        <w:jc w:val="both"/>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8.5.3 对于初步设计批准或备案后发包的，在施工图符合承包范围、工程内容、功能、规模、标准等要求的前提下，应按专用条款约定的计价方式和允许调整事项编制施工图预算，其施工图预算金额不得超过协议书约定的相应合同价格及允许调整金额。否则，承包人应在不降低承包范围、工程内容、功能、规模、标准等要求的前提下组织优化设计并修编施工图预算。</w:t>
      </w:r>
    </w:p>
    <w:p w14:paraId="686012A8">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8.5.4 按合同约定的计价方法及允许调整事项进行建筑安装工程费结算，其结算金额不得超过协议书约定的相应合同价格及允许调整金额。</w:t>
      </w:r>
    </w:p>
    <w:p w14:paraId="08746690">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8.5.5 若合同价格清单中存在暂列金额的，承包人应在初步设计、施工图设计及施工过程中及时报设计顾问人或监理人进行变更、现场签证等确认，并编制变更预算、现场签证费报造价咨询人审核确认，及时对比累计变更、签证金额与暂列金额的差值。合同工程竣工后，除合同双方当事人另有约定外，累计变更、签证金额不得突破合同约定的暂列金额。</w:t>
      </w:r>
    </w:p>
    <w:p w14:paraId="34091FD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8.5.6 若合同价格清单中存在专业工程或工程材料、工程设备暂估价，承包人应及时取得发包人的明确要求完成设计、采购或施工，也可遵守法律、政策规定通过招标或直接分包委托分包人完成设计、采购或施工，按变更事项报发包人批准后实施，除合同双方当事人另有约定外，不得突破合同约定的相应暂估价。</w:t>
      </w:r>
    </w:p>
    <w:p w14:paraId="5BCFC204">
      <w:pPr>
        <w:spacing w:line="360" w:lineRule="auto"/>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8.6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1C66C98">
      <w:pPr>
        <w:widowControl w:val="0"/>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b/>
          <w:color w:val="auto"/>
          <w:highlight w:val="none"/>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50800</wp:posOffset>
                </wp:positionV>
                <wp:extent cx="794385" cy="527685"/>
                <wp:effectExtent l="0" t="0" r="0" b="0"/>
                <wp:wrapNone/>
                <wp:docPr id="25" name="00011c"/>
                <wp:cNvGraphicFramePr/>
                <a:graphic xmlns:a="http://schemas.openxmlformats.org/drawingml/2006/main">
                  <a:graphicData uri="http://schemas.microsoft.com/office/word/2010/wordprocessingShape">
                    <wps:wsp>
                      <wps:cNvSpPr txBox="1"/>
                      <wps:spPr>
                        <a:xfrm>
                          <a:off x="0" y="0"/>
                          <a:ext cx="794385" cy="527685"/>
                        </a:xfrm>
                        <a:prstGeom prst="rect">
                          <a:avLst/>
                        </a:prstGeom>
                        <a:noFill/>
                        <a:ln>
                          <a:noFill/>
                        </a:ln>
                        <a:effectLst/>
                      </wps:spPr>
                      <wps:txbx>
                        <w:txbxContent>
                          <w:p w14:paraId="0B23290B">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p w14:paraId="5A951E6B">
                            <w:pPr>
                              <w:rPr>
                                <w:lang w:eastAsia="zh-CN"/>
                              </w:rPr>
                            </w:pPr>
                          </w:p>
                        </w:txbxContent>
                      </wps:txbx>
                      <wps:bodyPr wrap="square" upright="1"/>
                    </wps:wsp>
                  </a:graphicData>
                </a:graphic>
              </wp:anchor>
            </w:drawing>
          </mc:Choice>
          <mc:Fallback>
            <w:pict>
              <v:shape id="00011c" o:spid="_x0000_s1026" o:spt="202" type="#_x0000_t202" style="position:absolute;left:0pt;margin-left:-9pt;margin-top:4pt;height:41.55pt;width:62.55pt;z-index:251683840;mso-width-relative:page;mso-height-relative:page;" filled="f" stroked="f" coordsize="21600,21600" o:gfxdata="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rNDvHNUAAAAIAQAA&#10;DwAAAAAAAAABACAAAAAiAAAAZHJzL2Rvd25yZXYueG1sUEsBAhQAFAAAAAgAh07iQA9OKemqAQAA&#10;ZQMAAA4AAAAAAAAAAQAgAAAAJAEAAGRycy9lMm9Eb2MueG1sUEsFBgAAAAAGAAYAWQEAAEAFAAAA&#10;AA==&#10;">
                <v:fill on="f" focussize="0,0"/>
                <v:stroke on="f"/>
                <v:imagedata o:title=""/>
                <o:lock v:ext="edit" aspectratio="f"/>
                <v:textbox>
                  <w:txbxContent>
                    <w:p w14:paraId="0B23290B">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p w14:paraId="5A951E6B">
                      <w:pPr>
                        <w:rPr>
                          <w:lang w:eastAsia="zh-CN"/>
                        </w:rPr>
                      </w:pPr>
                    </w:p>
                  </w:txbxContent>
                </v:textbox>
              </v:shape>
            </w:pict>
          </mc:Fallback>
        </mc:AlternateContent>
      </w:r>
      <w:r>
        <w:rPr>
          <w:rFonts w:hint="eastAsia" w:ascii="仿宋" w:hAnsi="仿宋" w:eastAsia="仿宋" w:cs="仿宋"/>
          <w:color w:val="auto"/>
          <w:highlight w:val="none"/>
          <w:lang w:eastAsia="zh-CN"/>
        </w:rPr>
        <w:t>8.6.1 对于可行性研究批准立项或备案后发包的，在初步设计符合承包范围、工程内容、功能、规模、标准等要求的前提下，承包人应按专用条款约定的计价方式和允许调整事项编制初步设计概算，设备及工器具购置费概算金额不得超过协议书约定的相应合同价格及允许调整金额。</w:t>
      </w:r>
    </w:p>
    <w:p w14:paraId="6EC627DB">
      <w:pPr>
        <w:widowControl w:val="0"/>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8.6.2 对于初步设计批准或备案后发包的，在施工图符合承包范围、工程内容、功能、规模、标准等要求的前提下，承包人应按专用条款约定的计价方式和允许调整事项计算，设备及工器具购置费金额不得超过协议书约定的相应合同价格及允许调整金额。</w:t>
      </w:r>
    </w:p>
    <w:p w14:paraId="0C5520F4">
      <w:pPr>
        <w:widowControl w:val="0"/>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8.6.3 按合同约定的计价方法及允许调整事项进行设备及工器具购置费结算，其结算金额不得超过协议书约定的相应合同价格及允许调整金额。</w:t>
      </w:r>
    </w:p>
    <w:p w14:paraId="1CDC53DE">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3FC1F59F">
      <w:pPr>
        <w:pStyle w:val="4"/>
        <w:tabs>
          <w:tab w:val="left" w:pos="420"/>
        </w:tabs>
        <w:spacing w:before="120" w:after="120" w:line="360" w:lineRule="auto"/>
        <w:rPr>
          <w:rFonts w:ascii="仿宋" w:hAnsi="仿宋" w:eastAsia="仿宋"/>
          <w:color w:val="auto"/>
          <w:sz w:val="24"/>
          <w:szCs w:val="24"/>
          <w:highlight w:val="none"/>
          <w:lang w:eastAsia="zh-CN"/>
        </w:rPr>
      </w:pPr>
      <w:bookmarkStart w:id="258" w:name="_Toc31699"/>
      <w:bookmarkStart w:id="259" w:name="_Toc21710"/>
      <w:bookmarkStart w:id="260" w:name="_Toc20651"/>
      <w:bookmarkStart w:id="261" w:name="_Toc920"/>
      <w:bookmarkStart w:id="262" w:name="_Toc6102"/>
      <w:bookmarkStart w:id="263" w:name="_Toc9989"/>
      <w:bookmarkStart w:id="264" w:name="_Toc47694279"/>
      <w:bookmarkStart w:id="265" w:name="_Toc7559"/>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通讯联络</w:t>
      </w:r>
      <w:bookmarkEnd w:id="258"/>
      <w:bookmarkEnd w:id="259"/>
      <w:bookmarkEnd w:id="260"/>
      <w:bookmarkEnd w:id="261"/>
      <w:bookmarkEnd w:id="262"/>
      <w:bookmarkEnd w:id="263"/>
      <w:bookmarkEnd w:id="264"/>
      <w:bookmarkEnd w:id="265"/>
    </w:p>
    <w:p w14:paraId="4A8C6C29">
      <w:pPr>
        <w:pStyle w:val="23"/>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.1</w:t>
      </w:r>
    </w:p>
    <w:p w14:paraId="1EBF035B">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rPr>
        <mc:AlternateContent>
          <mc:Choice Requires="wps">
            <w:drawing>
              <wp:anchor distT="0" distB="0" distL="114300" distR="114300" simplePos="0" relativeHeight="251684864" behindDoc="0" locked="0" layoutInCell="1" allowOverlap="1">
                <wp:simplePos x="0" y="0"/>
                <wp:positionH relativeFrom="column">
                  <wp:posOffset>-95250</wp:posOffset>
                </wp:positionH>
                <wp:positionV relativeFrom="paragraph">
                  <wp:posOffset>53975</wp:posOffset>
                </wp:positionV>
                <wp:extent cx="699770" cy="436880"/>
                <wp:effectExtent l="0" t="0" r="0" b="0"/>
                <wp:wrapNone/>
                <wp:docPr id="26" name="00011d"/>
                <wp:cNvGraphicFramePr/>
                <a:graphic xmlns:a="http://schemas.openxmlformats.org/drawingml/2006/main">
                  <a:graphicData uri="http://schemas.microsoft.com/office/word/2010/wordprocessingShape">
                    <wps:wsp>
                      <wps:cNvSpPr txBox="1"/>
                      <wps:spPr>
                        <a:xfrm>
                          <a:off x="0" y="0"/>
                          <a:ext cx="699770" cy="436880"/>
                        </a:xfrm>
                        <a:prstGeom prst="rect">
                          <a:avLst/>
                        </a:prstGeom>
                        <a:noFill/>
                        <a:ln>
                          <a:noFill/>
                        </a:ln>
                        <a:effectLst/>
                      </wps:spPr>
                      <wps:txbx>
                        <w:txbxContent>
                          <w:p w14:paraId="57B097A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p w14:paraId="2BE396E9"/>
                        </w:txbxContent>
                      </wps:txbx>
                      <wps:bodyPr wrap="square" upright="1"/>
                    </wps:wsp>
                  </a:graphicData>
                </a:graphic>
              </wp:anchor>
            </w:drawing>
          </mc:Choice>
          <mc:Fallback>
            <w:pict>
              <v:shape id="00011d" o:spid="_x0000_s1026" o:spt="202" type="#_x0000_t202" style="position:absolute;left:0pt;margin-left:-7.5pt;margin-top:4.25pt;height:34.4pt;width:55.1pt;z-index:251684864;mso-width-relative:page;mso-height-relative:page;" filled="f" stroked="f" coordsize="21600,21600" o:gfxdata="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ovaK9YAAAAH&#10;AQAADwAAAAAAAAABACAAAAAiAAAAZHJzL2Rvd25yZXYueG1sUEsBAhQAFAAAAAgAh07iQLeGDJKs&#10;AQAAZQMAAA4AAAAAAAAAAQAgAAAAJQEAAGRycy9lMm9Eb2MueG1sUEsFBgAAAAAGAAYAWQEAAEMF&#10;AAAAAA==&#10;">
                <v:fill on="f" focussize="0,0"/>
                <v:stroke on="f"/>
                <v:imagedata o:title=""/>
                <o:lock v:ext="edit" aspectratio="f"/>
                <v:textbox>
                  <w:txbxContent>
                    <w:p w14:paraId="57B097A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p w14:paraId="2BE396E9"/>
                  </w:txbxContent>
                </v:textbox>
              </v:shape>
            </w:pict>
          </mc:Fallback>
        </mc:AlternateContent>
      </w:r>
      <w:r>
        <w:rPr>
          <w:rFonts w:hint="eastAsia" w:ascii="仿宋" w:hAnsi="仿宋" w:eastAsia="仿宋" w:cs="仿宋"/>
          <w:color w:val="auto"/>
          <w:highlight w:val="none"/>
          <w:lang w:eastAsia="zh-CN"/>
        </w:rPr>
        <w:t>本合同中无论何处涉及到各方之间的申请、批准、确认、同意、决定、核实、通知、任命、指令、要求、意见、证明、证件或表示同意、否定等的通讯（含派人面交、邮寄、电子传输等），均应采用书面形式，且只有在按照合同约定送达对方当事人后方能生效。</w:t>
      </w:r>
    </w:p>
    <w:p w14:paraId="596F5C47">
      <w:pPr>
        <w:pStyle w:val="23"/>
        <w:spacing w:line="360" w:lineRule="auto"/>
        <w:ind w:right="-238"/>
        <w:rPr>
          <w:rFonts w:ascii="仿宋" w:hAnsi="仿宋" w:eastAsia="仿宋"/>
          <w:b/>
          <w:bCs/>
          <w:color w:val="auto"/>
          <w:sz w:val="24"/>
          <w:szCs w:val="24"/>
          <w:highlight w:val="none"/>
          <w:lang w:eastAsia="zh-CN"/>
        </w:rPr>
      </w:pPr>
      <w:bookmarkStart w:id="266" w:name="_Toc16622"/>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.2</w:t>
      </w:r>
      <w:bookmarkEnd w:id="266"/>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389DE47B">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685888" behindDoc="0" locked="0" layoutInCell="1" allowOverlap="1">
                <wp:simplePos x="0" y="0"/>
                <wp:positionH relativeFrom="column">
                  <wp:posOffset>-95250</wp:posOffset>
                </wp:positionH>
                <wp:positionV relativeFrom="paragraph">
                  <wp:posOffset>90805</wp:posOffset>
                </wp:positionV>
                <wp:extent cx="769620" cy="508635"/>
                <wp:effectExtent l="0" t="0" r="0" b="0"/>
                <wp:wrapNone/>
                <wp:docPr id="27" name="00011e"/>
                <wp:cNvGraphicFramePr/>
                <a:graphic xmlns:a="http://schemas.openxmlformats.org/drawingml/2006/main">
                  <a:graphicData uri="http://schemas.microsoft.com/office/word/2010/wordprocessingShape">
                    <wps:wsp>
                      <wps:cNvSpPr txBox="1"/>
                      <wps:spPr>
                        <a:xfrm>
                          <a:off x="0" y="0"/>
                          <a:ext cx="769620" cy="508635"/>
                        </a:xfrm>
                        <a:prstGeom prst="rect">
                          <a:avLst/>
                        </a:prstGeom>
                        <a:noFill/>
                        <a:ln>
                          <a:noFill/>
                        </a:ln>
                        <a:effectLst/>
                      </wps:spPr>
                      <wps:txbx>
                        <w:txbxContent>
                          <w:p w14:paraId="4530382A">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p w14:paraId="0D7F3EEC"/>
                        </w:txbxContent>
                      </wps:txbx>
                      <wps:bodyPr wrap="square" upright="1"/>
                    </wps:wsp>
                  </a:graphicData>
                </a:graphic>
              </wp:anchor>
            </w:drawing>
          </mc:Choice>
          <mc:Fallback>
            <w:pict>
              <v:shape id="00011e" o:spid="_x0000_s1026" o:spt="202" type="#_x0000_t202" style="position:absolute;left:0pt;margin-left:-7.5pt;margin-top:7.15pt;height:40.05pt;width:60.6pt;z-index:251685888;mso-width-relative:page;mso-height-relative:page;" filled="f" stroked="f" coordsize="21600,21600" o:gfxdata="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88OirWAAAACQEA&#10;AA8AAAAAAAAAAQAgAAAAIgAAAGRycy9kb3ducmV2LnhtbFBLAQIUABQAAAAIAIdO4kDDIEYiqgEA&#10;AGUDAAAOAAAAAAAAAAEAIAAAACUBAABkcnMvZTJvRG9jLnhtbFBLBQYAAAAABgAGAFkBAABBBQAA&#10;AAA=&#10;">
                <v:fill on="f" focussize="0,0"/>
                <v:stroke on="f"/>
                <v:imagedata o:title=""/>
                <o:lock v:ext="edit" aspectratio="f"/>
                <v:textbox>
                  <w:txbxContent>
                    <w:p w14:paraId="4530382A">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p w14:paraId="0D7F3EEC"/>
                  </w:txbxContent>
                </v:textbox>
              </v:shape>
            </w:pict>
          </mc:Fallback>
        </mc:AlternateContent>
      </w:r>
      <w:r>
        <w:rPr>
          <w:rFonts w:hint="eastAsia" w:ascii="仿宋" w:hAnsi="仿宋" w:eastAsia="仿宋" w:cs="仿宋"/>
          <w:color w:val="auto"/>
          <w:highlight w:val="none"/>
          <w:lang w:eastAsia="zh-CN"/>
        </w:rPr>
        <w:t>合同中无论何处涉及到各方之间的通讯都不应无理扣压或拖延。合同双方当事人应在专用条款中约定各方通讯地址和收件人，并按照约定期限内（如无约定，应在合理期限内）送达指定地点和接收人。任何一方合同当事人指定的通讯地址或收件人发生变更的，应提前3天以书面形式通知对方。</w:t>
      </w:r>
    </w:p>
    <w:p w14:paraId="37B14FAA">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收件人应在通讯回执上签署姓名和时间。一方当事人拒绝签收另一方当事人通讯，另一方当事人以特快专递、挂号信等专用条款约定的方式将通讯送至通讯地址的，视为送达。拒不签收的，由此增加的费用和（或）延误的工期由拒绝接收一方承担。</w:t>
      </w:r>
    </w:p>
    <w:p w14:paraId="2CE9665D">
      <w:pPr>
        <w:pStyle w:val="23"/>
        <w:spacing w:line="360" w:lineRule="auto"/>
        <w:ind w:right="-238"/>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00AB536B">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686912" behindDoc="0" locked="0" layoutInCell="1" allowOverlap="1">
                <wp:simplePos x="0" y="0"/>
                <wp:positionH relativeFrom="column">
                  <wp:posOffset>-95250</wp:posOffset>
                </wp:positionH>
                <wp:positionV relativeFrom="paragraph">
                  <wp:posOffset>90805</wp:posOffset>
                </wp:positionV>
                <wp:extent cx="843280" cy="735330"/>
                <wp:effectExtent l="0" t="0" r="0" b="0"/>
                <wp:wrapNone/>
                <wp:docPr id="28" name="00011f"/>
                <wp:cNvGraphicFramePr/>
                <a:graphic xmlns:a="http://schemas.openxmlformats.org/drawingml/2006/main">
                  <a:graphicData uri="http://schemas.microsoft.com/office/word/2010/wordprocessingShape">
                    <wps:wsp>
                      <wps:cNvSpPr txBox="1"/>
                      <wps:spPr>
                        <a:xfrm>
                          <a:off x="0" y="0"/>
                          <a:ext cx="843280" cy="735330"/>
                        </a:xfrm>
                        <a:prstGeom prst="rect">
                          <a:avLst/>
                        </a:prstGeom>
                        <a:noFill/>
                        <a:ln>
                          <a:noFill/>
                        </a:ln>
                        <a:effectLst/>
                      </wps:spPr>
                      <wps:txbx>
                        <w:txbxContent>
                          <w:p w14:paraId="0688D61A">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p w14:paraId="406CAC3C"/>
                        </w:txbxContent>
                      </wps:txbx>
                      <wps:bodyPr wrap="square" upright="1"/>
                    </wps:wsp>
                  </a:graphicData>
                </a:graphic>
              </wp:anchor>
            </w:drawing>
          </mc:Choice>
          <mc:Fallback>
            <w:pict>
              <v:shape id="00011f" o:spid="_x0000_s1026" o:spt="202" type="#_x0000_t202" style="position:absolute;left:0pt;margin-left:-7.5pt;margin-top:7.15pt;height:57.9pt;width:66.4pt;z-index:251686912;mso-width-relative:page;mso-height-relative:page;" filled="f" stroked="f" coordsize="21600,21600" o:gfxdata="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0Fdw3dcAAAAK&#10;AQAADwAAAAAAAAABACAAAAAiAAAAZHJzL2Rvd25yZXYueG1sUEsBAhQAFAAAAAgAh07iQPIMmPqr&#10;AQAAZQMAAA4AAAAAAAAAAQAgAAAAJgEAAGRycy9lMm9Eb2MueG1sUEsFBgAAAAAGAAYAWQEAAEMF&#10;AAAAAA==&#10;">
                <v:fill on="f" focussize="0,0"/>
                <v:stroke on="f"/>
                <v:imagedata o:title=""/>
                <o:lock v:ext="edit" aspectratio="f"/>
                <v:textbox>
                  <w:txbxContent>
                    <w:p w14:paraId="0688D61A">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p w14:paraId="406CAC3C"/>
                  </w:txbxContent>
                </v:textbox>
              </v:shape>
            </w:pict>
          </mc:Fallback>
        </mc:AlternateContent>
      </w:r>
      <w:r>
        <w:rPr>
          <w:rFonts w:hint="eastAsia" w:ascii="仿宋" w:hAnsi="仿宋" w:eastAsia="仿宋" w:cs="仿宋"/>
          <w:color w:val="auto"/>
          <w:highlight w:val="none"/>
          <w:lang w:eastAsia="zh-CN"/>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w:t>
      </w:r>
    </w:p>
    <w:p w14:paraId="2AE5064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合同一方当事人如需变更约定通讯地址或收件人，应按合同约定方式将变更后的通讯地址或收件人通知对方当事人。未按约定方式通知变更的，原约定的通讯地址和收件人仍为有效通讯地址和收件人。</w:t>
      </w:r>
    </w:p>
    <w:p w14:paraId="1ED5A79C">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按照约定地址和收件人送达文件并被签收的，视为当事人签收。因当事人提供或者确认的通讯地址不准确、通讯地址变更后未及时依程序告知对方当事人和法院、当事人或指定的收件人拒绝签收等原因，导致诉讼材料等未能被当事人实际接收的，邮寄送达的，以文件退回之日视为送达之日；直接送达的，以送达</w:t>
      </w:r>
      <w:r>
        <w:rPr>
          <w:rFonts w:hint="eastAsia" w:ascii="仿宋" w:hAnsi="仿宋" w:eastAsia="仿宋" w:cs="仿宋"/>
          <w:color w:val="auto"/>
          <w:highlight w:val="none"/>
          <w:lang w:eastAsia="zh-CN" w:bidi="ar"/>
        </w:rPr>
        <w:t>文件留在该地址之日为送达之日</w:t>
      </w:r>
      <w:r>
        <w:rPr>
          <w:rFonts w:hint="eastAsia" w:ascii="仿宋" w:hAnsi="仿宋" w:eastAsia="仿宋" w:cs="仿宋"/>
          <w:color w:val="auto"/>
          <w:highlight w:val="none"/>
          <w:lang w:eastAsia="zh-CN"/>
        </w:rPr>
        <w:t>。</w:t>
      </w:r>
    </w:p>
    <w:p w14:paraId="5BEFB0A1">
      <w:pPr>
        <w:rPr>
          <w:rFonts w:hint="eastAsia"/>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1DCE152A">
      <w:pPr>
        <w:pStyle w:val="4"/>
        <w:tabs>
          <w:tab w:val="left" w:pos="420"/>
        </w:tabs>
        <w:spacing w:before="120" w:after="120" w:line="360" w:lineRule="auto"/>
        <w:rPr>
          <w:rFonts w:ascii="仿宋" w:hAnsi="仿宋" w:eastAsia="仿宋"/>
          <w:color w:val="auto"/>
          <w:sz w:val="24"/>
          <w:szCs w:val="24"/>
          <w:highlight w:val="none"/>
          <w:lang w:eastAsia="zh-CN"/>
        </w:rPr>
      </w:pPr>
      <w:bookmarkStart w:id="267" w:name="_Toc12974"/>
      <w:bookmarkStart w:id="268" w:name="_Toc20270"/>
      <w:bookmarkStart w:id="269" w:name="_Toc47694280"/>
      <w:bookmarkStart w:id="270" w:name="_Toc4751"/>
      <w:bookmarkStart w:id="271" w:name="_Toc10923"/>
      <w:bookmarkStart w:id="272" w:name="_Toc24684"/>
      <w:bookmarkStart w:id="273" w:name="_Toc5957"/>
      <w:bookmarkStart w:id="274" w:name="_Toc31333"/>
      <w:r>
        <w:rPr>
          <w:rFonts w:hint="eastAsia" w:ascii="仿宋" w:hAnsi="仿宋" w:eastAsia="仿宋" w:cs="仿宋"/>
          <w:color w:val="auto"/>
          <w:sz w:val="24"/>
          <w:szCs w:val="24"/>
          <w:highlight w:val="none"/>
          <w:lang w:eastAsia="zh-CN"/>
        </w:rPr>
        <w:t>10</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分包</w:t>
      </w:r>
      <w:bookmarkEnd w:id="267"/>
      <w:bookmarkEnd w:id="268"/>
      <w:bookmarkEnd w:id="269"/>
      <w:bookmarkEnd w:id="270"/>
      <w:bookmarkEnd w:id="271"/>
      <w:bookmarkEnd w:id="272"/>
      <w:bookmarkEnd w:id="273"/>
      <w:bookmarkEnd w:id="274"/>
    </w:p>
    <w:p w14:paraId="2301C203">
      <w:pPr>
        <w:pStyle w:val="23"/>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294640</wp:posOffset>
                </wp:positionV>
                <wp:extent cx="876300" cy="340360"/>
                <wp:effectExtent l="0" t="0" r="0" b="0"/>
                <wp:wrapNone/>
                <wp:docPr id="29" name="000120"/>
                <wp:cNvGraphicFramePr/>
                <a:graphic xmlns:a="http://schemas.openxmlformats.org/drawingml/2006/main">
                  <a:graphicData uri="http://schemas.microsoft.com/office/word/2010/wordprocessingShape">
                    <wps:wsp>
                      <wps:cNvSpPr txBox="1"/>
                      <wps:spPr>
                        <a:xfrm>
                          <a:off x="0" y="0"/>
                          <a:ext cx="876300" cy="340360"/>
                        </a:xfrm>
                        <a:prstGeom prst="rect">
                          <a:avLst/>
                        </a:prstGeom>
                        <a:noFill/>
                        <a:ln>
                          <a:noFill/>
                        </a:ln>
                        <a:effectLst/>
                      </wps:spPr>
                      <wps:txbx>
                        <w:txbxContent>
                          <w:p w14:paraId="7B52852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p w14:paraId="3C9398FE"/>
                        </w:txbxContent>
                      </wps:txbx>
                      <wps:bodyPr wrap="square" upright="1"/>
                    </wps:wsp>
                  </a:graphicData>
                </a:graphic>
              </wp:anchor>
            </w:drawing>
          </mc:Choice>
          <mc:Fallback>
            <w:pict>
              <v:shape id="000120" o:spid="_x0000_s1026" o:spt="202" type="#_x0000_t202" style="position:absolute;left:0pt;margin-left:-9pt;margin-top:23.2pt;height:26.8pt;width:69pt;z-index:251687936;mso-width-relative:page;mso-height-relative:page;" filled="f" stroked="f" coordsize="21600,21600" o:gfxdata="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0BVqC1QAAAAoBAAAP&#10;AAAAAAAAAAEAIAAAACIAAABkcnMvZG93bnJldi54bWxQSwECFAAUAAAACACHTuJAq7+IzakBAABl&#10;AwAADgAAAAAAAAABACAAAAAkAQAAZHJzL2Uyb0RvYy54bWxQSwUGAAAAAAYABgBZAQAAPwUAAAAA&#10;">
                <v:fill on="f" focussize="0,0"/>
                <v:stroke on="f"/>
                <v:imagedata o:title=""/>
                <o:lock v:ext="edit" aspectratio="f"/>
                <v:textbox>
                  <w:txbxContent>
                    <w:p w14:paraId="7B52852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p w14:paraId="3C9398FE"/>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.1</w:t>
      </w:r>
    </w:p>
    <w:p w14:paraId="2286B616">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应自己实施、完成合同工程的主体结构。承包人不得将其承包的全部工程或将其肢解后以分包的名义转包给第三方，也不得将合同工程主体结构、关键性工作分包给第三方。承包人对合同工程进行分包，应当遵守《房屋建筑和市政基础设施工程施工分包管理办法》的相关规定。</w:t>
      </w:r>
    </w:p>
    <w:p w14:paraId="5A6A3CE6">
      <w:pPr>
        <w:pStyle w:val="23"/>
        <w:spacing w:line="360" w:lineRule="auto"/>
        <w:rPr>
          <w:rFonts w:hint="eastAsia" w:ascii="仿宋" w:hAnsi="仿宋" w:eastAsia="仿宋" w:cs="仿宋"/>
          <w:b/>
          <w:bCs/>
          <w:color w:val="auto"/>
          <w:sz w:val="24"/>
          <w:szCs w:val="24"/>
          <w:highlight w:val="none"/>
          <w:lang w:eastAsia="zh-CN"/>
        </w:rPr>
      </w:pPr>
      <w:bookmarkStart w:id="275" w:name="_Toc1657"/>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.2</w:t>
      </w:r>
      <w:bookmarkEnd w:id="275"/>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49C444E0">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承包人可以采用直接发包的方式进行分包。但以暂估价形式包括在总承包范围内的工程、工程材料、工程设备、服务分包时，属于依法必须进行招标的项目范围且达到国家规定规模标准的，应当依法招标。</w:t>
      </w:r>
      <w:r>
        <w:rPr>
          <w:color w:val="auto"/>
          <w:highlight w:val="none"/>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31750</wp:posOffset>
                </wp:positionV>
                <wp:extent cx="847090" cy="419100"/>
                <wp:effectExtent l="0" t="0" r="0" b="0"/>
                <wp:wrapNone/>
                <wp:docPr id="30" name="000121"/>
                <wp:cNvGraphicFramePr/>
                <a:graphic xmlns:a="http://schemas.openxmlformats.org/drawingml/2006/main">
                  <a:graphicData uri="http://schemas.microsoft.com/office/word/2010/wordprocessingShape">
                    <wps:wsp>
                      <wps:cNvSpPr txBox="1"/>
                      <wps:spPr>
                        <a:xfrm>
                          <a:off x="0" y="0"/>
                          <a:ext cx="847090" cy="419100"/>
                        </a:xfrm>
                        <a:prstGeom prst="rect">
                          <a:avLst/>
                        </a:prstGeom>
                        <a:noFill/>
                        <a:ln>
                          <a:noFill/>
                        </a:ln>
                        <a:effectLst/>
                      </wps:spPr>
                      <wps:txbx>
                        <w:txbxContent>
                          <w:p w14:paraId="2657CBB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p w14:paraId="19D4AA5F"/>
                        </w:txbxContent>
                      </wps:txbx>
                      <wps:bodyPr wrap="square" upright="1"/>
                    </wps:wsp>
                  </a:graphicData>
                </a:graphic>
              </wp:anchor>
            </w:drawing>
          </mc:Choice>
          <mc:Fallback>
            <w:pict>
              <v:shape id="000121" o:spid="_x0000_s1026" o:spt="202" type="#_x0000_t202" style="position:absolute;left:0pt;margin-left:-9pt;margin-top:2.5pt;height:33pt;width:66.7pt;z-index:251688960;mso-width-relative:page;mso-height-relative:page;" filled="f" stroked="f" coordsize="21600,21600" o:gfxdata="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DjZkXWAAAACAEA&#10;AA8AAAAAAAAAAQAgAAAAIgAAAGRycy9kb3ducmV2LnhtbFBLAQIUABQAAAAIAIdO4kDDbPH2qgEA&#10;AGUDAAAOAAAAAAAAAAEAIAAAACUBAABkcnMvZTJvRG9jLnhtbFBLBQYAAAAABgAGAFkBAABBBQAA&#10;AAA=&#10;">
                <v:fill on="f" focussize="0,0"/>
                <v:stroke on="f"/>
                <v:imagedata o:title=""/>
                <o:lock v:ext="edit" aspectratio="f"/>
                <v:textbox>
                  <w:txbxContent>
                    <w:p w14:paraId="2657CBB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p w14:paraId="19D4AA5F"/>
                  </w:txbxContent>
                </v:textbox>
              </v:shape>
            </w:pict>
          </mc:Fallback>
        </mc:AlternateContent>
      </w:r>
      <w:r>
        <w:rPr>
          <w:rFonts w:hint="eastAsia" w:ascii="仿宋" w:hAnsi="仿宋" w:eastAsia="仿宋" w:cs="仿宋"/>
          <w:color w:val="auto"/>
          <w:highlight w:val="none"/>
          <w:lang w:eastAsia="zh-CN"/>
        </w:rPr>
        <w:t>承包人可依法将部分工作事项（含勘察、设计、采购、劳务分包）分包给具有相应分包资质的分包人，但未经发包人同意，承包人不得将总承包工作事项的任何部分或任何工作分包给第三方。下列情况则属例外：</w:t>
      </w:r>
    </w:p>
    <w:p w14:paraId="3915E3EB">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（1）施工及勘察劳务作业分包；</w:t>
      </w:r>
    </w:p>
    <w:p w14:paraId="384A0FC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（2）按照合同约定的标准购买工程材料和工程设备；</w:t>
      </w:r>
    </w:p>
    <w:p w14:paraId="654CE15E">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（3）合同中已指定的分包事项。</w:t>
      </w:r>
    </w:p>
    <w:p w14:paraId="1A330C07">
      <w:pPr>
        <w:pStyle w:val="23"/>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4AF4A210">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0</wp:posOffset>
                </wp:positionV>
                <wp:extent cx="790575" cy="363220"/>
                <wp:effectExtent l="0" t="0" r="0" b="0"/>
                <wp:wrapNone/>
                <wp:docPr id="31" name="000122"/>
                <wp:cNvGraphicFramePr/>
                <a:graphic xmlns:a="http://schemas.openxmlformats.org/drawingml/2006/main">
                  <a:graphicData uri="http://schemas.microsoft.com/office/word/2010/wordprocessingShape">
                    <wps:wsp>
                      <wps:cNvSpPr txBox="1"/>
                      <wps:spPr>
                        <a:xfrm>
                          <a:off x="0" y="0"/>
                          <a:ext cx="790575" cy="363220"/>
                        </a:xfrm>
                        <a:prstGeom prst="rect">
                          <a:avLst/>
                        </a:prstGeom>
                        <a:noFill/>
                        <a:ln>
                          <a:noFill/>
                        </a:ln>
                        <a:effectLst/>
                      </wps:spPr>
                      <wps:txbx>
                        <w:txbxContent>
                          <w:p w14:paraId="53F52E0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p w14:paraId="3778E990"/>
                        </w:txbxContent>
                      </wps:txbx>
                      <wps:bodyPr wrap="square" upright="1"/>
                    </wps:wsp>
                  </a:graphicData>
                </a:graphic>
              </wp:anchor>
            </w:drawing>
          </mc:Choice>
          <mc:Fallback>
            <w:pict>
              <v:shape id="000122" o:spid="_x0000_s1026" o:spt="202" type="#_x0000_t202" style="position:absolute;left:0pt;margin-left:-9pt;margin-top:0pt;height:28.6pt;width:62.25pt;z-index:251689984;mso-width-relative:page;mso-height-relative:page;" filled="f" stroked="f" coordsize="21600,21600" o:gfxdata="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xDqVr1QAAAAcB&#10;AAAPAAAAAAAAAAEAIAAAACIAAABkcnMvZG93bnJldi54bWxQSwECFAAUAAAACACHTuJA/DQ9P6wB&#10;AABlAwAADgAAAAAAAAABACAAAAAkAQAAZHJzL2Uyb0RvYy54bWxQSwUGAAAAAAYABgBZAQAAQgUA&#10;AAAA&#10;">
                <v:fill on="f" focussize="0,0"/>
                <v:stroke on="f"/>
                <v:imagedata o:title=""/>
                <o:lock v:ext="edit" aspectratio="f"/>
                <v:textbox>
                  <w:txbxContent>
                    <w:p w14:paraId="53F52E0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p w14:paraId="3778E990"/>
                  </w:txbxContent>
                </v:textbox>
              </v:shape>
            </w:pict>
          </mc:Fallback>
        </mc:AlternateContent>
      </w:r>
      <w:r>
        <w:rPr>
          <w:rFonts w:hint="eastAsia" w:ascii="仿宋" w:hAnsi="仿宋" w:eastAsia="仿宋" w:cs="仿宋"/>
          <w:color w:val="auto"/>
          <w:highlight w:val="none"/>
          <w:lang w:eastAsia="zh-CN"/>
        </w:rPr>
        <w:t>承包人分包工作事项的，应与分包人签订分包合同，并在分包合同签订后的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天内向发包人和设计顾问人或监理人、造价咨询人各提交一份分包合同。承包人有权利禁止分包人将分包事项再次分包。</w:t>
      </w:r>
    </w:p>
    <w:p w14:paraId="6B807E35">
      <w:pPr>
        <w:pStyle w:val="23"/>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3D107B10">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12065</wp:posOffset>
                </wp:positionV>
                <wp:extent cx="851535" cy="511175"/>
                <wp:effectExtent l="0" t="0" r="0" b="0"/>
                <wp:wrapNone/>
                <wp:docPr id="32" name="000123"/>
                <wp:cNvGraphicFramePr/>
                <a:graphic xmlns:a="http://schemas.openxmlformats.org/drawingml/2006/main">
                  <a:graphicData uri="http://schemas.microsoft.com/office/word/2010/wordprocessingShape">
                    <wps:wsp>
                      <wps:cNvSpPr txBox="1"/>
                      <wps:spPr>
                        <a:xfrm>
                          <a:off x="0" y="0"/>
                          <a:ext cx="851535" cy="511175"/>
                        </a:xfrm>
                        <a:prstGeom prst="rect">
                          <a:avLst/>
                        </a:prstGeom>
                        <a:noFill/>
                        <a:ln>
                          <a:noFill/>
                        </a:ln>
                        <a:effectLst/>
                      </wps:spPr>
                      <wps:txbx>
                        <w:txbxContent>
                          <w:p w14:paraId="4733771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p w14:paraId="427AA84B"/>
                        </w:txbxContent>
                      </wps:txbx>
                      <wps:bodyPr wrap="square" upright="1"/>
                    </wps:wsp>
                  </a:graphicData>
                </a:graphic>
              </wp:anchor>
            </w:drawing>
          </mc:Choice>
          <mc:Fallback>
            <w:pict>
              <v:shape id="000123" o:spid="_x0000_s1026" o:spt="202" type="#_x0000_t202" style="position:absolute;left:0pt;margin-left:-9pt;margin-top:0.95pt;height:40.25pt;width:67.05pt;z-index:251691008;mso-width-relative:page;mso-height-relative:page;" filled="f" stroked="f" coordsize="21600,21600" o:gfxdata="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FoIsnVAAAACAEA&#10;AA8AAAAAAAAAAQAgAAAAIgAAAGRycy9kb3ducmV2LnhtbFBLAQIUABQAAAAIAIdO4kDoLj6qqwEA&#10;AGUDAAAOAAAAAAAAAAEAIAAAACQBAABkcnMvZTJvRG9jLnhtbFBLBQYAAAAABgAGAFkBAABBBQAA&#10;AAA=&#10;">
                <v:fill on="f" focussize="0,0"/>
                <v:stroke on="f"/>
                <v:imagedata o:title=""/>
                <o:lock v:ext="edit" aspectratio="f"/>
                <v:textbox>
                  <w:txbxContent>
                    <w:p w14:paraId="4733771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p w14:paraId="427AA84B"/>
                  </w:txbxContent>
                </v:textbox>
              </v:shape>
            </w:pict>
          </mc:Fallback>
        </mc:AlternateContent>
      </w:r>
      <w:r>
        <w:rPr>
          <w:rFonts w:hint="eastAsia" w:ascii="仿宋" w:hAnsi="仿宋" w:eastAsia="仿宋" w:cs="仿宋"/>
          <w:color w:val="auto"/>
          <w:highlight w:val="none"/>
          <w:lang w:eastAsia="zh-CN"/>
        </w:rPr>
        <w:t>分包合同价款由承包人与分包人结算。除合同另有约定或取得承包人的同意外，发包人应将分包合同价款按专用条款约定的支付方式全部支付给承包人，禁止发包人直接向分包人支付任何分包合同价款。</w:t>
      </w:r>
    </w:p>
    <w:p w14:paraId="7DDB3491">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如发包人有要求时，承包人应提供能证明自己已向分包人支付其分包合同价款等证明资料。否则，发包人有权直接向分包人支付承包人应支付而未支付的分包合同价款，并在承包人得到的合同价款中扣除。</w:t>
      </w:r>
    </w:p>
    <w:p w14:paraId="7C89FF64">
      <w:pPr>
        <w:pStyle w:val="23"/>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287655</wp:posOffset>
                </wp:positionV>
                <wp:extent cx="803275" cy="483235"/>
                <wp:effectExtent l="0" t="0" r="0" b="0"/>
                <wp:wrapNone/>
                <wp:docPr id="33" name="000124"/>
                <wp:cNvGraphicFramePr/>
                <a:graphic xmlns:a="http://schemas.openxmlformats.org/drawingml/2006/main">
                  <a:graphicData uri="http://schemas.microsoft.com/office/word/2010/wordprocessingShape">
                    <wps:wsp>
                      <wps:cNvSpPr txBox="1"/>
                      <wps:spPr>
                        <a:xfrm>
                          <a:off x="0" y="0"/>
                          <a:ext cx="803275" cy="483235"/>
                        </a:xfrm>
                        <a:prstGeom prst="rect">
                          <a:avLst/>
                        </a:prstGeom>
                        <a:noFill/>
                        <a:ln>
                          <a:noFill/>
                        </a:ln>
                        <a:effectLst/>
                      </wps:spPr>
                      <wps:txbx>
                        <w:txbxContent>
                          <w:p w14:paraId="5CE59EC4">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p w14:paraId="10BBE2CE"/>
                        </w:txbxContent>
                      </wps:txbx>
                      <wps:bodyPr wrap="square" upright="1"/>
                    </wps:wsp>
                  </a:graphicData>
                </a:graphic>
              </wp:anchor>
            </w:drawing>
          </mc:Choice>
          <mc:Fallback>
            <w:pict>
              <v:shape id="000124" o:spid="_x0000_s1026" o:spt="202" type="#_x0000_t202" style="position:absolute;left:0pt;margin-left:-9pt;margin-top:22.65pt;height:38.05pt;width:63.25pt;z-index:251692032;mso-width-relative:page;mso-height-relative:page;" filled="f" stroked="f" coordsize="21600,21600" o:gfxdata="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lE0QtcAAAAK&#10;AQAADwAAAAAAAAABACAAAAAiAAAAZHJzL2Rvd25yZXYueG1sUEsBAhQAFAAAAAgAh07iQKg+DzOr&#10;AQAAZQMAAA4AAAAAAAAAAQAgAAAAJgEAAGRycy9lMm9Eb2MueG1sUEsFBgAAAAAGAAYAWQEAAEMF&#10;AAAAAA==&#10;">
                <v:fill on="f" focussize="0,0"/>
                <v:stroke on="f"/>
                <v:imagedata o:title=""/>
                <o:lock v:ext="edit" aspectratio="f"/>
                <v:textbox>
                  <w:txbxContent>
                    <w:p w14:paraId="5CE59EC4">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p w14:paraId="10BBE2CE"/>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5DE2D469">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分包不能免除承包人应承担的任何责任和应履行的任何义务。承包人应在分包场地派驻相应管理人员保证本合同的履行。</w:t>
      </w:r>
    </w:p>
    <w:p w14:paraId="61386743">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分包人应对分包事项负责。分包人的任何违约行为或疏忽导致工程损坏、损害或给发包人造成损失的，承包人应承担连带责任。</w:t>
      </w:r>
    </w:p>
    <w:p w14:paraId="7FF6A8F9">
      <w:pPr>
        <w:pStyle w:val="23"/>
        <w:spacing w:line="36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285750</wp:posOffset>
                </wp:positionV>
                <wp:extent cx="767080" cy="517525"/>
                <wp:effectExtent l="0" t="0" r="0" b="0"/>
                <wp:wrapNone/>
                <wp:docPr id="34" name="000125"/>
                <wp:cNvGraphicFramePr/>
                <a:graphic xmlns:a="http://schemas.openxmlformats.org/drawingml/2006/main">
                  <a:graphicData uri="http://schemas.microsoft.com/office/word/2010/wordprocessingShape">
                    <wps:wsp>
                      <wps:cNvSpPr txBox="1"/>
                      <wps:spPr>
                        <a:xfrm>
                          <a:off x="0" y="0"/>
                          <a:ext cx="767080" cy="517525"/>
                        </a:xfrm>
                        <a:prstGeom prst="rect">
                          <a:avLst/>
                        </a:prstGeom>
                        <a:noFill/>
                        <a:ln>
                          <a:noFill/>
                        </a:ln>
                        <a:effectLst/>
                      </wps:spPr>
                      <wps:txbx>
                        <w:txbxContent>
                          <w:p w14:paraId="734E2FC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p w14:paraId="177B5D22"/>
                        </w:txbxContent>
                      </wps:txbx>
                      <wps:bodyPr wrap="square" upright="1"/>
                    </wps:wsp>
                  </a:graphicData>
                </a:graphic>
              </wp:anchor>
            </w:drawing>
          </mc:Choice>
          <mc:Fallback>
            <w:pict>
              <v:shape id="000125" o:spid="_x0000_s1026" o:spt="202" type="#_x0000_t202" style="position:absolute;left:0pt;margin-left:-9pt;margin-top:22.5pt;height:40.75pt;width:60.4pt;z-index:251693056;mso-width-relative:page;mso-height-relative:page;" filled="f" stroked="f" coordsize="21600,21600" o:gfxdata="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t7tTNcAAAAK&#10;AQAADwAAAAAAAAABACAAAAAiAAAAZHJzL2Rvd25yZXYueG1sUEsBAhQAFAAAAAgAh07iQOVTSIur&#10;AQAAZQMAAA4AAAAAAAAAAQAgAAAAJgEAAGRycy9lMm9Eb2MueG1sUEsFBgAAAAAGAAYAWQEAAEMF&#10;AAAAAA==&#10;">
                <v:fill on="f" focussize="0,0"/>
                <v:stroke on="f"/>
                <v:imagedata o:title=""/>
                <o:lock v:ext="edit" aspectratio="f"/>
                <v:textbox>
                  <w:txbxContent>
                    <w:p w14:paraId="734E2FC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p w14:paraId="177B5D22"/>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.6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6167EBF">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无论何种原因，当本合同终止时，承包人应与分包人解除分包合同。承包人应在本合同终止前向分包人支付分包人应得款项。</w:t>
      </w:r>
    </w:p>
    <w:p w14:paraId="260CCDF5">
      <w:pPr>
        <w:pStyle w:val="23"/>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373F02A0">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-1270</wp:posOffset>
                </wp:positionV>
                <wp:extent cx="765810" cy="543560"/>
                <wp:effectExtent l="0" t="0" r="0" b="0"/>
                <wp:wrapNone/>
                <wp:docPr id="35" name="000126"/>
                <wp:cNvGraphicFramePr/>
                <a:graphic xmlns:a="http://schemas.openxmlformats.org/drawingml/2006/main">
                  <a:graphicData uri="http://schemas.microsoft.com/office/word/2010/wordprocessingShape">
                    <wps:wsp>
                      <wps:cNvSpPr txBox="1"/>
                      <wps:spPr>
                        <a:xfrm>
                          <a:off x="0" y="0"/>
                          <a:ext cx="765810" cy="543560"/>
                        </a:xfrm>
                        <a:prstGeom prst="rect">
                          <a:avLst/>
                        </a:prstGeom>
                        <a:noFill/>
                        <a:ln>
                          <a:noFill/>
                        </a:ln>
                        <a:effectLst/>
                      </wps:spPr>
                      <wps:txbx>
                        <w:txbxContent>
                          <w:p w14:paraId="4853363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p w14:paraId="51F1D0A1"/>
                        </w:txbxContent>
                      </wps:txbx>
                      <wps:bodyPr wrap="square" upright="1"/>
                    </wps:wsp>
                  </a:graphicData>
                </a:graphic>
              </wp:anchor>
            </w:drawing>
          </mc:Choice>
          <mc:Fallback>
            <w:pict>
              <v:shape id="000126" o:spid="_x0000_s1026" o:spt="202" type="#_x0000_t202" style="position:absolute;left:0pt;margin-left:-9pt;margin-top:-0.1pt;height:42.8pt;width:60.3pt;z-index:251694080;mso-width-relative:page;mso-height-relative:page;" filled="f" stroked="f" coordsize="21600,21600" o:gfxdata="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SMjqW9YAAAAI&#10;AQAADwAAAAAAAAABACAAAAAiAAAAZHJzL2Rvd25yZXYueG1sUEsBAhQAFAAAAAgAh07iQAtLIaqs&#10;AQAAZQMAAA4AAAAAAAAAAQAgAAAAJQEAAGRycy9lMm9Eb2MueG1sUEsFBgAAAAAGAAYAWQEAAEMF&#10;AAAAAA==&#10;">
                <v:fill on="f" focussize="0,0"/>
                <v:stroke on="f"/>
                <v:imagedata o:title=""/>
                <o:lock v:ext="edit" aspectratio="f"/>
                <v:textbox>
                  <w:txbxContent>
                    <w:p w14:paraId="4853363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p w14:paraId="51F1D0A1"/>
                  </w:txbxContent>
                </v:textbox>
              </v:shape>
            </w:pict>
          </mc:Fallback>
        </mc:AlternateContent>
      </w:r>
      <w:r>
        <w:rPr>
          <w:rFonts w:hint="eastAsia" w:ascii="仿宋" w:hAnsi="仿宋" w:eastAsia="仿宋" w:cs="仿宋"/>
          <w:color w:val="auto"/>
          <w:highlight w:val="none"/>
          <w:lang w:eastAsia="zh-CN"/>
        </w:rPr>
        <w:t>因承包人违约或发生重大的质量、安全事故以及出现进度严重滞后的情况或工程专业化施工等的需要，发包人有权对承包人部分工作事项进行切割，做分包处理，因此而增加的一切费用由承包人承担。</w:t>
      </w:r>
    </w:p>
    <w:p w14:paraId="3CBAA7E6">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当发包人决定采取分包时，承包人应无条件接受并全力配合发包人开展相关工作，并无条件提供已有的临时设施供分包人使用，且不得为此要求增加或支付任何费用，否则视承包人违约。发包人委托造价咨询人按合同价格清单、分包工程量及相关违约条款计算该分包工程造价，并按以下原则从承包人的合同总价中扣除相应价款：</w:t>
      </w:r>
    </w:p>
    <w:p w14:paraId="10A3A858">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（1）若计算结果等于或高于发包人与分包人就该分包事项协商确定的合同总价，则按造价咨询人计算结果扣除。</w:t>
      </w:r>
    </w:p>
    <w:p w14:paraId="02A8DEF0">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（2）若计算结果低于发包人与分包人就该分包事项协商确定的合同总价，按发包人与分包人协商确定的该分包事项合同总价扣除。</w:t>
      </w:r>
    </w:p>
    <w:p w14:paraId="2F8B561E">
      <w:pPr>
        <w:spacing w:line="360" w:lineRule="auto"/>
        <w:rPr>
          <w:rFonts w:hint="eastAsia"/>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250044AB">
      <w:pPr>
        <w:pStyle w:val="4"/>
        <w:tabs>
          <w:tab w:val="left" w:pos="420"/>
        </w:tabs>
        <w:spacing w:before="120" w:after="120" w:line="360" w:lineRule="auto"/>
        <w:rPr>
          <w:rFonts w:ascii="仿宋" w:hAnsi="仿宋" w:eastAsia="仿宋"/>
          <w:color w:val="auto"/>
          <w:sz w:val="24"/>
          <w:szCs w:val="24"/>
          <w:highlight w:val="none"/>
          <w:lang w:eastAsia="zh-CN"/>
        </w:rPr>
      </w:pPr>
      <w:bookmarkStart w:id="276" w:name="_Toc31349"/>
      <w:bookmarkStart w:id="277" w:name="_Toc4993"/>
      <w:bookmarkStart w:id="278" w:name="_Toc15656"/>
      <w:bookmarkStart w:id="279" w:name="_Toc24919"/>
      <w:bookmarkStart w:id="280" w:name="_Toc47694281"/>
      <w:bookmarkStart w:id="281" w:name="_Toc2908"/>
      <w:bookmarkStart w:id="282" w:name="_Toc469383987"/>
      <w:bookmarkStart w:id="283" w:name="_Toc17239"/>
      <w:bookmarkStart w:id="284" w:name="_Toc12440"/>
      <w:r>
        <w:rPr>
          <w:rFonts w:hint="eastAsia" w:ascii="仿宋" w:hAnsi="仿宋" w:eastAsia="仿宋" w:cs="仿宋"/>
          <w:color w:val="auto"/>
          <w:sz w:val="24"/>
          <w:szCs w:val="24"/>
          <w:highlight w:val="none"/>
          <w:lang w:eastAsia="zh-CN"/>
        </w:rPr>
        <w:t>11</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现场查勘</w:t>
      </w:r>
      <w:bookmarkEnd w:id="276"/>
      <w:bookmarkEnd w:id="277"/>
      <w:bookmarkEnd w:id="278"/>
      <w:bookmarkEnd w:id="279"/>
      <w:bookmarkEnd w:id="280"/>
      <w:bookmarkEnd w:id="281"/>
      <w:bookmarkEnd w:id="282"/>
      <w:bookmarkEnd w:id="283"/>
      <w:bookmarkEnd w:id="284"/>
    </w:p>
    <w:p w14:paraId="31B0160E">
      <w:pPr>
        <w:pStyle w:val="23"/>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236855</wp:posOffset>
                </wp:positionV>
                <wp:extent cx="765810" cy="359410"/>
                <wp:effectExtent l="0" t="0" r="0" b="0"/>
                <wp:wrapNone/>
                <wp:docPr id="36" name="000127"/>
                <wp:cNvGraphicFramePr/>
                <a:graphic xmlns:a="http://schemas.openxmlformats.org/drawingml/2006/main">
                  <a:graphicData uri="http://schemas.microsoft.com/office/word/2010/wordprocessingShape">
                    <wps:wsp>
                      <wps:cNvSpPr txBox="1"/>
                      <wps:spPr>
                        <a:xfrm>
                          <a:off x="0" y="0"/>
                          <a:ext cx="765810" cy="359410"/>
                        </a:xfrm>
                        <a:prstGeom prst="rect">
                          <a:avLst/>
                        </a:prstGeom>
                        <a:noFill/>
                        <a:ln>
                          <a:noFill/>
                        </a:ln>
                        <a:effectLst/>
                      </wps:spPr>
                      <wps:txbx>
                        <w:txbxContent>
                          <w:p w14:paraId="71A1342D">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p w14:paraId="2B212A62"/>
                        </w:txbxContent>
                      </wps:txbx>
                      <wps:bodyPr wrap="square" upright="1"/>
                    </wps:wsp>
                  </a:graphicData>
                </a:graphic>
              </wp:anchor>
            </w:drawing>
          </mc:Choice>
          <mc:Fallback>
            <w:pict>
              <v:shape id="000127" o:spid="_x0000_s1026" o:spt="202" type="#_x0000_t202" style="position:absolute;left:0pt;margin-left:-9pt;margin-top:18.65pt;height:28.3pt;width:60.3pt;z-index:251695104;mso-width-relative:page;mso-height-relative:page;" filled="f" stroked="f" coordsize="21600,21600" o:gfxdata="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PhXld1wAAAAkB&#10;AAAPAAAAAAAAAAEAIAAAACIAAABkcnMvZG93bnJldi54bWxQSwECFAAUAAAACACHTuJA3c3L2aoB&#10;AABlAwAADgAAAAAAAAABACAAAAAmAQAAZHJzL2Uyb0RvYy54bWxQSwUGAAAAAAYABgBZAQAAQgUA&#10;AAAA&#10;">
                <v:fill on="f" focussize="0,0"/>
                <v:stroke on="f"/>
                <v:imagedata o:title=""/>
                <o:lock v:ext="edit" aspectratio="f"/>
                <v:textbox>
                  <w:txbxContent>
                    <w:p w14:paraId="71A1342D">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p w14:paraId="2B212A62"/>
                  </w:txbxContent>
                </v:textbox>
              </v:shape>
            </w:pict>
          </mc:Fallback>
        </mc:AlternateContent>
      </w:r>
      <w:r>
        <w:rPr>
          <w:rFonts w:hint="eastAsia" w:ascii="仿宋" w:hAnsi="仿宋" w:eastAsia="仿宋" w:cs="仿宋"/>
          <w:b/>
          <w:bCs/>
          <w:color w:val="auto"/>
          <w:sz w:val="24"/>
          <w:szCs w:val="24"/>
          <w:highlight w:val="none"/>
          <w:lang w:eastAsia="zh-CN"/>
        </w:rPr>
        <w:t>11</w:t>
      </w:r>
      <w:r>
        <w:rPr>
          <w:rFonts w:ascii="仿宋" w:hAnsi="仿宋" w:eastAsia="仿宋" w:cs="仿宋"/>
          <w:b/>
          <w:bCs/>
          <w:color w:val="auto"/>
          <w:sz w:val="24"/>
          <w:szCs w:val="24"/>
          <w:highlight w:val="none"/>
          <w:lang w:eastAsia="zh-CN"/>
        </w:rPr>
        <w:t>.1</w:t>
      </w:r>
    </w:p>
    <w:p w14:paraId="24029223">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发包人应按照第6条和第22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款第（1）点约定向承包人提供《发包人要求》和项目基础资料。</w:t>
      </w:r>
    </w:p>
    <w:p w14:paraId="1AC847CF">
      <w:pPr>
        <w:pStyle w:val="23"/>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11</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25F73D4B">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0</wp:posOffset>
                </wp:positionV>
                <wp:extent cx="850900" cy="494665"/>
                <wp:effectExtent l="0" t="0" r="0" b="0"/>
                <wp:wrapNone/>
                <wp:docPr id="37" name="000128"/>
                <wp:cNvGraphicFramePr/>
                <a:graphic xmlns:a="http://schemas.openxmlformats.org/drawingml/2006/main">
                  <a:graphicData uri="http://schemas.microsoft.com/office/word/2010/wordprocessingShape">
                    <wps:wsp>
                      <wps:cNvSpPr txBox="1"/>
                      <wps:spPr>
                        <a:xfrm>
                          <a:off x="0" y="0"/>
                          <a:ext cx="850900" cy="494665"/>
                        </a:xfrm>
                        <a:prstGeom prst="rect">
                          <a:avLst/>
                        </a:prstGeom>
                        <a:noFill/>
                        <a:ln>
                          <a:noFill/>
                        </a:ln>
                        <a:effectLst/>
                      </wps:spPr>
                      <wps:txbx>
                        <w:txbxContent>
                          <w:p w14:paraId="4733B547">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p w14:paraId="2BC6108D"/>
                        </w:txbxContent>
                      </wps:txbx>
                      <wps:bodyPr wrap="square" upright="1"/>
                    </wps:wsp>
                  </a:graphicData>
                </a:graphic>
              </wp:anchor>
            </w:drawing>
          </mc:Choice>
          <mc:Fallback>
            <w:pict>
              <v:shape id="000128" o:spid="_x0000_s1026" o:spt="202" type="#_x0000_t202" style="position:absolute;left:0pt;margin-left:-9pt;margin-top:0pt;height:38.95pt;width:67pt;z-index:251696128;mso-width-relative:page;mso-height-relative:page;" filled="f" stroked="f" coordsize="21600,21600" o:gfxdata="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A9XEnVAAAABwEA&#10;AA8AAAAAAAAAAQAgAAAAIgAAAGRycy9kb3ducmV2LnhtbFBLAQIUABQAAAAIAIdO4kAV8WOdqwEA&#10;AGUDAAAOAAAAAAAAAAEAIAAAACQBAABkcnMvZTJvRG9jLnhtbFBLBQYAAAAABgAGAFkBAABBBQAA&#10;AAA=&#10;">
                <v:fill on="f" focussize="0,0"/>
                <v:stroke on="f"/>
                <v:imagedata o:title=""/>
                <o:lock v:ext="edit" aspectratio="f"/>
                <v:textbox>
                  <w:txbxContent>
                    <w:p w14:paraId="4733B547">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p w14:paraId="2BC6108D"/>
                  </w:txbxContent>
                </v:textbox>
              </v:shape>
            </w:pict>
          </mc:Fallback>
        </mc:AlternateContent>
      </w:r>
      <w:r>
        <w:rPr>
          <w:rFonts w:hint="eastAsia" w:ascii="仿宋" w:hAnsi="仿宋" w:eastAsia="仿宋" w:cs="仿宋"/>
          <w:color w:val="auto"/>
          <w:sz w:val="24"/>
          <w:szCs w:val="24"/>
          <w:highlight w:val="none"/>
          <w:lang w:eastAsia="zh-CN"/>
        </w:rPr>
        <w:t>承包人已依据发包人提供的项目基础资料和自己对现场查勘来编制投标文件或报价文件，应对发包人提供项目基础资料的理解、推断和应用负责。</w:t>
      </w:r>
      <w:r>
        <w:rPr>
          <w:rFonts w:ascii="仿宋" w:hAnsi="仿宋" w:eastAsia="仿宋" w:cs="仿宋"/>
          <w:color w:val="auto"/>
          <w:sz w:val="24"/>
          <w:szCs w:val="24"/>
          <w:highlight w:val="none"/>
          <w:lang w:eastAsia="zh-CN"/>
        </w:rPr>
        <w:t>因承包人未能充分查勘、了解</w:t>
      </w:r>
      <w:r>
        <w:rPr>
          <w:rFonts w:hint="eastAsia" w:ascii="仿宋" w:hAnsi="仿宋" w:eastAsia="仿宋" w:cs="仿宋"/>
          <w:color w:val="auto"/>
          <w:sz w:val="24"/>
          <w:szCs w:val="24"/>
          <w:highlight w:val="none"/>
          <w:lang w:eastAsia="zh-CN"/>
        </w:rPr>
        <w:t>以下</w:t>
      </w:r>
      <w:r>
        <w:rPr>
          <w:rFonts w:ascii="仿宋" w:hAnsi="仿宋" w:eastAsia="仿宋" w:cs="仿宋"/>
          <w:color w:val="auto"/>
          <w:sz w:val="24"/>
          <w:szCs w:val="24"/>
          <w:highlight w:val="none"/>
          <w:lang w:eastAsia="zh-CN"/>
        </w:rPr>
        <w:t>情况或未能充分估计</w:t>
      </w:r>
      <w:r>
        <w:rPr>
          <w:rFonts w:hint="eastAsia" w:ascii="仿宋" w:hAnsi="仿宋" w:eastAsia="仿宋" w:cs="仿宋"/>
          <w:color w:val="auto"/>
          <w:sz w:val="24"/>
          <w:szCs w:val="24"/>
          <w:highlight w:val="none"/>
          <w:lang w:eastAsia="zh-CN"/>
        </w:rPr>
        <w:t>以下</w:t>
      </w:r>
      <w:r>
        <w:rPr>
          <w:rFonts w:ascii="仿宋" w:hAnsi="仿宋" w:eastAsia="仿宋" w:cs="仿宋"/>
          <w:color w:val="auto"/>
          <w:sz w:val="24"/>
          <w:szCs w:val="24"/>
          <w:highlight w:val="none"/>
          <w:lang w:eastAsia="zh-CN"/>
        </w:rPr>
        <w:t>情况所可能产生后果的，承包人承担由此增加的费用和（或）延误的工期。</w:t>
      </w:r>
      <w:r>
        <w:rPr>
          <w:rFonts w:hint="eastAsia" w:ascii="仿宋" w:hAnsi="仿宋" w:eastAsia="仿宋" w:cs="仿宋"/>
          <w:color w:val="auto"/>
          <w:sz w:val="24"/>
          <w:szCs w:val="24"/>
          <w:highlight w:val="none"/>
          <w:lang w:eastAsia="zh-CN"/>
        </w:rPr>
        <w:t>承包人的投标文件或报价文件应被认为已经考虑了工程现场及其周围环境的影响，包括但不限于以下内容：</w:t>
      </w:r>
    </w:p>
    <w:p w14:paraId="158DB9D4">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）现场地质情况及地形地貌特征；</w:t>
      </w:r>
    </w:p>
    <w:p w14:paraId="0AB28443">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（2）水文和气候条件；</w:t>
      </w:r>
    </w:p>
    <w:p w14:paraId="75728757">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（3）为实施、完成并保修合同工程所需的临时工程和措施项目；</w:t>
      </w:r>
    </w:p>
    <w:p w14:paraId="1014361D">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（4）为实施、完成并保修合同工程所需的工程材料采购和加工、工程设备的采购，及所需的施工设备、周转性材料、人员和管理等；</w:t>
      </w:r>
    </w:p>
    <w:p w14:paraId="217FF102">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（5）场地内外的交通情况及水、电、食宿供应条件；</w:t>
      </w:r>
    </w:p>
    <w:p w14:paraId="571939FA">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（6）可能对投标或报价有影响或起作用的其他情况。</w:t>
      </w:r>
    </w:p>
    <w:p w14:paraId="27842748">
      <w:pPr>
        <w:pStyle w:val="23"/>
        <w:spacing w:line="360" w:lineRule="auto"/>
        <w:rPr>
          <w:rFonts w:ascii="仿宋" w:hAnsi="仿宋" w:eastAsia="仿宋"/>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75259524">
      <w:pPr>
        <w:pStyle w:val="4"/>
        <w:tabs>
          <w:tab w:val="left" w:pos="420"/>
        </w:tabs>
        <w:spacing w:before="120" w:after="120" w:line="360" w:lineRule="auto"/>
        <w:rPr>
          <w:rFonts w:ascii="仿宋" w:hAnsi="仿宋" w:eastAsia="仿宋"/>
          <w:color w:val="auto"/>
          <w:sz w:val="24"/>
          <w:szCs w:val="24"/>
          <w:highlight w:val="none"/>
          <w:lang w:eastAsia="zh-CN"/>
        </w:rPr>
      </w:pPr>
      <w:bookmarkStart w:id="285" w:name="_Toc21082"/>
      <w:bookmarkStart w:id="286" w:name="_Toc11922"/>
      <w:bookmarkStart w:id="287" w:name="_Toc11039"/>
      <w:bookmarkStart w:id="288" w:name="_Toc469383988"/>
      <w:bookmarkStart w:id="289" w:name="_Toc47694282"/>
      <w:bookmarkStart w:id="290" w:name="_Toc10700"/>
      <w:bookmarkStart w:id="291" w:name="_Toc511"/>
      <w:bookmarkStart w:id="292" w:name="_Toc28026"/>
      <w:bookmarkStart w:id="293" w:name="_Toc27369"/>
      <w:r>
        <w:rPr>
          <w:rFonts w:hint="eastAsia" w:ascii="仿宋" w:hAnsi="仿宋" w:eastAsia="仿宋" w:cs="仿宋"/>
          <w:color w:val="auto"/>
          <w:sz w:val="24"/>
          <w:szCs w:val="24"/>
          <w:highlight w:val="none"/>
          <w:lang w:eastAsia="zh-CN"/>
        </w:rPr>
        <w:t>12</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招标错失的修正</w:t>
      </w:r>
      <w:bookmarkEnd w:id="285"/>
      <w:bookmarkEnd w:id="286"/>
      <w:bookmarkEnd w:id="287"/>
      <w:bookmarkEnd w:id="288"/>
      <w:bookmarkEnd w:id="289"/>
      <w:bookmarkEnd w:id="290"/>
      <w:bookmarkEnd w:id="291"/>
      <w:bookmarkEnd w:id="292"/>
      <w:bookmarkEnd w:id="293"/>
    </w:p>
    <w:p w14:paraId="71079A25">
      <w:pPr>
        <w:pStyle w:val="23"/>
        <w:spacing w:before="240"/>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697152" behindDoc="0" locked="0" layoutInCell="1" allowOverlap="1">
                <wp:simplePos x="0" y="0"/>
                <wp:positionH relativeFrom="column">
                  <wp:posOffset>-60960</wp:posOffset>
                </wp:positionH>
                <wp:positionV relativeFrom="paragraph">
                  <wp:posOffset>241300</wp:posOffset>
                </wp:positionV>
                <wp:extent cx="824230" cy="783590"/>
                <wp:effectExtent l="0" t="0" r="0" b="0"/>
                <wp:wrapNone/>
                <wp:docPr id="38" name="000129"/>
                <wp:cNvGraphicFramePr/>
                <a:graphic xmlns:a="http://schemas.openxmlformats.org/drawingml/2006/main">
                  <a:graphicData uri="http://schemas.microsoft.com/office/word/2010/wordprocessingShape">
                    <wps:wsp>
                      <wps:cNvSpPr txBox="1"/>
                      <wps:spPr>
                        <a:xfrm>
                          <a:off x="0" y="0"/>
                          <a:ext cx="824230" cy="783590"/>
                        </a:xfrm>
                        <a:prstGeom prst="rect">
                          <a:avLst/>
                        </a:prstGeom>
                        <a:noFill/>
                        <a:ln>
                          <a:noFill/>
                        </a:ln>
                        <a:effectLst/>
                      </wps:spPr>
                      <wps:txbx>
                        <w:txbxContent>
                          <w:p w14:paraId="1ECA65E6">
                            <w:pPr>
                              <w:pStyle w:val="23"/>
                              <w:tabs>
                                <w:tab w:val="left" w:pos="2160"/>
                              </w:tabs>
                              <w:spacing w:before="192"/>
                              <w:rPr>
                                <w:lang w:eastAsia="zh-CN"/>
                              </w:rPr>
                            </w:pPr>
                            <w:r>
                              <w:rPr>
                                <w:rFonts w:hint="eastAsia" w:ascii="楷体_GB2312" w:hAnsi="宋体" w:eastAsia="楷体_GB2312" w:cs="楷体_GB2312"/>
                                <w:b/>
                                <w:bCs/>
                                <w:color w:val="000000"/>
                                <w:sz w:val="18"/>
                                <w:szCs w:val="18"/>
                                <w:lang w:eastAsia="zh-CN"/>
                              </w:rPr>
                              <w:t>合同条款及格式完备性和义务</w:t>
                            </w:r>
                          </w:p>
                          <w:p w14:paraId="26BA5F50">
                            <w:pPr>
                              <w:rPr>
                                <w:lang w:eastAsia="zh-CN"/>
                              </w:rPr>
                            </w:pPr>
                          </w:p>
                        </w:txbxContent>
                      </wps:txbx>
                      <wps:bodyPr wrap="square" upright="1"/>
                    </wps:wsp>
                  </a:graphicData>
                </a:graphic>
              </wp:anchor>
            </w:drawing>
          </mc:Choice>
          <mc:Fallback>
            <w:pict>
              <v:shape id="000129" o:spid="_x0000_s1026" o:spt="202" type="#_x0000_t202" style="position:absolute;left:0pt;margin-left:-4.8pt;margin-top:19pt;height:61.7pt;width:64.9pt;z-index:251697152;mso-width-relative:page;mso-height-relative:page;" filled="f" stroked="f" coordsize="21600,21600" o:gfxdata="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8Q+YLXAAAA&#10;CQEAAA8AAAAAAAAAAQAgAAAAIgAAAGRycy9kb3ducmV2LnhtbFBLAQIUABQAAAAIAIdO4kBanwm9&#10;rAEAAGUDAAAOAAAAAAAAAAEAIAAAACYBAABkcnMvZTJvRG9jLnhtbFBLBQYAAAAABgAGAFkBAABE&#10;BQAAAAA=&#10;">
                <v:fill on="f" focussize="0,0"/>
                <v:stroke on="f"/>
                <v:imagedata o:title=""/>
                <o:lock v:ext="edit" aspectratio="f"/>
                <v:textbox>
                  <w:txbxContent>
                    <w:p w14:paraId="1ECA65E6">
                      <w:pPr>
                        <w:pStyle w:val="23"/>
                        <w:tabs>
                          <w:tab w:val="left" w:pos="2160"/>
                        </w:tabs>
                        <w:spacing w:before="192"/>
                        <w:rPr>
                          <w:lang w:eastAsia="zh-CN"/>
                        </w:rPr>
                      </w:pPr>
                      <w:r>
                        <w:rPr>
                          <w:rFonts w:hint="eastAsia" w:ascii="楷体_GB2312" w:hAnsi="宋体" w:eastAsia="楷体_GB2312" w:cs="楷体_GB2312"/>
                          <w:b/>
                          <w:bCs/>
                          <w:color w:val="000000"/>
                          <w:sz w:val="18"/>
                          <w:szCs w:val="18"/>
                          <w:lang w:eastAsia="zh-CN"/>
                        </w:rPr>
                        <w:t>合同条款及格式完备性和义务</w:t>
                      </w:r>
                    </w:p>
                    <w:p w14:paraId="26BA5F50">
                      <w:pPr>
                        <w:rPr>
                          <w:lang w:eastAsia="zh-CN"/>
                        </w:rPr>
                      </w:pPr>
                    </w:p>
                  </w:txbxContent>
                </v:textbox>
              </v:shape>
            </w:pict>
          </mc:Fallback>
        </mc:AlternateContent>
      </w:r>
      <w:r>
        <w:rPr>
          <w:rFonts w:hint="eastAsia" w:ascii="仿宋" w:hAnsi="仿宋" w:eastAsia="仿宋" w:cs="仿宋"/>
          <w:b/>
          <w:bCs/>
          <w:color w:val="auto"/>
          <w:sz w:val="24"/>
          <w:szCs w:val="24"/>
          <w:highlight w:val="none"/>
          <w:lang w:eastAsia="zh-CN"/>
        </w:rPr>
        <w:t>12</w:t>
      </w:r>
      <w:r>
        <w:rPr>
          <w:rFonts w:ascii="仿宋" w:hAnsi="仿宋" w:eastAsia="仿宋" w:cs="仿宋"/>
          <w:b/>
          <w:bCs/>
          <w:color w:val="auto"/>
          <w:sz w:val="24"/>
          <w:szCs w:val="24"/>
          <w:highlight w:val="none"/>
          <w:lang w:eastAsia="zh-CN"/>
        </w:rPr>
        <w:t>.1</w:t>
      </w:r>
    </w:p>
    <w:p w14:paraId="5A62DEB9">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发包人招标文件中的合同条款及格式，被认为是正确的和公平的，并已包括了发包人履行本合同的全部义务，包括但不限于以下内容：</w:t>
      </w:r>
    </w:p>
    <w:p w14:paraId="2D9A285D">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）支付工程款及其他应付款项的义务；</w:t>
      </w:r>
    </w:p>
    <w:p w14:paraId="7B8F28D3">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）完成本合同第22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款约定工作的义务；</w:t>
      </w:r>
    </w:p>
    <w:p w14:paraId="782AE2C8">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）修正不正确合同条款及格式的义务；</w:t>
      </w:r>
    </w:p>
    <w:p w14:paraId="1AAD8F44">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）澄清并改正被认定有失公平的合同条款的义务；</w:t>
      </w:r>
    </w:p>
    <w:p w14:paraId="5FA859B0">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）协助承包人实施、完成并保修合同工程的义务。</w:t>
      </w:r>
    </w:p>
    <w:p w14:paraId="429B3088">
      <w:pPr>
        <w:rPr>
          <w:color w:val="auto"/>
          <w:highlight w:val="none"/>
          <w:lang w:eastAsia="zh-CN"/>
        </w:rPr>
      </w:pPr>
    </w:p>
    <w:p w14:paraId="4F4A3F61">
      <w:pPr>
        <w:pStyle w:val="23"/>
        <w:tabs>
          <w:tab w:val="left" w:pos="2160"/>
        </w:tabs>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39E963DE">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98176" behindDoc="0" locked="0" layoutInCell="1" allowOverlap="1">
                <wp:simplePos x="0" y="0"/>
                <wp:positionH relativeFrom="column">
                  <wp:posOffset>-1270</wp:posOffset>
                </wp:positionH>
                <wp:positionV relativeFrom="paragraph">
                  <wp:posOffset>9525</wp:posOffset>
                </wp:positionV>
                <wp:extent cx="851535" cy="1025525"/>
                <wp:effectExtent l="0" t="0" r="0" b="0"/>
                <wp:wrapNone/>
                <wp:docPr id="39" name="00012a"/>
                <wp:cNvGraphicFramePr/>
                <a:graphic xmlns:a="http://schemas.openxmlformats.org/drawingml/2006/main">
                  <a:graphicData uri="http://schemas.microsoft.com/office/word/2010/wordprocessingShape">
                    <wps:wsp>
                      <wps:cNvSpPr txBox="1"/>
                      <wps:spPr>
                        <a:xfrm>
                          <a:off x="0" y="0"/>
                          <a:ext cx="851535" cy="1025525"/>
                        </a:xfrm>
                        <a:prstGeom prst="rect">
                          <a:avLst/>
                        </a:prstGeom>
                        <a:noFill/>
                        <a:ln>
                          <a:noFill/>
                        </a:ln>
                        <a:effectLst/>
                      </wps:spPr>
                      <wps:txbx>
                        <w:txbxContent>
                          <w:p w14:paraId="2DDD73CB">
                            <w:pPr>
                              <w:pStyle w:val="23"/>
                              <w:tabs>
                                <w:tab w:val="left" w:pos="2160"/>
                              </w:tabs>
                              <w:spacing w:before="192"/>
                              <w:rPr>
                                <w:lang w:eastAsia="zh-CN"/>
                              </w:rPr>
                            </w:pPr>
                            <w:r>
                              <w:rPr>
                                <w:rFonts w:hint="eastAsia" w:ascii="楷体_GB2312" w:hAnsi="宋体" w:eastAsia="楷体_GB2312" w:cs="楷体_GB2312"/>
                                <w:b/>
                                <w:bCs/>
                                <w:color w:val="000000"/>
                                <w:sz w:val="18"/>
                                <w:szCs w:val="18"/>
                                <w:lang w:eastAsia="zh-CN"/>
                              </w:rPr>
                              <w:t>工程量清单或报价格式的准确性和修正</w:t>
                            </w:r>
                          </w:p>
                          <w:p w14:paraId="43BCE5D3">
                            <w:pPr>
                              <w:rPr>
                                <w:lang w:eastAsia="zh-CN"/>
                              </w:rPr>
                            </w:pPr>
                          </w:p>
                        </w:txbxContent>
                      </wps:txbx>
                      <wps:bodyPr wrap="square" upright="1"/>
                    </wps:wsp>
                  </a:graphicData>
                </a:graphic>
              </wp:anchor>
            </w:drawing>
          </mc:Choice>
          <mc:Fallback>
            <w:pict>
              <v:shape id="00012a" o:spid="_x0000_s1026" o:spt="202" type="#_x0000_t202" style="position:absolute;left:0pt;margin-left:-0.1pt;margin-top:0.75pt;height:80.75pt;width:67.05pt;z-index:251698176;mso-width-relative:page;mso-height-relative:page;" filled="f" stroked="f" coordsize="21600,21600" o:gfxdata="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Nb2DGNQAAAAHAQAA&#10;DwAAAAAAAAABACAAAAAiAAAAZHJzL2Rvd25yZXYueG1sUEsBAhQAFAAAAAgAh07iQNMslAarAQAA&#10;ZgMAAA4AAAAAAAAAAQAgAAAAIwEAAGRycy9lMm9Eb2MueG1sUEsFBgAAAAAGAAYAWQEAAEAFAAAA&#10;AA==&#10;">
                <v:fill on="f" focussize="0,0"/>
                <v:stroke on="f"/>
                <v:imagedata o:title=""/>
                <o:lock v:ext="edit" aspectratio="f"/>
                <v:textbox>
                  <w:txbxContent>
                    <w:p w14:paraId="2DDD73CB">
                      <w:pPr>
                        <w:pStyle w:val="23"/>
                        <w:tabs>
                          <w:tab w:val="left" w:pos="2160"/>
                        </w:tabs>
                        <w:spacing w:before="192"/>
                        <w:rPr>
                          <w:lang w:eastAsia="zh-CN"/>
                        </w:rPr>
                      </w:pPr>
                      <w:r>
                        <w:rPr>
                          <w:rFonts w:hint="eastAsia" w:ascii="楷体_GB2312" w:hAnsi="宋体" w:eastAsia="楷体_GB2312" w:cs="楷体_GB2312"/>
                          <w:b/>
                          <w:bCs/>
                          <w:color w:val="000000"/>
                          <w:sz w:val="18"/>
                          <w:szCs w:val="18"/>
                          <w:lang w:eastAsia="zh-CN"/>
                        </w:rPr>
                        <w:t>工程量清单或报价格式的准确性和修正</w:t>
                      </w:r>
                    </w:p>
                    <w:p w14:paraId="43BCE5D3">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发包人招标文件提供的工程量清单或报价格式及其投资估算、设计概算等资料仅供参考，投标人已根据招标人提供的项目基础资料及现场查勘进行核实修正，并按发包人招标文件提供的报价格式自主报价。当出现下列情形之一的，发包人应及时予以修正，并相应调整合同价格：</w:t>
      </w:r>
    </w:p>
    <w:p w14:paraId="0E75F1D7">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）发包人提供的可行性研究报告或初步设计发生实质性变化的；</w:t>
      </w:r>
    </w:p>
    <w:p w14:paraId="53BD4BFD">
      <w:pPr>
        <w:pStyle w:val="23"/>
        <w:widowControl w:val="0"/>
        <w:spacing w:line="360" w:lineRule="auto"/>
        <w:ind w:left="1850" w:leftChars="771"/>
        <w:jc w:val="both"/>
        <w:rPr>
          <w:rFonts w:hint="eastAsia"/>
          <w:color w:val="auto"/>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）出现第69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3款约定调整合同价格事项的。</w:t>
      </w:r>
    </w:p>
    <w:p w14:paraId="5658064E">
      <w:pPr>
        <w:pStyle w:val="23"/>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233C5753">
      <w:pPr>
        <w:pStyle w:val="4"/>
        <w:tabs>
          <w:tab w:val="left" w:pos="420"/>
        </w:tabs>
        <w:spacing w:before="120" w:after="120" w:line="360" w:lineRule="auto"/>
        <w:rPr>
          <w:rFonts w:ascii="仿宋" w:hAnsi="仿宋" w:eastAsia="仿宋"/>
          <w:color w:val="auto"/>
          <w:sz w:val="24"/>
          <w:szCs w:val="24"/>
          <w:highlight w:val="none"/>
          <w:lang w:eastAsia="zh-CN"/>
        </w:rPr>
      </w:pPr>
      <w:bookmarkStart w:id="294" w:name="_Toc14841"/>
      <w:bookmarkStart w:id="295" w:name="_Toc3721"/>
      <w:bookmarkStart w:id="296" w:name="_Toc47694283"/>
      <w:bookmarkStart w:id="297" w:name="_Toc469383989"/>
      <w:bookmarkStart w:id="298" w:name="_Toc7217"/>
      <w:bookmarkStart w:id="299" w:name="_Toc8167"/>
      <w:bookmarkStart w:id="300" w:name="_Toc1473"/>
      <w:bookmarkStart w:id="301" w:name="_Toc31154"/>
      <w:bookmarkStart w:id="302" w:name="_Toc32693"/>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3</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投标文件的完备性</w:t>
      </w:r>
      <w:bookmarkEnd w:id="294"/>
      <w:bookmarkEnd w:id="295"/>
      <w:bookmarkEnd w:id="296"/>
      <w:bookmarkEnd w:id="297"/>
      <w:bookmarkEnd w:id="298"/>
      <w:bookmarkEnd w:id="299"/>
      <w:bookmarkEnd w:id="300"/>
      <w:bookmarkEnd w:id="301"/>
      <w:bookmarkEnd w:id="302"/>
    </w:p>
    <w:p w14:paraId="24E16309">
      <w:pPr>
        <w:rPr>
          <w:rFonts w:hint="eastAsia" w:ascii="仿宋" w:hAnsi="仿宋" w:eastAsia="仿宋" w:cs="仿宋"/>
          <w:b/>
          <w:bCs/>
          <w:color w:val="auto"/>
          <w:highlight w:val="none"/>
          <w:lang w:eastAsia="zh-CN"/>
        </w:rPr>
      </w:pPr>
      <w:bookmarkStart w:id="303" w:name="_Toc1958"/>
      <w:r>
        <w:rPr>
          <w:color w:val="auto"/>
          <w:highlight w:val="none"/>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166370</wp:posOffset>
                </wp:positionV>
                <wp:extent cx="814705" cy="711200"/>
                <wp:effectExtent l="0" t="0" r="0" b="0"/>
                <wp:wrapNone/>
                <wp:docPr id="40" name="00012b"/>
                <wp:cNvGraphicFramePr/>
                <a:graphic xmlns:a="http://schemas.openxmlformats.org/drawingml/2006/main">
                  <a:graphicData uri="http://schemas.microsoft.com/office/word/2010/wordprocessingShape">
                    <wps:wsp>
                      <wps:cNvSpPr txBox="1"/>
                      <wps:spPr>
                        <a:xfrm>
                          <a:off x="0" y="0"/>
                          <a:ext cx="814705" cy="711200"/>
                        </a:xfrm>
                        <a:prstGeom prst="rect">
                          <a:avLst/>
                        </a:prstGeom>
                        <a:noFill/>
                        <a:ln>
                          <a:noFill/>
                        </a:ln>
                        <a:effectLst/>
                      </wps:spPr>
                      <wps:txbx>
                        <w:txbxContent>
                          <w:p w14:paraId="2ECF43B8">
                            <w:pPr>
                              <w:pStyle w:val="23"/>
                              <w:tabs>
                                <w:tab w:val="left" w:pos="2160"/>
                              </w:tabs>
                              <w:spacing w:before="192"/>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p w14:paraId="794D1474"/>
                        </w:txbxContent>
                      </wps:txbx>
                      <wps:bodyPr wrap="square" upright="1"/>
                    </wps:wsp>
                  </a:graphicData>
                </a:graphic>
              </wp:anchor>
            </w:drawing>
          </mc:Choice>
          <mc:Fallback>
            <w:pict>
              <v:shape id="00012b" o:spid="_x0000_s1026" o:spt="202" type="#_x0000_t202" style="position:absolute;left:0pt;margin-left:-9pt;margin-top:13.1pt;height:56pt;width:64.15pt;z-index:251699200;mso-width-relative:page;mso-height-relative:page;" filled="f" stroked="f" coordsize="21600,21600" o:gfxdata="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cNNGe2AAAAAoB&#10;AAAPAAAAAAAAAAEAIAAAACIAAABkcnMvZG93bnJldi54bWxQSwECFAAUAAAACACHTuJA0yvOh6kB&#10;AABlAwAADgAAAAAAAAABACAAAAAnAQAAZHJzL2Uyb0RvYy54bWxQSwUGAAAAAAYABgBZAQAAQgUA&#10;AAAA&#10;">
                <v:fill on="f" focussize="0,0"/>
                <v:stroke on="f"/>
                <v:imagedata o:title=""/>
                <o:lock v:ext="edit" aspectratio="f"/>
                <v:textbox>
                  <w:txbxContent>
                    <w:p w14:paraId="2ECF43B8">
                      <w:pPr>
                        <w:pStyle w:val="23"/>
                        <w:tabs>
                          <w:tab w:val="left" w:pos="2160"/>
                        </w:tabs>
                        <w:spacing w:before="192"/>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p w14:paraId="794D1474"/>
                  </w:txbxContent>
                </v:textbox>
              </v:shape>
            </w:pict>
          </mc:Fallback>
        </mc:AlternateContent>
      </w:r>
      <w:r>
        <w:rPr>
          <w:rFonts w:ascii="仿宋" w:hAnsi="仿宋" w:eastAsia="仿宋" w:cs="仿宋"/>
          <w:b/>
          <w:bCs/>
          <w:color w:val="auto"/>
          <w:highlight w:val="none"/>
          <w:lang w:eastAsia="zh-CN"/>
        </w:rPr>
        <w:t>1</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.1</w:t>
      </w:r>
      <w:bookmarkEnd w:id="303"/>
    </w:p>
    <w:p w14:paraId="34B08155">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承包人投标文件中的工程量清单及所填单价和合价，被认为是正确的和完备的，</w:t>
      </w:r>
      <w:r>
        <w:rPr>
          <w:rFonts w:hint="eastAsia" w:ascii="仿宋" w:hAnsi="仿宋" w:eastAsia="仿宋"/>
          <w:color w:val="auto"/>
          <w:sz w:val="24"/>
          <w:szCs w:val="24"/>
          <w:highlight w:val="none"/>
          <w:lang w:eastAsia="zh-CN"/>
        </w:rPr>
        <w:t>并已包括了承包人履行本合同的全部义务</w:t>
      </w:r>
      <w:r>
        <w:rPr>
          <w:rFonts w:hint="eastAsia" w:ascii="仿宋" w:hAnsi="仿宋" w:eastAsia="仿宋" w:cs="仿宋"/>
          <w:color w:val="auto"/>
          <w:sz w:val="24"/>
          <w:szCs w:val="24"/>
          <w:highlight w:val="none"/>
          <w:lang w:eastAsia="zh-CN"/>
        </w:rPr>
        <w:t>，包括但不限于以下内容：</w:t>
      </w:r>
    </w:p>
    <w:p w14:paraId="4FBA34A0">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）完成总承包范围内容及处理意外事项的义务；</w:t>
      </w:r>
    </w:p>
    <w:p w14:paraId="4B35CBA0">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（2）修复工作缺陷及完成工程质量保修义务。</w:t>
      </w:r>
    </w:p>
    <w:p w14:paraId="17BE0E28">
      <w:pPr>
        <w:pStyle w:val="23"/>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49FB4977">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8255</wp:posOffset>
                </wp:positionV>
                <wp:extent cx="832485" cy="561975"/>
                <wp:effectExtent l="0" t="0" r="0" b="0"/>
                <wp:wrapNone/>
                <wp:docPr id="41" name="00012c"/>
                <wp:cNvGraphicFramePr/>
                <a:graphic xmlns:a="http://schemas.openxmlformats.org/drawingml/2006/main">
                  <a:graphicData uri="http://schemas.microsoft.com/office/word/2010/wordprocessingShape">
                    <wps:wsp>
                      <wps:cNvSpPr txBox="1"/>
                      <wps:spPr>
                        <a:xfrm>
                          <a:off x="0" y="0"/>
                          <a:ext cx="832485" cy="561975"/>
                        </a:xfrm>
                        <a:prstGeom prst="rect">
                          <a:avLst/>
                        </a:prstGeom>
                        <a:noFill/>
                        <a:ln>
                          <a:noFill/>
                        </a:ln>
                        <a:effectLst/>
                      </wps:spPr>
                      <wps:txbx>
                        <w:txbxContent>
                          <w:p w14:paraId="5E57F110">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p w14:paraId="4144C0D0"/>
                        </w:txbxContent>
                      </wps:txbx>
                      <wps:bodyPr wrap="square" upright="1"/>
                    </wps:wsp>
                  </a:graphicData>
                </a:graphic>
              </wp:anchor>
            </w:drawing>
          </mc:Choice>
          <mc:Fallback>
            <w:pict>
              <v:shape id="00012c" o:spid="_x0000_s1026" o:spt="202" type="#_x0000_t202" style="position:absolute;left:0pt;margin-left:-9pt;margin-top:0.65pt;height:44.25pt;width:65.55pt;z-index:251700224;mso-width-relative:page;mso-height-relative:page;" filled="f" stroked="f" coordsize="21600,21600" o:gfxdata="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S9Mud1QAAAAgB&#10;AAAPAAAAAAAAAAEAIAAAACIAAABkcnMvZG93bnJldi54bWxQSwECFAAUAAAACACHTuJAnSZ9GKwB&#10;AABlAwAADgAAAAAAAAABACAAAAAkAQAAZHJzL2Uyb0RvYy54bWxQSwUGAAAAAAYABgBZAQAAQgUA&#10;AAAA&#10;">
                <v:fill on="f" focussize="0,0"/>
                <v:stroke on="f"/>
                <v:imagedata o:title=""/>
                <o:lock v:ext="edit" aspectratio="f"/>
                <v:textbox>
                  <w:txbxContent>
                    <w:p w14:paraId="5E57F110">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p w14:paraId="4144C0D0"/>
                  </w:txbxContent>
                </v:textbox>
              </v:shape>
            </w:pict>
          </mc:Fallback>
        </mc:AlternateContent>
      </w:r>
      <w:r>
        <w:rPr>
          <w:rFonts w:hint="eastAsia" w:ascii="仿宋" w:hAnsi="仿宋" w:eastAsia="仿宋" w:cs="仿宋"/>
          <w:color w:val="auto"/>
          <w:sz w:val="24"/>
          <w:szCs w:val="24"/>
          <w:highlight w:val="none"/>
          <w:lang w:eastAsia="zh-CN"/>
        </w:rPr>
        <w:t>发包人已提供项目基础资料、发包人要求及相关澄清文件，承包人投标文件中的工程量清单中漏项、少报工程量或工作量、漏报单价与合价，应认为该项目价款已包含在工程量清单的其他项目的单价或合价中，发包人将不另行支付。发包人提供的可行性研究报告或初步设计变更、发包人允许的合理化建议等合同允许调整事项除外。</w:t>
      </w:r>
    </w:p>
    <w:p w14:paraId="25978739">
      <w:pPr>
        <w:pStyle w:val="23"/>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37B5978F">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8255</wp:posOffset>
                </wp:positionV>
                <wp:extent cx="814070" cy="562610"/>
                <wp:effectExtent l="0" t="0" r="0" b="0"/>
                <wp:wrapNone/>
                <wp:docPr id="42" name="00012d"/>
                <wp:cNvGraphicFramePr/>
                <a:graphic xmlns:a="http://schemas.openxmlformats.org/drawingml/2006/main">
                  <a:graphicData uri="http://schemas.microsoft.com/office/word/2010/wordprocessingShape">
                    <wps:wsp>
                      <wps:cNvSpPr txBox="1"/>
                      <wps:spPr>
                        <a:xfrm>
                          <a:off x="0" y="0"/>
                          <a:ext cx="814070" cy="562610"/>
                        </a:xfrm>
                        <a:prstGeom prst="rect">
                          <a:avLst/>
                        </a:prstGeom>
                        <a:noFill/>
                        <a:ln>
                          <a:noFill/>
                        </a:ln>
                        <a:effectLst/>
                      </wps:spPr>
                      <wps:txbx>
                        <w:txbxContent>
                          <w:p w14:paraId="671A2CD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p w14:paraId="40366845"/>
                        </w:txbxContent>
                      </wps:txbx>
                      <wps:bodyPr wrap="square" upright="1"/>
                    </wps:wsp>
                  </a:graphicData>
                </a:graphic>
              </wp:anchor>
            </w:drawing>
          </mc:Choice>
          <mc:Fallback>
            <w:pict>
              <v:shape id="00012d" o:spid="_x0000_s1026" o:spt="202" type="#_x0000_t202" style="position:absolute;left:0pt;margin-left:-9pt;margin-top:0.65pt;height:44.3pt;width:64.1pt;z-index:251701248;mso-width-relative:page;mso-height-relative:page;" filled="f" stroked="f" coordsize="21600,21600" o:gfxdata="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uXmP71gAAAAgB&#10;AAAPAAAAAAAAAAEAIAAAACIAAABkcnMvZG93bnJldi54bWxQSwECFAAUAAAACACHTuJA7ES1VqsB&#10;AABlAwAADgAAAAAAAAABACAAAAAlAQAAZHJzL2Uyb0RvYy54bWxQSwUGAAAAAAYABgBZAQAAQgUA&#10;AAAA&#10;">
                <v:fill on="f" focussize="0,0"/>
                <v:stroke on="f"/>
                <v:imagedata o:title=""/>
                <o:lock v:ext="edit" aspectratio="f"/>
                <v:textbox>
                  <w:txbxContent>
                    <w:p w14:paraId="671A2CD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p w14:paraId="40366845"/>
                  </w:txbxContent>
                </v:textbox>
              </v:shape>
            </w:pict>
          </mc:Fallback>
        </mc:AlternateContent>
      </w:r>
      <w:r>
        <w:rPr>
          <w:rFonts w:hint="eastAsia" w:ascii="仿宋" w:hAnsi="仿宋" w:eastAsia="仿宋" w:cs="仿宋"/>
          <w:color w:val="auto"/>
          <w:sz w:val="24"/>
          <w:szCs w:val="24"/>
          <w:highlight w:val="none"/>
          <w:lang w:eastAsia="zh-CN"/>
        </w:rPr>
        <w:t>承包人投标文件中出现算术性错误，导致其算术修正后的实际总价与报价总金额不一致时，合同双方当事人可按照国家、省有关规定予以修正，并相应调整合同价格，调整后的合同价格原则上不得超过已批准或备案的投资估算（立项后招标发包工程）或设计概算（适用于初步设计批准或备案后招标发包工程）中相应价格。</w:t>
      </w:r>
    </w:p>
    <w:p w14:paraId="241CA749">
      <w:pPr>
        <w:pStyle w:val="23"/>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1F63A507">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304" w:name="_Toc5812"/>
      <w:bookmarkStart w:id="305" w:name="_Toc17448"/>
      <w:bookmarkStart w:id="306" w:name="_Toc9795"/>
      <w:bookmarkStart w:id="307" w:name="_Toc47694284"/>
      <w:bookmarkStart w:id="308" w:name="_Toc16631"/>
      <w:bookmarkStart w:id="309" w:name="_Toc3195"/>
      <w:bookmarkStart w:id="310" w:name="_Toc22982"/>
      <w:bookmarkStart w:id="311" w:name="_Toc15488"/>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文物和地下障碍物</w:t>
      </w:r>
      <w:bookmarkEnd w:id="304"/>
      <w:bookmarkEnd w:id="305"/>
      <w:bookmarkEnd w:id="306"/>
      <w:bookmarkEnd w:id="307"/>
      <w:bookmarkEnd w:id="308"/>
      <w:bookmarkEnd w:id="309"/>
      <w:bookmarkEnd w:id="310"/>
      <w:bookmarkEnd w:id="311"/>
    </w:p>
    <w:p w14:paraId="736C508B">
      <w:pPr>
        <w:pStyle w:val="23"/>
        <w:spacing w:line="360" w:lineRule="auto"/>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.1</w:t>
      </w:r>
    </w:p>
    <w:p w14:paraId="36D80588">
      <w:pPr>
        <w:pStyle w:val="23"/>
        <w:widowControl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-7620</wp:posOffset>
                </wp:positionV>
                <wp:extent cx="861060" cy="511175"/>
                <wp:effectExtent l="0" t="0" r="0" b="0"/>
                <wp:wrapNone/>
                <wp:docPr id="43" name="00012e"/>
                <wp:cNvGraphicFramePr/>
                <a:graphic xmlns:a="http://schemas.openxmlformats.org/drawingml/2006/main">
                  <a:graphicData uri="http://schemas.microsoft.com/office/word/2010/wordprocessingShape">
                    <wps:wsp>
                      <wps:cNvSpPr txBox="1"/>
                      <wps:spPr>
                        <a:xfrm>
                          <a:off x="0" y="0"/>
                          <a:ext cx="861060" cy="511175"/>
                        </a:xfrm>
                        <a:prstGeom prst="rect">
                          <a:avLst/>
                        </a:prstGeom>
                        <a:noFill/>
                        <a:ln>
                          <a:noFill/>
                        </a:ln>
                        <a:effectLst/>
                      </wps:spPr>
                      <wps:txbx>
                        <w:txbxContent>
                          <w:p w14:paraId="5EAA57E9">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p w14:paraId="6BEB1D0F"/>
                        </w:txbxContent>
                      </wps:txbx>
                      <wps:bodyPr wrap="square" upright="1"/>
                    </wps:wsp>
                  </a:graphicData>
                </a:graphic>
              </wp:anchor>
            </w:drawing>
          </mc:Choice>
          <mc:Fallback>
            <w:pict>
              <v:shape id="00012e" o:spid="_x0000_s1026" o:spt="202" type="#_x0000_t202" style="position:absolute;left:0pt;margin-left:-9pt;margin-top:-0.6pt;height:40.25pt;width:67.8pt;z-index:251702272;mso-width-relative:page;mso-height-relative:page;" filled="f" stroked="f" coordsize="21600,21600" o:gfxdata="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YQWJ41wAAAAkB&#10;AAAPAAAAAAAAAAEAIAAAACIAAABkcnMvZG93bnJldi54bWxQSwECFAAUAAAACACHTuJAwFZm6aoB&#10;AABlAwAADgAAAAAAAAABACAAAAAmAQAAZHJzL2Uyb0RvYy54bWxQSwUGAAAAAAYABgBZAQAAQgUA&#10;AAAA&#10;">
                <v:fill on="f" focussize="0,0"/>
                <v:stroke on="f"/>
                <v:imagedata o:title=""/>
                <o:lock v:ext="edit" aspectratio="f"/>
                <v:textbox>
                  <w:txbxContent>
                    <w:p w14:paraId="5EAA57E9">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p w14:paraId="6BEB1D0F"/>
                  </w:txbxContent>
                </v:textbox>
              </v:shape>
            </w:pict>
          </mc:Fallback>
        </mc:AlternateContent>
      </w:r>
      <w:r>
        <w:rPr>
          <w:rFonts w:hint="eastAsia" w:ascii="仿宋" w:hAnsi="仿宋" w:eastAsia="仿宋" w:cs="仿宋"/>
          <w:color w:val="auto"/>
          <w:sz w:val="24"/>
          <w:szCs w:val="24"/>
          <w:highlight w:val="none"/>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小时内以书面形式通知监理人和发包人。监理人应在收到通知后立即指令承包人继续保护好现场，并在收到通知后</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小时内报告当地文物管理部门，合同双方当事人应按照文物管理部门的要求采取妥善保护措施。发包人承担由此增加的费用和（或）工期延误，并向承包人支付合理利润。</w:t>
      </w:r>
    </w:p>
    <w:p w14:paraId="2ED38935">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如发现文物后隐瞒不报或报告不及时，导致上述文物丢失或遭受破坏的，由责任方赔偿损失，并承担相应的法律责任。</w:t>
      </w:r>
    </w:p>
    <w:p w14:paraId="6FB4873B">
      <w:pPr>
        <w:pStyle w:val="23"/>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65967CBE">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-1270</wp:posOffset>
                </wp:positionV>
                <wp:extent cx="870585" cy="577850"/>
                <wp:effectExtent l="0" t="0" r="0" b="0"/>
                <wp:wrapNone/>
                <wp:docPr id="44" name="00012f"/>
                <wp:cNvGraphicFramePr/>
                <a:graphic xmlns:a="http://schemas.openxmlformats.org/drawingml/2006/main">
                  <a:graphicData uri="http://schemas.microsoft.com/office/word/2010/wordprocessingShape">
                    <wps:wsp>
                      <wps:cNvSpPr txBox="1"/>
                      <wps:spPr>
                        <a:xfrm>
                          <a:off x="0" y="0"/>
                          <a:ext cx="870585" cy="577850"/>
                        </a:xfrm>
                        <a:prstGeom prst="rect">
                          <a:avLst/>
                        </a:prstGeom>
                        <a:noFill/>
                        <a:ln>
                          <a:noFill/>
                        </a:ln>
                        <a:effectLst/>
                      </wps:spPr>
                      <wps:txbx>
                        <w:txbxContent>
                          <w:p w14:paraId="720B8F8B">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p w14:paraId="53DC538A"/>
                        </w:txbxContent>
                      </wps:txbx>
                      <wps:bodyPr wrap="square" upright="1"/>
                    </wps:wsp>
                  </a:graphicData>
                </a:graphic>
              </wp:anchor>
            </w:drawing>
          </mc:Choice>
          <mc:Fallback>
            <w:pict>
              <v:shape id="00012f" o:spid="_x0000_s1026" o:spt="202" type="#_x0000_t202" style="position:absolute;left:0pt;margin-left:-9pt;margin-top:-0.1pt;height:45.5pt;width:68.55pt;z-index:251703296;mso-width-relative:page;mso-height-relative:page;" filled="f" stroked="f" coordsize="21600,21600" o:gfxdata="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vQsdYAAAAI&#10;AQAADwAAAAAAAAABACAAAAAiAAAAZHJzL2Rvd25yZXYueG1sUEsBAhQAFAAAAAgAh07iQDlXnyys&#10;AQAAZQMAAA4AAAAAAAAAAQAgAAAAJQEAAGRycy9lMm9Eb2MueG1sUEsFBgAAAAAGAAYAWQEAAEMF&#10;AAAAAA==&#10;">
                <v:fill on="f" focussize="0,0"/>
                <v:stroke on="f"/>
                <v:imagedata o:title=""/>
                <o:lock v:ext="edit" aspectratio="f"/>
                <v:textbox>
                  <w:txbxContent>
                    <w:p w14:paraId="720B8F8B">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p w14:paraId="53DC538A"/>
                  </w:txbxContent>
                </v:textbox>
              </v:shape>
            </w:pict>
          </mc:Fallback>
        </mc:AlternateContent>
      </w:r>
      <w:r>
        <w:rPr>
          <w:rFonts w:hint="eastAsia" w:ascii="仿宋" w:hAnsi="仿宋" w:eastAsia="仿宋" w:cs="仿宋"/>
          <w:color w:val="auto"/>
          <w:sz w:val="24"/>
          <w:szCs w:val="24"/>
          <w:highlight w:val="none"/>
          <w:lang w:eastAsia="zh-CN"/>
        </w:rPr>
        <w:t>本合同已明确指出的地下障碍物（发包人招标文件提供的工程量清单有列明或提供的地质资料已明确反映的），应视为承包人在投标报价时已预见其对施工的影响，并已在合同价格中考虑。</w:t>
      </w:r>
    </w:p>
    <w:p w14:paraId="5246DD49">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本合同未有明确指出的地下障碍物（发包人招标文件提供的工程量清单没列明或提供的地质资料不能明确反映的），在施工过程遇到时，承包人应于</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小时内以书面形式通知监理人和发包人，并提出处置方案。监理人在收到处置方案后</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小时内予以确认或提出修正方案，并发出施工指令。承包人应按照监理人指令进行施工。发包人应承担由此增加的费用和（或）延误的工期，并向承包人支付合理利润。</w:t>
      </w:r>
    </w:p>
    <w:p w14:paraId="1C568EA0">
      <w:pPr>
        <w:pStyle w:val="23"/>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5CD47C41">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312" w:name="_Toc29555"/>
      <w:bookmarkStart w:id="313" w:name="_Toc4953"/>
      <w:bookmarkStart w:id="314" w:name="_Toc1639"/>
      <w:bookmarkStart w:id="315" w:name="_Toc29979"/>
      <w:bookmarkStart w:id="316" w:name="_Toc5656"/>
      <w:bookmarkStart w:id="317" w:name="_Toc25069"/>
      <w:bookmarkStart w:id="318" w:name="_Toc7911"/>
      <w:bookmarkStart w:id="319" w:name="_Toc47694285"/>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事故处理</w:t>
      </w:r>
      <w:bookmarkEnd w:id="312"/>
      <w:bookmarkEnd w:id="313"/>
      <w:bookmarkEnd w:id="314"/>
      <w:bookmarkEnd w:id="315"/>
      <w:bookmarkEnd w:id="316"/>
      <w:bookmarkEnd w:id="317"/>
      <w:bookmarkEnd w:id="318"/>
      <w:bookmarkEnd w:id="319"/>
    </w:p>
    <w:p w14:paraId="6385CCF6">
      <w:pPr>
        <w:pStyle w:val="23"/>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704320" behindDoc="0" locked="0" layoutInCell="1" allowOverlap="1">
                <wp:simplePos x="0" y="0"/>
                <wp:positionH relativeFrom="column">
                  <wp:posOffset>-104775</wp:posOffset>
                </wp:positionH>
                <wp:positionV relativeFrom="paragraph">
                  <wp:posOffset>175895</wp:posOffset>
                </wp:positionV>
                <wp:extent cx="847725" cy="462280"/>
                <wp:effectExtent l="0" t="0" r="0" b="0"/>
                <wp:wrapNone/>
                <wp:docPr id="45" name="000130"/>
                <wp:cNvGraphicFramePr/>
                <a:graphic xmlns:a="http://schemas.openxmlformats.org/drawingml/2006/main">
                  <a:graphicData uri="http://schemas.microsoft.com/office/word/2010/wordprocessingShape">
                    <wps:wsp>
                      <wps:cNvSpPr txBox="1"/>
                      <wps:spPr>
                        <a:xfrm>
                          <a:off x="0" y="0"/>
                          <a:ext cx="847725" cy="462280"/>
                        </a:xfrm>
                        <a:prstGeom prst="rect">
                          <a:avLst/>
                        </a:prstGeom>
                        <a:noFill/>
                        <a:ln>
                          <a:noFill/>
                        </a:ln>
                        <a:effectLst/>
                      </wps:spPr>
                      <wps:txbx>
                        <w:txbxContent>
                          <w:p w14:paraId="3E14B0FD">
                            <w:pPr>
                              <w:rPr>
                                <w:color w:val="000000"/>
                                <w:sz w:val="18"/>
                                <w:szCs w:val="18"/>
                              </w:rPr>
                            </w:pPr>
                            <w:r>
                              <w:rPr>
                                <w:rFonts w:hint="eastAsia" w:ascii="楷体_GB2312" w:hAnsi="宋体" w:eastAsia="楷体_GB2312" w:cs="楷体_GB2312"/>
                                <w:b/>
                                <w:bCs/>
                                <w:color w:val="000000"/>
                                <w:sz w:val="18"/>
                                <w:szCs w:val="18"/>
                              </w:rPr>
                              <w:t>发生事故的通知</w:t>
                            </w:r>
                          </w:p>
                          <w:p w14:paraId="2F3D7349"/>
                        </w:txbxContent>
                      </wps:txbx>
                      <wps:bodyPr wrap="square" upright="1"/>
                    </wps:wsp>
                  </a:graphicData>
                </a:graphic>
              </wp:anchor>
            </w:drawing>
          </mc:Choice>
          <mc:Fallback>
            <w:pict>
              <v:shape id="000130" o:spid="_x0000_s1026" o:spt="202" type="#_x0000_t202" style="position:absolute;left:0pt;margin-left:-8.25pt;margin-top:13.85pt;height:36.4pt;width:66.75pt;z-index:251704320;mso-width-relative:page;mso-height-relative:page;" filled="f" stroked="f" coordsize="21600,21600" o:gfxdata="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QVY5y1wAAAAoB&#10;AAAPAAAAAAAAAAEAIAAAACIAAABkcnMvZG93bnJldi54bWxQSwECFAAUAAAACACHTuJAXtgCwKoB&#10;AABlAwAADgAAAAAAAAABACAAAAAmAQAAZHJzL2Uyb0RvYy54bWxQSwUGAAAAAAYABgBZAQAAQgUA&#10;AAAA&#10;">
                <v:fill on="f" focussize="0,0"/>
                <v:stroke on="f"/>
                <v:imagedata o:title=""/>
                <o:lock v:ext="edit" aspectratio="f"/>
                <v:textbox>
                  <w:txbxContent>
                    <w:p w14:paraId="3E14B0FD">
                      <w:pPr>
                        <w:rPr>
                          <w:color w:val="000000"/>
                          <w:sz w:val="18"/>
                          <w:szCs w:val="18"/>
                        </w:rPr>
                      </w:pPr>
                      <w:r>
                        <w:rPr>
                          <w:rFonts w:hint="eastAsia" w:ascii="楷体_GB2312" w:hAnsi="宋体" w:eastAsia="楷体_GB2312" w:cs="楷体_GB2312"/>
                          <w:b/>
                          <w:bCs/>
                          <w:color w:val="000000"/>
                          <w:sz w:val="18"/>
                          <w:szCs w:val="18"/>
                        </w:rPr>
                        <w:t>发生事故的通知</w:t>
                      </w:r>
                    </w:p>
                    <w:p w14:paraId="2F3D7349"/>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.1</w:t>
      </w:r>
    </w:p>
    <w:p w14:paraId="28835800">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合同履行期间，合同工程发生质量与安全事故，承包人立即通知监理人和发包人。</w:t>
      </w:r>
    </w:p>
    <w:p w14:paraId="3808B73A">
      <w:pPr>
        <w:pStyle w:val="23"/>
        <w:spacing w:line="48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05344" behindDoc="0" locked="0" layoutInCell="1" allowOverlap="1">
                <wp:simplePos x="0" y="0"/>
                <wp:positionH relativeFrom="column">
                  <wp:posOffset>-85725</wp:posOffset>
                </wp:positionH>
                <wp:positionV relativeFrom="paragraph">
                  <wp:posOffset>348615</wp:posOffset>
                </wp:positionV>
                <wp:extent cx="771525" cy="490855"/>
                <wp:effectExtent l="0" t="0" r="0" b="0"/>
                <wp:wrapNone/>
                <wp:docPr id="46" name="000131"/>
                <wp:cNvGraphicFramePr/>
                <a:graphic xmlns:a="http://schemas.openxmlformats.org/drawingml/2006/main">
                  <a:graphicData uri="http://schemas.microsoft.com/office/word/2010/wordprocessingShape">
                    <wps:wsp>
                      <wps:cNvSpPr txBox="1"/>
                      <wps:spPr>
                        <a:xfrm>
                          <a:off x="0" y="0"/>
                          <a:ext cx="771525" cy="490855"/>
                        </a:xfrm>
                        <a:prstGeom prst="rect">
                          <a:avLst/>
                        </a:prstGeom>
                        <a:noFill/>
                        <a:ln>
                          <a:noFill/>
                        </a:ln>
                        <a:effectLst/>
                      </wps:spPr>
                      <wps:txbx>
                        <w:txbxContent>
                          <w:p w14:paraId="204979B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p w14:paraId="13253708"/>
                        </w:txbxContent>
                      </wps:txbx>
                      <wps:bodyPr wrap="square" upright="1"/>
                    </wps:wsp>
                  </a:graphicData>
                </a:graphic>
              </wp:anchor>
            </w:drawing>
          </mc:Choice>
          <mc:Fallback>
            <w:pict>
              <v:shape id="000131" o:spid="_x0000_s1026" o:spt="202" type="#_x0000_t202" style="position:absolute;left:0pt;margin-left:-6.75pt;margin-top:27.45pt;height:38.65pt;width:60.75pt;z-index:251705344;mso-width-relative:page;mso-height-relative:page;" filled="f" stroked="f" coordsize="21600,21600" o:gfxdata="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ehFmpdcAAAAK&#10;AQAADwAAAAAAAAABACAAAAAiAAAAZHJzL2Rvd25yZXYueG1sUEsBAhQAFAAAAAgAh07iQCmyfpWr&#10;AQAAZQMAAA4AAAAAAAAAAQAgAAAAJgEAAGRycy9lMm9Eb2MueG1sUEsFBgAAAAAGAAYAWQEAAEMF&#10;AAAAAA==&#10;">
                <v:fill on="f" focussize="0,0"/>
                <v:stroke on="f"/>
                <v:imagedata o:title=""/>
                <o:lock v:ext="edit" aspectratio="f"/>
                <v:textbox>
                  <w:txbxContent>
                    <w:p w14:paraId="204979B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p w14:paraId="13253708"/>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.2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470AD2AB">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接到事故通知后，合同双方当事人应立即组织人员和设备进行紧急抢救和抢修，减少人员伤亡和财产损失，防止事故扩大，并保护事故现场。需移动现场物品时，应做好标记和书面记录，妥善保护有关证据。</w:t>
      </w:r>
    </w:p>
    <w:p w14:paraId="2C4BACB5">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合同双方当事人应按照国家规定时限如实上报政府有关部门，配合政府有关部门的调查和处理，由此发生的费用和（或）延误的工期由事故责任方承担。</w:t>
      </w:r>
    </w:p>
    <w:p w14:paraId="09DD7B50">
      <w:pPr>
        <w:pStyle w:val="23"/>
        <w:spacing w:line="48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706368" behindDoc="0" locked="0" layoutInCell="1" allowOverlap="1">
                <wp:simplePos x="0" y="0"/>
                <wp:positionH relativeFrom="column">
                  <wp:posOffset>-76200</wp:posOffset>
                </wp:positionH>
                <wp:positionV relativeFrom="paragraph">
                  <wp:posOffset>278130</wp:posOffset>
                </wp:positionV>
                <wp:extent cx="762000" cy="404495"/>
                <wp:effectExtent l="0" t="0" r="0" b="0"/>
                <wp:wrapNone/>
                <wp:docPr id="47" name="000132"/>
                <wp:cNvGraphicFramePr/>
                <a:graphic xmlns:a="http://schemas.openxmlformats.org/drawingml/2006/main">
                  <a:graphicData uri="http://schemas.microsoft.com/office/word/2010/wordprocessingShape">
                    <wps:wsp>
                      <wps:cNvSpPr txBox="1"/>
                      <wps:spPr>
                        <a:xfrm>
                          <a:off x="0" y="0"/>
                          <a:ext cx="762000" cy="404495"/>
                        </a:xfrm>
                        <a:prstGeom prst="rect">
                          <a:avLst/>
                        </a:prstGeom>
                        <a:noFill/>
                        <a:ln>
                          <a:noFill/>
                        </a:ln>
                        <a:effectLst/>
                      </wps:spPr>
                      <wps:txbx>
                        <w:txbxContent>
                          <w:p w14:paraId="4E84F25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p w14:paraId="36A3C56F"/>
                        </w:txbxContent>
                      </wps:txbx>
                      <wps:bodyPr wrap="square" upright="1"/>
                    </wps:wsp>
                  </a:graphicData>
                </a:graphic>
              </wp:anchor>
            </w:drawing>
          </mc:Choice>
          <mc:Fallback>
            <w:pict>
              <v:shape id="000132" o:spid="_x0000_s1026" o:spt="202" type="#_x0000_t202" style="position:absolute;left:0pt;margin-left:-6pt;margin-top:21.9pt;height:31.85pt;width:60pt;z-index:251706368;mso-width-relative:page;mso-height-relative:page;" filled="f" stroked="f" coordsize="21600,21600" o:gfxdata="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7MXlY1wAAAAoB&#10;AAAPAAAAAAAAAAEAIAAAACIAAABkcnMvZG93bnJldi54bWxQSwECFAAUAAAACACHTuJAJoIABaoB&#10;AABlAwAADgAAAAAAAAABACAAAAAmAQAAZHJzL2Uyb0RvYy54bWxQSwUGAAAAAAYABgBZAQAAQgUA&#10;AAAA&#10;">
                <v:fill on="f" focussize="0,0"/>
                <v:stroke on="f"/>
                <v:imagedata o:title=""/>
                <o:lock v:ext="edit" aspectratio="f"/>
                <v:textbox>
                  <w:txbxContent>
                    <w:p w14:paraId="4E84F25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p w14:paraId="36A3C56F"/>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8E6182B">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合同双方当事人对事故责任有争议时，应按照政府有关部门的认定处理。</w:t>
      </w:r>
    </w:p>
    <w:p w14:paraId="480C1179">
      <w:pPr>
        <w:pStyle w:val="23"/>
        <w:spacing w:line="360" w:lineRule="auto"/>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34B06FBA">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320" w:name="_Toc47694286"/>
      <w:bookmarkStart w:id="321" w:name="_Toc24353"/>
      <w:bookmarkStart w:id="322" w:name="_Toc17702"/>
      <w:bookmarkStart w:id="323" w:name="_Toc27754"/>
      <w:bookmarkStart w:id="324" w:name="_Toc2613"/>
      <w:bookmarkStart w:id="325" w:name="_Toc11774"/>
      <w:bookmarkStart w:id="326" w:name="_Toc13870"/>
      <w:bookmarkStart w:id="327" w:name="_Toc7863"/>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交通运输</w:t>
      </w:r>
      <w:bookmarkEnd w:id="320"/>
      <w:bookmarkEnd w:id="321"/>
      <w:bookmarkEnd w:id="322"/>
      <w:bookmarkEnd w:id="323"/>
      <w:bookmarkEnd w:id="324"/>
      <w:bookmarkEnd w:id="325"/>
      <w:bookmarkEnd w:id="326"/>
      <w:bookmarkEnd w:id="327"/>
    </w:p>
    <w:p w14:paraId="23E4A0B9">
      <w:pPr>
        <w:pStyle w:val="23"/>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286385</wp:posOffset>
                </wp:positionV>
                <wp:extent cx="809625" cy="557530"/>
                <wp:effectExtent l="0" t="0" r="0" b="0"/>
                <wp:wrapNone/>
                <wp:docPr id="48" name="000133"/>
                <wp:cNvGraphicFramePr/>
                <a:graphic xmlns:a="http://schemas.openxmlformats.org/drawingml/2006/main">
                  <a:graphicData uri="http://schemas.microsoft.com/office/word/2010/wordprocessingShape">
                    <wps:wsp>
                      <wps:cNvSpPr txBox="1"/>
                      <wps:spPr>
                        <a:xfrm>
                          <a:off x="0" y="0"/>
                          <a:ext cx="809625" cy="557530"/>
                        </a:xfrm>
                        <a:prstGeom prst="rect">
                          <a:avLst/>
                        </a:prstGeom>
                        <a:noFill/>
                        <a:ln>
                          <a:noFill/>
                        </a:ln>
                        <a:effectLst/>
                      </wps:spPr>
                      <wps:txbx>
                        <w:txbxContent>
                          <w:p w14:paraId="56A75D9C">
                            <w:pPr>
                              <w:rPr>
                                <w:sz w:val="18"/>
                                <w:szCs w:val="18"/>
                              </w:rPr>
                            </w:pPr>
                            <w:r>
                              <w:rPr>
                                <w:rFonts w:hint="eastAsia" w:ascii="楷体_GB2312" w:hAnsi="宋体" w:eastAsia="楷体_GB2312" w:cs="楷体_GB2312"/>
                                <w:b/>
                                <w:bCs/>
                                <w:color w:val="000000"/>
                                <w:sz w:val="18"/>
                                <w:szCs w:val="18"/>
                              </w:rPr>
                              <w:t>道路通行权和场外设施</w:t>
                            </w:r>
                          </w:p>
                          <w:p w14:paraId="77D5EEF1"/>
                        </w:txbxContent>
                      </wps:txbx>
                      <wps:bodyPr wrap="square" upright="1"/>
                    </wps:wsp>
                  </a:graphicData>
                </a:graphic>
              </wp:anchor>
            </w:drawing>
          </mc:Choice>
          <mc:Fallback>
            <w:pict>
              <v:shape id="000133" o:spid="_x0000_s1026" o:spt="202" type="#_x0000_t202" style="position:absolute;left:0pt;margin-left:-9pt;margin-top:22.55pt;height:43.9pt;width:63.75pt;z-index:251707392;mso-width-relative:page;mso-height-relative:page;" filled="f" stroked="f" coordsize="21600,21600" o:gfxdata="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v76/NgA&#10;AAAKAQAADwAAAAAAAAABACAAAAAiAAAAZHJzL2Rvd25yZXYueG1sUEsBAhQAFAAAAAgAh07iQO5u&#10;xs6tAQAAZQMAAA4AAAAAAAAAAQAgAAAAJwEAAGRycy9lMm9Eb2MueG1sUEsFBgAAAAAGAAYAWQEA&#10;AEYFAAAAAA==&#10;">
                <v:fill on="f" focussize="0,0"/>
                <v:stroke on="f"/>
                <v:imagedata o:title=""/>
                <o:lock v:ext="edit" aspectratio="f"/>
                <v:textbox>
                  <w:txbxContent>
                    <w:p w14:paraId="56A75D9C">
                      <w:pPr>
                        <w:rPr>
                          <w:sz w:val="18"/>
                          <w:szCs w:val="18"/>
                        </w:rPr>
                      </w:pPr>
                      <w:r>
                        <w:rPr>
                          <w:rFonts w:hint="eastAsia" w:ascii="楷体_GB2312" w:hAnsi="宋体" w:eastAsia="楷体_GB2312" w:cs="楷体_GB2312"/>
                          <w:b/>
                          <w:bCs/>
                          <w:color w:val="000000"/>
                          <w:sz w:val="18"/>
                          <w:szCs w:val="18"/>
                        </w:rPr>
                        <w:t>道路通行权和场外设施</w:t>
                      </w:r>
                    </w:p>
                    <w:p w14:paraId="77D5EEF1"/>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.1</w:t>
      </w:r>
    </w:p>
    <w:p w14:paraId="2333D421">
      <w:pPr>
        <w:pStyle w:val="23"/>
        <w:widowControl w:val="0"/>
        <w:tabs>
          <w:tab w:val="left" w:pos="1202"/>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14:paraId="3E8F9404">
      <w:pPr>
        <w:pStyle w:val="23"/>
        <w:widowControl w:val="0"/>
        <w:tabs>
          <w:tab w:val="left" w:pos="1202"/>
        </w:tabs>
        <w:spacing w:line="360" w:lineRule="auto"/>
        <w:ind w:left="1850" w:leftChars="771"/>
        <w:jc w:val="both"/>
        <w:rPr>
          <w:rFonts w:hint="eastAsia"/>
          <w:color w:val="auto"/>
          <w:highlight w:val="none"/>
          <w:lang w:eastAsia="zh-CN"/>
        </w:rPr>
      </w:pPr>
      <w:r>
        <w:rPr>
          <w:rFonts w:ascii="仿宋" w:hAnsi="仿宋" w:eastAsia="仿宋" w:cs="仿宋"/>
          <w:color w:val="auto"/>
          <w:sz w:val="24"/>
          <w:szCs w:val="24"/>
          <w:highlight w:val="none"/>
          <w:lang w:eastAsia="zh-CN"/>
        </w:rPr>
        <w:t>承包人应在订立合同前查勘施工现场，并根据工程规模及技术参数合理预见工程施工所需的进出施工现场的方式、手段、路径等。因承包人未合理预见所增加的费用和（或）延误的工期由承包人承担。</w:t>
      </w:r>
    </w:p>
    <w:p w14:paraId="38746C9E">
      <w:pPr>
        <w:pStyle w:val="23"/>
        <w:tabs>
          <w:tab w:val="left" w:pos="1202"/>
        </w:tabs>
        <w:spacing w:line="360" w:lineRule="auto"/>
        <w:ind w:left="1350" w:leftChars="1" w:hanging="1348" w:hangingChars="674"/>
        <w:rPr>
          <w:rFonts w:hint="eastAsia" w:ascii="仿宋" w:hAnsi="仿宋" w:eastAsia="仿宋" w:cs="仿宋"/>
          <w:color w:val="auto"/>
          <w:sz w:val="24"/>
          <w:szCs w:val="24"/>
          <w:highlight w:val="none"/>
          <w:u w:val="dotted"/>
          <w:lang w:eastAsia="zh-CN"/>
        </w:rPr>
      </w:pPr>
      <w:r>
        <w:rPr>
          <w:color w:val="auto"/>
          <w:highlight w:val="none"/>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333375</wp:posOffset>
                </wp:positionV>
                <wp:extent cx="800100" cy="576580"/>
                <wp:effectExtent l="0" t="0" r="0" b="0"/>
                <wp:wrapNone/>
                <wp:docPr id="49" name="000134"/>
                <wp:cNvGraphicFramePr/>
                <a:graphic xmlns:a="http://schemas.openxmlformats.org/drawingml/2006/main">
                  <a:graphicData uri="http://schemas.microsoft.com/office/word/2010/wordprocessingShape">
                    <wps:wsp>
                      <wps:cNvSpPr txBox="1"/>
                      <wps:spPr>
                        <a:xfrm>
                          <a:off x="0" y="0"/>
                          <a:ext cx="800100" cy="576580"/>
                        </a:xfrm>
                        <a:prstGeom prst="rect">
                          <a:avLst/>
                        </a:prstGeom>
                        <a:noFill/>
                        <a:ln>
                          <a:noFill/>
                        </a:ln>
                        <a:effectLst/>
                      </wps:spPr>
                      <wps:txbx>
                        <w:txbxContent>
                          <w:p w14:paraId="32E50E6A">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p w14:paraId="05F49BE8">
                            <w:pPr>
                              <w:rPr>
                                <w:lang w:eastAsia="zh-CN"/>
                              </w:rPr>
                            </w:pPr>
                          </w:p>
                        </w:txbxContent>
                      </wps:txbx>
                      <wps:bodyPr wrap="square" upright="1"/>
                    </wps:wsp>
                  </a:graphicData>
                </a:graphic>
              </wp:anchor>
            </w:drawing>
          </mc:Choice>
          <mc:Fallback>
            <w:pict>
              <v:shape id="000134" o:spid="_x0000_s1026" o:spt="202" type="#_x0000_t202" style="position:absolute;left:0pt;margin-left:-9pt;margin-top:26.25pt;height:45.4pt;width:63pt;z-index:251708416;mso-width-relative:page;mso-height-relative:page;" filled="f" stroked="f" coordsize="21600,21600" o:gfxdata="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IyiI39cAAAAK&#10;AQAADwAAAAAAAAABACAAAAAiAAAAZHJzL2Rvd25yZXYueG1sUEsBAhQAFAAAAAgAh07iQNC1mIar&#10;AQAAZQMAAA4AAAAAAAAAAQAgAAAAJgEAAGRycy9lMm9Eb2MueG1sUEsFBgAAAAAGAAYAWQEAAEMF&#10;AAAAAA==&#10;">
                <v:fill on="f" focussize="0,0"/>
                <v:stroke on="f"/>
                <v:imagedata o:title=""/>
                <o:lock v:ext="edit" aspectratio="f"/>
                <v:textbox>
                  <w:txbxContent>
                    <w:p w14:paraId="32E50E6A">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p w14:paraId="05F49BE8">
                      <w:pPr>
                        <w:rPr>
                          <w:lang w:eastAsia="zh-CN"/>
                        </w:rPr>
                      </w:pP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.2</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38CE9F35">
      <w:pPr>
        <w:pStyle w:val="23"/>
        <w:widowControl w:val="0"/>
        <w:tabs>
          <w:tab w:val="left" w:pos="1202"/>
        </w:tabs>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除专用条款另有约定外，承包人应负责修建、维修、养护和管理施工场地内所需的临时道路和交通设施，包括维修、养护和管理发包人提供的道路和交通设施，并承担相应费用。</w:t>
      </w:r>
    </w:p>
    <w:p w14:paraId="0D30AA82">
      <w:pPr>
        <w:pStyle w:val="23"/>
        <w:widowControl w:val="0"/>
        <w:tabs>
          <w:tab w:val="left" w:pos="1202"/>
        </w:tabs>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承包人修建的临时道路和交通设施应免费提供发包人使用。</w:t>
      </w:r>
    </w:p>
    <w:p w14:paraId="715E4373">
      <w:pPr>
        <w:pStyle w:val="23"/>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224790</wp:posOffset>
                </wp:positionV>
                <wp:extent cx="771525" cy="471805"/>
                <wp:effectExtent l="0" t="0" r="0" b="0"/>
                <wp:wrapNone/>
                <wp:docPr id="50" name="000135"/>
                <wp:cNvGraphicFramePr/>
                <a:graphic xmlns:a="http://schemas.openxmlformats.org/drawingml/2006/main">
                  <a:graphicData uri="http://schemas.microsoft.com/office/word/2010/wordprocessingShape">
                    <wps:wsp>
                      <wps:cNvSpPr txBox="1"/>
                      <wps:spPr>
                        <a:xfrm>
                          <a:off x="0" y="0"/>
                          <a:ext cx="771525" cy="471805"/>
                        </a:xfrm>
                        <a:prstGeom prst="rect">
                          <a:avLst/>
                        </a:prstGeom>
                        <a:noFill/>
                        <a:ln>
                          <a:noFill/>
                        </a:ln>
                        <a:effectLst/>
                      </wps:spPr>
                      <wps:txbx>
                        <w:txbxContent>
                          <w:p w14:paraId="2498BE6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p w14:paraId="14947C1A"/>
                        </w:txbxContent>
                      </wps:txbx>
                      <wps:bodyPr wrap="square" upright="1"/>
                    </wps:wsp>
                  </a:graphicData>
                </a:graphic>
              </wp:anchor>
            </w:drawing>
          </mc:Choice>
          <mc:Fallback>
            <w:pict>
              <v:shape id="000135" o:spid="_x0000_s1026" o:spt="202" type="#_x0000_t202" style="position:absolute;left:0pt;margin-left:-9pt;margin-top:17.7pt;height:37.15pt;width:60.75pt;z-index:251709440;mso-width-relative:page;mso-height-relative:page;" filled="f" stroked="f" coordsize="21600,21600" o:gfxdata="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NVldcAAAAK&#10;AQAADwAAAAAAAAABACAAAAAiAAAAZHJzL2Rvd25yZXYueG1sUEsBAhQAFAAAAAgAh07iQNXkTGer&#10;AQAAZQMAAA4AAAAAAAAAAQAgAAAAJgEAAGRycy9lMm9Eb2MueG1sUEsFBgAAAAAGAAYAWQEAAEMF&#10;AAAAAA==&#10;">
                <v:fill on="f" focussize="0,0"/>
                <v:stroke on="f"/>
                <v:imagedata o:title=""/>
                <o:lock v:ext="edit" aspectratio="f"/>
                <v:textbox>
                  <w:txbxContent>
                    <w:p w14:paraId="2498BE6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p w14:paraId="14947C1A"/>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42D35D3F">
      <w:pPr>
        <w:pStyle w:val="23"/>
        <w:widowControl w:val="0"/>
        <w:tabs>
          <w:tab w:val="left" w:pos="1202"/>
        </w:tabs>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承包人应遵守有关交通法规，严格按照道路和桥梁的限制荷重安全行驶，并服从交通管理部门的检查和监督。承包人车辆外出行驶所需的场外公共道路的通行费、养路费和税款等，由承包人承担。</w:t>
      </w:r>
    </w:p>
    <w:p w14:paraId="4B5503E4">
      <w:pPr>
        <w:pStyle w:val="23"/>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224790</wp:posOffset>
                </wp:positionV>
                <wp:extent cx="781050" cy="512445"/>
                <wp:effectExtent l="0" t="0" r="0" b="0"/>
                <wp:wrapNone/>
                <wp:docPr id="51" name="000136"/>
                <wp:cNvGraphicFramePr/>
                <a:graphic xmlns:a="http://schemas.openxmlformats.org/drawingml/2006/main">
                  <a:graphicData uri="http://schemas.microsoft.com/office/word/2010/wordprocessingShape">
                    <wps:wsp>
                      <wps:cNvSpPr txBox="1"/>
                      <wps:spPr>
                        <a:xfrm>
                          <a:off x="0" y="0"/>
                          <a:ext cx="781050" cy="512445"/>
                        </a:xfrm>
                        <a:prstGeom prst="rect">
                          <a:avLst/>
                        </a:prstGeom>
                        <a:noFill/>
                        <a:ln>
                          <a:noFill/>
                        </a:ln>
                        <a:effectLst/>
                      </wps:spPr>
                      <wps:txbx>
                        <w:txbxContent>
                          <w:p w14:paraId="72AACAC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p w14:paraId="51B63CD9"/>
                        </w:txbxContent>
                      </wps:txbx>
                      <wps:bodyPr wrap="square" upright="1"/>
                    </wps:wsp>
                  </a:graphicData>
                </a:graphic>
              </wp:anchor>
            </w:drawing>
          </mc:Choice>
          <mc:Fallback>
            <w:pict>
              <v:shape id="000136" o:spid="_x0000_s1026" o:spt="202" type="#_x0000_t202" style="position:absolute;left:0pt;margin-left:-9pt;margin-top:17.7pt;height:40.35pt;width:61.5pt;z-index:251710464;mso-width-relative:page;mso-height-relative:page;" filled="f" stroked="f" coordsize="21600,21600" o:gfxdata="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9LPfdcAAAAK&#10;AQAADwAAAAAAAAABACAAAAAiAAAAZHJzL2Rvd25yZXYueG1sUEsBAhQAFAAAAAgAh07iQMPeBAWr&#10;AQAAZQMAAA4AAAAAAAAAAQAgAAAAJgEAAGRycy9lMm9Eb2MueG1sUEsFBgAAAAAGAAYAWQEAAEMF&#10;AAAAAA==&#10;">
                <v:fill on="f" focussize="0,0"/>
                <v:stroke on="f"/>
                <v:imagedata o:title=""/>
                <o:lock v:ext="edit" aspectratio="f"/>
                <v:textbox>
                  <w:txbxContent>
                    <w:p w14:paraId="72AACAC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p w14:paraId="51B63CD9"/>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1CD39E92">
      <w:pPr>
        <w:pStyle w:val="23"/>
        <w:widowControl w:val="0"/>
        <w:tabs>
          <w:tab w:val="left" w:pos="1202"/>
        </w:tabs>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2A3911E2">
      <w:pPr>
        <w:pStyle w:val="23"/>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224790</wp:posOffset>
                </wp:positionV>
                <wp:extent cx="789940" cy="463550"/>
                <wp:effectExtent l="0" t="0" r="0" b="0"/>
                <wp:wrapNone/>
                <wp:docPr id="52" name="000137"/>
                <wp:cNvGraphicFramePr/>
                <a:graphic xmlns:a="http://schemas.openxmlformats.org/drawingml/2006/main">
                  <a:graphicData uri="http://schemas.microsoft.com/office/word/2010/wordprocessingShape">
                    <wps:wsp>
                      <wps:cNvSpPr txBox="1"/>
                      <wps:spPr>
                        <a:xfrm>
                          <a:off x="0" y="0"/>
                          <a:ext cx="789940" cy="463550"/>
                        </a:xfrm>
                        <a:prstGeom prst="rect">
                          <a:avLst/>
                        </a:prstGeom>
                        <a:noFill/>
                        <a:ln>
                          <a:noFill/>
                        </a:ln>
                        <a:effectLst/>
                      </wps:spPr>
                      <wps:txbx>
                        <w:txbxContent>
                          <w:p w14:paraId="7F56DC7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p w14:paraId="54F6A71E"/>
                        </w:txbxContent>
                      </wps:txbx>
                      <wps:bodyPr wrap="square" upright="1"/>
                    </wps:wsp>
                  </a:graphicData>
                </a:graphic>
              </wp:anchor>
            </w:drawing>
          </mc:Choice>
          <mc:Fallback>
            <w:pict>
              <v:shape id="000137" o:spid="_x0000_s1026" o:spt="202" type="#_x0000_t202" style="position:absolute;left:0pt;margin-left:-9pt;margin-top:17.7pt;height:36.5pt;width:62.2pt;z-index:251711488;mso-width-relative:page;mso-height-relative:page;" filled="f" stroked="f" coordsize="21600,21600" o:gfxdata="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AIuGbXAAAA&#10;CgEAAA8AAAAAAAAAAQAgAAAAIgAAAGRycy9kb3ducmV2LnhtbFBLAQIUABQAAAAIAIdO4kA3WqxP&#10;rAEAAGUDAAAOAAAAAAAAAAEAIAAAACYBAABkcnMvZTJvRG9jLnhtbFBLBQYAAAAABgAGAFkBAABE&#10;BQAAAAA=&#10;">
                <v:fill on="f" focussize="0,0"/>
                <v:stroke on="f"/>
                <v:imagedata o:title=""/>
                <o:lock v:ext="edit" aspectratio="f"/>
                <v:textbox>
                  <w:txbxContent>
                    <w:p w14:paraId="7F56DC7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p w14:paraId="54F6A71E"/>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72E6B631">
      <w:pPr>
        <w:pStyle w:val="23"/>
        <w:widowControl w:val="0"/>
        <w:tabs>
          <w:tab w:val="left" w:pos="1202"/>
        </w:tabs>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因承包人运输造成施工场地内外公共道路和桥梁损坏的，由承包人承担修复损坏的全部费用和可能引起的赔偿。</w:t>
      </w:r>
    </w:p>
    <w:p w14:paraId="33248A6B">
      <w:pPr>
        <w:pStyle w:val="23"/>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224790</wp:posOffset>
                </wp:positionV>
                <wp:extent cx="781050" cy="477520"/>
                <wp:effectExtent l="0" t="0" r="0" b="0"/>
                <wp:wrapNone/>
                <wp:docPr id="53" name="000138"/>
                <wp:cNvGraphicFramePr/>
                <a:graphic xmlns:a="http://schemas.openxmlformats.org/drawingml/2006/main">
                  <a:graphicData uri="http://schemas.microsoft.com/office/word/2010/wordprocessingShape">
                    <wps:wsp>
                      <wps:cNvSpPr txBox="1"/>
                      <wps:spPr>
                        <a:xfrm>
                          <a:off x="0" y="0"/>
                          <a:ext cx="781050" cy="477520"/>
                        </a:xfrm>
                        <a:prstGeom prst="rect">
                          <a:avLst/>
                        </a:prstGeom>
                        <a:noFill/>
                        <a:ln>
                          <a:noFill/>
                        </a:ln>
                        <a:effectLst/>
                      </wps:spPr>
                      <wps:txbx>
                        <w:txbxContent>
                          <w:p w14:paraId="61CB22F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p w14:paraId="430531D2"/>
                        </w:txbxContent>
                      </wps:txbx>
                      <wps:bodyPr wrap="square" upright="1"/>
                    </wps:wsp>
                  </a:graphicData>
                </a:graphic>
              </wp:anchor>
            </w:drawing>
          </mc:Choice>
          <mc:Fallback>
            <w:pict>
              <v:shape id="000138" o:spid="_x0000_s1026" o:spt="202" type="#_x0000_t202" style="position:absolute;left:0pt;margin-left:-9pt;margin-top:17.7pt;height:37.6pt;width:61.5pt;z-index:251712512;mso-width-relative:page;mso-height-relative:page;" filled="f" stroked="f" coordsize="21600,21600" o:gfxdata="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cTSs9cAAAAK&#10;AQAADwAAAAAAAAABACAAAAAiAAAAZHJzL2Rvd25yZXYueG1sUEsBAhQAFAAAAAgAh07iQCJuQpqr&#10;AQAAZQMAAA4AAAAAAAAAAQAgAAAAJgEAAGRycy9lMm9Eb2MueG1sUEsFBgAAAAAGAAYAWQEAAEMF&#10;AAAAAA==&#10;">
                <v:fill on="f" focussize="0,0"/>
                <v:stroke on="f"/>
                <v:imagedata o:title=""/>
                <o:lock v:ext="edit" aspectratio="f"/>
                <v:textbox>
                  <w:txbxContent>
                    <w:p w14:paraId="61CB22F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p w14:paraId="430531D2"/>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.6 </w:t>
      </w:r>
      <w:r>
        <w:rPr>
          <w:rFonts w:ascii="仿宋" w:hAnsi="仿宋" w:eastAsia="仿宋" w:cs="仿宋"/>
          <w:b/>
          <w:bCs/>
          <w:color w:val="auto"/>
          <w:sz w:val="24"/>
          <w:szCs w:val="24"/>
          <w:highlight w:val="none"/>
          <w:u w:val="dotted"/>
          <w:lang w:eastAsia="zh-CN"/>
        </w:rPr>
        <w:t xml:space="preserve">                                                                                </w:t>
      </w:r>
    </w:p>
    <w:p w14:paraId="4A739AD2">
      <w:pPr>
        <w:pStyle w:val="23"/>
        <w:widowControl w:val="0"/>
        <w:tabs>
          <w:tab w:val="left" w:pos="1202"/>
        </w:tabs>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本条内容适用于水路运输和航空运输，其中“道路”包括河道、航线、船闸、机场、码头、堤防以及水路或航空运输中其他相似结构物；“车辆”包括船舶和飞机等。</w:t>
      </w:r>
    </w:p>
    <w:p w14:paraId="1F78447F">
      <w:pPr>
        <w:pStyle w:val="23"/>
        <w:tabs>
          <w:tab w:val="left" w:pos="1202"/>
        </w:tabs>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4BA49FC0">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328" w:name="_Toc28866"/>
      <w:bookmarkStart w:id="329" w:name="_Toc27904"/>
      <w:bookmarkStart w:id="330" w:name="_Toc29154"/>
      <w:bookmarkStart w:id="331" w:name="_Toc47694287"/>
      <w:bookmarkStart w:id="332" w:name="_Toc6107"/>
      <w:bookmarkStart w:id="333" w:name="_Toc5996"/>
      <w:bookmarkStart w:id="334" w:name="_Toc21660"/>
      <w:bookmarkStart w:id="335" w:name="_Toc2367"/>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专项批准事项的签认</w:t>
      </w:r>
      <w:bookmarkEnd w:id="328"/>
      <w:bookmarkEnd w:id="329"/>
      <w:bookmarkEnd w:id="330"/>
      <w:bookmarkEnd w:id="331"/>
      <w:bookmarkEnd w:id="332"/>
      <w:bookmarkEnd w:id="333"/>
      <w:bookmarkEnd w:id="334"/>
      <w:bookmarkEnd w:id="335"/>
    </w:p>
    <w:p w14:paraId="56A6FEC6">
      <w:pPr>
        <w:pStyle w:val="23"/>
        <w:tabs>
          <w:tab w:val="left" w:pos="1202"/>
        </w:tabs>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.1</w:t>
      </w:r>
    </w:p>
    <w:p w14:paraId="6AA39E00">
      <w:pPr>
        <w:pStyle w:val="23"/>
        <w:widowControl w:val="0"/>
        <w:tabs>
          <w:tab w:val="left" w:pos="1202"/>
        </w:tabs>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13536" behindDoc="0" locked="0" layoutInCell="1" allowOverlap="1">
                <wp:simplePos x="0" y="0"/>
                <wp:positionH relativeFrom="column">
                  <wp:posOffset>-85725</wp:posOffset>
                </wp:positionH>
                <wp:positionV relativeFrom="paragraph">
                  <wp:posOffset>106680</wp:posOffset>
                </wp:positionV>
                <wp:extent cx="804545" cy="713105"/>
                <wp:effectExtent l="0" t="0" r="0" b="0"/>
                <wp:wrapNone/>
                <wp:docPr id="54" name="000139"/>
                <wp:cNvGraphicFramePr/>
                <a:graphic xmlns:a="http://schemas.openxmlformats.org/drawingml/2006/main">
                  <a:graphicData uri="http://schemas.microsoft.com/office/word/2010/wordprocessingShape">
                    <wps:wsp>
                      <wps:cNvSpPr txBox="1"/>
                      <wps:spPr>
                        <a:xfrm>
                          <a:off x="0" y="0"/>
                          <a:ext cx="804545" cy="713105"/>
                        </a:xfrm>
                        <a:prstGeom prst="rect">
                          <a:avLst/>
                        </a:prstGeom>
                        <a:noFill/>
                        <a:ln>
                          <a:noFill/>
                        </a:ln>
                        <a:effectLst/>
                      </wps:spPr>
                      <wps:txbx>
                        <w:txbxContent>
                          <w:p w14:paraId="7298D04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p w14:paraId="58EF223C"/>
                        </w:txbxContent>
                      </wps:txbx>
                      <wps:bodyPr wrap="square" upright="1"/>
                    </wps:wsp>
                  </a:graphicData>
                </a:graphic>
              </wp:anchor>
            </w:drawing>
          </mc:Choice>
          <mc:Fallback>
            <w:pict>
              <v:shape id="000139" o:spid="_x0000_s1026" o:spt="202" type="#_x0000_t202" style="position:absolute;left:0pt;margin-left:-6.75pt;margin-top:8.4pt;height:56.15pt;width:63.35pt;z-index:251713536;mso-width-relative:page;mso-height-relative:page;" filled="f" stroked="f" coordsize="21600,21600" o:gfxdata="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vqCPtcAAAAK&#10;AQAADwAAAAAAAAABACAAAAAiAAAAZHJzL2Rvd25yZXYueG1sUEsBAhQAFAAAAAgAh07iQE7p/aur&#10;AQAAZQMAAA4AAAAAAAAAAQAgAAAAJgEAAGRycy9lMm9Eb2MueG1sUEsFBgAAAAAGAAYAWQEAAEMF&#10;AAAAAA==&#10;">
                <v:fill on="f" focussize="0,0"/>
                <v:stroke on="f"/>
                <v:imagedata o:title=""/>
                <o:lock v:ext="edit" aspectratio="f"/>
                <v:textbox>
                  <w:txbxContent>
                    <w:p w14:paraId="7298D04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p w14:paraId="58EF223C"/>
                  </w:txbxContent>
                </v:textbox>
              </v:shape>
            </w:pict>
          </mc:Fallback>
        </mc:AlternateContent>
      </w:r>
      <w:r>
        <w:rPr>
          <w:rFonts w:hint="eastAsia" w:ascii="仿宋" w:hAnsi="仿宋" w:eastAsia="仿宋" w:cs="仿宋"/>
          <w:color w:val="auto"/>
          <w:sz w:val="24"/>
          <w:szCs w:val="24"/>
          <w:highlight w:val="none"/>
          <w:lang w:eastAsia="zh-CN"/>
        </w:rPr>
        <w:t>合同履行期间，合同工程发生第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专项批准事项的，发包人批准后应通知设计顾问人、监理人和（或）造价咨询人按照合同约定以书面形式向承包人发出工作指令，提供所需的相关资料。承包人在收到设计顾问人、监理人和（或）造价咨询人发出的工作指令后，应按照合同约定实施发生事项的相关工作。</w:t>
      </w:r>
    </w:p>
    <w:p w14:paraId="5E9B8B19">
      <w:pPr>
        <w:pStyle w:val="23"/>
        <w:widowControl w:val="0"/>
        <w:tabs>
          <w:tab w:val="left" w:pos="1202"/>
        </w:tabs>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款约定对发生的专项批准事项予以签认，并及时将发生事项的相关资料整理、归档，同时按第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款约定职权将其中一份送设计顾问人、监理人和（或）造价咨询人留存。</w:t>
      </w:r>
    </w:p>
    <w:p w14:paraId="24407803">
      <w:pPr>
        <w:pStyle w:val="23"/>
        <w:tabs>
          <w:tab w:val="left" w:pos="2160"/>
        </w:tabs>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5DAF057A">
      <w:pPr>
        <w:pStyle w:val="23"/>
        <w:widowControl w:val="0"/>
        <w:tabs>
          <w:tab w:val="left" w:pos="1202"/>
        </w:tabs>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14560" behindDoc="0" locked="0" layoutInCell="1" allowOverlap="1">
                <wp:simplePos x="0" y="0"/>
                <wp:positionH relativeFrom="column">
                  <wp:posOffset>-95250</wp:posOffset>
                </wp:positionH>
                <wp:positionV relativeFrom="paragraph">
                  <wp:posOffset>29845</wp:posOffset>
                </wp:positionV>
                <wp:extent cx="757555" cy="618490"/>
                <wp:effectExtent l="0" t="0" r="0" b="0"/>
                <wp:wrapNone/>
                <wp:docPr id="55" name="00013a"/>
                <wp:cNvGraphicFramePr/>
                <a:graphic xmlns:a="http://schemas.openxmlformats.org/drawingml/2006/main">
                  <a:graphicData uri="http://schemas.microsoft.com/office/word/2010/wordprocessingShape">
                    <wps:wsp>
                      <wps:cNvSpPr txBox="1"/>
                      <wps:spPr>
                        <a:xfrm>
                          <a:off x="0" y="0"/>
                          <a:ext cx="757555" cy="618490"/>
                        </a:xfrm>
                        <a:prstGeom prst="rect">
                          <a:avLst/>
                        </a:prstGeom>
                        <a:noFill/>
                        <a:ln>
                          <a:noFill/>
                        </a:ln>
                        <a:effectLst/>
                      </wps:spPr>
                      <wps:txbx>
                        <w:txbxContent>
                          <w:p w14:paraId="47D3FF0C">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p w14:paraId="6EF681E1">
                            <w:pPr>
                              <w:rPr>
                                <w:lang w:eastAsia="zh-CN"/>
                              </w:rPr>
                            </w:pPr>
                          </w:p>
                        </w:txbxContent>
                      </wps:txbx>
                      <wps:bodyPr wrap="square" upright="1"/>
                    </wps:wsp>
                  </a:graphicData>
                </a:graphic>
              </wp:anchor>
            </w:drawing>
          </mc:Choice>
          <mc:Fallback>
            <w:pict>
              <v:shape id="00013a" o:spid="_x0000_s1026" o:spt="202" type="#_x0000_t202" style="position:absolute;left:0pt;margin-left:-7.5pt;margin-top:2.35pt;height:48.7pt;width:59.65pt;z-index:251714560;mso-width-relative:page;mso-height-relative:page;" filled="f" stroked="f" coordsize="21600,21600" o:gfxdata="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0bfKu9YAAAAJ&#10;AQAADwAAAAAAAAABACAAAAAiAAAAZHJzL2Rvd25yZXYueG1sUEsBAhQAFAAAAAgAh07iQOcg+eqs&#10;AQAAZQMAAA4AAAAAAAAAAQAgAAAAJQEAAGRycy9lMm9Eb2MueG1sUEsFBgAAAAAGAAYAWQEAAEMF&#10;AAAAAA==&#10;">
                <v:fill on="f" focussize="0,0"/>
                <v:stroke on="f"/>
                <v:imagedata o:title=""/>
                <o:lock v:ext="edit" aspectratio="f"/>
                <v:textbox>
                  <w:txbxContent>
                    <w:p w14:paraId="47D3FF0C">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p w14:paraId="6EF681E1">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合同双方当事人应按照第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分别在专用条款中写明负责专项批准事项签认的设计顾问人代表、监理人代表、造价咨询人代表和承包人代表具体人选，授予其负责专项批准事项签认的权力，并提供该人选的印章、签字式样，作为本合同的附件。当专项批准事项发生时，该人选应在其职权范围内，按照本合同约定的程序、时限、生效条件等要求，对发生事项的内容、数量和单价等办理签认手续，并加盖所在单位的法人公章或其授权的施工现场管理机构章。</w:t>
      </w:r>
    </w:p>
    <w:p w14:paraId="6409E307">
      <w:pPr>
        <w:pStyle w:val="23"/>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3F43880E">
      <w:pPr>
        <w:pStyle w:val="4"/>
        <w:tabs>
          <w:tab w:val="left" w:pos="420"/>
        </w:tabs>
        <w:spacing w:before="120" w:after="120" w:line="360" w:lineRule="auto"/>
        <w:rPr>
          <w:rFonts w:hint="eastAsia" w:ascii="仿宋" w:hAnsi="仿宋" w:eastAsia="仿宋" w:cs="仿宋"/>
          <w:bCs w:val="0"/>
          <w:color w:val="auto"/>
          <w:sz w:val="24"/>
          <w:szCs w:val="24"/>
          <w:highlight w:val="none"/>
          <w:lang w:eastAsia="zh-CN"/>
        </w:rPr>
      </w:pPr>
      <w:bookmarkStart w:id="336" w:name="_Toc27925"/>
      <w:bookmarkStart w:id="337" w:name="_Toc14148"/>
      <w:bookmarkStart w:id="338" w:name="_Toc4392"/>
      <w:bookmarkStart w:id="339" w:name="_Toc47694288"/>
      <w:bookmarkStart w:id="340" w:name="_Toc2406"/>
      <w:bookmarkStart w:id="341" w:name="_Toc11185"/>
      <w:bookmarkStart w:id="342" w:name="_Toc31147"/>
      <w:bookmarkStart w:id="343" w:name="_Toc20445"/>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专利技术和知识产权</w:t>
      </w:r>
      <w:bookmarkEnd w:id="336"/>
      <w:bookmarkEnd w:id="337"/>
      <w:bookmarkEnd w:id="338"/>
      <w:bookmarkEnd w:id="339"/>
      <w:bookmarkEnd w:id="340"/>
      <w:bookmarkEnd w:id="341"/>
      <w:bookmarkEnd w:id="342"/>
      <w:bookmarkEnd w:id="343"/>
    </w:p>
    <w:p w14:paraId="350E74C0">
      <w:pPr>
        <w:pStyle w:val="23"/>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.1</w:t>
      </w:r>
    </w:p>
    <w:p w14:paraId="348A0A7E">
      <w:pPr>
        <w:pStyle w:val="23"/>
        <w:widowControl w:val="0"/>
        <w:tabs>
          <w:tab w:val="left" w:pos="1202"/>
        </w:tabs>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22860</wp:posOffset>
                </wp:positionV>
                <wp:extent cx="785495" cy="525780"/>
                <wp:effectExtent l="0" t="0" r="0" b="0"/>
                <wp:wrapNone/>
                <wp:docPr id="56" name="00013b"/>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a:noFill/>
                        </a:ln>
                        <a:effectLst/>
                      </wps:spPr>
                      <wps:txbx>
                        <w:txbxContent>
                          <w:p w14:paraId="5BE5978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p w14:paraId="214A107E"/>
                        </w:txbxContent>
                      </wps:txbx>
                      <wps:bodyPr wrap="square" upright="1"/>
                    </wps:wsp>
                  </a:graphicData>
                </a:graphic>
              </wp:anchor>
            </w:drawing>
          </mc:Choice>
          <mc:Fallback>
            <w:pict>
              <v:shape id="00013b" o:spid="_x0000_s1026" o:spt="202" type="#_x0000_t202" style="position:absolute;left:0pt;margin-left:-9pt;margin-top:1.8pt;height:41.4pt;width:61.85pt;z-index:251715584;mso-width-relative:page;mso-height-relative:page;" filled="f" stroked="f" coordsize="21600,21600" o:gfxdata="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S6zqzWAAAA&#10;CAEAAA8AAAAAAAAAAQAgAAAAIgAAAGRycy9kb3ducmV2LnhtbFBLAQIUABQAAAAIAIdO4kDEHxbe&#10;rQEAAGUDAAAOAAAAAAAAAAEAIAAAACUBAABkcnMvZTJvRG9jLnhtbFBLBQYAAAAABgAGAFkBAABE&#10;BQAAAAA=&#10;">
                <v:fill on="f" focussize="0,0"/>
                <v:stroke on="f"/>
                <v:imagedata o:title=""/>
                <o:lock v:ext="edit" aspectratio="f"/>
                <v:textbox>
                  <w:txbxContent>
                    <w:p w14:paraId="5BE5978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p w14:paraId="214A107E"/>
                  </w:txbxContent>
                </v:textbox>
              </v:shape>
            </w:pict>
          </mc:Fallback>
        </mc:AlternateContent>
      </w:r>
      <w:r>
        <w:rPr>
          <w:rFonts w:hint="eastAsia" w:ascii="仿宋" w:hAnsi="仿宋" w:eastAsia="仿宋" w:cs="仿宋"/>
          <w:color w:val="auto"/>
          <w:sz w:val="24"/>
          <w:szCs w:val="24"/>
          <w:highlight w:val="none"/>
          <w:lang w:eastAsia="zh-CN"/>
        </w:rPr>
        <w:t>承包人在勘察、设计、施工并保修合同工程过程中，如因采用勘察设计方法、施工工艺或使用施工设备及自身供应的工程材料和工程设备，而发生侵犯他人设计图纸、商标、图案、工艺、工程材料、工程设备专利权或知识产权的行为，并引起索赔或诉讼，则一切与此有关的损失、赔偿、诉讼等责任，均由承包人承担。但由于遵守发包人提供的项目基础资料、标准与规范、技术说明和发包人要求而造成的侵权，则属例外。</w:t>
      </w:r>
    </w:p>
    <w:p w14:paraId="3F5B0077">
      <w:pPr>
        <w:pStyle w:val="23"/>
        <w:spacing w:line="360" w:lineRule="auto"/>
        <w:rPr>
          <w:rFonts w:ascii="仿宋" w:hAnsi="仿宋" w:eastAsia="仿宋"/>
          <w:b/>
          <w:bCs/>
          <w:color w:val="auto"/>
          <w:sz w:val="24"/>
          <w:szCs w:val="24"/>
          <w:highlight w:val="none"/>
          <w:lang w:eastAsia="zh-CN"/>
        </w:rPr>
      </w:pPr>
      <w:bookmarkStart w:id="344" w:name="_Toc8205"/>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.2</w:t>
      </w:r>
      <w:bookmarkEnd w:id="344"/>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48852A1A">
      <w:pPr>
        <w:pStyle w:val="23"/>
        <w:widowControl w:val="0"/>
        <w:tabs>
          <w:tab w:val="left" w:pos="1202"/>
        </w:tabs>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22860</wp:posOffset>
                </wp:positionV>
                <wp:extent cx="765810" cy="449580"/>
                <wp:effectExtent l="0" t="0" r="0" b="0"/>
                <wp:wrapNone/>
                <wp:docPr id="57" name="00013c"/>
                <wp:cNvGraphicFramePr/>
                <a:graphic xmlns:a="http://schemas.openxmlformats.org/drawingml/2006/main">
                  <a:graphicData uri="http://schemas.microsoft.com/office/word/2010/wordprocessingShape">
                    <wps:wsp>
                      <wps:cNvSpPr txBox="1"/>
                      <wps:spPr>
                        <a:xfrm>
                          <a:off x="0" y="0"/>
                          <a:ext cx="765810" cy="449580"/>
                        </a:xfrm>
                        <a:prstGeom prst="rect">
                          <a:avLst/>
                        </a:prstGeom>
                        <a:noFill/>
                        <a:ln>
                          <a:noFill/>
                        </a:ln>
                        <a:effectLst/>
                      </wps:spPr>
                      <wps:txbx>
                        <w:txbxContent>
                          <w:p w14:paraId="41889A4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p w14:paraId="005B366C"/>
                        </w:txbxContent>
                      </wps:txbx>
                      <wps:bodyPr wrap="square" upright="1"/>
                    </wps:wsp>
                  </a:graphicData>
                </a:graphic>
              </wp:anchor>
            </w:drawing>
          </mc:Choice>
          <mc:Fallback>
            <w:pict>
              <v:shape id="00013c" o:spid="_x0000_s1026" o:spt="202" type="#_x0000_t202" style="position:absolute;left:0pt;margin-left:-9pt;margin-top:1.8pt;height:35.4pt;width:60.3pt;z-index:251716608;mso-width-relative:page;mso-height-relative:page;" filled="f" stroked="f" coordsize="21600,21600" o:gfxdata="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KuQQNYAAAAI&#10;AQAADwAAAAAAAAABACAAAAAiAAAAZHJzL2Rvd25yZXYueG1sUEsBAhQAFAAAAAgAh07iQE9UCXqs&#10;AQAAZQMAAA4AAAAAAAAAAQAgAAAAJQEAAGRycy9lMm9Eb2MueG1sUEsFBgAAAAAGAAYAWQEAAEMF&#10;AAAAAA==&#10;">
                <v:fill on="f" focussize="0,0"/>
                <v:stroke on="f"/>
                <v:imagedata o:title=""/>
                <o:lock v:ext="edit" aspectratio="f"/>
                <v:textbox>
                  <w:txbxContent>
                    <w:p w14:paraId="41889A4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p w14:paraId="005B366C"/>
                  </w:txbxContent>
                </v:textbox>
              </v:shape>
            </w:pict>
          </mc:Fallback>
        </mc:AlternateContent>
      </w:r>
      <w:r>
        <w:rPr>
          <w:rFonts w:hint="eastAsia" w:ascii="仿宋" w:hAnsi="仿宋" w:eastAsia="仿宋" w:cs="仿宋"/>
          <w:color w:val="auto"/>
          <w:sz w:val="24"/>
          <w:szCs w:val="24"/>
          <w:highlight w:val="none"/>
          <w:lang w:eastAsia="zh-CN"/>
        </w:rPr>
        <w:t>承包人在投标或报价文件中采用专利技术的，其发生的费用已包含在投标报价内。承包人的技术秘密和第99条约定的保密信息、资料等，发包人应严格按照第99条约定不得为合同以外的目的泄露给第三方。</w:t>
      </w:r>
    </w:p>
    <w:p w14:paraId="14593FA5">
      <w:pPr>
        <w:pStyle w:val="23"/>
        <w:spacing w:line="360" w:lineRule="auto"/>
        <w:rPr>
          <w:rFonts w:ascii="仿宋" w:hAnsi="仿宋" w:eastAsia="仿宋"/>
          <w:color w:val="auto"/>
          <w:sz w:val="24"/>
          <w:szCs w:val="24"/>
          <w:highlight w:val="none"/>
          <w:lang w:eastAsia="zh-CN"/>
        </w:rPr>
      </w:pPr>
      <w:bookmarkStart w:id="345" w:name="_Toc29104"/>
      <w:r>
        <w:rPr>
          <w:b/>
          <w:bCs/>
          <w:color w:val="auto"/>
          <w:sz w:val="24"/>
          <w:szCs w:val="24"/>
          <w:highlight w:val="none"/>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241300</wp:posOffset>
                </wp:positionV>
                <wp:extent cx="805815" cy="456565"/>
                <wp:effectExtent l="0" t="0" r="0" b="0"/>
                <wp:wrapNone/>
                <wp:docPr id="58" name="00013d"/>
                <wp:cNvGraphicFramePr/>
                <a:graphic xmlns:a="http://schemas.openxmlformats.org/drawingml/2006/main">
                  <a:graphicData uri="http://schemas.microsoft.com/office/word/2010/wordprocessingShape">
                    <wps:wsp>
                      <wps:cNvSpPr txBox="1"/>
                      <wps:spPr>
                        <a:xfrm>
                          <a:off x="0" y="0"/>
                          <a:ext cx="805815" cy="456565"/>
                        </a:xfrm>
                        <a:prstGeom prst="rect">
                          <a:avLst/>
                        </a:prstGeom>
                        <a:noFill/>
                        <a:ln>
                          <a:noFill/>
                        </a:ln>
                        <a:effectLst/>
                      </wps:spPr>
                      <wps:txbx>
                        <w:txbxContent>
                          <w:p w14:paraId="75A717BF">
                            <w:pPr>
                              <w:rPr>
                                <w:rFonts w:ascii="楷体_GB2312" w:hAnsi="宋体" w:eastAsia="楷体_GB2312"/>
                                <w:b/>
                                <w:bCs/>
                                <w:color w:val="000000"/>
                                <w:sz w:val="18"/>
                                <w:szCs w:val="18"/>
                              </w:rPr>
                            </w:pPr>
                            <w:bookmarkStart w:id="2143" w:name="OLE_LINK4"/>
                            <w:bookmarkStart w:id="2144" w:name="OLE_LINK3"/>
                            <w:r>
                              <w:rPr>
                                <w:rFonts w:hint="eastAsia" w:ascii="楷体_GB2312" w:hAnsi="宋体" w:eastAsia="楷体_GB2312" w:cs="楷体_GB2312"/>
                                <w:b/>
                                <w:bCs/>
                                <w:color w:val="000000"/>
                                <w:sz w:val="18"/>
                                <w:szCs w:val="18"/>
                              </w:rPr>
                              <w:t>版权和知识产权</w:t>
                            </w:r>
                            <w:bookmarkEnd w:id="2143"/>
                            <w:bookmarkEnd w:id="2144"/>
                          </w:p>
                          <w:p w14:paraId="1C325FF8"/>
                        </w:txbxContent>
                      </wps:txbx>
                      <wps:bodyPr wrap="square" upright="1"/>
                    </wps:wsp>
                  </a:graphicData>
                </a:graphic>
              </wp:anchor>
            </w:drawing>
          </mc:Choice>
          <mc:Fallback>
            <w:pict>
              <v:shape id="00013d" o:spid="_x0000_s1026" o:spt="202" type="#_x0000_t202" style="position:absolute;left:0pt;margin-left:-9pt;margin-top:19pt;height:35.95pt;width:63.45pt;z-index:251717632;mso-width-relative:page;mso-height-relative:page;" filled="f" stroked="f" coordsize="21600,21600" o:gfxdata="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CP7jg7WAAAACgEA&#10;AA8AAAAAAAAAAQAgAAAAIgAAAGRycy9kb3ducmV2LnhtbFBLAQIUABQAAAAIAIdO4kCtdKLmqgEA&#10;AGUDAAAOAAAAAAAAAAEAIAAAACUBAABkcnMvZTJvRG9jLnhtbFBLBQYAAAAABgAGAFkBAABBBQAA&#10;AAA=&#10;">
                <v:fill on="f" focussize="0,0"/>
                <v:stroke on="f"/>
                <v:imagedata o:title=""/>
                <o:lock v:ext="edit" aspectratio="f"/>
                <v:textbox>
                  <w:txbxContent>
                    <w:p w14:paraId="75A717BF">
                      <w:pPr>
                        <w:rPr>
                          <w:rFonts w:ascii="楷体_GB2312" w:hAnsi="宋体" w:eastAsia="楷体_GB2312"/>
                          <w:b/>
                          <w:bCs/>
                          <w:color w:val="000000"/>
                          <w:sz w:val="18"/>
                          <w:szCs w:val="18"/>
                        </w:rPr>
                      </w:pPr>
                      <w:bookmarkStart w:id="2143" w:name="OLE_LINK4"/>
                      <w:bookmarkStart w:id="2144" w:name="OLE_LINK3"/>
                      <w:r>
                        <w:rPr>
                          <w:rFonts w:hint="eastAsia" w:ascii="楷体_GB2312" w:hAnsi="宋体" w:eastAsia="楷体_GB2312" w:cs="楷体_GB2312"/>
                          <w:b/>
                          <w:bCs/>
                          <w:color w:val="000000"/>
                          <w:sz w:val="18"/>
                          <w:szCs w:val="18"/>
                        </w:rPr>
                        <w:t>版权和知识产权</w:t>
                      </w:r>
                      <w:bookmarkEnd w:id="2143"/>
                      <w:bookmarkEnd w:id="2144"/>
                    </w:p>
                    <w:p w14:paraId="1C325FF8"/>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.3</w:t>
      </w:r>
      <w:bookmarkEnd w:id="345"/>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62DCEDFD">
      <w:pPr>
        <w:pStyle w:val="23"/>
        <w:widowControl w:val="0"/>
        <w:tabs>
          <w:tab w:val="left" w:pos="1202"/>
        </w:tabs>
        <w:spacing w:line="360" w:lineRule="auto"/>
        <w:ind w:left="1850" w:leftChars="771"/>
        <w:jc w:val="both"/>
        <w:rPr>
          <w:rFonts w:hint="eastAsia" w:ascii="仿宋" w:hAnsi="仿宋" w:eastAsia="仿宋" w:cs="仿宋"/>
          <w:color w:val="auto"/>
          <w:sz w:val="24"/>
          <w:szCs w:val="24"/>
          <w:highlight w:val="none"/>
          <w:lang w:eastAsia="zh-CN"/>
        </w:rPr>
      </w:pPr>
      <w:bookmarkStart w:id="346" w:name="OLE_LINK7"/>
      <w:r>
        <w:rPr>
          <w:rFonts w:hint="eastAsia" w:ascii="仿宋" w:hAnsi="仿宋" w:eastAsia="仿宋" w:cs="仿宋"/>
          <w:color w:val="auto"/>
          <w:sz w:val="24"/>
          <w:szCs w:val="24"/>
          <w:highlight w:val="none"/>
          <w:lang w:eastAsia="zh-CN"/>
        </w:rPr>
        <w:t>18.3.1 除合同专用条款另有约定外，由发包人（或以发包人名义）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631C8438">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18.3.2 除合同专用条款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p>
    <w:p w14:paraId="54169993">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18.3.3 合同当事人保证在履行合同过程中不侵犯对方及第三方的知识产权。承包人在使用工程材料、工程设备、施工设备或采用施工工艺时，因侵犯他人的专利权或其他知识产权所引起的责任，由承包人承担；因发包人提供的工程材料、工程设备、施工设备或施工工艺导致侵权的，由发包人承担责任。</w:t>
      </w:r>
    </w:p>
    <w:p w14:paraId="0471B60E">
      <w:pPr>
        <w:pStyle w:val="23"/>
        <w:widowControl w:val="0"/>
        <w:spacing w:line="360" w:lineRule="auto"/>
        <w:ind w:left="1850" w:leftChars="771"/>
        <w:jc w:val="both"/>
        <w:rPr>
          <w:rFonts w:ascii="仿宋" w:hAnsi="仿宋" w:eastAsia="仿宋" w:cs="仿宋"/>
          <w:b/>
          <w:bCs/>
          <w:color w:val="auto"/>
          <w:sz w:val="24"/>
          <w:szCs w:val="24"/>
          <w:highlight w:val="none"/>
          <w:u w:val="single"/>
          <w:lang w:eastAsia="zh-CN"/>
        </w:rPr>
      </w:pPr>
      <w:r>
        <w:rPr>
          <w:rFonts w:hint="eastAsia" w:ascii="仿宋" w:hAnsi="仿宋" w:eastAsia="仿宋" w:cs="仿宋"/>
          <w:color w:val="auto"/>
          <w:sz w:val="24"/>
          <w:szCs w:val="24"/>
          <w:highlight w:val="none"/>
          <w:lang w:eastAsia="zh-CN"/>
        </w:rPr>
        <w:t>18.3.4 合同双方当事人均有权在不损害对方利益和保密约定的前提下，在自己宣传用的印刷品或其他出版物上，或申报奖项时等情形下公布有关项目的文字和图片材料。</w:t>
      </w:r>
      <w:bookmarkEnd w:id="346"/>
    </w:p>
    <w:p w14:paraId="537303F7">
      <w:pPr>
        <w:pStyle w:val="4"/>
        <w:tabs>
          <w:tab w:val="left" w:pos="420"/>
        </w:tabs>
        <w:spacing w:before="120" w:after="120" w:line="360" w:lineRule="auto"/>
        <w:rPr>
          <w:rFonts w:hint="eastAsia" w:ascii="仿宋" w:hAnsi="仿宋" w:eastAsia="仿宋" w:cs="仿宋"/>
          <w:bCs w:val="0"/>
          <w:color w:val="auto"/>
          <w:sz w:val="24"/>
          <w:szCs w:val="24"/>
          <w:highlight w:val="none"/>
          <w:lang w:eastAsia="zh-CN"/>
        </w:rPr>
      </w:pPr>
      <w:bookmarkStart w:id="347" w:name="_Toc14263"/>
      <w:bookmarkStart w:id="348" w:name="_Toc13581"/>
      <w:bookmarkStart w:id="349" w:name="_Toc8883"/>
      <w:bookmarkStart w:id="350" w:name="_Toc17777"/>
      <w:bookmarkStart w:id="351" w:name="_Toc1350"/>
      <w:bookmarkStart w:id="352" w:name="_Toc2144"/>
      <w:bookmarkStart w:id="353" w:name="_Toc47694289"/>
      <w:bookmarkStart w:id="354" w:name="_Toc8129"/>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联合体</w:t>
      </w:r>
      <w:bookmarkEnd w:id="347"/>
      <w:bookmarkEnd w:id="348"/>
      <w:bookmarkEnd w:id="349"/>
      <w:bookmarkEnd w:id="350"/>
      <w:bookmarkEnd w:id="351"/>
      <w:bookmarkEnd w:id="352"/>
      <w:bookmarkEnd w:id="353"/>
      <w:bookmarkEnd w:id="354"/>
    </w:p>
    <w:p w14:paraId="7CCB070A">
      <w:pPr>
        <w:pStyle w:val="23"/>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263525</wp:posOffset>
                </wp:positionV>
                <wp:extent cx="833120" cy="551815"/>
                <wp:effectExtent l="0" t="0" r="0" b="0"/>
                <wp:wrapNone/>
                <wp:docPr id="59" name="00013e"/>
                <wp:cNvGraphicFramePr/>
                <a:graphic xmlns:a="http://schemas.openxmlformats.org/drawingml/2006/main">
                  <a:graphicData uri="http://schemas.microsoft.com/office/word/2010/wordprocessingShape">
                    <wps:wsp>
                      <wps:cNvSpPr txBox="1"/>
                      <wps:spPr>
                        <a:xfrm>
                          <a:off x="0" y="0"/>
                          <a:ext cx="833120" cy="551815"/>
                        </a:xfrm>
                        <a:prstGeom prst="rect">
                          <a:avLst/>
                        </a:prstGeom>
                        <a:noFill/>
                        <a:ln>
                          <a:noFill/>
                        </a:ln>
                        <a:effectLst/>
                      </wps:spPr>
                      <wps:txbx>
                        <w:txbxContent>
                          <w:p w14:paraId="280C64B9">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p w14:paraId="0ED5FE33"/>
                        </w:txbxContent>
                      </wps:txbx>
                      <wps:bodyPr wrap="square" upright="1"/>
                    </wps:wsp>
                  </a:graphicData>
                </a:graphic>
              </wp:anchor>
            </w:drawing>
          </mc:Choice>
          <mc:Fallback>
            <w:pict>
              <v:shape id="00013e" o:spid="_x0000_s1026" o:spt="202" type="#_x0000_t202" style="position:absolute;left:0pt;margin-left:-9pt;margin-top:20.75pt;height:43.45pt;width:65.6pt;z-index:251718656;mso-width-relative:page;mso-height-relative:page;" filled="f" stroked="f" coordsize="21600,21600" o:gfxdata="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kgUdm1wAAAAoB&#10;AAAPAAAAAAAAAAEAIAAAACIAAABkcnMvZG93bnJldi54bWxQSwECFAAUAAAACACHTuJA4/a3QKoB&#10;AABlAwAADgAAAAAAAAABACAAAAAmAQAAZHJzL2Uyb0RvYy54bWxQSwUGAAAAAAYABgBZAQAAQgUA&#10;AAAA&#10;">
                <v:fill on="f" focussize="0,0"/>
                <v:stroke on="f"/>
                <v:imagedata o:title=""/>
                <o:lock v:ext="edit" aspectratio="f"/>
                <v:textbox>
                  <w:txbxContent>
                    <w:p w14:paraId="280C64B9">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p w14:paraId="0ED5FE33"/>
                  </w:txbxContent>
                </v:textbox>
              </v:shape>
            </w:pict>
          </mc:Fallback>
        </mc:AlternateContent>
      </w:r>
    </w:p>
    <w:p w14:paraId="3716E4E6">
      <w:pPr>
        <w:pStyle w:val="23"/>
        <w:widowControl w:val="0"/>
        <w:spacing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19.1.1 </w:t>
      </w:r>
      <w:r>
        <w:rPr>
          <w:rFonts w:hint="eastAsia" w:ascii="仿宋" w:hAnsi="仿宋" w:eastAsia="仿宋" w:cs="仿宋"/>
          <w:color w:val="auto"/>
          <w:sz w:val="24"/>
          <w:szCs w:val="24"/>
          <w:highlight w:val="none"/>
          <w:lang w:eastAsia="zh-CN"/>
        </w:rPr>
        <w:t>如果承包人是联合体，联合体成员视为具有符合本合同工程建设规模要求的工程建设类设计、施工等资质、资信和履约能力的法人组成。</w:t>
      </w:r>
    </w:p>
    <w:p w14:paraId="0B3D74BD">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19.1.2 联合体牵头人须由联合体成员中具有符合项目规模要求的工程设计资质或施工资质一方担任。专用条款中应明确以设计单位或施工单位为牵头人时各方的管理责任。</w:t>
      </w:r>
    </w:p>
    <w:p w14:paraId="7276CB70">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19.1.3 </w:t>
      </w:r>
      <w:r>
        <w:rPr>
          <w:rFonts w:hint="eastAsia" w:ascii="仿宋" w:hAnsi="仿宋" w:eastAsia="仿宋" w:cs="仿宋"/>
          <w:color w:val="auto"/>
          <w:sz w:val="24"/>
          <w:szCs w:val="24"/>
          <w:highlight w:val="none"/>
          <w:lang w:eastAsia="zh-CN"/>
        </w:rPr>
        <w:t>在合同协议书签订时，视为联合体成员已签订联合体协议书，明确牵头人及各成员在本合同履行期间对发包人负有共同的和各自的责任，作为本合同的附件。招标发包工程，联合体成员应于投标前签订联合体协议，作为投标文件的组成部分。</w:t>
      </w:r>
    </w:p>
    <w:p w14:paraId="1A809573">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19.1.4 </w:t>
      </w:r>
      <w:r>
        <w:rPr>
          <w:rFonts w:hint="eastAsia" w:ascii="仿宋" w:hAnsi="仿宋" w:eastAsia="仿宋" w:cs="仿宋"/>
          <w:color w:val="auto"/>
          <w:sz w:val="24"/>
          <w:szCs w:val="24"/>
          <w:highlight w:val="none"/>
          <w:lang w:eastAsia="zh-CN"/>
        </w:rPr>
        <w:t>联合体成员应共同与发包人签订合同协议书。联合体成员都应认真履行其共同的和各自的责任，在合同约定的时间内完成本合同工程总承包范围内的全部工作。</w:t>
      </w:r>
    </w:p>
    <w:p w14:paraId="52744D85">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19.1.5 联合体作为本合同的当事人，联合体牵头人及成员应作为一个整体享有本合同赋予的承包人权利、履行承包人责任和义务，共同承担本合同工程的实施风险，牵头人或其任一成员的过错或违约行为均不免除其他成员单位的连带责任。联合体牵头人负责组建项目部，由项目部负责与发包人、设计顾问人、监理人和造价咨询人联系，并接受指示，负责组织联合体各成员全面履行合同。</w:t>
      </w:r>
    </w:p>
    <w:p w14:paraId="3BB702CD">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19.1.6 联合体牵头人应对本合同工程总承包范围内全部工作的组织、管理、实施和协调承担主要责任，保障本合同工程的进度、质量、安全和成本符合本合同的约定；勘察设计单位应对本合同工程的勘察、设计、BIM技术应用及施工配合、设备及工器具购置配合等承担相应责任；施工单位应对本合同工程的施工组织、施工管理、施工技术、BIM技术应用及勘察设计配合、设备及工器具购置配合等承担相应责任。</w:t>
      </w:r>
    </w:p>
    <w:p w14:paraId="316D6A50">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19.1.7 联合体牵头人对本合同工程的进度、质量、安全、成本、管理、协调等负总责。在本合同履行期间，联合体牵头人代表联合体接受指令或发出书面文件，其任何作为或不作为，其效力均及于联合体成员；发包人对联合体牵头人的作为或不作为，其效力均及于承包人联合体成员。</w:t>
      </w:r>
    </w:p>
    <w:p w14:paraId="1B8F2420">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19.1.8 联合体牵头人应加强对联合体各成员的组织、管理和协调，其产生的管理费用由联合体成员协商确定，作为牵头人项目管理费在本合同协议书中明确。合同履行期间，若牵头人及其授权的承包人代表不作为或存在过错，发包人有权扣除部分或全部牵头人项目管理费，并追究相关责任。牵头人项目管理费的扣除，不免除联合体牵头人及各成员作为承包人应承担的所有责任。</w:t>
      </w:r>
    </w:p>
    <w:p w14:paraId="1BE53522">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19.1.9 承包人代表及专业负责人的任命与授权，应符合第29.1款的约定，具体人选应在专用条款中约定。</w:t>
      </w:r>
    </w:p>
    <w:p w14:paraId="3378D7D0">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19.1.10 未经发包人事先书面同意，联合体的组成、结构和联合体协议书不得随意变动。</w:t>
      </w:r>
    </w:p>
    <w:p w14:paraId="08ACD49A">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19.1.11 联合体牵头人及成员组成联合体，应团结合作，全面履行本合同赋予的权利和义务，实现共同利益，但不得推诿扯皮或合伙欺骗、损害发包人及社会公众利益。</w:t>
      </w:r>
    </w:p>
    <w:p w14:paraId="42781AF5">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19.1.12 联合体牵头人及各成员之间的任何法律和经济纠纷属于承包人一方的内部纠纷，不属于本合同双方当事人之间的纠纷，发包人均不承担任何责任和义务。</w:t>
      </w:r>
    </w:p>
    <w:p w14:paraId="7CE18AC3">
      <w:pPr>
        <w:pStyle w:val="23"/>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7243EEBF">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719680" behindDoc="0" locked="0" layoutInCell="1" allowOverlap="1">
                <wp:simplePos x="0" y="0"/>
                <wp:positionH relativeFrom="column">
                  <wp:posOffset>-9525</wp:posOffset>
                </wp:positionH>
                <wp:positionV relativeFrom="paragraph">
                  <wp:posOffset>40640</wp:posOffset>
                </wp:positionV>
                <wp:extent cx="804545" cy="415925"/>
                <wp:effectExtent l="0" t="0" r="0" b="0"/>
                <wp:wrapNone/>
                <wp:docPr id="60" name="00013f"/>
                <wp:cNvGraphicFramePr/>
                <a:graphic xmlns:a="http://schemas.openxmlformats.org/drawingml/2006/main">
                  <a:graphicData uri="http://schemas.microsoft.com/office/word/2010/wordprocessingShape">
                    <wps:wsp>
                      <wps:cNvSpPr txBox="1"/>
                      <wps:spPr>
                        <a:xfrm>
                          <a:off x="0" y="0"/>
                          <a:ext cx="804545" cy="415925"/>
                        </a:xfrm>
                        <a:prstGeom prst="rect">
                          <a:avLst/>
                        </a:prstGeom>
                        <a:noFill/>
                        <a:ln>
                          <a:noFill/>
                        </a:ln>
                        <a:effectLst/>
                      </wps:spPr>
                      <wps:txbx>
                        <w:txbxContent>
                          <w:p w14:paraId="53CCA58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p w14:paraId="64607619"/>
                        </w:txbxContent>
                      </wps:txbx>
                      <wps:bodyPr wrap="square" upright="1"/>
                    </wps:wsp>
                  </a:graphicData>
                </a:graphic>
              </wp:anchor>
            </w:drawing>
          </mc:Choice>
          <mc:Fallback>
            <w:pict>
              <v:shape id="00013f" o:spid="_x0000_s1026" o:spt="202" type="#_x0000_t202" style="position:absolute;left:0pt;margin-left:-0.75pt;margin-top:3.2pt;height:32.75pt;width:63.35pt;z-index:251719680;mso-width-relative:page;mso-height-relative:page;" filled="f" stroked="f" coordsize="21600,21600" o:gfxdata="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CKN4b1AAAAAcBAAAP&#10;AAAAAAAAAAEAIAAAACIAAABkcnMvZG93bnJldi54bWxQSwECFAAUAAAACACHTuJAMPT8n6oBAABl&#10;AwAADgAAAAAAAAABACAAAAAjAQAAZHJzL2Uyb0RvYy54bWxQSwUGAAAAAAYABgBZAQAAPwUAAAAA&#10;">
                <v:fill on="f" focussize="0,0"/>
                <v:stroke on="f"/>
                <v:imagedata o:title=""/>
                <o:lock v:ext="edit" aspectratio="f"/>
                <v:textbox>
                  <w:txbxContent>
                    <w:p w14:paraId="53CCA58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p w14:paraId="64607619"/>
                  </w:txbxContent>
                </v:textbox>
              </v:shape>
            </w:pict>
          </mc:Fallback>
        </mc:AlternateContent>
      </w:r>
      <w:r>
        <w:rPr>
          <w:rFonts w:hint="eastAsia" w:ascii="仿宋" w:hAnsi="仿宋" w:eastAsia="仿宋" w:cs="仿宋"/>
          <w:color w:val="auto"/>
          <w:sz w:val="24"/>
          <w:szCs w:val="24"/>
          <w:highlight w:val="none"/>
          <w:lang w:eastAsia="zh-CN"/>
        </w:rPr>
        <w:t>联合体作为承包人，均由联合体牵头人及其授权的承包人代表负责组织联合体各成员全面履行合同，负责与发包人及监理人、造价咨询人、设计顾问人（如果有）等相关方之间的工作联系和文件往来，履行合同的有关文件由承包人代表签署。未经发包人事先书面同意，承包人代表不得随意变动。</w:t>
      </w:r>
    </w:p>
    <w:p w14:paraId="25CD73AA">
      <w:pPr>
        <w:pStyle w:val="23"/>
        <w:spacing w:line="360" w:lineRule="auto"/>
        <w:rPr>
          <w:rFonts w:ascii="仿宋" w:hAnsi="仿宋" w:eastAsia="仿宋"/>
          <w:b/>
          <w:bCs/>
          <w:color w:val="auto"/>
          <w:sz w:val="24"/>
          <w:szCs w:val="24"/>
          <w:highlight w:val="none"/>
          <w:lang w:eastAsia="zh-CN"/>
        </w:rPr>
      </w:pPr>
      <w:bookmarkStart w:id="355" w:name="_Toc29075"/>
      <w:r>
        <w:rPr>
          <w:color w:val="auto"/>
          <w:sz w:val="24"/>
          <w:szCs w:val="24"/>
          <w:highlight w:val="none"/>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245745</wp:posOffset>
                </wp:positionV>
                <wp:extent cx="756920" cy="445135"/>
                <wp:effectExtent l="0" t="0" r="0" b="0"/>
                <wp:wrapNone/>
                <wp:docPr id="61" name="000140"/>
                <wp:cNvGraphicFramePr/>
                <a:graphic xmlns:a="http://schemas.openxmlformats.org/drawingml/2006/main">
                  <a:graphicData uri="http://schemas.microsoft.com/office/word/2010/wordprocessingShape">
                    <wps:wsp>
                      <wps:cNvSpPr txBox="1"/>
                      <wps:spPr>
                        <a:xfrm>
                          <a:off x="0" y="0"/>
                          <a:ext cx="756920" cy="445135"/>
                        </a:xfrm>
                        <a:prstGeom prst="rect">
                          <a:avLst/>
                        </a:prstGeom>
                        <a:noFill/>
                        <a:ln>
                          <a:noFill/>
                        </a:ln>
                        <a:effectLst/>
                      </wps:spPr>
                      <wps:txbx>
                        <w:txbxContent>
                          <w:p w14:paraId="27BF608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p w14:paraId="13A3628D"/>
                        </w:txbxContent>
                      </wps:txbx>
                      <wps:bodyPr wrap="square" upright="1"/>
                    </wps:wsp>
                  </a:graphicData>
                </a:graphic>
              </wp:anchor>
            </w:drawing>
          </mc:Choice>
          <mc:Fallback>
            <w:pict>
              <v:shape id="000140" o:spid="_x0000_s1026" o:spt="202" type="#_x0000_t202" style="position:absolute;left:0pt;margin-left:-9pt;margin-top:19.35pt;height:35.05pt;width:59.6pt;z-index:251720704;mso-width-relative:page;mso-height-relative:page;" filled="f" stroked="f" coordsize="21600,21600" o:gfxdata="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r2pNK1wAAAAoB&#10;AAAPAAAAAAAAAAEAIAAAACIAAABkcnMvZG93bnJldi54bWxQSwECFAAUAAAACACHTuJAlKk6HqoB&#10;AABlAwAADgAAAAAAAAABACAAAAAmAQAAZHJzL2Uyb0RvYy54bWxQSwUGAAAAAAYABgBZAQAAQgUA&#10;AAAA&#10;">
                <v:fill on="f" focussize="0,0"/>
                <v:stroke on="f"/>
                <v:imagedata o:title=""/>
                <o:lock v:ext="edit" aspectratio="f"/>
                <v:textbox>
                  <w:txbxContent>
                    <w:p w14:paraId="27BF608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p w14:paraId="13A3628D"/>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3</w:t>
      </w:r>
      <w:bookmarkEnd w:id="355"/>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3F0FC281">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19.3.1 本合同协议书签订后28天内，联合体牵头人应组织成员单位内部协商，根据发包人制定的项目管理制度，结合本合同工程实际，共同编制联合体内部管理制度，明确勘察、设计、BIM技术应用、施工、设备及工器具购置等工作之间的内部分工、工作界面、责任划分、进度安排、安全防范、质量控制、风险预控、风险分担、利益分配、协调机制、会议制度、决策机制、内部流程、保障措施等内容，形成书面文件，共同签署、共同遵守，并报发包人备案。</w:t>
      </w:r>
    </w:p>
    <w:p w14:paraId="22805B85">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19.3.2 本合同协议书签订后28天内，联合体牵头人应组织成员单位内部协商，根据本合同约定的相关处罚规定，建立联合体内部奖惩管理制度，共同签署共同遵守，并报发包人备案。履行合同期间，违约受到经济处罚、出现索赔事件、发生不可抗力事件、合理化建议被采纳获得发包人经济奖励等，联合体牵头人应秉公处理，及时组织外部索赔或内部奖罚，赏罚分明，以避免推诿扯皮或杜绝合伙欺骗，保证联合体内部团结合作，维护承包人、发包人及公众利益。</w:t>
      </w:r>
    </w:p>
    <w:p w14:paraId="3F04CC81">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19.3.3 联合体牵头人及授权的承包人代表应及时组织各成员单位认真履行合同，遵守联合体内部管理制度，按时签署、报送各类工作计划、工作成果、进度报表、支付申请等各类资料及合理化建议。</w:t>
      </w:r>
    </w:p>
    <w:p w14:paraId="6106531B">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19.3.4牵头人收到发包人及监理人、设计顾问人、造价咨询人等相关方的各类书面文件，应在收到后24小时内抄送联合体所有成员；收到的各类口头指令，应按合同相关约定及时组织进行书面确认。</w:t>
      </w:r>
    </w:p>
    <w:p w14:paraId="273417CE">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19.3.5 联合体各成员需要报送发包人及监理人、设计顾问人、造价咨询人等相关方的各类书面文件（包括勘察设计类、BIM技术应用类、施工类、设备及工器具购置类等），必须得到联合体牵头人及授权的承包人代表认可签署，并由牵头人报送。</w:t>
      </w:r>
    </w:p>
    <w:p w14:paraId="5A235EE7">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19.3.6 若联合体任一成员提出可能有益于发包人或公众的优化设计方案或合理化建议，无论联合体成员是否达成统一意见，牵头人必须及时报送发包人，不得瞒报迟报，意见提出者也可直接报送发包人。若收到的优化设计方案或合理化建议得到采纳产生预期经济效益或节约投资，发包人将按合同约定给予适当的经济奖励或补偿。因牵头人反对而不上报，发包人有权对牵头人进行一定的经济处罚。奖励或处罚金额或比例，由当事人在专用条款中约定。</w:t>
      </w:r>
    </w:p>
    <w:p w14:paraId="69D607AD">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19.3.7 除联合体牵头人或成员报送的优化设计方案或合理化建议外，发包人及各相关方收到牵头人及授权的承包人代表签署报送的各类文件，无论联合体内部意见是否统一，均视为联合体内部成员之间已得到认可。</w:t>
      </w:r>
    </w:p>
    <w:p w14:paraId="142C9954">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5AC74291">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356" w:name="_Toc31931"/>
      <w:bookmarkStart w:id="357" w:name="_Toc23348"/>
      <w:bookmarkStart w:id="358" w:name="_Toc32010"/>
      <w:bookmarkStart w:id="359" w:name="_Toc12451"/>
      <w:bookmarkStart w:id="360" w:name="_Toc47694290"/>
      <w:bookmarkStart w:id="361" w:name="_Toc5459"/>
      <w:bookmarkStart w:id="362" w:name="_Toc30561"/>
      <w:bookmarkStart w:id="363" w:name="_Toc2025"/>
      <w:r>
        <w:rPr>
          <w:rFonts w:hint="eastAsia" w:ascii="仿宋" w:hAnsi="仿宋" w:eastAsia="仿宋" w:cs="仿宋"/>
          <w:bCs w:val="0"/>
          <w:color w:val="auto"/>
          <w:sz w:val="24"/>
          <w:szCs w:val="24"/>
          <w:highlight w:val="none"/>
          <w:lang w:eastAsia="zh-CN"/>
        </w:rPr>
        <w:t>20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保障</w:t>
      </w:r>
      <w:bookmarkEnd w:id="356"/>
      <w:bookmarkEnd w:id="357"/>
      <w:bookmarkEnd w:id="358"/>
      <w:bookmarkEnd w:id="359"/>
      <w:bookmarkEnd w:id="360"/>
      <w:bookmarkEnd w:id="361"/>
      <w:bookmarkEnd w:id="362"/>
      <w:bookmarkEnd w:id="363"/>
    </w:p>
    <w:p w14:paraId="047F9660">
      <w:pPr>
        <w:pStyle w:val="23"/>
        <w:tabs>
          <w:tab w:val="left" w:pos="1202"/>
        </w:tabs>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20</w:t>
      </w:r>
      <w:r>
        <w:rPr>
          <w:rFonts w:ascii="仿宋" w:hAnsi="仿宋" w:eastAsia="仿宋" w:cs="仿宋"/>
          <w:b/>
          <w:bCs/>
          <w:color w:val="auto"/>
          <w:sz w:val="24"/>
          <w:szCs w:val="24"/>
          <w:highlight w:val="none"/>
          <w:lang w:eastAsia="zh-CN"/>
        </w:rPr>
        <w:t>.1</w:t>
      </w:r>
    </w:p>
    <w:p w14:paraId="609A4328">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21728" behindDoc="0" locked="0" layoutInCell="1" allowOverlap="1">
                <wp:simplePos x="0" y="0"/>
                <wp:positionH relativeFrom="column">
                  <wp:posOffset>-66040</wp:posOffset>
                </wp:positionH>
                <wp:positionV relativeFrom="paragraph">
                  <wp:posOffset>8890</wp:posOffset>
                </wp:positionV>
                <wp:extent cx="822960" cy="440055"/>
                <wp:effectExtent l="0" t="0" r="0" b="0"/>
                <wp:wrapNone/>
                <wp:docPr id="62" name="000141"/>
                <wp:cNvGraphicFramePr/>
                <a:graphic xmlns:a="http://schemas.openxmlformats.org/drawingml/2006/main">
                  <a:graphicData uri="http://schemas.microsoft.com/office/word/2010/wordprocessingShape">
                    <wps:wsp>
                      <wps:cNvSpPr txBox="1"/>
                      <wps:spPr>
                        <a:xfrm>
                          <a:off x="0" y="0"/>
                          <a:ext cx="822960" cy="440055"/>
                        </a:xfrm>
                        <a:prstGeom prst="rect">
                          <a:avLst/>
                        </a:prstGeom>
                        <a:noFill/>
                        <a:ln>
                          <a:noFill/>
                        </a:ln>
                        <a:effectLst/>
                      </wps:spPr>
                      <wps:txbx>
                        <w:txbxContent>
                          <w:p w14:paraId="06CEE44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p w14:paraId="24CFAB7A"/>
                        </w:txbxContent>
                      </wps:txbx>
                      <wps:bodyPr wrap="square" upright="1"/>
                    </wps:wsp>
                  </a:graphicData>
                </a:graphic>
              </wp:anchor>
            </w:drawing>
          </mc:Choice>
          <mc:Fallback>
            <w:pict>
              <v:shape id="000141" o:spid="_x0000_s1026" o:spt="202" type="#_x0000_t202" style="position:absolute;left:0pt;margin-left:-5.2pt;margin-top:0.7pt;height:34.65pt;width:64.8pt;z-index:251721728;mso-width-relative:page;mso-height-relative:page;" filled="f" stroked="f" coordsize="21600,21600" o:gfxdata="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AgQTxtUAAAAIAQAA&#10;DwAAAAAAAAABACAAAAAiAAAAZHJzL2Rvd25yZXYueG1sUEsBAhQAFAAAAAgAh07iQCvK5OWqAQAA&#10;ZQMAAA4AAAAAAAAAAQAgAAAAJAEAAGRycy9lMm9Eb2MueG1sUEsFBgAAAAAGAAYAWQEAAEAFAAAA&#10;AA==&#10;">
                <v:fill on="f" focussize="0,0"/>
                <v:stroke on="f"/>
                <v:imagedata o:title=""/>
                <o:lock v:ext="edit" aspectratio="f"/>
                <v:textbox>
                  <w:txbxContent>
                    <w:p w14:paraId="06CEE44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p w14:paraId="24CFAB7A"/>
                  </w:txbxContent>
                </v:textbox>
              </v:shape>
            </w:pict>
          </mc:Fallback>
        </mc:AlternateContent>
      </w:r>
      <w:r>
        <w:rPr>
          <w:rFonts w:hint="eastAsia" w:ascii="仿宋" w:hAnsi="仿宋" w:eastAsia="仿宋" w:cs="仿宋"/>
          <w:color w:val="auto"/>
          <w:sz w:val="24"/>
          <w:szCs w:val="24"/>
          <w:highlight w:val="none"/>
          <w:lang w:eastAsia="zh-CN"/>
        </w:rPr>
        <w:t>合同一方当事人应负责和保障不因其自身的行为或疏忽而引起另一方当事人一切损害、损失和赔偿。但受保障的一方当事人应积极采取合理措施减少可能发生的损失或损害。受保障的一方当事人因未采取合理措施而导致损失扩大，则损失扩大部分由其自身承担。</w:t>
      </w:r>
    </w:p>
    <w:p w14:paraId="59FF673F">
      <w:pPr>
        <w:pStyle w:val="23"/>
        <w:tabs>
          <w:tab w:val="left" w:pos="1202"/>
        </w:tabs>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240665</wp:posOffset>
                </wp:positionV>
                <wp:extent cx="785495" cy="508000"/>
                <wp:effectExtent l="0" t="0" r="0" b="0"/>
                <wp:wrapNone/>
                <wp:docPr id="63" name="000142"/>
                <wp:cNvGraphicFramePr/>
                <a:graphic xmlns:a="http://schemas.openxmlformats.org/drawingml/2006/main">
                  <a:graphicData uri="http://schemas.microsoft.com/office/word/2010/wordprocessingShape">
                    <wps:wsp>
                      <wps:cNvSpPr txBox="1"/>
                      <wps:spPr>
                        <a:xfrm>
                          <a:off x="0" y="0"/>
                          <a:ext cx="785495" cy="508000"/>
                        </a:xfrm>
                        <a:prstGeom prst="rect">
                          <a:avLst/>
                        </a:prstGeom>
                        <a:noFill/>
                        <a:ln>
                          <a:noFill/>
                        </a:ln>
                        <a:effectLst/>
                      </wps:spPr>
                      <wps:txbx>
                        <w:txbxContent>
                          <w:p w14:paraId="50B8CFA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p w14:paraId="3B7855F7"/>
                        </w:txbxContent>
                      </wps:txbx>
                      <wps:bodyPr wrap="square" upright="1"/>
                    </wps:wsp>
                  </a:graphicData>
                </a:graphic>
              </wp:anchor>
            </w:drawing>
          </mc:Choice>
          <mc:Fallback>
            <w:pict>
              <v:shape id="000142" o:spid="_x0000_s1026" o:spt="202" type="#_x0000_t202" style="position:absolute;left:0pt;margin-left:-9pt;margin-top:18.95pt;height:40pt;width:61.85pt;z-index:251722752;mso-width-relative:page;mso-height-relative:page;" filled="f" stroked="f" coordsize="21600,21600" o:gfxdata="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8BZl59cAAAAK&#10;AQAADwAAAAAAAAABACAAAAAiAAAAZHJzL2Rvd25yZXYueG1sUEsBAhQAFAAAAAgAh07iQOkR4M6r&#10;AQAAZQMAAA4AAAAAAAAAAQAgAAAAJgEAAGRycy9lMm9Eb2MueG1sUEsFBgAAAAAGAAYAWQEAAEMF&#10;AAAAAA==&#10;">
                <v:fill on="f" focussize="0,0"/>
                <v:stroke on="f"/>
                <v:imagedata o:title=""/>
                <o:lock v:ext="edit" aspectratio="f"/>
                <v:textbox>
                  <w:txbxContent>
                    <w:p w14:paraId="50B8CFA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p w14:paraId="3B7855F7"/>
                  </w:txbxContent>
                </v:textbox>
              </v:shape>
            </w:pict>
          </mc:Fallback>
        </mc:AlternateContent>
      </w:r>
      <w:r>
        <w:rPr>
          <w:rFonts w:hint="eastAsia" w:ascii="仿宋" w:hAnsi="仿宋" w:eastAsia="仿宋" w:cs="仿宋"/>
          <w:b/>
          <w:bCs/>
          <w:color w:val="auto"/>
          <w:sz w:val="24"/>
          <w:szCs w:val="24"/>
          <w:highlight w:val="none"/>
          <w:lang w:eastAsia="zh-CN"/>
        </w:rPr>
        <w:t>20</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51E151BB">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承包人应保障发包人不承担因承包人移动或使用施工场地外的施工设备和临时设施所造成的损害而引起的赔偿。</w:t>
      </w:r>
    </w:p>
    <w:p w14:paraId="06AD6CDB">
      <w:pPr>
        <w:pStyle w:val="23"/>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6456BA8C">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364" w:name="_Toc47694291"/>
      <w:bookmarkStart w:id="365" w:name="_Toc18924"/>
      <w:bookmarkStart w:id="366" w:name="_Toc4408"/>
      <w:bookmarkStart w:id="367" w:name="_Toc20252"/>
      <w:bookmarkStart w:id="368" w:name="_Toc23708"/>
      <w:bookmarkStart w:id="369" w:name="_Toc22244"/>
      <w:bookmarkStart w:id="370" w:name="_Toc18423"/>
      <w:bookmarkStart w:id="371" w:name="_Toc17213"/>
      <w:r>
        <w:rPr>
          <w:rFonts w:hint="eastAsia" w:ascii="仿宋" w:hAnsi="仿宋" w:eastAsia="仿宋" w:cs="仿宋"/>
          <w:bCs w:val="0"/>
          <w:color w:val="auto"/>
          <w:sz w:val="24"/>
          <w:szCs w:val="24"/>
          <w:highlight w:val="none"/>
          <w:lang w:eastAsia="zh-CN"/>
        </w:rPr>
        <w:t>21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财产</w:t>
      </w:r>
      <w:bookmarkEnd w:id="364"/>
      <w:bookmarkEnd w:id="365"/>
      <w:bookmarkEnd w:id="366"/>
      <w:bookmarkEnd w:id="367"/>
      <w:bookmarkEnd w:id="368"/>
      <w:bookmarkEnd w:id="369"/>
      <w:bookmarkEnd w:id="370"/>
      <w:bookmarkEnd w:id="371"/>
    </w:p>
    <w:p w14:paraId="44DFE5F4">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.1</w:t>
      </w:r>
    </w:p>
    <w:p w14:paraId="47DF7395">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0</wp:posOffset>
                </wp:positionV>
                <wp:extent cx="794385" cy="875030"/>
                <wp:effectExtent l="0" t="0" r="0" b="0"/>
                <wp:wrapNone/>
                <wp:docPr id="64" name="000143"/>
                <wp:cNvGraphicFramePr/>
                <a:graphic xmlns:a="http://schemas.openxmlformats.org/drawingml/2006/main">
                  <a:graphicData uri="http://schemas.microsoft.com/office/word/2010/wordprocessingShape">
                    <wps:wsp>
                      <wps:cNvSpPr txBox="1"/>
                      <wps:spPr>
                        <a:xfrm>
                          <a:off x="0" y="0"/>
                          <a:ext cx="794385" cy="875030"/>
                        </a:xfrm>
                        <a:prstGeom prst="rect">
                          <a:avLst/>
                        </a:prstGeom>
                        <a:noFill/>
                        <a:ln>
                          <a:noFill/>
                        </a:ln>
                        <a:effectLst/>
                      </wps:spPr>
                      <wps:txbx>
                        <w:txbxContent>
                          <w:p w14:paraId="1D8AF312">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p w14:paraId="39F18EF3">
                            <w:pPr>
                              <w:rPr>
                                <w:lang w:eastAsia="zh-CN"/>
                              </w:rPr>
                            </w:pPr>
                          </w:p>
                        </w:txbxContent>
                      </wps:txbx>
                      <wps:bodyPr wrap="square" upright="1"/>
                    </wps:wsp>
                  </a:graphicData>
                </a:graphic>
              </wp:anchor>
            </w:drawing>
          </mc:Choice>
          <mc:Fallback>
            <w:pict>
              <v:shape id="000143" o:spid="_x0000_s1026" o:spt="202" type="#_x0000_t202" style="position:absolute;left:0pt;margin-left:-9pt;margin-top:0pt;height:68.9pt;width:62.55pt;z-index:251723776;mso-width-relative:page;mso-height-relative:page;" filled="f" stroked="f" coordsize="21600,21600" o:gfxdata="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dhlTbWAAAA&#10;CAEAAA8AAAAAAAAAAQAgAAAAIgAAAGRycy9kb3ducmV2LnhtbFBLAQIUABQAAAAIAIdO4kCyPaEJ&#10;rQEAAGUDAAAOAAAAAAAAAAEAIAAAACUBAABkcnMvZTJvRG9jLnhtbFBLBQYAAAAABgAGAFkBAABE&#10;BQAAAAA=&#10;">
                <v:fill on="f" focussize="0,0"/>
                <v:stroke on="f"/>
                <v:imagedata o:title=""/>
                <o:lock v:ext="edit" aspectratio="f"/>
                <v:textbox>
                  <w:txbxContent>
                    <w:p w14:paraId="1D8AF312">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p w14:paraId="39F18EF3">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合同工程所需的工程材料、工程设备（包括备品备件、安装专用工器具与随机资料）和承包人的施工设备一经运至施工现场，即成为实施合同工程的财产。没有经监理人同意并由其报发包人批准，承包人不得使用合同工程的财产，也不得将实施合同工程的财产运出施工现场，但用于运送工程材料和工程设备、施工设备和雇员的运输工具除外。</w:t>
      </w:r>
    </w:p>
    <w:p w14:paraId="7F5873C2">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282575</wp:posOffset>
                </wp:positionV>
                <wp:extent cx="823595" cy="470535"/>
                <wp:effectExtent l="0" t="0" r="0" b="0"/>
                <wp:wrapNone/>
                <wp:docPr id="65" name="000144"/>
                <wp:cNvGraphicFramePr/>
                <a:graphic xmlns:a="http://schemas.openxmlformats.org/drawingml/2006/main">
                  <a:graphicData uri="http://schemas.microsoft.com/office/word/2010/wordprocessingShape">
                    <wps:wsp>
                      <wps:cNvSpPr txBox="1"/>
                      <wps:spPr>
                        <a:xfrm>
                          <a:off x="0" y="0"/>
                          <a:ext cx="823595" cy="470535"/>
                        </a:xfrm>
                        <a:prstGeom prst="rect">
                          <a:avLst/>
                        </a:prstGeom>
                        <a:noFill/>
                        <a:ln>
                          <a:noFill/>
                        </a:ln>
                        <a:effectLst/>
                      </wps:spPr>
                      <wps:txbx>
                        <w:txbxContent>
                          <w:p w14:paraId="29A3F26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p w14:paraId="5D591F2B"/>
                        </w:txbxContent>
                      </wps:txbx>
                      <wps:bodyPr wrap="square" upright="1"/>
                    </wps:wsp>
                  </a:graphicData>
                </a:graphic>
              </wp:anchor>
            </w:drawing>
          </mc:Choice>
          <mc:Fallback>
            <w:pict>
              <v:shape id="000144" o:spid="_x0000_s1026" o:spt="202" type="#_x0000_t202" style="position:absolute;left:0pt;margin-left:-9pt;margin-top:22.25pt;height:37.05pt;width:64.85pt;z-index:251724800;mso-width-relative:page;mso-height-relative:page;" filled="f" stroked="f" coordsize="21600,21600" o:gfxdata="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fr64ftcAAAAK&#10;AQAADwAAAAAAAAABACAAAAAiAAAAZHJzL2Rvd25yZXYueG1sUEsBAhQAFAAAAAgAh07iQF3oJbqr&#10;AQAAZQMAAA4AAAAAAAAAAQAgAAAAJgEAAGRycy9lMm9Eb2MueG1sUEsFBgAAAAAGAAYAWQEAAEMF&#10;AAAAAA==&#10;">
                <v:fill on="f" focussize="0,0"/>
                <v:stroke on="f"/>
                <v:imagedata o:title=""/>
                <o:lock v:ext="edit" aspectratio="f"/>
                <v:textbox>
                  <w:txbxContent>
                    <w:p w14:paraId="29A3F26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p w14:paraId="5D591F2B"/>
                  </w:txbxContent>
                </v:textbox>
              </v:shape>
            </w:pict>
          </mc:Fallback>
        </mc:AlternateContent>
      </w: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2B7EE393">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如果发包人依据第92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款约定的情形解除合同，则合同工程和临时工程，应认为是发包人的财产。</w:t>
      </w:r>
    </w:p>
    <w:p w14:paraId="58407B97">
      <w:pPr>
        <w:spacing w:line="480" w:lineRule="auto"/>
        <w:rPr>
          <w:rFonts w:ascii="仿宋" w:hAnsi="仿宋" w:eastAsia="仿宋"/>
          <w:b/>
          <w:bCs/>
          <w:color w:val="auto"/>
          <w:highlight w:val="none"/>
          <w:lang w:eastAsia="zh-CN"/>
        </w:rPr>
      </w:pPr>
      <w:bookmarkStart w:id="372" w:name="_Toc6120"/>
      <w:r>
        <w:rPr>
          <w:rFonts w:ascii="仿宋" w:hAnsi="仿宋" w:eastAsia="仿宋" w:cs="仿宋"/>
          <w:b/>
          <w:bCs/>
          <w:color w:val="auto"/>
          <w:highlight w:val="none"/>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282575</wp:posOffset>
                </wp:positionV>
                <wp:extent cx="842645" cy="636905"/>
                <wp:effectExtent l="0" t="0" r="0" b="0"/>
                <wp:wrapNone/>
                <wp:docPr id="66" name="000145"/>
                <wp:cNvGraphicFramePr/>
                <a:graphic xmlns:a="http://schemas.openxmlformats.org/drawingml/2006/main">
                  <a:graphicData uri="http://schemas.microsoft.com/office/word/2010/wordprocessingShape">
                    <wps:wsp>
                      <wps:cNvSpPr txBox="1"/>
                      <wps:spPr>
                        <a:xfrm>
                          <a:off x="0" y="0"/>
                          <a:ext cx="842645" cy="636905"/>
                        </a:xfrm>
                        <a:prstGeom prst="rect">
                          <a:avLst/>
                        </a:prstGeom>
                        <a:noFill/>
                        <a:ln>
                          <a:noFill/>
                        </a:ln>
                        <a:effectLst/>
                      </wps:spPr>
                      <wps:txbx>
                        <w:txbxContent>
                          <w:p w14:paraId="5929B59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p w14:paraId="75D09352"/>
                        </w:txbxContent>
                      </wps:txbx>
                      <wps:bodyPr wrap="square" upright="1"/>
                    </wps:wsp>
                  </a:graphicData>
                </a:graphic>
              </wp:anchor>
            </w:drawing>
          </mc:Choice>
          <mc:Fallback>
            <w:pict>
              <v:shape id="000145" o:spid="_x0000_s1026" o:spt="202" type="#_x0000_t202" style="position:absolute;left:0pt;margin-left:-9pt;margin-top:22.25pt;height:50.15pt;width:66.35pt;z-index:251725824;mso-width-relative:page;mso-height-relative:page;" filled="f" stroked="f" coordsize="21600,21600" o:gfxdata="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06m5gNcAAAAK&#10;AQAADwAAAAAAAAABACAAAAAiAAAAZHJzL2Rvd25yZXYueG1sUEsBAhQAFAAAAAgAh07iQOVsiXyr&#10;AQAAZQMAAA4AAAAAAAAAAQAgAAAAJgEAAGRycy9lMm9Eb2MueG1sUEsFBgAAAAAGAAYAWQEAAEMF&#10;AAAAAA==&#10;">
                <v:fill on="f" focussize="0,0"/>
                <v:stroke on="f"/>
                <v:imagedata o:title=""/>
                <o:lock v:ext="edit" aspectratio="f"/>
                <v:textbox>
                  <w:txbxContent>
                    <w:p w14:paraId="5929B59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p w14:paraId="75D09352"/>
                  </w:txbxContent>
                </v:textbox>
              </v:shape>
            </w:pict>
          </mc:Fallback>
        </mc:AlternateContent>
      </w: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.3</w:t>
      </w:r>
      <w:bookmarkEnd w:id="37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88EEB7B">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如果承包人依据第92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6BD4CCA5">
      <w:pPr>
        <w:pStyle w:val="23"/>
        <w:spacing w:line="360" w:lineRule="auto"/>
        <w:rPr>
          <w:rFonts w:hint="eastAsia" w:ascii="仿宋" w:hAnsi="仿宋" w:eastAsia="仿宋"/>
          <w:b/>
          <w:bCs/>
          <w:color w:val="auto"/>
          <w:kern w:val="2"/>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6F9CCE45">
      <w:pPr>
        <w:spacing w:line="360" w:lineRule="auto"/>
        <w:jc w:val="center"/>
        <w:outlineLvl w:val="1"/>
        <w:rPr>
          <w:rFonts w:ascii="仿宋" w:hAnsi="仿宋" w:eastAsia="仿宋"/>
          <w:b/>
          <w:bCs/>
          <w:color w:val="auto"/>
          <w:highlight w:val="none"/>
          <w:lang w:eastAsia="zh-CN"/>
        </w:rPr>
      </w:pPr>
      <w:bookmarkStart w:id="373" w:name="_Toc8873"/>
      <w:bookmarkStart w:id="374" w:name="_Toc4028"/>
      <w:bookmarkStart w:id="375" w:name="_Toc23787"/>
      <w:bookmarkStart w:id="376" w:name="_Toc22999"/>
      <w:bookmarkStart w:id="377" w:name="_Toc27185"/>
      <w:bookmarkStart w:id="378" w:name="_Toc28588"/>
      <w:bookmarkStart w:id="379" w:name="_Toc22059"/>
      <w:bookmarkStart w:id="380" w:name="_Toc47694292"/>
      <w:r>
        <w:rPr>
          <w:rFonts w:hint="eastAsia" w:ascii="仿宋" w:hAnsi="仿宋" w:eastAsia="仿宋" w:cs="仿宋"/>
          <w:b/>
          <w:bCs/>
          <w:color w:val="auto"/>
          <w:highlight w:val="none"/>
          <w:lang w:eastAsia="zh-CN"/>
        </w:rPr>
        <w:t>二、合同主体</w:t>
      </w:r>
      <w:bookmarkEnd w:id="373"/>
      <w:bookmarkEnd w:id="374"/>
      <w:bookmarkEnd w:id="375"/>
      <w:bookmarkEnd w:id="376"/>
      <w:bookmarkEnd w:id="377"/>
      <w:bookmarkEnd w:id="378"/>
      <w:bookmarkEnd w:id="379"/>
      <w:bookmarkEnd w:id="380"/>
    </w:p>
    <w:p w14:paraId="57DAB4DB">
      <w:pPr>
        <w:pStyle w:val="4"/>
        <w:tabs>
          <w:tab w:val="left" w:pos="420"/>
        </w:tabs>
        <w:spacing w:before="120" w:after="120" w:line="360" w:lineRule="auto"/>
        <w:rPr>
          <w:rFonts w:ascii="仿宋" w:hAnsi="仿宋" w:eastAsia="仿宋"/>
          <w:color w:val="auto"/>
          <w:sz w:val="24"/>
          <w:szCs w:val="24"/>
          <w:highlight w:val="none"/>
          <w:lang w:eastAsia="zh-CN"/>
        </w:rPr>
      </w:pPr>
      <w:bookmarkStart w:id="381" w:name="_Toc27126"/>
      <w:bookmarkStart w:id="382" w:name="_Toc47694293"/>
      <w:bookmarkStart w:id="383" w:name="_Toc7591"/>
      <w:bookmarkStart w:id="384" w:name="_Toc25509"/>
      <w:bookmarkStart w:id="385" w:name="_Toc15988"/>
      <w:bookmarkStart w:id="386" w:name="_Toc3233"/>
      <w:bookmarkStart w:id="387" w:name="_Toc29805"/>
      <w:bookmarkStart w:id="388" w:name="_Toc10493"/>
      <w:r>
        <w:rPr>
          <w:rFonts w:hint="eastAsia" w:ascii="仿宋" w:hAnsi="仿宋" w:eastAsia="仿宋" w:cs="仿宋"/>
          <w:color w:val="auto"/>
          <w:sz w:val="24"/>
          <w:szCs w:val="24"/>
          <w:highlight w:val="none"/>
          <w:lang w:eastAsia="zh-CN"/>
        </w:rPr>
        <w:t>22</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发包人</w:t>
      </w:r>
      <w:bookmarkEnd w:id="381"/>
      <w:bookmarkEnd w:id="382"/>
      <w:bookmarkEnd w:id="383"/>
      <w:bookmarkEnd w:id="384"/>
      <w:bookmarkEnd w:id="385"/>
      <w:bookmarkEnd w:id="386"/>
      <w:bookmarkEnd w:id="387"/>
      <w:bookmarkEnd w:id="388"/>
    </w:p>
    <w:p w14:paraId="29266B5C">
      <w:pPr>
        <w:tabs>
          <w:tab w:val="left" w:pos="1620"/>
        </w:tabs>
        <w:ind w:left="-2" w:leftChars="-1" w:firstLine="1"/>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.1</w:t>
      </w:r>
    </w:p>
    <w:p w14:paraId="79E73563">
      <w:pPr>
        <w:widowControl w:val="0"/>
        <w:tabs>
          <w:tab w:val="left" w:pos="162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4445</wp:posOffset>
                </wp:positionV>
                <wp:extent cx="871855" cy="451485"/>
                <wp:effectExtent l="0" t="0" r="0" b="0"/>
                <wp:wrapNone/>
                <wp:docPr id="67" name="000146"/>
                <wp:cNvGraphicFramePr/>
                <a:graphic xmlns:a="http://schemas.openxmlformats.org/drawingml/2006/main">
                  <a:graphicData uri="http://schemas.microsoft.com/office/word/2010/wordprocessingShape">
                    <wps:wsp>
                      <wps:cNvSpPr txBox="1"/>
                      <wps:spPr>
                        <a:xfrm>
                          <a:off x="0" y="0"/>
                          <a:ext cx="871855" cy="451485"/>
                        </a:xfrm>
                        <a:prstGeom prst="rect">
                          <a:avLst/>
                        </a:prstGeom>
                        <a:noFill/>
                        <a:ln>
                          <a:noFill/>
                        </a:ln>
                        <a:effectLst/>
                      </wps:spPr>
                      <wps:txbx>
                        <w:txbxContent>
                          <w:p w14:paraId="4271C8C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p w14:paraId="14752A1B"/>
                        </w:txbxContent>
                      </wps:txbx>
                      <wps:bodyPr wrap="square" upright="1"/>
                    </wps:wsp>
                  </a:graphicData>
                </a:graphic>
              </wp:anchor>
            </w:drawing>
          </mc:Choice>
          <mc:Fallback>
            <w:pict>
              <v:shape id="000146" o:spid="_x0000_s1026" o:spt="202" type="#_x0000_t202" style="position:absolute;left:0pt;margin-left:-9pt;margin-top:0.35pt;height:35.55pt;width:68.65pt;z-index:251726848;mso-width-relative:page;mso-height-relative:page;" filled="f" stroked="f" coordsize="21600,21600" o:gfxdata="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nDUf/NQAAAAHAQAA&#10;DwAAAAAAAAABACAAAAAiAAAAZHJzL2Rvd25yZXYueG1sUEsBAhQAFAAAAAgAh07iQIeQlFGrAQAA&#10;ZQMAAA4AAAAAAAAAAQAgAAAAIwEAAGRycy9lMm9Eb2MueG1sUEsFBgAAAAAGAAYAWQEAAEAFAAAA&#10;AA==&#10;">
                <v:fill on="f" focussize="0,0"/>
                <v:stroke on="f"/>
                <v:imagedata o:title=""/>
                <o:lock v:ext="edit" aspectratio="f"/>
                <v:textbox>
                  <w:txbxContent>
                    <w:p w14:paraId="4271C8C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p w14:paraId="14752A1B"/>
                  </w:txbxContent>
                </v:textbox>
              </v:shape>
            </w:pict>
          </mc:Fallback>
        </mc:AlternateContent>
      </w:r>
      <w:r>
        <w:rPr>
          <w:rFonts w:hint="eastAsia" w:ascii="仿宋" w:hAnsi="仿宋" w:eastAsia="仿宋" w:cs="仿宋"/>
          <w:color w:val="auto"/>
          <w:highlight w:val="none"/>
          <w:lang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14:paraId="12AD2253">
      <w:pPr>
        <w:spacing w:line="360" w:lineRule="auto"/>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27FCBE5">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4445</wp:posOffset>
                </wp:positionV>
                <wp:extent cx="880110" cy="470535"/>
                <wp:effectExtent l="0" t="0" r="0" b="0"/>
                <wp:wrapNone/>
                <wp:docPr id="68" name="000147"/>
                <wp:cNvGraphicFramePr/>
                <a:graphic xmlns:a="http://schemas.openxmlformats.org/drawingml/2006/main">
                  <a:graphicData uri="http://schemas.microsoft.com/office/word/2010/wordprocessingShape">
                    <wps:wsp>
                      <wps:cNvSpPr txBox="1"/>
                      <wps:spPr>
                        <a:xfrm>
                          <a:off x="0" y="0"/>
                          <a:ext cx="880110" cy="470535"/>
                        </a:xfrm>
                        <a:prstGeom prst="rect">
                          <a:avLst/>
                        </a:prstGeom>
                        <a:noFill/>
                        <a:ln>
                          <a:noFill/>
                        </a:ln>
                        <a:effectLst/>
                      </wps:spPr>
                      <wps:txbx>
                        <w:txbxContent>
                          <w:p w14:paraId="674A0A3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p w14:paraId="319EA891"/>
                        </w:txbxContent>
                      </wps:txbx>
                      <wps:bodyPr wrap="square" upright="1"/>
                    </wps:wsp>
                  </a:graphicData>
                </a:graphic>
              </wp:anchor>
            </w:drawing>
          </mc:Choice>
          <mc:Fallback>
            <w:pict>
              <v:shape id="000147" o:spid="_x0000_s1026" o:spt="202" type="#_x0000_t202" style="position:absolute;left:0pt;margin-left:-9pt;margin-top:0.35pt;height:37.05pt;width:69.3pt;z-index:251727872;mso-width-relative:page;mso-height-relative:page;" filled="f" stroked="f" coordsize="21600,21600" o:gfxdata="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B7rSnHUAAAABwEAAA8A&#10;AAAAAAAAAQAgAAAAIgAAAGRycy9kb3ducmV2LnhtbFBLAQIUABQAAAAIAIdO4kB5HRvAqQEAAGUD&#10;AAAOAAAAAAAAAAEAIAAAACMBAABkcnMvZTJvRG9jLnhtbFBLBQYAAAAABgAGAFkBAAA+BQAAAAA=&#10;">
                <v:fill on="f" focussize="0,0"/>
                <v:stroke on="f"/>
                <v:imagedata o:title=""/>
                <o:lock v:ext="edit" aspectratio="f"/>
                <v:textbox>
                  <w:txbxContent>
                    <w:p w14:paraId="674A0A3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p w14:paraId="319EA891"/>
                  </w:txbxContent>
                </v:textbox>
              </v:shape>
            </w:pict>
          </mc:Fallback>
        </mc:AlternateContent>
      </w:r>
      <w:r>
        <w:rPr>
          <w:rFonts w:hint="eastAsia" w:ascii="仿宋" w:hAnsi="仿宋" w:eastAsia="仿宋" w:cs="仿宋"/>
          <w:color w:val="auto"/>
          <w:highlight w:val="none"/>
          <w:lang w:eastAsia="zh-CN"/>
        </w:rPr>
        <w:t>发包人应按照合同约定完成下列工作：</w:t>
      </w:r>
    </w:p>
    <w:p w14:paraId="687AE961">
      <w:pPr>
        <w:widowControl w:val="0"/>
        <w:numPr>
          <w:ilvl w:val="0"/>
          <w:numId w:val="6"/>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发包人应按第6条约定向承包人提供《发包人要求》和项目基础资料，并为承包人收集其他有关资料提供必要的协助；</w:t>
      </w:r>
    </w:p>
    <w:p w14:paraId="76DFC1E2">
      <w:pPr>
        <w:widowControl w:val="0"/>
        <w:numPr>
          <w:ilvl w:val="0"/>
          <w:numId w:val="6"/>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及时接收承包人提交的勘察报告、设计文件、建筑信息模型（BIM）等成果资料和合理化建议；及时组织对承包人提交的勘察报告、设计文件、建筑信息模型（BIM）、合理化建议等进行审查，并反馈审查意见；需要政府、行业主管部门或施工图审查机构审查的设计文件，及时送审；</w:t>
      </w:r>
    </w:p>
    <w:p w14:paraId="6680CDE5">
      <w:pPr>
        <w:widowControl w:val="0"/>
        <w:numPr>
          <w:ilvl w:val="0"/>
          <w:numId w:val="6"/>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按照专用条款约定的时间向承包人提供一式两份约定的标准与规范（国家、省及地方颁布的标准规范除外）；</w:t>
      </w:r>
    </w:p>
    <w:p w14:paraId="1C3E9EBA">
      <w:pPr>
        <w:widowControl w:val="0"/>
        <w:numPr>
          <w:ilvl w:val="0"/>
          <w:numId w:val="6"/>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办理土地征用、拆迁等工作，使施工场地（含勘察施工场地）具备施工条件，并在开工后继续负责解决上述工作遗留的问题；</w:t>
      </w:r>
    </w:p>
    <w:p w14:paraId="0BC83ABA">
      <w:pPr>
        <w:widowControl w:val="0"/>
        <w:numPr>
          <w:ilvl w:val="0"/>
          <w:numId w:val="6"/>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将施工所需水、电、通讯线路从施工场地（含勘察施工场地）外部接驳至专用条款约定的地点，保证施工期间的需要；</w:t>
      </w:r>
    </w:p>
    <w:p w14:paraId="631B01DF">
      <w:pPr>
        <w:widowControl w:val="0"/>
        <w:numPr>
          <w:ilvl w:val="0"/>
          <w:numId w:val="6"/>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开通施工场地与城乡公共道路间的通道，满足第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6条交通运输的需要；</w:t>
      </w:r>
    </w:p>
    <w:p w14:paraId="04545DA7">
      <w:pPr>
        <w:widowControl w:val="0"/>
        <w:numPr>
          <w:ilvl w:val="0"/>
          <w:numId w:val="6"/>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办理施工许可及其他所需证件、批准文件和办理临时用地、停水、停电、中断道路交通、爆破作业等的申请批准手续（承包人自身施工资质的证件除外）；</w:t>
      </w:r>
    </w:p>
    <w:p w14:paraId="439013A3">
      <w:pPr>
        <w:widowControl w:val="0"/>
        <w:numPr>
          <w:ilvl w:val="0"/>
          <w:numId w:val="6"/>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确定水准点与坐标控制点，组织现场交验并以书面形式移交给承包人；</w:t>
      </w:r>
    </w:p>
    <w:p w14:paraId="38A25FCD">
      <w:pPr>
        <w:widowControl w:val="0"/>
        <w:numPr>
          <w:ilvl w:val="0"/>
          <w:numId w:val="6"/>
        </w:numPr>
        <w:tabs>
          <w:tab w:val="clear" w:pos="1110"/>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协调处理施工场地周围地形关系问题和做好邻近建筑物、构筑物（包括文物保护建筑）、古树名木等的保护工作；</w:t>
      </w:r>
    </w:p>
    <w:p w14:paraId="28C32178">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10）及时接收已完工程，并按照合同约定及时支付工程款及其他各种款项。发包人可将其中部分工作委托给承包人办理，具体由合同双方当事人在专用条款中约定。除合同价格已包括外，由发包人承担所需费用，并向承包人支付合理利润。</w:t>
      </w:r>
    </w:p>
    <w:p w14:paraId="67EB8083">
      <w:pPr>
        <w:spacing w:line="360" w:lineRule="auto"/>
        <w:rPr>
          <w:rFonts w:ascii="仿宋" w:hAnsi="仿宋" w:eastAsia="仿宋"/>
          <w:color w:val="auto"/>
          <w:highlight w:val="none"/>
          <w:lang w:eastAsia="zh-CN"/>
        </w:rPr>
      </w:pPr>
      <w:bookmarkStart w:id="389" w:name="_Toc2811"/>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.3</w:t>
      </w:r>
      <w:bookmarkEnd w:id="389"/>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2E5EFCF5">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0</wp:posOffset>
                </wp:positionV>
                <wp:extent cx="784860" cy="473710"/>
                <wp:effectExtent l="0" t="0" r="0" b="0"/>
                <wp:wrapNone/>
                <wp:docPr id="69" name="000148"/>
                <wp:cNvGraphicFramePr/>
                <a:graphic xmlns:a="http://schemas.openxmlformats.org/drawingml/2006/main">
                  <a:graphicData uri="http://schemas.microsoft.com/office/word/2010/wordprocessingShape">
                    <wps:wsp>
                      <wps:cNvSpPr txBox="1"/>
                      <wps:spPr>
                        <a:xfrm>
                          <a:off x="0" y="0"/>
                          <a:ext cx="784860" cy="473710"/>
                        </a:xfrm>
                        <a:prstGeom prst="rect">
                          <a:avLst/>
                        </a:prstGeom>
                        <a:noFill/>
                        <a:ln>
                          <a:noFill/>
                        </a:ln>
                        <a:effectLst/>
                      </wps:spPr>
                      <wps:txbx>
                        <w:txbxContent>
                          <w:p w14:paraId="579EFFC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p w14:paraId="52ED3A22"/>
                        </w:txbxContent>
                      </wps:txbx>
                      <wps:bodyPr wrap="square" upright="1"/>
                    </wps:wsp>
                  </a:graphicData>
                </a:graphic>
              </wp:anchor>
            </w:drawing>
          </mc:Choice>
          <mc:Fallback>
            <w:pict>
              <v:shape id="000148" o:spid="_x0000_s1026" o:spt="202" type="#_x0000_t202" style="position:absolute;left:0pt;margin-left:-9pt;margin-top:0pt;height:37.3pt;width:61.8pt;z-index:251728896;mso-width-relative:page;mso-height-relative:page;" filled="f" stroked="f" coordsize="21600,21600" o:gfxdata="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AZep41QAAAAcB&#10;AAAPAAAAAAAAAAEAIAAAACIAAABkcnMvZG93bnJldi54bWxQSwECFAAUAAAACACHTuJAb3ibuqwB&#10;AABlAwAADgAAAAAAAAABACAAAAAkAQAAZHJzL2Uyb0RvYy54bWxQSwUGAAAAAAYABgBZAQAAQgUA&#10;AAAA&#10;">
                <v:fill on="f" focussize="0,0"/>
                <v:stroke on="f"/>
                <v:imagedata o:title=""/>
                <o:lock v:ext="edit" aspectratio="f"/>
                <v:textbox>
                  <w:txbxContent>
                    <w:p w14:paraId="579EFFC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p w14:paraId="52ED3A22"/>
                  </w:txbxContent>
                </v:textbox>
              </v:shape>
            </w:pict>
          </mc:Fallback>
        </mc:AlternateContent>
      </w:r>
      <w:r>
        <w:rPr>
          <w:rFonts w:hint="eastAsia" w:ascii="仿宋" w:hAnsi="仿宋" w:eastAsia="仿宋" w:cs="仿宋"/>
          <w:color w:val="auto"/>
          <w:highlight w:val="none"/>
          <w:lang w:eastAsia="zh-CN"/>
        </w:rPr>
        <w:t>发包人应按照专用条款约定的时间提供施工场地（含勘察施工场地），并在确保承包人按照计划进度顺利开工的时间内给予承包人进入和使用施工场地的权利。</w:t>
      </w:r>
    </w:p>
    <w:p w14:paraId="44285772">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发包人保留其工作人员和相关政府执法人员进入和使用施工场地的权利。</w:t>
      </w:r>
    </w:p>
    <w:p w14:paraId="1DFB5241">
      <w:pPr>
        <w:spacing w:line="360" w:lineRule="auto"/>
        <w:rPr>
          <w:rFonts w:ascii="仿宋" w:hAnsi="仿宋" w:eastAsia="仿宋"/>
          <w:b/>
          <w:bCs/>
          <w:color w:val="auto"/>
          <w:highlight w:val="none"/>
          <w:lang w:eastAsia="zh-CN"/>
        </w:rPr>
      </w:pPr>
      <w:bookmarkStart w:id="390" w:name="_Toc23044"/>
      <w:r>
        <w:rPr>
          <w:color w:val="auto"/>
          <w:highlight w:val="none"/>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220980</wp:posOffset>
                </wp:positionV>
                <wp:extent cx="794385" cy="252730"/>
                <wp:effectExtent l="0" t="0" r="0" b="0"/>
                <wp:wrapNone/>
                <wp:docPr id="70" name="000149"/>
                <wp:cNvGraphicFramePr/>
                <a:graphic xmlns:a="http://schemas.openxmlformats.org/drawingml/2006/main">
                  <a:graphicData uri="http://schemas.microsoft.com/office/word/2010/wordprocessingShape">
                    <wps:wsp>
                      <wps:cNvSpPr txBox="1"/>
                      <wps:spPr>
                        <a:xfrm>
                          <a:off x="0" y="0"/>
                          <a:ext cx="794385" cy="252730"/>
                        </a:xfrm>
                        <a:prstGeom prst="rect">
                          <a:avLst/>
                        </a:prstGeom>
                        <a:noFill/>
                        <a:ln>
                          <a:noFill/>
                        </a:ln>
                        <a:effectLst/>
                      </wps:spPr>
                      <wps:txbx>
                        <w:txbxContent>
                          <w:p w14:paraId="42A49B4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p w14:paraId="266072E1"/>
                        </w:txbxContent>
                      </wps:txbx>
                      <wps:bodyPr wrap="square" upright="1"/>
                    </wps:wsp>
                  </a:graphicData>
                </a:graphic>
              </wp:anchor>
            </w:drawing>
          </mc:Choice>
          <mc:Fallback>
            <w:pict>
              <v:shape id="000149" o:spid="_x0000_s1026" o:spt="202" type="#_x0000_t202" style="position:absolute;left:0pt;margin-left:-9pt;margin-top:17.4pt;height:19.9pt;width:62.55pt;z-index:251729920;mso-width-relative:page;mso-height-relative:page;" filled="f" stroked="f" coordsize="21600,21600" o:gfxdata="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0D+7fXAAAA&#10;CQEAAA8AAAAAAAAAAQAgAAAAIgAAAGRycy9kb3ducmV2LnhtbFBLAQIUABQAAAAIAIdO4kAvsiPu&#10;rAEAAGUDAAAOAAAAAAAAAAEAIAAAACYBAABkcnMvZTJvRG9jLnhtbFBLBQYAAAAABgAGAFkBAABE&#10;BQAAAAA=&#10;">
                <v:fill on="f" focussize="0,0"/>
                <v:stroke on="f"/>
                <v:imagedata o:title=""/>
                <o:lock v:ext="edit" aspectratio="f"/>
                <v:textbox>
                  <w:txbxContent>
                    <w:p w14:paraId="42A49B4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p w14:paraId="266072E1"/>
                  </w:txbxContent>
                </v:textbox>
              </v:shape>
            </w:pict>
          </mc:Fallback>
        </mc:AlternateContent>
      </w: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.4</w:t>
      </w:r>
      <w:bookmarkEnd w:id="39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0162DF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发包人应按照合同约定的期限和方式向承包人支付工程款及其他应支付的款项。</w:t>
      </w:r>
    </w:p>
    <w:p w14:paraId="124216AB">
      <w:pPr>
        <w:spacing w:line="360" w:lineRule="auto"/>
        <w:rPr>
          <w:rFonts w:ascii="仿宋" w:hAnsi="仿宋" w:eastAsia="仿宋"/>
          <w:b/>
          <w:bCs/>
          <w:color w:val="auto"/>
          <w:highlight w:val="none"/>
          <w:lang w:eastAsia="zh-CN"/>
        </w:rPr>
      </w:pPr>
      <w:bookmarkStart w:id="391" w:name="_Toc13889"/>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.5</w:t>
      </w:r>
      <w:bookmarkEnd w:id="39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C919633">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15240</wp:posOffset>
                </wp:positionV>
                <wp:extent cx="794385" cy="507365"/>
                <wp:effectExtent l="0" t="0" r="0" b="0"/>
                <wp:wrapNone/>
                <wp:docPr id="71" name="00014a"/>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a:noFill/>
                        </a:ln>
                        <a:effectLst/>
                      </wps:spPr>
                      <wps:txbx>
                        <w:txbxContent>
                          <w:p w14:paraId="3BEA559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p w14:paraId="5BCA919E"/>
                        </w:txbxContent>
                      </wps:txbx>
                      <wps:bodyPr wrap="square" upright="1"/>
                    </wps:wsp>
                  </a:graphicData>
                </a:graphic>
              </wp:anchor>
            </w:drawing>
          </mc:Choice>
          <mc:Fallback>
            <w:pict>
              <v:shape id="00014a" o:spid="_x0000_s1026" o:spt="202" type="#_x0000_t202" style="position:absolute;left:0pt;margin-left:-9pt;margin-top:1.2pt;height:39.95pt;width:62.55pt;z-index:251730944;mso-width-relative:page;mso-height-relative:page;" filled="f" stroked="f" coordsize="21600,21600" o:gfxdata="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n8VPZtYAAAAI&#10;AQAADwAAAAAAAAABACAAAAAiAAAAZHJzL2Rvd25yZXYueG1sUEsBAhQAFAAAAAgAh07iQJmsi12s&#10;AQAAZQMAAA4AAAAAAAAAAQAgAAAAJQEAAGRycy9lMm9Eb2MueG1sUEsFBgAAAAAGAAYAWQEAAEMF&#10;AAAAAA==&#10;">
                <v:fill on="f" focussize="0,0"/>
                <v:stroke on="f"/>
                <v:imagedata o:title=""/>
                <o:lock v:ext="edit" aspectratio="f"/>
                <v:textbox>
                  <w:txbxContent>
                    <w:p w14:paraId="3BEA559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p w14:paraId="5BCA919E"/>
                  </w:txbxContent>
                </v:textbox>
              </v:shape>
            </w:pict>
          </mc:Fallback>
        </mc:AlternateContent>
      </w:r>
      <w:r>
        <w:rPr>
          <w:rFonts w:hint="eastAsia" w:ascii="仿宋" w:hAnsi="仿宋" w:eastAsia="仿宋" w:cs="仿宋"/>
          <w:color w:val="auto"/>
          <w:highlight w:val="none"/>
          <w:lang w:eastAsia="zh-CN"/>
        </w:rPr>
        <w:t>发包人应按照第65条约定组织承包人、设计顾问人、监理人和造价咨询人等进行竣工验收。</w:t>
      </w:r>
    </w:p>
    <w:p w14:paraId="3C088359">
      <w:pPr>
        <w:spacing w:line="360" w:lineRule="auto"/>
        <w:rPr>
          <w:rFonts w:ascii="仿宋" w:hAnsi="仿宋" w:eastAsia="仿宋"/>
          <w:b/>
          <w:bCs/>
          <w:color w:val="auto"/>
          <w:highlight w:val="none"/>
          <w:lang w:eastAsia="zh-CN"/>
        </w:rPr>
      </w:pPr>
      <w:bookmarkStart w:id="392" w:name="_Toc22320"/>
      <w:r>
        <w:rPr>
          <w:color w:val="auto"/>
          <w:highlight w:val="none"/>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273050</wp:posOffset>
                </wp:positionV>
                <wp:extent cx="803275" cy="681990"/>
                <wp:effectExtent l="0" t="0" r="0" b="0"/>
                <wp:wrapNone/>
                <wp:docPr id="72" name="00014b"/>
                <wp:cNvGraphicFramePr/>
                <a:graphic xmlns:a="http://schemas.openxmlformats.org/drawingml/2006/main">
                  <a:graphicData uri="http://schemas.microsoft.com/office/word/2010/wordprocessingShape">
                    <wps:wsp>
                      <wps:cNvSpPr txBox="1"/>
                      <wps:spPr>
                        <a:xfrm>
                          <a:off x="0" y="0"/>
                          <a:ext cx="803275" cy="681990"/>
                        </a:xfrm>
                        <a:prstGeom prst="rect">
                          <a:avLst/>
                        </a:prstGeom>
                        <a:noFill/>
                        <a:ln>
                          <a:noFill/>
                        </a:ln>
                        <a:effectLst/>
                      </wps:spPr>
                      <wps:txbx>
                        <w:txbxContent>
                          <w:p w14:paraId="25CF869C">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p w14:paraId="44035D99">
                            <w:pPr>
                              <w:rPr>
                                <w:lang w:eastAsia="zh-CN"/>
                              </w:rPr>
                            </w:pPr>
                          </w:p>
                        </w:txbxContent>
                      </wps:txbx>
                      <wps:bodyPr wrap="square" upright="1"/>
                    </wps:wsp>
                  </a:graphicData>
                </a:graphic>
              </wp:anchor>
            </w:drawing>
          </mc:Choice>
          <mc:Fallback>
            <w:pict>
              <v:shape id="00014b" o:spid="_x0000_s1026" o:spt="202" type="#_x0000_t202" style="position:absolute;left:0pt;margin-left:-9pt;margin-top:21.5pt;height:53.7pt;width:63.25pt;z-index:251731968;mso-width-relative:page;mso-height-relative:page;" filled="f" stroked="f" coordsize="21600,21600" o:gfxdata="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0wWP1wAA&#10;AAoBAAAPAAAAAAAAAAEAIAAAACIAAABkcnMvZG93bnJldi54bWxQSwECFAAUAAAACACHTuJA7/A7&#10;p60BAABlAwAADgAAAAAAAAABACAAAAAmAQAAZHJzL2Uyb0RvYy54bWxQSwUGAAAAAAYABgBZAQAA&#10;RQUAAAAA&#10;">
                <v:fill on="f" focussize="0,0"/>
                <v:stroke on="f"/>
                <v:imagedata o:title=""/>
                <o:lock v:ext="edit" aspectratio="f"/>
                <v:textbox>
                  <w:txbxContent>
                    <w:p w14:paraId="25CF869C">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p w14:paraId="44035D99">
                      <w:pPr>
                        <w:rPr>
                          <w:lang w:eastAsia="zh-CN"/>
                        </w:rPr>
                      </w:pPr>
                    </w:p>
                  </w:txbxContent>
                </v:textbox>
              </v:shape>
            </w:pict>
          </mc:Fallback>
        </mc:AlternateContent>
      </w: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.6</w:t>
      </w:r>
      <w:bookmarkEnd w:id="39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C9BA458">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发包人供应工程材料和工程设备的，发包人应按照第55条约定向承包人提供工程材料和工程设备。</w:t>
      </w:r>
    </w:p>
    <w:p w14:paraId="5C23ECDC">
      <w:pPr>
        <w:spacing w:line="360" w:lineRule="auto"/>
        <w:rPr>
          <w:rFonts w:ascii="仿宋" w:hAnsi="仿宋" w:eastAsia="仿宋"/>
          <w:b/>
          <w:bCs/>
          <w:color w:val="auto"/>
          <w:highlight w:val="none"/>
          <w:lang w:eastAsia="zh-CN"/>
        </w:rPr>
      </w:pPr>
      <w:bookmarkStart w:id="393" w:name="_Toc24160"/>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.7</w:t>
      </w:r>
      <w:bookmarkEnd w:id="39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066AFBC">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0</wp:posOffset>
                </wp:positionV>
                <wp:extent cx="842645" cy="425450"/>
                <wp:effectExtent l="0" t="0" r="0" b="0"/>
                <wp:wrapNone/>
                <wp:docPr id="73" name="00014c"/>
                <wp:cNvGraphicFramePr/>
                <a:graphic xmlns:a="http://schemas.openxmlformats.org/drawingml/2006/main">
                  <a:graphicData uri="http://schemas.microsoft.com/office/word/2010/wordprocessingShape">
                    <wps:wsp>
                      <wps:cNvSpPr txBox="1"/>
                      <wps:spPr>
                        <a:xfrm>
                          <a:off x="0" y="0"/>
                          <a:ext cx="842645" cy="425450"/>
                        </a:xfrm>
                        <a:prstGeom prst="rect">
                          <a:avLst/>
                        </a:prstGeom>
                        <a:noFill/>
                        <a:ln>
                          <a:noFill/>
                        </a:ln>
                        <a:effectLst/>
                      </wps:spPr>
                      <wps:txbx>
                        <w:txbxContent>
                          <w:p w14:paraId="5E014EBB">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p w14:paraId="7114BCE5"/>
                        </w:txbxContent>
                      </wps:txbx>
                      <wps:bodyPr wrap="square" upright="1"/>
                    </wps:wsp>
                  </a:graphicData>
                </a:graphic>
              </wp:anchor>
            </w:drawing>
          </mc:Choice>
          <mc:Fallback>
            <w:pict>
              <v:shape id="00014c" o:spid="_x0000_s1026" o:spt="202" type="#_x0000_t202" style="position:absolute;left:0pt;margin-left:-9pt;margin-top:0pt;height:33.5pt;width:66.35pt;z-index:251732992;mso-width-relative:page;mso-height-relative:page;" filled="f" stroked="f" coordsize="21600,21600" o:gfxdata="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5972dUAAAAH&#10;AQAADwAAAAAAAAABACAAAAAiAAAAZHJzL2Rvd25yZXYueG1sUEsBAhQAFAAAAAgAh07iQKYSTtWt&#10;AQAAZQMAAA4AAAAAAAAAAQAgAAAAJAEAAGRycy9lMm9Eb2MueG1sUEsFBgAAAAAGAAYAWQEAAEMF&#10;AAAAAA==&#10;">
                <v:fill on="f" focussize="0,0"/>
                <v:stroke on="f"/>
                <v:imagedata o:title=""/>
                <o:lock v:ext="edit" aspectratio="f"/>
                <v:textbox>
                  <w:txbxContent>
                    <w:p w14:paraId="5E014EBB">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p w14:paraId="7114BCE5"/>
                  </w:txbxContent>
                </v:textbox>
              </v:shape>
            </w:pict>
          </mc:Fallback>
        </mc:AlternateContent>
      </w:r>
      <w:r>
        <w:rPr>
          <w:rFonts w:hint="eastAsia" w:ascii="仿宋" w:hAnsi="仿宋" w:eastAsia="仿宋" w:cs="仿宋"/>
          <w:color w:val="auto"/>
          <w:highlight w:val="none"/>
          <w:lang w:eastAsia="zh-CN"/>
        </w:rPr>
        <w:t>发包人未能正确完成本合同约定的全部义务，导致费用的增加和（或）延误的工期，由发包人承担；给承包人造成损失的，发包人应予赔偿。</w:t>
      </w:r>
    </w:p>
    <w:p w14:paraId="5098371A">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696E3938">
      <w:pPr>
        <w:pStyle w:val="4"/>
        <w:tabs>
          <w:tab w:val="left" w:pos="420"/>
        </w:tabs>
        <w:spacing w:before="120" w:after="120" w:line="360" w:lineRule="auto"/>
        <w:rPr>
          <w:rFonts w:ascii="仿宋" w:hAnsi="仿宋" w:eastAsia="仿宋"/>
          <w:color w:val="auto"/>
          <w:sz w:val="24"/>
          <w:szCs w:val="24"/>
          <w:highlight w:val="none"/>
          <w:lang w:eastAsia="zh-CN"/>
        </w:rPr>
      </w:pPr>
      <w:bookmarkStart w:id="394" w:name="_Toc22139"/>
      <w:bookmarkStart w:id="395" w:name="_Toc8876"/>
      <w:bookmarkStart w:id="396" w:name="_Toc4277"/>
      <w:bookmarkStart w:id="397" w:name="_Toc11285"/>
      <w:bookmarkStart w:id="398" w:name="_Toc442"/>
      <w:bookmarkStart w:id="399" w:name="_Toc47694294"/>
      <w:bookmarkStart w:id="400" w:name="_Toc27735"/>
      <w:bookmarkStart w:id="401" w:name="_Toc31888"/>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3</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承包人</w:t>
      </w:r>
      <w:bookmarkEnd w:id="394"/>
      <w:bookmarkEnd w:id="395"/>
      <w:bookmarkEnd w:id="396"/>
      <w:bookmarkEnd w:id="397"/>
      <w:bookmarkEnd w:id="398"/>
      <w:bookmarkEnd w:id="399"/>
      <w:bookmarkEnd w:id="400"/>
      <w:bookmarkEnd w:id="401"/>
    </w:p>
    <w:p w14:paraId="4764787B">
      <w:pPr>
        <w:tabs>
          <w:tab w:val="left" w:pos="1620"/>
        </w:tabs>
        <w:spacing w:line="360" w:lineRule="auto"/>
        <w:rPr>
          <w:rFonts w:ascii="仿宋" w:hAnsi="仿宋" w:eastAsia="仿宋"/>
          <w:b/>
          <w:bCs/>
          <w:color w:val="auto"/>
          <w:highlight w:val="none"/>
          <w:lang w:eastAsia="zh-CN"/>
        </w:rPr>
      </w:pPr>
      <w:bookmarkStart w:id="402" w:name="_Toc150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.1</w:t>
      </w:r>
      <w:bookmarkEnd w:id="402"/>
    </w:p>
    <w:p w14:paraId="3CA9E28E">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4445</wp:posOffset>
                </wp:positionV>
                <wp:extent cx="718820" cy="356235"/>
                <wp:effectExtent l="0" t="0" r="0" b="0"/>
                <wp:wrapNone/>
                <wp:docPr id="74" name="00014d"/>
                <wp:cNvGraphicFramePr/>
                <a:graphic xmlns:a="http://schemas.openxmlformats.org/drawingml/2006/main">
                  <a:graphicData uri="http://schemas.microsoft.com/office/word/2010/wordprocessingShape">
                    <wps:wsp>
                      <wps:cNvSpPr txBox="1"/>
                      <wps:spPr>
                        <a:xfrm>
                          <a:off x="0" y="0"/>
                          <a:ext cx="718820" cy="356235"/>
                        </a:xfrm>
                        <a:prstGeom prst="rect">
                          <a:avLst/>
                        </a:prstGeom>
                        <a:noFill/>
                        <a:ln>
                          <a:noFill/>
                        </a:ln>
                        <a:effectLst/>
                      </wps:spPr>
                      <wps:txbx>
                        <w:txbxContent>
                          <w:p w14:paraId="04AB7A8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p w14:paraId="048353C1"/>
                        </w:txbxContent>
                      </wps:txbx>
                      <wps:bodyPr wrap="square" upright="1"/>
                    </wps:wsp>
                  </a:graphicData>
                </a:graphic>
              </wp:anchor>
            </w:drawing>
          </mc:Choice>
          <mc:Fallback>
            <w:pict>
              <v:shape id="00014d" o:spid="_x0000_s1026" o:spt="202" type="#_x0000_t202" style="position:absolute;left:0pt;margin-left:-9pt;margin-top:0.35pt;height:28.05pt;width:56.6pt;z-index:251734016;mso-width-relative:page;mso-height-relative:page;" filled="f" stroked="f" coordsize="21600,21600" o:gfxdata="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bh4PNUAAAAGAQAA&#10;DwAAAAAAAAABACAAAAAiAAAAZHJzL2Rvd25yZXYueG1sUEsBAhQAFAAAAAgAh07iQPTXXaGqAQAA&#10;ZQMAAA4AAAAAAAAAAQAgAAAAJAEAAGRycy9lMm9Eb2MueG1sUEsFBgAAAAAGAAYAWQEAAEAFAAAA&#10;AA==&#10;">
                <v:fill on="f" focussize="0,0"/>
                <v:stroke on="f"/>
                <v:imagedata o:title=""/>
                <o:lock v:ext="edit" aspectratio="f"/>
                <v:textbox>
                  <w:txbxContent>
                    <w:p w14:paraId="04AB7A8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p w14:paraId="048353C1"/>
                  </w:txbxContent>
                </v:textbox>
              </v:shape>
            </w:pict>
          </mc:Fallback>
        </mc:AlternateContent>
      </w:r>
      <w:r>
        <w:rPr>
          <w:rFonts w:hint="eastAsia" w:ascii="仿宋" w:hAnsi="仿宋" w:eastAsia="仿宋" w:cs="仿宋"/>
          <w:color w:val="auto"/>
          <w:highlight w:val="none"/>
          <w:lang w:eastAsia="zh-CN"/>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14:paraId="617AA488">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承包人在本项目中存在下列行为的，将被拒绝参与发包人后续工程投标。拒绝投标时限由发包人（招标人）视严重程度确定，并在专用条款中约定。</w:t>
      </w:r>
    </w:p>
    <w:p w14:paraId="28F0E1F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（1）将中标工程转包或者违法分包的；</w:t>
      </w:r>
    </w:p>
    <w:p w14:paraId="522B162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（2）在中标工程中不执行质量、安全生产相关规定的，造成质量或安全事故的；</w:t>
      </w:r>
    </w:p>
    <w:p w14:paraId="1AEE0FB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（3）存在围标或串标情形的；</w:t>
      </w:r>
    </w:p>
    <w:p w14:paraId="2CE0A353">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（4）存在弄虚作假骗取中标情形的；</w:t>
      </w:r>
    </w:p>
    <w:p w14:paraId="4361A742">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（5）存在因过错行为被生效法律文书认定承担违约或侵权责任的。</w:t>
      </w:r>
    </w:p>
    <w:p w14:paraId="511D1384">
      <w:pPr>
        <w:spacing w:line="360" w:lineRule="auto"/>
        <w:rPr>
          <w:rFonts w:ascii="仿宋" w:hAnsi="仿宋" w:eastAsia="仿宋"/>
          <w:color w:val="auto"/>
          <w:highlight w:val="none"/>
          <w:lang w:eastAsia="zh-CN"/>
        </w:rPr>
      </w:pPr>
      <w:bookmarkStart w:id="403" w:name="_Toc2011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.2</w:t>
      </w:r>
      <w:bookmarkEnd w:id="403"/>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1E639553">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0</wp:posOffset>
                </wp:positionV>
                <wp:extent cx="795020" cy="424815"/>
                <wp:effectExtent l="0" t="0" r="0" b="0"/>
                <wp:wrapNone/>
                <wp:docPr id="75" name="00014e"/>
                <wp:cNvGraphicFramePr/>
                <a:graphic xmlns:a="http://schemas.openxmlformats.org/drawingml/2006/main">
                  <a:graphicData uri="http://schemas.microsoft.com/office/word/2010/wordprocessingShape">
                    <wps:wsp>
                      <wps:cNvSpPr txBox="1"/>
                      <wps:spPr>
                        <a:xfrm>
                          <a:off x="0" y="0"/>
                          <a:ext cx="795020" cy="424815"/>
                        </a:xfrm>
                        <a:prstGeom prst="rect">
                          <a:avLst/>
                        </a:prstGeom>
                        <a:noFill/>
                        <a:ln>
                          <a:noFill/>
                        </a:ln>
                        <a:effectLst/>
                      </wps:spPr>
                      <wps:txbx>
                        <w:txbxContent>
                          <w:p w14:paraId="5ECC7EA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p w14:paraId="5E5BC00B"/>
                        </w:txbxContent>
                      </wps:txbx>
                      <wps:bodyPr wrap="square" upright="1"/>
                    </wps:wsp>
                  </a:graphicData>
                </a:graphic>
              </wp:anchor>
            </w:drawing>
          </mc:Choice>
          <mc:Fallback>
            <w:pict>
              <v:shape id="00014e" o:spid="_x0000_s1026" o:spt="202" type="#_x0000_t202" style="position:absolute;left:0pt;margin-left:-9pt;margin-top:0pt;height:33.45pt;width:62.6pt;z-index:251735040;mso-width-relative:page;mso-height-relative:page;" filled="f" stroked="f" coordsize="21600,21600" o:gfxdata="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Y5dLDNUAAAAHAQAA&#10;DwAAAAAAAAABACAAAAAiAAAAZHJzL2Rvd25yZXYueG1sUEsBAhQAFAAAAAgAh07iQNLiYeSqAQAA&#10;ZQMAAA4AAAAAAAAAAQAgAAAAJAEAAGRycy9lMm9Eb2MueG1sUEsFBgAAAAAGAAYAWQEAAEAFAAAA&#10;AA==&#10;">
                <v:fill on="f" focussize="0,0"/>
                <v:stroke on="f"/>
                <v:imagedata o:title=""/>
                <o:lock v:ext="edit" aspectratio="f"/>
                <v:textbox>
                  <w:txbxContent>
                    <w:p w14:paraId="5ECC7EA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p w14:paraId="5E5BC00B"/>
                  </w:txbxContent>
                </v:textbox>
              </v:shape>
            </w:pict>
          </mc:Fallback>
        </mc:AlternateContent>
      </w:r>
      <w:r>
        <w:rPr>
          <w:rFonts w:hint="eastAsia" w:ascii="仿宋" w:hAnsi="仿宋" w:eastAsia="仿宋" w:cs="仿宋"/>
          <w:color w:val="auto"/>
          <w:highlight w:val="none"/>
          <w:lang w:eastAsia="zh-CN"/>
        </w:rPr>
        <w:t>承包人应按照合同约定完成下列工作，包括但不限于：</w:t>
      </w:r>
    </w:p>
    <w:p w14:paraId="62373845">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（1）办理法律规定由承包人办理的许可和批准，将办理结果书面报送发包人留存，并承担因承包人违反法律或合同约定给发包人造成的任何费用和损失；</w:t>
      </w:r>
    </w:p>
    <w:p w14:paraId="05CB3EE7">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（2）对发包人提供的《发包人要求》和项目基础资料进行核实确认，并按照相关法律法规开展后续工作；</w:t>
      </w:r>
    </w:p>
    <w:p w14:paraId="48185AB8">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（3）按合同约定的时间完成</w:t>
      </w:r>
      <w:r>
        <w:rPr>
          <w:rFonts w:hint="eastAsia" w:ascii="仿宋" w:hAnsi="仿宋" w:eastAsia="仿宋" w:cs="仿宋"/>
          <w:strike w:val="0"/>
          <w:color w:val="auto"/>
          <w:sz w:val="24"/>
          <w:szCs w:val="24"/>
          <w:highlight w:val="none"/>
          <w:lang w:eastAsia="zh-CN"/>
        </w:rPr>
        <w:t>勘察、</w:t>
      </w:r>
      <w:r>
        <w:rPr>
          <w:rFonts w:hint="eastAsia" w:ascii="仿宋" w:hAnsi="仿宋" w:eastAsia="仿宋" w:cs="仿宋"/>
          <w:color w:val="auto"/>
          <w:sz w:val="24"/>
          <w:szCs w:val="24"/>
          <w:highlight w:val="none"/>
          <w:lang w:eastAsia="zh-CN"/>
        </w:rPr>
        <w:t>设计等阶段的工作，及时提交发包人审查，完善设计成果；</w:t>
      </w:r>
    </w:p>
    <w:p w14:paraId="28275249">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（4）提供建筑信息模型（BIM）及相关技术应用，并协助发包人及相关方正确使用；</w:t>
      </w:r>
    </w:p>
    <w:p w14:paraId="7BFE69AB">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（5）按照审查批准的设计文件、合同约定和监理人的指令实施、完成并保修合同工程；</w:t>
      </w:r>
    </w:p>
    <w:p w14:paraId="4CE9A72C">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（6）按照合同约定和设计顾问人、监理人的要求提交</w:t>
      </w:r>
      <w:r>
        <w:rPr>
          <w:rFonts w:hint="eastAsia" w:ascii="仿宋" w:hAnsi="仿宋" w:eastAsia="仿宋" w:cs="仿宋"/>
          <w:strike w:val="0"/>
          <w:color w:val="auto"/>
          <w:sz w:val="24"/>
          <w:szCs w:val="24"/>
          <w:highlight w:val="none"/>
          <w:lang w:eastAsia="zh-CN"/>
        </w:rPr>
        <w:t>勘察、</w:t>
      </w:r>
      <w:r>
        <w:rPr>
          <w:rFonts w:hint="eastAsia" w:ascii="仿宋" w:hAnsi="仿宋" w:eastAsia="仿宋" w:cs="仿宋"/>
          <w:color w:val="auto"/>
          <w:sz w:val="24"/>
          <w:szCs w:val="24"/>
          <w:highlight w:val="none"/>
          <w:lang w:eastAsia="zh-CN"/>
        </w:rPr>
        <w:t>设计、施工等进度报告和进度计划；</w:t>
      </w:r>
    </w:p>
    <w:p w14:paraId="49C0615B">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（7）按照合同约定和造价咨询人的要求提交支付申请和服务费、工程款报告，包括绿色施工安全防护</w:t>
      </w:r>
      <w:r>
        <w:rPr>
          <w:rFonts w:hint="eastAsia" w:ascii="仿宋" w:hAnsi="仿宋" w:eastAsia="仿宋" w:cs="仿宋"/>
          <w:color w:val="auto"/>
          <w:sz w:val="24"/>
          <w:szCs w:val="24"/>
          <w:highlight w:val="none"/>
          <w:lang w:val="en-US" w:eastAsia="zh-CN"/>
        </w:rPr>
        <w:t>措施</w:t>
      </w:r>
      <w:r>
        <w:rPr>
          <w:rFonts w:hint="eastAsia" w:ascii="仿宋" w:hAnsi="仿宋" w:eastAsia="仿宋" w:cs="仿宋"/>
          <w:color w:val="auto"/>
          <w:sz w:val="24"/>
          <w:szCs w:val="24"/>
          <w:highlight w:val="none"/>
          <w:lang w:eastAsia="zh-CN"/>
        </w:rPr>
        <w:t>费、进度款、结算款和调整合同价格等；</w:t>
      </w:r>
    </w:p>
    <w:p w14:paraId="048D264B">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（8）负责施工场地安全保卫工作，防止因工程施工造成的人身伤害和财产损失，提供和维修施工使用的照明、围栏设施等安全标志；</w:t>
      </w:r>
    </w:p>
    <w:p w14:paraId="30D4CB98">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（9）按照专用条款约定的数量和要求，向发包人提供施工场地办公和生活的房屋及设施，并在施工现场保留本合同、约定的标准与规范、变更资料等各一份，供监理人、造价咨询人需要时使用；</w:t>
      </w:r>
    </w:p>
    <w:p w14:paraId="14B46FA0">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（10）遵守政府部门有关施工场地交通、环境保护、施工噪声、绿色施工安全防护等的管理规定，办理有关手续，并以书面形式通知发包人，费用按政府有关部门相关文件规定由发（承）包人各自承担；</w:t>
      </w:r>
    </w:p>
    <w:p w14:paraId="793E6CD6">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11）在合同工程或其某单项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做好施工场地地下管线和邻近建筑物、构筑物（包括文物保护建筑）、古树名木的保护工作；</w:t>
      </w:r>
    </w:p>
    <w:p w14:paraId="12091B97">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（12）遵守政府部门有关环境卫生的管理规定，保证施工场地的清洁和做好工程移交前施工现场的清理工作，并承担因自身责任造成的损失和罚款；</w:t>
      </w:r>
    </w:p>
    <w:p w14:paraId="6952695F">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（13）工程完工后，应按照合同约定提交竣工验收申请报告和竣工结算文件；</w:t>
      </w:r>
    </w:p>
    <w:p w14:paraId="7231CA67">
      <w:pPr>
        <w:widowControl w:val="0"/>
        <w:tabs>
          <w:tab w:val="left" w:pos="1440"/>
          <w:tab w:val="left" w:pos="198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bidi="ar"/>
        </w:rPr>
        <w:t>（14）将发包人按合同支付的各项价款专用于合同工程且应及时支付其雇佣人员（包括建筑工人）工资，并及时向分包人支付合同价款。</w:t>
      </w:r>
    </w:p>
    <w:p w14:paraId="7CC66138">
      <w:pPr>
        <w:spacing w:line="360" w:lineRule="auto"/>
        <w:rPr>
          <w:rFonts w:ascii="仿宋" w:hAnsi="仿宋" w:eastAsia="仿宋"/>
          <w:b/>
          <w:bCs/>
          <w:color w:val="auto"/>
          <w:highlight w:val="none"/>
          <w:lang w:eastAsia="zh-CN"/>
        </w:rPr>
      </w:pPr>
      <w:bookmarkStart w:id="404" w:name="_Toc2191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.3</w:t>
      </w:r>
      <w:bookmarkEnd w:id="40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4CC05FB">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0</wp:posOffset>
                </wp:positionV>
                <wp:extent cx="756920" cy="563880"/>
                <wp:effectExtent l="0" t="0" r="0" b="0"/>
                <wp:wrapNone/>
                <wp:docPr id="76" name="00014f"/>
                <wp:cNvGraphicFramePr/>
                <a:graphic xmlns:a="http://schemas.openxmlformats.org/drawingml/2006/main">
                  <a:graphicData uri="http://schemas.microsoft.com/office/word/2010/wordprocessingShape">
                    <wps:wsp>
                      <wps:cNvSpPr txBox="1"/>
                      <wps:spPr>
                        <a:xfrm>
                          <a:off x="0" y="0"/>
                          <a:ext cx="756920" cy="563880"/>
                        </a:xfrm>
                        <a:prstGeom prst="rect">
                          <a:avLst/>
                        </a:prstGeom>
                        <a:noFill/>
                        <a:ln>
                          <a:noFill/>
                        </a:ln>
                        <a:effectLst/>
                      </wps:spPr>
                      <wps:txbx>
                        <w:txbxContent>
                          <w:p w14:paraId="02F59F4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p w14:paraId="1432F63B"/>
                        </w:txbxContent>
                      </wps:txbx>
                      <wps:bodyPr wrap="square" upright="1"/>
                    </wps:wsp>
                  </a:graphicData>
                </a:graphic>
              </wp:anchor>
            </w:drawing>
          </mc:Choice>
          <mc:Fallback>
            <w:pict>
              <v:shape id="00014f" o:spid="_x0000_s1026" o:spt="202" type="#_x0000_t202" style="position:absolute;left:0pt;margin-left:-9pt;margin-top:0pt;height:44.4pt;width:59.6pt;z-index:251736064;mso-width-relative:page;mso-height-relative:page;" filled="f" stroked="f" coordsize="21600,21600" o:gfxdata="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iXiIU1QAAAAcB&#10;AAAPAAAAAAAAAAEAIAAAACIAAABkcnMvZG93bnJldi54bWxQSwECFAAUAAAACACHTuJA1L+xBKwB&#10;AABlAwAADgAAAAAAAAABACAAAAAkAQAAZHJzL2Uyb0RvYy54bWxQSwUGAAAAAAYABgBZAQAAQgUA&#10;AAAA&#10;">
                <v:fill on="f" focussize="0,0"/>
                <v:stroke on="f"/>
                <v:imagedata o:title=""/>
                <o:lock v:ext="edit" aspectratio="f"/>
                <v:textbox>
                  <w:txbxContent>
                    <w:p w14:paraId="02F59F4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p w14:paraId="1432F63B"/>
                  </w:txbxContent>
                </v:textbox>
              </v:shape>
            </w:pict>
          </mc:Fallback>
        </mc:AlternateContent>
      </w:r>
      <w:r>
        <w:rPr>
          <w:rFonts w:hint="eastAsia" w:ascii="仿宋" w:hAnsi="仿宋" w:eastAsia="仿宋" w:cs="仿宋"/>
          <w:color w:val="auto"/>
          <w:highlight w:val="none"/>
          <w:lang w:eastAsia="zh-CN"/>
        </w:rPr>
        <w:t>承包人应按照合同约定和监理人指令实施、完成并保修合同工程。除专用条款另有约定外，承包人应提供为完成合同工程所需的勘察资料、设计文件、建筑信息模型（BIM）、劳务、工程材料、工程设备、施工设备和其他物品。如果承包人不按照合同约定或监理人依据合同发出的指令组织施工，且在监理人书面要求改正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仍未采取补救措施的，则发包人可自行或委托第三方进行补救，由此发生的费用和造成的损失由承包人承担。该笔款项经造价咨询人核实后，由发包人从应支付或将支付给承包人的工程进度款或结算款中扣除。</w:t>
      </w:r>
    </w:p>
    <w:p w14:paraId="29ECFDD8">
      <w:pPr>
        <w:spacing w:line="360" w:lineRule="auto"/>
        <w:rPr>
          <w:rFonts w:ascii="仿宋" w:hAnsi="仿宋" w:eastAsia="仿宋"/>
          <w:b/>
          <w:bCs/>
          <w:color w:val="auto"/>
          <w:highlight w:val="none"/>
          <w:lang w:eastAsia="zh-CN"/>
        </w:rPr>
      </w:pPr>
      <w:bookmarkStart w:id="405" w:name="_Toc315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.4</w:t>
      </w:r>
      <w:bookmarkEnd w:id="40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E9DB3A2">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22860</wp:posOffset>
                </wp:positionV>
                <wp:extent cx="823595" cy="708660"/>
                <wp:effectExtent l="0" t="0" r="0" b="0"/>
                <wp:wrapNone/>
                <wp:docPr id="77" name="000150"/>
                <wp:cNvGraphicFramePr/>
                <a:graphic xmlns:a="http://schemas.openxmlformats.org/drawingml/2006/main">
                  <a:graphicData uri="http://schemas.microsoft.com/office/word/2010/wordprocessingShape">
                    <wps:wsp>
                      <wps:cNvSpPr txBox="1"/>
                      <wps:spPr>
                        <a:xfrm>
                          <a:off x="0" y="0"/>
                          <a:ext cx="823595" cy="708660"/>
                        </a:xfrm>
                        <a:prstGeom prst="rect">
                          <a:avLst/>
                        </a:prstGeom>
                        <a:noFill/>
                        <a:ln>
                          <a:noFill/>
                        </a:ln>
                        <a:effectLst/>
                      </wps:spPr>
                      <wps:txbx>
                        <w:txbxContent>
                          <w:p w14:paraId="55A27CD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p w14:paraId="33AB4E66">
                            <w:pPr>
                              <w:rPr>
                                <w:lang w:eastAsia="zh-CN"/>
                              </w:rPr>
                            </w:pPr>
                          </w:p>
                        </w:txbxContent>
                      </wps:txbx>
                      <wps:bodyPr wrap="square" upright="1"/>
                    </wps:wsp>
                  </a:graphicData>
                </a:graphic>
              </wp:anchor>
            </w:drawing>
          </mc:Choice>
          <mc:Fallback>
            <w:pict>
              <v:shape id="000150" o:spid="_x0000_s1026" o:spt="202" type="#_x0000_t202" style="position:absolute;left:0pt;margin-left:-9pt;margin-top:1.8pt;height:55.8pt;width:64.85pt;z-index:251737088;mso-width-relative:page;mso-height-relative:page;" filled="f" stroked="f" coordsize="21600,21600" o:gfxdata="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XgM+i1gAAAAkB&#10;AAAPAAAAAAAAAAEAIAAAACIAAABkcnMvZG93bnJldi54bWxQSwECFAAUAAAACACHTuJALKJqGKsB&#10;AABlAwAADgAAAAAAAAABACAAAAAlAQAAZHJzL2Uyb0RvYy54bWxQSwUGAAAAAAYABgBZAQAAQgUA&#10;AAAA&#10;">
                <v:fill on="f" focussize="0,0"/>
                <v:stroke on="f"/>
                <v:imagedata o:title=""/>
                <o:lock v:ext="edit" aspectratio="f"/>
                <v:textbox>
                  <w:txbxContent>
                    <w:p w14:paraId="55A27CD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p w14:paraId="33AB4E66">
                      <w:pPr>
                        <w:rPr>
                          <w:lang w:eastAsia="zh-CN"/>
                        </w:rPr>
                      </w:pPr>
                    </w:p>
                  </w:txbxContent>
                </v:textbox>
              </v:shape>
            </w:pict>
          </mc:Fallback>
        </mc:AlternateContent>
      </w:r>
      <w:r>
        <w:rPr>
          <w:rFonts w:hint="eastAsia" w:ascii="仿宋" w:hAnsi="仿宋" w:eastAsia="仿宋" w:cs="仿宋"/>
          <w:color w:val="auto"/>
          <w:highlight w:val="none"/>
          <w:lang w:eastAsia="zh-CN"/>
        </w:rPr>
        <w:t>承包人对所有勘察报告、设计文件、建筑信息模型（BIM）、现场作业和施工方法的完备性、稳定性和安全性负责，并应按照合同约定的工作内容和进度要求，向发包人代表或监理人代表提交合同工程拟采用的勘察工作方案、设计工作方案、BIM技术应用方案、施工组织设计、设备及工器具购置方案（如果有）等的详细说明。如承包人对勘察工作方案、设计工作方案、BIM技术应用方案、施工组织设计、设备及工器具购置方案（如果有）等作出重大修改，应事先征得发包人代表、设计顾问人或监理人代表同意。</w:t>
      </w:r>
    </w:p>
    <w:p w14:paraId="4285C754">
      <w:pPr>
        <w:spacing w:line="360" w:lineRule="auto"/>
        <w:rPr>
          <w:rFonts w:ascii="仿宋" w:hAnsi="仿宋" w:eastAsia="仿宋"/>
          <w:color w:val="auto"/>
          <w:highlight w:val="none"/>
          <w:lang w:eastAsia="zh-CN"/>
        </w:rPr>
      </w:pPr>
      <w:bookmarkStart w:id="406" w:name="_Toc3254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.5</w:t>
      </w:r>
      <w:bookmarkEnd w:id="406"/>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7DF4CB91">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15240</wp:posOffset>
                </wp:positionV>
                <wp:extent cx="833120" cy="650875"/>
                <wp:effectExtent l="0" t="0" r="0" b="0"/>
                <wp:wrapNone/>
                <wp:docPr id="78" name="000151"/>
                <wp:cNvGraphicFramePr/>
                <a:graphic xmlns:a="http://schemas.openxmlformats.org/drawingml/2006/main">
                  <a:graphicData uri="http://schemas.microsoft.com/office/word/2010/wordprocessingShape">
                    <wps:wsp>
                      <wps:cNvSpPr txBox="1"/>
                      <wps:spPr>
                        <a:xfrm>
                          <a:off x="0" y="0"/>
                          <a:ext cx="833120" cy="650875"/>
                        </a:xfrm>
                        <a:prstGeom prst="rect">
                          <a:avLst/>
                        </a:prstGeom>
                        <a:noFill/>
                        <a:ln>
                          <a:noFill/>
                        </a:ln>
                        <a:effectLst/>
                      </wps:spPr>
                      <wps:txbx>
                        <w:txbxContent>
                          <w:p w14:paraId="073BA909">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p w14:paraId="327622EE">
                            <w:pPr>
                              <w:rPr>
                                <w:lang w:eastAsia="zh-CN"/>
                              </w:rPr>
                            </w:pPr>
                          </w:p>
                        </w:txbxContent>
                      </wps:txbx>
                      <wps:bodyPr wrap="square" upright="1"/>
                    </wps:wsp>
                  </a:graphicData>
                </a:graphic>
              </wp:anchor>
            </w:drawing>
          </mc:Choice>
          <mc:Fallback>
            <w:pict>
              <v:shape id="000151" o:spid="_x0000_s1026" o:spt="202" type="#_x0000_t202" style="position:absolute;left:0pt;margin-left:-9pt;margin-top:1.2pt;height:51.25pt;width:65.6pt;z-index:251738112;mso-width-relative:page;mso-height-relative:page;" filled="f" stroked="f" coordsize="21600,21600" o:gfxdata="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fzfFk1wAAAAkB&#10;AAAPAAAAAAAAAAEAIAAAACIAAABkcnMvZG93bnJldi54bWxQSwECFAAUAAAACACHTuJAo8Y60aoB&#10;AABlAwAADgAAAAAAAAABACAAAAAmAQAAZHJzL2Uyb0RvYy54bWxQSwUGAAAAAAYABgBZAQAAQgUA&#10;AAAA&#10;">
                <v:fill on="f" focussize="0,0"/>
                <v:stroke on="f"/>
                <v:imagedata o:title=""/>
                <o:lock v:ext="edit" aspectratio="f"/>
                <v:textbox>
                  <w:txbxContent>
                    <w:p w14:paraId="073BA909">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p w14:paraId="327622EE">
                      <w:pPr>
                        <w:rPr>
                          <w:lang w:eastAsia="zh-CN"/>
                        </w:rPr>
                      </w:pPr>
                    </w:p>
                  </w:txbxContent>
                </v:textbox>
              </v:shape>
            </w:pict>
          </mc:Fallback>
        </mc:AlternateContent>
      </w:r>
      <w:r>
        <w:rPr>
          <w:rFonts w:hint="eastAsia" w:ascii="仿宋" w:hAnsi="仿宋" w:eastAsia="仿宋" w:cs="仿宋"/>
          <w:color w:val="auto"/>
          <w:highlight w:val="none"/>
          <w:lang w:eastAsia="zh-CN"/>
        </w:rPr>
        <w:t>承包人应按照合同约定、发包人代表或监理人代表的指令，配合和协助下述人员在施工场地及其附近实施与合同工程有关的各项工作：</w:t>
      </w:r>
    </w:p>
    <w:p w14:paraId="085B89B9">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）发包人的工作人员；</w:t>
      </w:r>
    </w:p>
    <w:p w14:paraId="107FC36A">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）发包人的雇员；</w:t>
      </w:r>
    </w:p>
    <w:p w14:paraId="2B2CE93E">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）任何监督管理机构的执法人员。</w:t>
      </w:r>
    </w:p>
    <w:p w14:paraId="34F967B9">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此类指令造成承包人的工作或支出，包括使用了承包人的施工设备、临时工程或通行道路等，视为已包含在合同价格内，除非合同专用条款另有约定。</w:t>
      </w:r>
    </w:p>
    <w:p w14:paraId="24F661B8">
      <w:pPr>
        <w:spacing w:line="360" w:lineRule="auto"/>
        <w:rPr>
          <w:rFonts w:ascii="仿宋" w:hAnsi="仿宋" w:eastAsia="仿宋"/>
          <w:b/>
          <w:bCs/>
          <w:color w:val="auto"/>
          <w:highlight w:val="none"/>
          <w:lang w:eastAsia="zh-CN"/>
        </w:rPr>
      </w:pPr>
      <w:bookmarkStart w:id="407" w:name="_Toc2569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.6</w:t>
      </w:r>
      <w:bookmarkEnd w:id="40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3EED0A6">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0</wp:posOffset>
                </wp:positionV>
                <wp:extent cx="803910" cy="612140"/>
                <wp:effectExtent l="0" t="0" r="0" b="0"/>
                <wp:wrapNone/>
                <wp:docPr id="79" name="000152"/>
                <wp:cNvGraphicFramePr/>
                <a:graphic xmlns:a="http://schemas.openxmlformats.org/drawingml/2006/main">
                  <a:graphicData uri="http://schemas.microsoft.com/office/word/2010/wordprocessingShape">
                    <wps:wsp>
                      <wps:cNvSpPr txBox="1"/>
                      <wps:spPr>
                        <a:xfrm>
                          <a:off x="0" y="0"/>
                          <a:ext cx="803910" cy="612140"/>
                        </a:xfrm>
                        <a:prstGeom prst="rect">
                          <a:avLst/>
                        </a:prstGeom>
                        <a:noFill/>
                        <a:ln>
                          <a:noFill/>
                        </a:ln>
                        <a:effectLst/>
                      </wps:spPr>
                      <wps:txbx>
                        <w:txbxContent>
                          <w:p w14:paraId="5F40A416">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p w14:paraId="1992A8C9">
                            <w:pPr>
                              <w:rPr>
                                <w:lang w:eastAsia="zh-CN"/>
                              </w:rPr>
                            </w:pPr>
                          </w:p>
                        </w:txbxContent>
                      </wps:txbx>
                      <wps:bodyPr wrap="square" upright="1"/>
                    </wps:wsp>
                  </a:graphicData>
                </a:graphic>
              </wp:anchor>
            </w:drawing>
          </mc:Choice>
          <mc:Fallback>
            <w:pict>
              <v:shape id="000152" o:spid="_x0000_s1026" o:spt="202" type="#_x0000_t202" style="position:absolute;left:0pt;margin-left:-9pt;margin-top:0pt;height:48.2pt;width:63.3pt;z-index:251739136;mso-width-relative:page;mso-height-relative:page;" filled="f" stroked="f" coordsize="21600,21600" o:gfxdata="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M+JIf1QAAAAcB&#10;AAAPAAAAAAAAAAEAIAAAACIAAABkcnMvZG93bnJldi54bWxQSwECFAAUAAAACACHTuJATOvg5qwB&#10;AABlAwAADgAAAAAAAAABACAAAAAkAQAAZHJzL2Uyb0RvYy54bWxQSwUGAAAAAAYABgBZAQAAQgUA&#10;AAAA&#10;">
                <v:fill on="f" focussize="0,0"/>
                <v:stroke on="f"/>
                <v:imagedata o:title=""/>
                <o:lock v:ext="edit" aspectratio="f"/>
                <v:textbox>
                  <w:txbxContent>
                    <w:p w14:paraId="5F40A416">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p w14:paraId="1992A8C9">
                      <w:pPr>
                        <w:rPr>
                          <w:lang w:eastAsia="zh-CN"/>
                        </w:rPr>
                      </w:pPr>
                    </w:p>
                  </w:txbxContent>
                </v:textbox>
              </v:shape>
            </w:pict>
          </mc:Fallback>
        </mc:AlternateContent>
      </w:r>
      <w:r>
        <w:rPr>
          <w:rFonts w:hint="eastAsia" w:ascii="仿宋" w:hAnsi="仿宋" w:eastAsia="仿宋" w:cs="仿宋"/>
          <w:color w:val="auto"/>
          <w:highlight w:val="none"/>
          <w:lang w:eastAsia="zh-CN"/>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21D05004">
      <w:pPr>
        <w:spacing w:line="360" w:lineRule="auto"/>
        <w:rPr>
          <w:rFonts w:ascii="仿宋" w:hAnsi="仿宋" w:eastAsia="仿宋"/>
          <w:b/>
          <w:bCs/>
          <w:color w:val="auto"/>
          <w:highlight w:val="none"/>
          <w:lang w:eastAsia="zh-CN"/>
        </w:rPr>
      </w:pPr>
      <w:bookmarkStart w:id="408" w:name="_Toc1332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.7</w:t>
      </w:r>
      <w:bookmarkEnd w:id="40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C192F67">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775970" cy="473075"/>
                <wp:effectExtent l="0" t="0" r="0" b="0"/>
                <wp:wrapNone/>
                <wp:docPr id="80" name="000153"/>
                <wp:cNvGraphicFramePr/>
                <a:graphic xmlns:a="http://schemas.openxmlformats.org/drawingml/2006/main">
                  <a:graphicData uri="http://schemas.microsoft.com/office/word/2010/wordprocessingShape">
                    <wps:wsp>
                      <wps:cNvSpPr txBox="1"/>
                      <wps:spPr>
                        <a:xfrm>
                          <a:off x="0" y="0"/>
                          <a:ext cx="775970" cy="473075"/>
                        </a:xfrm>
                        <a:prstGeom prst="rect">
                          <a:avLst/>
                        </a:prstGeom>
                        <a:noFill/>
                        <a:ln>
                          <a:noFill/>
                        </a:ln>
                        <a:effectLst/>
                      </wps:spPr>
                      <wps:txbx>
                        <w:txbxContent>
                          <w:p w14:paraId="6FA106CB">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p w14:paraId="63F76368"/>
                        </w:txbxContent>
                      </wps:txbx>
                      <wps:bodyPr wrap="square" upright="1"/>
                    </wps:wsp>
                  </a:graphicData>
                </a:graphic>
              </wp:anchor>
            </w:drawing>
          </mc:Choice>
          <mc:Fallback>
            <w:pict>
              <v:shape id="000153" o:spid="_x0000_s1026" o:spt="202" type="#_x0000_t202" style="position:absolute;left:0pt;margin-left:-9pt;margin-top:0pt;height:37.25pt;width:61.1pt;z-index:251740160;mso-width-relative:page;mso-height-relative:page;" filled="f" stroked="f" coordsize="21600,21600" o:gfxdata="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MXVIu9UAAAAHAQAA&#10;DwAAAAAAAAABACAAAAAiAAAAZHJzL2Rvd25yZXYueG1sUEsBAhQAFAAAAAgAh07iQHBF/A6qAQAA&#10;ZQMAAA4AAAAAAAAAAQAgAAAAJAEAAGRycy9lMm9Eb2MueG1sUEsFBgAAAAAGAAYAWQEAAEAFAAAA&#10;AA==&#10;">
                <v:fill on="f" focussize="0,0"/>
                <v:stroke on="f"/>
                <v:imagedata o:title=""/>
                <o:lock v:ext="edit" aspectratio="f"/>
                <v:textbox>
                  <w:txbxContent>
                    <w:p w14:paraId="6FA106CB">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p w14:paraId="63F76368"/>
                  </w:txbxContent>
                </v:textbox>
              </v:shape>
            </w:pict>
          </mc:Fallback>
        </mc:AlternateContent>
      </w:r>
      <w:r>
        <w:rPr>
          <w:rFonts w:hint="eastAsia" w:ascii="仿宋" w:hAnsi="仿宋" w:eastAsia="仿宋" w:cs="仿宋"/>
          <w:color w:val="auto"/>
          <w:highlight w:val="none"/>
          <w:lang w:eastAsia="zh-CN"/>
        </w:rPr>
        <w:t>承包人未能正确履行本合同约定的全部义务，导致费用的增加和（或）延误的工期，由承包人承担；给发包人造成损失的，承包人应予赔偿。</w:t>
      </w:r>
    </w:p>
    <w:p w14:paraId="6A919900">
      <w:pPr>
        <w:pStyle w:val="23"/>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607520C4">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409" w:name="_Toc380"/>
      <w:bookmarkStart w:id="410" w:name="_Toc12402"/>
      <w:bookmarkStart w:id="411" w:name="_Toc26062"/>
      <w:bookmarkStart w:id="412" w:name="_Toc16371"/>
      <w:bookmarkStart w:id="413" w:name="_Toc31615"/>
      <w:bookmarkStart w:id="414" w:name="_Toc47694295"/>
      <w:bookmarkStart w:id="415" w:name="_Toc15294"/>
      <w:bookmarkStart w:id="416" w:name="_Toc23218"/>
      <w:r>
        <w:rPr>
          <w:rFonts w:ascii="仿宋" w:hAnsi="仿宋" w:eastAsia="仿宋" w:cs="仿宋"/>
          <w:bCs w:val="0"/>
          <w:color w:val="auto"/>
          <w:sz w:val="24"/>
          <w:szCs w:val="24"/>
          <w:highlight w:val="none"/>
          <w:lang w:eastAsia="zh-CN"/>
        </w:rPr>
        <w:t>2</w:t>
      </w:r>
      <w:r>
        <w:rPr>
          <w:rFonts w:hint="eastAsia" w:ascii="仿宋" w:hAnsi="仿宋" w:eastAsia="仿宋" w:cs="仿宋"/>
          <w:bCs w:val="0"/>
          <w:color w:val="auto"/>
          <w:sz w:val="24"/>
          <w:szCs w:val="24"/>
          <w:highlight w:val="none"/>
          <w:lang w:eastAsia="zh-CN"/>
        </w:rPr>
        <w:t>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现场管理人员任命和更换</w:t>
      </w:r>
      <w:bookmarkEnd w:id="409"/>
      <w:bookmarkEnd w:id="410"/>
      <w:bookmarkEnd w:id="411"/>
      <w:bookmarkEnd w:id="412"/>
      <w:bookmarkEnd w:id="413"/>
      <w:bookmarkEnd w:id="414"/>
      <w:bookmarkEnd w:id="415"/>
      <w:bookmarkEnd w:id="416"/>
    </w:p>
    <w:p w14:paraId="60C096AE">
      <w:pPr>
        <w:pStyle w:val="23"/>
        <w:tabs>
          <w:tab w:val="left" w:pos="1320"/>
        </w:tabs>
        <w:spacing w:line="360" w:lineRule="auto"/>
        <w:ind w:right="-240"/>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.1</w:t>
      </w:r>
    </w:p>
    <w:p w14:paraId="38CFA3AB">
      <w:pPr>
        <w:widowControl w:val="0"/>
        <w:tabs>
          <w:tab w:val="left" w:pos="4970"/>
        </w:tabs>
        <w:spacing w:line="360" w:lineRule="auto"/>
        <w:ind w:left="1850" w:leftChars="771"/>
        <w:jc w:val="both"/>
        <w:rPr>
          <w:rFonts w:hint="eastAsia"/>
          <w:color w:val="auto"/>
          <w:highlight w:val="none"/>
          <w:lang w:eastAsia="zh-CN"/>
        </w:rPr>
      </w:pPr>
      <w:r>
        <w:rPr>
          <w:color w:val="auto"/>
          <w:highlight w:val="none"/>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7620</wp:posOffset>
                </wp:positionV>
                <wp:extent cx="851535" cy="530860"/>
                <wp:effectExtent l="0" t="0" r="0" b="0"/>
                <wp:wrapNone/>
                <wp:docPr id="81" name="000154"/>
                <wp:cNvGraphicFramePr/>
                <a:graphic xmlns:a="http://schemas.openxmlformats.org/drawingml/2006/main">
                  <a:graphicData uri="http://schemas.microsoft.com/office/word/2010/wordprocessingShape">
                    <wps:wsp>
                      <wps:cNvSpPr txBox="1"/>
                      <wps:spPr>
                        <a:xfrm>
                          <a:off x="0" y="0"/>
                          <a:ext cx="851535" cy="530860"/>
                        </a:xfrm>
                        <a:prstGeom prst="rect">
                          <a:avLst/>
                        </a:prstGeom>
                        <a:noFill/>
                        <a:ln>
                          <a:noFill/>
                        </a:ln>
                        <a:effectLst/>
                      </wps:spPr>
                      <wps:txbx>
                        <w:txbxContent>
                          <w:p w14:paraId="42693B01">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p w14:paraId="5F9AE735">
                            <w:pPr>
                              <w:rPr>
                                <w:lang w:eastAsia="zh-CN"/>
                              </w:rPr>
                            </w:pPr>
                          </w:p>
                        </w:txbxContent>
                      </wps:txbx>
                      <wps:bodyPr wrap="square" upright="1"/>
                    </wps:wsp>
                  </a:graphicData>
                </a:graphic>
              </wp:anchor>
            </w:drawing>
          </mc:Choice>
          <mc:Fallback>
            <w:pict>
              <v:shape id="000154" o:spid="_x0000_s1026" o:spt="202" type="#_x0000_t202" style="position:absolute;left:0pt;margin-left:-9pt;margin-top:0.6pt;height:41.8pt;width:67.05pt;z-index:251741184;mso-width-relative:page;mso-height-relative:page;" filled="f" stroked="f" coordsize="21600,21600" o:gfxdata="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L4i51QAAAAgB&#10;AAAPAAAAAAAAAAEAIAAAACIAAABkcnMvZG93bnJldi54bWxQSwECFAAUAAAACACHTuJAUaFeZKwB&#10;AABlAwAADgAAAAAAAAABACAAAAAkAQAAZHJzL2Uyb0RvYy54bWxQSwUGAAAAAAYABgBZAQAAQgUA&#10;AAAA&#10;">
                <v:fill on="f" focussize="0,0"/>
                <v:stroke on="f"/>
                <v:imagedata o:title=""/>
                <o:lock v:ext="edit" aspectratio="f"/>
                <v:textbox>
                  <w:txbxContent>
                    <w:p w14:paraId="42693B01">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p w14:paraId="5F9AE735">
                      <w:pPr>
                        <w:rPr>
                          <w:lang w:eastAsia="zh-CN"/>
                        </w:rPr>
                      </w:pPr>
                    </w:p>
                  </w:txbxContent>
                </v:textbox>
              </v:shape>
            </w:pict>
          </mc:Fallback>
        </mc:AlternateContent>
      </w:r>
      <w:r>
        <w:rPr>
          <w:rFonts w:hint="eastAsia" w:ascii="仿宋" w:hAnsi="仿宋" w:eastAsia="仿宋" w:cs="仿宋"/>
          <w:color w:val="auto"/>
          <w:highlight w:val="none"/>
          <w:lang w:eastAsia="zh-CN"/>
        </w:rPr>
        <w:t>发包人应任命代表发包人工作的现场管理人员，并在开工前以书面形式通知承包人。该类管理人员可包括发包人代表、设计顾问人代表、监理人代表、造价咨询人代表等。国家、省规定发包人可不委托监理人、造价咨询人和（或）设计顾问人，发包人因而没有任命监理人代表、造价咨询人代表和（或）设计顾问人代表的，本合同约定的监理人、造价咨询人和（或）设计顾问人及其委派现场或授权人员的工作，由发包人授权发包人代表和（或）其他管理人员担任。</w:t>
      </w:r>
    </w:p>
    <w:p w14:paraId="47862919">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发包人如需更换现场管理人员，应至少提前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天以书面形式通知承包人，否则该项更换无效。承包人应在收到通知后</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天内予以回复，否则视为已收到通知。后任现场管理人员应继续行使合同约定的前任现场管理人员的职权和履行相应的义务。</w:t>
      </w:r>
    </w:p>
    <w:p w14:paraId="39D710F1">
      <w:pPr>
        <w:pStyle w:val="23"/>
        <w:tabs>
          <w:tab w:val="left" w:pos="1320"/>
          <w:tab w:val="left" w:pos="1620"/>
        </w:tabs>
        <w:spacing w:line="360" w:lineRule="auto"/>
        <w:rPr>
          <w:rFonts w:ascii="仿宋" w:hAnsi="仿宋" w:eastAsia="仿宋"/>
          <w:b/>
          <w:bCs/>
          <w:color w:val="auto"/>
          <w:sz w:val="24"/>
          <w:szCs w:val="24"/>
          <w:highlight w:val="none"/>
          <w:lang w:eastAsia="zh-CN"/>
        </w:rPr>
      </w:pPr>
      <w:bookmarkStart w:id="417" w:name="_Toc2460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.2</w:t>
      </w:r>
      <w:bookmarkEnd w:id="417"/>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53B9AB04">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84455</wp:posOffset>
                </wp:positionV>
                <wp:extent cx="783590" cy="711200"/>
                <wp:effectExtent l="0" t="0" r="0" b="0"/>
                <wp:wrapNone/>
                <wp:docPr id="82" name="000155"/>
                <wp:cNvGraphicFramePr/>
                <a:graphic xmlns:a="http://schemas.openxmlformats.org/drawingml/2006/main">
                  <a:graphicData uri="http://schemas.microsoft.com/office/word/2010/wordprocessingShape">
                    <wps:wsp>
                      <wps:cNvSpPr txBox="1"/>
                      <wps:spPr>
                        <a:xfrm>
                          <a:off x="0" y="0"/>
                          <a:ext cx="783590" cy="711200"/>
                        </a:xfrm>
                        <a:prstGeom prst="rect">
                          <a:avLst/>
                        </a:prstGeom>
                        <a:noFill/>
                        <a:ln>
                          <a:noFill/>
                        </a:ln>
                        <a:effectLst/>
                      </wps:spPr>
                      <wps:txbx>
                        <w:txbxContent>
                          <w:p w14:paraId="649B3997">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p w14:paraId="2F7656C7">
                            <w:pPr>
                              <w:rPr>
                                <w:lang w:eastAsia="zh-CN"/>
                              </w:rPr>
                            </w:pPr>
                          </w:p>
                        </w:txbxContent>
                      </wps:txbx>
                      <wps:bodyPr wrap="square" upright="1"/>
                    </wps:wsp>
                  </a:graphicData>
                </a:graphic>
              </wp:anchor>
            </w:drawing>
          </mc:Choice>
          <mc:Fallback>
            <w:pict>
              <v:shape id="000155" o:spid="_x0000_s1026" o:spt="202" type="#_x0000_t202" style="position:absolute;left:0pt;margin-left:-9pt;margin-top:6.65pt;height:56pt;width:61.7pt;z-index:251742208;mso-width-relative:page;mso-height-relative:page;" filled="f" stroked="f" coordsize="21600,21600" o:gfxdata="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SR6+nXAAAACgEA&#10;AA8AAAAAAAAAAQAgAAAAIgAAAGRycy9kb3ducmV2LnhtbFBLAQIUABQAAAAIAIdO4kBHqWY8qQEA&#10;AGUDAAAOAAAAAAAAAAEAIAAAACYBAABkcnMvZTJvRG9jLnhtbFBLBQYAAAAABgAGAFkBAABBBQAA&#10;AAA=&#10;">
                <v:fill on="f" focussize="0,0"/>
                <v:stroke on="f"/>
                <v:imagedata o:title=""/>
                <o:lock v:ext="edit" aspectratio="f"/>
                <v:textbox>
                  <w:txbxContent>
                    <w:p w14:paraId="649B3997">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p w14:paraId="2F7656C7">
                      <w:pPr>
                        <w:rPr>
                          <w:lang w:eastAsia="zh-CN"/>
                        </w:rPr>
                      </w:pPr>
                    </w:p>
                  </w:txbxContent>
                </v:textbox>
              </v:shape>
            </w:pict>
          </mc:Fallback>
        </mc:AlternateContent>
      </w:r>
      <w:r>
        <w:rPr>
          <w:rFonts w:hint="eastAsia" w:ascii="仿宋" w:hAnsi="仿宋" w:eastAsia="仿宋" w:cs="仿宋"/>
          <w:color w:val="auto"/>
          <w:highlight w:val="none"/>
          <w:lang w:eastAsia="zh-CN"/>
        </w:rPr>
        <w:t>承包人应任命代表承包人工作的承包人代表及负责勘察、设计、BIM技术应用、采购、施工等工作的专业负责人，承包人代表或专业负责人的人选应取得工程建设类相应执业资格并在本单位注册，或未实施执业资格制度的专业负责人应取得相关高级专业技术职称，已由承包人在合同签订前依法向发包人提出，经发包人同意后在专用条款中写明。国家法律或建设行政主管部门有规定的，应遵守其规定；招标发包工程的承包人代表及专业负责人，应为投标文件所载明的人选。</w:t>
      </w:r>
    </w:p>
    <w:p w14:paraId="078C1377">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承包人如需更换承包人代表或专业负责人，应遵守国家法律或建设行政主管部门的规定并取得发包人的同意，至少提前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天以书面形式通知发包人，否则该项更换无效。发包人应在收到通知后的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天内予以答复，否则视为同意。后任承包人代表或专业负责人应继续行使合同约定的前任承包人代表或专业负责人的职权和履行相应的义务。</w:t>
      </w:r>
    </w:p>
    <w:p w14:paraId="43087FC7">
      <w:pPr>
        <w:widowControl w:val="0"/>
        <w:tabs>
          <w:tab w:val="left" w:pos="4970"/>
        </w:tabs>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承包人为联合体的，承包人代表必须由牵头单位内部符合要求的相应工程建设类注册执业人员担任，专业负责人必须由成员单位内部符合要求的注册执业人员担任；承包人代表及专业负责人的任命及更换，必须由牵头单位及各成员单位共同签署书面文件。</w:t>
      </w:r>
    </w:p>
    <w:p w14:paraId="67E3E74F">
      <w:pPr>
        <w:pStyle w:val="23"/>
        <w:tabs>
          <w:tab w:val="left" w:pos="1320"/>
        </w:tabs>
        <w:spacing w:line="360" w:lineRule="auto"/>
        <w:ind w:right="-238"/>
        <w:rPr>
          <w:rFonts w:ascii="仿宋" w:hAnsi="仿宋" w:eastAsia="仿宋"/>
          <w:b/>
          <w:bCs/>
          <w:color w:val="auto"/>
          <w:sz w:val="24"/>
          <w:szCs w:val="24"/>
          <w:highlight w:val="none"/>
          <w:lang w:eastAsia="zh-CN"/>
        </w:rPr>
      </w:pPr>
      <w:bookmarkStart w:id="418" w:name="_Toc2831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.3</w:t>
      </w:r>
      <w:bookmarkEnd w:id="418"/>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633D54C9">
      <w:pPr>
        <w:widowControl w:val="0"/>
        <w:tabs>
          <w:tab w:val="left" w:pos="4970"/>
        </w:tabs>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743232" behindDoc="0" locked="0" layoutInCell="1" allowOverlap="1">
                <wp:simplePos x="0" y="0"/>
                <wp:positionH relativeFrom="column">
                  <wp:posOffset>-83820</wp:posOffset>
                </wp:positionH>
                <wp:positionV relativeFrom="paragraph">
                  <wp:posOffset>46355</wp:posOffset>
                </wp:positionV>
                <wp:extent cx="824865" cy="922655"/>
                <wp:effectExtent l="0" t="0" r="0" b="0"/>
                <wp:wrapNone/>
                <wp:docPr id="83" name="000156"/>
                <wp:cNvGraphicFramePr/>
                <a:graphic xmlns:a="http://schemas.openxmlformats.org/drawingml/2006/main">
                  <a:graphicData uri="http://schemas.microsoft.com/office/word/2010/wordprocessingShape">
                    <wps:wsp>
                      <wps:cNvSpPr txBox="1"/>
                      <wps:spPr>
                        <a:xfrm>
                          <a:off x="0" y="0"/>
                          <a:ext cx="824865" cy="922655"/>
                        </a:xfrm>
                        <a:prstGeom prst="rect">
                          <a:avLst/>
                        </a:prstGeom>
                        <a:noFill/>
                        <a:ln>
                          <a:noFill/>
                        </a:ln>
                        <a:effectLst/>
                      </wps:spPr>
                      <wps:txbx>
                        <w:txbxContent>
                          <w:p w14:paraId="1362F67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p w14:paraId="56F9B495">
                            <w:pPr>
                              <w:rPr>
                                <w:lang w:eastAsia="zh-CN"/>
                              </w:rPr>
                            </w:pPr>
                          </w:p>
                        </w:txbxContent>
                      </wps:txbx>
                      <wps:bodyPr wrap="square" upright="1"/>
                    </wps:wsp>
                  </a:graphicData>
                </a:graphic>
              </wp:anchor>
            </w:drawing>
          </mc:Choice>
          <mc:Fallback>
            <w:pict>
              <v:shape id="000156" o:spid="_x0000_s1026" o:spt="202" type="#_x0000_t202" style="position:absolute;left:0pt;margin-left:-6.6pt;margin-top:3.65pt;height:72.65pt;width:64.95pt;z-index:251743232;mso-width-relative:page;mso-height-relative:page;" filled="f" stroked="f" coordsize="21600,21600" o:gfxdata="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cUSiNcAAAAJ&#10;AQAADwAAAAAAAAABACAAAAAiAAAAZHJzL2Rvd25yZXYueG1sUEsBAhQAFAAAAAgAh07iQPwsurar&#10;AQAAZQMAAA4AAAAAAAAAAQAgAAAAJgEAAGRycy9lMm9Eb2MueG1sUEsFBgAAAAAGAAYAWQEAAEMF&#10;AAAAAA==&#10;">
                <v:fill on="f" focussize="0,0"/>
                <v:stroke on="f"/>
                <v:imagedata o:title=""/>
                <o:lock v:ext="edit" aspectratio="f"/>
                <v:textbox>
                  <w:txbxContent>
                    <w:p w14:paraId="1362F67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p w14:paraId="56F9B495">
                      <w:pPr>
                        <w:rPr>
                          <w:lang w:eastAsia="zh-CN"/>
                        </w:rPr>
                      </w:pPr>
                    </w:p>
                  </w:txbxContent>
                </v:textbox>
              </v:shape>
            </w:pict>
          </mc:Fallback>
        </mc:AlternateContent>
      </w:r>
      <w:r>
        <w:rPr>
          <w:rFonts w:hint="eastAsia" w:ascii="仿宋" w:hAnsi="仿宋" w:eastAsia="仿宋" w:cs="仿宋"/>
          <w:color w:val="auto"/>
          <w:highlight w:val="none"/>
          <w:lang w:eastAsia="zh-CN"/>
        </w:rPr>
        <w:t>除合同约定或依法应由监理人、造价咨询人、设计顾问人行使的职权外，监理人、造价咨询人、设计顾问人可将其职权以书面形式授予其任命的监理人代表、造价咨询人代表、设计顾问人代表，亦可将其授权撤回。任何此类任命或撤回，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天以书面形式通知发包人和承包人。未将有关文件送交发包人和承包人之前，任何此类任命或撤回均为无效。</w:t>
      </w:r>
    </w:p>
    <w:p w14:paraId="0EF6E7C1">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3287B26B">
      <w:pPr>
        <w:pStyle w:val="4"/>
        <w:tabs>
          <w:tab w:val="left" w:pos="420"/>
        </w:tabs>
        <w:spacing w:before="120" w:after="120" w:line="360" w:lineRule="auto"/>
        <w:rPr>
          <w:rFonts w:ascii="仿宋" w:hAnsi="仿宋" w:eastAsia="仿宋"/>
          <w:color w:val="auto"/>
          <w:sz w:val="24"/>
          <w:szCs w:val="24"/>
          <w:highlight w:val="none"/>
          <w:lang w:eastAsia="zh-CN"/>
        </w:rPr>
      </w:pPr>
      <w:bookmarkStart w:id="419" w:name="_Toc16099"/>
      <w:bookmarkStart w:id="420" w:name="_Toc18754"/>
      <w:bookmarkStart w:id="421" w:name="_Toc47694296"/>
      <w:bookmarkStart w:id="422" w:name="_Toc23682"/>
      <w:bookmarkStart w:id="423" w:name="_Toc29414"/>
      <w:bookmarkStart w:id="424" w:name="_Toc17685"/>
      <w:bookmarkStart w:id="425" w:name="_Toc24847"/>
      <w:bookmarkStart w:id="426" w:name="_Toc21279"/>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发包人代表</w:t>
      </w:r>
      <w:bookmarkEnd w:id="419"/>
      <w:bookmarkEnd w:id="420"/>
      <w:bookmarkEnd w:id="421"/>
      <w:bookmarkEnd w:id="422"/>
      <w:bookmarkEnd w:id="423"/>
      <w:bookmarkEnd w:id="424"/>
      <w:bookmarkEnd w:id="425"/>
      <w:bookmarkEnd w:id="426"/>
    </w:p>
    <w:p w14:paraId="0656EAEC">
      <w:pPr>
        <w:rPr>
          <w:rFonts w:hint="eastAsia" w:ascii="仿宋" w:hAnsi="仿宋" w:eastAsia="仿宋"/>
          <w:b/>
          <w:bCs/>
          <w:color w:val="auto"/>
          <w:highlight w:val="none"/>
          <w:lang w:eastAsia="zh-CN"/>
        </w:rPr>
      </w:pPr>
      <w:bookmarkStart w:id="427" w:name="_Toc2568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.1</w:t>
      </w:r>
      <w:bookmarkEnd w:id="427"/>
    </w:p>
    <w:p w14:paraId="5CE16811">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53340</wp:posOffset>
                </wp:positionV>
                <wp:extent cx="851535" cy="459105"/>
                <wp:effectExtent l="0" t="0" r="0" b="0"/>
                <wp:wrapNone/>
                <wp:docPr id="84" name="000157"/>
                <wp:cNvGraphicFramePr/>
                <a:graphic xmlns:a="http://schemas.openxmlformats.org/drawingml/2006/main">
                  <a:graphicData uri="http://schemas.microsoft.com/office/word/2010/wordprocessingShape">
                    <wps:wsp>
                      <wps:cNvSpPr txBox="1"/>
                      <wps:spPr>
                        <a:xfrm>
                          <a:off x="0" y="0"/>
                          <a:ext cx="851535" cy="459105"/>
                        </a:xfrm>
                        <a:prstGeom prst="rect">
                          <a:avLst/>
                        </a:prstGeom>
                        <a:noFill/>
                        <a:ln>
                          <a:noFill/>
                        </a:ln>
                        <a:effectLst/>
                      </wps:spPr>
                      <wps:txbx>
                        <w:txbxContent>
                          <w:p w14:paraId="7EC0B8CE">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p w14:paraId="1A375426"/>
                        </w:txbxContent>
                      </wps:txbx>
                      <wps:bodyPr wrap="square" upright="1"/>
                    </wps:wsp>
                  </a:graphicData>
                </a:graphic>
              </wp:anchor>
            </w:drawing>
          </mc:Choice>
          <mc:Fallback>
            <w:pict>
              <v:shape id="000157" o:spid="_x0000_s1026" o:spt="202" type="#_x0000_t202" style="position:absolute;left:0pt;margin-left:-9pt;margin-top:4.2pt;height:36.15pt;width:67.05pt;z-index:251744256;mso-width-relative:page;mso-height-relative:page;" filled="f" stroked="f" coordsize="21600,21600" o:gfxdata="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JH2wh1QAAAAgB&#10;AAAPAAAAAAAAAAEAIAAAACIAAABkcnMvZG93bnJldi54bWxQSwECFAAUAAAACACHTuJAIy2zQawB&#10;AABlAwAADgAAAAAAAAABACAAAAAkAQAAZHJzL2Uyb0RvYy54bWxQSwUGAAAAAAYABgBZAQAAQgUA&#10;AAAA&#10;">
                <v:fill on="f" focussize="0,0"/>
                <v:stroke on="f"/>
                <v:imagedata o:title=""/>
                <o:lock v:ext="edit" aspectratio="f"/>
                <v:textbox>
                  <w:txbxContent>
                    <w:p w14:paraId="7EC0B8CE">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p w14:paraId="1A375426"/>
                  </w:txbxContent>
                </v:textbox>
              </v:shape>
            </w:pict>
          </mc:Fallback>
        </mc:AlternateContent>
      </w:r>
      <w:r>
        <w:rPr>
          <w:rFonts w:hint="eastAsia" w:ascii="仿宋" w:hAnsi="仿宋" w:eastAsia="仿宋" w:cs="仿宋"/>
          <w:color w:val="auto"/>
          <w:highlight w:val="none"/>
          <w:lang w:eastAsia="zh-CN"/>
        </w:rPr>
        <w:t>发包人应在专用条款中写明发包人代表具体人选，并在开工前将发包人代表任命书以书面形式通知承包人，授予其代表发包人履行合同约定职责所需的一切权力。除专用条款另有约定外，发包人不应对发包人代表的权力另有限制。</w:t>
      </w:r>
    </w:p>
    <w:p w14:paraId="67BCEB3C">
      <w:pPr>
        <w:pStyle w:val="23"/>
        <w:tabs>
          <w:tab w:val="left" w:pos="1320"/>
          <w:tab w:val="left" w:pos="1620"/>
        </w:tabs>
        <w:spacing w:line="360" w:lineRule="auto"/>
        <w:rPr>
          <w:rFonts w:ascii="仿宋" w:hAnsi="仿宋" w:eastAsia="仿宋"/>
          <w:b/>
          <w:bCs/>
          <w:color w:val="auto"/>
          <w:sz w:val="24"/>
          <w:szCs w:val="24"/>
          <w:highlight w:val="none"/>
          <w:lang w:eastAsia="zh-CN"/>
        </w:rPr>
      </w:pPr>
      <w:bookmarkStart w:id="428" w:name="_Toc2245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.2</w:t>
      </w:r>
      <w:bookmarkEnd w:id="428"/>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5F7A2BE4">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76200</wp:posOffset>
                </wp:positionV>
                <wp:extent cx="823595" cy="506730"/>
                <wp:effectExtent l="0" t="0" r="0" b="0"/>
                <wp:wrapNone/>
                <wp:docPr id="85" name="000158"/>
                <wp:cNvGraphicFramePr/>
                <a:graphic xmlns:a="http://schemas.openxmlformats.org/drawingml/2006/main">
                  <a:graphicData uri="http://schemas.microsoft.com/office/word/2010/wordprocessingShape">
                    <wps:wsp>
                      <wps:cNvSpPr txBox="1"/>
                      <wps:spPr>
                        <a:xfrm>
                          <a:off x="0" y="0"/>
                          <a:ext cx="823595" cy="506730"/>
                        </a:xfrm>
                        <a:prstGeom prst="rect">
                          <a:avLst/>
                        </a:prstGeom>
                        <a:noFill/>
                        <a:ln>
                          <a:noFill/>
                        </a:ln>
                        <a:effectLst/>
                      </wps:spPr>
                      <wps:txbx>
                        <w:txbxContent>
                          <w:p w14:paraId="7B55DE63">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p w14:paraId="4ABDA001"/>
                        </w:txbxContent>
                      </wps:txbx>
                      <wps:bodyPr wrap="square" upright="1"/>
                    </wps:wsp>
                  </a:graphicData>
                </a:graphic>
              </wp:anchor>
            </w:drawing>
          </mc:Choice>
          <mc:Fallback>
            <w:pict>
              <v:shape id="000158" o:spid="_x0000_s1026" o:spt="202" type="#_x0000_t202" style="position:absolute;left:0pt;margin-left:-9pt;margin-top:6pt;height:39.9pt;width:64.85pt;z-index:251745280;mso-width-relative:page;mso-height-relative:page;" filled="f" stroked="f" coordsize="21600,21600" o:gfxdata="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nEjBdYAAAAJ&#10;AQAADwAAAAAAAAABACAAAAAiAAAAZHJzL2Rvd25yZXYueG1sUEsBAhQAFAAAAAgAh07iQB3nMues&#10;AQAAZQMAAA4AAAAAAAAAAQAgAAAAJQEAAGRycy9lMm9Eb2MueG1sUEsFBgAAAAAGAAYAWQEAAEMF&#10;AAAAAA==&#10;">
                <v:fill on="f" focussize="0,0"/>
                <v:stroke on="f"/>
                <v:imagedata o:title=""/>
                <o:lock v:ext="edit" aspectratio="f"/>
                <v:textbox>
                  <w:txbxContent>
                    <w:p w14:paraId="7B55DE63">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p w14:paraId="4ABDA001"/>
                  </w:txbxContent>
                </v:textbox>
              </v:shape>
            </w:pict>
          </mc:Fallback>
        </mc:AlternateContent>
      </w:r>
      <w:r>
        <w:rPr>
          <w:rFonts w:hint="eastAsia" w:ascii="仿宋" w:hAnsi="仿宋" w:eastAsia="仿宋" w:cs="仿宋"/>
          <w:color w:val="auto"/>
          <w:highlight w:val="none"/>
          <w:lang w:eastAsia="zh-CN"/>
        </w:rPr>
        <w:t>发包人代表应代表发包人履行合同约定的职责、行使合同明文约定和必然隐含的权力，对发包人负责。发包人代表在发包人授予职权范围内工作，发包人应予认可。</w:t>
      </w:r>
    </w:p>
    <w:p w14:paraId="6DD84A31">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发包人代表应在发包人的授权范围内，负责处理合同履行过程中与发包人有关的具体事宜。发包人代表在授权范围内的行为由发包人承担法律责任。</w:t>
      </w:r>
    </w:p>
    <w:p w14:paraId="40BCFB51">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p>
    <w:p w14:paraId="408AFC4B">
      <w:pPr>
        <w:spacing w:line="360" w:lineRule="auto"/>
        <w:rPr>
          <w:rFonts w:hint="eastAsia"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283F2319">
      <w:pPr>
        <w:pStyle w:val="4"/>
        <w:tabs>
          <w:tab w:val="left" w:pos="420"/>
        </w:tabs>
        <w:spacing w:before="120" w:after="120" w:line="360" w:lineRule="auto"/>
        <w:rPr>
          <w:rFonts w:ascii="仿宋" w:hAnsi="仿宋" w:eastAsia="仿宋"/>
          <w:color w:val="auto"/>
          <w:sz w:val="24"/>
          <w:szCs w:val="24"/>
          <w:highlight w:val="none"/>
          <w:lang w:eastAsia="zh-CN"/>
        </w:rPr>
      </w:pPr>
      <w:bookmarkStart w:id="429" w:name="_Toc32414576"/>
      <w:bookmarkStart w:id="430" w:name="_Toc32421"/>
      <w:bookmarkStart w:id="431" w:name="_Toc14650"/>
      <w:bookmarkStart w:id="432" w:name="_Toc28171"/>
      <w:bookmarkStart w:id="433" w:name="_Toc2539"/>
      <w:bookmarkStart w:id="434" w:name="_Toc23323"/>
      <w:bookmarkStart w:id="435" w:name="_Toc18094"/>
      <w:bookmarkStart w:id="436" w:name="_Toc20519"/>
      <w:bookmarkStart w:id="437" w:name="_Toc47694297"/>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 xml:space="preserve">  </w:t>
      </w:r>
      <w:bookmarkEnd w:id="429"/>
      <w:r>
        <w:rPr>
          <w:rFonts w:hint="eastAsia" w:ascii="仿宋" w:hAnsi="仿宋" w:eastAsia="仿宋" w:cs="仿宋"/>
          <w:color w:val="auto"/>
          <w:sz w:val="24"/>
          <w:szCs w:val="24"/>
          <w:highlight w:val="none"/>
          <w:lang w:eastAsia="zh-CN"/>
        </w:rPr>
        <w:t>设计顾问人</w:t>
      </w:r>
      <w:bookmarkEnd w:id="430"/>
      <w:bookmarkEnd w:id="431"/>
      <w:bookmarkEnd w:id="432"/>
      <w:bookmarkEnd w:id="433"/>
      <w:bookmarkEnd w:id="434"/>
      <w:bookmarkEnd w:id="435"/>
      <w:bookmarkEnd w:id="436"/>
      <w:bookmarkEnd w:id="437"/>
    </w:p>
    <w:p w14:paraId="2B685FD9">
      <w:pPr>
        <w:tabs>
          <w:tab w:val="left" w:pos="1260"/>
        </w:tabs>
        <w:spacing w:line="400" w:lineRule="exact"/>
        <w:rPr>
          <w:rFonts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.1</w:t>
      </w:r>
    </w:p>
    <w:p w14:paraId="1D4BF688">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45720</wp:posOffset>
                </wp:positionV>
                <wp:extent cx="850900" cy="607060"/>
                <wp:effectExtent l="0" t="0" r="0" b="0"/>
                <wp:wrapNone/>
                <wp:docPr id="86" name="000159"/>
                <wp:cNvGraphicFramePr/>
                <a:graphic xmlns:a="http://schemas.openxmlformats.org/drawingml/2006/main">
                  <a:graphicData uri="http://schemas.microsoft.com/office/word/2010/wordprocessingShape">
                    <wps:wsp>
                      <wps:cNvSpPr txBox="1"/>
                      <wps:spPr>
                        <a:xfrm>
                          <a:off x="0" y="0"/>
                          <a:ext cx="850900" cy="607060"/>
                        </a:xfrm>
                        <a:prstGeom prst="rect">
                          <a:avLst/>
                        </a:prstGeom>
                        <a:noFill/>
                        <a:ln>
                          <a:noFill/>
                        </a:ln>
                        <a:effectLst/>
                      </wps:spPr>
                      <wps:txbx>
                        <w:txbxContent>
                          <w:p w14:paraId="413096F9">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p w14:paraId="075E36E9">
                            <w:pPr>
                              <w:rPr>
                                <w:lang w:eastAsia="zh-CN"/>
                              </w:rPr>
                            </w:pPr>
                          </w:p>
                        </w:txbxContent>
                      </wps:txbx>
                      <wps:bodyPr wrap="square" upright="1"/>
                    </wps:wsp>
                  </a:graphicData>
                </a:graphic>
              </wp:anchor>
            </w:drawing>
          </mc:Choice>
          <mc:Fallback>
            <w:pict>
              <v:shape id="000159" o:spid="_x0000_s1026" o:spt="202" type="#_x0000_t202" style="position:absolute;left:0pt;margin-left:-9pt;margin-top:3.6pt;height:47.8pt;width:67pt;z-index:251746304;mso-width-relative:page;mso-height-relative:page;" filled="f" stroked="f" coordsize="21600,21600" o:gfxdata="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078hi1gAAAAkB&#10;AAAPAAAAAAAAAAEAIAAAACIAAABkcnMvZG93bnJldi54bWxQSwECFAAUAAAACACHTuJAh6iehqsB&#10;AABlAwAADgAAAAAAAAABACAAAAAlAQAAZHJzL2Uyb0RvYy54bWxQSwUGAAAAAAYABgBZAQAAQgUA&#10;AAAA&#10;">
                <v:fill on="f" focussize="0,0"/>
                <v:stroke on="f"/>
                <v:imagedata o:title=""/>
                <o:lock v:ext="edit" aspectratio="f"/>
                <v:textbox>
                  <w:txbxContent>
                    <w:p w14:paraId="413096F9">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p w14:paraId="075E36E9">
                      <w:pPr>
                        <w:rPr>
                          <w:lang w:eastAsia="zh-CN"/>
                        </w:rPr>
                      </w:pPr>
                    </w:p>
                  </w:txbxContent>
                </v:textbox>
              </v:shape>
            </w:pict>
          </mc:Fallback>
        </mc:AlternateContent>
      </w:r>
      <w:r>
        <w:rPr>
          <w:rFonts w:hint="eastAsia" w:ascii="仿宋" w:hAnsi="仿宋" w:eastAsia="仿宋" w:cs="仿宋"/>
          <w:color w:val="auto"/>
          <w:highlight w:val="none"/>
          <w:lang w:eastAsia="zh-CN"/>
        </w:rPr>
        <w:t>发包人应在专用条款中写明协助其对工程勘察设计活动进行监督管理的设计顾问人名称及设计顾问人代表，并在开始工作前将设计顾问人及设计顾问人代表以书面形式通知承包人，授予其代表发包人履行合同约定职责所需的权力。</w:t>
      </w:r>
    </w:p>
    <w:p w14:paraId="6B747EDF">
      <w:pPr>
        <w:spacing w:line="360" w:lineRule="auto"/>
        <w:rPr>
          <w:rFonts w:ascii="仿宋" w:hAnsi="仿宋" w:eastAsia="仿宋"/>
          <w:b/>
          <w:bCs/>
          <w:color w:val="auto"/>
          <w:highlight w:val="none"/>
          <w:lang w:eastAsia="zh-CN"/>
        </w:rPr>
      </w:pPr>
      <w:bookmarkStart w:id="438" w:name="_Toc1611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.2</w:t>
      </w:r>
      <w:bookmarkEnd w:id="43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D3AF6C2">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-1270</wp:posOffset>
                </wp:positionV>
                <wp:extent cx="762635" cy="459740"/>
                <wp:effectExtent l="0" t="0" r="0" b="0"/>
                <wp:wrapNone/>
                <wp:docPr id="87" name="00015a"/>
                <wp:cNvGraphicFramePr/>
                <a:graphic xmlns:a="http://schemas.openxmlformats.org/drawingml/2006/main">
                  <a:graphicData uri="http://schemas.microsoft.com/office/word/2010/wordprocessingShape">
                    <wps:wsp>
                      <wps:cNvSpPr txBox="1"/>
                      <wps:spPr>
                        <a:xfrm>
                          <a:off x="0" y="0"/>
                          <a:ext cx="762635" cy="459740"/>
                        </a:xfrm>
                        <a:prstGeom prst="rect">
                          <a:avLst/>
                        </a:prstGeom>
                        <a:noFill/>
                        <a:ln>
                          <a:noFill/>
                        </a:ln>
                        <a:effectLst/>
                      </wps:spPr>
                      <wps:txbx>
                        <w:txbxContent>
                          <w:p w14:paraId="5A1685E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p w14:paraId="0C9AD0D3"/>
                        </w:txbxContent>
                      </wps:txbx>
                      <wps:bodyPr wrap="square" upright="1"/>
                    </wps:wsp>
                  </a:graphicData>
                </a:graphic>
              </wp:anchor>
            </w:drawing>
          </mc:Choice>
          <mc:Fallback>
            <w:pict>
              <v:shape id="00015a" o:spid="_x0000_s1026" o:spt="202" type="#_x0000_t202" style="position:absolute;left:0pt;margin-left:-9pt;margin-top:-0.1pt;height:36.2pt;width:60.05pt;z-index:251747328;mso-width-relative:page;mso-height-relative:page;" filled="f" stroked="f" coordsize="21600,21600" o:gfxdata="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YKyyudUAAAAI&#10;AQAADwAAAAAAAAABACAAAAAiAAAAZHJzL2Rvd25yZXYueG1sUEsBAhQAFAAAAAgAh07iQJl67CGt&#10;AQAAZQMAAA4AAAAAAAAAAQAgAAAAJAEAAGRycy9lMm9Eb2MueG1sUEsFBgAAAAAGAAYAWQEAAEMF&#10;AAAAAA==&#10;">
                <v:fill on="f" focussize="0,0"/>
                <v:stroke on="f"/>
                <v:imagedata o:title=""/>
                <o:lock v:ext="edit" aspectratio="f"/>
                <v:textbox>
                  <w:txbxContent>
                    <w:p w14:paraId="5A1685E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p w14:paraId="0C9AD0D3"/>
                  </w:txbxContent>
                </v:textbox>
              </v:shape>
            </w:pict>
          </mc:Fallback>
        </mc:AlternateContent>
      </w:r>
      <w:r>
        <w:rPr>
          <w:rFonts w:hint="eastAsia" w:ascii="仿宋" w:hAnsi="仿宋" w:eastAsia="仿宋" w:cs="仿宋"/>
          <w:color w:val="auto"/>
          <w:highlight w:val="none"/>
          <w:lang w:eastAsia="zh-CN"/>
        </w:rPr>
        <w:t>设计顾问人行使合同明文约定和必然隐含的职权，协助发包人负责建设方案优化调整、设计要求编写、工程材料比选、工程设备比选、限额设计管理、勘察设计进度检查、初步设计审核、施工图审核、专业工程设计图审核、设计文件深度检查、建筑信息模型（BIM）审核、设计</w:t>
      </w:r>
      <w:r>
        <w:rPr>
          <w:rFonts w:hint="eastAsia" w:ascii="仿宋" w:hAnsi="仿宋" w:eastAsia="仿宋"/>
          <w:color w:val="auto"/>
          <w:highlight w:val="none"/>
          <w:lang w:eastAsia="zh-CN"/>
        </w:rPr>
        <w:t>优化建议、设计变更审核、参与设计评审、参与竣工验收，</w:t>
      </w:r>
      <w:r>
        <w:rPr>
          <w:rFonts w:hint="eastAsia" w:ascii="仿宋" w:hAnsi="仿宋" w:eastAsia="仿宋" w:cs="仿宋"/>
          <w:color w:val="auto"/>
          <w:highlight w:val="none"/>
          <w:lang w:eastAsia="zh-CN"/>
        </w:rPr>
        <w:t>并及时向承包人提供勘察设计工作方面所需的批准、确认和通知等指令，保障工程勘察设计的进度、安全、质量与经济合理。设计顾问人无权免除或变更合同约定的合同任何一方当事人在合同履行期间的权利和义务。设计顾问人的具体咨询工作内容和工作权限，由合同当事人在专用条款中约定。</w:t>
      </w:r>
    </w:p>
    <w:p w14:paraId="16BBB3B2">
      <w:pPr>
        <w:spacing w:line="360" w:lineRule="auto"/>
        <w:rPr>
          <w:rFonts w:ascii="仿宋" w:hAnsi="仿宋" w:eastAsia="仿宋"/>
          <w:b/>
          <w:bCs/>
          <w:color w:val="auto"/>
          <w:highlight w:val="none"/>
          <w:lang w:eastAsia="zh-CN"/>
        </w:rPr>
      </w:pPr>
      <w:bookmarkStart w:id="439" w:name="_Toc1502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.3</w:t>
      </w:r>
      <w:bookmarkEnd w:id="43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1D05A8C">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0</wp:posOffset>
                </wp:positionV>
                <wp:extent cx="798830" cy="615950"/>
                <wp:effectExtent l="0" t="0" r="0" b="0"/>
                <wp:wrapNone/>
                <wp:docPr id="88" name="00015b"/>
                <wp:cNvGraphicFramePr/>
                <a:graphic xmlns:a="http://schemas.openxmlformats.org/drawingml/2006/main">
                  <a:graphicData uri="http://schemas.microsoft.com/office/word/2010/wordprocessingShape">
                    <wps:wsp>
                      <wps:cNvSpPr txBox="1"/>
                      <wps:spPr>
                        <a:xfrm>
                          <a:off x="0" y="0"/>
                          <a:ext cx="798830" cy="615950"/>
                        </a:xfrm>
                        <a:prstGeom prst="rect">
                          <a:avLst/>
                        </a:prstGeom>
                        <a:noFill/>
                        <a:ln>
                          <a:noFill/>
                        </a:ln>
                        <a:effectLst/>
                      </wps:spPr>
                      <wps:txbx>
                        <w:txbxContent>
                          <w:p w14:paraId="28D0B37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p w14:paraId="1B59EE51"/>
                        </w:txbxContent>
                      </wps:txbx>
                      <wps:bodyPr wrap="square" upright="1"/>
                    </wps:wsp>
                  </a:graphicData>
                </a:graphic>
              </wp:anchor>
            </w:drawing>
          </mc:Choice>
          <mc:Fallback>
            <w:pict>
              <v:shape id="00015b" o:spid="_x0000_s1026" o:spt="202" type="#_x0000_t202" style="position:absolute;left:0pt;margin-left:-9pt;margin-top:0pt;height:48.5pt;width:62.9pt;z-index:251748352;mso-width-relative:page;mso-height-relative:page;" filled="f" stroked="f" coordsize="21600,21600" o:gfxdata="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eXuDk1QAAAAcB&#10;AAAPAAAAAAAAAAEAIAAAACIAAABkcnMvZG93bnJldi54bWxQSwECFAAUAAAACACHTuJAsQTwQawB&#10;AABlAwAADgAAAAAAAAABACAAAAAkAQAAZHJzL2Uyb0RvYy54bWxQSwUGAAAAAAYABgBZAQAAQgUA&#10;AAAA&#10;">
                <v:fill on="f" focussize="0,0"/>
                <v:stroke on="f"/>
                <v:imagedata o:title=""/>
                <o:lock v:ext="edit" aspectratio="f"/>
                <v:textbox>
                  <w:txbxContent>
                    <w:p w14:paraId="28D0B37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p w14:paraId="1B59EE51"/>
                  </w:txbxContent>
                </v:textbox>
              </v:shape>
            </w:pict>
          </mc:Fallback>
        </mc:AlternateContent>
      </w:r>
      <w:r>
        <w:rPr>
          <w:rFonts w:hint="eastAsia" w:ascii="仿宋" w:hAnsi="仿宋" w:eastAsia="仿宋" w:cs="仿宋"/>
          <w:color w:val="auto"/>
          <w:highlight w:val="none"/>
          <w:lang w:eastAsia="zh-CN"/>
        </w:rPr>
        <w:t>除属于第91条约定的争议外，设计顾问人在职权范围内的工作，发包人应予认可，但下列事项应事先取得发包人的专项批准：</w:t>
      </w:r>
    </w:p>
    <w:p w14:paraId="70509472">
      <w:pPr>
        <w:widowControl w:val="0"/>
        <w:tabs>
          <w:tab w:val="left" w:pos="126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（1）批准承包人提供的配合施工的大样图、加工图等施工设计图纸；</w:t>
      </w:r>
    </w:p>
    <w:p w14:paraId="3FB66F05">
      <w:pPr>
        <w:widowControl w:val="0"/>
        <w:tabs>
          <w:tab w:val="left" w:pos="12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（2）根据第5.1款约定发出的发包人要求（包括限额设计指标）；</w:t>
      </w:r>
    </w:p>
    <w:p w14:paraId="52A008E1">
      <w:pPr>
        <w:widowControl w:val="0"/>
        <w:tabs>
          <w:tab w:val="left" w:pos="126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（3）根据第6.1款约定发出的项目基础资料；</w:t>
      </w:r>
    </w:p>
    <w:p w14:paraId="6FF485B0">
      <w:pPr>
        <w:widowControl w:val="0"/>
        <w:tabs>
          <w:tab w:val="left" w:pos="126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（4）根据第37条、38条约定批准或发出关于勘察、设计文件的指令；</w:t>
      </w:r>
    </w:p>
    <w:p w14:paraId="12B58715">
      <w:pPr>
        <w:widowControl w:val="0"/>
        <w:tabs>
          <w:tab w:val="left" w:pos="12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（5）根据第41</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款约定批准或发出关于勘察、设计方面开始工作的指令；</w:t>
      </w:r>
    </w:p>
    <w:p w14:paraId="6CE3A623">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（6）根据第44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款约定批准或发出关于勘察、设计方面工作进度的变更指令；</w:t>
      </w:r>
    </w:p>
    <w:p w14:paraId="4F5131CE">
      <w:pPr>
        <w:widowControl w:val="0"/>
        <w:tabs>
          <w:tab w:val="left" w:pos="12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（7）根据第63条约定批准或发出关于工程变更技术审核方面的指令；</w:t>
      </w:r>
    </w:p>
    <w:p w14:paraId="2ECFADFF">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（8）专用条款约定关于勘察设计方面需要发包人确认或批准的其他事项。</w:t>
      </w:r>
    </w:p>
    <w:p w14:paraId="1D9687E8">
      <w:pPr>
        <w:spacing w:line="360" w:lineRule="auto"/>
        <w:rPr>
          <w:rFonts w:ascii="仿宋" w:hAnsi="仿宋" w:eastAsia="仿宋"/>
          <w:b/>
          <w:bCs/>
          <w:color w:val="auto"/>
          <w:highlight w:val="none"/>
          <w:lang w:eastAsia="zh-CN"/>
        </w:rPr>
      </w:pPr>
      <w:bookmarkStart w:id="440" w:name="_Toc15784"/>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.4</w:t>
      </w:r>
      <w:bookmarkEnd w:id="44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76456AE">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878205" cy="444500"/>
                <wp:effectExtent l="0" t="0" r="0" b="0"/>
                <wp:wrapNone/>
                <wp:docPr id="89" name="00015c"/>
                <wp:cNvGraphicFramePr/>
                <a:graphic xmlns:a="http://schemas.openxmlformats.org/drawingml/2006/main">
                  <a:graphicData uri="http://schemas.microsoft.com/office/word/2010/wordprocessingShape">
                    <wps:wsp>
                      <wps:cNvSpPr txBox="1"/>
                      <wps:spPr>
                        <a:xfrm>
                          <a:off x="0" y="0"/>
                          <a:ext cx="878205" cy="444500"/>
                        </a:xfrm>
                        <a:prstGeom prst="rect">
                          <a:avLst/>
                        </a:prstGeom>
                        <a:noFill/>
                        <a:ln>
                          <a:noFill/>
                        </a:ln>
                        <a:effectLst/>
                      </wps:spPr>
                      <wps:txbx>
                        <w:txbxContent>
                          <w:p w14:paraId="43EB3E2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p w14:paraId="12B8C3C4"/>
                        </w:txbxContent>
                      </wps:txbx>
                      <wps:bodyPr wrap="square" upright="1"/>
                    </wps:wsp>
                  </a:graphicData>
                </a:graphic>
              </wp:anchor>
            </w:drawing>
          </mc:Choice>
          <mc:Fallback>
            <w:pict>
              <v:shape id="00015c" o:spid="_x0000_s1026" o:spt="202" type="#_x0000_t202" style="position:absolute;left:0pt;margin-left:-9pt;margin-top:0pt;height:35pt;width:69.15pt;z-index:251749376;mso-width-relative:page;mso-height-relative:page;" filled="f" stroked="f" coordsize="21600,21600" o:gfxdata="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vTntl1QAAAAcB&#10;AAAPAAAAAAAAAAEAIAAAACIAAABkcnMvZG93bnJldi54bWxQSwECFAAUAAAACACHTuJArcEp46wB&#10;AABlAwAADgAAAAAAAAABACAAAAAkAQAAZHJzL2Uyb0RvYy54bWxQSwUGAAAAAAYABgBZAQAAQgUA&#10;AAAA&#10;">
                <v:fill on="f" focussize="0,0"/>
                <v:stroke on="f"/>
                <v:imagedata o:title=""/>
                <o:lock v:ext="edit" aspectratio="f"/>
                <v:textbox>
                  <w:txbxContent>
                    <w:p w14:paraId="43EB3E2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p w14:paraId="12B8C3C4"/>
                  </w:txbxContent>
                </v:textbox>
              </v:shape>
            </w:pict>
          </mc:Fallback>
        </mc:AlternateContent>
      </w:r>
      <w:r>
        <w:rPr>
          <w:rFonts w:hint="eastAsia" w:ascii="仿宋" w:hAnsi="仿宋" w:eastAsia="仿宋" w:cs="仿宋"/>
          <w:color w:val="auto"/>
          <w:highlight w:val="none"/>
          <w:lang w:eastAsia="zh-CN"/>
        </w:rPr>
        <w:t>设计顾问人应按照合同约定时间向承包人提供实施合同工程的勘察、设计、BIM技术应用、竣工验收等工作所需的核实、调整和通知等指令。</w:t>
      </w:r>
    </w:p>
    <w:p w14:paraId="00E6F83D">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设计顾问人提供的指令，首先应通过发包人批准，并采用书面形式。在紧急情况下，设计顾问工程师可发出口头指令，但应在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小时内给予书面确认。对设计顾问工程师的口头指令，承包人应予执行。如果承包人在设计顾问工程师发出的口头指令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天内向设计顾问人发出书面确认函。设计顾问咨询人应在承包人发出书面确认函后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740A2EE2">
      <w:pPr>
        <w:spacing w:line="360" w:lineRule="auto"/>
        <w:rPr>
          <w:rFonts w:ascii="仿宋" w:hAnsi="仿宋" w:eastAsia="仿宋"/>
          <w:b/>
          <w:bCs/>
          <w:color w:val="auto"/>
          <w:highlight w:val="none"/>
          <w:lang w:eastAsia="zh-CN"/>
        </w:rPr>
      </w:pPr>
      <w:bookmarkStart w:id="441" w:name="_Toc2638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.5</w:t>
      </w:r>
      <w:bookmarkEnd w:id="44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490E59B">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15240</wp:posOffset>
                </wp:positionV>
                <wp:extent cx="786130" cy="583565"/>
                <wp:effectExtent l="0" t="0" r="0" b="0"/>
                <wp:wrapNone/>
                <wp:docPr id="90" name="00015d"/>
                <wp:cNvGraphicFramePr/>
                <a:graphic xmlns:a="http://schemas.openxmlformats.org/drawingml/2006/main">
                  <a:graphicData uri="http://schemas.microsoft.com/office/word/2010/wordprocessingShape">
                    <wps:wsp>
                      <wps:cNvSpPr txBox="1"/>
                      <wps:spPr>
                        <a:xfrm>
                          <a:off x="0" y="0"/>
                          <a:ext cx="786130" cy="583565"/>
                        </a:xfrm>
                        <a:prstGeom prst="rect">
                          <a:avLst/>
                        </a:prstGeom>
                        <a:noFill/>
                        <a:ln>
                          <a:noFill/>
                        </a:ln>
                        <a:effectLst/>
                      </wps:spPr>
                      <wps:txbx>
                        <w:txbxContent>
                          <w:p w14:paraId="0DF2A12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p w14:paraId="251A7971">
                            <w:pPr>
                              <w:rPr>
                                <w:lang w:eastAsia="zh-CN"/>
                              </w:rPr>
                            </w:pPr>
                          </w:p>
                        </w:txbxContent>
                      </wps:txbx>
                      <wps:bodyPr wrap="square" upright="1"/>
                    </wps:wsp>
                  </a:graphicData>
                </a:graphic>
              </wp:anchor>
            </w:drawing>
          </mc:Choice>
          <mc:Fallback>
            <w:pict>
              <v:shape id="00015d" o:spid="_x0000_s1026" o:spt="202" type="#_x0000_t202" style="position:absolute;left:0pt;margin-left:-9pt;margin-top:1.2pt;height:45.95pt;width:61.9pt;z-index:251750400;mso-width-relative:page;mso-height-relative:page;" filled="f" stroked="f" coordsize="21600,21600" o:gfxdata="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CXs09LWAAAACAEA&#10;AA8AAAAAAAAAAQAgAAAAIgAAAGRycy9kb3ducmV2LnhtbFBLAQIUABQAAAAIAIdO4kA0WsvSqgEA&#10;AGUDAAAOAAAAAAAAAAEAIAAAACUBAABkcnMvZTJvRG9jLnhtbFBLBQYAAAAABgAGAFkBAABBBQAA&#10;AAA=&#10;">
                <v:fill on="f" focussize="0,0"/>
                <v:stroke on="f"/>
                <v:imagedata o:title=""/>
                <o:lock v:ext="edit" aspectratio="f"/>
                <v:textbox>
                  <w:txbxContent>
                    <w:p w14:paraId="0DF2A12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p w14:paraId="251A7971">
                      <w:pPr>
                        <w:rPr>
                          <w:lang w:eastAsia="zh-CN"/>
                        </w:rPr>
                      </w:pPr>
                    </w:p>
                  </w:txbxContent>
                </v:textbox>
              </v:shape>
            </w:pict>
          </mc:Fallback>
        </mc:AlternateContent>
      </w:r>
      <w:r>
        <w:rPr>
          <w:rFonts w:hint="eastAsia" w:ascii="仿宋" w:hAnsi="仿宋" w:eastAsia="仿宋" w:cs="仿宋"/>
          <w:color w:val="auto"/>
          <w:highlight w:val="none"/>
          <w:lang w:eastAsia="zh-CN"/>
        </w:rPr>
        <w:t>如果承包人认为设计顾问人的指令不合理，应在收到指令后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小时内向设计顾问人提出书面报告，设计顾问人应在收到承包人报告后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小时内做出修改指令或继续执行原指令的决定，报经发包人批准后书面通知承包人。逾期不做出决定的，承包人可不执行设计顾问人的指令。</w:t>
      </w:r>
    </w:p>
    <w:p w14:paraId="4B20F567">
      <w:pPr>
        <w:spacing w:line="360" w:lineRule="auto"/>
        <w:rPr>
          <w:rFonts w:ascii="仿宋" w:hAnsi="仿宋" w:eastAsia="仿宋"/>
          <w:b/>
          <w:bCs/>
          <w:color w:val="auto"/>
          <w:highlight w:val="none"/>
          <w:lang w:eastAsia="zh-CN"/>
        </w:rPr>
      </w:pPr>
      <w:bookmarkStart w:id="442" w:name="_Toc2195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.6</w:t>
      </w:r>
      <w:bookmarkEnd w:id="44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5B9784E">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0</wp:posOffset>
                </wp:positionV>
                <wp:extent cx="794385" cy="507365"/>
                <wp:effectExtent l="0" t="0" r="0" b="0"/>
                <wp:wrapNone/>
                <wp:docPr id="91" name="00015e"/>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a:noFill/>
                        </a:ln>
                        <a:effectLst/>
                      </wps:spPr>
                      <wps:txbx>
                        <w:txbxContent>
                          <w:p w14:paraId="39F8D946">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p w14:paraId="446FC7B9"/>
                        </w:txbxContent>
                      </wps:txbx>
                      <wps:bodyPr wrap="square" upright="1"/>
                    </wps:wsp>
                  </a:graphicData>
                </a:graphic>
              </wp:anchor>
            </w:drawing>
          </mc:Choice>
          <mc:Fallback>
            <w:pict>
              <v:shape id="00015e" o:spid="_x0000_s1026" o:spt="202" type="#_x0000_t202" style="position:absolute;left:0pt;margin-left:-9pt;margin-top:0pt;height:39.95pt;width:62.55pt;z-index:251751424;mso-width-relative:page;mso-height-relative:page;" filled="f" stroked="f" coordsize="21600,21600" o:gfxdata="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9JmlzVAAAABwEA&#10;AA8AAAAAAAAAAQAgAAAAIgAAAGRycy9kb3ducmV2LnhtbFBLAQIUABQAAAAIAIdO4kBXrUpJqwEA&#10;AGUDAAAOAAAAAAAAAAEAIAAAACQBAABkcnMvZTJvRG9jLnhtbFBLBQYAAAAABgAGAFkBAABBBQAA&#10;AAA=&#10;">
                <v:fill on="f" focussize="0,0"/>
                <v:stroke on="f"/>
                <v:imagedata o:title=""/>
                <o:lock v:ext="edit" aspectratio="f"/>
                <v:textbox>
                  <w:txbxContent>
                    <w:p w14:paraId="39F8D946">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p w14:paraId="446FC7B9"/>
                  </w:txbxContent>
                </v:textbox>
              </v:shape>
            </w:pict>
          </mc:Fallback>
        </mc:AlternateContent>
      </w:r>
      <w:r>
        <w:rPr>
          <w:rFonts w:hint="eastAsia" w:ascii="仿宋" w:hAnsi="仿宋" w:eastAsia="仿宋" w:cs="仿宋"/>
          <w:color w:val="auto"/>
          <w:highlight w:val="none"/>
          <w:lang w:eastAsia="zh-CN"/>
        </w:rPr>
        <w:t>设计顾问人可按照第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设计顾问人代表，亦可将其授权撤回，设计顾问人代表行使设计顾问人授予的职权，对设计顾问人负责。设计顾问人代表在设计顾问人授予职权范围内工作，设计顾问人应予认可，但设计顾问人保留因设计顾问人代表未反对合同工程的勘察、设计、建筑信息模型（BIM）、竣工验收等方面的错误而否定该工作，并发出纠正指令的权力。</w:t>
      </w:r>
    </w:p>
    <w:p w14:paraId="2B0747B7">
      <w:pPr>
        <w:spacing w:line="360" w:lineRule="auto"/>
        <w:rPr>
          <w:rFonts w:ascii="仿宋" w:hAnsi="仿宋" w:eastAsia="仿宋"/>
          <w:color w:val="auto"/>
          <w:highlight w:val="none"/>
          <w:lang w:eastAsia="zh-CN"/>
        </w:rPr>
      </w:pPr>
      <w:bookmarkStart w:id="443" w:name="_Toc79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.7</w:t>
      </w:r>
      <w:bookmarkEnd w:id="443"/>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63BA0215">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0</wp:posOffset>
                </wp:positionV>
                <wp:extent cx="833120" cy="810260"/>
                <wp:effectExtent l="0" t="0" r="0" b="0"/>
                <wp:wrapNone/>
                <wp:docPr id="92" name="00015f"/>
                <wp:cNvGraphicFramePr/>
                <a:graphic xmlns:a="http://schemas.openxmlformats.org/drawingml/2006/main">
                  <a:graphicData uri="http://schemas.microsoft.com/office/word/2010/wordprocessingShape">
                    <wps:wsp>
                      <wps:cNvSpPr txBox="1"/>
                      <wps:spPr>
                        <a:xfrm>
                          <a:off x="0" y="0"/>
                          <a:ext cx="833120" cy="810260"/>
                        </a:xfrm>
                        <a:prstGeom prst="rect">
                          <a:avLst/>
                        </a:prstGeom>
                        <a:noFill/>
                        <a:ln>
                          <a:noFill/>
                        </a:ln>
                        <a:effectLst/>
                      </wps:spPr>
                      <wps:txbx>
                        <w:txbxContent>
                          <w:p w14:paraId="41C53DD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p w14:paraId="2923AFF4">
                            <w:pPr>
                              <w:rPr>
                                <w:lang w:eastAsia="zh-CN"/>
                              </w:rPr>
                            </w:pPr>
                          </w:p>
                        </w:txbxContent>
                      </wps:txbx>
                      <wps:bodyPr wrap="square" upright="1"/>
                    </wps:wsp>
                  </a:graphicData>
                </a:graphic>
              </wp:anchor>
            </w:drawing>
          </mc:Choice>
          <mc:Fallback>
            <w:pict>
              <v:shape id="00015f" o:spid="_x0000_s1026" o:spt="202" type="#_x0000_t202" style="position:absolute;left:0pt;margin-left:-9pt;margin-top:0pt;height:63.8pt;width:65.6pt;z-index:251752448;mso-width-relative:page;mso-height-relative:page;" filled="f" stroked="f" coordsize="21600,21600" o:gfxdata="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hcuJU1gAAAAgB&#10;AAAPAAAAAAAAAAEAIAAAACIAAABkcnMvZG93bnJldi54bWxQSwECFAAUAAAACACHTuJA9BKms6sB&#10;AABlAwAADgAAAAAAAAABACAAAAAlAQAAZHJzL2Uyb0RvYy54bWxQSwUGAAAAAAYABgBZAQAAQgUA&#10;AAAA&#10;">
                <v:fill on="f" focussize="0,0"/>
                <v:stroke on="f"/>
                <v:imagedata o:title=""/>
                <o:lock v:ext="edit" aspectratio="f"/>
                <v:textbox>
                  <w:txbxContent>
                    <w:p w14:paraId="41C53DD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p w14:paraId="2923AFF4">
                      <w:pPr>
                        <w:rPr>
                          <w:lang w:eastAsia="zh-CN"/>
                        </w:rPr>
                      </w:pPr>
                    </w:p>
                  </w:txbxContent>
                </v:textbox>
              </v:shape>
            </w:pict>
          </mc:Fallback>
        </mc:AlternateContent>
      </w:r>
      <w:r>
        <w:rPr>
          <w:rFonts w:hint="eastAsia" w:ascii="仿宋" w:hAnsi="仿宋" w:eastAsia="仿宋" w:cs="仿宋"/>
          <w:color w:val="auto"/>
          <w:highlight w:val="none"/>
          <w:lang w:eastAsia="zh-CN"/>
        </w:rPr>
        <w:t>设计顾问人（含其代表）未能正确完成本合同约定的全部义务，或工作出现失误，导致费用的增加和（或）延误的工期，由发包人承担；给承包人造成损失的，发包人应予赔偿。</w:t>
      </w:r>
    </w:p>
    <w:p w14:paraId="309A0559">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15BE62F0">
      <w:pPr>
        <w:pStyle w:val="4"/>
        <w:tabs>
          <w:tab w:val="left" w:pos="420"/>
        </w:tabs>
        <w:spacing w:before="120" w:after="120" w:line="360" w:lineRule="auto"/>
        <w:rPr>
          <w:rFonts w:hint="eastAsia" w:ascii="仿宋" w:hAnsi="仿宋" w:eastAsia="仿宋"/>
          <w:bCs w:val="0"/>
          <w:color w:val="auto"/>
          <w:sz w:val="24"/>
          <w:szCs w:val="24"/>
          <w:highlight w:val="none"/>
          <w:lang w:eastAsia="zh-CN"/>
        </w:rPr>
      </w:pPr>
      <w:bookmarkStart w:id="444" w:name="_Toc47694298"/>
      <w:bookmarkStart w:id="445" w:name="_Toc15277"/>
      <w:bookmarkStart w:id="446" w:name="_Toc18767"/>
      <w:bookmarkStart w:id="447" w:name="_Toc19587"/>
      <w:bookmarkStart w:id="448" w:name="_Toc26713"/>
      <w:bookmarkStart w:id="449" w:name="_Toc4596"/>
      <w:bookmarkStart w:id="450" w:name="_Toc21901"/>
      <w:bookmarkStart w:id="451" w:name="_Toc20789"/>
      <w:r>
        <w:rPr>
          <w:rFonts w:ascii="仿宋" w:hAnsi="仿宋" w:eastAsia="仿宋" w:cs="仿宋"/>
          <w:bCs w:val="0"/>
          <w:color w:val="auto"/>
          <w:sz w:val="24"/>
          <w:szCs w:val="24"/>
          <w:highlight w:val="none"/>
          <w:lang w:eastAsia="zh-CN"/>
        </w:rPr>
        <w:t>2</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监理人</w:t>
      </w:r>
      <w:bookmarkEnd w:id="444"/>
      <w:bookmarkEnd w:id="445"/>
      <w:bookmarkEnd w:id="446"/>
      <w:bookmarkEnd w:id="447"/>
      <w:bookmarkEnd w:id="448"/>
      <w:bookmarkEnd w:id="449"/>
      <w:bookmarkEnd w:id="450"/>
      <w:bookmarkEnd w:id="451"/>
    </w:p>
    <w:p w14:paraId="555F6402">
      <w:pPr>
        <w:rPr>
          <w:rFonts w:ascii="仿宋" w:hAnsi="仿宋" w:eastAsia="仿宋"/>
          <w:b/>
          <w:bCs/>
          <w:color w:val="auto"/>
          <w:highlight w:val="none"/>
          <w:lang w:eastAsia="zh-CN"/>
        </w:rPr>
      </w:pPr>
      <w:bookmarkStart w:id="452" w:name="_Toc2602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bookmarkEnd w:id="452"/>
    </w:p>
    <w:p w14:paraId="7E26C0E8">
      <w:pPr>
        <w:pStyle w:val="34"/>
        <w:widowControl w:val="0"/>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53340</wp:posOffset>
                </wp:positionV>
                <wp:extent cx="823595" cy="454660"/>
                <wp:effectExtent l="0" t="0" r="0" b="0"/>
                <wp:wrapNone/>
                <wp:docPr id="93" name="000160"/>
                <wp:cNvGraphicFramePr/>
                <a:graphic xmlns:a="http://schemas.openxmlformats.org/drawingml/2006/main">
                  <a:graphicData uri="http://schemas.microsoft.com/office/word/2010/wordprocessingShape">
                    <wps:wsp>
                      <wps:cNvSpPr txBox="1"/>
                      <wps:spPr>
                        <a:xfrm>
                          <a:off x="0" y="0"/>
                          <a:ext cx="823595" cy="454660"/>
                        </a:xfrm>
                        <a:prstGeom prst="rect">
                          <a:avLst/>
                        </a:prstGeom>
                        <a:noFill/>
                        <a:ln>
                          <a:noFill/>
                        </a:ln>
                        <a:effectLst/>
                      </wps:spPr>
                      <wps:txbx>
                        <w:txbxContent>
                          <w:p w14:paraId="4C432D44">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p w14:paraId="67AFE7D4"/>
                        </w:txbxContent>
                      </wps:txbx>
                      <wps:bodyPr wrap="square" upright="1"/>
                    </wps:wsp>
                  </a:graphicData>
                </a:graphic>
              </wp:anchor>
            </w:drawing>
          </mc:Choice>
          <mc:Fallback>
            <w:pict>
              <v:shape id="000160" o:spid="_x0000_s1026" o:spt="202" type="#_x0000_t202" style="position:absolute;left:0pt;margin-left:-9pt;margin-top:4.2pt;height:35.8pt;width:64.85pt;z-index:251753472;mso-width-relative:page;mso-height-relative:page;" filled="f" stroked="f" coordsize="21600,21600" o:gfxdata="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FjoC09UAAAAIAQAA&#10;DwAAAAAAAAABACAAAAAiAAAAZHJzL2Rvd25yZXYueG1sUEsBAhQAFAAAAAgAh07iQDZqhNGqAQAA&#10;ZQMAAA4AAAAAAAAAAQAgAAAAJAEAAGRycy9lMm9Eb2MueG1sUEsFBgAAAAAGAAYAWQEAAEAFAAAA&#10;AA==&#10;">
                <v:fill on="f" focussize="0,0"/>
                <v:stroke on="f"/>
                <v:imagedata o:title=""/>
                <o:lock v:ext="edit" aspectratio="f"/>
                <v:textbox>
                  <w:txbxContent>
                    <w:p w14:paraId="4C432D44">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p w14:paraId="67AFE7D4"/>
                  </w:txbxContent>
                </v:textbox>
              </v:shape>
            </w:pict>
          </mc:Fallback>
        </mc:AlternateContent>
      </w:r>
      <w:r>
        <w:rPr>
          <w:rFonts w:hint="eastAsia" w:ascii="仿宋" w:hAnsi="仿宋" w:eastAsia="仿宋" w:cs="仿宋"/>
          <w:color w:val="auto"/>
          <w:highlight w:val="none"/>
          <w:lang w:eastAsia="zh-CN"/>
        </w:rPr>
        <w:t>发包人应在专用条款中写明负责合同工程监理的监理人名称和监理人代表，并在开工前将监理人及监理人代表以书面形式通知承包人，授予其代表发包人履行合同约定职责所需的权力。</w:t>
      </w:r>
    </w:p>
    <w:p w14:paraId="451E39BB">
      <w:pPr>
        <w:spacing w:line="360" w:lineRule="auto"/>
        <w:rPr>
          <w:rFonts w:ascii="仿宋" w:hAnsi="仿宋" w:eastAsia="仿宋"/>
          <w:b/>
          <w:bCs/>
          <w:color w:val="auto"/>
          <w:highlight w:val="none"/>
          <w:lang w:eastAsia="zh-CN"/>
        </w:rPr>
      </w:pPr>
      <w:bookmarkStart w:id="453" w:name="_Toc2365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.2</w:t>
      </w:r>
      <w:bookmarkEnd w:id="45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4A55EE6">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38100</wp:posOffset>
                </wp:positionV>
                <wp:extent cx="813435" cy="504825"/>
                <wp:effectExtent l="0" t="0" r="0" b="0"/>
                <wp:wrapNone/>
                <wp:docPr id="94" name="000161"/>
                <wp:cNvGraphicFramePr/>
                <a:graphic xmlns:a="http://schemas.openxmlformats.org/drawingml/2006/main">
                  <a:graphicData uri="http://schemas.microsoft.com/office/word/2010/wordprocessingShape">
                    <wps:wsp>
                      <wps:cNvSpPr txBox="1"/>
                      <wps:spPr>
                        <a:xfrm>
                          <a:off x="0" y="0"/>
                          <a:ext cx="813435" cy="504825"/>
                        </a:xfrm>
                        <a:prstGeom prst="rect">
                          <a:avLst/>
                        </a:prstGeom>
                        <a:noFill/>
                        <a:ln>
                          <a:noFill/>
                        </a:ln>
                        <a:effectLst/>
                      </wps:spPr>
                      <wps:txbx>
                        <w:txbxContent>
                          <w:p w14:paraId="11F6918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p w14:paraId="371E6F42"/>
                        </w:txbxContent>
                      </wps:txbx>
                      <wps:bodyPr wrap="square" upright="1"/>
                    </wps:wsp>
                  </a:graphicData>
                </a:graphic>
              </wp:anchor>
            </w:drawing>
          </mc:Choice>
          <mc:Fallback>
            <w:pict>
              <v:shape id="000161" o:spid="_x0000_s1026" o:spt="202" type="#_x0000_t202" style="position:absolute;left:0pt;margin-left:-9pt;margin-top:3pt;height:39.75pt;width:64.05pt;z-index:251754496;mso-width-relative:page;mso-height-relative:page;" filled="f" stroked="f" coordsize="21600,21600" o:gfxdata="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EzaK9YAAAAI&#10;AQAADwAAAAAAAAABACAAAAAiAAAAZHJzL2Rvd25yZXYueG1sUEsBAhQAFAAAAAgAh07iQDQJ7a+s&#10;AQAAZQMAAA4AAAAAAAAAAQAgAAAAJQEAAGRycy9lMm9Eb2MueG1sUEsFBgAAAAAGAAYAWQEAAEMF&#10;AAAAAA==&#10;">
                <v:fill on="f" focussize="0,0"/>
                <v:stroke on="f"/>
                <v:imagedata o:title=""/>
                <o:lock v:ext="edit" aspectratio="f"/>
                <v:textbox>
                  <w:txbxContent>
                    <w:p w14:paraId="11F6918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p w14:paraId="371E6F42"/>
                  </w:txbxContent>
                </v:textbox>
              </v:shape>
            </w:pict>
          </mc:Fallback>
        </mc:AlternateContent>
      </w:r>
      <w:r>
        <w:rPr>
          <w:rFonts w:hint="eastAsia" w:ascii="仿宋" w:hAnsi="仿宋" w:eastAsia="仿宋" w:cs="仿宋"/>
          <w:color w:val="auto"/>
          <w:highlight w:val="none"/>
          <w:lang w:eastAsia="zh-CN"/>
        </w:rPr>
        <w:t>监理人行使合同明文约定和必然隐含的职权，代表发包人负责监督、检查合同工程的施工进度、质量、投资（造价）和安全，试验和检验承包人使用的与合同工程有关的工程材料、工程设备、施工设备和施工工艺，及时向承包人提供工作所需的批准、确认和通知等指令。监理人无权免除或变更合同约定的合同任何一方当事人在合同履行期间的权利和义务。</w:t>
      </w:r>
    </w:p>
    <w:p w14:paraId="5D1CFFCA">
      <w:pPr>
        <w:spacing w:line="360" w:lineRule="auto"/>
        <w:rPr>
          <w:rFonts w:ascii="仿宋" w:hAnsi="仿宋" w:eastAsia="仿宋"/>
          <w:b/>
          <w:bCs/>
          <w:color w:val="auto"/>
          <w:highlight w:val="none"/>
          <w:lang w:eastAsia="zh-CN"/>
        </w:rPr>
      </w:pPr>
      <w:bookmarkStart w:id="454" w:name="_Toc285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.3</w:t>
      </w:r>
      <w:bookmarkEnd w:id="45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E66FBA2">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68580</wp:posOffset>
                </wp:positionV>
                <wp:extent cx="775970" cy="448310"/>
                <wp:effectExtent l="0" t="0" r="0" b="0"/>
                <wp:wrapNone/>
                <wp:docPr id="95" name="000162"/>
                <wp:cNvGraphicFramePr/>
                <a:graphic xmlns:a="http://schemas.openxmlformats.org/drawingml/2006/main">
                  <a:graphicData uri="http://schemas.microsoft.com/office/word/2010/wordprocessingShape">
                    <wps:wsp>
                      <wps:cNvSpPr txBox="1"/>
                      <wps:spPr>
                        <a:xfrm>
                          <a:off x="0" y="0"/>
                          <a:ext cx="775970" cy="448310"/>
                        </a:xfrm>
                        <a:prstGeom prst="rect">
                          <a:avLst/>
                        </a:prstGeom>
                        <a:noFill/>
                        <a:ln>
                          <a:noFill/>
                        </a:ln>
                        <a:effectLst/>
                      </wps:spPr>
                      <wps:txbx>
                        <w:txbxContent>
                          <w:p w14:paraId="6612437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p w14:paraId="006CB6C3"/>
                        </w:txbxContent>
                      </wps:txbx>
                      <wps:bodyPr wrap="square" upright="1"/>
                    </wps:wsp>
                  </a:graphicData>
                </a:graphic>
              </wp:anchor>
            </w:drawing>
          </mc:Choice>
          <mc:Fallback>
            <w:pict>
              <v:shape id="000162" o:spid="_x0000_s1026" o:spt="202" type="#_x0000_t202" style="position:absolute;left:0pt;margin-left:-9pt;margin-top:5.4pt;height:35.3pt;width:61.1pt;z-index:251755520;mso-width-relative:page;mso-height-relative:page;" filled="f" stroked="f" coordsize="21600,21600" o:gfxdata="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j26m71QAAAAkB&#10;AAAPAAAAAAAAAAEAIAAAACIAAABkcnMvZG93bnJldi54bWxQSwECFAAUAAAACACHTuJAATQWhKwB&#10;AABlAwAADgAAAAAAAAABACAAAAAkAQAAZHJzL2Uyb0RvYy54bWxQSwUGAAAAAAYABgBZAQAAQgUA&#10;AAAA&#10;">
                <v:fill on="f" focussize="0,0"/>
                <v:stroke on="f"/>
                <v:imagedata o:title=""/>
                <o:lock v:ext="edit" aspectratio="f"/>
                <v:textbox>
                  <w:txbxContent>
                    <w:p w14:paraId="6612437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p w14:paraId="006CB6C3"/>
                  </w:txbxContent>
                </v:textbox>
              </v:shape>
            </w:pict>
          </mc:Fallback>
        </mc:AlternateContent>
      </w:r>
      <w:r>
        <w:rPr>
          <w:rFonts w:hint="eastAsia" w:ascii="仿宋" w:hAnsi="仿宋" w:eastAsia="仿宋" w:cs="仿宋"/>
          <w:color w:val="auto"/>
          <w:highlight w:val="none"/>
          <w:lang w:eastAsia="zh-CN"/>
        </w:rPr>
        <w:t>除属于第91条约定的争议外，监理人在职权范围内的工作，发包人应予认可，但下列事项应事先取得发包人的专项批准：</w:t>
      </w:r>
    </w:p>
    <w:p w14:paraId="7BAAE842">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根据第10.2款约定同意承包人分包工程；</w:t>
      </w:r>
    </w:p>
    <w:p w14:paraId="3BDBE161">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根据第21.1款约定批准承包人将工程材料和工程设备、施工设备移出施工场地；</w:t>
      </w:r>
    </w:p>
    <w:p w14:paraId="0D4DDDBA">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根据第40条约定批准承包人的设备及工器具购置方案、施工组织设计和工程进度计划；</w:t>
      </w:r>
    </w:p>
    <w:p w14:paraId="375CA65A">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根据第41.2款约定发出的工程开工令；</w:t>
      </w:r>
    </w:p>
    <w:p w14:paraId="5809DE99">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根据第44.2款约定发出加快进度的变更指令；</w:t>
      </w:r>
    </w:p>
    <w:p w14:paraId="362031AF">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根据第56.7款约定使用替换工程材料；</w:t>
      </w:r>
    </w:p>
    <w:p w14:paraId="1C3C6294">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根据第73条约定发出使用暂列金额的工作指令；</w:t>
      </w:r>
    </w:p>
    <w:p w14:paraId="06B273AF">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根据第74条约定发出使用计日工的工作指令；</w:t>
      </w:r>
    </w:p>
    <w:p w14:paraId="05F5B540">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根据第63条约定指令或批准的工程变更；</w:t>
      </w:r>
    </w:p>
    <w:p w14:paraId="1615D2D5">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根据第81条约定指令或确认的现场签证；</w:t>
      </w:r>
    </w:p>
    <w:p w14:paraId="4CF4F9E0">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专用条款约定需要发包人批准的其他事项。</w:t>
      </w:r>
    </w:p>
    <w:p w14:paraId="3C1A16F2">
      <w:pPr>
        <w:spacing w:line="360" w:lineRule="auto"/>
        <w:rPr>
          <w:rFonts w:ascii="仿宋" w:hAnsi="仿宋" w:eastAsia="仿宋"/>
          <w:b/>
          <w:bCs/>
          <w:color w:val="auto"/>
          <w:highlight w:val="none"/>
          <w:lang w:eastAsia="zh-CN"/>
        </w:rPr>
      </w:pPr>
      <w:bookmarkStart w:id="455" w:name="_Toc19055"/>
      <w:r>
        <w:rPr>
          <w:color w:val="auto"/>
          <w:highlight w:val="none"/>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278130</wp:posOffset>
                </wp:positionV>
                <wp:extent cx="914400" cy="430530"/>
                <wp:effectExtent l="0" t="0" r="0" b="0"/>
                <wp:wrapNone/>
                <wp:docPr id="96" name="000163"/>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a:effectLst/>
                      </wps:spPr>
                      <wps:txbx>
                        <w:txbxContent>
                          <w:p w14:paraId="2C750E0F">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p w14:paraId="3ABEC43A"/>
                        </w:txbxContent>
                      </wps:txbx>
                      <wps:bodyPr wrap="square" upright="1"/>
                    </wps:wsp>
                  </a:graphicData>
                </a:graphic>
              </wp:anchor>
            </w:drawing>
          </mc:Choice>
          <mc:Fallback>
            <w:pict>
              <v:shape id="000163" o:spid="_x0000_s1026" o:spt="202" type="#_x0000_t202" style="position:absolute;left:0pt;margin-left:-9pt;margin-top:21.9pt;height:33.9pt;width:72pt;z-index:251756544;mso-width-relative:page;mso-height-relative:page;" filled="f" stroked="f" coordsize="21600,21600" o:gfxdata="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6dlxDXAAAA&#10;CgEAAA8AAAAAAAAAAQAgAAAAIgAAAGRycy9kb3ducmV2LnhtbFBLAQIUABQAAAAIAIdO4kA/l/XU&#10;rAEAAGUDAAAOAAAAAAAAAAEAIAAAACYBAABkcnMvZTJvRG9jLnhtbFBLBQYAAAAABgAGAFkBAABE&#10;BQAAAAA=&#10;">
                <v:fill on="f" focussize="0,0"/>
                <v:stroke on="f"/>
                <v:imagedata o:title=""/>
                <o:lock v:ext="edit" aspectratio="f"/>
                <v:textbox>
                  <w:txbxContent>
                    <w:p w14:paraId="2C750E0F">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p w14:paraId="3ABEC43A"/>
                  </w:txbxContent>
                </v:textbox>
              </v:shape>
            </w:pict>
          </mc:Fallback>
        </mc:AlternateContent>
      </w: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.4</w:t>
      </w:r>
      <w:bookmarkEnd w:id="45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F63E362">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监理人应按照合同约定时间向承包人提供实施合同工程的进度、质量和安全工作所需的批准、确认和通知等指令。</w:t>
      </w:r>
    </w:p>
    <w:p w14:paraId="3517ED0A">
      <w:pPr>
        <w:widowControl w:val="0"/>
        <w:tabs>
          <w:tab w:val="left" w:pos="1260"/>
        </w:tabs>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监理人提供的指令，均应采用书面形式。在紧急情况下，监理工程师可发出口头指令，但应在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小时内给予书面确认。对监理工程师的口头指令，承包人应予执行。如果承包人在监理工程师发出口头指令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天内向监理人发出书面确认函。监理人应在承包人收到书面确认函后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7D5C0D3E">
      <w:pPr>
        <w:spacing w:line="360" w:lineRule="auto"/>
        <w:rPr>
          <w:rFonts w:ascii="仿宋" w:hAnsi="仿宋" w:eastAsia="仿宋"/>
          <w:b/>
          <w:bCs/>
          <w:color w:val="auto"/>
          <w:highlight w:val="none"/>
          <w:lang w:eastAsia="zh-CN"/>
        </w:rPr>
      </w:pPr>
      <w:bookmarkStart w:id="456" w:name="_Toc2371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.5</w:t>
      </w:r>
      <w:bookmarkEnd w:id="45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8FA4822">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49530</wp:posOffset>
                </wp:positionV>
                <wp:extent cx="785495" cy="480060"/>
                <wp:effectExtent l="0" t="0" r="0" b="0"/>
                <wp:wrapNone/>
                <wp:docPr id="97" name="000164"/>
                <wp:cNvGraphicFramePr/>
                <a:graphic xmlns:a="http://schemas.openxmlformats.org/drawingml/2006/main">
                  <a:graphicData uri="http://schemas.microsoft.com/office/word/2010/wordprocessingShape">
                    <wps:wsp>
                      <wps:cNvSpPr txBox="1"/>
                      <wps:spPr>
                        <a:xfrm>
                          <a:off x="0" y="0"/>
                          <a:ext cx="785495" cy="480060"/>
                        </a:xfrm>
                        <a:prstGeom prst="rect">
                          <a:avLst/>
                        </a:prstGeom>
                        <a:noFill/>
                        <a:ln>
                          <a:noFill/>
                        </a:ln>
                        <a:effectLst/>
                      </wps:spPr>
                      <wps:txbx>
                        <w:txbxContent>
                          <w:p w14:paraId="391F747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p w14:paraId="5803F510"/>
                        </w:txbxContent>
                      </wps:txbx>
                      <wps:bodyPr wrap="square" upright="1"/>
                    </wps:wsp>
                  </a:graphicData>
                </a:graphic>
              </wp:anchor>
            </w:drawing>
          </mc:Choice>
          <mc:Fallback>
            <w:pict>
              <v:shape id="000164" o:spid="_x0000_s1026" o:spt="202" type="#_x0000_t202" style="position:absolute;left:0pt;margin-left:-9pt;margin-top:3.9pt;height:37.8pt;width:61.85pt;z-index:251757568;mso-width-relative:page;mso-height-relative:page;" filled="f" stroked="f" coordsize="21600,21600" o:gfxdata="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np3UNYAAAAI&#10;AQAADwAAAAAAAAABACAAAAAiAAAAZHJzL2Rvd25yZXYueG1sUEsBAhQAFAAAAAgAh07iQFnSdQKs&#10;AQAAZQMAAA4AAAAAAAAAAQAgAAAAJQEAAGRycy9lMm9Eb2MueG1sUEsFBgAAAAAGAAYAWQEAAEMF&#10;AAAAAA==&#10;">
                <v:fill on="f" focussize="0,0"/>
                <v:stroke on="f"/>
                <v:imagedata o:title=""/>
                <o:lock v:ext="edit" aspectratio="f"/>
                <v:textbox>
                  <w:txbxContent>
                    <w:p w14:paraId="391F747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p w14:paraId="5803F510"/>
                  </w:txbxContent>
                </v:textbox>
              </v:shape>
            </w:pict>
          </mc:Fallback>
        </mc:AlternateContent>
      </w:r>
      <w:r>
        <w:rPr>
          <w:rFonts w:hint="eastAsia" w:ascii="仿宋" w:hAnsi="仿宋" w:eastAsia="仿宋" w:cs="仿宋"/>
          <w:color w:val="auto"/>
          <w:highlight w:val="none"/>
          <w:lang w:eastAsia="zh-CN"/>
        </w:rPr>
        <w:t>如果承包人认为监理人的指令不合理，应在收到指令后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小时内向监理人提出书面报告，监理人应在收到承包人报告后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小时内做出修改指令或继续执行原指令的决定，并书面通知承包人。逾期不做出决定的，承包人可不执行监理人的指令。</w:t>
      </w:r>
    </w:p>
    <w:p w14:paraId="5FB13F08">
      <w:pPr>
        <w:spacing w:line="360" w:lineRule="auto"/>
        <w:rPr>
          <w:rFonts w:ascii="仿宋" w:hAnsi="仿宋" w:eastAsia="仿宋"/>
          <w:color w:val="auto"/>
          <w:highlight w:val="none"/>
          <w:lang w:eastAsia="zh-CN"/>
        </w:rPr>
      </w:pPr>
      <w:bookmarkStart w:id="457" w:name="_Toc2403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.6</w:t>
      </w:r>
      <w:bookmarkEnd w:id="457"/>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5A9029FA">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12065</wp:posOffset>
                </wp:positionV>
                <wp:extent cx="775970" cy="497840"/>
                <wp:effectExtent l="0" t="0" r="0" b="0"/>
                <wp:wrapNone/>
                <wp:docPr id="98" name="000165"/>
                <wp:cNvGraphicFramePr/>
                <a:graphic xmlns:a="http://schemas.openxmlformats.org/drawingml/2006/main">
                  <a:graphicData uri="http://schemas.microsoft.com/office/word/2010/wordprocessingShape">
                    <wps:wsp>
                      <wps:cNvSpPr txBox="1"/>
                      <wps:spPr>
                        <a:xfrm>
                          <a:off x="0" y="0"/>
                          <a:ext cx="775970" cy="497840"/>
                        </a:xfrm>
                        <a:prstGeom prst="rect">
                          <a:avLst/>
                        </a:prstGeom>
                        <a:noFill/>
                        <a:ln>
                          <a:noFill/>
                        </a:ln>
                        <a:effectLst/>
                      </wps:spPr>
                      <wps:txbx>
                        <w:txbxContent>
                          <w:p w14:paraId="4482E1B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p w14:paraId="6B8CE032"/>
                        </w:txbxContent>
                      </wps:txbx>
                      <wps:bodyPr wrap="square" upright="1"/>
                    </wps:wsp>
                  </a:graphicData>
                </a:graphic>
              </wp:anchor>
            </w:drawing>
          </mc:Choice>
          <mc:Fallback>
            <w:pict>
              <v:shape id="000165" o:spid="_x0000_s1026" o:spt="202" type="#_x0000_t202" style="position:absolute;left:0pt;margin-left:-9pt;margin-top:0.95pt;height:39.2pt;width:61.1pt;z-index:251758592;mso-width-relative:page;mso-height-relative:page;" filled="f" stroked="f" coordsize="21600,21600" o:gfxdata="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7myqa1QAAAAgB&#10;AAAPAAAAAAAAAAEAIAAAACIAAABkcnMvZG93bnJldi54bWxQSwECFAAUAAAACACHTuJAXUtKDKwB&#10;AABlAwAADgAAAAAAAAABACAAAAAkAQAAZHJzL2Uyb0RvYy54bWxQSwUGAAAAAAYABgBZAQAAQgUA&#10;AAAA&#10;">
                <v:fill on="f" focussize="0,0"/>
                <v:stroke on="f"/>
                <v:imagedata o:title=""/>
                <o:lock v:ext="edit" aspectratio="f"/>
                <v:textbox>
                  <w:txbxContent>
                    <w:p w14:paraId="4482E1B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p w14:paraId="6B8CE032"/>
                  </w:txbxContent>
                </v:textbox>
              </v:shape>
            </w:pict>
          </mc:Fallback>
        </mc:AlternateContent>
      </w:r>
      <w:r>
        <w:rPr>
          <w:rFonts w:hint="eastAsia" w:ascii="仿宋" w:hAnsi="仿宋" w:eastAsia="仿宋" w:cs="仿宋"/>
          <w:color w:val="auto"/>
          <w:highlight w:val="none"/>
          <w:lang w:eastAsia="zh-CN"/>
        </w:rPr>
        <w:t>监理人可按照第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监理人代表，亦可将其授权撤回。监理人代表行使监理人授予的职权，对监理人负责。监理人代表在监理人授予职权范围内工作，监理人应予认可，但监理人保留发出指令以纠正监理人代表工作失误的权力。</w:t>
      </w:r>
    </w:p>
    <w:p w14:paraId="7CF1CFB5">
      <w:pPr>
        <w:spacing w:line="360" w:lineRule="auto"/>
        <w:rPr>
          <w:rFonts w:ascii="仿宋" w:hAnsi="仿宋" w:eastAsia="仿宋"/>
          <w:b/>
          <w:bCs/>
          <w:color w:val="auto"/>
          <w:highlight w:val="none"/>
          <w:lang w:eastAsia="zh-CN"/>
        </w:rPr>
      </w:pPr>
      <w:bookmarkStart w:id="458" w:name="_Toc3145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.7</w:t>
      </w:r>
      <w:bookmarkEnd w:id="45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5837309">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29210</wp:posOffset>
                </wp:positionV>
                <wp:extent cx="851535" cy="546100"/>
                <wp:effectExtent l="0" t="0" r="0" b="0"/>
                <wp:wrapNone/>
                <wp:docPr id="99" name="000166"/>
                <wp:cNvGraphicFramePr/>
                <a:graphic xmlns:a="http://schemas.openxmlformats.org/drawingml/2006/main">
                  <a:graphicData uri="http://schemas.microsoft.com/office/word/2010/wordprocessingShape">
                    <wps:wsp>
                      <wps:cNvSpPr txBox="1"/>
                      <wps:spPr>
                        <a:xfrm>
                          <a:off x="0" y="0"/>
                          <a:ext cx="851535" cy="546100"/>
                        </a:xfrm>
                        <a:prstGeom prst="rect">
                          <a:avLst/>
                        </a:prstGeom>
                        <a:noFill/>
                        <a:ln>
                          <a:noFill/>
                        </a:ln>
                        <a:effectLst/>
                      </wps:spPr>
                      <wps:txbx>
                        <w:txbxContent>
                          <w:p w14:paraId="64D10ED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p w14:paraId="49A9B5D4">
                            <w:pPr>
                              <w:rPr>
                                <w:lang w:eastAsia="zh-CN"/>
                              </w:rPr>
                            </w:pPr>
                          </w:p>
                        </w:txbxContent>
                      </wps:txbx>
                      <wps:bodyPr wrap="square" upright="1"/>
                    </wps:wsp>
                  </a:graphicData>
                </a:graphic>
              </wp:anchor>
            </w:drawing>
          </mc:Choice>
          <mc:Fallback>
            <w:pict>
              <v:shape id="000166" o:spid="_x0000_s1026" o:spt="202" type="#_x0000_t202" style="position:absolute;left:0pt;margin-left:-9pt;margin-top:2.3pt;height:43pt;width:67.05pt;z-index:251759616;mso-width-relative:page;mso-height-relative:page;" filled="f" stroked="f" coordsize="21600,21600" o:gfxdata="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UgxKtUAAAAI&#10;AQAADwAAAAAAAAABACAAAAAiAAAAZHJzL2Rvd25yZXYueG1sUEsBAhQAFAAAAAgAh07iQMtZhZat&#10;AQAAZQMAAA4AAAAAAAAAAQAgAAAAJAEAAGRycy9lMm9Eb2MueG1sUEsFBgAAAAAGAAYAWQEAAEMF&#10;AAAAAA==&#10;">
                <v:fill on="f" focussize="0,0"/>
                <v:stroke on="f"/>
                <v:imagedata o:title=""/>
                <o:lock v:ext="edit" aspectratio="f"/>
                <v:textbox>
                  <w:txbxContent>
                    <w:p w14:paraId="64D10ED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p w14:paraId="49A9B5D4">
                      <w:pPr>
                        <w:rPr>
                          <w:lang w:eastAsia="zh-CN"/>
                        </w:rPr>
                      </w:pPr>
                    </w:p>
                  </w:txbxContent>
                </v:textbox>
              </v:shape>
            </w:pict>
          </mc:Fallback>
        </mc:AlternateContent>
      </w:r>
      <w:r>
        <w:rPr>
          <w:rFonts w:hint="eastAsia" w:ascii="仿宋" w:hAnsi="仿宋" w:eastAsia="仿宋" w:cs="仿宋"/>
          <w:color w:val="auto"/>
          <w:highlight w:val="none"/>
          <w:lang w:eastAsia="zh-CN"/>
        </w:rPr>
        <w:t>监理人未能正确履行本合同约定的全部义务，或工作出现失误，导致费用的增加和（或）延误的工期，由发包人承担；给承包人造成损失的，发包人应予赔偿。</w:t>
      </w:r>
    </w:p>
    <w:p w14:paraId="63A6286E">
      <w:pPr>
        <w:tabs>
          <w:tab w:val="left" w:pos="1260"/>
        </w:tabs>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92FD771">
      <w:pPr>
        <w:pStyle w:val="4"/>
        <w:tabs>
          <w:tab w:val="left" w:pos="420"/>
        </w:tabs>
        <w:spacing w:before="120" w:after="120" w:line="360" w:lineRule="auto"/>
        <w:rPr>
          <w:rFonts w:hint="eastAsia" w:ascii="仿宋" w:hAnsi="仿宋" w:eastAsia="仿宋"/>
          <w:color w:val="auto"/>
          <w:sz w:val="24"/>
          <w:szCs w:val="24"/>
          <w:highlight w:val="none"/>
          <w:lang w:eastAsia="zh-CN"/>
        </w:rPr>
      </w:pPr>
      <w:bookmarkStart w:id="459" w:name="_Toc13907"/>
      <w:bookmarkStart w:id="460" w:name="_Toc27288"/>
      <w:bookmarkStart w:id="461" w:name="_Toc47694299"/>
      <w:bookmarkStart w:id="462" w:name="_Toc15711"/>
      <w:bookmarkStart w:id="463" w:name="_Toc52"/>
      <w:bookmarkStart w:id="464" w:name="_Toc32040"/>
      <w:bookmarkStart w:id="465" w:name="_Toc5116"/>
      <w:bookmarkStart w:id="466" w:name="_Toc32683"/>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造价咨询人</w:t>
      </w:r>
      <w:bookmarkEnd w:id="459"/>
      <w:bookmarkEnd w:id="460"/>
      <w:bookmarkEnd w:id="461"/>
      <w:bookmarkEnd w:id="462"/>
      <w:bookmarkEnd w:id="463"/>
      <w:bookmarkEnd w:id="464"/>
      <w:bookmarkEnd w:id="465"/>
      <w:bookmarkEnd w:id="466"/>
    </w:p>
    <w:p w14:paraId="2E4F8A0A">
      <w:pPr>
        <w:tabs>
          <w:tab w:val="left" w:pos="1260"/>
        </w:tabs>
        <w:spacing w:line="400" w:lineRule="exact"/>
        <w:rPr>
          <w:rFonts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14:paraId="65F33220">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45720</wp:posOffset>
                </wp:positionV>
                <wp:extent cx="775335" cy="634365"/>
                <wp:effectExtent l="0" t="0" r="0" b="0"/>
                <wp:wrapNone/>
                <wp:docPr id="100" name="000167"/>
                <wp:cNvGraphicFramePr/>
                <a:graphic xmlns:a="http://schemas.openxmlformats.org/drawingml/2006/main">
                  <a:graphicData uri="http://schemas.microsoft.com/office/word/2010/wordprocessingShape">
                    <wps:wsp>
                      <wps:cNvSpPr txBox="1"/>
                      <wps:spPr>
                        <a:xfrm>
                          <a:off x="0" y="0"/>
                          <a:ext cx="775335" cy="634365"/>
                        </a:xfrm>
                        <a:prstGeom prst="rect">
                          <a:avLst/>
                        </a:prstGeom>
                        <a:noFill/>
                        <a:ln>
                          <a:noFill/>
                        </a:ln>
                        <a:effectLst/>
                      </wps:spPr>
                      <wps:txbx>
                        <w:txbxContent>
                          <w:p w14:paraId="52B131D0">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p w14:paraId="764B9332">
                            <w:pPr>
                              <w:rPr>
                                <w:lang w:eastAsia="zh-CN"/>
                              </w:rPr>
                            </w:pPr>
                          </w:p>
                        </w:txbxContent>
                      </wps:txbx>
                      <wps:bodyPr wrap="square" upright="1"/>
                    </wps:wsp>
                  </a:graphicData>
                </a:graphic>
              </wp:anchor>
            </w:drawing>
          </mc:Choice>
          <mc:Fallback>
            <w:pict>
              <v:shape id="000167" o:spid="_x0000_s1026" o:spt="202" type="#_x0000_t202" style="position:absolute;left:0pt;margin-left:-9pt;margin-top:3.6pt;height:49.95pt;width:61.05pt;z-index:251760640;mso-width-relative:page;mso-height-relative:page;" filled="f" stroked="f" coordsize="21600,21600" o:gfxdata="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rDtts1gAAAAkB&#10;AAAPAAAAAAAAAAEAIAAAACIAAABkcnMvZG93bnJldi54bWxQSwECFAAUAAAACACHTuJAKw/joasB&#10;AABmAwAADgAAAAAAAAABACAAAAAlAQAAZHJzL2Uyb0RvYy54bWxQSwUGAAAAAAYABgBZAQAAQgUA&#10;AAAA&#10;">
                <v:fill on="f" focussize="0,0"/>
                <v:stroke on="f"/>
                <v:imagedata o:title=""/>
                <o:lock v:ext="edit" aspectratio="f"/>
                <v:textbox>
                  <w:txbxContent>
                    <w:p w14:paraId="52B131D0">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p w14:paraId="764B9332">
                      <w:pPr>
                        <w:rPr>
                          <w:lang w:eastAsia="zh-CN"/>
                        </w:rPr>
                      </w:pPr>
                    </w:p>
                  </w:txbxContent>
                </v:textbox>
              </v:shape>
            </w:pict>
          </mc:Fallback>
        </mc:AlternateContent>
      </w:r>
      <w:r>
        <w:rPr>
          <w:rFonts w:hint="eastAsia" w:ascii="仿宋" w:hAnsi="仿宋" w:eastAsia="仿宋" w:cs="仿宋"/>
          <w:color w:val="auto"/>
          <w:highlight w:val="none"/>
          <w:lang w:eastAsia="zh-CN"/>
        </w:rPr>
        <w:t>发包人应在专用条款中写明负责合同工程造价管理的造价咨询人名称和造价咨询人代表，并在开始工作前将造价咨询人及造价咨询人代表以书面形式通知承包人，授予其代表发包人履行合同约定职责所需的权力。</w:t>
      </w:r>
    </w:p>
    <w:p w14:paraId="6DDD1131">
      <w:pPr>
        <w:spacing w:line="360" w:lineRule="auto"/>
        <w:rPr>
          <w:rFonts w:ascii="仿宋" w:hAnsi="仿宋" w:eastAsia="仿宋"/>
          <w:b/>
          <w:bCs/>
          <w:color w:val="auto"/>
          <w:highlight w:val="none"/>
          <w:lang w:eastAsia="zh-CN"/>
        </w:rPr>
      </w:pPr>
      <w:bookmarkStart w:id="467" w:name="_Toc60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46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72354D5">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-1270</wp:posOffset>
                </wp:positionV>
                <wp:extent cx="866775" cy="515620"/>
                <wp:effectExtent l="0" t="0" r="0" b="0"/>
                <wp:wrapNone/>
                <wp:docPr id="101" name="000168"/>
                <wp:cNvGraphicFramePr/>
                <a:graphic xmlns:a="http://schemas.openxmlformats.org/drawingml/2006/main">
                  <a:graphicData uri="http://schemas.microsoft.com/office/word/2010/wordprocessingShape">
                    <wps:wsp>
                      <wps:cNvSpPr txBox="1"/>
                      <wps:spPr>
                        <a:xfrm>
                          <a:off x="0" y="0"/>
                          <a:ext cx="866775" cy="515620"/>
                        </a:xfrm>
                        <a:prstGeom prst="rect">
                          <a:avLst/>
                        </a:prstGeom>
                        <a:noFill/>
                        <a:ln>
                          <a:noFill/>
                        </a:ln>
                        <a:effectLst/>
                      </wps:spPr>
                      <wps:txbx>
                        <w:txbxContent>
                          <w:p w14:paraId="2EDCF2A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p w14:paraId="6428CB8F"/>
                        </w:txbxContent>
                      </wps:txbx>
                      <wps:bodyPr wrap="square" upright="1"/>
                    </wps:wsp>
                  </a:graphicData>
                </a:graphic>
              </wp:anchor>
            </w:drawing>
          </mc:Choice>
          <mc:Fallback>
            <w:pict>
              <v:shape id="000168" o:spid="_x0000_s1026" o:spt="202" type="#_x0000_t202" style="position:absolute;left:0pt;margin-left:-9pt;margin-top:-0.1pt;height:40.6pt;width:68.25pt;z-index:251761664;mso-width-relative:page;mso-height-relative:page;" filled="f" stroked="f" coordsize="21600,21600" o:gfxdata="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GyDgi1QAAAAgB&#10;AAAPAAAAAAAAAAEAIAAAACIAAABkcnMvZG93bnJldi54bWxQSwECFAAUAAAACACHTuJAY8S0xawB&#10;AABmAwAADgAAAAAAAAABACAAAAAkAQAAZHJzL2Uyb0RvYy54bWxQSwUGAAAAAAYABgBZAQAAQgUA&#10;AAAA&#10;">
                <v:fill on="f" focussize="0,0"/>
                <v:stroke on="f"/>
                <v:imagedata o:title=""/>
                <o:lock v:ext="edit" aspectratio="f"/>
                <v:textbox>
                  <w:txbxContent>
                    <w:p w14:paraId="2EDCF2A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p w14:paraId="6428CB8F"/>
                  </w:txbxContent>
                </v:textbox>
              </v:shape>
            </w:pict>
          </mc:Fallback>
        </mc:AlternateContent>
      </w:r>
      <w:r>
        <w:rPr>
          <w:rFonts w:hint="eastAsia" w:ascii="仿宋" w:hAnsi="仿宋" w:eastAsia="仿宋" w:cs="仿宋"/>
          <w:color w:val="auto"/>
          <w:highlight w:val="none"/>
          <w:lang w:eastAsia="zh-CN"/>
        </w:rPr>
        <w:t>造价咨询人行使合同明文约定和必然隐含的职权，代表发包人负责工程计量和计价，合同价格的核实和调整，结算价款的编制或复核，签发支付证书，及时向承包人提供相关确认、调整和通知等指令。造价咨询人无权免除或变更合同约定的合同任何一方当事人在合同履行期间的权利和义务。</w:t>
      </w:r>
    </w:p>
    <w:p w14:paraId="04EF0D43">
      <w:pPr>
        <w:spacing w:line="360" w:lineRule="auto"/>
        <w:rPr>
          <w:rFonts w:ascii="仿宋" w:hAnsi="仿宋" w:eastAsia="仿宋"/>
          <w:b/>
          <w:bCs/>
          <w:color w:val="auto"/>
          <w:highlight w:val="none"/>
          <w:lang w:eastAsia="zh-CN"/>
        </w:rPr>
      </w:pPr>
      <w:bookmarkStart w:id="468" w:name="_Toc54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46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7EAD8FB">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0</wp:posOffset>
                </wp:positionV>
                <wp:extent cx="781050" cy="511175"/>
                <wp:effectExtent l="0" t="0" r="0" b="0"/>
                <wp:wrapNone/>
                <wp:docPr id="102" name="000169"/>
                <wp:cNvGraphicFramePr/>
                <a:graphic xmlns:a="http://schemas.openxmlformats.org/drawingml/2006/main">
                  <a:graphicData uri="http://schemas.microsoft.com/office/word/2010/wordprocessingShape">
                    <wps:wsp>
                      <wps:cNvSpPr txBox="1"/>
                      <wps:spPr>
                        <a:xfrm>
                          <a:off x="0" y="0"/>
                          <a:ext cx="781050" cy="511175"/>
                        </a:xfrm>
                        <a:prstGeom prst="rect">
                          <a:avLst/>
                        </a:prstGeom>
                        <a:noFill/>
                        <a:ln>
                          <a:noFill/>
                        </a:ln>
                        <a:effectLst/>
                      </wps:spPr>
                      <wps:txbx>
                        <w:txbxContent>
                          <w:p w14:paraId="4232F9A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p w14:paraId="15B3E815"/>
                        </w:txbxContent>
                      </wps:txbx>
                      <wps:bodyPr wrap="square" upright="1"/>
                    </wps:wsp>
                  </a:graphicData>
                </a:graphic>
              </wp:anchor>
            </w:drawing>
          </mc:Choice>
          <mc:Fallback>
            <w:pict>
              <v:shape id="000169" o:spid="_x0000_s1026" o:spt="202" type="#_x0000_t202" style="position:absolute;left:0pt;margin-left:-9pt;margin-top:0pt;height:40.25pt;width:61.5pt;z-index:251762688;mso-width-relative:page;mso-height-relative:page;" filled="f" stroked="f" coordsize="21600,21600" o:gfxdata="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Z2h1l1AAAAAcBAAAP&#10;AAAAAAAAAAEAIAAAACIAAABkcnMvZG93bnJldi54bWxQSwECFAAUAAAACACHTuJA5+05H6oBAABm&#10;AwAADgAAAAAAAAABACAAAAAjAQAAZHJzL2Uyb0RvYy54bWxQSwUGAAAAAAYABgBZAQAAPwUAAAAA&#10;">
                <v:fill on="f" focussize="0,0"/>
                <v:stroke on="f"/>
                <v:imagedata o:title=""/>
                <o:lock v:ext="edit" aspectratio="f"/>
                <v:textbox>
                  <w:txbxContent>
                    <w:p w14:paraId="4232F9A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p w14:paraId="15B3E815"/>
                  </w:txbxContent>
                </v:textbox>
              </v:shape>
            </w:pict>
          </mc:Fallback>
        </mc:AlternateContent>
      </w:r>
      <w:r>
        <w:rPr>
          <w:rFonts w:hint="eastAsia" w:ascii="仿宋" w:hAnsi="仿宋" w:eastAsia="仿宋" w:cs="仿宋"/>
          <w:color w:val="auto"/>
          <w:highlight w:val="none"/>
          <w:lang w:eastAsia="zh-CN"/>
        </w:rPr>
        <w:t>除属于第91条约定的争议外，造价咨询人在职权范围内的工作，发包人应予认可，但下列事项应事先取得发包人的专项批准：</w:t>
      </w:r>
    </w:p>
    <w:p w14:paraId="373572E0">
      <w:pPr>
        <w:widowControl w:val="0"/>
        <w:numPr>
          <w:ilvl w:val="0"/>
          <w:numId w:val="7"/>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根据第73条约定使用暂列金额；</w:t>
      </w:r>
    </w:p>
    <w:p w14:paraId="7E828D1D">
      <w:pPr>
        <w:widowControl w:val="0"/>
        <w:numPr>
          <w:ilvl w:val="0"/>
          <w:numId w:val="7"/>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根据第74条约定使用计日工；</w:t>
      </w:r>
    </w:p>
    <w:p w14:paraId="3ADC6562">
      <w:pPr>
        <w:widowControl w:val="0"/>
        <w:numPr>
          <w:ilvl w:val="0"/>
          <w:numId w:val="7"/>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根据第75条约定使用暂估价；</w:t>
      </w:r>
    </w:p>
    <w:p w14:paraId="0DE91079">
      <w:pPr>
        <w:widowControl w:val="0"/>
        <w:numPr>
          <w:ilvl w:val="0"/>
          <w:numId w:val="7"/>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根据第76条确定的提前竣工奖与误期赔偿费；</w:t>
      </w:r>
    </w:p>
    <w:p w14:paraId="4B79FCF8">
      <w:pPr>
        <w:widowControl w:val="0"/>
        <w:numPr>
          <w:ilvl w:val="0"/>
          <w:numId w:val="7"/>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根据第77条确定的优质优价费用；</w:t>
      </w:r>
    </w:p>
    <w:p w14:paraId="1A598DE3">
      <w:pPr>
        <w:widowControl w:val="0"/>
        <w:numPr>
          <w:ilvl w:val="0"/>
          <w:numId w:val="7"/>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根据第69.3款约定事项调整的合同价格；</w:t>
      </w:r>
    </w:p>
    <w:p w14:paraId="5156ED6F">
      <w:pPr>
        <w:widowControl w:val="0"/>
        <w:numPr>
          <w:ilvl w:val="0"/>
          <w:numId w:val="7"/>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专用条款约定需要发包人批准的其他事项。</w:t>
      </w:r>
    </w:p>
    <w:p w14:paraId="2CF62A14">
      <w:pPr>
        <w:spacing w:line="360" w:lineRule="auto"/>
        <w:rPr>
          <w:rFonts w:ascii="仿宋" w:hAnsi="仿宋" w:eastAsia="仿宋"/>
          <w:b/>
          <w:bCs/>
          <w:color w:val="auto"/>
          <w:highlight w:val="none"/>
          <w:lang w:eastAsia="zh-CN"/>
        </w:rPr>
      </w:pPr>
      <w:bookmarkStart w:id="469" w:name="_Toc3083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.4</w:t>
      </w:r>
      <w:bookmarkEnd w:id="46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FDAA13B">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0</wp:posOffset>
                </wp:positionV>
                <wp:extent cx="800735" cy="462915"/>
                <wp:effectExtent l="0" t="0" r="0" b="0"/>
                <wp:wrapNone/>
                <wp:docPr id="103" name="00016a"/>
                <wp:cNvGraphicFramePr/>
                <a:graphic xmlns:a="http://schemas.openxmlformats.org/drawingml/2006/main">
                  <a:graphicData uri="http://schemas.microsoft.com/office/word/2010/wordprocessingShape">
                    <wps:wsp>
                      <wps:cNvSpPr txBox="1"/>
                      <wps:spPr>
                        <a:xfrm>
                          <a:off x="0" y="0"/>
                          <a:ext cx="800735" cy="462915"/>
                        </a:xfrm>
                        <a:prstGeom prst="rect">
                          <a:avLst/>
                        </a:prstGeom>
                        <a:noFill/>
                        <a:ln>
                          <a:noFill/>
                        </a:ln>
                        <a:effectLst/>
                      </wps:spPr>
                      <wps:txbx>
                        <w:txbxContent>
                          <w:p w14:paraId="1CC75C5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p w14:paraId="53742E51"/>
                        </w:txbxContent>
                      </wps:txbx>
                      <wps:bodyPr wrap="square" upright="1"/>
                    </wps:wsp>
                  </a:graphicData>
                </a:graphic>
              </wp:anchor>
            </w:drawing>
          </mc:Choice>
          <mc:Fallback>
            <w:pict>
              <v:shape id="00016a" o:spid="_x0000_s1026" o:spt="202" type="#_x0000_t202" style="position:absolute;left:0pt;margin-left:-9pt;margin-top:0pt;height:36.45pt;width:63.05pt;z-index:251763712;mso-width-relative:page;mso-height-relative:page;" filled="f" stroked="f" coordsize="21600,21600" o:gfxdata="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zJTmfVAAAABwEA&#10;AA8AAAAAAAAAAQAgAAAAIgAAAGRycy9kb3ducmV2LnhtbFBLAQIUABQAAAAIAIdO4kBvf5OzqwEA&#10;AGYDAAAOAAAAAAAAAAEAIAAAACQBAABkcnMvZTJvRG9jLnhtbFBLBQYAAAAABgAGAFkBAABBBQAA&#10;AAA=&#10;">
                <v:fill on="f" focussize="0,0"/>
                <v:stroke on="f"/>
                <v:imagedata o:title=""/>
                <o:lock v:ext="edit" aspectratio="f"/>
                <v:textbox>
                  <w:txbxContent>
                    <w:p w14:paraId="1CC75C5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p w14:paraId="53742E51"/>
                  </w:txbxContent>
                </v:textbox>
              </v:shape>
            </w:pict>
          </mc:Fallback>
        </mc:AlternateContent>
      </w:r>
      <w:r>
        <w:rPr>
          <w:rFonts w:hint="eastAsia" w:ascii="仿宋" w:hAnsi="仿宋" w:eastAsia="仿宋" w:cs="仿宋"/>
          <w:color w:val="auto"/>
          <w:highlight w:val="none"/>
          <w:lang w:eastAsia="zh-CN"/>
        </w:rPr>
        <w:t>造价咨询人应按照合同约定时间向承包人提供实施合同工程的工程造价工作所需的核实、调整和通知等指令。</w:t>
      </w:r>
    </w:p>
    <w:p w14:paraId="1A1C01B1">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造价咨询人提供的指令，均应采用书面形式。在紧急情况下，造价工程师可发出口头指令，但应在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小时内给予书面确认。对造价工程师的口头指令，承包人应予执行。如果承包人在造价工程师发出的口头指令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天内向造价咨询人发出书面确认函。造价咨询人应在承包人收到书面确认函后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78915AB3">
      <w:pPr>
        <w:spacing w:line="360" w:lineRule="auto"/>
        <w:rPr>
          <w:rFonts w:ascii="仿宋" w:hAnsi="仿宋" w:eastAsia="仿宋"/>
          <w:b/>
          <w:bCs/>
          <w:color w:val="auto"/>
          <w:highlight w:val="none"/>
          <w:lang w:eastAsia="zh-CN"/>
        </w:rPr>
      </w:pPr>
      <w:bookmarkStart w:id="470" w:name="_Toc121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.5</w:t>
      </w:r>
      <w:bookmarkEnd w:id="47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93DC83A">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15240</wp:posOffset>
                </wp:positionV>
                <wp:extent cx="861695" cy="561340"/>
                <wp:effectExtent l="0" t="0" r="0" b="0"/>
                <wp:wrapNone/>
                <wp:docPr id="104" name="00016b"/>
                <wp:cNvGraphicFramePr/>
                <a:graphic xmlns:a="http://schemas.openxmlformats.org/drawingml/2006/main">
                  <a:graphicData uri="http://schemas.microsoft.com/office/word/2010/wordprocessingShape">
                    <wps:wsp>
                      <wps:cNvSpPr txBox="1"/>
                      <wps:spPr>
                        <a:xfrm>
                          <a:off x="0" y="0"/>
                          <a:ext cx="861695" cy="561340"/>
                        </a:xfrm>
                        <a:prstGeom prst="rect">
                          <a:avLst/>
                        </a:prstGeom>
                        <a:noFill/>
                        <a:ln>
                          <a:noFill/>
                        </a:ln>
                        <a:effectLst/>
                      </wps:spPr>
                      <wps:txbx>
                        <w:txbxContent>
                          <w:p w14:paraId="6134A25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p w14:paraId="53847C2F">
                            <w:pPr>
                              <w:rPr>
                                <w:lang w:eastAsia="zh-CN"/>
                              </w:rPr>
                            </w:pPr>
                          </w:p>
                        </w:txbxContent>
                      </wps:txbx>
                      <wps:bodyPr wrap="square" upright="1"/>
                    </wps:wsp>
                  </a:graphicData>
                </a:graphic>
              </wp:anchor>
            </w:drawing>
          </mc:Choice>
          <mc:Fallback>
            <w:pict>
              <v:shape id="00016b" o:spid="_x0000_s1026" o:spt="202" type="#_x0000_t202" style="position:absolute;left:0pt;margin-left:-9pt;margin-top:1.2pt;height:44.2pt;width:67.85pt;z-index:251764736;mso-width-relative:page;mso-height-relative:page;" filled="f" stroked="f" coordsize="21600,21600" o:gfxdata="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i/yRtYAAAAI&#10;AQAADwAAAAAAAAABACAAAAAiAAAAZHJzL2Rvd25yZXYueG1sUEsBAhQAFAAAAAgAh07iQJB489as&#10;AQAAZgMAAA4AAAAAAAAAAQAgAAAAJQEAAGRycy9lMm9Eb2MueG1sUEsFBgAAAAAGAAYAWQEAAEMF&#10;AAAAAA==&#10;">
                <v:fill on="f" focussize="0,0"/>
                <v:stroke on="f"/>
                <v:imagedata o:title=""/>
                <o:lock v:ext="edit" aspectratio="f"/>
                <v:textbox>
                  <w:txbxContent>
                    <w:p w14:paraId="6134A25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p w14:paraId="53847C2F">
                      <w:pPr>
                        <w:rPr>
                          <w:lang w:eastAsia="zh-CN"/>
                        </w:rPr>
                      </w:pPr>
                    </w:p>
                  </w:txbxContent>
                </v:textbox>
              </v:shape>
            </w:pict>
          </mc:Fallback>
        </mc:AlternateContent>
      </w:r>
      <w:r>
        <w:rPr>
          <w:rFonts w:hint="eastAsia" w:ascii="仿宋" w:hAnsi="仿宋" w:eastAsia="仿宋" w:cs="仿宋"/>
          <w:color w:val="auto"/>
          <w:highlight w:val="none"/>
          <w:lang w:eastAsia="zh-CN"/>
        </w:rPr>
        <w:t>如果承包人认为造价咨询人的指令不合理，应在收到指令后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小时内向造价咨询人提出书面报告，造价咨询人应在收到承包人报告后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小时内做出修改指令或继续执行原指令的决定，并书面通知承包人。逾期不做出决定的，承包人可不执行造价咨询人的指令。</w:t>
      </w:r>
    </w:p>
    <w:p w14:paraId="025CC4B0">
      <w:pPr>
        <w:spacing w:line="360" w:lineRule="auto"/>
        <w:rPr>
          <w:rFonts w:ascii="仿宋" w:hAnsi="仿宋" w:eastAsia="仿宋"/>
          <w:b/>
          <w:bCs/>
          <w:color w:val="auto"/>
          <w:highlight w:val="none"/>
          <w:lang w:eastAsia="zh-CN"/>
        </w:rPr>
      </w:pPr>
      <w:bookmarkStart w:id="471" w:name="_Toc1955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.6</w:t>
      </w:r>
      <w:bookmarkEnd w:id="47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9928B58">
      <w:pPr>
        <w:widowControl w:val="0"/>
        <w:tabs>
          <w:tab w:val="left" w:pos="1260"/>
        </w:tabs>
        <w:spacing w:line="360" w:lineRule="auto"/>
        <w:ind w:left="1850" w:leftChars="771"/>
        <w:jc w:val="both"/>
        <w:rPr>
          <w:rFonts w:ascii="仿宋" w:hAnsi="仿宋" w:eastAsia="仿宋"/>
          <w:strike/>
          <w:color w:val="auto"/>
          <w:highlight w:val="none"/>
          <w:lang w:eastAsia="zh-CN"/>
        </w:rPr>
      </w:pPr>
      <w:r>
        <w:rPr>
          <w:color w:val="auto"/>
          <w:highlight w:val="none"/>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0</wp:posOffset>
                </wp:positionV>
                <wp:extent cx="794385" cy="440690"/>
                <wp:effectExtent l="0" t="0" r="0" b="0"/>
                <wp:wrapNone/>
                <wp:docPr id="105" name="00016c"/>
                <wp:cNvGraphicFramePr/>
                <a:graphic xmlns:a="http://schemas.openxmlformats.org/drawingml/2006/main">
                  <a:graphicData uri="http://schemas.microsoft.com/office/word/2010/wordprocessingShape">
                    <wps:wsp>
                      <wps:cNvSpPr txBox="1"/>
                      <wps:spPr>
                        <a:xfrm>
                          <a:off x="0" y="0"/>
                          <a:ext cx="794385" cy="440690"/>
                        </a:xfrm>
                        <a:prstGeom prst="rect">
                          <a:avLst/>
                        </a:prstGeom>
                        <a:noFill/>
                        <a:ln>
                          <a:noFill/>
                        </a:ln>
                        <a:effectLst/>
                      </wps:spPr>
                      <wps:txbx>
                        <w:txbxContent>
                          <w:p w14:paraId="19A85160">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p w14:paraId="5D648941"/>
                        </w:txbxContent>
                      </wps:txbx>
                      <wps:bodyPr wrap="square" upright="1"/>
                    </wps:wsp>
                  </a:graphicData>
                </a:graphic>
              </wp:anchor>
            </w:drawing>
          </mc:Choice>
          <mc:Fallback>
            <w:pict>
              <v:shape id="00016c" o:spid="_x0000_s1026" o:spt="202" type="#_x0000_t202" style="position:absolute;left:0pt;margin-left:-9pt;margin-top:0pt;height:34.7pt;width:62.55pt;z-index:251765760;mso-width-relative:page;mso-height-relative:page;" filled="f" stroked="f" coordsize="21600,21600" o:gfxdata="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lpr9NYAAAAH&#10;AQAADwAAAAAAAAABACAAAAAiAAAAZHJzL2Rvd25yZXYueG1sUEsBAhQAFAAAAAgAh07iQFHqBP6s&#10;AQAAZgMAAA4AAAAAAAAAAQAgAAAAJQEAAGRycy9lMm9Eb2MueG1sUEsFBgAAAAAGAAYAWQEAAEMF&#10;AAAAAA==&#10;">
                <v:fill on="f" focussize="0,0"/>
                <v:stroke on="f"/>
                <v:imagedata o:title=""/>
                <o:lock v:ext="edit" aspectratio="f"/>
                <v:textbox>
                  <w:txbxContent>
                    <w:p w14:paraId="19A85160">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p w14:paraId="5D648941"/>
                  </w:txbxContent>
                </v:textbox>
              </v:shape>
            </w:pict>
          </mc:Fallback>
        </mc:AlternateContent>
      </w:r>
      <w:r>
        <w:rPr>
          <w:rFonts w:hint="eastAsia" w:ascii="仿宋" w:hAnsi="仿宋" w:eastAsia="仿宋" w:cs="仿宋"/>
          <w:color w:val="auto"/>
          <w:highlight w:val="none"/>
          <w:lang w:eastAsia="zh-CN"/>
        </w:rPr>
        <w:t>造价咨询人可按照第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造价咨询人代表，亦可将其授权撤回，造价咨询人代表行使造价咨询人授予的职权，对造价咨询人负责。造价咨询人代表在造价咨询人授予职权范围内工作，造价咨询人应予认可，但造价咨询人保留发出指令以纠正造价咨询人代表工作失误的权力。</w:t>
      </w:r>
    </w:p>
    <w:p w14:paraId="7C244BA1">
      <w:pPr>
        <w:spacing w:line="360" w:lineRule="auto"/>
        <w:rPr>
          <w:rFonts w:ascii="仿宋" w:hAnsi="仿宋" w:eastAsia="仿宋"/>
          <w:color w:val="auto"/>
          <w:highlight w:val="none"/>
          <w:lang w:eastAsia="zh-CN"/>
        </w:rPr>
      </w:pPr>
      <w:bookmarkStart w:id="472" w:name="_Toc1572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.7</w:t>
      </w:r>
      <w:bookmarkEnd w:id="472"/>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034C625B">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0</wp:posOffset>
                </wp:positionV>
                <wp:extent cx="804545" cy="592455"/>
                <wp:effectExtent l="0" t="0" r="0" b="0"/>
                <wp:wrapNone/>
                <wp:docPr id="106" name="00016d"/>
                <wp:cNvGraphicFramePr/>
                <a:graphic xmlns:a="http://schemas.openxmlformats.org/drawingml/2006/main">
                  <a:graphicData uri="http://schemas.microsoft.com/office/word/2010/wordprocessingShape">
                    <wps:wsp>
                      <wps:cNvSpPr txBox="1"/>
                      <wps:spPr>
                        <a:xfrm>
                          <a:off x="0" y="0"/>
                          <a:ext cx="804545" cy="592455"/>
                        </a:xfrm>
                        <a:prstGeom prst="rect">
                          <a:avLst/>
                        </a:prstGeom>
                        <a:noFill/>
                        <a:ln>
                          <a:noFill/>
                        </a:ln>
                        <a:effectLst/>
                      </wps:spPr>
                      <wps:txbx>
                        <w:txbxContent>
                          <w:p w14:paraId="1AC27BF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p w14:paraId="0F6D46BE">
                            <w:pPr>
                              <w:rPr>
                                <w:lang w:eastAsia="zh-CN"/>
                              </w:rPr>
                            </w:pPr>
                          </w:p>
                        </w:txbxContent>
                      </wps:txbx>
                      <wps:bodyPr wrap="square" upright="1"/>
                    </wps:wsp>
                  </a:graphicData>
                </a:graphic>
              </wp:anchor>
            </w:drawing>
          </mc:Choice>
          <mc:Fallback>
            <w:pict>
              <v:shape id="00016d" o:spid="_x0000_s1026" o:spt="202" type="#_x0000_t202" style="position:absolute;left:0pt;margin-left:-9pt;margin-top:0pt;height:46.65pt;width:63.35pt;z-index:251766784;mso-width-relative:page;mso-height-relative:page;" filled="f" stroked="f" coordsize="21600,21600" o:gfxdata="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ZuKoQ1gAAAAcB&#10;AAAPAAAAAAAAAAEAIAAAACIAAABkcnMvZG93bnJldi54bWxQSwECFAAUAAAACACHTuJAX+ycG6sB&#10;AABmAwAADgAAAAAAAAABACAAAAAlAQAAZHJzL2Uyb0RvYy54bWxQSwUGAAAAAAYABgBZAQAAQgUA&#10;AAAA&#10;">
                <v:fill on="f" focussize="0,0"/>
                <v:stroke on="f"/>
                <v:imagedata o:title=""/>
                <o:lock v:ext="edit" aspectratio="f"/>
                <v:textbox>
                  <w:txbxContent>
                    <w:p w14:paraId="1AC27BF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p w14:paraId="0F6D46BE">
                      <w:pPr>
                        <w:rPr>
                          <w:lang w:eastAsia="zh-CN"/>
                        </w:rPr>
                      </w:pPr>
                    </w:p>
                  </w:txbxContent>
                </v:textbox>
              </v:shape>
            </w:pict>
          </mc:Fallback>
        </mc:AlternateContent>
      </w:r>
      <w:r>
        <w:rPr>
          <w:rFonts w:hint="eastAsia" w:ascii="仿宋" w:hAnsi="仿宋" w:eastAsia="仿宋" w:cs="仿宋"/>
          <w:color w:val="auto"/>
          <w:highlight w:val="none"/>
          <w:lang w:eastAsia="zh-CN"/>
        </w:rPr>
        <w:t>造价咨询人（含其代表）未能正确履行本合同约定的全部义务，或工作出现失误，导致费用的增加和（或）延误的工期，由发包人承担；给承包人造成损失的，发包人应予赔偿。</w:t>
      </w:r>
    </w:p>
    <w:p w14:paraId="5D8A78F9">
      <w:pPr>
        <w:tabs>
          <w:tab w:val="left" w:pos="540"/>
          <w:tab w:val="left" w:pos="720"/>
        </w:tabs>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4E9AF40B">
      <w:pPr>
        <w:pStyle w:val="4"/>
        <w:tabs>
          <w:tab w:val="left" w:pos="420"/>
        </w:tabs>
        <w:spacing w:before="120" w:after="120" w:line="360" w:lineRule="auto"/>
        <w:rPr>
          <w:rFonts w:ascii="仿宋" w:hAnsi="仿宋" w:eastAsia="仿宋"/>
          <w:color w:val="auto"/>
          <w:sz w:val="24"/>
          <w:szCs w:val="24"/>
          <w:highlight w:val="none"/>
          <w:lang w:eastAsia="zh-CN"/>
        </w:rPr>
      </w:pPr>
      <w:bookmarkStart w:id="473" w:name="_Toc24581"/>
      <w:bookmarkStart w:id="474" w:name="_Toc9008"/>
      <w:bookmarkStart w:id="475" w:name="_Toc47694300"/>
      <w:bookmarkStart w:id="476" w:name="_Toc6533"/>
      <w:bookmarkStart w:id="477" w:name="_Toc26850"/>
      <w:bookmarkStart w:id="478" w:name="_Toc8385"/>
      <w:bookmarkStart w:id="479" w:name="_Toc1438"/>
      <w:bookmarkStart w:id="480" w:name="_Toc4506"/>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承包人代表及其专业负责人</w:t>
      </w:r>
      <w:bookmarkEnd w:id="473"/>
      <w:bookmarkEnd w:id="474"/>
      <w:bookmarkEnd w:id="475"/>
      <w:bookmarkEnd w:id="476"/>
      <w:bookmarkEnd w:id="477"/>
      <w:bookmarkEnd w:id="478"/>
      <w:bookmarkEnd w:id="479"/>
      <w:bookmarkEnd w:id="480"/>
    </w:p>
    <w:p w14:paraId="58EAADF2">
      <w:pPr>
        <w:rPr>
          <w:rFonts w:hint="eastAsia" w:ascii="仿宋" w:hAnsi="仿宋" w:eastAsia="仿宋"/>
          <w:b/>
          <w:bCs/>
          <w:color w:val="auto"/>
          <w:highlight w:val="none"/>
          <w:lang w:eastAsia="zh-CN"/>
        </w:rPr>
      </w:pPr>
      <w:bookmarkStart w:id="481" w:name="_Toc858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.1</w:t>
      </w:r>
      <w:bookmarkEnd w:id="481"/>
      <w:r>
        <w:rPr>
          <w:rFonts w:hint="eastAsia" w:ascii="仿宋" w:hAnsi="仿宋" w:eastAsia="仿宋" w:cs="仿宋"/>
          <w:b/>
          <w:bCs/>
          <w:color w:val="auto"/>
          <w:highlight w:val="none"/>
          <w:lang w:eastAsia="zh-CN"/>
        </w:rPr>
        <w:tab/>
      </w:r>
    </w:p>
    <w:p w14:paraId="69AD951C">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0</wp:posOffset>
                </wp:positionV>
                <wp:extent cx="832485" cy="481965"/>
                <wp:effectExtent l="0" t="0" r="0" b="0"/>
                <wp:wrapNone/>
                <wp:docPr id="107" name="00016e"/>
                <wp:cNvGraphicFramePr/>
                <a:graphic xmlns:a="http://schemas.openxmlformats.org/drawingml/2006/main">
                  <a:graphicData uri="http://schemas.microsoft.com/office/word/2010/wordprocessingShape">
                    <wps:wsp>
                      <wps:cNvSpPr txBox="1"/>
                      <wps:spPr>
                        <a:xfrm>
                          <a:off x="0" y="0"/>
                          <a:ext cx="832485" cy="481965"/>
                        </a:xfrm>
                        <a:prstGeom prst="rect">
                          <a:avLst/>
                        </a:prstGeom>
                        <a:noFill/>
                        <a:ln>
                          <a:noFill/>
                        </a:ln>
                        <a:effectLst/>
                      </wps:spPr>
                      <wps:txbx>
                        <w:txbxContent>
                          <w:p w14:paraId="6FC97156">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p w14:paraId="48B87743"/>
                        </w:txbxContent>
                      </wps:txbx>
                      <wps:bodyPr wrap="square" upright="1"/>
                    </wps:wsp>
                  </a:graphicData>
                </a:graphic>
              </wp:anchor>
            </w:drawing>
          </mc:Choice>
          <mc:Fallback>
            <w:pict>
              <v:shape id="00016e" o:spid="_x0000_s1026" o:spt="202" type="#_x0000_t202" style="position:absolute;left:0pt;margin-left:-9pt;margin-top:0pt;height:37.95pt;width:65.55pt;z-index:251767808;mso-width-relative:page;mso-height-relative:page;" filled="f" stroked="f" coordsize="21600,21600" o:gfxdata="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kWXzq1gAAAAcB&#10;AAAPAAAAAAAAAAEAIAAAACIAAABkcnMvZG93bnJldi54bWxQSwECFAAUAAAACACHTuJA4fUQBqsB&#10;AABmAwAADgAAAAAAAAABACAAAAAlAQAAZHJzL2Uyb0RvYy54bWxQSwUGAAAAAAYABgBZAQAAQgUA&#10;AAAA&#10;">
                <v:fill on="f" focussize="0,0"/>
                <v:stroke on="f"/>
                <v:imagedata o:title=""/>
                <o:lock v:ext="edit" aspectratio="f"/>
                <v:textbox>
                  <w:txbxContent>
                    <w:p w14:paraId="6FC97156">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p w14:paraId="48B87743"/>
                  </w:txbxContent>
                </v:textbox>
              </v:shape>
            </w:pict>
          </mc:Fallback>
        </mc:AlternateContent>
      </w:r>
      <w:r>
        <w:rPr>
          <w:rFonts w:hint="eastAsia" w:ascii="仿宋" w:hAnsi="仿宋" w:eastAsia="仿宋" w:cs="仿宋"/>
          <w:color w:val="auto"/>
          <w:highlight w:val="none"/>
          <w:lang w:eastAsia="zh-CN"/>
        </w:rPr>
        <w:t>承包人应依据第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在专用条款中写明承包人代表及其专业负责人具体人选，同时在开始工作前将承包人代表及其专业负责人以书面形式通知发包人，授予承包人代表代表承包人履行合同约定职责所需的一切权力，授予专业负责人履行合同约定本专业职责所需的一定权力。</w:t>
      </w:r>
    </w:p>
    <w:p w14:paraId="7C601E0C">
      <w:pPr>
        <w:spacing w:line="360" w:lineRule="auto"/>
        <w:rPr>
          <w:rFonts w:ascii="仿宋" w:hAnsi="仿宋" w:eastAsia="仿宋"/>
          <w:b/>
          <w:bCs/>
          <w:color w:val="auto"/>
          <w:highlight w:val="none"/>
          <w:lang w:eastAsia="zh-CN"/>
        </w:rPr>
      </w:pPr>
      <w:bookmarkStart w:id="482" w:name="_Toc1891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.2</w:t>
      </w:r>
      <w:bookmarkEnd w:id="48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4D39AEE">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7620</wp:posOffset>
                </wp:positionV>
                <wp:extent cx="847090" cy="527050"/>
                <wp:effectExtent l="0" t="0" r="0" b="0"/>
                <wp:wrapNone/>
                <wp:docPr id="108" name="00016f"/>
                <wp:cNvGraphicFramePr/>
                <a:graphic xmlns:a="http://schemas.openxmlformats.org/drawingml/2006/main">
                  <a:graphicData uri="http://schemas.microsoft.com/office/word/2010/wordprocessingShape">
                    <wps:wsp>
                      <wps:cNvSpPr txBox="1"/>
                      <wps:spPr>
                        <a:xfrm>
                          <a:off x="0" y="0"/>
                          <a:ext cx="847090" cy="527050"/>
                        </a:xfrm>
                        <a:prstGeom prst="rect">
                          <a:avLst/>
                        </a:prstGeom>
                        <a:noFill/>
                        <a:ln>
                          <a:noFill/>
                        </a:ln>
                        <a:effectLst/>
                      </wps:spPr>
                      <wps:txbx>
                        <w:txbxContent>
                          <w:p w14:paraId="524DC0A8">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p w14:paraId="38A914B4">
                            <w:pPr>
                              <w:rPr>
                                <w:lang w:eastAsia="zh-CN"/>
                              </w:rPr>
                            </w:pPr>
                          </w:p>
                        </w:txbxContent>
                      </wps:txbx>
                      <wps:bodyPr wrap="square" upright="1"/>
                    </wps:wsp>
                  </a:graphicData>
                </a:graphic>
              </wp:anchor>
            </w:drawing>
          </mc:Choice>
          <mc:Fallback>
            <w:pict>
              <v:shape id="00016f" o:spid="_x0000_s1026" o:spt="202" type="#_x0000_t202" style="position:absolute;left:0pt;margin-left:-9pt;margin-top:0.6pt;height:41.5pt;width:66.7pt;z-index:251768832;mso-width-relative:page;mso-height-relative:page;" filled="f" stroked="f" coordsize="21600,21600" o:gfxdata="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lEOOydUAAAAIAQAA&#10;DwAAAAAAAAABACAAAAAiAAAAZHJzL2Rvd25yZXYueG1sUEsBAhQAFAAAAAgAh07iQFYNGoCqAQAA&#10;ZgMAAA4AAAAAAAAAAQAgAAAAJAEAAGRycy9lMm9Eb2MueG1sUEsFBgAAAAAGAAYAWQEAAEAFAAAA&#10;AA==&#10;">
                <v:fill on="f" focussize="0,0"/>
                <v:stroke on="f"/>
                <v:imagedata o:title=""/>
                <o:lock v:ext="edit" aspectratio="f"/>
                <v:textbox>
                  <w:txbxContent>
                    <w:p w14:paraId="524DC0A8">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p w14:paraId="38A914B4">
                      <w:pPr>
                        <w:rPr>
                          <w:lang w:eastAsia="zh-CN"/>
                        </w:rPr>
                      </w:pPr>
                    </w:p>
                  </w:txbxContent>
                </v:textbox>
              </v:shape>
            </w:pict>
          </mc:Fallback>
        </mc:AlternateContent>
      </w:r>
      <w:r>
        <w:rPr>
          <w:rFonts w:hint="eastAsia" w:ascii="仿宋" w:hAnsi="仿宋" w:eastAsia="仿宋" w:cs="仿宋"/>
          <w:color w:val="auto"/>
          <w:highlight w:val="none"/>
          <w:lang w:eastAsia="zh-CN"/>
        </w:rPr>
        <w:t>承包人代表应代表承包人履行合同约定的职责、行使合同明文约定或必然隐含的权力，对承包人负责。承包人代表在承包人授予职权范围内的工作，承包人应予认可。专业负责人负责本专业相关技术和管理工作，对承包人及承包人代表负责。</w:t>
      </w:r>
    </w:p>
    <w:p w14:paraId="7B4550AE">
      <w:pPr>
        <w:spacing w:line="360" w:lineRule="auto"/>
        <w:rPr>
          <w:rFonts w:ascii="仿宋" w:hAnsi="仿宋" w:eastAsia="仿宋"/>
          <w:b/>
          <w:bCs/>
          <w:color w:val="auto"/>
          <w:highlight w:val="none"/>
          <w:lang w:eastAsia="zh-CN"/>
        </w:rPr>
      </w:pPr>
      <w:bookmarkStart w:id="483" w:name="_Toc383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.3</w:t>
      </w:r>
      <w:bookmarkEnd w:id="48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36ABDC9">
      <w:pPr>
        <w:widowControl w:val="0"/>
        <w:tabs>
          <w:tab w:val="left" w:pos="1260"/>
        </w:tabs>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0</wp:posOffset>
                </wp:positionV>
                <wp:extent cx="870585" cy="621030"/>
                <wp:effectExtent l="0" t="0" r="0" b="0"/>
                <wp:wrapNone/>
                <wp:docPr id="109" name="000170"/>
                <wp:cNvGraphicFramePr/>
                <a:graphic xmlns:a="http://schemas.openxmlformats.org/drawingml/2006/main">
                  <a:graphicData uri="http://schemas.microsoft.com/office/word/2010/wordprocessingShape">
                    <wps:wsp>
                      <wps:cNvSpPr txBox="1"/>
                      <wps:spPr>
                        <a:xfrm>
                          <a:off x="0" y="0"/>
                          <a:ext cx="870585" cy="621030"/>
                        </a:xfrm>
                        <a:prstGeom prst="rect">
                          <a:avLst/>
                        </a:prstGeom>
                        <a:noFill/>
                        <a:ln>
                          <a:noFill/>
                        </a:ln>
                        <a:effectLst/>
                      </wps:spPr>
                      <wps:txbx>
                        <w:txbxContent>
                          <w:p w14:paraId="23AC644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p w14:paraId="5EB3BE59">
                            <w:pPr>
                              <w:rPr>
                                <w:lang w:eastAsia="zh-CN"/>
                              </w:rPr>
                            </w:pPr>
                          </w:p>
                        </w:txbxContent>
                      </wps:txbx>
                      <wps:bodyPr wrap="square" upright="1"/>
                    </wps:wsp>
                  </a:graphicData>
                </a:graphic>
              </wp:anchor>
            </w:drawing>
          </mc:Choice>
          <mc:Fallback>
            <w:pict>
              <v:shape id="000170" o:spid="_x0000_s1026" o:spt="202" type="#_x0000_t202" style="position:absolute;left:0pt;margin-left:-9pt;margin-top:0pt;height:48.9pt;width:68.55pt;z-index:251769856;mso-width-relative:page;mso-height-relative:page;" filled="f" stroked="f" coordsize="21600,21600" o:gfxdata="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SsVsq1gAAAAcB&#10;AAAPAAAAAAAAAAEAIAAAACIAAABkcnMvZG93bnJldi54bWxQSwECFAAUAAAACACHTuJAnJB2tqsB&#10;AABmAwAADgAAAAAAAAABACAAAAAlAQAAZHJzL2Uyb0RvYy54bWxQSwUGAAAAAAYABgBZAQAAQgUA&#10;AAAA&#10;">
                <v:fill on="f" focussize="0,0"/>
                <v:stroke on="f"/>
                <v:imagedata o:title=""/>
                <o:lock v:ext="edit" aspectratio="f"/>
                <v:textbox>
                  <w:txbxContent>
                    <w:p w14:paraId="23AC644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p w14:paraId="5EB3BE59">
                      <w:pPr>
                        <w:rPr>
                          <w:lang w:eastAsia="zh-CN"/>
                        </w:rPr>
                      </w:pPr>
                    </w:p>
                  </w:txbxContent>
                </v:textbox>
              </v:shape>
            </w:pict>
          </mc:Fallback>
        </mc:AlternateContent>
      </w:r>
      <w:r>
        <w:rPr>
          <w:rFonts w:hint="eastAsia" w:ascii="仿宋" w:hAnsi="仿宋" w:eastAsia="仿宋" w:cs="仿宋"/>
          <w:color w:val="auto"/>
          <w:highlight w:val="none"/>
          <w:lang w:eastAsia="zh-CN"/>
        </w:rPr>
        <w:t>如果承包人代表在合同履行期间确需暂离现场，则应在监理人代表同意下，授权给其任命的合格人选，亦可将其授权撤回。任命的人选行使承包人代表授予的职权，对承包人代表负责。该人选在</w:t>
      </w:r>
      <w:r>
        <w:rPr>
          <w:rFonts w:hint="eastAsia" w:ascii="仿宋" w:hAnsi="仿宋" w:eastAsia="仿宋"/>
          <w:color w:val="auto"/>
          <w:highlight w:val="none"/>
          <w:lang w:eastAsia="zh-CN"/>
        </w:rPr>
        <w:t>承包人</w:t>
      </w:r>
      <w:r>
        <w:rPr>
          <w:rFonts w:hint="eastAsia" w:ascii="仿宋" w:hAnsi="仿宋" w:eastAsia="仿宋" w:cs="仿宋"/>
          <w:color w:val="auto"/>
          <w:highlight w:val="none"/>
          <w:lang w:eastAsia="zh-CN"/>
        </w:rPr>
        <w:t>代表授予职权范围内的工作，承包人代表应予认可，但承包人代表保留发出通知以纠正被授权人工作失误的权力。</w:t>
      </w:r>
    </w:p>
    <w:p w14:paraId="305FDC46">
      <w:pPr>
        <w:spacing w:line="360" w:lineRule="auto"/>
        <w:rPr>
          <w:rFonts w:ascii="仿宋" w:hAnsi="仿宋" w:eastAsia="仿宋"/>
          <w:b/>
          <w:bCs/>
          <w:color w:val="auto"/>
          <w:highlight w:val="none"/>
          <w:lang w:eastAsia="zh-CN"/>
        </w:rPr>
      </w:pPr>
      <w:bookmarkStart w:id="484" w:name="_Toc268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.4</w:t>
      </w:r>
      <w:bookmarkEnd w:id="48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3B3644D">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0</wp:posOffset>
                </wp:positionV>
                <wp:extent cx="756920" cy="993775"/>
                <wp:effectExtent l="0" t="0" r="0" b="0"/>
                <wp:wrapNone/>
                <wp:docPr id="110" name="000171"/>
                <wp:cNvGraphicFramePr/>
                <a:graphic xmlns:a="http://schemas.openxmlformats.org/drawingml/2006/main">
                  <a:graphicData uri="http://schemas.microsoft.com/office/word/2010/wordprocessingShape">
                    <wps:wsp>
                      <wps:cNvSpPr txBox="1"/>
                      <wps:spPr>
                        <a:xfrm>
                          <a:off x="0" y="0"/>
                          <a:ext cx="756920" cy="993775"/>
                        </a:xfrm>
                        <a:prstGeom prst="rect">
                          <a:avLst/>
                        </a:prstGeom>
                        <a:noFill/>
                        <a:ln>
                          <a:noFill/>
                        </a:ln>
                        <a:effectLst/>
                      </wps:spPr>
                      <wps:txbx>
                        <w:txbxContent>
                          <w:p w14:paraId="4672753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p w14:paraId="57B92D83">
                            <w:pPr>
                              <w:rPr>
                                <w:lang w:eastAsia="zh-CN"/>
                              </w:rPr>
                            </w:pPr>
                          </w:p>
                        </w:txbxContent>
                      </wps:txbx>
                      <wps:bodyPr wrap="square" upright="1"/>
                    </wps:wsp>
                  </a:graphicData>
                </a:graphic>
              </wp:anchor>
            </w:drawing>
          </mc:Choice>
          <mc:Fallback>
            <w:pict>
              <v:shape id="000171" o:spid="_x0000_s1026" o:spt="202" type="#_x0000_t202" style="position:absolute;left:0pt;margin-left:-9pt;margin-top:0pt;height:78.25pt;width:59.6pt;z-index:251770880;mso-width-relative:page;mso-height-relative:page;" filled="f" stroked="f" coordsize="21600,21600" o:gfxdata="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VhhbAdUAAAAIAQAA&#10;DwAAAAAAAAABACAAAAAiAAAAZHJzL2Rvd25yZXYueG1sUEsBAhQAFAAAAAgAh07iQM1yveWqAQAA&#10;ZgMAAA4AAAAAAAAAAQAgAAAAJAEAAGRycy9lMm9Eb2MueG1sUEsFBgAAAAAGAAYAWQEAAEAFAAAA&#10;AA==&#10;">
                <v:fill on="f" focussize="0,0"/>
                <v:stroke on="f"/>
                <v:imagedata o:title=""/>
                <o:lock v:ext="edit" aspectratio="f"/>
                <v:textbox>
                  <w:txbxContent>
                    <w:p w14:paraId="4672753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p w14:paraId="57B92D83">
                      <w:pPr>
                        <w:rPr>
                          <w:lang w:eastAsia="zh-CN"/>
                        </w:rPr>
                      </w:pPr>
                    </w:p>
                  </w:txbxContent>
                </v:textbox>
              </v:shape>
            </w:pict>
          </mc:Fallback>
        </mc:AlternateContent>
      </w:r>
      <w:r>
        <w:rPr>
          <w:rFonts w:hint="eastAsia" w:ascii="仿宋" w:hAnsi="仿宋" w:eastAsia="仿宋" w:cs="仿宋"/>
          <w:color w:val="auto"/>
          <w:highlight w:val="none"/>
          <w:lang w:eastAsia="zh-CN"/>
        </w:rPr>
        <w:t>承包人代表按照经发包人认可的施工组织设计和监理人发出的指令组织施工。在紧急情况下，且无法与监理人代表取得联系时，承包人代表应立即采取保证人员生命和工程、财产安全的有效措施，并在采取措施后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向监理人提交书面报告，通知发包人。属于发包人或第三方责任的，其发生的费用和（或）延误的工期由发包人承担，并支付承包人合理利润；属于承包人责任的，其发生的费用和（或）延误的工期由承包人承担。</w:t>
      </w:r>
    </w:p>
    <w:p w14:paraId="08A49681">
      <w:pPr>
        <w:pStyle w:val="23"/>
        <w:tabs>
          <w:tab w:val="left" w:pos="540"/>
        </w:tabs>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B628931">
      <w:pPr>
        <w:pStyle w:val="4"/>
        <w:tabs>
          <w:tab w:val="left" w:pos="420"/>
        </w:tabs>
        <w:spacing w:before="120" w:after="120" w:line="360" w:lineRule="auto"/>
        <w:rPr>
          <w:rFonts w:ascii="仿宋" w:hAnsi="仿宋" w:eastAsia="仿宋"/>
          <w:bCs w:val="0"/>
          <w:color w:val="auto"/>
          <w:sz w:val="24"/>
          <w:szCs w:val="24"/>
          <w:highlight w:val="none"/>
          <w:lang w:eastAsia="zh-CN"/>
        </w:rPr>
      </w:pPr>
      <w:bookmarkStart w:id="485" w:name="_Toc47694301"/>
      <w:bookmarkStart w:id="486" w:name="_Toc17734"/>
      <w:bookmarkStart w:id="487" w:name="_Toc22438"/>
      <w:bookmarkStart w:id="488" w:name="_Toc14312"/>
      <w:bookmarkStart w:id="489" w:name="_Toc8406"/>
      <w:bookmarkStart w:id="490" w:name="_Toc31894"/>
      <w:bookmarkStart w:id="491" w:name="_Toc1325"/>
      <w:bookmarkStart w:id="492" w:name="_Toc28618"/>
      <w:r>
        <w:rPr>
          <w:rFonts w:hint="eastAsia" w:ascii="仿宋" w:hAnsi="仿宋" w:eastAsia="仿宋" w:cs="仿宋"/>
          <w:bCs w:val="0"/>
          <w:color w:val="auto"/>
          <w:sz w:val="24"/>
          <w:szCs w:val="24"/>
          <w:highlight w:val="none"/>
          <w:lang w:eastAsia="zh-CN"/>
        </w:rPr>
        <w:t>30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指定分包人</w:t>
      </w:r>
      <w:bookmarkEnd w:id="485"/>
      <w:bookmarkEnd w:id="486"/>
      <w:bookmarkEnd w:id="487"/>
      <w:bookmarkEnd w:id="488"/>
      <w:bookmarkEnd w:id="489"/>
      <w:bookmarkEnd w:id="490"/>
      <w:bookmarkEnd w:id="491"/>
      <w:bookmarkEnd w:id="492"/>
    </w:p>
    <w:p w14:paraId="5B018282">
      <w:pPr>
        <w:rPr>
          <w:rFonts w:ascii="仿宋" w:hAnsi="仿宋" w:eastAsia="仿宋"/>
          <w:b/>
          <w:bCs/>
          <w:color w:val="auto"/>
          <w:highlight w:val="none"/>
          <w:lang w:eastAsia="zh-CN"/>
        </w:rPr>
      </w:pPr>
      <w:bookmarkStart w:id="493" w:name="_Toc3665"/>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.1</w:t>
      </w:r>
      <w:bookmarkEnd w:id="493"/>
    </w:p>
    <w:p w14:paraId="5F0A24D9">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60325</wp:posOffset>
                </wp:positionV>
                <wp:extent cx="822960" cy="483235"/>
                <wp:effectExtent l="0" t="0" r="0" b="0"/>
                <wp:wrapNone/>
                <wp:docPr id="111" name="000172"/>
                <wp:cNvGraphicFramePr/>
                <a:graphic xmlns:a="http://schemas.openxmlformats.org/drawingml/2006/main">
                  <a:graphicData uri="http://schemas.microsoft.com/office/word/2010/wordprocessingShape">
                    <wps:wsp>
                      <wps:cNvSpPr txBox="1"/>
                      <wps:spPr>
                        <a:xfrm>
                          <a:off x="0" y="0"/>
                          <a:ext cx="822960" cy="483235"/>
                        </a:xfrm>
                        <a:prstGeom prst="rect">
                          <a:avLst/>
                        </a:prstGeom>
                        <a:noFill/>
                        <a:ln>
                          <a:noFill/>
                        </a:ln>
                        <a:effectLst/>
                      </wps:spPr>
                      <wps:txbx>
                        <w:txbxContent>
                          <w:p w14:paraId="7147C50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p w14:paraId="202E98CB"/>
                        </w:txbxContent>
                      </wps:txbx>
                      <wps:bodyPr wrap="square" upright="1"/>
                    </wps:wsp>
                  </a:graphicData>
                </a:graphic>
              </wp:anchor>
            </w:drawing>
          </mc:Choice>
          <mc:Fallback>
            <w:pict>
              <v:shape id="000172" o:spid="_x0000_s1026" o:spt="202" type="#_x0000_t202" style="position:absolute;left:0pt;margin-left:-9pt;margin-top:4.75pt;height:38.05pt;width:64.8pt;z-index:251771904;mso-width-relative:page;mso-height-relative:page;" filled="f" stroked="f" coordsize="21600,21600" o:gfxdata="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E5WB7VAAAACAEA&#10;AA8AAAAAAAAAAQAgAAAAIgAAAGRycy9kb3ducmV2LnhtbFBLAQIUABQAAAAIAIdO4kCuGhpbqwEA&#10;AGYDAAAOAAAAAAAAAAEAIAAAACQBAABkcnMvZTJvRG9jLnhtbFBLBQYAAAAABgAGAFkBAABBBQAA&#10;AAA=&#10;">
                <v:fill on="f" focussize="0,0"/>
                <v:stroke on="f"/>
                <v:imagedata o:title=""/>
                <o:lock v:ext="edit" aspectratio="f"/>
                <v:textbox>
                  <w:txbxContent>
                    <w:p w14:paraId="7147C50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p w14:paraId="202E98CB"/>
                  </w:txbxContent>
                </v:textbox>
              </v:shape>
            </w:pict>
          </mc:Fallback>
        </mc:AlternateContent>
      </w:r>
      <w:r>
        <w:rPr>
          <w:rFonts w:hint="eastAsia" w:ascii="仿宋" w:hAnsi="仿宋" w:eastAsia="仿宋" w:cs="仿宋"/>
          <w:color w:val="auto"/>
          <w:highlight w:val="none"/>
          <w:lang w:eastAsia="zh-CN"/>
        </w:rPr>
        <w:t>指定分包人是指发包人事先指定的从事下列工作之一的分包人：</w:t>
      </w:r>
    </w:p>
    <w:p w14:paraId="3BFDD064">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）根据专用条款的约定，发包人依法事先指定的实施、完成部分永久工程的分包人；</w:t>
      </w:r>
    </w:p>
    <w:p w14:paraId="5C9FBCB4">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）根据专用条款的约定，发包人选定的提供合同工程材料、工程设备和服务的分包人；</w:t>
      </w:r>
    </w:p>
    <w:p w14:paraId="07477635">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（3）根据专用条款的约定，发包人选定的提供部分专业服务的分包人。</w:t>
      </w:r>
    </w:p>
    <w:p w14:paraId="60F79909">
      <w:pPr>
        <w:spacing w:line="360" w:lineRule="auto"/>
        <w:rPr>
          <w:rFonts w:ascii="仿宋" w:hAnsi="仿宋" w:eastAsia="仿宋"/>
          <w:b/>
          <w:bCs/>
          <w:color w:val="auto"/>
          <w:highlight w:val="none"/>
          <w:lang w:eastAsia="zh-CN"/>
        </w:rPr>
      </w:pPr>
      <w:bookmarkStart w:id="494" w:name="_Toc4859"/>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.2</w:t>
      </w:r>
      <w:bookmarkEnd w:id="49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3DDBDA7">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0</wp:posOffset>
                </wp:positionV>
                <wp:extent cx="866775" cy="556895"/>
                <wp:effectExtent l="0" t="0" r="0" b="0"/>
                <wp:wrapNone/>
                <wp:docPr id="112" name="000173"/>
                <wp:cNvGraphicFramePr/>
                <a:graphic xmlns:a="http://schemas.openxmlformats.org/drawingml/2006/main">
                  <a:graphicData uri="http://schemas.microsoft.com/office/word/2010/wordprocessingShape">
                    <wps:wsp>
                      <wps:cNvSpPr txBox="1"/>
                      <wps:spPr>
                        <a:xfrm>
                          <a:off x="0" y="0"/>
                          <a:ext cx="866775" cy="556895"/>
                        </a:xfrm>
                        <a:prstGeom prst="rect">
                          <a:avLst/>
                        </a:prstGeom>
                        <a:noFill/>
                        <a:ln>
                          <a:noFill/>
                        </a:ln>
                        <a:effectLst/>
                      </wps:spPr>
                      <wps:txbx>
                        <w:txbxContent>
                          <w:p w14:paraId="650D2D2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p w14:paraId="41FC72D0">
                            <w:pPr>
                              <w:rPr>
                                <w:lang w:eastAsia="zh-CN"/>
                              </w:rPr>
                            </w:pPr>
                          </w:p>
                        </w:txbxContent>
                      </wps:txbx>
                      <wps:bodyPr wrap="square" upright="1"/>
                    </wps:wsp>
                  </a:graphicData>
                </a:graphic>
              </wp:anchor>
            </w:drawing>
          </mc:Choice>
          <mc:Fallback>
            <w:pict>
              <v:shape id="000173" o:spid="_x0000_s1026" o:spt="202" type="#_x0000_t202" style="position:absolute;left:0pt;margin-left:-9pt;margin-top:0pt;height:43.85pt;width:68.25pt;z-index:251772928;mso-width-relative:page;mso-height-relative:page;" filled="f" stroked="f" coordsize="21600,21600" o:gfxdata="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oy6pbVAAAABwEA&#10;AA8AAAAAAAAAAQAgAAAAIgAAAGRycy9kb3ducmV2LnhtbFBLAQIUABQAAAAIAIdO4kCrVrqYqwEA&#10;AGYDAAAOAAAAAAAAAAEAIAAAACQBAABkcnMvZTJvRG9jLnhtbFBLBQYAAAAABgAGAFkBAABBBQAA&#10;AAA=&#10;">
                <v:fill on="f" focussize="0,0"/>
                <v:stroke on="f"/>
                <v:imagedata o:title=""/>
                <o:lock v:ext="edit" aspectratio="f"/>
                <v:textbox>
                  <w:txbxContent>
                    <w:p w14:paraId="650D2D2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p w14:paraId="41FC72D0">
                      <w:pPr>
                        <w:rPr>
                          <w:lang w:eastAsia="zh-CN"/>
                        </w:rPr>
                      </w:pPr>
                    </w:p>
                  </w:txbxContent>
                </v:textbox>
              </v:shape>
            </w:pict>
          </mc:Fallback>
        </mc:AlternateContent>
      </w:r>
      <w:r>
        <w:rPr>
          <w:rFonts w:hint="eastAsia" w:ascii="仿宋" w:hAnsi="仿宋" w:eastAsia="仿宋" w:cs="仿宋"/>
          <w:color w:val="auto"/>
          <w:highlight w:val="none"/>
          <w:lang w:eastAsia="zh-CN"/>
        </w:rPr>
        <w:t>指定分包人属于承包人的分包人，发包人不应要求承包人有义务接受承包人有理由反对的任何指定分包人。</w:t>
      </w:r>
    </w:p>
    <w:p w14:paraId="389E7D43">
      <w:pPr>
        <w:spacing w:line="360" w:lineRule="auto"/>
        <w:rPr>
          <w:rFonts w:ascii="仿宋" w:hAnsi="仿宋" w:eastAsia="仿宋"/>
          <w:b/>
          <w:bCs/>
          <w:color w:val="auto"/>
          <w:highlight w:val="none"/>
          <w:u w:val="dotted"/>
          <w:lang w:eastAsia="zh-CN"/>
        </w:rPr>
      </w:pPr>
      <w:bookmarkStart w:id="495" w:name="_Toc16892"/>
      <w:r>
        <w:rPr>
          <w:rFonts w:ascii="仿宋" w:hAnsi="仿宋" w:eastAsia="仿宋" w:cs="仿宋"/>
          <w:b/>
          <w:bCs/>
          <w:color w:val="auto"/>
          <w:highlight w:val="none"/>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237490</wp:posOffset>
                </wp:positionV>
                <wp:extent cx="856615" cy="678180"/>
                <wp:effectExtent l="0" t="0" r="0" b="0"/>
                <wp:wrapNone/>
                <wp:docPr id="113" name="000174"/>
                <wp:cNvGraphicFramePr/>
                <a:graphic xmlns:a="http://schemas.openxmlformats.org/drawingml/2006/main">
                  <a:graphicData uri="http://schemas.microsoft.com/office/word/2010/wordprocessingShape">
                    <wps:wsp>
                      <wps:cNvSpPr txBox="1"/>
                      <wps:spPr>
                        <a:xfrm>
                          <a:off x="0" y="0"/>
                          <a:ext cx="856615" cy="678180"/>
                        </a:xfrm>
                        <a:prstGeom prst="rect">
                          <a:avLst/>
                        </a:prstGeom>
                        <a:noFill/>
                        <a:ln>
                          <a:noFill/>
                        </a:ln>
                        <a:effectLst/>
                      </wps:spPr>
                      <wps:txbx>
                        <w:txbxContent>
                          <w:p w14:paraId="6F2F212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p w14:paraId="6B8730CA">
                            <w:pPr>
                              <w:rPr>
                                <w:lang w:eastAsia="zh-CN"/>
                              </w:rPr>
                            </w:pPr>
                          </w:p>
                        </w:txbxContent>
                      </wps:txbx>
                      <wps:bodyPr wrap="square" upright="1"/>
                    </wps:wsp>
                  </a:graphicData>
                </a:graphic>
              </wp:anchor>
            </w:drawing>
          </mc:Choice>
          <mc:Fallback>
            <w:pict>
              <v:shape id="000174" o:spid="_x0000_s1026" o:spt="202" type="#_x0000_t202" style="position:absolute;left:0pt;margin-left:-9pt;margin-top:18.7pt;height:53.4pt;width:67.45pt;z-index:251773952;mso-width-relative:page;mso-height-relative:page;" filled="f" stroked="f" coordsize="21600,21600" o:gfxdata="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8VmzNgA&#10;AAAKAQAADwAAAAAAAAABACAAAAAiAAAAZHJzL2Rvd25yZXYueG1sUEsBAhQAFAAAAAgAh07iQKJK&#10;ykutAQAAZgMAAA4AAAAAAAAAAQAgAAAAJwEAAGRycy9lMm9Eb2MueG1sUEsFBgAAAAAGAAYAWQEA&#10;AEYFAAAAAA==&#10;">
                <v:fill on="f" focussize="0,0"/>
                <v:stroke on="f"/>
                <v:imagedata o:title=""/>
                <o:lock v:ext="edit" aspectratio="f"/>
                <v:textbox>
                  <w:txbxContent>
                    <w:p w14:paraId="6F2F212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p w14:paraId="6B8730CA">
                      <w:pPr>
                        <w:rPr>
                          <w:lang w:eastAsia="zh-CN"/>
                        </w:rPr>
                      </w:pPr>
                    </w:p>
                  </w:txbxContent>
                </v:textbox>
              </v:shape>
            </w:pict>
          </mc:Fallback>
        </mc:AlternateContent>
      </w: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.3</w:t>
      </w:r>
      <w:bookmarkEnd w:id="49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08E9FF7">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发包人应按照合同的约定向承包人支付指定分包人的分包工程配合费。指定分包工程款的结算与支付，按照第10</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款办理。</w:t>
      </w:r>
    </w:p>
    <w:p w14:paraId="69DFBF38">
      <w:pPr>
        <w:spacing w:line="360" w:lineRule="auto"/>
        <w:rPr>
          <w:rFonts w:ascii="仿宋" w:hAnsi="仿宋" w:eastAsia="仿宋"/>
          <w:b/>
          <w:bCs/>
          <w:color w:val="auto"/>
          <w:highlight w:val="none"/>
          <w:u w:val="dotted"/>
          <w:lang w:eastAsia="zh-CN"/>
        </w:rPr>
      </w:pPr>
      <w:bookmarkStart w:id="496" w:name="_Toc20846"/>
      <w:r>
        <w:rPr>
          <w:rFonts w:ascii="仿宋" w:hAnsi="仿宋" w:eastAsia="仿宋" w:cs="仿宋"/>
          <w:b/>
          <w:bCs/>
          <w:color w:val="auto"/>
          <w:highlight w:val="none"/>
        </w:rPr>
        <mc:AlternateContent>
          <mc:Choice Requires="wps">
            <w:drawing>
              <wp:anchor distT="0" distB="0" distL="114300" distR="114300" simplePos="0" relativeHeight="251774976" behindDoc="0" locked="0" layoutInCell="1" allowOverlap="1">
                <wp:simplePos x="0" y="0"/>
                <wp:positionH relativeFrom="column">
                  <wp:posOffset>-66675</wp:posOffset>
                </wp:positionH>
                <wp:positionV relativeFrom="paragraph">
                  <wp:posOffset>199390</wp:posOffset>
                </wp:positionV>
                <wp:extent cx="829310" cy="583565"/>
                <wp:effectExtent l="0" t="0" r="0" b="0"/>
                <wp:wrapNone/>
                <wp:docPr id="114" name="000175"/>
                <wp:cNvGraphicFramePr/>
                <a:graphic xmlns:a="http://schemas.openxmlformats.org/drawingml/2006/main">
                  <a:graphicData uri="http://schemas.microsoft.com/office/word/2010/wordprocessingShape">
                    <wps:wsp>
                      <wps:cNvSpPr txBox="1"/>
                      <wps:spPr>
                        <a:xfrm>
                          <a:off x="0" y="0"/>
                          <a:ext cx="829310" cy="583565"/>
                        </a:xfrm>
                        <a:prstGeom prst="rect">
                          <a:avLst/>
                        </a:prstGeom>
                        <a:noFill/>
                        <a:ln>
                          <a:noFill/>
                        </a:ln>
                        <a:effectLst/>
                      </wps:spPr>
                      <wps:txbx>
                        <w:txbxContent>
                          <w:p w14:paraId="39E2DEE3">
                            <w:pPr>
                              <w:rPr>
                                <w:lang w:eastAsia="zh-CN"/>
                              </w:rPr>
                            </w:pPr>
                            <w:r>
                              <w:rPr>
                                <w:rFonts w:hint="eastAsia" w:ascii="楷体_GB2312" w:hAnsi="宋体" w:eastAsia="楷体_GB2312" w:cs="楷体_GB2312"/>
                                <w:b/>
                                <w:bCs/>
                                <w:color w:val="000000"/>
                                <w:sz w:val="18"/>
                                <w:szCs w:val="18"/>
                                <w:lang w:eastAsia="zh-CN"/>
                              </w:rPr>
                              <w:t>承包人对指定分包工程的义务</w:t>
                            </w:r>
                          </w:p>
                          <w:p w14:paraId="2306D005">
                            <w:pPr>
                              <w:rPr>
                                <w:lang w:eastAsia="zh-CN"/>
                              </w:rPr>
                            </w:pPr>
                          </w:p>
                        </w:txbxContent>
                      </wps:txbx>
                      <wps:bodyPr wrap="square" upright="1"/>
                    </wps:wsp>
                  </a:graphicData>
                </a:graphic>
              </wp:anchor>
            </w:drawing>
          </mc:Choice>
          <mc:Fallback>
            <w:pict>
              <v:shape id="000175" o:spid="_x0000_s1026" o:spt="202" type="#_x0000_t202" style="position:absolute;left:0pt;margin-left:-5.25pt;margin-top:15.7pt;height:45.95pt;width:65.3pt;z-index:251774976;mso-width-relative:page;mso-height-relative:page;" filled="f" stroked="f" coordsize="21600,21600" o:gfxdata="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IKixR9YAAAAK&#10;AQAADwAAAAAAAAABACAAAAAiAAAAZHJzL2Rvd25yZXYueG1sUEsBAhQAFAAAAAgAh07iQLzMhbGs&#10;AQAAZgMAAA4AAAAAAAAAAQAgAAAAJQEAAGRycy9lMm9Eb2MueG1sUEsFBgAAAAAGAAYAWQEAAEMF&#10;AAAAAA==&#10;">
                <v:fill on="f" focussize="0,0"/>
                <v:stroke on="f"/>
                <v:imagedata o:title=""/>
                <o:lock v:ext="edit" aspectratio="f"/>
                <v:textbox>
                  <w:txbxContent>
                    <w:p w14:paraId="39E2DEE3">
                      <w:pPr>
                        <w:rPr>
                          <w:lang w:eastAsia="zh-CN"/>
                        </w:rPr>
                      </w:pPr>
                      <w:r>
                        <w:rPr>
                          <w:rFonts w:hint="eastAsia" w:ascii="楷体_GB2312" w:hAnsi="宋体" w:eastAsia="楷体_GB2312" w:cs="楷体_GB2312"/>
                          <w:b/>
                          <w:bCs/>
                          <w:color w:val="000000"/>
                          <w:sz w:val="18"/>
                          <w:szCs w:val="18"/>
                          <w:lang w:eastAsia="zh-CN"/>
                        </w:rPr>
                        <w:t>承包人对指定分包工程的义务</w:t>
                      </w:r>
                    </w:p>
                    <w:p w14:paraId="2306D005">
                      <w:pPr>
                        <w:rPr>
                          <w:lang w:eastAsia="zh-CN"/>
                        </w:rPr>
                      </w:pPr>
                    </w:p>
                  </w:txbxContent>
                </v:textbox>
              </v:shape>
            </w:pict>
          </mc:Fallback>
        </mc:AlternateContent>
      </w: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.4</w:t>
      </w:r>
      <w:bookmarkEnd w:id="49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939C9CD">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指定分包人应按照分包合同的约定对承包人负责。承包人有义务协助、配合指定分包人实施分包工程。</w:t>
      </w:r>
    </w:p>
    <w:p w14:paraId="6D0B155C">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05661A78">
      <w:pPr>
        <w:pStyle w:val="4"/>
        <w:tabs>
          <w:tab w:val="left" w:pos="420"/>
        </w:tabs>
        <w:spacing w:before="120" w:after="120" w:line="360" w:lineRule="auto"/>
        <w:rPr>
          <w:rFonts w:ascii="仿宋" w:hAnsi="仿宋" w:eastAsia="仿宋"/>
          <w:bCs w:val="0"/>
          <w:color w:val="auto"/>
          <w:sz w:val="24"/>
          <w:szCs w:val="24"/>
          <w:highlight w:val="none"/>
          <w:lang w:eastAsia="zh-CN"/>
        </w:rPr>
      </w:pPr>
      <w:bookmarkStart w:id="497" w:name="_Toc29607"/>
      <w:bookmarkStart w:id="498" w:name="_Toc25217"/>
      <w:bookmarkStart w:id="499" w:name="_Toc20916"/>
      <w:bookmarkStart w:id="500" w:name="_Toc12060"/>
      <w:bookmarkStart w:id="501" w:name="_Toc4313"/>
      <w:bookmarkStart w:id="502" w:name="_Toc47694302"/>
      <w:bookmarkStart w:id="503" w:name="_Toc27685"/>
      <w:bookmarkStart w:id="504" w:name="_Toc19044"/>
      <w:r>
        <w:rPr>
          <w:rFonts w:hint="eastAsia" w:ascii="仿宋" w:hAnsi="仿宋" w:eastAsia="仿宋" w:cs="仿宋"/>
          <w:bCs w:val="0"/>
          <w:color w:val="auto"/>
          <w:sz w:val="24"/>
          <w:szCs w:val="24"/>
          <w:highlight w:val="none"/>
          <w:lang w:eastAsia="zh-CN"/>
        </w:rPr>
        <w:t>31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承包人劳务</w:t>
      </w:r>
      <w:bookmarkEnd w:id="497"/>
      <w:bookmarkEnd w:id="498"/>
      <w:bookmarkEnd w:id="499"/>
      <w:bookmarkEnd w:id="500"/>
      <w:bookmarkEnd w:id="501"/>
      <w:bookmarkEnd w:id="502"/>
      <w:bookmarkEnd w:id="503"/>
      <w:bookmarkEnd w:id="504"/>
    </w:p>
    <w:p w14:paraId="7240746D">
      <w:pPr>
        <w:spacing w:line="360" w:lineRule="auto"/>
        <w:rPr>
          <w:rFonts w:hint="eastAsia" w:ascii="仿宋" w:hAnsi="仿宋" w:eastAsia="仿宋"/>
          <w:b/>
          <w:bCs/>
          <w:color w:val="auto"/>
          <w:highlight w:val="none"/>
          <w:lang w:eastAsia="zh-CN"/>
        </w:rPr>
      </w:pPr>
      <w:bookmarkStart w:id="505" w:name="_Toc27515"/>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.1</w:t>
      </w:r>
      <w:bookmarkEnd w:id="505"/>
    </w:p>
    <w:p w14:paraId="26BB4FCF">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8255</wp:posOffset>
                </wp:positionV>
                <wp:extent cx="794385" cy="577850"/>
                <wp:effectExtent l="0" t="0" r="0" b="0"/>
                <wp:wrapNone/>
                <wp:docPr id="115" name="000176"/>
                <wp:cNvGraphicFramePr/>
                <a:graphic xmlns:a="http://schemas.openxmlformats.org/drawingml/2006/main">
                  <a:graphicData uri="http://schemas.microsoft.com/office/word/2010/wordprocessingShape">
                    <wps:wsp>
                      <wps:cNvSpPr txBox="1"/>
                      <wps:spPr>
                        <a:xfrm>
                          <a:off x="0" y="0"/>
                          <a:ext cx="794385" cy="577850"/>
                        </a:xfrm>
                        <a:prstGeom prst="rect">
                          <a:avLst/>
                        </a:prstGeom>
                        <a:noFill/>
                        <a:ln>
                          <a:noFill/>
                        </a:ln>
                        <a:effectLst/>
                      </wps:spPr>
                      <wps:txbx>
                        <w:txbxContent>
                          <w:p w14:paraId="541C627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p w14:paraId="1012B9B0">
                            <w:pPr>
                              <w:rPr>
                                <w:lang w:eastAsia="zh-CN"/>
                              </w:rPr>
                            </w:pPr>
                          </w:p>
                        </w:txbxContent>
                      </wps:txbx>
                      <wps:bodyPr wrap="square" upright="1"/>
                    </wps:wsp>
                  </a:graphicData>
                </a:graphic>
              </wp:anchor>
            </w:drawing>
          </mc:Choice>
          <mc:Fallback>
            <w:pict>
              <v:shape id="000176" o:spid="_x0000_s1026" o:spt="202" type="#_x0000_t202" style="position:absolute;left:0pt;margin-left:-9pt;margin-top:0.65pt;height:45.5pt;width:62.55pt;z-index:251776000;mso-width-relative:page;mso-height-relative:page;" filled="f" stroked="f" coordsize="21600,21600" o:gfxdata="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FpE/9YAAAAI&#10;AQAADwAAAAAAAAABACAAAAAiAAAAZHJzL2Rvd25yZXYueG1sUEsBAhQAFAAAAAgAh07iQMsia6Ss&#10;AQAAZgMAAA4AAAAAAAAAAQAgAAAAJQEAAGRycy9lMm9Eb2MueG1sUEsFBgAAAAAGAAYAWQEAAEMF&#10;AAAAAA==&#10;">
                <v:fill on="f" focussize="0,0"/>
                <v:stroke on="f"/>
                <v:imagedata o:title=""/>
                <o:lock v:ext="edit" aspectratio="f"/>
                <v:textbox>
                  <w:txbxContent>
                    <w:p w14:paraId="541C627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p w14:paraId="1012B9B0">
                      <w:pPr>
                        <w:rPr>
                          <w:lang w:eastAsia="zh-CN"/>
                        </w:rPr>
                      </w:pPr>
                    </w:p>
                  </w:txbxContent>
                </v:textbox>
              </v:shape>
            </w:pict>
          </mc:Fallback>
        </mc:AlternateContent>
      </w:r>
      <w:r>
        <w:rPr>
          <w:rFonts w:hint="eastAsia" w:ascii="仿宋" w:hAnsi="仿宋" w:eastAsia="仿宋" w:cs="仿宋"/>
          <w:color w:val="auto"/>
          <w:highlight w:val="none"/>
          <w:lang w:eastAsia="zh-CN"/>
        </w:rPr>
        <w:t>承包人应在接到开工令后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向监理人提交承包人在施工场地的管理机构以及人员安排报告，并附上“主要人员一览表”。报告内容应包括管理机构的设置、各主要岗位的技术和管理人员名单及其资格，以及各工种技术工人的安排情况等。招标发包工程，“主要人员一览表”应与投标文件中的相应内容一致。</w:t>
      </w:r>
    </w:p>
    <w:p w14:paraId="7A6A2E9A">
      <w:pPr>
        <w:spacing w:line="360" w:lineRule="auto"/>
        <w:rPr>
          <w:rFonts w:ascii="仿宋" w:hAnsi="仿宋" w:eastAsia="仿宋" w:cs="仿宋"/>
          <w:b/>
          <w:bCs/>
          <w:color w:val="auto"/>
          <w:highlight w:val="none"/>
          <w:lang w:eastAsia="zh-CN"/>
        </w:rPr>
      </w:pPr>
      <w:bookmarkStart w:id="506" w:name="_Toc31849"/>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.2</w:t>
      </w:r>
      <w:bookmarkEnd w:id="50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626F9F9">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8255</wp:posOffset>
                </wp:positionV>
                <wp:extent cx="785495" cy="449580"/>
                <wp:effectExtent l="0" t="0" r="0" b="0"/>
                <wp:wrapNone/>
                <wp:docPr id="116" name="000177"/>
                <wp:cNvGraphicFramePr/>
                <a:graphic xmlns:a="http://schemas.openxmlformats.org/drawingml/2006/main">
                  <a:graphicData uri="http://schemas.microsoft.com/office/word/2010/wordprocessingShape">
                    <wps:wsp>
                      <wps:cNvSpPr txBox="1"/>
                      <wps:spPr>
                        <a:xfrm>
                          <a:off x="0" y="0"/>
                          <a:ext cx="785495" cy="449580"/>
                        </a:xfrm>
                        <a:prstGeom prst="rect">
                          <a:avLst/>
                        </a:prstGeom>
                        <a:noFill/>
                        <a:ln>
                          <a:noFill/>
                        </a:ln>
                        <a:effectLst/>
                      </wps:spPr>
                      <wps:txbx>
                        <w:txbxContent>
                          <w:p w14:paraId="1745814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p w14:paraId="22AB81EE"/>
                        </w:txbxContent>
                      </wps:txbx>
                      <wps:bodyPr wrap="square" upright="1"/>
                    </wps:wsp>
                  </a:graphicData>
                </a:graphic>
              </wp:anchor>
            </w:drawing>
          </mc:Choice>
          <mc:Fallback>
            <w:pict>
              <v:shape id="000177" o:spid="_x0000_s1026" o:spt="202" type="#_x0000_t202" style="position:absolute;left:0pt;margin-left:-9pt;margin-top:0.65pt;height:35.4pt;width:61.85pt;z-index:251777024;mso-width-relative:page;mso-height-relative:page;" filled="f" stroked="f" coordsize="21600,21600" o:gfxdata="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09w3n1gAAAAgB&#10;AAAPAAAAAAAAAAEAIAAAACIAAABkcnMvZG93bnJldi54bWxQSwECFAAUAAAACACHTuJAvLZUMasB&#10;AABmAwAADgAAAAAAAAABACAAAAAlAQAAZHJzL2Uyb0RvYy54bWxQSwUGAAAAAAYABgBZAQAAQgUA&#10;AAAA&#10;">
                <v:fill on="f" focussize="0,0"/>
                <v:stroke on="f"/>
                <v:imagedata o:title=""/>
                <o:lock v:ext="edit" aspectratio="f"/>
                <v:textbox>
                  <w:txbxContent>
                    <w:p w14:paraId="1745814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p w14:paraId="22AB81EE"/>
                  </w:txbxContent>
                </v:textbox>
              </v:shape>
            </w:pict>
          </mc:Fallback>
        </mc:AlternateContent>
      </w:r>
      <w:r>
        <w:rPr>
          <w:rFonts w:hint="eastAsia" w:ascii="仿宋" w:hAnsi="仿宋" w:eastAsia="仿宋" w:cs="仿宋"/>
          <w:color w:val="auto"/>
          <w:highlight w:val="none"/>
          <w:lang w:eastAsia="zh-CN"/>
        </w:rPr>
        <w:t>承包人除应雇佣投标文件中“主要人员一览表”中指明的人员外，也可以雇佣经监理人批准的其他人员，但不得从发包人或服务于发包人的人员中雇佣人员。</w:t>
      </w:r>
    </w:p>
    <w:p w14:paraId="492E7FD8">
      <w:pPr>
        <w:spacing w:line="360" w:lineRule="auto"/>
        <w:rPr>
          <w:rFonts w:ascii="仿宋" w:hAnsi="仿宋" w:eastAsia="仿宋"/>
          <w:b/>
          <w:bCs/>
          <w:color w:val="auto"/>
          <w:highlight w:val="none"/>
          <w:lang w:eastAsia="zh-CN"/>
        </w:rPr>
      </w:pPr>
      <w:bookmarkStart w:id="507" w:name="_Toc25755"/>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.3</w:t>
      </w:r>
      <w:bookmarkEnd w:id="50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D8D88C0">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59690</wp:posOffset>
                </wp:positionV>
                <wp:extent cx="833120" cy="806450"/>
                <wp:effectExtent l="0" t="0" r="0" b="0"/>
                <wp:wrapNone/>
                <wp:docPr id="117" name="000178"/>
                <wp:cNvGraphicFramePr/>
                <a:graphic xmlns:a="http://schemas.openxmlformats.org/drawingml/2006/main">
                  <a:graphicData uri="http://schemas.microsoft.com/office/word/2010/wordprocessingShape">
                    <wps:wsp>
                      <wps:cNvSpPr txBox="1"/>
                      <wps:spPr>
                        <a:xfrm>
                          <a:off x="0" y="0"/>
                          <a:ext cx="833120" cy="806450"/>
                        </a:xfrm>
                        <a:prstGeom prst="rect">
                          <a:avLst/>
                        </a:prstGeom>
                        <a:noFill/>
                        <a:ln>
                          <a:noFill/>
                        </a:ln>
                        <a:effectLst/>
                      </wps:spPr>
                      <wps:txbx>
                        <w:txbxContent>
                          <w:p w14:paraId="529C68E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p w14:paraId="69A6977D">
                            <w:pPr>
                              <w:rPr>
                                <w:lang w:eastAsia="zh-CN"/>
                              </w:rPr>
                            </w:pPr>
                          </w:p>
                        </w:txbxContent>
                      </wps:txbx>
                      <wps:bodyPr wrap="square" upright="1"/>
                    </wps:wsp>
                  </a:graphicData>
                </a:graphic>
              </wp:anchor>
            </w:drawing>
          </mc:Choice>
          <mc:Fallback>
            <w:pict>
              <v:shape id="000178" o:spid="_x0000_s1026" o:spt="202" type="#_x0000_t202" style="position:absolute;left:0pt;margin-left:-9pt;margin-top:4.7pt;height:63.5pt;width:65.6pt;z-index:251778048;mso-width-relative:page;mso-height-relative:page;" filled="f" stroked="f" coordsize="21600,21600" o:gfxdata="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5TgxjXAAAA&#10;CQEAAA8AAAAAAAAAAQAgAAAAIgAAAGRycy9kb3ducmV2LnhtbFBLAQIUABQAAAAIAIdO4kDzhoKO&#10;rAEAAGYDAAAOAAAAAAAAAAEAIAAAACYBAABkcnMvZTJvRG9jLnhtbFBLBQYAAAAABgAGAFkBAABE&#10;BQAAAAA=&#10;">
                <v:fill on="f" focussize="0,0"/>
                <v:stroke on="f"/>
                <v:imagedata o:title=""/>
                <o:lock v:ext="edit" aspectratio="f"/>
                <v:textbox>
                  <w:txbxContent>
                    <w:p w14:paraId="529C68E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p w14:paraId="69A6977D">
                      <w:pPr>
                        <w:rPr>
                          <w:lang w:eastAsia="zh-CN"/>
                        </w:rPr>
                      </w:pPr>
                    </w:p>
                  </w:txbxContent>
                </v:textbox>
              </v:shape>
            </w:pict>
          </mc:Fallback>
        </mc:AlternateContent>
      </w:r>
      <w:r>
        <w:rPr>
          <w:rFonts w:hint="eastAsia" w:ascii="仿宋" w:hAnsi="仿宋" w:eastAsia="仿宋" w:cs="仿宋"/>
          <w:color w:val="auto"/>
          <w:highlight w:val="none"/>
          <w:lang w:eastAsia="zh-CN"/>
        </w:rPr>
        <w:t>承包人应完善雇员的劳务注册手续，并与雇员订立劳动合同，明确双方的权利和义务。雇佣期间，承包人应做好下列工作：</w:t>
      </w:r>
    </w:p>
    <w:p w14:paraId="43B01ECA">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负责为雇员提供必要的食宿及各种生活设施，采取合理的卫生、劳动保护和安全防护措施，保证雇员的健康和安全；</w:t>
      </w:r>
    </w:p>
    <w:p w14:paraId="63C7E86E">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保障雇员的合法权利和人身安全，及时采取有效措施抢救和治疗施工中受伤害的雇员；</w:t>
      </w:r>
    </w:p>
    <w:p w14:paraId="7432A69D">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充分考虑和保障雇员的休息时间和法定节假日休假时间，尊重雇员的宗教信仰和风俗习惯；</w:t>
      </w:r>
    </w:p>
    <w:p w14:paraId="20D12DC9">
      <w:pPr>
        <w:widowControl w:val="0"/>
        <w:spacing w:line="360" w:lineRule="auto"/>
        <w:ind w:left="1850" w:leftChars="771"/>
        <w:jc w:val="both"/>
        <w:rPr>
          <w:rFonts w:ascii="仿宋" w:hAnsi="仿宋" w:eastAsia="仿宋" w:cs="仿宋"/>
          <w:strike/>
          <w:color w:val="auto"/>
          <w:highlight w:val="none"/>
          <w:lang w:eastAsia="zh-CN"/>
        </w:rPr>
      </w:pP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在施工现场主要出入口处设榜公布雇员工资发放时间和投诉电话；</w:t>
      </w:r>
    </w:p>
    <w:p w14:paraId="32CAC0DE">
      <w:pPr>
        <w:widowControl w:val="0"/>
        <w:spacing w:line="360" w:lineRule="auto"/>
        <w:ind w:left="1850" w:leftChars="771"/>
        <w:jc w:val="both"/>
        <w:rPr>
          <w:rFonts w:ascii="仿宋" w:hAnsi="仿宋" w:eastAsia="仿宋"/>
          <w:color w:val="auto"/>
          <w:highlight w:val="none"/>
          <w:lang w:eastAsia="zh-CN"/>
        </w:rPr>
      </w:pP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5</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办理雇员的意外伤害等一切保险，处理雇员因工伤亡事故的善后事宜。</w:t>
      </w:r>
    </w:p>
    <w:p w14:paraId="0C0C787C">
      <w:pPr>
        <w:spacing w:line="360" w:lineRule="auto"/>
        <w:rPr>
          <w:rFonts w:ascii="仿宋" w:hAnsi="仿宋" w:eastAsia="仿宋"/>
          <w:b/>
          <w:bCs/>
          <w:color w:val="auto"/>
          <w:highlight w:val="none"/>
          <w:lang w:eastAsia="zh-CN"/>
        </w:rPr>
      </w:pPr>
      <w:bookmarkStart w:id="508" w:name="_Toc26563"/>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.4</w:t>
      </w:r>
      <w:bookmarkEnd w:id="50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B8CC93B">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0</wp:posOffset>
                </wp:positionV>
                <wp:extent cx="851535" cy="549275"/>
                <wp:effectExtent l="0" t="0" r="0" b="0"/>
                <wp:wrapNone/>
                <wp:docPr id="118" name="000179"/>
                <wp:cNvGraphicFramePr/>
                <a:graphic xmlns:a="http://schemas.openxmlformats.org/drawingml/2006/main">
                  <a:graphicData uri="http://schemas.microsoft.com/office/word/2010/wordprocessingShape">
                    <wps:wsp>
                      <wps:cNvSpPr txBox="1"/>
                      <wps:spPr>
                        <a:xfrm>
                          <a:off x="0" y="0"/>
                          <a:ext cx="851535" cy="549275"/>
                        </a:xfrm>
                        <a:prstGeom prst="rect">
                          <a:avLst/>
                        </a:prstGeom>
                        <a:noFill/>
                        <a:ln>
                          <a:noFill/>
                        </a:ln>
                        <a:effectLst/>
                      </wps:spPr>
                      <wps:txbx>
                        <w:txbxContent>
                          <w:p w14:paraId="40EF4B81">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p w14:paraId="699854C4">
                            <w:pPr>
                              <w:rPr>
                                <w:lang w:eastAsia="zh-CN"/>
                              </w:rPr>
                            </w:pPr>
                          </w:p>
                        </w:txbxContent>
                      </wps:txbx>
                      <wps:bodyPr wrap="square" upright="1"/>
                    </wps:wsp>
                  </a:graphicData>
                </a:graphic>
              </wp:anchor>
            </w:drawing>
          </mc:Choice>
          <mc:Fallback>
            <w:pict>
              <v:shape id="000179" o:spid="_x0000_s1026" o:spt="202" type="#_x0000_t202" style="position:absolute;left:0pt;margin-left:-9pt;margin-top:0pt;height:43.25pt;width:67.05pt;z-index:251779072;mso-width-relative:page;mso-height-relative:page;" filled="f" stroked="f" coordsize="21600,21600" o:gfxdata="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E6Ca+7VAAAABwEA&#10;AA8AAAAAAAAAAQAgAAAAIgAAAGRycy9kb3ducmV2LnhtbFBLAQIUABQAAAAIAIdO4kAMP//XqwEA&#10;AGYDAAAOAAAAAAAAAAEAIAAAACQBAABkcnMvZTJvRG9jLnhtbFBLBQYAAAAABgAGAFkBAABBBQAA&#10;AAA=&#10;">
                <v:fill on="f" focussize="0,0"/>
                <v:stroke on="f"/>
                <v:imagedata o:title=""/>
                <o:lock v:ext="edit" aspectratio="f"/>
                <v:textbox>
                  <w:txbxContent>
                    <w:p w14:paraId="40EF4B81">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p w14:paraId="699854C4">
                      <w:pPr>
                        <w:rPr>
                          <w:lang w:eastAsia="zh-CN"/>
                        </w:rPr>
                      </w:pPr>
                    </w:p>
                  </w:txbxContent>
                </v:textbox>
              </v:shape>
            </w:pict>
          </mc:Fallback>
        </mc:AlternateContent>
      </w:r>
      <w:r>
        <w:rPr>
          <w:rFonts w:hint="eastAsia" w:ascii="仿宋" w:hAnsi="仿宋" w:eastAsia="仿宋" w:cs="仿宋"/>
          <w:color w:val="auto"/>
          <w:highlight w:val="none"/>
          <w:lang w:eastAsia="zh-CN"/>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为抢救生命、保护财产，或为工程安全、质量而不可避免的作业，则无需事先经监理人同意。</w:t>
      </w:r>
    </w:p>
    <w:p w14:paraId="711AF881">
      <w:pPr>
        <w:spacing w:line="360" w:lineRule="auto"/>
        <w:rPr>
          <w:rFonts w:ascii="仿宋" w:hAnsi="仿宋" w:eastAsia="仿宋"/>
          <w:b/>
          <w:bCs/>
          <w:color w:val="auto"/>
          <w:highlight w:val="none"/>
          <w:lang w:eastAsia="zh-CN"/>
        </w:rPr>
      </w:pPr>
      <w:bookmarkStart w:id="509" w:name="_Toc17666"/>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.5</w:t>
      </w:r>
      <w:bookmarkEnd w:id="50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8C52F53">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0</wp:posOffset>
                </wp:positionV>
                <wp:extent cx="871220" cy="624840"/>
                <wp:effectExtent l="0" t="0" r="0" b="0"/>
                <wp:wrapNone/>
                <wp:docPr id="119" name="00017a"/>
                <wp:cNvGraphicFramePr/>
                <a:graphic xmlns:a="http://schemas.openxmlformats.org/drawingml/2006/main">
                  <a:graphicData uri="http://schemas.microsoft.com/office/word/2010/wordprocessingShape">
                    <wps:wsp>
                      <wps:cNvSpPr txBox="1"/>
                      <wps:spPr>
                        <a:xfrm>
                          <a:off x="0" y="0"/>
                          <a:ext cx="871220" cy="624840"/>
                        </a:xfrm>
                        <a:prstGeom prst="rect">
                          <a:avLst/>
                        </a:prstGeom>
                        <a:noFill/>
                        <a:ln>
                          <a:noFill/>
                        </a:ln>
                        <a:effectLst/>
                      </wps:spPr>
                      <wps:txbx>
                        <w:txbxContent>
                          <w:p w14:paraId="00D90F27">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p w14:paraId="44D2F01D">
                            <w:pPr>
                              <w:rPr>
                                <w:lang w:eastAsia="zh-CN"/>
                              </w:rPr>
                            </w:pPr>
                          </w:p>
                        </w:txbxContent>
                      </wps:txbx>
                      <wps:bodyPr wrap="square" upright="1"/>
                    </wps:wsp>
                  </a:graphicData>
                </a:graphic>
              </wp:anchor>
            </w:drawing>
          </mc:Choice>
          <mc:Fallback>
            <w:pict>
              <v:shape id="00017a" o:spid="_x0000_s1026" o:spt="202" type="#_x0000_t202" style="position:absolute;left:0pt;margin-left:-9pt;margin-top:0pt;height:49.2pt;width:68.6pt;z-index:251780096;mso-width-relative:page;mso-height-relative:page;" filled="f" stroked="f" coordsize="21600,21600" o:gfxdata="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f8mQXVAAAABwEA&#10;AA8AAAAAAAAAAQAgAAAAIgAAAGRycy9kb3ducmV2LnhtbFBLAQIUABQAAAAIAIdO4kA7EbjWqwEA&#10;AGYDAAAOAAAAAAAAAAEAIAAAACQBAABkcnMvZTJvRG9jLnhtbFBLBQYAAAAABgAGAFkBAABBBQAA&#10;AAA=&#10;">
                <v:fill on="f" focussize="0,0"/>
                <v:stroke on="f"/>
                <v:imagedata o:title=""/>
                <o:lock v:ext="edit" aspectratio="f"/>
                <v:textbox>
                  <w:txbxContent>
                    <w:p w14:paraId="00D90F27">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p w14:paraId="44D2F01D">
                      <w:pPr>
                        <w:rPr>
                          <w:lang w:eastAsia="zh-CN"/>
                        </w:rPr>
                      </w:pPr>
                    </w:p>
                  </w:txbxContent>
                </v:textbox>
              </v:shape>
            </w:pict>
          </mc:Fallback>
        </mc:AlternateContent>
      </w:r>
      <w:r>
        <w:rPr>
          <w:rFonts w:hint="eastAsia" w:ascii="仿宋" w:hAnsi="仿宋" w:eastAsia="仿宋" w:cs="仿宋"/>
          <w:color w:val="auto"/>
          <w:highlight w:val="none"/>
          <w:lang w:eastAsia="zh-CN"/>
        </w:rPr>
        <w:t>承包人应按时足额向雇员支付劳务工资，并不低于（含本数）当地最低工资标准。因承包人拖欠其雇员工资而造成群体性示威、游行等一切后果，由承包人承担。对发包人造成损失和（或）导致工期延误的，应赔偿发包人的损失，工期不予顺延。</w:t>
      </w:r>
    </w:p>
    <w:p w14:paraId="1F81CB97">
      <w:pPr>
        <w:spacing w:line="360" w:lineRule="auto"/>
        <w:rPr>
          <w:rFonts w:ascii="仿宋" w:hAnsi="仿宋" w:eastAsia="仿宋"/>
          <w:b/>
          <w:bCs/>
          <w:color w:val="auto"/>
          <w:highlight w:val="none"/>
          <w:lang w:eastAsia="zh-CN"/>
        </w:rPr>
      </w:pPr>
      <w:bookmarkStart w:id="510" w:name="_Toc27472"/>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.6</w:t>
      </w:r>
      <w:bookmarkEnd w:id="51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A7DE161">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0</wp:posOffset>
                </wp:positionV>
                <wp:extent cx="775970" cy="722630"/>
                <wp:effectExtent l="0" t="0" r="0" b="0"/>
                <wp:wrapNone/>
                <wp:docPr id="120" name="00017b"/>
                <wp:cNvGraphicFramePr/>
                <a:graphic xmlns:a="http://schemas.openxmlformats.org/drawingml/2006/main">
                  <a:graphicData uri="http://schemas.microsoft.com/office/word/2010/wordprocessingShape">
                    <wps:wsp>
                      <wps:cNvSpPr txBox="1"/>
                      <wps:spPr>
                        <a:xfrm>
                          <a:off x="0" y="0"/>
                          <a:ext cx="775970" cy="722630"/>
                        </a:xfrm>
                        <a:prstGeom prst="rect">
                          <a:avLst/>
                        </a:prstGeom>
                        <a:noFill/>
                        <a:ln>
                          <a:noFill/>
                        </a:ln>
                        <a:effectLst/>
                      </wps:spPr>
                      <wps:txbx>
                        <w:txbxContent>
                          <w:p w14:paraId="035216F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p w14:paraId="2C9685BB">
                            <w:pPr>
                              <w:rPr>
                                <w:lang w:eastAsia="zh-CN"/>
                              </w:rPr>
                            </w:pPr>
                          </w:p>
                        </w:txbxContent>
                      </wps:txbx>
                      <wps:bodyPr wrap="square" upright="1"/>
                    </wps:wsp>
                  </a:graphicData>
                </a:graphic>
              </wp:anchor>
            </w:drawing>
          </mc:Choice>
          <mc:Fallback>
            <w:pict>
              <v:shape id="00017b" o:spid="_x0000_s1026" o:spt="202" type="#_x0000_t202" style="position:absolute;left:0pt;margin-left:-9pt;margin-top:0pt;height:56.9pt;width:61.1pt;z-index:251781120;mso-width-relative:page;mso-height-relative:page;" filled="f" stroked="f" coordsize="21600,21600" o:gfxdata="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jnajvVAAAACAEA&#10;AA8AAAAAAAAAAQAgAAAAIgAAAGRycy9kb3ducmV2LnhtbFBLAQIUABQAAAAIAIdO4kDiKjGbqwEA&#10;AGYDAAAOAAAAAAAAAAEAIAAAACQBAABkcnMvZTJvRG9jLnhtbFBLBQYAAAAABgAGAFkBAABBBQAA&#10;AAA=&#10;">
                <v:fill on="f" focussize="0,0"/>
                <v:stroke on="f"/>
                <v:imagedata o:title=""/>
                <o:lock v:ext="edit" aspectratio="f"/>
                <v:textbox>
                  <w:txbxContent>
                    <w:p w14:paraId="035216F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p w14:paraId="2C9685BB">
                      <w:pPr>
                        <w:rPr>
                          <w:lang w:eastAsia="zh-CN"/>
                        </w:rPr>
                      </w:pPr>
                    </w:p>
                  </w:txbxContent>
                </v:textbox>
              </v:shape>
            </w:pict>
          </mc:Fallback>
        </mc:AlternateContent>
      </w:r>
      <w:r>
        <w:rPr>
          <w:rFonts w:hint="eastAsia" w:ascii="仿宋" w:hAnsi="仿宋" w:eastAsia="仿宋" w:cs="仿宋"/>
          <w:color w:val="auto"/>
          <w:highlight w:val="none"/>
          <w:lang w:eastAsia="zh-CN"/>
        </w:rPr>
        <w:t>承包人的雇员应是在行业或职业内具有相应资格、技能和经验的人员。承包人应向施工场地派遣足够数量的下列雇员：</w:t>
      </w:r>
    </w:p>
    <w:p w14:paraId="3340B39F">
      <w:pPr>
        <w:widowControl w:val="0"/>
        <w:numPr>
          <w:ilvl w:val="1"/>
          <w:numId w:val="7"/>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具有相应资格的专业技工和合格的普工；</w:t>
      </w:r>
    </w:p>
    <w:p w14:paraId="0C154AA4">
      <w:pPr>
        <w:widowControl w:val="0"/>
        <w:numPr>
          <w:ilvl w:val="1"/>
          <w:numId w:val="7"/>
        </w:numPr>
        <w:tabs>
          <w:tab w:val="clear" w:pos="3285"/>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具有相应施工经验的技术人员；</w:t>
      </w:r>
    </w:p>
    <w:p w14:paraId="5CC04FB5">
      <w:pPr>
        <w:widowControl w:val="0"/>
        <w:numPr>
          <w:ilvl w:val="1"/>
          <w:numId w:val="7"/>
        </w:numPr>
        <w:tabs>
          <w:tab w:val="clear" w:pos="3285"/>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具有相应岗位资格的各级管理人员。</w:t>
      </w:r>
    </w:p>
    <w:p w14:paraId="430987BF">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1037CAA5">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0</wp:posOffset>
                </wp:positionV>
                <wp:extent cx="756920" cy="541020"/>
                <wp:effectExtent l="0" t="0" r="0" b="0"/>
                <wp:wrapNone/>
                <wp:docPr id="121" name="00017c"/>
                <wp:cNvGraphicFramePr/>
                <a:graphic xmlns:a="http://schemas.openxmlformats.org/drawingml/2006/main">
                  <a:graphicData uri="http://schemas.microsoft.com/office/word/2010/wordprocessingShape">
                    <wps:wsp>
                      <wps:cNvSpPr txBox="1"/>
                      <wps:spPr>
                        <a:xfrm>
                          <a:off x="0" y="0"/>
                          <a:ext cx="756920" cy="541020"/>
                        </a:xfrm>
                        <a:prstGeom prst="rect">
                          <a:avLst/>
                        </a:prstGeom>
                        <a:noFill/>
                        <a:ln>
                          <a:noFill/>
                        </a:ln>
                        <a:effectLst/>
                      </wps:spPr>
                      <wps:txbx>
                        <w:txbxContent>
                          <w:p w14:paraId="082FF87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p w14:paraId="6446883B"/>
                        </w:txbxContent>
                      </wps:txbx>
                      <wps:bodyPr wrap="square" upright="1"/>
                    </wps:wsp>
                  </a:graphicData>
                </a:graphic>
              </wp:anchor>
            </w:drawing>
          </mc:Choice>
          <mc:Fallback>
            <w:pict>
              <v:shape id="00017c" o:spid="_x0000_s1026" o:spt="202" type="#_x0000_t202" style="position:absolute;left:0pt;margin-left:-9pt;margin-top:0pt;height:42.6pt;width:59.6pt;z-index:251782144;mso-width-relative:page;mso-height-relative:page;" filled="f" stroked="f" coordsize="21600,21600" o:gfxdata="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e0Nm39UAAAAHAQAA&#10;DwAAAAAAAAABACAAAAAiAAAAZHJzL2Rvd25yZXYueG1sUEsBAhQAFAAAAAgAh07iQLB6NiGqAQAA&#10;ZgMAAA4AAAAAAAAAAQAgAAAAJAEAAGRycy9lMm9Eb2MueG1sUEsFBgAAAAAGAAYAWQEAAEAFAAAA&#10;AA==&#10;">
                <v:fill on="f" focussize="0,0"/>
                <v:stroke on="f"/>
                <v:imagedata o:title=""/>
                <o:lock v:ext="edit" aspectratio="f"/>
                <v:textbox>
                  <w:txbxContent>
                    <w:p w14:paraId="082FF87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p w14:paraId="6446883B"/>
                  </w:txbxContent>
                </v:textbox>
              </v:shape>
            </w:pict>
          </mc:Fallback>
        </mc:AlternateContent>
      </w:r>
      <w:r>
        <w:rPr>
          <w:rFonts w:hint="eastAsia" w:ascii="仿宋" w:hAnsi="仿宋" w:eastAsia="仿宋" w:cs="仿宋"/>
          <w:color w:val="auto"/>
          <w:highlight w:val="none"/>
          <w:lang w:eastAsia="zh-CN"/>
        </w:rPr>
        <w:t>承包人安排在施工场地的雇员应保持相对稳定，但有下列行为的任何承包人雇员，监理人可要求承包人将其撤换：</w:t>
      </w:r>
    </w:p>
    <w:p w14:paraId="51245866">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（1）日常行为不当，或工作漫不经心；</w:t>
      </w:r>
    </w:p>
    <w:p w14:paraId="40690444">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（2）</w:t>
      </w:r>
      <w:r>
        <w:rPr>
          <w:rFonts w:hint="eastAsia" w:ascii="仿宋" w:hAnsi="仿宋" w:eastAsia="仿宋" w:cs="仿宋"/>
          <w:color w:val="auto"/>
          <w:highlight w:val="none"/>
          <w:lang w:eastAsia="zh-CN"/>
        </w:rPr>
        <w:t>无能力履行义务或玩忽职守；</w:t>
      </w:r>
    </w:p>
    <w:p w14:paraId="721703B9">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w:t>
      </w:r>
      <w:r>
        <w:rPr>
          <w:rFonts w:hint="eastAsia" w:ascii="仿宋" w:hAnsi="仿宋" w:eastAsia="仿宋" w:cs="仿宋"/>
          <w:color w:val="auto"/>
          <w:highlight w:val="none"/>
          <w:lang w:eastAsia="zh-CN"/>
        </w:rPr>
        <w:t>不遵守合同的约定；</w:t>
      </w:r>
    </w:p>
    <w:p w14:paraId="3161D50D">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（4）</w:t>
      </w:r>
      <w:r>
        <w:rPr>
          <w:rFonts w:hint="eastAsia" w:ascii="仿宋" w:hAnsi="仿宋" w:eastAsia="仿宋" w:cs="仿宋"/>
          <w:color w:val="auto"/>
          <w:highlight w:val="none"/>
          <w:lang w:eastAsia="zh-CN"/>
        </w:rPr>
        <w:t>有损安全、健康和不利于环境保护的行为。</w:t>
      </w:r>
    </w:p>
    <w:p w14:paraId="055BC5BF">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 xml:space="preserve">.8  </w:t>
      </w:r>
      <w:r>
        <w:rPr>
          <w:rFonts w:ascii="仿宋" w:hAnsi="仿宋" w:eastAsia="仿宋" w:cs="仿宋"/>
          <w:b/>
          <w:bCs/>
          <w:color w:val="auto"/>
          <w:highlight w:val="none"/>
          <w:u w:val="dotted"/>
          <w:lang w:eastAsia="zh-CN"/>
        </w:rPr>
        <w:t xml:space="preserve">                                                                               </w:t>
      </w:r>
    </w:p>
    <w:p w14:paraId="1053DB86">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0</wp:posOffset>
                </wp:positionV>
                <wp:extent cx="822960" cy="463550"/>
                <wp:effectExtent l="0" t="0" r="0" b="0"/>
                <wp:wrapNone/>
                <wp:docPr id="122" name="00017d"/>
                <wp:cNvGraphicFramePr/>
                <a:graphic xmlns:a="http://schemas.openxmlformats.org/drawingml/2006/main">
                  <a:graphicData uri="http://schemas.microsoft.com/office/word/2010/wordprocessingShape">
                    <wps:wsp>
                      <wps:cNvSpPr txBox="1"/>
                      <wps:spPr>
                        <a:xfrm>
                          <a:off x="0" y="0"/>
                          <a:ext cx="822960" cy="463550"/>
                        </a:xfrm>
                        <a:prstGeom prst="rect">
                          <a:avLst/>
                        </a:prstGeom>
                        <a:noFill/>
                        <a:ln>
                          <a:noFill/>
                        </a:ln>
                        <a:effectLst/>
                      </wps:spPr>
                      <wps:txbx>
                        <w:txbxContent>
                          <w:p w14:paraId="661505CD">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p w14:paraId="01E465A0"/>
                        </w:txbxContent>
                      </wps:txbx>
                      <wps:bodyPr wrap="square" upright="1"/>
                    </wps:wsp>
                  </a:graphicData>
                </a:graphic>
              </wp:anchor>
            </w:drawing>
          </mc:Choice>
          <mc:Fallback>
            <w:pict>
              <v:shape id="00017d" o:spid="_x0000_s1026" o:spt="202" type="#_x0000_t202" style="position:absolute;left:0pt;margin-left:-9pt;margin-top:0pt;height:36.5pt;width:64.8pt;z-index:251783168;mso-width-relative:page;mso-height-relative:page;" filled="f" stroked="f" coordsize="21600,21600" o:gfxdata="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DlomHVAAAABwEA&#10;AA8AAAAAAAAAAQAgAAAAIgAAAGRycy9kb3ducmV2LnhtbFBLAQIUABQAAAAIAIdO4kD1ewiJqwEA&#10;AGYDAAAOAAAAAAAAAAEAIAAAACQBAABkcnMvZTJvRG9jLnhtbFBLBQYAAAAABgAGAFkBAABBBQAA&#10;AAA=&#10;">
                <v:fill on="f" focussize="0,0"/>
                <v:stroke on="f"/>
                <v:imagedata o:title=""/>
                <o:lock v:ext="edit" aspectratio="f"/>
                <v:textbox>
                  <w:txbxContent>
                    <w:p w14:paraId="661505CD">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p w14:paraId="01E465A0"/>
                  </w:txbxContent>
                </v:textbox>
              </v:shape>
            </w:pict>
          </mc:Fallback>
        </mc:AlternateContent>
      </w:r>
      <w:r>
        <w:rPr>
          <w:rFonts w:hint="eastAsia" w:ascii="仿宋" w:hAnsi="仿宋" w:eastAsia="仿宋" w:cs="仿宋"/>
          <w:color w:val="auto"/>
          <w:highlight w:val="none"/>
          <w:lang w:eastAsia="zh-CN"/>
        </w:rPr>
        <w:t>承包人应自始至终采取各种合理的预防措施，防止雇员内部发生打斗和任何无序、非法的不良行为，以确保现场安定和保护现场及邻近人员的生命、财产安全。</w:t>
      </w:r>
    </w:p>
    <w:p w14:paraId="5200901C">
      <w:pPr>
        <w:spacing w:line="360" w:lineRule="auto"/>
        <w:rPr>
          <w:rFonts w:hint="eastAsia"/>
          <w:color w:val="auto"/>
          <w:highlight w:val="none"/>
          <w:lang w:eastAsia="zh-CN"/>
        </w:rPr>
      </w:pPr>
      <w:r>
        <w:rPr>
          <w:rFonts w:ascii="仿宋" w:hAnsi="仿宋" w:eastAsia="仿宋" w:cs="仿宋"/>
          <w:b/>
          <w:bCs/>
          <w:color w:val="auto"/>
          <w:highlight w:val="none"/>
          <w:u w:val="single"/>
          <w:lang w:eastAsia="zh-CN"/>
        </w:rPr>
        <w:t xml:space="preserve">                                                                                     </w:t>
      </w:r>
    </w:p>
    <w:p w14:paraId="3C60EB19">
      <w:pPr>
        <w:pStyle w:val="23"/>
        <w:spacing w:line="360" w:lineRule="auto"/>
        <w:jc w:val="center"/>
        <w:outlineLvl w:val="1"/>
        <w:rPr>
          <w:rFonts w:ascii="仿宋" w:hAnsi="仿宋" w:eastAsia="仿宋"/>
          <w:b/>
          <w:bCs/>
          <w:color w:val="auto"/>
          <w:sz w:val="24"/>
          <w:szCs w:val="24"/>
          <w:highlight w:val="none"/>
          <w:lang w:eastAsia="zh-CN"/>
        </w:rPr>
      </w:pPr>
      <w:bookmarkStart w:id="511" w:name="_Toc47694303"/>
      <w:bookmarkStart w:id="512" w:name="_Toc23134"/>
      <w:bookmarkStart w:id="513" w:name="_Toc24527"/>
      <w:bookmarkStart w:id="514" w:name="_Toc2238"/>
      <w:bookmarkStart w:id="515" w:name="_Toc19555"/>
      <w:bookmarkStart w:id="516" w:name="_Toc9135"/>
      <w:bookmarkStart w:id="517" w:name="_Toc16201"/>
      <w:bookmarkStart w:id="518" w:name="_Toc3543"/>
      <w:r>
        <w:rPr>
          <w:rFonts w:hint="eastAsia" w:ascii="仿宋" w:hAnsi="仿宋" w:eastAsia="仿宋" w:cs="仿宋"/>
          <w:b/>
          <w:bCs/>
          <w:color w:val="auto"/>
          <w:sz w:val="24"/>
          <w:szCs w:val="24"/>
          <w:highlight w:val="none"/>
          <w:lang w:eastAsia="zh-CN"/>
        </w:rPr>
        <w:t>三、担保、保险与风险</w:t>
      </w:r>
      <w:bookmarkEnd w:id="511"/>
      <w:bookmarkEnd w:id="512"/>
      <w:bookmarkEnd w:id="513"/>
      <w:bookmarkEnd w:id="514"/>
      <w:bookmarkEnd w:id="515"/>
      <w:bookmarkEnd w:id="516"/>
      <w:bookmarkEnd w:id="517"/>
      <w:bookmarkEnd w:id="518"/>
    </w:p>
    <w:p w14:paraId="368703C6">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519" w:name="_Toc25729"/>
      <w:bookmarkStart w:id="520" w:name="_Toc47694304"/>
      <w:bookmarkStart w:id="521" w:name="_Toc31700"/>
      <w:bookmarkStart w:id="522" w:name="_Toc6084"/>
      <w:bookmarkStart w:id="523" w:name="_Toc20724"/>
      <w:bookmarkStart w:id="524" w:name="_Toc31155"/>
      <w:bookmarkStart w:id="525" w:name="_Toc13003"/>
      <w:bookmarkStart w:id="526" w:name="_Toc13151"/>
      <w:r>
        <w:rPr>
          <w:rFonts w:hint="eastAsia" w:ascii="仿宋" w:hAnsi="仿宋" w:eastAsia="仿宋" w:cs="仿宋"/>
          <w:bCs w:val="0"/>
          <w:color w:val="auto"/>
          <w:sz w:val="24"/>
          <w:szCs w:val="24"/>
          <w:highlight w:val="none"/>
          <w:lang w:eastAsia="zh-CN"/>
        </w:rPr>
        <w:t>32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工程担保</w:t>
      </w:r>
      <w:bookmarkEnd w:id="519"/>
      <w:bookmarkEnd w:id="520"/>
      <w:bookmarkEnd w:id="521"/>
      <w:bookmarkEnd w:id="522"/>
      <w:bookmarkEnd w:id="523"/>
      <w:bookmarkEnd w:id="524"/>
      <w:bookmarkEnd w:id="525"/>
      <w:bookmarkEnd w:id="526"/>
    </w:p>
    <w:p w14:paraId="3B5C3005">
      <w:pPr>
        <w:pStyle w:val="23"/>
        <w:tabs>
          <w:tab w:val="left" w:pos="1320"/>
        </w:tabs>
        <w:spacing w:line="360" w:lineRule="auto"/>
        <w:ind w:right="-240"/>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32</w:t>
      </w:r>
      <w:r>
        <w:rPr>
          <w:rFonts w:ascii="仿宋" w:hAnsi="仿宋" w:eastAsia="仿宋" w:cs="仿宋"/>
          <w:b/>
          <w:bCs/>
          <w:color w:val="auto"/>
          <w:sz w:val="24"/>
          <w:szCs w:val="24"/>
          <w:highlight w:val="none"/>
          <w:lang w:eastAsia="zh-CN"/>
        </w:rPr>
        <w:t>.1</w:t>
      </w:r>
    </w:p>
    <w:p w14:paraId="4F8D40B1">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80645</wp:posOffset>
                </wp:positionV>
                <wp:extent cx="832485" cy="544830"/>
                <wp:effectExtent l="0" t="0" r="0" b="0"/>
                <wp:wrapNone/>
                <wp:docPr id="123" name="00017e"/>
                <wp:cNvGraphicFramePr/>
                <a:graphic xmlns:a="http://schemas.openxmlformats.org/drawingml/2006/main">
                  <a:graphicData uri="http://schemas.microsoft.com/office/word/2010/wordprocessingShape">
                    <wps:wsp>
                      <wps:cNvSpPr txBox="1"/>
                      <wps:spPr>
                        <a:xfrm>
                          <a:off x="0" y="0"/>
                          <a:ext cx="832485" cy="544830"/>
                        </a:xfrm>
                        <a:prstGeom prst="rect">
                          <a:avLst/>
                        </a:prstGeom>
                        <a:noFill/>
                        <a:ln>
                          <a:noFill/>
                        </a:ln>
                        <a:effectLst/>
                      </wps:spPr>
                      <wps:txbx>
                        <w:txbxContent>
                          <w:p w14:paraId="7A38081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p w14:paraId="588356E6"/>
                        </w:txbxContent>
                      </wps:txbx>
                      <wps:bodyPr wrap="square" upright="1"/>
                    </wps:wsp>
                  </a:graphicData>
                </a:graphic>
              </wp:anchor>
            </w:drawing>
          </mc:Choice>
          <mc:Fallback>
            <w:pict>
              <v:shape id="00017e" o:spid="_x0000_s1026" o:spt="202" type="#_x0000_t202" style="position:absolute;left:0pt;margin-left:-9pt;margin-top:6.35pt;height:42.9pt;width:65.55pt;z-index:251784192;mso-width-relative:page;mso-height-relative:page;" filled="f" stroked="f" coordsize="21600,21600" o:gfxdata="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HYg2KdYAAAAJ&#10;AQAADwAAAAAAAAABACAAAAAiAAAAZHJzL2Rvd25yZXYueG1sUEsBAhQAFAAAAAgAh07iQEbdzqys&#10;AQAAZgMAAA4AAAAAAAAAAQAgAAAAJQEAAGRycy9lMm9Eb2MueG1sUEsFBgAAAAAGAAYAWQEAAEMF&#10;AAAAAA==&#10;">
                <v:fill on="f" focussize="0,0"/>
                <v:stroke on="f"/>
                <v:imagedata o:title=""/>
                <o:lock v:ext="edit" aspectratio="f"/>
                <v:textbox>
                  <w:txbxContent>
                    <w:p w14:paraId="7A38081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p w14:paraId="588356E6"/>
                  </w:txbxContent>
                </v:textbox>
              </v:shape>
            </w:pict>
          </mc:Fallback>
        </mc:AlternateContent>
      </w:r>
      <w:r>
        <w:rPr>
          <w:rFonts w:hint="eastAsia" w:ascii="仿宋" w:hAnsi="仿宋" w:eastAsia="仿宋" w:cs="仿宋"/>
          <w:color w:val="auto"/>
          <w:highlight w:val="none"/>
          <w:lang w:eastAsia="zh-CN"/>
        </w:rPr>
        <w:t>为正确履行本合同，发包人应在招标文件中或在签订合同前明确履约担保的有关要求，承包人应按照合同约定时间向发包人提供履约担保。履约担保采用银行保函、担保公司担保或履约保证保险的形式，提供履约保函、担保公司担保、履约保证保险所发生的费用由承包人承担。</w:t>
      </w:r>
    </w:p>
    <w:p w14:paraId="641C2B8E">
      <w:pPr>
        <w:spacing w:line="360" w:lineRule="auto"/>
        <w:rPr>
          <w:rFonts w:ascii="仿宋" w:hAnsi="仿宋" w:eastAsia="仿宋"/>
          <w:b/>
          <w:bCs/>
          <w:color w:val="auto"/>
          <w:highlight w:val="none"/>
          <w:lang w:eastAsia="zh-CN"/>
        </w:rPr>
      </w:pPr>
      <w:bookmarkStart w:id="527" w:name="_Toc31260"/>
      <w:r>
        <w:rPr>
          <w:color w:val="auto"/>
          <w:highlight w:val="none"/>
        </w:rP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255905</wp:posOffset>
                </wp:positionV>
                <wp:extent cx="756920" cy="447675"/>
                <wp:effectExtent l="0" t="0" r="0" b="0"/>
                <wp:wrapNone/>
                <wp:docPr id="124" name="00017f"/>
                <wp:cNvGraphicFramePr/>
                <a:graphic xmlns:a="http://schemas.openxmlformats.org/drawingml/2006/main">
                  <a:graphicData uri="http://schemas.microsoft.com/office/word/2010/wordprocessingShape">
                    <wps:wsp>
                      <wps:cNvSpPr txBox="1"/>
                      <wps:spPr>
                        <a:xfrm>
                          <a:off x="0" y="0"/>
                          <a:ext cx="756920" cy="447675"/>
                        </a:xfrm>
                        <a:prstGeom prst="rect">
                          <a:avLst/>
                        </a:prstGeom>
                        <a:noFill/>
                        <a:ln>
                          <a:noFill/>
                        </a:ln>
                        <a:effectLst/>
                      </wps:spPr>
                      <wps:txbx>
                        <w:txbxContent>
                          <w:p w14:paraId="60A10F9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p w14:paraId="5BD13148"/>
                        </w:txbxContent>
                      </wps:txbx>
                      <wps:bodyPr wrap="square" upright="1"/>
                    </wps:wsp>
                  </a:graphicData>
                </a:graphic>
              </wp:anchor>
            </w:drawing>
          </mc:Choice>
          <mc:Fallback>
            <w:pict>
              <v:shape id="00017f" o:spid="_x0000_s1026" o:spt="202" type="#_x0000_t202" style="position:absolute;left:0pt;margin-left:-9pt;margin-top:20.15pt;height:35.25pt;width:59.6pt;z-index:251785216;mso-width-relative:page;mso-height-relative:page;" filled="f" stroked="f" coordsize="21600,21600" o:gfxdata="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wF26j1wAAAAoB&#10;AAAPAAAAAAAAAAEAIAAAACIAAABkcnMvZG93bnJldi54bWxQSwECFAAUAAAACACHTuJARA07LKoB&#10;AABmAwAADgAAAAAAAAABACAAAAAmAQAAZHJzL2Uyb0RvYy54bWxQSwUGAAAAAAYABgBZAQAAQgUA&#10;AAAA&#10;">
                <v:fill on="f" focussize="0,0"/>
                <v:stroke on="f"/>
                <v:imagedata o:title=""/>
                <o:lock v:ext="edit" aspectratio="f"/>
                <v:textbox>
                  <w:txbxContent>
                    <w:p w14:paraId="60A10F9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p w14:paraId="5BD13148"/>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.2</w:t>
      </w:r>
      <w:bookmarkEnd w:id="52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EBB95E0">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履约担保的有效期，是从提供履约担保之日起至合同工程竣工验收合格之日止。担保有效期满后，发包人应在收到承包人退保申请后的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天内将此担保退还给承包人。</w:t>
      </w:r>
    </w:p>
    <w:p w14:paraId="2B602FCB">
      <w:pPr>
        <w:spacing w:line="360" w:lineRule="auto"/>
        <w:rPr>
          <w:rFonts w:ascii="仿宋" w:hAnsi="仿宋" w:eastAsia="仿宋"/>
          <w:b/>
          <w:bCs/>
          <w:color w:val="auto"/>
          <w:highlight w:val="none"/>
          <w:lang w:eastAsia="zh-CN"/>
        </w:rPr>
      </w:pPr>
      <w:bookmarkStart w:id="528" w:name="_Toc27420"/>
      <w:r>
        <w:rPr>
          <w:color w:val="auto"/>
          <w:highlight w:val="none"/>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248920</wp:posOffset>
                </wp:positionV>
                <wp:extent cx="756920" cy="587375"/>
                <wp:effectExtent l="0" t="0" r="0" b="0"/>
                <wp:wrapNone/>
                <wp:docPr id="125" name="000180"/>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664B9A5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p w14:paraId="25819059"/>
                        </w:txbxContent>
                      </wps:txbx>
                      <wps:bodyPr wrap="square" upright="1"/>
                    </wps:wsp>
                  </a:graphicData>
                </a:graphic>
              </wp:anchor>
            </w:drawing>
          </mc:Choice>
          <mc:Fallback>
            <w:pict>
              <v:shape id="000180" o:spid="_x0000_s1026" o:spt="202" type="#_x0000_t202" style="position:absolute;left:0pt;margin-left:-9pt;margin-top:19.6pt;height:46.25pt;width:59.6pt;z-index:251786240;mso-width-relative:page;mso-height-relative:page;" filled="f" stroked="f" coordsize="21600,21600" o:gfxdata="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wn4Xp1wAAAAoB&#10;AAAPAAAAAAAAAAEAIAAAACIAAABkcnMvZG93bnJldi54bWxQSwECFAAUAAAACACHTuJAuBwuf6oB&#10;AABmAwAADgAAAAAAAAABACAAAAAmAQAAZHJzL2Uyb0RvYy54bWxQSwUGAAAAAAYABgBZAQAAQgUA&#10;AAAA&#10;">
                <v:fill on="f" focussize="0,0"/>
                <v:stroke on="f"/>
                <v:imagedata o:title=""/>
                <o:lock v:ext="edit" aspectratio="f"/>
                <v:textbox>
                  <w:txbxContent>
                    <w:p w14:paraId="664B9A5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p w14:paraId="25819059"/>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.3</w:t>
      </w:r>
      <w:bookmarkEnd w:id="52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6640EAA">
      <w:pPr>
        <w:widowControl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4C6C2F29">
      <w:pPr>
        <w:spacing w:line="360" w:lineRule="auto"/>
        <w:rPr>
          <w:rFonts w:ascii="仿宋" w:hAnsi="仿宋" w:eastAsia="仿宋"/>
          <w:b/>
          <w:bCs/>
          <w:color w:val="auto"/>
          <w:highlight w:val="none"/>
          <w:lang w:eastAsia="zh-CN"/>
        </w:rPr>
      </w:pPr>
      <w:bookmarkStart w:id="529" w:name="_Toc325"/>
      <w:r>
        <w:rPr>
          <w:color w:val="auto"/>
          <w:highlight w:val="none"/>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251460</wp:posOffset>
                </wp:positionV>
                <wp:extent cx="794385" cy="481330"/>
                <wp:effectExtent l="0" t="0" r="0" b="0"/>
                <wp:wrapNone/>
                <wp:docPr id="126" name="000181"/>
                <wp:cNvGraphicFramePr/>
                <a:graphic xmlns:a="http://schemas.openxmlformats.org/drawingml/2006/main">
                  <a:graphicData uri="http://schemas.microsoft.com/office/word/2010/wordprocessingShape">
                    <wps:wsp>
                      <wps:cNvSpPr txBox="1"/>
                      <wps:spPr>
                        <a:xfrm>
                          <a:off x="0" y="0"/>
                          <a:ext cx="794385" cy="481330"/>
                        </a:xfrm>
                        <a:prstGeom prst="rect">
                          <a:avLst/>
                        </a:prstGeom>
                        <a:noFill/>
                        <a:ln>
                          <a:noFill/>
                        </a:ln>
                        <a:effectLst/>
                      </wps:spPr>
                      <wps:txbx>
                        <w:txbxContent>
                          <w:p w14:paraId="5B466D0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p w14:paraId="12FA65A8"/>
                        </w:txbxContent>
                      </wps:txbx>
                      <wps:bodyPr wrap="square" upright="1"/>
                    </wps:wsp>
                  </a:graphicData>
                </a:graphic>
              </wp:anchor>
            </w:drawing>
          </mc:Choice>
          <mc:Fallback>
            <w:pict>
              <v:shape id="000181" o:spid="_x0000_s1026" o:spt="202" type="#_x0000_t202" style="position:absolute;left:0pt;margin-left:-9pt;margin-top:19.8pt;height:37.9pt;width:62.55pt;z-index:251787264;mso-width-relative:page;mso-height-relative:page;" filled="f" stroked="f" coordsize="21600,21600" o:gfxdata="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HIWHdgA&#10;AAAKAQAADwAAAAAAAAABACAAAAAiAAAAZHJzL2Rvd25yZXYueG1sUEsBAhQAFAAAAAgAh07iQPQ2&#10;s9atAQAAZgMAAA4AAAAAAAAAAQAgAAAAJwEAAGRycy9lMm9Eb2MueG1sUEsFBgAAAAAGAAYAWQEA&#10;AEYFAAAAAA==&#10;">
                <v:fill on="f" focussize="0,0"/>
                <v:stroke on="f"/>
                <v:imagedata o:title=""/>
                <o:lock v:ext="edit" aspectratio="f"/>
                <v:textbox>
                  <w:txbxContent>
                    <w:p w14:paraId="5B466D0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p w14:paraId="12FA65A8"/>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.4</w:t>
      </w:r>
      <w:bookmarkEnd w:id="52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A5D92B2">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承包人按照第32</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款的要求提交了履约担保，发包人应按照合同约定时间向承包人提交与履约担保等值的支付担保；发、承包人也可约定由发包人向承包人提交预付款等值的支付担保。支付担保采用银行保函、担保公司担保或支付保证保险的形式，提供支付保函、担保公司担保、支付保证保险所发生的费用由发包人承担。</w:t>
      </w:r>
    </w:p>
    <w:p w14:paraId="003827A4">
      <w:pPr>
        <w:spacing w:line="360" w:lineRule="auto"/>
        <w:rPr>
          <w:rFonts w:ascii="仿宋" w:hAnsi="仿宋" w:eastAsia="仿宋"/>
          <w:b/>
          <w:bCs/>
          <w:color w:val="auto"/>
          <w:highlight w:val="none"/>
          <w:lang w:eastAsia="zh-CN"/>
        </w:rPr>
      </w:pPr>
      <w:bookmarkStart w:id="530" w:name="_Toc11769"/>
      <w:r>
        <w:rPr>
          <w:color w:val="auto"/>
          <w:highlight w:val="none"/>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238125</wp:posOffset>
                </wp:positionV>
                <wp:extent cx="833120" cy="563880"/>
                <wp:effectExtent l="0" t="0" r="0" b="0"/>
                <wp:wrapNone/>
                <wp:docPr id="127" name="000182"/>
                <wp:cNvGraphicFramePr/>
                <a:graphic xmlns:a="http://schemas.openxmlformats.org/drawingml/2006/main">
                  <a:graphicData uri="http://schemas.microsoft.com/office/word/2010/wordprocessingShape">
                    <wps:wsp>
                      <wps:cNvSpPr txBox="1"/>
                      <wps:spPr>
                        <a:xfrm>
                          <a:off x="0" y="0"/>
                          <a:ext cx="833120" cy="563880"/>
                        </a:xfrm>
                        <a:prstGeom prst="rect">
                          <a:avLst/>
                        </a:prstGeom>
                        <a:noFill/>
                        <a:ln>
                          <a:noFill/>
                        </a:ln>
                        <a:effectLst/>
                      </wps:spPr>
                      <wps:txbx>
                        <w:txbxContent>
                          <w:p w14:paraId="6582CA8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p w14:paraId="3563E15D"/>
                        </w:txbxContent>
                      </wps:txbx>
                      <wps:bodyPr wrap="square" upright="1"/>
                    </wps:wsp>
                  </a:graphicData>
                </a:graphic>
              </wp:anchor>
            </w:drawing>
          </mc:Choice>
          <mc:Fallback>
            <w:pict>
              <v:shape id="000182" o:spid="_x0000_s1026" o:spt="202" type="#_x0000_t202" style="position:absolute;left:0pt;margin-left:-9pt;margin-top:18.75pt;height:44.4pt;width:65.6pt;z-index:251788288;mso-width-relative:page;mso-height-relative:page;" filled="f" stroked="f" coordsize="21600,21600" o:gfxdata="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YdZ+c2AAA&#10;AAoBAAAPAAAAAAAAAAEAIAAAACIAAABkcnMvZG93bnJldi54bWxQSwECFAAUAAAACACHTuJAGbaH&#10;9KwBAABmAwAADgAAAAAAAAABACAAAAAnAQAAZHJzL2Uyb0RvYy54bWxQSwUGAAAAAAYABgBZAQAA&#10;RQUAAAAA&#10;">
                <v:fill on="f" focussize="0,0"/>
                <v:stroke on="f"/>
                <v:imagedata o:title=""/>
                <o:lock v:ext="edit" aspectratio="f"/>
                <v:textbox>
                  <w:txbxContent>
                    <w:p w14:paraId="6582CA8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p w14:paraId="3563E15D"/>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.5</w:t>
      </w:r>
      <w:bookmarkEnd w:id="53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E969DFF">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支付担保的有效期，是从提供支付担保之日起至发包人根据本合同约定支付完除质量保证金以外的全部款项之日止。承包人应在担保有效期满后的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天内将此担保退还给发包人。</w:t>
      </w:r>
    </w:p>
    <w:p w14:paraId="4337C9A6">
      <w:pPr>
        <w:spacing w:line="360" w:lineRule="auto"/>
        <w:rPr>
          <w:rFonts w:ascii="仿宋" w:hAnsi="仿宋" w:eastAsia="仿宋"/>
          <w:b/>
          <w:bCs/>
          <w:color w:val="auto"/>
          <w:highlight w:val="none"/>
          <w:lang w:eastAsia="zh-CN"/>
        </w:rPr>
      </w:pPr>
      <w:bookmarkStart w:id="531" w:name="_Toc6720"/>
      <w:r>
        <w:rPr>
          <w:color w:val="auto"/>
          <w:highlight w:val="none"/>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247650</wp:posOffset>
                </wp:positionV>
                <wp:extent cx="842645" cy="562610"/>
                <wp:effectExtent l="0" t="0" r="0" b="0"/>
                <wp:wrapNone/>
                <wp:docPr id="128" name="000183"/>
                <wp:cNvGraphicFramePr/>
                <a:graphic xmlns:a="http://schemas.openxmlformats.org/drawingml/2006/main">
                  <a:graphicData uri="http://schemas.microsoft.com/office/word/2010/wordprocessingShape">
                    <wps:wsp>
                      <wps:cNvSpPr txBox="1"/>
                      <wps:spPr>
                        <a:xfrm>
                          <a:off x="0" y="0"/>
                          <a:ext cx="842645" cy="562610"/>
                        </a:xfrm>
                        <a:prstGeom prst="rect">
                          <a:avLst/>
                        </a:prstGeom>
                        <a:noFill/>
                        <a:ln>
                          <a:noFill/>
                        </a:ln>
                        <a:effectLst/>
                      </wps:spPr>
                      <wps:txbx>
                        <w:txbxContent>
                          <w:p w14:paraId="5A74207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p w14:paraId="6B85E144"/>
                        </w:txbxContent>
                      </wps:txbx>
                      <wps:bodyPr wrap="square" upright="1"/>
                    </wps:wsp>
                  </a:graphicData>
                </a:graphic>
              </wp:anchor>
            </w:drawing>
          </mc:Choice>
          <mc:Fallback>
            <w:pict>
              <v:shape id="000183" o:spid="_x0000_s1026" o:spt="202" type="#_x0000_t202" style="position:absolute;left:0pt;margin-left:-9pt;margin-top:19.5pt;height:44.3pt;width:66.35pt;z-index:251789312;mso-width-relative:page;mso-height-relative:page;" filled="f" stroked="f" coordsize="21600,21600" o:gfxdata="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IeGTw2AAA&#10;AAoBAAAPAAAAAAAAAAEAIAAAACIAAABkcnMvZG93bnJldi54bWxQSwECFAAUAAAACACHTuJAqNP7&#10;/KwBAABmAwAADgAAAAAAAAABACAAAAAnAQAAZHJzL2Uyb0RvYy54bWxQSwUGAAAAAAYABgBZAQAA&#10;RQUAAAAA&#10;">
                <v:fill on="f" focussize="0,0"/>
                <v:stroke on="f"/>
                <v:imagedata o:title=""/>
                <o:lock v:ext="edit" aspectratio="f"/>
                <v:textbox>
                  <w:txbxContent>
                    <w:p w14:paraId="5A74207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p w14:paraId="6B85E144"/>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.6</w:t>
      </w:r>
      <w:bookmarkEnd w:id="53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DFE9A90">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5CC07F54">
      <w:pPr>
        <w:spacing w:line="360" w:lineRule="auto"/>
        <w:rPr>
          <w:rFonts w:ascii="仿宋" w:hAnsi="仿宋" w:eastAsia="仿宋"/>
          <w:b/>
          <w:bCs/>
          <w:color w:val="auto"/>
          <w:highlight w:val="none"/>
          <w:lang w:eastAsia="zh-CN"/>
        </w:rPr>
      </w:pPr>
      <w:bookmarkStart w:id="532" w:name="_Toc32372"/>
      <w:r>
        <w:rPr>
          <w:color w:val="auto"/>
          <w:highlight w:val="none"/>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243205</wp:posOffset>
                </wp:positionV>
                <wp:extent cx="842010" cy="617855"/>
                <wp:effectExtent l="0" t="0" r="0" b="0"/>
                <wp:wrapNone/>
                <wp:docPr id="129" name="000184"/>
                <wp:cNvGraphicFramePr/>
                <a:graphic xmlns:a="http://schemas.openxmlformats.org/drawingml/2006/main">
                  <a:graphicData uri="http://schemas.microsoft.com/office/word/2010/wordprocessingShape">
                    <wps:wsp>
                      <wps:cNvSpPr txBox="1"/>
                      <wps:spPr>
                        <a:xfrm>
                          <a:off x="0" y="0"/>
                          <a:ext cx="842010" cy="617855"/>
                        </a:xfrm>
                        <a:prstGeom prst="rect">
                          <a:avLst/>
                        </a:prstGeom>
                        <a:noFill/>
                        <a:ln>
                          <a:noFill/>
                        </a:ln>
                        <a:effectLst/>
                      </wps:spPr>
                      <wps:txbx>
                        <w:txbxContent>
                          <w:p w14:paraId="15DA541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p w14:paraId="35948659"/>
                        </w:txbxContent>
                      </wps:txbx>
                      <wps:bodyPr wrap="square" upright="1"/>
                    </wps:wsp>
                  </a:graphicData>
                </a:graphic>
              </wp:anchor>
            </w:drawing>
          </mc:Choice>
          <mc:Fallback>
            <w:pict>
              <v:shape id="000184" o:spid="_x0000_s1026" o:spt="202" type="#_x0000_t202" style="position:absolute;left:0pt;margin-left:-9pt;margin-top:19.15pt;height:48.65pt;width:66.3pt;z-index:251790336;mso-width-relative:page;mso-height-relative:page;" filled="f" stroked="f" coordsize="21600,21600" o:gfxdata="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RbIsc9gAAAAK&#10;AQAADwAAAAAAAAABACAAAAAiAAAAZHJzL2Rvd25yZXYueG1sUEsBAhQAFAAAAAgAh07iQEeESg+q&#10;AQAAZgMAAA4AAAAAAAAAAQAgAAAAJwEAAGRycy9lMm9Eb2MueG1sUEsFBgAAAAAGAAYAWQEAAEMF&#10;AAAAAA==&#10;">
                <v:fill on="f" focussize="0,0"/>
                <v:stroke on="f"/>
                <v:imagedata o:title=""/>
                <o:lock v:ext="edit" aspectratio="f"/>
                <v:textbox>
                  <w:txbxContent>
                    <w:p w14:paraId="15DA541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p w14:paraId="35948659"/>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.7</w:t>
      </w:r>
      <w:bookmarkEnd w:id="53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46552FB">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合同双方当事人均应确保合同工程担保有效期符合工期合理顺延的要求。若合同一方当事人未能保证延长担保有效期，另一方当事人可向其索赔担保的全部金额。</w:t>
      </w:r>
    </w:p>
    <w:p w14:paraId="686E0C7A">
      <w:pPr>
        <w:spacing w:line="360" w:lineRule="auto"/>
        <w:rPr>
          <w:rFonts w:ascii="仿宋" w:hAnsi="仿宋" w:eastAsia="仿宋"/>
          <w:b/>
          <w:bCs/>
          <w:color w:val="auto"/>
          <w:highlight w:val="none"/>
          <w:lang w:eastAsia="zh-CN"/>
        </w:rPr>
      </w:pPr>
      <w:bookmarkStart w:id="533" w:name="_Toc5677"/>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.8</w:t>
      </w:r>
      <w:bookmarkEnd w:id="53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F639BB1">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41275</wp:posOffset>
                </wp:positionV>
                <wp:extent cx="756920" cy="460375"/>
                <wp:effectExtent l="0" t="0" r="0" b="0"/>
                <wp:wrapNone/>
                <wp:docPr id="130" name="000185"/>
                <wp:cNvGraphicFramePr/>
                <a:graphic xmlns:a="http://schemas.openxmlformats.org/drawingml/2006/main">
                  <a:graphicData uri="http://schemas.microsoft.com/office/word/2010/wordprocessingShape">
                    <wps:wsp>
                      <wps:cNvSpPr txBox="1"/>
                      <wps:spPr>
                        <a:xfrm>
                          <a:off x="0" y="0"/>
                          <a:ext cx="756920" cy="460375"/>
                        </a:xfrm>
                        <a:prstGeom prst="rect">
                          <a:avLst/>
                        </a:prstGeom>
                        <a:noFill/>
                        <a:ln>
                          <a:noFill/>
                        </a:ln>
                        <a:effectLst/>
                      </wps:spPr>
                      <wps:txbx>
                        <w:txbxContent>
                          <w:p w14:paraId="29F42E0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p w14:paraId="68F1D161"/>
                        </w:txbxContent>
                      </wps:txbx>
                      <wps:bodyPr wrap="square" upright="1"/>
                    </wps:wsp>
                  </a:graphicData>
                </a:graphic>
              </wp:anchor>
            </w:drawing>
          </mc:Choice>
          <mc:Fallback>
            <w:pict>
              <v:shape id="000185" o:spid="_x0000_s1026" o:spt="202" type="#_x0000_t202" style="position:absolute;left:0pt;margin-left:-9pt;margin-top:3.25pt;height:36.25pt;width:59.6pt;z-index:251791360;mso-width-relative:page;mso-height-relative:page;" filled="f" stroked="f" coordsize="21600,21600" o:gfxdata="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H9nX21QAAAAgB&#10;AAAPAAAAAAAAAAEAIAAAACIAAABkcnMvZG93bnJldi54bWxQSwECFAAUAAAACACHTuJAlr0nKqwB&#10;AABmAwAADgAAAAAAAAABACAAAAAkAQAAZHJzL2Uyb0RvYy54bWxQSwUGAAAAAAYABgBZAQAAQgUA&#10;AAAA&#10;">
                <v:fill on="f" focussize="0,0"/>
                <v:stroke on="f"/>
                <v:imagedata o:title=""/>
                <o:lock v:ext="edit" aspectratio="f"/>
                <v:textbox>
                  <w:txbxContent>
                    <w:p w14:paraId="29F42E0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p w14:paraId="68F1D161"/>
                  </w:txbxContent>
                </v:textbox>
              </v:shape>
            </w:pict>
          </mc:Fallback>
        </mc:AlternateContent>
      </w:r>
      <w:r>
        <w:rPr>
          <w:rFonts w:hint="eastAsia" w:ascii="仿宋" w:hAnsi="仿宋" w:eastAsia="仿宋" w:cs="仿宋"/>
          <w:color w:val="auto"/>
          <w:highlight w:val="none"/>
          <w:lang w:eastAsia="zh-CN"/>
        </w:rPr>
        <w:t>合同双方当事人在专用条款中约定担保内容、方式和责任等事项，并签订担保合同，作为本合同附件。</w:t>
      </w:r>
    </w:p>
    <w:p w14:paraId="466A6CDB">
      <w:pPr>
        <w:pStyle w:val="23"/>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2AFAF1FC">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534" w:name="_Toc15213"/>
      <w:bookmarkStart w:id="535" w:name="_Toc25884"/>
      <w:bookmarkStart w:id="536" w:name="_Toc26895"/>
      <w:bookmarkStart w:id="537" w:name="_Toc12951"/>
      <w:bookmarkStart w:id="538" w:name="_Toc14306"/>
      <w:bookmarkStart w:id="539" w:name="_Toc4959"/>
      <w:bookmarkStart w:id="540" w:name="_Toc47694305"/>
      <w:bookmarkStart w:id="541" w:name="_Toc24037"/>
      <w:r>
        <w:rPr>
          <w:rFonts w:hint="eastAsia" w:ascii="仿宋" w:hAnsi="仿宋" w:eastAsia="仿宋" w:cs="仿宋"/>
          <w:bCs w:val="0"/>
          <w:color w:val="auto"/>
          <w:sz w:val="24"/>
          <w:szCs w:val="24"/>
          <w:highlight w:val="none"/>
          <w:lang w:eastAsia="zh-CN"/>
        </w:rPr>
        <w:t>33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发包人风险</w:t>
      </w:r>
      <w:bookmarkEnd w:id="534"/>
      <w:bookmarkEnd w:id="535"/>
      <w:bookmarkEnd w:id="536"/>
      <w:bookmarkEnd w:id="537"/>
      <w:bookmarkEnd w:id="538"/>
      <w:bookmarkEnd w:id="539"/>
      <w:bookmarkEnd w:id="540"/>
      <w:bookmarkEnd w:id="541"/>
    </w:p>
    <w:p w14:paraId="39B3912C">
      <w:pPr>
        <w:pStyle w:val="23"/>
        <w:spacing w:line="360" w:lineRule="auto"/>
        <w:ind w:right="-240"/>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179070</wp:posOffset>
                </wp:positionV>
                <wp:extent cx="861695" cy="429260"/>
                <wp:effectExtent l="0" t="0" r="0" b="0"/>
                <wp:wrapNone/>
                <wp:docPr id="131" name="000186"/>
                <wp:cNvGraphicFramePr/>
                <a:graphic xmlns:a="http://schemas.openxmlformats.org/drawingml/2006/main">
                  <a:graphicData uri="http://schemas.microsoft.com/office/word/2010/wordprocessingShape">
                    <wps:wsp>
                      <wps:cNvSpPr txBox="1"/>
                      <wps:spPr>
                        <a:xfrm>
                          <a:off x="0" y="0"/>
                          <a:ext cx="861695" cy="429260"/>
                        </a:xfrm>
                        <a:prstGeom prst="rect">
                          <a:avLst/>
                        </a:prstGeom>
                        <a:noFill/>
                        <a:ln>
                          <a:noFill/>
                        </a:ln>
                        <a:effectLst/>
                      </wps:spPr>
                      <wps:txbx>
                        <w:txbxContent>
                          <w:p w14:paraId="592770F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p w14:paraId="5C26A0F6"/>
                        </w:txbxContent>
                      </wps:txbx>
                      <wps:bodyPr wrap="square" upright="1"/>
                    </wps:wsp>
                  </a:graphicData>
                </a:graphic>
              </wp:anchor>
            </w:drawing>
          </mc:Choice>
          <mc:Fallback>
            <w:pict>
              <v:shape id="000186" o:spid="_x0000_s1026" o:spt="202" type="#_x0000_t202" style="position:absolute;left:0pt;margin-left:-9pt;margin-top:14.1pt;height:33.8pt;width:67.85pt;z-index:251792384;mso-width-relative:page;mso-height-relative:page;" filled="f" stroked="f" coordsize="21600,21600" o:gfxdata="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Yvj301wAA&#10;AAkBAAAPAAAAAAAAAAEAIAAAACIAAABkcnMvZG93bnJldi54bWxQSwECFAAUAAAACACHTuJAKQQ4&#10;mK0BAABmAwAADgAAAAAAAAABACAAAAAmAQAAZHJzL2Uyb0RvYy54bWxQSwUGAAAAAAYABgBZAQAA&#10;RQUAAAAA&#10;">
                <v:fill on="f" focussize="0,0"/>
                <v:stroke on="f"/>
                <v:imagedata o:title=""/>
                <o:lock v:ext="edit" aspectratio="f"/>
                <v:textbox>
                  <w:txbxContent>
                    <w:p w14:paraId="592770F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p w14:paraId="5C26A0F6"/>
                  </w:txbxContent>
                </v:textbox>
              </v:shape>
            </w:pict>
          </mc:Fallback>
        </mc:AlternateContent>
      </w:r>
      <w:r>
        <w:rPr>
          <w:rFonts w:hint="eastAsia" w:ascii="仿宋" w:hAnsi="仿宋" w:eastAsia="仿宋" w:cs="仿宋"/>
          <w:b/>
          <w:bCs/>
          <w:color w:val="auto"/>
          <w:sz w:val="24"/>
          <w:szCs w:val="24"/>
          <w:highlight w:val="none"/>
          <w:lang w:eastAsia="zh-CN"/>
        </w:rPr>
        <w:t>33</w:t>
      </w:r>
      <w:r>
        <w:rPr>
          <w:rFonts w:ascii="仿宋" w:hAnsi="仿宋" w:eastAsia="仿宋" w:cs="仿宋"/>
          <w:b/>
          <w:bCs/>
          <w:color w:val="auto"/>
          <w:sz w:val="24"/>
          <w:szCs w:val="24"/>
          <w:highlight w:val="none"/>
          <w:lang w:eastAsia="zh-CN"/>
        </w:rPr>
        <w:t>.1</w:t>
      </w:r>
    </w:p>
    <w:p w14:paraId="0D0AFDC0">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发包人应承担本合同中约定应由发包人承担的风险。</w:t>
      </w:r>
    </w:p>
    <w:p w14:paraId="53248F5F">
      <w:pPr>
        <w:pStyle w:val="23"/>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33</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723B6BDB">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10795</wp:posOffset>
                </wp:positionV>
                <wp:extent cx="842645" cy="509905"/>
                <wp:effectExtent l="0" t="0" r="0" b="0"/>
                <wp:wrapNone/>
                <wp:docPr id="132" name="000187"/>
                <wp:cNvGraphicFramePr/>
                <a:graphic xmlns:a="http://schemas.openxmlformats.org/drawingml/2006/main">
                  <a:graphicData uri="http://schemas.microsoft.com/office/word/2010/wordprocessingShape">
                    <wps:wsp>
                      <wps:cNvSpPr txBox="1"/>
                      <wps:spPr>
                        <a:xfrm>
                          <a:off x="0" y="0"/>
                          <a:ext cx="842645" cy="509905"/>
                        </a:xfrm>
                        <a:prstGeom prst="rect">
                          <a:avLst/>
                        </a:prstGeom>
                        <a:noFill/>
                        <a:ln>
                          <a:noFill/>
                        </a:ln>
                        <a:effectLst/>
                      </wps:spPr>
                      <wps:txbx>
                        <w:txbxContent>
                          <w:p w14:paraId="5283544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p w14:paraId="2561A14E"/>
                        </w:txbxContent>
                      </wps:txbx>
                      <wps:bodyPr wrap="square" upright="1"/>
                    </wps:wsp>
                  </a:graphicData>
                </a:graphic>
              </wp:anchor>
            </w:drawing>
          </mc:Choice>
          <mc:Fallback>
            <w:pict>
              <v:shape id="000187" o:spid="_x0000_s1026" o:spt="202" type="#_x0000_t202" style="position:absolute;left:0pt;margin-left:-9pt;margin-top:0.85pt;height:40.15pt;width:66.35pt;z-index:251793408;mso-width-relative:page;mso-height-relative:page;" filled="f" stroked="f" coordsize="21600,21600" o:gfxdata="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yEGCbUAAAACAEA&#10;AA8AAAAAAAAAAQAgAAAAIgAAAGRycy9kb3ducmV2LnhtbFBLAQIUABQAAAAIAIdO4kCn3MHKrAEA&#10;AGYDAAAOAAAAAAAAAAEAIAAAACMBAABkcnMvZTJvRG9jLnhtbFBLBQYAAAAABgAGAFkBAABBBQAA&#10;AAA=&#10;">
                <v:fill on="f" focussize="0,0"/>
                <v:stroke on="f"/>
                <v:imagedata o:title=""/>
                <o:lock v:ext="edit" aspectratio="f"/>
                <v:textbox>
                  <w:txbxContent>
                    <w:p w14:paraId="5283544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p w14:paraId="2561A14E"/>
                  </w:txbxContent>
                </v:textbox>
              </v:shape>
            </w:pict>
          </mc:Fallback>
        </mc:AlternateContent>
      </w:r>
      <w:r>
        <w:rPr>
          <w:rFonts w:hint="eastAsia" w:ascii="仿宋" w:hAnsi="仿宋" w:eastAsia="仿宋" w:cs="仿宋"/>
          <w:color w:val="auto"/>
          <w:highlight w:val="none"/>
          <w:lang w:eastAsia="zh-CN"/>
        </w:rPr>
        <w:t>自本项目工程总承包范围首要工作（如勘察）开始工作之日起至颁发工程接收证书之日止，发包人风险包括：</w:t>
      </w:r>
    </w:p>
    <w:p w14:paraId="65B426EC">
      <w:pPr>
        <w:pStyle w:val="23"/>
        <w:widowControl w:val="0"/>
        <w:numPr>
          <w:ilvl w:val="0"/>
          <w:numId w:val="8"/>
        </w:numPr>
        <w:tabs>
          <w:tab w:val="clear" w:pos="2609"/>
        </w:tabs>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由非承</w:t>
      </w:r>
      <w:r>
        <w:rPr>
          <w:rFonts w:hint="eastAsia" w:ascii="仿宋" w:hAnsi="仿宋" w:eastAsia="仿宋"/>
          <w:color w:val="auto"/>
          <w:sz w:val="24"/>
          <w:szCs w:val="24"/>
          <w:highlight w:val="none"/>
          <w:lang w:eastAsia="zh-CN"/>
        </w:rPr>
        <w:t>包人原因导致的勘察、设计等工作延误、暂停或终止；</w:t>
      </w:r>
    </w:p>
    <w:p w14:paraId="185A7AE5">
      <w:pPr>
        <w:pStyle w:val="23"/>
        <w:widowControl w:val="0"/>
        <w:numPr>
          <w:ilvl w:val="0"/>
          <w:numId w:val="8"/>
        </w:numPr>
        <w:tabs>
          <w:tab w:val="clear" w:pos="2609"/>
        </w:tabs>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由非承包人原因导致的勘察、设计等工作缺陷；</w:t>
      </w:r>
    </w:p>
    <w:p w14:paraId="44DF4F27">
      <w:pPr>
        <w:pStyle w:val="23"/>
        <w:widowControl w:val="0"/>
        <w:numPr>
          <w:ilvl w:val="0"/>
          <w:numId w:val="8"/>
        </w:numPr>
        <w:tabs>
          <w:tab w:val="clear" w:pos="2609"/>
        </w:tabs>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由于永久工程本身或施工而不可避免造成的财产（除工程本身、工程材料、工程设备和施工设备外）损失或损坏；</w:t>
      </w:r>
    </w:p>
    <w:p w14:paraId="09AA1242">
      <w:pPr>
        <w:pStyle w:val="23"/>
        <w:widowControl w:val="0"/>
        <w:numPr>
          <w:ilvl w:val="0"/>
          <w:numId w:val="8"/>
        </w:numPr>
        <w:tabs>
          <w:tab w:val="clear" w:pos="2609"/>
        </w:tabs>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由于发包人工作人员及其相关人员（除承包人外）的疏忽或违规造成的人员伤亡、财产损失或损坏；</w:t>
      </w:r>
    </w:p>
    <w:p w14:paraId="6F919810">
      <w:pPr>
        <w:pStyle w:val="23"/>
        <w:widowControl w:val="0"/>
        <w:numPr>
          <w:ilvl w:val="0"/>
          <w:numId w:val="8"/>
        </w:numPr>
        <w:tabs>
          <w:tab w:val="clear" w:pos="2609"/>
        </w:tabs>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由于发包人提前使用或占用永久工程或其部分造成的损失或损坏；</w:t>
      </w:r>
    </w:p>
    <w:p w14:paraId="17471424">
      <w:pPr>
        <w:pStyle w:val="23"/>
        <w:widowControl w:val="0"/>
        <w:numPr>
          <w:ilvl w:val="0"/>
          <w:numId w:val="8"/>
        </w:numPr>
        <w:tabs>
          <w:tab w:val="clear" w:pos="2609"/>
        </w:tabs>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由于发包人提供或发包人负责的设计造成的对永久工程、工程材料、工程设备和施工设备的损失或损害；</w:t>
      </w:r>
    </w:p>
    <w:p w14:paraId="1B044F72">
      <w:pPr>
        <w:pStyle w:val="23"/>
        <w:widowControl w:val="0"/>
        <w:numPr>
          <w:ilvl w:val="0"/>
          <w:numId w:val="8"/>
        </w:numPr>
        <w:tabs>
          <w:tab w:val="clear" w:pos="2609"/>
        </w:tabs>
        <w:spacing w:line="360" w:lineRule="auto"/>
        <w:ind w:left="1850" w:leftChars="771" w:firstLine="0"/>
        <w:jc w:val="both"/>
        <w:rPr>
          <w:color w:val="auto"/>
          <w:sz w:val="24"/>
          <w:szCs w:val="24"/>
          <w:highlight w:val="none"/>
          <w:lang w:eastAsia="zh-CN"/>
        </w:rPr>
      </w:pPr>
      <w:r>
        <w:rPr>
          <w:rFonts w:hint="eastAsia" w:ascii="仿宋" w:hAnsi="仿宋" w:eastAsia="仿宋" w:cs="仿宋"/>
          <w:color w:val="auto"/>
          <w:sz w:val="24"/>
          <w:szCs w:val="24"/>
          <w:highlight w:val="none"/>
          <w:lang w:eastAsia="zh-CN"/>
        </w:rPr>
        <w:t>由于地质、邻近建筑物、古树名木等发包人和第三方责任人原因造成施工过程中费用的增加；</w:t>
      </w:r>
    </w:p>
    <w:p w14:paraId="17A74246">
      <w:pPr>
        <w:pStyle w:val="23"/>
        <w:widowControl w:val="0"/>
        <w:numPr>
          <w:ilvl w:val="0"/>
          <w:numId w:val="8"/>
        </w:numPr>
        <w:tabs>
          <w:tab w:val="clear" w:pos="2609"/>
        </w:tabs>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专用条款约定由发包人承担的物价上涨等非承包人原因造成施工过程中费用的增加；</w:t>
      </w:r>
    </w:p>
    <w:p w14:paraId="6097B58F">
      <w:pPr>
        <w:pStyle w:val="23"/>
        <w:widowControl w:val="0"/>
        <w:numPr>
          <w:ilvl w:val="0"/>
          <w:numId w:val="8"/>
        </w:numPr>
        <w:tabs>
          <w:tab w:val="clear" w:pos="2609"/>
        </w:tabs>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其它风险。</w:t>
      </w:r>
    </w:p>
    <w:p w14:paraId="452E97C9">
      <w:pPr>
        <w:pStyle w:val="23"/>
        <w:spacing w:line="360" w:lineRule="auto"/>
        <w:rPr>
          <w:rFonts w:ascii="仿宋" w:hAnsi="仿宋" w:eastAsia="仿宋" w:cs="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p>
    <w:p w14:paraId="64FE2BEF">
      <w:pPr>
        <w:pStyle w:val="4"/>
        <w:tabs>
          <w:tab w:val="left" w:pos="420"/>
        </w:tabs>
        <w:spacing w:before="120" w:after="120" w:line="360" w:lineRule="auto"/>
        <w:rPr>
          <w:rFonts w:ascii="仿宋" w:hAnsi="仿宋" w:eastAsia="仿宋" w:cs="仿宋"/>
          <w:bCs w:val="0"/>
          <w:color w:val="auto"/>
          <w:sz w:val="24"/>
          <w:szCs w:val="24"/>
          <w:highlight w:val="none"/>
        </w:rPr>
      </w:pPr>
      <w:bookmarkStart w:id="542" w:name="_Toc3536"/>
      <w:bookmarkStart w:id="543" w:name="_Toc21307"/>
      <w:bookmarkStart w:id="544" w:name="_Toc23052"/>
      <w:bookmarkStart w:id="545" w:name="_Toc29915"/>
      <w:bookmarkStart w:id="546" w:name="_Toc15961"/>
      <w:bookmarkStart w:id="547" w:name="_Toc47694306"/>
      <w:bookmarkStart w:id="548" w:name="_Toc24810"/>
      <w:bookmarkStart w:id="549" w:name="_Toc6456"/>
      <w:r>
        <w:rPr>
          <w:rFonts w:ascii="仿宋" w:hAnsi="仿宋" w:eastAsia="仿宋" w:cs="仿宋"/>
          <w:bCs w:val="0"/>
          <w:color w:val="auto"/>
          <w:sz w:val="24"/>
          <w:szCs w:val="24"/>
          <w:highlight w:val="none"/>
        </w:rPr>
        <w:t>3</w:t>
      </w:r>
      <w:r>
        <w:rPr>
          <w:rFonts w:hint="eastAsia" w:ascii="仿宋" w:hAnsi="仿宋" w:eastAsia="仿宋" w:cs="仿宋"/>
          <w:bCs w:val="0"/>
          <w:color w:val="auto"/>
          <w:sz w:val="24"/>
          <w:szCs w:val="24"/>
          <w:highlight w:val="none"/>
        </w:rPr>
        <w:t>4</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承包人风险</w:t>
      </w:r>
      <w:bookmarkEnd w:id="542"/>
      <w:bookmarkEnd w:id="543"/>
      <w:bookmarkEnd w:id="544"/>
      <w:bookmarkEnd w:id="545"/>
      <w:bookmarkEnd w:id="546"/>
      <w:bookmarkEnd w:id="547"/>
      <w:bookmarkEnd w:id="548"/>
      <w:bookmarkEnd w:id="549"/>
    </w:p>
    <w:p w14:paraId="721665EC">
      <w:pPr>
        <w:pStyle w:val="23"/>
        <w:tabs>
          <w:tab w:val="left" w:pos="1320"/>
          <w:tab w:val="left" w:pos="1440"/>
        </w:tabs>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794432" behindDoc="0" locked="0" layoutInCell="1" allowOverlap="1">
                <wp:simplePos x="0" y="0"/>
                <wp:positionH relativeFrom="column">
                  <wp:posOffset>-133350</wp:posOffset>
                </wp:positionH>
                <wp:positionV relativeFrom="paragraph">
                  <wp:posOffset>226060</wp:posOffset>
                </wp:positionV>
                <wp:extent cx="800100" cy="411480"/>
                <wp:effectExtent l="0" t="0" r="0" b="0"/>
                <wp:wrapNone/>
                <wp:docPr id="133" name="000188"/>
                <wp:cNvGraphicFramePr/>
                <a:graphic xmlns:a="http://schemas.openxmlformats.org/drawingml/2006/main">
                  <a:graphicData uri="http://schemas.microsoft.com/office/word/2010/wordprocessingShape">
                    <wps:wsp>
                      <wps:cNvSpPr txBox="1"/>
                      <wps:spPr>
                        <a:xfrm>
                          <a:off x="0" y="0"/>
                          <a:ext cx="800100" cy="411480"/>
                        </a:xfrm>
                        <a:prstGeom prst="rect">
                          <a:avLst/>
                        </a:prstGeom>
                        <a:noFill/>
                        <a:ln>
                          <a:noFill/>
                        </a:ln>
                        <a:effectLst/>
                      </wps:spPr>
                      <wps:txbx>
                        <w:txbxContent>
                          <w:p w14:paraId="7E458B4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p w14:paraId="077BF942"/>
                        </w:txbxContent>
                      </wps:txbx>
                      <wps:bodyPr wrap="square" upright="1"/>
                    </wps:wsp>
                  </a:graphicData>
                </a:graphic>
              </wp:anchor>
            </w:drawing>
          </mc:Choice>
          <mc:Fallback>
            <w:pict>
              <v:shape id="000188" o:spid="_x0000_s1026" o:spt="202" type="#_x0000_t202" style="position:absolute;left:0pt;margin-left:-10.5pt;margin-top:17.8pt;height:32.4pt;width:63pt;z-index:251794432;mso-width-relative:page;mso-height-relative:page;" filled="f" stroked="f" coordsize="21600,21600" o:gfxdata="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M/wQ7XAAAACgEA&#10;AA8AAAAAAAAAAQAgAAAAIgAAAGRycy9kb3ducmV2LnhtbFBLAQIUABQAAAAIAIdO4kBE8aRKqQEA&#10;AGYDAAAOAAAAAAAAAAEAIAAAACYBAABkcnMvZTJvRG9jLnhtbFBLBQYAAAAABgAGAFkBAABBBQAA&#10;AAA=&#10;">
                <v:fill on="f" focussize="0,0"/>
                <v:stroke on="f"/>
                <v:imagedata o:title=""/>
                <o:lock v:ext="edit" aspectratio="f"/>
                <v:textbox>
                  <w:txbxContent>
                    <w:p w14:paraId="7E458B4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p w14:paraId="077BF942"/>
                  </w:txbxContent>
                </v:textbox>
              </v:shape>
            </w:pict>
          </mc:Fallback>
        </mc:AlternateContent>
      </w: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rPr>
        <w:t>.1</w:t>
      </w:r>
    </w:p>
    <w:p w14:paraId="1A6A169A">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承包人应承担本合同中约定应由承包人承担的风险。</w:t>
      </w:r>
    </w:p>
    <w:p w14:paraId="60944A7D">
      <w:pPr>
        <w:pStyle w:val="23"/>
        <w:tabs>
          <w:tab w:val="left" w:pos="1320"/>
          <w:tab w:val="left" w:pos="1440"/>
        </w:tabs>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262255</wp:posOffset>
                </wp:positionV>
                <wp:extent cx="765810" cy="422275"/>
                <wp:effectExtent l="0" t="0" r="0" b="0"/>
                <wp:wrapNone/>
                <wp:docPr id="134" name="000189"/>
                <wp:cNvGraphicFramePr/>
                <a:graphic xmlns:a="http://schemas.openxmlformats.org/drawingml/2006/main">
                  <a:graphicData uri="http://schemas.microsoft.com/office/word/2010/wordprocessingShape">
                    <wps:wsp>
                      <wps:cNvSpPr txBox="1"/>
                      <wps:spPr>
                        <a:xfrm>
                          <a:off x="0" y="0"/>
                          <a:ext cx="765810" cy="422275"/>
                        </a:xfrm>
                        <a:prstGeom prst="rect">
                          <a:avLst/>
                        </a:prstGeom>
                        <a:noFill/>
                        <a:ln>
                          <a:noFill/>
                        </a:ln>
                        <a:effectLst/>
                      </wps:spPr>
                      <wps:txbx>
                        <w:txbxContent>
                          <w:p w14:paraId="78FC22D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p w14:paraId="5E4C1752"/>
                        </w:txbxContent>
                      </wps:txbx>
                      <wps:bodyPr wrap="square" upright="1"/>
                    </wps:wsp>
                  </a:graphicData>
                </a:graphic>
              </wp:anchor>
            </w:drawing>
          </mc:Choice>
          <mc:Fallback>
            <w:pict>
              <v:shape id="000189" o:spid="_x0000_s1026" o:spt="202" type="#_x0000_t202" style="position:absolute;left:0pt;margin-left:-9pt;margin-top:20.65pt;height:33.25pt;width:60.3pt;z-index:251795456;mso-width-relative:page;mso-height-relative:page;" filled="f" stroked="f" coordsize="21600,21600" o:gfxdata="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R1Cn89cAAAAK&#10;AQAADwAAAAAAAAABACAAAAAiAAAAZHJzL2Rvd25yZXYueG1sUEsBAhQAFAAAAAgAh07iQJD5uPar&#10;AQAAZgMAAA4AAAAAAAAAAQAgAAAAJgEAAGRycy9lMm9Eb2MueG1sUEsFBgAAAAAGAAYAWQEAAEMF&#10;AAAAAA==&#10;">
                <v:fill on="f" focussize="0,0"/>
                <v:stroke on="f"/>
                <v:imagedata o:title=""/>
                <o:lock v:ext="edit" aspectratio="f"/>
                <v:textbox>
                  <w:txbxContent>
                    <w:p w14:paraId="78FC22D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p w14:paraId="5E4C1752"/>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0EFFBC55">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自本项目工程总承包范围首要工作（如勘察）开始工作之日起直到颁发工程接收证书之日止，承包人风险为：除第33条和第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5条以外的人员伤亡以及财产（包括但不限于合同工程、工程材料、工程设备和施工设备）的损失或损坏。</w:t>
      </w:r>
    </w:p>
    <w:p w14:paraId="2F7567B9">
      <w:pPr>
        <w:pStyle w:val="23"/>
        <w:spacing w:line="360" w:lineRule="auto"/>
        <w:ind w:right="-240"/>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78291FA6">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550" w:name="_Toc19863"/>
      <w:bookmarkStart w:id="551" w:name="_Toc25454"/>
      <w:bookmarkStart w:id="552" w:name="_Toc47694307"/>
      <w:bookmarkStart w:id="553" w:name="_Toc27524"/>
      <w:bookmarkStart w:id="554" w:name="_Toc22173"/>
      <w:bookmarkStart w:id="555" w:name="_Toc3460"/>
      <w:bookmarkStart w:id="556" w:name="_Toc18453"/>
      <w:bookmarkStart w:id="557" w:name="_Toc5850"/>
      <w:r>
        <w:rPr>
          <w:rFonts w:ascii="仿宋" w:hAnsi="仿宋" w:eastAsia="仿宋" w:cs="仿宋"/>
          <w:bCs w:val="0"/>
          <w:color w:val="auto"/>
          <w:sz w:val="24"/>
          <w:szCs w:val="24"/>
          <w:highlight w:val="none"/>
          <w:lang w:eastAsia="zh-CN"/>
        </w:rPr>
        <w:t>3</w:t>
      </w:r>
      <w:r>
        <w:rPr>
          <w:rFonts w:hint="eastAsia" w:ascii="仿宋" w:hAnsi="仿宋" w:eastAsia="仿宋" w:cs="仿宋"/>
          <w:bCs w:val="0"/>
          <w:color w:val="auto"/>
          <w:sz w:val="24"/>
          <w:szCs w:val="24"/>
          <w:highlight w:val="none"/>
          <w:lang w:eastAsia="zh-CN"/>
        </w:rPr>
        <w:t>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不可抗力</w:t>
      </w:r>
      <w:bookmarkEnd w:id="550"/>
      <w:bookmarkEnd w:id="551"/>
      <w:bookmarkEnd w:id="552"/>
      <w:bookmarkEnd w:id="553"/>
      <w:bookmarkEnd w:id="554"/>
      <w:bookmarkEnd w:id="555"/>
      <w:bookmarkEnd w:id="556"/>
      <w:bookmarkEnd w:id="557"/>
    </w:p>
    <w:p w14:paraId="102CAB2F">
      <w:pPr>
        <w:pStyle w:val="23"/>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.1</w:t>
      </w:r>
    </w:p>
    <w:p w14:paraId="32816861">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96480" behindDoc="0" locked="0" layoutInCell="1" allowOverlap="1">
                <wp:simplePos x="0" y="0"/>
                <wp:positionH relativeFrom="column">
                  <wp:posOffset>-95250</wp:posOffset>
                </wp:positionH>
                <wp:positionV relativeFrom="paragraph">
                  <wp:posOffset>80645</wp:posOffset>
                </wp:positionV>
                <wp:extent cx="804545" cy="575945"/>
                <wp:effectExtent l="0" t="0" r="0" b="0"/>
                <wp:wrapNone/>
                <wp:docPr id="135" name="00018a"/>
                <wp:cNvGraphicFramePr/>
                <a:graphic xmlns:a="http://schemas.openxmlformats.org/drawingml/2006/main">
                  <a:graphicData uri="http://schemas.microsoft.com/office/word/2010/wordprocessingShape">
                    <wps:wsp>
                      <wps:cNvSpPr txBox="1"/>
                      <wps:spPr>
                        <a:xfrm>
                          <a:off x="0" y="0"/>
                          <a:ext cx="804545" cy="575945"/>
                        </a:xfrm>
                        <a:prstGeom prst="rect">
                          <a:avLst/>
                        </a:prstGeom>
                        <a:noFill/>
                        <a:ln>
                          <a:noFill/>
                        </a:ln>
                        <a:effectLst/>
                      </wps:spPr>
                      <wps:txbx>
                        <w:txbxContent>
                          <w:p w14:paraId="3F3CAF83">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p w14:paraId="6C6B3A95"/>
                        </w:txbxContent>
                      </wps:txbx>
                      <wps:bodyPr wrap="square" upright="1"/>
                    </wps:wsp>
                  </a:graphicData>
                </a:graphic>
              </wp:anchor>
            </w:drawing>
          </mc:Choice>
          <mc:Fallback>
            <w:pict>
              <v:shape id="00018a" o:spid="_x0000_s1026" o:spt="202" type="#_x0000_t202" style="position:absolute;left:0pt;margin-left:-7.5pt;margin-top:6.35pt;height:45.35pt;width:63.35pt;z-index:251796480;mso-width-relative:page;mso-height-relative:page;" filled="f" stroked="f" coordsize="21600,21600" o:gfxdata="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CICVrWAAAACgEA&#10;AA8AAAAAAAAAAQAgAAAAIgAAAGRycy9kb3ducmV2LnhtbFBLAQIUABQAAAAIAIdO4kDpJXodqgEA&#10;AGYDAAAOAAAAAAAAAAEAIAAAACUBAABkcnMvZTJvRG9jLnhtbFBLBQYAAAAABgAGAFkBAABBBQAA&#10;AAA=&#10;">
                <v:fill on="f" focussize="0,0"/>
                <v:stroke on="f"/>
                <v:imagedata o:title=""/>
                <o:lock v:ext="edit" aspectratio="f"/>
                <v:textbox>
                  <w:txbxContent>
                    <w:p w14:paraId="3F3CAF83">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p w14:paraId="6C6B3A95"/>
                  </w:txbxContent>
                </v:textbox>
              </v:shape>
            </w:pict>
          </mc:Fallback>
        </mc:AlternateContent>
      </w:r>
      <w:r>
        <w:rPr>
          <w:rFonts w:hint="eastAsia" w:ascii="仿宋" w:hAnsi="仿宋" w:eastAsia="仿宋" w:cs="仿宋"/>
          <w:color w:val="auto"/>
          <w:highlight w:val="none"/>
          <w:lang w:eastAsia="zh-CN"/>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14:paraId="17B35A6C">
      <w:pPr>
        <w:pStyle w:val="23"/>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210F1BD1">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7620</wp:posOffset>
                </wp:positionV>
                <wp:extent cx="822960" cy="585470"/>
                <wp:effectExtent l="0" t="0" r="0" b="0"/>
                <wp:wrapNone/>
                <wp:docPr id="136" name="00018b"/>
                <wp:cNvGraphicFramePr/>
                <a:graphic xmlns:a="http://schemas.openxmlformats.org/drawingml/2006/main">
                  <a:graphicData uri="http://schemas.microsoft.com/office/word/2010/wordprocessingShape">
                    <wps:wsp>
                      <wps:cNvSpPr txBox="1"/>
                      <wps:spPr>
                        <a:xfrm>
                          <a:off x="0" y="0"/>
                          <a:ext cx="822960" cy="585470"/>
                        </a:xfrm>
                        <a:prstGeom prst="rect">
                          <a:avLst/>
                        </a:prstGeom>
                        <a:noFill/>
                        <a:ln>
                          <a:noFill/>
                        </a:ln>
                        <a:effectLst/>
                      </wps:spPr>
                      <wps:txbx>
                        <w:txbxContent>
                          <w:p w14:paraId="2123D2C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p w14:paraId="25421B4A"/>
                        </w:txbxContent>
                      </wps:txbx>
                      <wps:bodyPr wrap="square" upright="1"/>
                    </wps:wsp>
                  </a:graphicData>
                </a:graphic>
              </wp:anchor>
            </w:drawing>
          </mc:Choice>
          <mc:Fallback>
            <w:pict>
              <v:shape id="00018b" o:spid="_x0000_s1026" o:spt="202" type="#_x0000_t202" style="position:absolute;left:0pt;margin-left:-9pt;margin-top:0.6pt;height:46.1pt;width:64.8pt;z-index:251797504;mso-width-relative:page;mso-height-relative:page;" filled="f" stroked="f" coordsize="21600,21600" o:gfxdata="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fK8D8dYAAAAI&#10;AQAADwAAAAAAAAABACAAAAAiAAAAZHJzL2Rvd25yZXYueG1sUEsBAhQAFAAAAAgAh07iQAco8K2s&#10;AQAAZgMAAA4AAAAAAAAAAQAgAAAAJQEAAGRycy9lMm9Eb2MueG1sUEsFBgAAAAAGAAYAWQEAAEMF&#10;AAAAAA==&#10;">
                <v:fill on="f" focussize="0,0"/>
                <v:stroke on="f"/>
                <v:imagedata o:title=""/>
                <o:lock v:ext="edit" aspectratio="f"/>
                <v:textbox>
                  <w:txbxContent>
                    <w:p w14:paraId="2123D2C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p w14:paraId="25421B4A"/>
                  </w:txbxContent>
                </v:textbox>
              </v:shape>
            </w:pict>
          </mc:Fallback>
        </mc:AlternateContent>
      </w:r>
      <w:r>
        <w:rPr>
          <w:rFonts w:hint="eastAsia" w:ascii="仿宋" w:hAnsi="仿宋" w:eastAsia="仿宋" w:cs="仿宋"/>
          <w:color w:val="auto"/>
          <w:highlight w:val="none"/>
          <w:lang w:eastAsia="zh-CN"/>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天内，承包人向监理人通报受害情况和损失情况，并预计清理和修复的费用，抄送造价咨询人。不可抗力事项持续发生，承包人应每隔</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天向监理人和造价咨询人报告一次受害情况。不可抗力事项结束后的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天内，承包人应分别按照第43条、第80条约定索赔工期、费用。</w:t>
      </w:r>
    </w:p>
    <w:p w14:paraId="23A73229">
      <w:pPr>
        <w:pStyle w:val="23"/>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2C74A1CE">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8528" behindDoc="0" locked="0" layoutInCell="1" allowOverlap="1">
                <wp:simplePos x="0" y="0"/>
                <wp:positionH relativeFrom="column">
                  <wp:posOffset>-114300</wp:posOffset>
                </wp:positionH>
                <wp:positionV relativeFrom="paragraph">
                  <wp:posOffset>22225</wp:posOffset>
                </wp:positionV>
                <wp:extent cx="775970" cy="664210"/>
                <wp:effectExtent l="0" t="0" r="0" b="0"/>
                <wp:wrapNone/>
                <wp:docPr id="137" name="00018c"/>
                <wp:cNvGraphicFramePr/>
                <a:graphic xmlns:a="http://schemas.openxmlformats.org/drawingml/2006/main">
                  <a:graphicData uri="http://schemas.microsoft.com/office/word/2010/wordprocessingShape">
                    <wps:wsp>
                      <wps:cNvSpPr txBox="1"/>
                      <wps:spPr>
                        <a:xfrm>
                          <a:off x="0" y="0"/>
                          <a:ext cx="775970" cy="664210"/>
                        </a:xfrm>
                        <a:prstGeom prst="rect">
                          <a:avLst/>
                        </a:prstGeom>
                        <a:noFill/>
                        <a:ln>
                          <a:noFill/>
                        </a:ln>
                        <a:effectLst/>
                      </wps:spPr>
                      <wps:txbx>
                        <w:txbxContent>
                          <w:p w14:paraId="044C0EB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p w14:paraId="5A71C13E">
                            <w:pPr>
                              <w:rPr>
                                <w:lang w:eastAsia="zh-CN"/>
                              </w:rPr>
                            </w:pPr>
                          </w:p>
                        </w:txbxContent>
                      </wps:txbx>
                      <wps:bodyPr wrap="square" upright="1"/>
                    </wps:wsp>
                  </a:graphicData>
                </a:graphic>
              </wp:anchor>
            </w:drawing>
          </mc:Choice>
          <mc:Fallback>
            <w:pict>
              <v:shape id="00018c" o:spid="_x0000_s1026" o:spt="202" type="#_x0000_t202" style="position:absolute;left:0pt;margin-left:-9pt;margin-top:1.75pt;height:52.3pt;width:61.1pt;z-index:251798528;mso-width-relative:page;mso-height-relative:page;" filled="f" stroked="f" coordsize="21600,21600" o:gfxdata="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ue0YfdYAAAAJ&#10;AQAADwAAAAAAAAABACAAAAAiAAAAZHJzL2Rvd25yZXYueG1sUEsBAhQAFAAAAAgAh07iQN3gyIms&#10;AQAAZgMAAA4AAAAAAAAAAQAgAAAAJQEAAGRycy9lMm9Eb2MueG1sUEsFBgAAAAAGAAYAWQEAAEMF&#10;AAAAAA==&#10;">
                <v:fill on="f" focussize="0,0"/>
                <v:stroke on="f"/>
                <v:imagedata o:title=""/>
                <o:lock v:ext="edit" aspectratio="f"/>
                <v:textbox>
                  <w:txbxContent>
                    <w:p w14:paraId="044C0EB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p w14:paraId="5A71C13E">
                      <w:pPr>
                        <w:rPr>
                          <w:lang w:eastAsia="zh-CN"/>
                        </w:rPr>
                      </w:pPr>
                    </w:p>
                  </w:txbxContent>
                </v:textbox>
              </v:shape>
            </w:pict>
          </mc:Fallback>
        </mc:AlternateContent>
      </w:r>
      <w:r>
        <w:rPr>
          <w:rFonts w:hint="eastAsia" w:ascii="仿宋" w:hAnsi="仿宋" w:eastAsia="仿宋" w:cs="仿宋"/>
          <w:color w:val="auto"/>
          <w:highlight w:val="none"/>
          <w:lang w:eastAsia="zh-CN"/>
        </w:rPr>
        <w:t>因不可抗力事项导致的费用，由合同双方当事人按照下列约定承担，并相应调整合同价格：</w:t>
      </w:r>
    </w:p>
    <w:p w14:paraId="22377624">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（1）永久工程本身的损害、已运至施工场地的工程材料和工程设备的损害，以及因工程损害导致第三者人员伤亡和财产损失，由发包人承担；</w:t>
      </w:r>
    </w:p>
    <w:p w14:paraId="4FD81E54">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（2）承包人施工设备和用于合同工程的周转材料损坏以及停工损失，由承包人承担；发包人提供的施工设备损坏，由发包人承担；</w:t>
      </w:r>
    </w:p>
    <w:p w14:paraId="68A999F7">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（3）施工场地内的人员伤亡和本款第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点以外财产损失及其相关费用，由合同双方当事人各自承担；</w:t>
      </w:r>
    </w:p>
    <w:p w14:paraId="499C529E">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（4）停工期间，承包人应监理工程师要求照管工程的费用，由发包人承担；</w:t>
      </w:r>
    </w:p>
    <w:p w14:paraId="03F13765">
      <w:pPr>
        <w:pStyle w:val="23"/>
        <w:tabs>
          <w:tab w:val="left" w:pos="1080"/>
        </w:tabs>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（5）工程所需的清理、修复费用，由发包人承担。</w:t>
      </w:r>
    </w:p>
    <w:p w14:paraId="4D3289D0">
      <w:pPr>
        <w:spacing w:line="360" w:lineRule="auto"/>
        <w:rPr>
          <w:rFonts w:ascii="仿宋" w:hAnsi="仿宋" w:eastAsia="仿宋"/>
          <w:b/>
          <w:bCs/>
          <w:color w:val="auto"/>
          <w:highlight w:val="none"/>
          <w:lang w:eastAsia="zh-CN"/>
        </w:rPr>
      </w:pPr>
      <w:bookmarkStart w:id="558" w:name="_Toc18665"/>
      <w:r>
        <w:rPr>
          <w:color w:val="auto"/>
          <w:highlight w:val="none"/>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247650</wp:posOffset>
                </wp:positionV>
                <wp:extent cx="813435" cy="725170"/>
                <wp:effectExtent l="0" t="0" r="0" b="0"/>
                <wp:wrapNone/>
                <wp:docPr id="138" name="00018d"/>
                <wp:cNvGraphicFramePr/>
                <a:graphic xmlns:a="http://schemas.openxmlformats.org/drawingml/2006/main">
                  <a:graphicData uri="http://schemas.microsoft.com/office/word/2010/wordprocessingShape">
                    <wps:wsp>
                      <wps:cNvSpPr txBox="1"/>
                      <wps:spPr>
                        <a:xfrm>
                          <a:off x="0" y="0"/>
                          <a:ext cx="813435" cy="725170"/>
                        </a:xfrm>
                        <a:prstGeom prst="rect">
                          <a:avLst/>
                        </a:prstGeom>
                        <a:noFill/>
                        <a:ln>
                          <a:noFill/>
                        </a:ln>
                        <a:effectLst/>
                      </wps:spPr>
                      <wps:txbx>
                        <w:txbxContent>
                          <w:p w14:paraId="0C780E36">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p w14:paraId="70B206CC">
                            <w:pPr>
                              <w:rPr>
                                <w:lang w:eastAsia="zh-CN"/>
                              </w:rPr>
                            </w:pPr>
                          </w:p>
                        </w:txbxContent>
                      </wps:txbx>
                      <wps:bodyPr wrap="square" upright="1"/>
                    </wps:wsp>
                  </a:graphicData>
                </a:graphic>
              </wp:anchor>
            </w:drawing>
          </mc:Choice>
          <mc:Fallback>
            <w:pict>
              <v:shape id="00018d" o:spid="_x0000_s1026" o:spt="202" type="#_x0000_t202" style="position:absolute;left:0pt;margin-left:-9pt;margin-top:19.5pt;height:57.1pt;width:64.05pt;z-index:251799552;mso-width-relative:page;mso-height-relative:page;" filled="f" stroked="f" coordsize="21600,21600" o:gfxdata="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0dNRs1wAA&#10;AAoBAAAPAAAAAAAAAAEAIAAAACIAAABkcnMvZG93bnJldi54bWxQSwECFAAUAAAACACHTuJAzsSp&#10;cq0BAABmAwAADgAAAAAAAAABACAAAAAmAQAAZHJzL2Uyb0RvYy54bWxQSwUGAAAAAAYABgBZAQAA&#10;RQUAAAAA&#10;">
                <v:fill on="f" focussize="0,0"/>
                <v:stroke on="f"/>
                <v:imagedata o:title=""/>
                <o:lock v:ext="edit" aspectratio="f"/>
                <v:textbox>
                  <w:txbxContent>
                    <w:p w14:paraId="0C780E36">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p w14:paraId="70B206CC">
                      <w:pPr>
                        <w:rPr>
                          <w:lang w:eastAsia="zh-CN"/>
                        </w:rPr>
                      </w:pP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.4</w:t>
      </w:r>
      <w:bookmarkEnd w:id="55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6E3A8BB">
      <w:pPr>
        <w:widowControl w:val="0"/>
        <w:spacing w:line="360" w:lineRule="auto"/>
        <w:ind w:left="1850" w:leftChars="771"/>
        <w:jc w:val="both"/>
        <w:rPr>
          <w:rFonts w:ascii="仿宋" w:hAnsi="仿宋" w:eastAsia="仿宋"/>
          <w:dstrike/>
          <w:color w:val="auto"/>
          <w:highlight w:val="none"/>
          <w:lang w:eastAsia="zh-CN"/>
        </w:rPr>
      </w:pPr>
      <w:r>
        <w:rPr>
          <w:rFonts w:hint="eastAsia" w:ascii="仿宋" w:hAnsi="仿宋" w:eastAsia="仿宋" w:cs="仿宋"/>
          <w:color w:val="auto"/>
          <w:highlight w:val="none"/>
          <w:lang w:eastAsia="zh-CN"/>
        </w:rPr>
        <w:t>因发生不可抗力事项导致工期延误的，工期相应顺延；不能按期竣工的，承包人无需为此支付任何误期赔偿费。发包人要求赶工的，承包人应采取赶工措施，赶工费用由发包人支付。</w:t>
      </w:r>
    </w:p>
    <w:p w14:paraId="290D7DC7">
      <w:pPr>
        <w:spacing w:line="360" w:lineRule="auto"/>
        <w:rPr>
          <w:rFonts w:ascii="仿宋" w:hAnsi="仿宋" w:eastAsia="仿宋"/>
          <w:b/>
          <w:bCs/>
          <w:color w:val="auto"/>
          <w:highlight w:val="none"/>
          <w:lang w:eastAsia="zh-CN"/>
        </w:rPr>
      </w:pPr>
      <w:bookmarkStart w:id="559" w:name="_Toc30872"/>
      <w:r>
        <w:rPr>
          <w:color w:val="auto"/>
          <w:highlight w:val="none"/>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247650</wp:posOffset>
                </wp:positionV>
                <wp:extent cx="842645" cy="525145"/>
                <wp:effectExtent l="0" t="0" r="0" b="0"/>
                <wp:wrapNone/>
                <wp:docPr id="139" name="00018e"/>
                <wp:cNvGraphicFramePr/>
                <a:graphic xmlns:a="http://schemas.openxmlformats.org/drawingml/2006/main">
                  <a:graphicData uri="http://schemas.microsoft.com/office/word/2010/wordprocessingShape">
                    <wps:wsp>
                      <wps:cNvSpPr txBox="1"/>
                      <wps:spPr>
                        <a:xfrm>
                          <a:off x="0" y="0"/>
                          <a:ext cx="842645" cy="525145"/>
                        </a:xfrm>
                        <a:prstGeom prst="rect">
                          <a:avLst/>
                        </a:prstGeom>
                        <a:noFill/>
                        <a:ln>
                          <a:noFill/>
                        </a:ln>
                        <a:effectLst/>
                      </wps:spPr>
                      <wps:txbx>
                        <w:txbxContent>
                          <w:p w14:paraId="5D8DD26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p w14:paraId="53AB6612">
                            <w:pPr>
                              <w:rPr>
                                <w:lang w:eastAsia="zh-CN"/>
                              </w:rPr>
                            </w:pPr>
                          </w:p>
                        </w:txbxContent>
                      </wps:txbx>
                      <wps:bodyPr wrap="square" upright="1"/>
                    </wps:wsp>
                  </a:graphicData>
                </a:graphic>
              </wp:anchor>
            </w:drawing>
          </mc:Choice>
          <mc:Fallback>
            <w:pict>
              <v:shape id="00018e" o:spid="_x0000_s1026" o:spt="202" type="#_x0000_t202" style="position:absolute;left:0pt;margin-left:-9pt;margin-top:19.5pt;height:41.35pt;width:66.35pt;z-index:251800576;mso-width-relative:page;mso-height-relative:page;" filled="f" stroked="f" coordsize="21600,21600" o:gfxdata="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VlpaPYAAAA&#10;CgEAAA8AAAAAAAAAAQAgAAAAIgAAAGRycy9kb3ducmV2LnhtbFBLAQIUABQAAAAIAIdO4kBt6sVO&#10;qwEAAGYDAAAOAAAAAAAAAAEAIAAAACcBAABkcnMvZTJvRG9jLnhtbFBLBQYAAAAABgAGAFkBAABE&#10;BQAAAAA=&#10;">
                <v:fill on="f" focussize="0,0"/>
                <v:stroke on="f"/>
                <v:imagedata o:title=""/>
                <o:lock v:ext="edit" aspectratio="f"/>
                <v:textbox>
                  <w:txbxContent>
                    <w:p w14:paraId="5D8DD26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p w14:paraId="53AB6612">
                      <w:pPr>
                        <w:rPr>
                          <w:lang w:eastAsia="zh-CN"/>
                        </w:rPr>
                      </w:pP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.5</w:t>
      </w:r>
      <w:bookmarkEnd w:id="55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CC6C9F0">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合同任何一方当事人延迟履行合同后发生不可抗力事项的，不能免除其因不可抗力给另一方当事人造成损失的责任。</w:t>
      </w:r>
    </w:p>
    <w:p w14:paraId="2A9DDA0F">
      <w:pPr>
        <w:spacing w:line="360" w:lineRule="auto"/>
        <w:rPr>
          <w:rFonts w:ascii="仿宋" w:hAnsi="仿宋" w:eastAsia="仿宋"/>
          <w:b/>
          <w:bCs/>
          <w:color w:val="auto"/>
          <w:highlight w:val="none"/>
          <w:lang w:eastAsia="zh-CN"/>
        </w:rPr>
      </w:pPr>
      <w:bookmarkStart w:id="560" w:name="_Toc8778"/>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.6</w:t>
      </w:r>
      <w:bookmarkEnd w:id="56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737F58E">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34290</wp:posOffset>
                </wp:positionV>
                <wp:extent cx="804545" cy="525145"/>
                <wp:effectExtent l="0" t="0" r="0" b="0"/>
                <wp:wrapNone/>
                <wp:docPr id="140" name="00018f"/>
                <wp:cNvGraphicFramePr/>
                <a:graphic xmlns:a="http://schemas.openxmlformats.org/drawingml/2006/main">
                  <a:graphicData uri="http://schemas.microsoft.com/office/word/2010/wordprocessingShape">
                    <wps:wsp>
                      <wps:cNvSpPr txBox="1"/>
                      <wps:spPr>
                        <a:xfrm>
                          <a:off x="0" y="0"/>
                          <a:ext cx="804545" cy="525145"/>
                        </a:xfrm>
                        <a:prstGeom prst="rect">
                          <a:avLst/>
                        </a:prstGeom>
                        <a:noFill/>
                        <a:ln>
                          <a:noFill/>
                        </a:ln>
                        <a:effectLst/>
                      </wps:spPr>
                      <wps:txbx>
                        <w:txbxContent>
                          <w:p w14:paraId="211E79C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p w14:paraId="4C12C58F">
                            <w:pPr>
                              <w:rPr>
                                <w:lang w:eastAsia="zh-CN"/>
                              </w:rPr>
                            </w:pPr>
                          </w:p>
                        </w:txbxContent>
                      </wps:txbx>
                      <wps:bodyPr wrap="square" upright="1"/>
                    </wps:wsp>
                  </a:graphicData>
                </a:graphic>
              </wp:anchor>
            </w:drawing>
          </mc:Choice>
          <mc:Fallback>
            <w:pict>
              <v:shape id="00018f" o:spid="_x0000_s1026" o:spt="202" type="#_x0000_t202" style="position:absolute;left:0pt;margin-left:-9pt;margin-top:2.7pt;height:41.35pt;width:63.35pt;z-index:251801600;mso-width-relative:page;mso-height-relative:page;" filled="f" stroked="f" coordsize="21600,21600" o:gfxdata="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zTCPE1QAAAAgBAAAP&#10;AAAAAAAAAAEAIAAAACIAAABkcnMvZG93bnJldi54bWxQSwECFAAUAAAACACHTuJAYcLyH6kBAABm&#10;AwAADgAAAAAAAAABACAAAAAkAQAAZHJzL2Uyb0RvYy54bWxQSwUGAAAAAAYABgBZAQAAPwUAAAAA&#10;">
                <v:fill on="f" focussize="0,0"/>
                <v:stroke on="f"/>
                <v:imagedata o:title=""/>
                <o:lock v:ext="edit" aspectratio="f"/>
                <v:textbox>
                  <w:txbxContent>
                    <w:p w14:paraId="211E79C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p w14:paraId="4C12C58F">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不可抗力事项发生后，合同双方当事人应采取措施尽量避免和减少由此发生的损失。因合同任何一方当事人没有采取有效措施而导致损失扩大的，则损失扩大部分由其自身承担。</w:t>
      </w:r>
    </w:p>
    <w:p w14:paraId="673FD793">
      <w:pPr>
        <w:spacing w:line="360" w:lineRule="auto"/>
        <w:ind w:left="1920" w:hanging="1920" w:hangingChars="800"/>
        <w:rPr>
          <w:color w:val="auto"/>
          <w:highlight w:val="none"/>
          <w:lang w:eastAsia="zh-CN"/>
        </w:rPr>
      </w:pPr>
      <w:r>
        <w:rPr>
          <w:rFonts w:hint="eastAsia" w:ascii="仿宋" w:hAnsi="仿宋" w:eastAsia="仿宋" w:cs="仿宋"/>
          <w:color w:val="auto"/>
          <w:highlight w:val="none"/>
          <w:lang w:eastAsia="zh-CN" w:bidi="ar-SA"/>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237490</wp:posOffset>
                </wp:positionV>
                <wp:extent cx="770890" cy="678180"/>
                <wp:effectExtent l="0" t="0" r="0" b="0"/>
                <wp:wrapNone/>
                <wp:docPr id="141" name="000190"/>
                <wp:cNvGraphicFramePr/>
                <a:graphic xmlns:a="http://schemas.openxmlformats.org/drawingml/2006/main">
                  <a:graphicData uri="http://schemas.microsoft.com/office/word/2010/wordprocessingShape">
                    <wps:wsp>
                      <wps:cNvSpPr txBox="1"/>
                      <wps:spPr>
                        <a:xfrm>
                          <a:off x="0" y="0"/>
                          <a:ext cx="770890" cy="678180"/>
                        </a:xfrm>
                        <a:prstGeom prst="rect">
                          <a:avLst/>
                        </a:prstGeom>
                        <a:noFill/>
                        <a:ln>
                          <a:noFill/>
                        </a:ln>
                        <a:effectLst/>
                      </wps:spPr>
                      <wps:txbx>
                        <w:txbxContent>
                          <w:p w14:paraId="403F694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p w14:paraId="50257652"/>
                        </w:txbxContent>
                      </wps:txbx>
                      <wps:bodyPr wrap="square" upright="1"/>
                    </wps:wsp>
                  </a:graphicData>
                </a:graphic>
              </wp:anchor>
            </w:drawing>
          </mc:Choice>
          <mc:Fallback>
            <w:pict>
              <v:shape id="000190" o:spid="_x0000_s1026" o:spt="202" type="#_x0000_t202" style="position:absolute;left:0pt;margin-left:-9pt;margin-top:18.7pt;height:53.4pt;width:60.7pt;z-index:251802624;mso-width-relative:page;mso-height-relative:page;" filled="f" stroked="f" coordsize="21600,21600" o:gfxdata="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FN8os7XAAAACgEA&#10;AA8AAAAAAAAAAQAgAAAAIgAAAGRycy9kb3ducmV2LnhtbFBLAQIUABQAAAAIAIdO4kD3fIVBqQEA&#10;AGYDAAAOAAAAAAAAAAEAIAAAACYBAABkcnMvZTJvRG9jLnhtbFBLBQYAAAAABgAGAFkBAABBBQAA&#10;AAA=&#10;">
                <v:fill on="f" focussize="0,0"/>
                <v:stroke on="f"/>
                <v:imagedata o:title=""/>
                <o:lock v:ext="edit" aspectratio="f"/>
                <v:textbox>
                  <w:txbxContent>
                    <w:p w14:paraId="403F694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p w14:paraId="50257652"/>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color w:val="auto"/>
          <w:highlight w:val="none"/>
          <w:lang w:eastAsia="zh-CN" w:bidi="ar-SA"/>
        </w:rPr>
        <w:t>分包人根据分包合同的约定，以更大范围的不可抗力而免除某些义务的，承包人不得以分包合同中不可抗力约定向发包人抗辩免除其义务。</w:t>
      </w:r>
    </w:p>
    <w:p w14:paraId="786125FE">
      <w:pPr>
        <w:pStyle w:val="23"/>
        <w:spacing w:line="360" w:lineRule="auto"/>
        <w:rPr>
          <w:rFonts w:ascii="仿宋" w:hAnsi="仿宋" w:eastAsia="仿宋" w:cs="仿宋"/>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2BAAC902">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561" w:name="_Toc6620"/>
      <w:bookmarkStart w:id="562" w:name="_Toc29274"/>
      <w:bookmarkStart w:id="563" w:name="_Toc1242"/>
      <w:bookmarkStart w:id="564" w:name="_Toc12455"/>
      <w:bookmarkStart w:id="565" w:name="_Toc31436"/>
      <w:bookmarkStart w:id="566" w:name="_Toc14839"/>
      <w:bookmarkStart w:id="567" w:name="_Toc47694308"/>
      <w:bookmarkStart w:id="568" w:name="_Toc17802"/>
      <w:r>
        <w:rPr>
          <w:rFonts w:ascii="仿宋" w:hAnsi="仿宋" w:eastAsia="仿宋" w:cs="仿宋"/>
          <w:bCs w:val="0"/>
          <w:color w:val="auto"/>
          <w:sz w:val="24"/>
          <w:szCs w:val="24"/>
          <w:highlight w:val="none"/>
          <w:lang w:eastAsia="zh-CN"/>
        </w:rPr>
        <w:t>3</w:t>
      </w:r>
      <w:r>
        <w:rPr>
          <w:rFonts w:hint="eastAsia" w:ascii="仿宋" w:hAnsi="仿宋" w:eastAsia="仿宋" w:cs="仿宋"/>
          <w:bCs w:val="0"/>
          <w:color w:val="auto"/>
          <w:sz w:val="24"/>
          <w:szCs w:val="24"/>
          <w:highlight w:val="none"/>
          <w:lang w:eastAsia="zh-CN"/>
        </w:rPr>
        <w:t>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保险</w:t>
      </w:r>
      <w:bookmarkEnd w:id="561"/>
      <w:bookmarkEnd w:id="562"/>
      <w:bookmarkEnd w:id="563"/>
      <w:bookmarkEnd w:id="564"/>
      <w:bookmarkEnd w:id="565"/>
      <w:bookmarkEnd w:id="566"/>
      <w:bookmarkEnd w:id="567"/>
      <w:bookmarkEnd w:id="568"/>
    </w:p>
    <w:p w14:paraId="01A9C391">
      <w:pPr>
        <w:pStyle w:val="23"/>
        <w:tabs>
          <w:tab w:val="left" w:pos="1320"/>
        </w:tabs>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.1</w:t>
      </w:r>
    </w:p>
    <w:p w14:paraId="2851523E">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7620</wp:posOffset>
                </wp:positionV>
                <wp:extent cx="847090" cy="487680"/>
                <wp:effectExtent l="0" t="0" r="0" b="0"/>
                <wp:wrapNone/>
                <wp:docPr id="142" name="000191"/>
                <wp:cNvGraphicFramePr/>
                <a:graphic xmlns:a="http://schemas.openxmlformats.org/drawingml/2006/main">
                  <a:graphicData uri="http://schemas.microsoft.com/office/word/2010/wordprocessingShape">
                    <wps:wsp>
                      <wps:cNvSpPr txBox="1"/>
                      <wps:spPr>
                        <a:xfrm>
                          <a:off x="0" y="0"/>
                          <a:ext cx="847090" cy="487680"/>
                        </a:xfrm>
                        <a:prstGeom prst="rect">
                          <a:avLst/>
                        </a:prstGeom>
                        <a:noFill/>
                        <a:ln>
                          <a:noFill/>
                        </a:ln>
                        <a:effectLst/>
                      </wps:spPr>
                      <wps:txbx>
                        <w:txbxContent>
                          <w:p w14:paraId="4C2DD12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p w14:paraId="4459F2CA"/>
                        </w:txbxContent>
                      </wps:txbx>
                      <wps:bodyPr wrap="square" upright="1"/>
                    </wps:wsp>
                  </a:graphicData>
                </a:graphic>
              </wp:anchor>
            </w:drawing>
          </mc:Choice>
          <mc:Fallback>
            <w:pict>
              <v:shape id="000191" o:spid="_x0000_s1026" o:spt="202" type="#_x0000_t202" style="position:absolute;left:0pt;margin-left:-9pt;margin-top:0.6pt;height:38.4pt;width:66.7pt;z-index:251803648;mso-width-relative:page;mso-height-relative:page;" filled="f" stroked="f" coordsize="21600,21600" o:gfxdata="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D3GSLVAAAACAEA&#10;AA8AAAAAAAAAAQAgAAAAIgAAAGRycy9kb3ducmV2LnhtbFBLAQIUABQAAAAIAIdO4kAtcOMpqwEA&#10;AGYDAAAOAAAAAAAAAAEAIAAAACQBAABkcnMvZTJvRG9jLnhtbFBLBQYAAAAABgAGAFkBAABBBQAA&#10;AAA=&#10;">
                <v:fill on="f" focussize="0,0"/>
                <v:stroke on="f"/>
                <v:imagedata o:title=""/>
                <o:lock v:ext="edit" aspectratio="f"/>
                <v:textbox>
                  <w:txbxContent>
                    <w:p w14:paraId="4C2DD12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p w14:paraId="4459F2CA"/>
                  </w:txbxContent>
                </v:textbox>
              </v:shape>
            </w:pict>
          </mc:Fallback>
        </mc:AlternateContent>
      </w:r>
      <w:r>
        <w:rPr>
          <w:rFonts w:hint="eastAsia" w:ascii="仿宋" w:hAnsi="仿宋" w:eastAsia="仿宋" w:cs="仿宋"/>
          <w:color w:val="auto"/>
          <w:sz w:val="24"/>
          <w:szCs w:val="24"/>
          <w:highlight w:val="none"/>
          <w:lang w:eastAsia="zh-CN"/>
        </w:rPr>
        <w:t>发包人应按照下列约定办理保险，并支付保险费：</w:t>
      </w:r>
    </w:p>
    <w:p w14:paraId="0F0B24CF">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（1）工程开工前，为合同工程办理建筑工程一切险、安装工程一切险；</w:t>
      </w:r>
    </w:p>
    <w:p w14:paraId="55899D16">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（2）工程开工前，为施工场地内的自有人员（包括设计顾问工程师、监理工程师、造价工程师在内）办理意外伤害保险；</w:t>
      </w:r>
    </w:p>
    <w:p w14:paraId="3E262F27">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（3）为第三者办理第三者责任险；</w:t>
      </w:r>
    </w:p>
    <w:p w14:paraId="505FD921">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（4）为运至施工场地内用于永久工程的工程材料和待安装工程设备办理保险。</w:t>
      </w:r>
    </w:p>
    <w:p w14:paraId="7739F5E1">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上述保险的保险期从办理保险之日起至工程竣工验收合格之日止。</w:t>
      </w:r>
    </w:p>
    <w:p w14:paraId="4A757219">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工程质量保险或工程质量潜在缺陷保险，并由保险公司对工程质量、施工安全进行综合担保，以及聘请专业的团队进行工程建设全过程风险、质量控制。保险期限由发包人与保险公司具体约定。</w:t>
      </w:r>
    </w:p>
    <w:p w14:paraId="7C9547A3">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发包人可将其中部分事项委托给承包人办理，具体由合同双方当事人在专用条款中约定。除合同价格已包括外，由发包人承担所需保险费用，并向承包人支付合理利润。</w:t>
      </w:r>
    </w:p>
    <w:p w14:paraId="70F8F517">
      <w:pPr>
        <w:pStyle w:val="23"/>
        <w:tabs>
          <w:tab w:val="left" w:pos="1320"/>
        </w:tabs>
        <w:spacing w:line="48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4085BC58">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635</wp:posOffset>
                </wp:positionV>
                <wp:extent cx="816610" cy="501015"/>
                <wp:effectExtent l="0" t="0" r="0" b="0"/>
                <wp:wrapNone/>
                <wp:docPr id="143" name="000192"/>
                <wp:cNvGraphicFramePr/>
                <a:graphic xmlns:a="http://schemas.openxmlformats.org/drawingml/2006/main">
                  <a:graphicData uri="http://schemas.microsoft.com/office/word/2010/wordprocessingShape">
                    <wps:wsp>
                      <wps:cNvSpPr txBox="1"/>
                      <wps:spPr>
                        <a:xfrm>
                          <a:off x="0" y="0"/>
                          <a:ext cx="816610" cy="501015"/>
                        </a:xfrm>
                        <a:prstGeom prst="rect">
                          <a:avLst/>
                        </a:prstGeom>
                        <a:noFill/>
                        <a:ln>
                          <a:noFill/>
                        </a:ln>
                        <a:effectLst/>
                      </wps:spPr>
                      <wps:txbx>
                        <w:txbxContent>
                          <w:p w14:paraId="162BC2D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p w14:paraId="16447BD6"/>
                        </w:txbxContent>
                      </wps:txbx>
                      <wps:bodyPr wrap="square" upright="1"/>
                    </wps:wsp>
                  </a:graphicData>
                </a:graphic>
              </wp:anchor>
            </w:drawing>
          </mc:Choice>
          <mc:Fallback>
            <w:pict>
              <v:shape id="000192" o:spid="_x0000_s1026" o:spt="202" type="#_x0000_t202" style="position:absolute;left:0pt;margin-left:-9pt;margin-top:0.05pt;height:39.45pt;width:64.3pt;z-index:251804672;mso-width-relative:page;mso-height-relative:page;" filled="f" stroked="f" coordsize="21600,21600" o:gfxdata="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mxyotMAAAAHAQAADwAA&#10;AAAAAAABACAAAAAiAAAAZHJzL2Rvd25yZXYueG1sUEsBAhQAFAAAAAgAh07iQIH22NCpAQAAZgMA&#10;AA4AAAAAAAAAAQAgAAAAIgEAAGRycy9lMm9Eb2MueG1sUEsFBgAAAAAGAAYAWQEAAD0FAAAAAA==&#10;">
                <v:fill on="f" focussize="0,0"/>
                <v:stroke on="f"/>
                <v:imagedata o:title=""/>
                <o:lock v:ext="edit" aspectratio="f"/>
                <v:textbox>
                  <w:txbxContent>
                    <w:p w14:paraId="162BC2D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p w14:paraId="16447BD6"/>
                  </w:txbxContent>
                </v:textbox>
              </v:shape>
            </w:pict>
          </mc:Fallback>
        </mc:AlternateContent>
      </w:r>
      <w:r>
        <w:rPr>
          <w:rFonts w:hint="eastAsia" w:ascii="仿宋" w:hAnsi="仿宋" w:eastAsia="仿宋" w:cs="仿宋"/>
          <w:color w:val="auto"/>
          <w:sz w:val="24"/>
          <w:szCs w:val="24"/>
          <w:highlight w:val="none"/>
          <w:lang w:eastAsia="zh-CN"/>
        </w:rPr>
        <w:t>承包人应按照下列约定办理保险，并支付保险费：</w:t>
      </w:r>
    </w:p>
    <w:p w14:paraId="0E1E34F2">
      <w:pPr>
        <w:pStyle w:val="23"/>
        <w:widowControl w:val="0"/>
        <w:numPr>
          <w:ilvl w:val="0"/>
          <w:numId w:val="9"/>
        </w:numPr>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工程开工前，为施工场地内自有人员（包括分包人在内）办理意外伤害保险；</w:t>
      </w:r>
    </w:p>
    <w:p w14:paraId="6B9FD6D5">
      <w:pPr>
        <w:pStyle w:val="23"/>
        <w:widowControl w:val="0"/>
        <w:numPr>
          <w:ilvl w:val="0"/>
          <w:numId w:val="9"/>
        </w:numPr>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为施工场地内的自有施工设备、第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项以外采购进场的工程材料和工程设备等办理保险。</w:t>
      </w:r>
    </w:p>
    <w:p w14:paraId="4D2A60E4">
      <w:pPr>
        <w:pStyle w:val="23"/>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上述保险的保险期从开工之日起至工程竣工验收合格之日止。</w:t>
      </w:r>
    </w:p>
    <w:p w14:paraId="08BD9CCA">
      <w:pPr>
        <w:pStyle w:val="23"/>
        <w:widowControl w:val="0"/>
        <w:numPr>
          <w:ilvl w:val="0"/>
          <w:numId w:val="9"/>
        </w:numPr>
        <w:spacing w:line="360" w:lineRule="auto"/>
        <w:ind w:left="1850" w:leftChars="771" w:firstLine="0"/>
        <w:jc w:val="both"/>
        <w:rPr>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工程开工前，为合同工程办理建设工程勘察设计责任保险，保险期限由承包人与保险公司具体约定。</w:t>
      </w:r>
    </w:p>
    <w:p w14:paraId="63FC8D1F">
      <w:pPr>
        <w:pStyle w:val="23"/>
        <w:tabs>
          <w:tab w:val="left" w:pos="1080"/>
        </w:tabs>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287020</wp:posOffset>
                </wp:positionV>
                <wp:extent cx="869950" cy="540385"/>
                <wp:effectExtent l="0" t="0" r="0" b="0"/>
                <wp:wrapNone/>
                <wp:docPr id="144" name="000193"/>
                <wp:cNvGraphicFramePr/>
                <a:graphic xmlns:a="http://schemas.openxmlformats.org/drawingml/2006/main">
                  <a:graphicData uri="http://schemas.microsoft.com/office/word/2010/wordprocessingShape">
                    <wps:wsp>
                      <wps:cNvSpPr txBox="1"/>
                      <wps:spPr>
                        <a:xfrm>
                          <a:off x="0" y="0"/>
                          <a:ext cx="869950" cy="540385"/>
                        </a:xfrm>
                        <a:prstGeom prst="rect">
                          <a:avLst/>
                        </a:prstGeom>
                        <a:noFill/>
                        <a:ln>
                          <a:noFill/>
                        </a:ln>
                        <a:effectLst/>
                      </wps:spPr>
                      <wps:txbx>
                        <w:txbxContent>
                          <w:p w14:paraId="75CDC61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p w14:paraId="47C7697A"/>
                        </w:txbxContent>
                      </wps:txbx>
                      <wps:bodyPr wrap="square" upright="1"/>
                    </wps:wsp>
                  </a:graphicData>
                </a:graphic>
              </wp:anchor>
            </w:drawing>
          </mc:Choice>
          <mc:Fallback>
            <w:pict>
              <v:shape id="000193" o:spid="_x0000_s1026" o:spt="202" type="#_x0000_t202" style="position:absolute;left:0pt;margin-left:-9pt;margin-top:22.6pt;height:42.55pt;width:68.5pt;z-index:251805696;mso-width-relative:page;mso-height-relative:page;" filled="f" stroked="f" coordsize="21600,21600" o:gfxdata="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x0ZCKtcAAAAK&#10;AQAADwAAAAAAAAABACAAAAAiAAAAZHJzL2Rvd25yZXYueG1sUEsBAhQAFAAAAAgAh07iQGmVYyCr&#10;AQAAZgMAAA4AAAAAAAAAAQAgAAAAJgEAAGRycy9lMm9Eb2MueG1sUEsFBgAAAAAGAAYAWQEAAEMF&#10;AAAAAA==&#10;">
                <v:fill on="f" focussize="0,0"/>
                <v:stroke on="f"/>
                <v:imagedata o:title=""/>
                <o:lock v:ext="edit" aspectratio="f"/>
                <v:textbox>
                  <w:txbxContent>
                    <w:p w14:paraId="75CDC61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p w14:paraId="47C7697A"/>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0F64B03B">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合同一方当事人应按照本合同约定向另一方当事人提供有效的投保保险单和保险凭证。</w:t>
      </w:r>
    </w:p>
    <w:p w14:paraId="0D75F225">
      <w:pPr>
        <w:pStyle w:val="23"/>
        <w:tabs>
          <w:tab w:val="left" w:pos="1320"/>
        </w:tabs>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1806720" behindDoc="0" locked="0" layoutInCell="1" allowOverlap="1">
                <wp:simplePos x="0" y="0"/>
                <wp:positionH relativeFrom="column">
                  <wp:posOffset>-123825</wp:posOffset>
                </wp:positionH>
                <wp:positionV relativeFrom="paragraph">
                  <wp:posOffset>236855</wp:posOffset>
                </wp:positionV>
                <wp:extent cx="803275" cy="525780"/>
                <wp:effectExtent l="0" t="0" r="0" b="0"/>
                <wp:wrapNone/>
                <wp:docPr id="145" name="000194"/>
                <wp:cNvGraphicFramePr/>
                <a:graphic xmlns:a="http://schemas.openxmlformats.org/drawingml/2006/main">
                  <a:graphicData uri="http://schemas.microsoft.com/office/word/2010/wordprocessingShape">
                    <wps:wsp>
                      <wps:cNvSpPr txBox="1"/>
                      <wps:spPr>
                        <a:xfrm>
                          <a:off x="0" y="0"/>
                          <a:ext cx="803275" cy="525780"/>
                        </a:xfrm>
                        <a:prstGeom prst="rect">
                          <a:avLst/>
                        </a:prstGeom>
                        <a:noFill/>
                        <a:ln>
                          <a:noFill/>
                        </a:ln>
                        <a:effectLst/>
                      </wps:spPr>
                      <wps:txbx>
                        <w:txbxContent>
                          <w:p w14:paraId="553078F8">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p w14:paraId="3FE9350A"/>
                        </w:txbxContent>
                      </wps:txbx>
                      <wps:bodyPr wrap="square" upright="1"/>
                    </wps:wsp>
                  </a:graphicData>
                </a:graphic>
              </wp:anchor>
            </w:drawing>
          </mc:Choice>
          <mc:Fallback>
            <w:pict>
              <v:shape id="000194" o:spid="_x0000_s1026" o:spt="202" type="#_x0000_t202" style="position:absolute;left:0pt;margin-left:-9.75pt;margin-top:18.65pt;height:41.4pt;width:63.25pt;z-index:251806720;mso-width-relative:page;mso-height-relative:page;" filled="f" stroked="f" coordsize="21600,21600" o:gfxdata="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z8zuP1wAA&#10;AAoBAAAPAAAAAAAAAAEAIAAAACIAAABkcnMvZG93bnJldi54bWxQSwECFAAUAAAACACHTuJA3cB3&#10;OK0BAABmAwAADgAAAAAAAAABACAAAAAmAQAAZHJzL2Uyb0RvYy54bWxQSwUGAAAAAAYABgBZAQAA&#10;RQUAAAAA&#10;">
                <v:fill on="f" focussize="0,0"/>
                <v:stroke on="f"/>
                <v:imagedata o:title=""/>
                <o:lock v:ext="edit" aspectratio="f"/>
                <v:textbox>
                  <w:txbxContent>
                    <w:p w14:paraId="553078F8">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p w14:paraId="3FE9350A"/>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7CB5114B">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合同双方当事人应遵守本条约定办理有关保险事项。如果未按约定投保的，应按下列约定补偿：</w:t>
      </w:r>
    </w:p>
    <w:p w14:paraId="618D31E1">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（1）由于负有投保义务的合同一方当事人未按合同约定办理保险，或未能使保险持续有效的，则另一方当事人可代为办理，所需费用由对方当事人承担；</w:t>
      </w:r>
    </w:p>
    <w:p w14:paraId="147014FE">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（2）由于负有投保义务的合同一方当事人未按合同约定办理某项保险，导致受益人未能得到保险人的赔偿，则该项保险金应由负有投保义务的一方当事人支付。</w:t>
      </w:r>
    </w:p>
    <w:p w14:paraId="710728F4">
      <w:pPr>
        <w:pStyle w:val="23"/>
        <w:spacing w:line="360" w:lineRule="auto"/>
        <w:rPr>
          <w:rFonts w:ascii="仿宋" w:hAnsi="仿宋" w:eastAsia="仿宋" w:cs="仿宋"/>
          <w:color w:val="auto"/>
          <w:sz w:val="24"/>
          <w:szCs w:val="24"/>
          <w:highlight w:val="none"/>
          <w:u w:val="dotted"/>
          <w:lang w:eastAsia="zh-CN"/>
        </w:rPr>
      </w:pPr>
      <w:r>
        <w:rPr>
          <w:color w:val="auto"/>
          <w:highlight w:val="none"/>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292100</wp:posOffset>
                </wp:positionV>
                <wp:extent cx="813435" cy="588010"/>
                <wp:effectExtent l="0" t="0" r="0" b="0"/>
                <wp:wrapNone/>
                <wp:docPr id="146" name="000195"/>
                <wp:cNvGraphicFramePr/>
                <a:graphic xmlns:a="http://schemas.openxmlformats.org/drawingml/2006/main">
                  <a:graphicData uri="http://schemas.microsoft.com/office/word/2010/wordprocessingShape">
                    <wps:wsp>
                      <wps:cNvSpPr txBox="1"/>
                      <wps:spPr>
                        <a:xfrm>
                          <a:off x="0" y="0"/>
                          <a:ext cx="813435" cy="588010"/>
                        </a:xfrm>
                        <a:prstGeom prst="rect">
                          <a:avLst/>
                        </a:prstGeom>
                        <a:noFill/>
                        <a:ln>
                          <a:noFill/>
                        </a:ln>
                        <a:effectLst/>
                      </wps:spPr>
                      <wps:txbx>
                        <w:txbxContent>
                          <w:p w14:paraId="3AF2469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p w14:paraId="0CD76531">
                            <w:pPr>
                              <w:rPr>
                                <w:lang w:eastAsia="zh-CN"/>
                              </w:rPr>
                            </w:pPr>
                          </w:p>
                        </w:txbxContent>
                      </wps:txbx>
                      <wps:bodyPr wrap="square" upright="1"/>
                    </wps:wsp>
                  </a:graphicData>
                </a:graphic>
              </wp:anchor>
            </w:drawing>
          </mc:Choice>
          <mc:Fallback>
            <w:pict>
              <v:shape id="000195" o:spid="_x0000_s1026" o:spt="202" type="#_x0000_t202" style="position:absolute;left:0pt;margin-left:-9pt;margin-top:23pt;height:46.3pt;width:64.05pt;z-index:251807744;mso-width-relative:page;mso-height-relative:page;" filled="f" stroked="f" coordsize="21600,21600" o:gfxdata="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NQE0tcAAAAK&#10;AQAADwAAAAAAAAABACAAAAAiAAAAZHJzL2Rvd25yZXYueG1sUEsBAhQAFAAAAAgAh07iQBcEnxir&#10;AQAAZgMAAA4AAAAAAAAAAQAgAAAAJgEAAGRycy9lMm9Eb2MueG1sUEsFBgAAAAAGAAYAWQEAAEMF&#10;AAAAAA==&#10;">
                <v:fill on="f" focussize="0,0"/>
                <v:stroke on="f"/>
                <v:imagedata o:title=""/>
                <o:lock v:ext="edit" aspectratio="f"/>
                <v:textbox>
                  <w:txbxContent>
                    <w:p w14:paraId="3AF2469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p w14:paraId="0CD76531">
                      <w:pPr>
                        <w:rPr>
                          <w:lang w:eastAsia="zh-CN"/>
                        </w:rPr>
                      </w:pP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.5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70B19DE3">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当合同工程发生保险事故时</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投保人应及时通知保险人，并提供有关资料。合同双方当事人有责任采取合理有效措施防止或减少损失，并应相互协助做好向保险人的报告和理赔工作。</w:t>
      </w:r>
    </w:p>
    <w:p w14:paraId="427B6096">
      <w:pPr>
        <w:pStyle w:val="23"/>
        <w:tabs>
          <w:tab w:val="left" w:pos="1320"/>
          <w:tab w:val="left" w:pos="1620"/>
        </w:tabs>
        <w:spacing w:line="36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.6  </w:t>
      </w:r>
      <w:r>
        <w:rPr>
          <w:rFonts w:ascii="仿宋" w:hAnsi="仿宋" w:eastAsia="仿宋" w:cs="仿宋"/>
          <w:b/>
          <w:bCs/>
          <w:color w:val="auto"/>
          <w:sz w:val="24"/>
          <w:szCs w:val="24"/>
          <w:highlight w:val="none"/>
          <w:u w:val="dotted"/>
          <w:lang w:eastAsia="zh-CN"/>
        </w:rPr>
        <w:t xml:space="preserve">                                                                               </w:t>
      </w:r>
    </w:p>
    <w:p w14:paraId="2438F4FE">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0</wp:posOffset>
                </wp:positionV>
                <wp:extent cx="785495" cy="614045"/>
                <wp:effectExtent l="0" t="0" r="0" b="0"/>
                <wp:wrapNone/>
                <wp:docPr id="147" name="000196"/>
                <wp:cNvGraphicFramePr/>
                <a:graphic xmlns:a="http://schemas.openxmlformats.org/drawingml/2006/main">
                  <a:graphicData uri="http://schemas.microsoft.com/office/word/2010/wordprocessingShape">
                    <wps:wsp>
                      <wps:cNvSpPr txBox="1"/>
                      <wps:spPr>
                        <a:xfrm>
                          <a:off x="0" y="0"/>
                          <a:ext cx="785495" cy="614045"/>
                        </a:xfrm>
                        <a:prstGeom prst="rect">
                          <a:avLst/>
                        </a:prstGeom>
                        <a:noFill/>
                        <a:ln>
                          <a:noFill/>
                        </a:ln>
                        <a:effectLst/>
                      </wps:spPr>
                      <wps:txbx>
                        <w:txbxContent>
                          <w:p w14:paraId="74C1D0C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p w14:paraId="1301AE84">
                            <w:pPr>
                              <w:rPr>
                                <w:lang w:eastAsia="zh-CN"/>
                              </w:rPr>
                            </w:pPr>
                          </w:p>
                        </w:txbxContent>
                      </wps:txbx>
                      <wps:bodyPr wrap="square" upright="1"/>
                    </wps:wsp>
                  </a:graphicData>
                </a:graphic>
              </wp:anchor>
            </w:drawing>
          </mc:Choice>
          <mc:Fallback>
            <w:pict>
              <v:shape id="000196" o:spid="_x0000_s1026" o:spt="202" type="#_x0000_t202" style="position:absolute;left:0pt;margin-left:-9pt;margin-top:0pt;height:48.35pt;width:61.85pt;z-index:251808768;mso-width-relative:page;mso-height-relative:page;" filled="f" stroked="f" coordsize="21600,21600" o:gfxdata="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lhIXY1QAAAAcB&#10;AAAPAAAAAAAAAAEAIAAAACIAAABkcnMvZG93bnJldi54bWxQSwECFAAUAAAACACHTuJA65ANAKwB&#10;AABmAwAADgAAAAAAAAABACAAAAAkAQAAZHJzL2Uyb0RvYy54bWxQSwUGAAAAAAYABgBZAQAAQgUA&#10;AAAA&#10;">
                <v:fill on="f" focussize="0,0"/>
                <v:stroke on="f"/>
                <v:imagedata o:title=""/>
                <o:lock v:ext="edit" aspectratio="f"/>
                <v:textbox>
                  <w:txbxContent>
                    <w:p w14:paraId="74C1D0C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p w14:paraId="1301AE84">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当合同工程的性质、规模或计划发生变更时，被保险人应及时通知保险人，并在合同履行期间按照本条约定保证足够的保险额，由此造成的费用由责任方承担。</w:t>
      </w:r>
    </w:p>
    <w:p w14:paraId="115FDD85">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220A14A7">
      <w:pPr>
        <w:pStyle w:val="23"/>
        <w:widowControl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809792" behindDoc="0" locked="0" layoutInCell="1" allowOverlap="1">
                <wp:simplePos x="0" y="0"/>
                <wp:positionH relativeFrom="column">
                  <wp:posOffset>-123825</wp:posOffset>
                </wp:positionH>
                <wp:positionV relativeFrom="paragraph">
                  <wp:posOffset>13970</wp:posOffset>
                </wp:positionV>
                <wp:extent cx="785495" cy="448310"/>
                <wp:effectExtent l="0" t="0" r="0" b="0"/>
                <wp:wrapNone/>
                <wp:docPr id="148" name="000197"/>
                <wp:cNvGraphicFramePr/>
                <a:graphic xmlns:a="http://schemas.openxmlformats.org/drawingml/2006/main">
                  <a:graphicData uri="http://schemas.microsoft.com/office/word/2010/wordprocessingShape">
                    <wps:wsp>
                      <wps:cNvSpPr txBox="1"/>
                      <wps:spPr>
                        <a:xfrm>
                          <a:off x="0" y="0"/>
                          <a:ext cx="785495" cy="448310"/>
                        </a:xfrm>
                        <a:prstGeom prst="rect">
                          <a:avLst/>
                        </a:prstGeom>
                        <a:noFill/>
                        <a:ln>
                          <a:noFill/>
                        </a:ln>
                        <a:effectLst/>
                      </wps:spPr>
                      <wps:txbx>
                        <w:txbxContent>
                          <w:p w14:paraId="4998961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p w14:paraId="1CB19CAB"/>
                        </w:txbxContent>
                      </wps:txbx>
                      <wps:bodyPr wrap="square" upright="1"/>
                    </wps:wsp>
                  </a:graphicData>
                </a:graphic>
              </wp:anchor>
            </w:drawing>
          </mc:Choice>
          <mc:Fallback>
            <w:pict>
              <v:shape id="000197" o:spid="_x0000_s1026" o:spt="202" type="#_x0000_t202" style="position:absolute;left:0pt;margin-left:-9.75pt;margin-top:1.1pt;height:35.3pt;width:61.85pt;z-index:251809792;mso-width-relative:page;mso-height-relative:page;" filled="f" stroked="f" coordsize="21600,21600" o:gfxdata="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EfIlLWAAAA&#10;CAEAAA8AAAAAAAAAAQAgAAAAIgAAAGRycy9kb3ducmV2LnhtbFBLAQIUABQAAAAIAIdO4kA0Z7I9&#10;rQEAAGYDAAAOAAAAAAAAAAEAIAAAACUBAABkcnMvZTJvRG9jLnhtbFBLBQYAAAAABgAGAFkBAABE&#10;BQAAAAA=&#10;">
                <v:fill on="f" focussize="0,0"/>
                <v:stroke on="f"/>
                <v:imagedata o:title=""/>
                <o:lock v:ext="edit" aspectratio="f"/>
                <v:textbox>
                  <w:txbxContent>
                    <w:p w14:paraId="4998961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p w14:paraId="1CB19CAB"/>
                  </w:txbxContent>
                </v:textbox>
              </v:shape>
            </w:pict>
          </mc:Fallback>
        </mc:AlternateContent>
      </w:r>
      <w:r>
        <w:rPr>
          <w:rFonts w:hint="eastAsia" w:ascii="仿宋" w:hAnsi="仿宋" w:eastAsia="仿宋" w:cs="仿宋"/>
          <w:color w:val="auto"/>
          <w:sz w:val="24"/>
          <w:szCs w:val="24"/>
          <w:highlight w:val="none"/>
          <w:lang w:eastAsia="zh-CN"/>
        </w:rPr>
        <w:t>从保险人处收到的因合同工程本身损失或损坏的保险金</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应专项用于修复合同工程的损失或损坏，或作为对未能修复合同工程这些损失或损坏的补偿。</w:t>
      </w:r>
    </w:p>
    <w:p w14:paraId="2F74AEFC">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 xml:space="preserve">.8  </w:t>
      </w:r>
      <w:r>
        <w:rPr>
          <w:rFonts w:ascii="仿宋" w:hAnsi="仿宋" w:eastAsia="仿宋" w:cs="仿宋"/>
          <w:b/>
          <w:bCs/>
          <w:color w:val="auto"/>
          <w:highlight w:val="none"/>
          <w:u w:val="dotted"/>
          <w:lang w:eastAsia="zh-CN"/>
        </w:rPr>
        <w:t xml:space="preserve">                                                                               </w:t>
      </w:r>
    </w:p>
    <w:p w14:paraId="54F8B2D0">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10816" behindDoc="0" locked="0" layoutInCell="1" allowOverlap="1">
                <wp:simplePos x="0" y="0"/>
                <wp:positionH relativeFrom="column">
                  <wp:posOffset>0</wp:posOffset>
                </wp:positionH>
                <wp:positionV relativeFrom="paragraph">
                  <wp:posOffset>5080</wp:posOffset>
                </wp:positionV>
                <wp:extent cx="832485" cy="389255"/>
                <wp:effectExtent l="0" t="0" r="0" b="0"/>
                <wp:wrapNone/>
                <wp:docPr id="149" name="000198"/>
                <wp:cNvGraphicFramePr/>
                <a:graphic xmlns:a="http://schemas.openxmlformats.org/drawingml/2006/main">
                  <a:graphicData uri="http://schemas.microsoft.com/office/word/2010/wordprocessingShape">
                    <wps:wsp>
                      <wps:cNvSpPr txBox="1"/>
                      <wps:spPr>
                        <a:xfrm>
                          <a:off x="0" y="0"/>
                          <a:ext cx="832485" cy="389255"/>
                        </a:xfrm>
                        <a:prstGeom prst="rect">
                          <a:avLst/>
                        </a:prstGeom>
                        <a:noFill/>
                        <a:ln>
                          <a:noFill/>
                        </a:ln>
                        <a:effectLst/>
                      </wps:spPr>
                      <wps:txbx>
                        <w:txbxContent>
                          <w:p w14:paraId="15FD9BA9">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p w14:paraId="63C9D103"/>
                        </w:txbxContent>
                      </wps:txbx>
                      <wps:bodyPr wrap="square" upright="1"/>
                    </wps:wsp>
                  </a:graphicData>
                </a:graphic>
              </wp:anchor>
            </w:drawing>
          </mc:Choice>
          <mc:Fallback>
            <w:pict>
              <v:shape id="000198" o:spid="_x0000_s1026" o:spt="202" type="#_x0000_t202" style="position:absolute;left:0pt;margin-left:0pt;margin-top:0.4pt;height:30.65pt;width:65.55pt;z-index:251810816;mso-width-relative:page;mso-height-relative:page;" filled="f" stroked="f" coordsize="21600,21600" o:gfxdata="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Pl+mZTRAAAABAEAAA8A&#10;AAAAAAAAAQAgAAAAIgAAAGRycy9kb3ducmV2LnhtbFBLAQIUABQAAAAIAIdO4kDTYr+MrAEAAGYD&#10;AAAOAAAAAAAAAAEAIAAAACABAABkcnMvZTJvRG9jLnhtbFBLBQYAAAAABgAGAFkBAAA+BQAAAAA=&#10;">
                <v:fill on="f" focussize="0,0"/>
                <v:stroke on="f"/>
                <v:imagedata o:title=""/>
                <o:lock v:ext="edit" aspectratio="f"/>
                <v:textbox>
                  <w:txbxContent>
                    <w:p w14:paraId="15FD9BA9">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p w14:paraId="63C9D103"/>
                  </w:txbxContent>
                </v:textbox>
              </v:shape>
            </w:pict>
          </mc:Fallback>
        </mc:AlternateContent>
      </w:r>
      <w:r>
        <w:rPr>
          <w:rFonts w:hint="eastAsia" w:ascii="仿宋" w:hAnsi="仿宋" w:eastAsia="仿宋" w:cs="仿宋"/>
          <w:color w:val="auto"/>
          <w:sz w:val="24"/>
          <w:szCs w:val="24"/>
          <w:highlight w:val="none"/>
          <w:lang w:eastAsia="zh-CN"/>
        </w:rPr>
        <w:t>具体投保内容、保险金、保险期限及相关责任等事项，合同双方当事人应在专用条款中约定。</w:t>
      </w:r>
    </w:p>
    <w:p w14:paraId="02394271">
      <w:pPr>
        <w:pStyle w:val="23"/>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3CAFAD81">
      <w:pPr>
        <w:spacing w:line="360" w:lineRule="auto"/>
        <w:jc w:val="center"/>
        <w:outlineLvl w:val="1"/>
        <w:rPr>
          <w:rFonts w:hint="eastAsia" w:ascii="仿宋" w:hAnsi="仿宋" w:eastAsia="仿宋" w:cs="仿宋"/>
          <w:b/>
          <w:bCs/>
          <w:color w:val="auto"/>
          <w:highlight w:val="none"/>
          <w:lang w:eastAsia="zh-CN"/>
        </w:rPr>
      </w:pPr>
      <w:bookmarkStart w:id="569" w:name="_Toc13316"/>
      <w:bookmarkStart w:id="570" w:name="_Toc8475"/>
      <w:bookmarkStart w:id="571" w:name="_Toc14094"/>
      <w:bookmarkStart w:id="572" w:name="_Toc28340"/>
      <w:bookmarkStart w:id="573" w:name="_Toc27299"/>
      <w:bookmarkStart w:id="574" w:name="_Toc47694309"/>
      <w:bookmarkStart w:id="575" w:name="_Toc7939"/>
      <w:bookmarkStart w:id="576" w:name="_Toc21144"/>
      <w:r>
        <w:rPr>
          <w:rFonts w:hint="eastAsia" w:ascii="仿宋" w:hAnsi="仿宋" w:eastAsia="仿宋" w:cs="仿宋"/>
          <w:b/>
          <w:bCs/>
          <w:color w:val="auto"/>
          <w:highlight w:val="none"/>
          <w:lang w:eastAsia="zh-CN"/>
        </w:rPr>
        <w:t>四、勘察、设计与BIM技术应用</w:t>
      </w:r>
      <w:bookmarkEnd w:id="569"/>
      <w:bookmarkEnd w:id="570"/>
      <w:bookmarkEnd w:id="571"/>
      <w:bookmarkEnd w:id="572"/>
      <w:bookmarkEnd w:id="573"/>
      <w:bookmarkEnd w:id="574"/>
      <w:bookmarkEnd w:id="575"/>
      <w:bookmarkEnd w:id="576"/>
    </w:p>
    <w:p w14:paraId="7B9A277E">
      <w:pPr>
        <w:pStyle w:val="4"/>
        <w:tabs>
          <w:tab w:val="left" w:pos="420"/>
        </w:tabs>
        <w:spacing w:before="120" w:after="120" w:line="360" w:lineRule="auto"/>
        <w:rPr>
          <w:rFonts w:hint="eastAsia" w:ascii="仿宋" w:hAnsi="仿宋" w:eastAsia="仿宋" w:cs="仿宋"/>
          <w:bCs w:val="0"/>
          <w:color w:val="auto"/>
          <w:sz w:val="24"/>
          <w:szCs w:val="24"/>
          <w:highlight w:val="none"/>
          <w:lang w:eastAsia="zh-CN"/>
        </w:rPr>
      </w:pPr>
      <w:bookmarkStart w:id="577" w:name="_Toc21030"/>
      <w:bookmarkStart w:id="578" w:name="_Toc26627"/>
      <w:bookmarkStart w:id="579" w:name="_Toc18321"/>
      <w:bookmarkStart w:id="580" w:name="_Toc18141"/>
      <w:bookmarkStart w:id="581" w:name="_Toc7463"/>
      <w:bookmarkStart w:id="582" w:name="_Toc27849"/>
      <w:bookmarkStart w:id="583" w:name="_Toc47694310"/>
      <w:bookmarkStart w:id="584" w:name="_Toc32763"/>
      <w:r>
        <w:rPr>
          <w:rFonts w:hint="eastAsia" w:ascii="仿宋" w:hAnsi="仿宋" w:eastAsia="仿宋" w:cs="仿宋"/>
          <w:bCs w:val="0"/>
          <w:color w:val="auto"/>
          <w:sz w:val="24"/>
          <w:szCs w:val="24"/>
          <w:highlight w:val="none"/>
          <w:lang w:eastAsia="zh-CN"/>
        </w:rPr>
        <w:t>37  工程勘察</w:t>
      </w:r>
      <w:bookmarkEnd w:id="577"/>
      <w:bookmarkEnd w:id="578"/>
      <w:bookmarkEnd w:id="579"/>
      <w:bookmarkEnd w:id="580"/>
      <w:bookmarkEnd w:id="581"/>
      <w:bookmarkEnd w:id="582"/>
      <w:bookmarkEnd w:id="583"/>
      <w:bookmarkEnd w:id="584"/>
    </w:p>
    <w:p w14:paraId="2D19B513">
      <w:pPr>
        <w:tabs>
          <w:tab w:val="left" w:pos="1320"/>
        </w:tabs>
        <w:spacing w:line="360" w:lineRule="auto"/>
        <w:ind w:right="-7"/>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37.1</w:t>
      </w:r>
    </w:p>
    <w:p w14:paraId="00998C8E">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rPr>
        <mc:AlternateContent>
          <mc:Choice Requires="wps">
            <w:drawing>
              <wp:anchor distT="0" distB="0" distL="114300" distR="114300" simplePos="0" relativeHeight="251811840" behindDoc="0" locked="0" layoutInCell="1" allowOverlap="1">
                <wp:simplePos x="0" y="0"/>
                <wp:positionH relativeFrom="column">
                  <wp:posOffset>-85725</wp:posOffset>
                </wp:positionH>
                <wp:positionV relativeFrom="paragraph">
                  <wp:posOffset>62865</wp:posOffset>
                </wp:positionV>
                <wp:extent cx="794385" cy="798195"/>
                <wp:effectExtent l="0" t="0" r="0" b="0"/>
                <wp:wrapNone/>
                <wp:docPr id="150" name="000199"/>
                <wp:cNvGraphicFramePr/>
                <a:graphic xmlns:a="http://schemas.openxmlformats.org/drawingml/2006/main">
                  <a:graphicData uri="http://schemas.microsoft.com/office/word/2010/wordprocessingShape">
                    <wps:wsp>
                      <wps:cNvSpPr txBox="1"/>
                      <wps:spPr>
                        <a:xfrm>
                          <a:off x="0" y="0"/>
                          <a:ext cx="794385" cy="798195"/>
                        </a:xfrm>
                        <a:prstGeom prst="rect">
                          <a:avLst/>
                        </a:prstGeom>
                        <a:noFill/>
                        <a:ln>
                          <a:noFill/>
                        </a:ln>
                        <a:effectLst/>
                      </wps:spPr>
                      <wps:txbx>
                        <w:txbxContent>
                          <w:p w14:paraId="675EA1A6">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p w14:paraId="726601EA">
                            <w:pPr>
                              <w:rPr>
                                <w:lang w:eastAsia="zh-CN"/>
                              </w:rPr>
                            </w:pPr>
                          </w:p>
                        </w:txbxContent>
                      </wps:txbx>
                      <wps:bodyPr wrap="square" upright="1"/>
                    </wps:wsp>
                  </a:graphicData>
                </a:graphic>
              </wp:anchor>
            </w:drawing>
          </mc:Choice>
          <mc:Fallback>
            <w:pict>
              <v:shape id="000199" o:spid="_x0000_s1026" o:spt="202" type="#_x0000_t202" style="position:absolute;left:0pt;margin-left:-6.75pt;margin-top:4.95pt;height:62.85pt;width:62.55pt;z-index:251811840;mso-width-relative:page;mso-height-relative:page;" filled="f" stroked="f" coordsize="21600,21600" o:gfxdata="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ROaQ1gAAAAkB&#10;AAAPAAAAAAAAAAEAIAAAACIAAABkcnMvZG93bnJldi54bWxQSwECFAAUAAAACACHTuJATpoMBKsB&#10;AABmAwAADgAAAAAAAAABACAAAAAlAQAAZHJzL2Uyb0RvYy54bWxQSwUGAAAAAAYABgBZAQAAQgUA&#10;AAAA&#10;">
                <v:fill on="f" focussize="0,0"/>
                <v:stroke on="f"/>
                <v:imagedata o:title=""/>
                <o:lock v:ext="edit" aspectratio="f"/>
                <v:textbox>
                  <w:txbxContent>
                    <w:p w14:paraId="675EA1A6">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p w14:paraId="726601EA">
                      <w:pPr>
                        <w:rPr>
                          <w:lang w:eastAsia="zh-CN"/>
                        </w:rPr>
                      </w:pPr>
                    </w:p>
                  </w:txbxContent>
                </v:textbox>
              </v:shape>
            </w:pict>
          </mc:Fallback>
        </mc:AlternateContent>
      </w:r>
      <w:r>
        <w:rPr>
          <w:rFonts w:hint="eastAsia" w:ascii="仿宋" w:hAnsi="仿宋" w:eastAsia="仿宋" w:cs="仿宋"/>
          <w:color w:val="auto"/>
          <w:highlight w:val="none"/>
          <w:lang w:eastAsia="zh-CN"/>
        </w:rPr>
        <w:t>承包人在工程勘察工作开始日期前，应对发包人及设计顾问人的勘察要求和所提供的项目基础资料或其他途径得到的现场资料的完备性和正确性进行核实，发现错漏应及时提请发包人补充完善。因发包人要求和所提供的资料存在错漏，但发包人未按承包人要求补充完善，导致工程存在缺陷或事故，责任由发包人承担。</w:t>
      </w:r>
    </w:p>
    <w:p w14:paraId="06E4FD91">
      <w:pPr>
        <w:tabs>
          <w:tab w:val="left" w:pos="1320"/>
        </w:tabs>
        <w:spacing w:line="360" w:lineRule="auto"/>
        <w:ind w:right="-7"/>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37.2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3DFC921">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rPr>
        <mc:AlternateContent>
          <mc:Choice Requires="wps">
            <w:drawing>
              <wp:anchor distT="0" distB="0" distL="114300" distR="114300" simplePos="0" relativeHeight="251812864" behindDoc="0" locked="0" layoutInCell="1" allowOverlap="1">
                <wp:simplePos x="0" y="0"/>
                <wp:positionH relativeFrom="column">
                  <wp:posOffset>-95250</wp:posOffset>
                </wp:positionH>
                <wp:positionV relativeFrom="paragraph">
                  <wp:posOffset>62865</wp:posOffset>
                </wp:positionV>
                <wp:extent cx="765810" cy="683895"/>
                <wp:effectExtent l="0" t="0" r="0" b="0"/>
                <wp:wrapNone/>
                <wp:docPr id="151" name="00019a"/>
                <wp:cNvGraphicFramePr/>
                <a:graphic xmlns:a="http://schemas.openxmlformats.org/drawingml/2006/main">
                  <a:graphicData uri="http://schemas.microsoft.com/office/word/2010/wordprocessingShape">
                    <wps:wsp>
                      <wps:cNvSpPr txBox="1"/>
                      <wps:spPr>
                        <a:xfrm>
                          <a:off x="0" y="0"/>
                          <a:ext cx="765810" cy="683895"/>
                        </a:xfrm>
                        <a:prstGeom prst="rect">
                          <a:avLst/>
                        </a:prstGeom>
                        <a:noFill/>
                        <a:ln>
                          <a:noFill/>
                        </a:ln>
                        <a:effectLst/>
                      </wps:spPr>
                      <wps:txbx>
                        <w:txbxContent>
                          <w:p w14:paraId="69C6824D">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p w14:paraId="2E34AFA7">
                            <w:pPr>
                              <w:rPr>
                                <w:lang w:eastAsia="zh-CN"/>
                              </w:rPr>
                            </w:pPr>
                          </w:p>
                        </w:txbxContent>
                      </wps:txbx>
                      <wps:bodyPr wrap="square" upright="1"/>
                    </wps:wsp>
                  </a:graphicData>
                </a:graphic>
              </wp:anchor>
            </w:drawing>
          </mc:Choice>
          <mc:Fallback>
            <w:pict>
              <v:shape id="00019a" o:spid="_x0000_s1026" o:spt="202" type="#_x0000_t202" style="position:absolute;left:0pt;margin-left:-7.5pt;margin-top:4.95pt;height:53.85pt;width:60.3pt;z-index:251812864;mso-width-relative:page;mso-height-relative:page;" filled="f" stroked="f" coordsize="21600,21600" o:gfxdata="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eW/CjWAAAACQEA&#10;AA8AAAAAAAAAAQAgAAAAIgAAAGRycy9kb3ducmV2LnhtbFBLAQIUABQAAAAIAIdO4kCxDGmcqgEA&#10;AGYDAAAOAAAAAAAAAAEAIAAAACUBAABkcnMvZTJvRG9jLnhtbFBLBQYAAAAABgAGAFkBAABBBQAA&#10;AAA=&#10;">
                <v:fill on="f" focussize="0,0"/>
                <v:stroke on="f"/>
                <v:imagedata o:title=""/>
                <o:lock v:ext="edit" aspectratio="f"/>
                <v:textbox>
                  <w:txbxContent>
                    <w:p w14:paraId="69C6824D">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p w14:paraId="2E34AFA7">
                      <w:pPr>
                        <w:rPr>
                          <w:lang w:eastAsia="zh-CN"/>
                        </w:rPr>
                      </w:pPr>
                    </w:p>
                  </w:txbxContent>
                </v:textbox>
              </v:shape>
            </w:pict>
          </mc:Fallback>
        </mc:AlternateContent>
      </w:r>
      <w:r>
        <w:rPr>
          <w:rFonts w:hint="eastAsia" w:ascii="仿宋" w:hAnsi="仿宋" w:eastAsia="仿宋" w:cs="仿宋"/>
          <w:color w:val="auto"/>
          <w:highlight w:val="none"/>
          <w:lang w:eastAsia="zh-CN"/>
        </w:rPr>
        <w:t>37.2.1承包人应在工程勘察工作开始日期前，编制勘察实施方案及应急预案，并按专用条款约定的时间和份数报发包人审查或备案。发包人在收到承包人勘察报告后，应通知设计顾问人对报告内容予以核实或审核，并在收到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天内予以确定或提出修改意见，逾期不确认也不提出书面意见的，视为同意。</w:t>
      </w:r>
    </w:p>
    <w:p w14:paraId="635BB85B">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37.2.2勘察实施方案应包括项目基本情况、人员安排、工作进度、技术方法、工作量、质量保证体系以及需要发包人配合事项等，并制定环境保护的具体措施，在勘察期间合理保护作业现场环境。</w:t>
      </w:r>
    </w:p>
    <w:p w14:paraId="1331131A">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37.2.3承包人在燃气管道、热力管道、动力设备、输水管道、输电线路、临街交通要道及城市轨道交通隧道、地下通道（地下隧道）附近等风险性较大的地点，以及在易燃易爆地段及放射、有毒环境中进行工程勘察作业时，应编制安全防护方案并制定应急预案报发包人审查或备案。发包人在收到承包人应急预案后，应通知设计顾问人对报告内容予以核实或审核，并在收到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天内予以确定或提出修改意见，逾期不确认也不提出书面意见的，视为无异议。</w:t>
      </w:r>
    </w:p>
    <w:p w14:paraId="5105CC2C">
      <w:pPr>
        <w:tabs>
          <w:tab w:val="left" w:pos="1320"/>
        </w:tabs>
        <w:spacing w:line="360" w:lineRule="auto"/>
        <w:rPr>
          <w:rFonts w:hint="eastAsia" w:ascii="仿宋" w:hAnsi="仿宋" w:eastAsia="仿宋" w:cs="仿宋"/>
          <w:b/>
          <w:color w:val="auto"/>
          <w:highlight w:val="none"/>
          <w:lang w:eastAsia="zh-CN"/>
        </w:rPr>
      </w:pPr>
      <w:r>
        <w:rPr>
          <w:rFonts w:hint="eastAsia" w:ascii="仿宋" w:hAnsi="仿宋" w:eastAsia="仿宋" w:cs="仿宋"/>
          <w:b/>
          <w:color w:val="auto"/>
          <w:highlight w:val="none"/>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310515</wp:posOffset>
                </wp:positionV>
                <wp:extent cx="796925" cy="331470"/>
                <wp:effectExtent l="0" t="0" r="0" b="0"/>
                <wp:wrapNone/>
                <wp:docPr id="152" name="00019b"/>
                <wp:cNvGraphicFramePr/>
                <a:graphic xmlns:a="http://schemas.openxmlformats.org/drawingml/2006/main">
                  <a:graphicData uri="http://schemas.microsoft.com/office/word/2010/wordprocessingShape">
                    <wps:wsp>
                      <wps:cNvSpPr txBox="1"/>
                      <wps:spPr>
                        <a:xfrm>
                          <a:off x="0" y="0"/>
                          <a:ext cx="796925" cy="331470"/>
                        </a:xfrm>
                        <a:prstGeom prst="rect">
                          <a:avLst/>
                        </a:prstGeom>
                        <a:noFill/>
                        <a:ln>
                          <a:noFill/>
                        </a:ln>
                        <a:effectLst/>
                      </wps:spPr>
                      <wps:txbx>
                        <w:txbxContent>
                          <w:p w14:paraId="77F1E182">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p w14:paraId="30CD32AA"/>
                        </w:txbxContent>
                      </wps:txbx>
                      <wps:bodyPr wrap="square" upright="1"/>
                    </wps:wsp>
                  </a:graphicData>
                </a:graphic>
              </wp:anchor>
            </w:drawing>
          </mc:Choice>
          <mc:Fallback>
            <w:pict>
              <v:shape id="00019b" o:spid="_x0000_s1026" o:spt="202" type="#_x0000_t202" style="position:absolute;left:0pt;margin-left:-9pt;margin-top:24.45pt;height:26.1pt;width:62.75pt;z-index:251813888;mso-width-relative:page;mso-height-relative:page;" filled="f" stroked="f" coordsize="21600,21600" o:gfxdata="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obq6j1wAA&#10;AAoBAAAPAAAAAAAAAAEAIAAAACIAAABkcnMvZG93bnJldi54bWxQSwECFAAUAAAACACHTuJA76yN&#10;V60BAABmAwAADgAAAAAAAAABACAAAAAmAQAAZHJzL2Uyb0RvYy54bWxQSwUGAAAAAAYABgBZAQAA&#10;RQUAAAAA&#10;">
                <v:fill on="f" focussize="0,0"/>
                <v:stroke on="f"/>
                <v:imagedata o:title=""/>
                <o:lock v:ext="edit" aspectratio="f"/>
                <v:textbox>
                  <w:txbxContent>
                    <w:p w14:paraId="77F1E182">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p w14:paraId="30CD32AA"/>
                  </w:txbxContent>
                </v:textbox>
              </v:shape>
            </w:pict>
          </mc:Fallback>
        </mc:AlternateContent>
      </w:r>
      <w:r>
        <w:rPr>
          <w:rFonts w:hint="eastAsia" w:ascii="仿宋" w:hAnsi="仿宋" w:eastAsia="仿宋" w:cs="仿宋"/>
          <w:b/>
          <w:color w:val="auto"/>
          <w:highlight w:val="none"/>
          <w:lang w:eastAsia="zh-CN"/>
        </w:rPr>
        <w:t>37.3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402612A">
      <w:pPr>
        <w:widowControl w:val="0"/>
        <w:tabs>
          <w:tab w:val="left" w:pos="4970"/>
        </w:tabs>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37.3.1承包人应根据发包人审查批准或备案的勘察实施方案及应急预案、发包人及要求、设计顾问人指示并依据有关技术标准进行工程勘察工作。</w:t>
      </w:r>
    </w:p>
    <w:p w14:paraId="0987CB16">
      <w:pPr>
        <w:tabs>
          <w:tab w:val="left" w:pos="4970"/>
        </w:tabs>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37.3.2承包人应核查并在勘察报告及后续设计文件中明示工程项目工程场地范围内城市轨道交通隧道、给水管道、燃气管道等分布情况。</w:t>
      </w:r>
    </w:p>
    <w:p w14:paraId="529527CA">
      <w:pPr>
        <w:tabs>
          <w:tab w:val="left" w:pos="4970"/>
        </w:tabs>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37.3.3勘察现场遇到地下文物时，承包人应及时向发包人和文物主管部门报告并妥善保护。</w:t>
      </w:r>
    </w:p>
    <w:p w14:paraId="6F8B0E5A">
      <w:pPr>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37.3.4发包人应为承包人进入勘察工作现场提供必要的条件和协助，因发包人不能按时提供勘察工作现场，导致的工期延误及费用增加，责任由发包人承担。</w:t>
      </w:r>
    </w:p>
    <w:p w14:paraId="6E03AEA1">
      <w:pPr>
        <w:spacing w:line="360" w:lineRule="auto"/>
        <w:ind w:left="1687" w:hanging="1687" w:hangingChars="700"/>
        <w:rPr>
          <w:rFonts w:hint="eastAsia" w:ascii="仿宋" w:hAnsi="仿宋" w:eastAsia="仿宋" w:cs="仿宋"/>
          <w:color w:val="auto"/>
          <w:highlight w:val="none"/>
          <w:lang w:eastAsia="zh-CN"/>
        </w:rPr>
      </w:pPr>
      <w:r>
        <w:rPr>
          <w:rFonts w:hint="eastAsia" w:ascii="仿宋" w:hAnsi="仿宋" w:eastAsia="仿宋" w:cs="仿宋"/>
          <w:b/>
          <w:bCs/>
          <w:color w:val="auto"/>
          <w:highlight w:val="none"/>
        </w:rPr>
        <mc:AlternateContent>
          <mc:Choice Requires="wps">
            <w:drawing>
              <wp:anchor distT="0" distB="0" distL="114300" distR="114300" simplePos="0" relativeHeight="251814912" behindDoc="0" locked="0" layoutInCell="1" allowOverlap="1">
                <wp:simplePos x="0" y="0"/>
                <wp:positionH relativeFrom="column">
                  <wp:posOffset>-76200</wp:posOffset>
                </wp:positionH>
                <wp:positionV relativeFrom="paragraph">
                  <wp:posOffset>285750</wp:posOffset>
                </wp:positionV>
                <wp:extent cx="796925" cy="378460"/>
                <wp:effectExtent l="0" t="0" r="0" b="0"/>
                <wp:wrapNone/>
                <wp:docPr id="153" name="00019c"/>
                <wp:cNvGraphicFramePr/>
                <a:graphic xmlns:a="http://schemas.openxmlformats.org/drawingml/2006/main">
                  <a:graphicData uri="http://schemas.microsoft.com/office/word/2010/wordprocessingShape">
                    <wps:wsp>
                      <wps:cNvSpPr txBox="1"/>
                      <wps:spPr>
                        <a:xfrm>
                          <a:off x="0" y="0"/>
                          <a:ext cx="796925" cy="378460"/>
                        </a:xfrm>
                        <a:prstGeom prst="rect">
                          <a:avLst/>
                        </a:prstGeom>
                        <a:noFill/>
                        <a:ln>
                          <a:noFill/>
                        </a:ln>
                        <a:effectLst/>
                      </wps:spPr>
                      <wps:txbx>
                        <w:txbxContent>
                          <w:p w14:paraId="242CBB2F">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p w14:paraId="509AC08E"/>
                        </w:txbxContent>
                      </wps:txbx>
                      <wps:bodyPr wrap="square" upright="1"/>
                    </wps:wsp>
                  </a:graphicData>
                </a:graphic>
              </wp:anchor>
            </w:drawing>
          </mc:Choice>
          <mc:Fallback>
            <w:pict>
              <v:shape id="00019c" o:spid="_x0000_s1026" o:spt="202" type="#_x0000_t202" style="position:absolute;left:0pt;margin-left:-6pt;margin-top:22.5pt;height:29.8pt;width:62.75pt;z-index:251814912;mso-width-relative:page;mso-height-relative:page;" filled="f" stroked="f" coordsize="21600,21600" o:gfxdata="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HEyYj1wAA&#10;AAoBAAAPAAAAAAAAAAEAIAAAACIAAABkcnMvZG93bnJldi54bWxQSwECFAAUAAAACACHTuJARHq1&#10;W60BAABmAwAADgAAAAAAAAABACAAAAAmAQAAZHJzL2Uyb0RvYy54bWxQSwUGAAAAAAYABgBZAQAA&#10;RQUAAAAA&#10;">
                <v:fill on="f" focussize="0,0"/>
                <v:stroke on="f"/>
                <v:imagedata o:title=""/>
                <o:lock v:ext="edit" aspectratio="f"/>
                <v:textbox>
                  <w:txbxContent>
                    <w:p w14:paraId="242CBB2F">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p w14:paraId="509AC08E"/>
                  </w:txbxContent>
                </v:textbox>
              </v:shape>
            </w:pict>
          </mc:Fallback>
        </mc:AlternateContent>
      </w:r>
      <w:r>
        <w:rPr>
          <w:rFonts w:hint="eastAsia" w:ascii="仿宋" w:hAnsi="仿宋" w:eastAsia="仿宋" w:cs="仿宋"/>
          <w:b/>
          <w:bCs/>
          <w:color w:val="auto"/>
          <w:highlight w:val="none"/>
          <w:lang w:eastAsia="zh-CN"/>
        </w:rPr>
        <w:t>37.4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BBFA9E9">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37.4.1承包人向发包人提交合格的勘察报告的方式、数量和时间，由双方在专用条款中约定。发包人要求增加的勘察报告，费用由发包人承担；承包人内部使用的勘察报告，其费用由承包人自己承担。</w:t>
      </w:r>
    </w:p>
    <w:p w14:paraId="14F9910C">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37.4.2承包人完成勘察工作并提交勘察报告后，发包人应及时组织设计顾问人、监理人和承包人进行验收。发包人应及时签收勘察报告、确认勘察工作完成时间，并按专用条款约定计付工程勘察费。</w:t>
      </w:r>
    </w:p>
    <w:p w14:paraId="120959D5">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37.4.3政府部门审查或</w:t>
      </w:r>
    </w:p>
    <w:p w14:paraId="7C2AA99E">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37.4.3.1承包人的勘察报告需政府有关部门或施工图审查机构审查或批准的，发包人应在审查同意后7天内，向政府有关部门或施工图审查机构报送勘察报告，承包人应</w:t>
      </w:r>
      <w:r>
        <w:rPr>
          <w:rFonts w:ascii="仿宋" w:hAnsi="仿宋" w:eastAsia="仿宋"/>
          <w:color w:val="auto"/>
          <w:highlight w:val="none"/>
          <w:lang w:eastAsia="zh-CN"/>
        </w:rPr>
        <w:t>予以</w:t>
      </w:r>
      <w:r>
        <w:rPr>
          <w:rFonts w:hint="eastAsia" w:ascii="仿宋" w:hAnsi="仿宋" w:eastAsia="仿宋"/>
          <w:color w:val="auto"/>
          <w:highlight w:val="none"/>
          <w:lang w:eastAsia="zh-CN"/>
        </w:rPr>
        <w:t>协助。</w:t>
      </w:r>
    </w:p>
    <w:p w14:paraId="0E39BC62">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37.4.3.2</w:t>
      </w:r>
      <w:r>
        <w:rPr>
          <w:rFonts w:ascii="仿宋" w:hAnsi="仿宋" w:eastAsia="仿宋"/>
          <w:color w:val="auto"/>
          <w:highlight w:val="none"/>
          <w:lang w:eastAsia="zh-CN"/>
        </w:rPr>
        <w:t>发包人</w:t>
      </w:r>
      <w:r>
        <w:rPr>
          <w:rFonts w:hint="eastAsia" w:ascii="仿宋" w:hAnsi="仿宋" w:eastAsia="仿宋"/>
          <w:color w:val="auto"/>
          <w:highlight w:val="none"/>
          <w:lang w:eastAsia="zh-CN"/>
        </w:rPr>
        <w:t>应</w:t>
      </w:r>
      <w:r>
        <w:rPr>
          <w:rFonts w:ascii="仿宋" w:hAnsi="仿宋" w:eastAsia="仿宋"/>
          <w:color w:val="auto"/>
          <w:highlight w:val="none"/>
          <w:lang w:eastAsia="zh-CN"/>
        </w:rPr>
        <w:t>向承包人提供</w:t>
      </w:r>
      <w:r>
        <w:rPr>
          <w:rFonts w:hint="eastAsia" w:ascii="仿宋" w:hAnsi="仿宋" w:eastAsia="仿宋"/>
          <w:color w:val="auto"/>
          <w:highlight w:val="none"/>
          <w:lang w:eastAsia="zh-CN"/>
        </w:rPr>
        <w:t>政府有关部门或施工图审查机构</w:t>
      </w:r>
      <w:r>
        <w:rPr>
          <w:rFonts w:ascii="仿宋" w:hAnsi="仿宋" w:eastAsia="仿宋"/>
          <w:color w:val="auto"/>
          <w:highlight w:val="none"/>
          <w:lang w:eastAsia="zh-CN"/>
        </w:rPr>
        <w:t>的批准文件和</w:t>
      </w:r>
      <w:r>
        <w:rPr>
          <w:rFonts w:hint="eastAsia" w:ascii="仿宋" w:hAnsi="仿宋" w:eastAsia="仿宋"/>
          <w:color w:val="auto"/>
          <w:highlight w:val="none"/>
          <w:lang w:eastAsia="zh-CN"/>
        </w:rPr>
        <w:t>审查会议</w:t>
      </w:r>
      <w:r>
        <w:rPr>
          <w:rFonts w:ascii="仿宋" w:hAnsi="仿宋" w:eastAsia="仿宋"/>
          <w:color w:val="auto"/>
          <w:highlight w:val="none"/>
          <w:lang w:eastAsia="zh-CN"/>
        </w:rPr>
        <w:t>纪要</w:t>
      </w:r>
      <w:r>
        <w:rPr>
          <w:rFonts w:hint="eastAsia" w:ascii="仿宋" w:hAnsi="仿宋" w:eastAsia="仿宋"/>
          <w:color w:val="auto"/>
          <w:highlight w:val="none"/>
          <w:lang w:eastAsia="zh-CN"/>
        </w:rPr>
        <w:t>。</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应按照相关审查批准文件和纪要对勘察报告进行补充、修改和完善。</w:t>
      </w:r>
    </w:p>
    <w:p w14:paraId="18B22485">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37.4.3.3经政府有关部门或</w:t>
      </w:r>
      <w:r>
        <w:rPr>
          <w:rFonts w:ascii="仿宋" w:hAnsi="仿宋" w:eastAsia="仿宋"/>
          <w:color w:val="auto"/>
          <w:highlight w:val="none"/>
          <w:lang w:eastAsia="zh-CN"/>
        </w:rPr>
        <w:t>施工图</w:t>
      </w:r>
      <w:r>
        <w:rPr>
          <w:rFonts w:hint="eastAsia" w:ascii="仿宋" w:hAnsi="仿宋" w:eastAsia="仿宋"/>
          <w:color w:val="auto"/>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审查机构审查，需要修改发包人要求的，发包人应重新提出发包人要求，通知承包人相应修改设计文件，并重新送审，承包人可根据第63条约定提出变更申请，由发包人承担增加的工程费或工程勘察费。</w:t>
      </w:r>
    </w:p>
    <w:p w14:paraId="43DB216E">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37.4.4</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勘察报告</w:t>
      </w:r>
      <w:r>
        <w:rPr>
          <w:rFonts w:ascii="仿宋" w:hAnsi="仿宋" w:eastAsia="仿宋"/>
          <w:color w:val="auto"/>
          <w:highlight w:val="none"/>
          <w:lang w:eastAsia="zh-CN"/>
        </w:rPr>
        <w:t>存在遗漏、错误和不足的，承包人应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因此对后续设计、采购、施工等造成的工期延误及费用增加由承包人承担。</w:t>
      </w:r>
    </w:p>
    <w:p w14:paraId="3C9CA220">
      <w:pPr>
        <w:spacing w:line="360" w:lineRule="auto"/>
        <w:ind w:left="1687" w:hanging="1687" w:hangingChars="7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37.5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A157F08">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b/>
          <w:bCs/>
          <w:color w:val="auto"/>
          <w:highlight w:val="none"/>
        </w:rPr>
        <mc:AlternateContent>
          <mc:Choice Requires="wps">
            <w:drawing>
              <wp:anchor distT="0" distB="0" distL="114300" distR="114300" simplePos="0" relativeHeight="251815936" behindDoc="0" locked="0" layoutInCell="1" allowOverlap="1">
                <wp:simplePos x="0" y="0"/>
                <wp:positionH relativeFrom="column">
                  <wp:posOffset>-76200</wp:posOffset>
                </wp:positionH>
                <wp:positionV relativeFrom="paragraph">
                  <wp:posOffset>13970</wp:posOffset>
                </wp:positionV>
                <wp:extent cx="826135" cy="581025"/>
                <wp:effectExtent l="0" t="0" r="0" b="0"/>
                <wp:wrapNone/>
                <wp:docPr id="154" name="00019d"/>
                <wp:cNvGraphicFramePr/>
                <a:graphic xmlns:a="http://schemas.openxmlformats.org/drawingml/2006/main">
                  <a:graphicData uri="http://schemas.microsoft.com/office/word/2010/wordprocessingShape">
                    <wps:wsp>
                      <wps:cNvSpPr txBox="1"/>
                      <wps:spPr>
                        <a:xfrm>
                          <a:off x="0" y="0"/>
                          <a:ext cx="826135" cy="581025"/>
                        </a:xfrm>
                        <a:prstGeom prst="rect">
                          <a:avLst/>
                        </a:prstGeom>
                        <a:noFill/>
                        <a:ln>
                          <a:noFill/>
                        </a:ln>
                        <a:effectLst/>
                      </wps:spPr>
                      <wps:txbx>
                        <w:txbxContent>
                          <w:p w14:paraId="2FC02CD4">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p w14:paraId="537719E7"/>
                        </w:txbxContent>
                      </wps:txbx>
                      <wps:bodyPr wrap="square" upright="1"/>
                    </wps:wsp>
                  </a:graphicData>
                </a:graphic>
              </wp:anchor>
            </w:drawing>
          </mc:Choice>
          <mc:Fallback>
            <w:pict>
              <v:shape id="00019d" o:spid="_x0000_s1026" o:spt="202" type="#_x0000_t202" style="position:absolute;left:0pt;margin-left:-6pt;margin-top:1.1pt;height:45.75pt;width:65.05pt;z-index:251815936;mso-width-relative:page;mso-height-relative:page;" filled="f" stroked="f" coordsize="21600,21600" o:gfxdata="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T8JsI1gAAAAgB&#10;AAAPAAAAAAAAAAEAIAAAACIAAABkcnMvZG93bnJldi54bWxQSwECFAAUAAAACACHTuJAaNFSu6sB&#10;AABmAwAADgAAAAAAAAABACAAAAAlAQAAZHJzL2Uyb0RvYy54bWxQSwUGAAAAAAYABgBZAQAAQgUA&#10;AAAA&#10;">
                <v:fill on="f" focussize="0,0"/>
                <v:stroke on="f"/>
                <v:imagedata o:title=""/>
                <o:lock v:ext="edit" aspectratio="f"/>
                <v:textbox>
                  <w:txbxContent>
                    <w:p w14:paraId="2FC02CD4">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p w14:paraId="537719E7"/>
                  </w:txbxContent>
                </v:textbox>
              </v:shape>
            </w:pict>
          </mc:Fallback>
        </mc:AlternateContent>
      </w:r>
      <w:r>
        <w:rPr>
          <w:rFonts w:hint="eastAsia" w:ascii="仿宋" w:hAnsi="仿宋" w:eastAsia="仿宋" w:cs="仿宋"/>
          <w:color w:val="auto"/>
          <w:highlight w:val="none"/>
          <w:lang w:eastAsia="zh-CN"/>
        </w:rPr>
        <w:t>承包人完成勘察阶段的工作并提交勘察报告后，应组织设计人员及施工人员开展相关工作，解释相关数据，并根据后续设计及施工需要补充勘察或修正勘察成果，因此增加的费用由承包人自行承担。</w:t>
      </w:r>
    </w:p>
    <w:p w14:paraId="25E3A864">
      <w:pPr>
        <w:spacing w:line="360" w:lineRule="auto"/>
        <w:rPr>
          <w:rFonts w:hint="eastAsia" w:ascii="仿宋" w:hAnsi="仿宋" w:eastAsia="仿宋" w:cs="仿宋"/>
          <w:color w:val="auto"/>
          <w:highlight w:val="none"/>
          <w:lang w:eastAsia="zh-CN"/>
        </w:rPr>
      </w:pPr>
      <w:r>
        <w:rPr>
          <w:rFonts w:ascii="仿宋" w:hAnsi="仿宋" w:eastAsia="仿宋" w:cs="仿宋"/>
          <w:b/>
          <w:bCs/>
          <w:color w:val="auto"/>
          <w:highlight w:val="none"/>
          <w:u w:val="single"/>
          <w:lang w:eastAsia="zh-CN"/>
        </w:rPr>
        <w:t xml:space="preserve">                                                                                     </w:t>
      </w:r>
    </w:p>
    <w:p w14:paraId="10A1C298">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585" w:name="_Toc17447"/>
      <w:bookmarkStart w:id="586" w:name="_Toc29813"/>
      <w:bookmarkStart w:id="587" w:name="_Toc23139"/>
      <w:bookmarkStart w:id="588" w:name="_Toc23791"/>
      <w:bookmarkStart w:id="589" w:name="_Toc3629"/>
      <w:bookmarkStart w:id="590" w:name="_Toc18821"/>
      <w:bookmarkStart w:id="591" w:name="_Toc22816"/>
      <w:bookmarkStart w:id="592" w:name="_Toc47694311"/>
      <w:r>
        <w:rPr>
          <w:rFonts w:hint="eastAsia" w:ascii="仿宋" w:hAnsi="仿宋" w:eastAsia="仿宋" w:cs="仿宋"/>
          <w:bCs w:val="0"/>
          <w:color w:val="auto"/>
          <w:sz w:val="24"/>
          <w:szCs w:val="24"/>
          <w:highlight w:val="none"/>
          <w:lang w:eastAsia="zh-CN"/>
        </w:rPr>
        <w:t>38  工程设计</w:t>
      </w:r>
      <w:bookmarkEnd w:id="585"/>
      <w:bookmarkEnd w:id="586"/>
      <w:bookmarkEnd w:id="587"/>
      <w:bookmarkEnd w:id="588"/>
      <w:bookmarkEnd w:id="589"/>
      <w:bookmarkEnd w:id="590"/>
      <w:bookmarkEnd w:id="591"/>
      <w:bookmarkEnd w:id="592"/>
    </w:p>
    <w:p w14:paraId="258063E8">
      <w:pPr>
        <w:tabs>
          <w:tab w:val="left" w:pos="4970"/>
        </w:tabs>
        <w:spacing w:line="360" w:lineRule="auto"/>
        <w:rPr>
          <w:rFonts w:hint="eastAsia" w:ascii="仿宋" w:hAnsi="仿宋" w:eastAsia="仿宋"/>
          <w:b/>
          <w:bCs/>
          <w:color w:val="auto"/>
          <w:highlight w:val="none"/>
          <w:lang w:eastAsia="zh-CN"/>
        </w:rPr>
      </w:pPr>
      <w:r>
        <w:rPr>
          <w:b/>
          <w:bCs/>
          <w:color w:val="auto"/>
          <w:highlight w:val="none"/>
        </w:rPr>
        <mc:AlternateContent>
          <mc:Choice Requires="wps">
            <w:drawing>
              <wp:anchor distT="0" distB="0" distL="114300" distR="114300" simplePos="0" relativeHeight="251816960" behindDoc="0" locked="0" layoutInCell="1" allowOverlap="1">
                <wp:simplePos x="0" y="0"/>
                <wp:positionH relativeFrom="column">
                  <wp:posOffset>-121920</wp:posOffset>
                </wp:positionH>
                <wp:positionV relativeFrom="paragraph">
                  <wp:posOffset>281305</wp:posOffset>
                </wp:positionV>
                <wp:extent cx="842645" cy="465455"/>
                <wp:effectExtent l="0" t="0" r="0" b="0"/>
                <wp:wrapNone/>
                <wp:docPr id="155" name="00019e"/>
                <wp:cNvGraphicFramePr/>
                <a:graphic xmlns:a="http://schemas.openxmlformats.org/drawingml/2006/main">
                  <a:graphicData uri="http://schemas.microsoft.com/office/word/2010/wordprocessingShape">
                    <wps:wsp>
                      <wps:cNvSpPr txBox="1"/>
                      <wps:spPr>
                        <a:xfrm>
                          <a:off x="0" y="0"/>
                          <a:ext cx="842645" cy="465455"/>
                        </a:xfrm>
                        <a:prstGeom prst="rect">
                          <a:avLst/>
                        </a:prstGeom>
                        <a:noFill/>
                        <a:ln>
                          <a:noFill/>
                        </a:ln>
                        <a:effectLst/>
                      </wps:spPr>
                      <wps:txbx>
                        <w:txbxContent>
                          <w:p w14:paraId="236FD64D">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p w14:paraId="0F7F384F"/>
                        </w:txbxContent>
                      </wps:txbx>
                      <wps:bodyPr wrap="square" upright="1"/>
                    </wps:wsp>
                  </a:graphicData>
                </a:graphic>
              </wp:anchor>
            </w:drawing>
          </mc:Choice>
          <mc:Fallback>
            <w:pict>
              <v:shape id="00019e" o:spid="_x0000_s1026" o:spt="202" type="#_x0000_t202" style="position:absolute;left:0pt;margin-left:-9.6pt;margin-top:22.15pt;height:36.65pt;width:66.35pt;z-index:251816960;mso-width-relative:page;mso-height-relative:page;" filled="f" stroked="f" coordsize="21600,21600" o:gfxdata="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nNRWQ1wAAAAoB&#10;AAAPAAAAAAAAAAEAIAAAACIAAABkcnMvZG93bnJldi54bWxQSwECFAAUAAAACACHTuJApDz88KoB&#10;AABmAwAADgAAAAAAAAABACAAAAAmAQAAZHJzL2Uyb0RvYy54bWxQSwUGAAAAAAYABgBZAQAAQgUA&#10;AAAA&#10;">
                <v:fill on="f" focussize="0,0"/>
                <v:stroke on="f"/>
                <v:imagedata o:title=""/>
                <o:lock v:ext="edit" aspectratio="f"/>
                <v:textbox>
                  <w:txbxContent>
                    <w:p w14:paraId="236FD64D">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p w14:paraId="0F7F384F"/>
                  </w:txbxContent>
                </v:textbox>
              </v:shape>
            </w:pict>
          </mc:Fallback>
        </mc:AlternateContent>
      </w:r>
      <w:r>
        <w:rPr>
          <w:rFonts w:hint="eastAsia" w:ascii="仿宋" w:hAnsi="仿宋" w:eastAsia="仿宋"/>
          <w:b/>
          <w:bCs/>
          <w:color w:val="auto"/>
          <w:highlight w:val="none"/>
          <w:lang w:eastAsia="zh-CN"/>
        </w:rPr>
        <w:t>38.1</w:t>
      </w:r>
    </w:p>
    <w:p w14:paraId="31AB6A1F">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但发包人未按承包人要求补充完善，导致工程存在缺陷或发生事故，责任由发包人承担。</w:t>
      </w:r>
    </w:p>
    <w:p w14:paraId="7B413B5E">
      <w:pPr>
        <w:tabs>
          <w:tab w:val="left" w:pos="4970"/>
        </w:tabs>
        <w:spacing w:line="360" w:lineRule="auto"/>
        <w:rPr>
          <w:rFonts w:hint="eastAsia" w:ascii="仿宋" w:hAnsi="仿宋" w:eastAsia="仿宋"/>
          <w:color w:val="auto"/>
          <w:highlight w:val="none"/>
          <w:lang w:eastAsia="zh-CN"/>
        </w:rPr>
      </w:pPr>
      <w:r>
        <w:rPr>
          <w:rFonts w:hint="eastAsia" w:ascii="仿宋" w:hAnsi="仿宋" w:eastAsia="仿宋"/>
          <w:b/>
          <w:bCs/>
          <w:color w:val="auto"/>
          <w:highlight w:val="none"/>
          <w:lang w:eastAsia="zh-CN"/>
        </w:rPr>
        <w:t>38.2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9B91FB0">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17984" behindDoc="0" locked="0" layoutInCell="1" allowOverlap="1">
                <wp:simplePos x="0" y="0"/>
                <wp:positionH relativeFrom="column">
                  <wp:posOffset>-113665</wp:posOffset>
                </wp:positionH>
                <wp:positionV relativeFrom="paragraph">
                  <wp:posOffset>9525</wp:posOffset>
                </wp:positionV>
                <wp:extent cx="823595" cy="504825"/>
                <wp:effectExtent l="0" t="0" r="0" b="0"/>
                <wp:wrapNone/>
                <wp:docPr id="156" name="00019f"/>
                <wp:cNvGraphicFramePr/>
                <a:graphic xmlns:a="http://schemas.openxmlformats.org/drawingml/2006/main">
                  <a:graphicData uri="http://schemas.microsoft.com/office/word/2010/wordprocessingShape">
                    <wps:wsp>
                      <wps:cNvSpPr txBox="1"/>
                      <wps:spPr>
                        <a:xfrm>
                          <a:off x="0" y="0"/>
                          <a:ext cx="823595" cy="504825"/>
                        </a:xfrm>
                        <a:prstGeom prst="rect">
                          <a:avLst/>
                        </a:prstGeom>
                        <a:noFill/>
                        <a:ln>
                          <a:noFill/>
                        </a:ln>
                        <a:effectLst/>
                      </wps:spPr>
                      <wps:txbx>
                        <w:txbxContent>
                          <w:p w14:paraId="1D177850">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p w14:paraId="19F275A9"/>
                        </w:txbxContent>
                      </wps:txbx>
                      <wps:bodyPr wrap="square" upright="1"/>
                    </wps:wsp>
                  </a:graphicData>
                </a:graphic>
              </wp:anchor>
            </w:drawing>
          </mc:Choice>
          <mc:Fallback>
            <w:pict>
              <v:shape id="00019f" o:spid="_x0000_s1026" o:spt="202" type="#_x0000_t202" style="position:absolute;left:0pt;margin-left:-8.95pt;margin-top:0.75pt;height:39.75pt;width:64.85pt;z-index:251817984;mso-width-relative:page;mso-height-relative:page;" filled="f" stroked="f" coordsize="21600,21600" o:gfxdata="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fY4yHVAAAACAEA&#10;AA8AAAAAAAAAAQAgAAAAIgAAAGRycy9kb3ducmV2LnhtbFBLAQIUABQAAAAIAIdO4kDF5MlRqwEA&#10;AGYDAAAOAAAAAAAAAAEAIAAAACQBAABkcnMvZTJvRG9jLnhtbFBLBQYAAAAABgAGAFkBAABBBQAA&#10;AAA=&#10;">
                <v:fill on="f" focussize="0,0"/>
                <v:stroke on="f"/>
                <v:imagedata o:title=""/>
                <o:lock v:ext="edit" aspectratio="f"/>
                <v:textbox>
                  <w:txbxContent>
                    <w:p w14:paraId="1D177850">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p w14:paraId="19F275A9"/>
                  </w:txbxContent>
                </v:textbox>
              </v:shape>
            </w:pict>
          </mc:Fallback>
        </mc:AlternateContent>
      </w:r>
      <w:r>
        <w:rPr>
          <w:rFonts w:hint="eastAsia" w:ascii="仿宋" w:hAnsi="仿宋" w:eastAsia="仿宋" w:cs="仿宋"/>
          <w:color w:val="auto"/>
          <w:highlight w:val="none"/>
          <w:lang w:eastAsia="zh-CN"/>
        </w:rPr>
        <w:t>38.2.1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天内予以确定或提出修改意见，逾期不确认也不提出书面意见的，视为同意。</w:t>
      </w:r>
    </w:p>
    <w:p w14:paraId="3DFDF36B">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38.2.2设计实施方案应包括项目基本情况、人员安排、工作进度、技术标准、工作量、质量保证体系以及需要发包人配合事项等。</w:t>
      </w:r>
    </w:p>
    <w:p w14:paraId="4FB7B156">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38.3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43E87F6">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olor w:val="auto"/>
          <w:highlight w:val="none"/>
        </w:rPr>
        <mc:AlternateContent>
          <mc:Choice Requires="wps">
            <w:drawing>
              <wp:anchor distT="0" distB="0" distL="114300" distR="114300" simplePos="0" relativeHeight="251819008" behindDoc="0" locked="0" layoutInCell="1" allowOverlap="1">
                <wp:simplePos x="0" y="0"/>
                <wp:positionH relativeFrom="column">
                  <wp:posOffset>-101600</wp:posOffset>
                </wp:positionH>
                <wp:positionV relativeFrom="paragraph">
                  <wp:posOffset>18415</wp:posOffset>
                </wp:positionV>
                <wp:extent cx="765810" cy="541020"/>
                <wp:effectExtent l="0" t="0" r="0" b="0"/>
                <wp:wrapNone/>
                <wp:docPr id="157" name="0001a0"/>
                <wp:cNvGraphicFramePr/>
                <a:graphic xmlns:a="http://schemas.openxmlformats.org/drawingml/2006/main">
                  <a:graphicData uri="http://schemas.microsoft.com/office/word/2010/wordprocessingShape">
                    <wps:wsp>
                      <wps:cNvSpPr txBox="1"/>
                      <wps:spPr>
                        <a:xfrm>
                          <a:off x="0" y="0"/>
                          <a:ext cx="765810" cy="541020"/>
                        </a:xfrm>
                        <a:prstGeom prst="rect">
                          <a:avLst/>
                        </a:prstGeom>
                        <a:noFill/>
                        <a:ln>
                          <a:noFill/>
                        </a:ln>
                        <a:effectLst/>
                      </wps:spPr>
                      <wps:txbx>
                        <w:txbxContent>
                          <w:p w14:paraId="3E62CD32">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p w14:paraId="66ACC95B"/>
                        </w:txbxContent>
                      </wps:txbx>
                      <wps:bodyPr wrap="square" upright="1"/>
                    </wps:wsp>
                  </a:graphicData>
                </a:graphic>
              </wp:anchor>
            </w:drawing>
          </mc:Choice>
          <mc:Fallback>
            <w:pict>
              <v:shape id="0001a0" o:spid="_x0000_s1026" o:spt="202" type="#_x0000_t202" style="position:absolute;left:0pt;margin-left:-8pt;margin-top:1.45pt;height:42.6pt;width:60.3pt;z-index:251819008;mso-width-relative:page;mso-height-relative:page;" filled="f" stroked="f" coordsize="21600,21600" o:gfxdata="UEsDBAoAAAAAAIdO4kAAAAAAAAAAAAAAAAAEAAAAZHJzL1BLAwQUAAAACACHTuJAwEulPtY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wEulPtYAAAAIAQAA&#10;DwAAAAAAAAABACAAAAAiAAAAZHJzL2Rvd25yZXYueG1sUEsBAhQAFAAAAAgAh07iQHqlFF2pAQAA&#10;ZgMAAA4AAAAAAAAAAQAgAAAAJQEAAGRycy9lMm9Eb2MueG1sUEsFBgAAAAAGAAYAWQEAAEAFAAAA&#10;AA==&#10;">
                <v:fill on="f" focussize="0,0"/>
                <v:stroke on="f"/>
                <v:imagedata o:title=""/>
                <o:lock v:ext="edit" aspectratio="f"/>
                <v:textbox>
                  <w:txbxContent>
                    <w:p w14:paraId="3E62CD32">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p w14:paraId="66ACC95B"/>
                  </w:txbxContent>
                </v:textbox>
              </v:shape>
            </w:pict>
          </mc:Fallback>
        </mc:AlternateContent>
      </w:r>
      <w:r>
        <w:rPr>
          <w:rFonts w:hint="eastAsia" w:ascii="仿宋" w:hAnsi="仿宋" w:eastAsia="仿宋" w:cs="仿宋"/>
          <w:color w:val="auto"/>
          <w:highlight w:val="none"/>
          <w:lang w:eastAsia="zh-CN"/>
        </w:rPr>
        <w:t>38.3.1承包人应根据发包人审查批准或备案的设计实施方案、发包人要求、设计顾问人指示并遵守有关法律、技术标准进行初步设计和（或）施工图设计。</w:t>
      </w:r>
      <w:r>
        <w:rPr>
          <w:rFonts w:ascii="仿宋" w:hAnsi="仿宋" w:eastAsia="仿宋"/>
          <w:color w:val="auto"/>
          <w:highlight w:val="none"/>
          <w:lang w:eastAsia="zh-CN"/>
        </w:rPr>
        <w:t>适用于发包人按单</w:t>
      </w:r>
      <w:r>
        <w:rPr>
          <w:rFonts w:hint="eastAsia" w:ascii="仿宋" w:hAnsi="仿宋" w:eastAsia="仿宋"/>
          <w:color w:val="auto"/>
          <w:highlight w:val="none"/>
          <w:lang w:eastAsia="zh-CN"/>
        </w:rPr>
        <w:t>项</w:t>
      </w:r>
      <w:r>
        <w:rPr>
          <w:rFonts w:ascii="仿宋" w:hAnsi="仿宋" w:eastAsia="仿宋"/>
          <w:color w:val="auto"/>
          <w:highlight w:val="none"/>
          <w:lang w:eastAsia="zh-CN"/>
        </w:rPr>
        <w:t>工程接收和（或）整个工程接收</w:t>
      </w:r>
      <w:r>
        <w:rPr>
          <w:rFonts w:hint="eastAsia" w:ascii="仿宋" w:hAnsi="仿宋" w:eastAsia="仿宋"/>
          <w:color w:val="auto"/>
          <w:highlight w:val="none"/>
          <w:lang w:eastAsia="zh-CN"/>
        </w:rPr>
        <w:t>的标准和规范，由合同当事人在专用条款中约定</w:t>
      </w:r>
      <w:r>
        <w:rPr>
          <w:rFonts w:ascii="仿宋" w:hAnsi="仿宋" w:eastAsia="仿宋"/>
          <w:color w:val="auto"/>
          <w:highlight w:val="none"/>
          <w:lang w:eastAsia="zh-CN"/>
        </w:rPr>
        <w:t>。</w:t>
      </w:r>
    </w:p>
    <w:p w14:paraId="55C09363">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38.3.2</w:t>
      </w:r>
      <w:r>
        <w:rPr>
          <w:rFonts w:hint="eastAsia" w:ascii="仿宋" w:hAnsi="仿宋" w:eastAsia="仿宋"/>
          <w:color w:val="auto"/>
          <w:highlight w:val="none"/>
          <w:lang w:eastAsia="zh-CN"/>
        </w:rPr>
        <w:t>承包人应按照现行有关工程建设标准规范中设计深度的规定，遵循限额设计原则开展工程设计。承包人的设计应做到功能合理、技术先进、质量可靠、施工安全、绿色环保、经济合理。</w:t>
      </w:r>
    </w:p>
    <w:p w14:paraId="0AC9D1B9">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38.3.3在</w:t>
      </w:r>
      <w:r>
        <w:rPr>
          <w:rFonts w:ascii="仿宋" w:hAnsi="仿宋" w:eastAsia="仿宋"/>
          <w:color w:val="auto"/>
          <w:highlight w:val="none"/>
          <w:lang w:eastAsia="zh-CN"/>
        </w:rPr>
        <w:t>合同实施过程中国家颁布了新的标准或规范时，承包人应向发包人提交有关新标准、新规范的建议书。对其中的强制性标准、规范，承包人应严格遵守，发包人作为变更处理；对于非强制性的标准、规范，</w:t>
      </w:r>
      <w:r>
        <w:rPr>
          <w:rFonts w:hint="eastAsia" w:ascii="仿宋" w:hAnsi="仿宋" w:eastAsia="仿宋"/>
          <w:color w:val="auto"/>
          <w:highlight w:val="none"/>
          <w:lang w:eastAsia="zh-CN"/>
        </w:rPr>
        <w:t>在结构超限审查、初步设计审查、施工图审查、工程验收等无风险的情况下，</w:t>
      </w:r>
      <w:r>
        <w:rPr>
          <w:rFonts w:ascii="仿宋" w:hAnsi="仿宋" w:eastAsia="仿宋"/>
          <w:color w:val="auto"/>
          <w:highlight w:val="none"/>
          <w:lang w:eastAsia="zh-CN"/>
        </w:rPr>
        <w:t>发包人可决定采用或不采用，决定采用时，作为变更处理。</w:t>
      </w:r>
    </w:p>
    <w:p w14:paraId="0CC747B5">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38.3.4工程完工后需要购置设备及工器具以达到生产和运营能力的建筑物或构筑物，承包人的设计应满足其工艺流程、设备配置要求。需要</w:t>
      </w:r>
      <w:r>
        <w:rPr>
          <w:rFonts w:ascii="仿宋" w:hAnsi="仿宋" w:eastAsia="仿宋"/>
          <w:color w:val="auto"/>
          <w:highlight w:val="none"/>
          <w:lang w:eastAsia="zh-CN"/>
        </w:rPr>
        <w:t>专利</w:t>
      </w:r>
      <w:r>
        <w:rPr>
          <w:rFonts w:hint="eastAsia" w:ascii="仿宋" w:hAnsi="仿宋" w:eastAsia="仿宋"/>
          <w:color w:val="auto"/>
          <w:highlight w:val="none"/>
          <w:lang w:eastAsia="zh-CN"/>
        </w:rPr>
        <w:t>人、设备商</w:t>
      </w:r>
      <w:r>
        <w:rPr>
          <w:rFonts w:ascii="仿宋" w:hAnsi="仿宋" w:eastAsia="仿宋"/>
          <w:color w:val="auto"/>
          <w:highlight w:val="none"/>
          <w:lang w:eastAsia="zh-CN"/>
        </w:rPr>
        <w:t>或发包人</w:t>
      </w:r>
      <w:r>
        <w:rPr>
          <w:rFonts w:hint="eastAsia" w:ascii="仿宋" w:hAnsi="仿宋" w:eastAsia="仿宋"/>
          <w:color w:val="auto"/>
          <w:highlight w:val="none"/>
          <w:lang w:eastAsia="zh-CN"/>
        </w:rPr>
        <w:t>提供的相关资料，由双方在专用条款中约定。</w:t>
      </w:r>
    </w:p>
    <w:p w14:paraId="10B0444F">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38.3.5承包人应充分利用BIM技术进行正向设计</w:t>
      </w:r>
      <w:r>
        <w:rPr>
          <w:rFonts w:hint="eastAsia" w:ascii="仿宋" w:hAnsi="仿宋" w:eastAsia="仿宋" w:cs="仿宋"/>
          <w:color w:val="auto"/>
          <w:highlight w:val="none"/>
          <w:lang w:eastAsia="zh-CN"/>
        </w:rPr>
        <w:t>或建模与出图同步完成的设计方式</w:t>
      </w:r>
      <w:r>
        <w:rPr>
          <w:rFonts w:hint="eastAsia" w:ascii="仿宋" w:hAnsi="仿宋" w:eastAsia="仿宋"/>
          <w:color w:val="auto"/>
          <w:highlight w:val="none"/>
          <w:lang w:eastAsia="zh-CN"/>
        </w:rPr>
        <w:t>，通过使用建筑信息模型（BIM），优化设计成果。</w:t>
      </w:r>
    </w:p>
    <w:p w14:paraId="1D63450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38.3.6设计过程中，承包人发现发包人提供的已立项批准或备案可研报告中的建设方案、工艺流程和（或）初步设计存在重大缺陷或需要优化，承包人应及时以书面形式向发包人及设计顾问人提出合理化建议及对工程投资费用或效益的影响程度。若合理化建议被采用，发包人作变更处理，因节约投资或产生预期效益显著，承包人可获得适当的奖励，具体在专用条款中约定。</w:t>
      </w:r>
    </w:p>
    <w:p w14:paraId="270CB917">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820032" behindDoc="0" locked="0" layoutInCell="1" allowOverlap="1">
                <wp:simplePos x="0" y="0"/>
                <wp:positionH relativeFrom="column">
                  <wp:posOffset>-102870</wp:posOffset>
                </wp:positionH>
                <wp:positionV relativeFrom="paragraph">
                  <wp:posOffset>278765</wp:posOffset>
                </wp:positionV>
                <wp:extent cx="813435" cy="617855"/>
                <wp:effectExtent l="0" t="0" r="0" b="0"/>
                <wp:wrapNone/>
                <wp:docPr id="158" name="0001a1"/>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a:noFill/>
                        </a:ln>
                        <a:effectLst/>
                      </wps:spPr>
                      <wps:txbx>
                        <w:txbxContent>
                          <w:p w14:paraId="03D43342">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p w14:paraId="1325F0B8"/>
                        </w:txbxContent>
                      </wps:txbx>
                      <wps:bodyPr wrap="square" upright="1"/>
                    </wps:wsp>
                  </a:graphicData>
                </a:graphic>
              </wp:anchor>
            </w:drawing>
          </mc:Choice>
          <mc:Fallback>
            <w:pict>
              <v:shape id="0001a1" o:spid="_x0000_s1026" o:spt="202" type="#_x0000_t202" style="position:absolute;left:0pt;margin-left:-8.1pt;margin-top:21.95pt;height:48.65pt;width:64.05pt;z-index:251820032;mso-width-relative:page;mso-height-relative:page;" filled="f" stroked="f" coordsize="21600,21600" o:gfxdata="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u4MZB1gAAAAoB&#10;AAAPAAAAAAAAAAEAIAAAACIAAABkcnMvZG93bnJldi54bWxQSwECFAAUAAAACACHTuJAR/TGNasB&#10;AABmAwAADgAAAAAAAAABACAAAAAlAQAAZHJzL2Uyb0RvYy54bWxQSwUGAAAAAAYABgBZAQAAQgUA&#10;AAAA&#10;">
                <v:fill on="f" focussize="0,0"/>
                <v:stroke on="f"/>
                <v:imagedata o:title=""/>
                <o:lock v:ext="edit" aspectratio="f"/>
                <v:textbox>
                  <w:txbxContent>
                    <w:p w14:paraId="03D43342">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p w14:paraId="1325F0B8"/>
                  </w:txbxContent>
                </v:textbox>
              </v:shape>
            </w:pict>
          </mc:Fallback>
        </mc:AlternateContent>
      </w:r>
      <w:r>
        <w:rPr>
          <w:rFonts w:hint="eastAsia" w:ascii="仿宋" w:hAnsi="仿宋" w:eastAsia="仿宋" w:cs="仿宋"/>
          <w:b/>
          <w:bCs/>
          <w:color w:val="auto"/>
          <w:highlight w:val="none"/>
          <w:lang w:eastAsia="zh-CN"/>
        </w:rPr>
        <w:t>38.4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B77D81E">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38.4.1承包人向发包人提交设计文件的方式、数量和时间，由双方在专用条款中约定。发包人要求增加的设计文件，费用由发包人承担；承包人内部使用的设计文件，其费用由承包人自己承担。</w:t>
      </w:r>
    </w:p>
    <w:p w14:paraId="20CE820E">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38.4.2承包人完成初步设计或施工图设计工作并提交设计文件后，发包人和设计顾问人应及时组织评审或审查。发包人和设计顾问人应及时签收初步设计或施工图设计文件、确认初步设计或施工图设计工作完成时间，并按专用条款约定支付工程设计费。</w:t>
      </w:r>
    </w:p>
    <w:p w14:paraId="54637259">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 xml:space="preserve">38.4.3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初步</w:t>
      </w:r>
      <w:r>
        <w:rPr>
          <w:rFonts w:ascii="仿宋" w:hAnsi="仿宋" w:eastAsia="仿宋"/>
          <w:color w:val="auto"/>
          <w:highlight w:val="none"/>
          <w:lang w:eastAsia="zh-CN"/>
        </w:rPr>
        <w:t>设计文件</w:t>
      </w:r>
      <w:r>
        <w:rPr>
          <w:rFonts w:hint="eastAsia" w:ascii="仿宋" w:hAnsi="仿宋" w:eastAsia="仿宋"/>
          <w:color w:val="auto"/>
          <w:highlight w:val="none"/>
          <w:lang w:eastAsia="zh-CN"/>
        </w:rPr>
        <w:t>和（或）施工图</w:t>
      </w:r>
      <w:r>
        <w:rPr>
          <w:rFonts w:ascii="仿宋" w:hAnsi="仿宋" w:eastAsia="仿宋"/>
          <w:color w:val="auto"/>
          <w:highlight w:val="none"/>
          <w:lang w:eastAsia="zh-CN"/>
        </w:rPr>
        <w:t>存在遗漏、错误和不足的，承包人应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因此对后续设计、采购、施工等造成的工期延误及费用增加由承包人承担。</w:t>
      </w:r>
    </w:p>
    <w:p w14:paraId="7A9E2D01">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821056" behindDoc="0" locked="0" layoutInCell="1" allowOverlap="1">
                <wp:simplePos x="0" y="0"/>
                <wp:positionH relativeFrom="column">
                  <wp:posOffset>-102870</wp:posOffset>
                </wp:positionH>
                <wp:positionV relativeFrom="paragraph">
                  <wp:posOffset>278765</wp:posOffset>
                </wp:positionV>
                <wp:extent cx="871220" cy="828675"/>
                <wp:effectExtent l="0" t="0" r="0" b="0"/>
                <wp:wrapNone/>
                <wp:docPr id="159" name="0001a2"/>
                <wp:cNvGraphicFramePr/>
                <a:graphic xmlns:a="http://schemas.openxmlformats.org/drawingml/2006/main">
                  <a:graphicData uri="http://schemas.microsoft.com/office/word/2010/wordprocessingShape">
                    <wps:wsp>
                      <wps:cNvSpPr txBox="1"/>
                      <wps:spPr>
                        <a:xfrm>
                          <a:off x="0" y="0"/>
                          <a:ext cx="871220" cy="828675"/>
                        </a:xfrm>
                        <a:prstGeom prst="rect">
                          <a:avLst/>
                        </a:prstGeom>
                        <a:noFill/>
                        <a:ln>
                          <a:noFill/>
                        </a:ln>
                        <a:effectLst/>
                      </wps:spPr>
                      <wps:txbx>
                        <w:txbxContent>
                          <w:p w14:paraId="7CD6CAF6">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p w14:paraId="07CE251D">
                            <w:pPr>
                              <w:rPr>
                                <w:lang w:eastAsia="zh-CN"/>
                              </w:rPr>
                            </w:pPr>
                          </w:p>
                        </w:txbxContent>
                      </wps:txbx>
                      <wps:bodyPr wrap="square" upright="1"/>
                    </wps:wsp>
                  </a:graphicData>
                </a:graphic>
              </wp:anchor>
            </w:drawing>
          </mc:Choice>
          <mc:Fallback>
            <w:pict>
              <v:shape id="0001a2" o:spid="_x0000_s1026" o:spt="202" type="#_x0000_t202" style="position:absolute;left:0pt;margin-left:-8.1pt;margin-top:21.95pt;height:65.25pt;width:68.6pt;z-index:251821056;mso-width-relative:page;mso-height-relative:page;" filled="f" stroked="f" coordsize="21600,21600" o:gfxdata="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siTXE1wAAAAoB&#10;AAAPAAAAAAAAAAEAIAAAACIAAABkcnMvZG93bnJldi54bWxQSwECFAAUAAAACACHTuJAnjhcP6oB&#10;AABmAwAADgAAAAAAAAABACAAAAAmAQAAZHJzL2Uyb0RvYy54bWxQSwUGAAAAAAYABgBZAQAAQgUA&#10;AAAA&#10;">
                <v:fill on="f" focussize="0,0"/>
                <v:stroke on="f"/>
                <v:imagedata o:title=""/>
                <o:lock v:ext="edit" aspectratio="f"/>
                <v:textbox>
                  <w:txbxContent>
                    <w:p w14:paraId="7CD6CAF6">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p w14:paraId="07CE251D">
                      <w:pPr>
                        <w:rPr>
                          <w:lang w:eastAsia="zh-CN"/>
                        </w:rPr>
                      </w:pPr>
                    </w:p>
                  </w:txbxContent>
                </v:textbox>
              </v:shape>
            </w:pict>
          </mc:Fallback>
        </mc:AlternateContent>
      </w:r>
      <w:r>
        <w:rPr>
          <w:rFonts w:hint="eastAsia" w:ascii="仿宋" w:hAnsi="仿宋" w:eastAsia="仿宋" w:cs="仿宋"/>
          <w:b/>
          <w:bCs/>
          <w:color w:val="auto"/>
          <w:highlight w:val="none"/>
          <w:lang w:eastAsia="zh-CN"/>
        </w:rPr>
        <w:t>38.5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C2FAB4E">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38.5.1发包人要求采用装配式建筑的，承包人应本着工厂化、标准化、模块化、集成化、体系化、绿色环保、经济合理等原则，遵守国家、广东省及广州市有关装配式技术标准与规范进行设计。具体采用的相关技术标准、规范、要求和装配率评价选用标准、各装配式单体工程名称及其装配率（或评价等级）在专用条款中约定。</w:t>
      </w:r>
    </w:p>
    <w:p w14:paraId="08D193B6">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38.5.2承包人应任命本单位专业人员担任承包人设计代表（承包人为联合体时，应由具有符合项目规模要求的设计单位委派专业人员担任），统筹装配式构件的设计、生产、运输、吊装和拼接，加强协同管理，并建立基于建筑信息模型（BIM）的装配式构件生产管理信息系统，对构件进行编码管理，保证工程质量。</w:t>
      </w:r>
    </w:p>
    <w:p w14:paraId="1FDC886C">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822080" behindDoc="0" locked="0" layoutInCell="1" allowOverlap="1">
                <wp:simplePos x="0" y="0"/>
                <wp:positionH relativeFrom="column">
                  <wp:posOffset>-102870</wp:posOffset>
                </wp:positionH>
                <wp:positionV relativeFrom="paragraph">
                  <wp:posOffset>278765</wp:posOffset>
                </wp:positionV>
                <wp:extent cx="765810" cy="408305"/>
                <wp:effectExtent l="0" t="0" r="0" b="0"/>
                <wp:wrapNone/>
                <wp:docPr id="160" name="0001a3"/>
                <wp:cNvGraphicFramePr/>
                <a:graphic xmlns:a="http://schemas.openxmlformats.org/drawingml/2006/main">
                  <a:graphicData uri="http://schemas.microsoft.com/office/word/2010/wordprocessingShape">
                    <wps:wsp>
                      <wps:cNvSpPr txBox="1"/>
                      <wps:spPr>
                        <a:xfrm>
                          <a:off x="0" y="0"/>
                          <a:ext cx="765810" cy="408305"/>
                        </a:xfrm>
                        <a:prstGeom prst="rect">
                          <a:avLst/>
                        </a:prstGeom>
                        <a:noFill/>
                        <a:ln>
                          <a:noFill/>
                        </a:ln>
                        <a:effectLst/>
                      </wps:spPr>
                      <wps:txbx>
                        <w:txbxContent>
                          <w:p w14:paraId="7E29A522">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p w14:paraId="603F183C"/>
                        </w:txbxContent>
                      </wps:txbx>
                      <wps:bodyPr wrap="square" upright="1"/>
                    </wps:wsp>
                  </a:graphicData>
                </a:graphic>
              </wp:anchor>
            </w:drawing>
          </mc:Choice>
          <mc:Fallback>
            <w:pict>
              <v:shape id="0001a3" o:spid="_x0000_s1026" o:spt="202" type="#_x0000_t202" style="position:absolute;left:0pt;margin-left:-8.1pt;margin-top:21.95pt;height:32.15pt;width:60.3pt;z-index:251822080;mso-width-relative:page;mso-height-relative:page;" filled="f" stroked="f" coordsize="21600,21600" o:gfxdata="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wR6nXAAAACgEA&#10;AA8AAAAAAAAAAQAgAAAAIgAAAGRycy9kb3ducmV2LnhtbFBLAQIUABQAAAAIAIdO4kCVA96YqQEA&#10;AGYDAAAOAAAAAAAAAAEAIAAAACYBAABkcnMvZTJvRG9jLnhtbFBLBQYAAAAABgAGAFkBAABBBQAA&#10;AAA=&#10;">
                <v:fill on="f" focussize="0,0"/>
                <v:stroke on="f"/>
                <v:imagedata o:title=""/>
                <o:lock v:ext="edit" aspectratio="f"/>
                <v:textbox>
                  <w:txbxContent>
                    <w:p w14:paraId="7E29A522">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p w14:paraId="603F183C"/>
                  </w:txbxContent>
                </v:textbox>
              </v:shape>
            </w:pict>
          </mc:Fallback>
        </mc:AlternateContent>
      </w:r>
      <w:r>
        <w:rPr>
          <w:rFonts w:hint="eastAsia" w:ascii="仿宋" w:hAnsi="仿宋" w:eastAsia="仿宋" w:cs="仿宋"/>
          <w:b/>
          <w:bCs/>
          <w:color w:val="auto"/>
          <w:highlight w:val="none"/>
          <w:lang w:eastAsia="zh-CN"/>
        </w:rPr>
        <w:t>38.6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E383748">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38.6.1发包人审查</w:t>
      </w:r>
    </w:p>
    <w:p w14:paraId="78D188FF">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38.6.1.1承包人的初步设计文件和（或）施工图应报发包人审查同意。审查的范围和内容在发包人要求中明确，审查标准应符合有关法律、技术标准和发包人要求。涉及重大设计技术问题的，承包人应及时向发包人提出书面审查申请。</w:t>
      </w:r>
    </w:p>
    <w:p w14:paraId="16265C5F">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38.6.1.2除专用条款另有约定外，自发包人收到承包人的设计文件以及承包人的书面通知之日起，</w:t>
      </w:r>
      <w:r>
        <w:rPr>
          <w:rFonts w:hint="eastAsia" w:ascii="仿宋" w:hAnsi="仿宋" w:eastAsia="仿宋" w:cs="仿宋"/>
          <w:color w:val="auto"/>
          <w:highlight w:val="none"/>
          <w:lang w:eastAsia="zh-CN"/>
        </w:rPr>
        <w:t>应及时通知设计顾问人对设计文件予以核实或审核并完成发包人审查，</w:t>
      </w:r>
      <w:r>
        <w:rPr>
          <w:rFonts w:hint="eastAsia" w:ascii="仿宋" w:hAnsi="仿宋" w:eastAsia="仿宋"/>
          <w:color w:val="auto"/>
          <w:highlight w:val="none"/>
          <w:lang w:eastAsia="zh-CN"/>
        </w:rPr>
        <w:t>发包人对承包人的设计文件审查期不超过21天。</w:t>
      </w:r>
    </w:p>
    <w:p w14:paraId="7BCCF8A4">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38.6.1.3发包人经审查不同意承包人的设计文件的，应以书面形式通知承包人，并说明不符合合同约定的具体内容。承包人应对设计文件修正完善后重新送审，审查期重新起算。如果发包人的审查意见超出或更改了发包人要求，承包人可根据第63条约定提出变更申请，由发包人承担增加的工程费或工程设计费。</w:t>
      </w:r>
    </w:p>
    <w:p w14:paraId="61908888">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38.6.1.4发包人经审查同意承包人的设计文件的，应以书面形式通知承包人。合同约定的审查期满，发包人没有做出审查结论也没有提出异议的，视为承包人送审的设计文件已获发包人同意。</w:t>
      </w:r>
    </w:p>
    <w:p w14:paraId="597F5BE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38.6.1.5承包人的设计文件不需要政府有关部门审查或批准的，承包人应依据发包人审查同意的初步设计进行施工图设计，或依据发包人审查同意的施工图组织施工。</w:t>
      </w:r>
    </w:p>
    <w:p w14:paraId="6F932816">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38.6.2政府部门审查或批准</w:t>
      </w:r>
    </w:p>
    <w:p w14:paraId="512F92CC">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38.6.2.1 承包人的初步设计文件和（或）施工图需政府有关部门或施工图审查机构审查或批准的，发包人应在审查同意后7天内，向政府有关部门或施工图审查机构报送设计文件，承包人应</w:t>
      </w:r>
      <w:r>
        <w:rPr>
          <w:rFonts w:ascii="仿宋" w:hAnsi="仿宋" w:eastAsia="仿宋"/>
          <w:color w:val="auto"/>
          <w:highlight w:val="none"/>
          <w:lang w:eastAsia="zh-CN"/>
        </w:rPr>
        <w:t>予以</w:t>
      </w:r>
      <w:r>
        <w:rPr>
          <w:rFonts w:hint="eastAsia" w:ascii="仿宋" w:hAnsi="仿宋" w:eastAsia="仿宋"/>
          <w:color w:val="auto"/>
          <w:highlight w:val="none"/>
          <w:lang w:eastAsia="zh-CN"/>
        </w:rPr>
        <w:t>协助。</w:t>
      </w:r>
    </w:p>
    <w:p w14:paraId="11036BBC">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38.6.2.2</w:t>
      </w:r>
      <w:r>
        <w:rPr>
          <w:rFonts w:ascii="仿宋" w:hAnsi="仿宋" w:eastAsia="仿宋"/>
          <w:color w:val="auto"/>
          <w:highlight w:val="none"/>
          <w:lang w:eastAsia="zh-CN"/>
        </w:rPr>
        <w:t>发包人</w:t>
      </w:r>
      <w:r>
        <w:rPr>
          <w:rFonts w:hint="eastAsia" w:ascii="仿宋" w:hAnsi="仿宋" w:eastAsia="仿宋"/>
          <w:color w:val="auto"/>
          <w:highlight w:val="none"/>
          <w:lang w:eastAsia="zh-CN"/>
        </w:rPr>
        <w:t>应</w:t>
      </w:r>
      <w:r>
        <w:rPr>
          <w:rFonts w:ascii="仿宋" w:hAnsi="仿宋" w:eastAsia="仿宋"/>
          <w:color w:val="auto"/>
          <w:highlight w:val="none"/>
          <w:lang w:eastAsia="zh-CN"/>
        </w:rPr>
        <w:t>向承包人提供</w:t>
      </w:r>
      <w:r>
        <w:rPr>
          <w:rFonts w:hint="eastAsia" w:ascii="仿宋" w:hAnsi="仿宋" w:eastAsia="仿宋"/>
          <w:color w:val="auto"/>
          <w:highlight w:val="none"/>
          <w:lang w:eastAsia="zh-CN"/>
        </w:rPr>
        <w:t>政府有关部门或施工图审查机构</w:t>
      </w:r>
      <w:r>
        <w:rPr>
          <w:rFonts w:ascii="仿宋" w:hAnsi="仿宋" w:eastAsia="仿宋"/>
          <w:color w:val="auto"/>
          <w:highlight w:val="none"/>
          <w:lang w:eastAsia="zh-CN"/>
        </w:rPr>
        <w:t>的批准文件和</w:t>
      </w:r>
      <w:r>
        <w:rPr>
          <w:rFonts w:hint="eastAsia" w:ascii="仿宋" w:hAnsi="仿宋" w:eastAsia="仿宋"/>
          <w:color w:val="auto"/>
          <w:highlight w:val="none"/>
          <w:lang w:eastAsia="zh-CN"/>
        </w:rPr>
        <w:t>审查意见。</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应按照相关审查批准文件对设计文件进行补充、修改和完善。</w:t>
      </w:r>
    </w:p>
    <w:p w14:paraId="226D6E7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38.6.2.3经政府有关部门或</w:t>
      </w:r>
      <w:r>
        <w:rPr>
          <w:rFonts w:ascii="仿宋" w:hAnsi="仿宋" w:eastAsia="仿宋"/>
          <w:color w:val="auto"/>
          <w:highlight w:val="none"/>
          <w:lang w:eastAsia="zh-CN"/>
        </w:rPr>
        <w:t>施工图</w:t>
      </w:r>
      <w:r>
        <w:rPr>
          <w:rFonts w:hint="eastAsia" w:ascii="仿宋" w:hAnsi="仿宋" w:eastAsia="仿宋"/>
          <w:color w:val="auto"/>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审查机构审查，需要修改发包人要求的，发包人应重新提出发包人要求，通知承包人相应修改设计文件，并重新送审，承包人可根据第63条约定提出变更申请，由发包人承担增加的工程费或工程设计费。</w:t>
      </w:r>
    </w:p>
    <w:p w14:paraId="590D4B5E">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38.6.3审查会议</w:t>
      </w:r>
    </w:p>
    <w:p w14:paraId="45BDDF32">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38.6.3.1承包人向发包人送审初步设计文件和（或）施工图前，应组织相关专家对设计文件进行评审，通知</w:t>
      </w:r>
      <w:r>
        <w:rPr>
          <w:rFonts w:ascii="仿宋" w:hAnsi="仿宋" w:eastAsia="仿宋"/>
          <w:color w:val="auto"/>
          <w:highlight w:val="none"/>
          <w:lang w:eastAsia="zh-CN"/>
        </w:rPr>
        <w:t>发包</w:t>
      </w:r>
      <w:r>
        <w:rPr>
          <w:rFonts w:hint="eastAsia" w:ascii="仿宋" w:hAnsi="仿宋" w:eastAsia="仿宋"/>
          <w:color w:val="auto"/>
          <w:highlight w:val="none"/>
          <w:lang w:eastAsia="zh-CN"/>
        </w:rPr>
        <w:t>人及设计顾问人、监理人、造价咨询人等相关方参加，根据专家评审意见修正设计文件，相关会议及评审费用由承包人自行承担。</w:t>
      </w:r>
    </w:p>
    <w:p w14:paraId="5E9309D4">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38.6.3.2发包人需要组织审查会议的，审查会议的审查形式和时间安排应在专用条款中约定，相关会议费用及评审费用由发包人承担。</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w:t>
      </w:r>
      <w:r>
        <w:rPr>
          <w:rFonts w:ascii="仿宋" w:hAnsi="仿宋" w:eastAsia="仿宋"/>
          <w:color w:val="auto"/>
          <w:highlight w:val="none"/>
          <w:lang w:eastAsia="zh-CN"/>
        </w:rPr>
        <w:t>协助发包人组织设计审查会议</w:t>
      </w:r>
      <w:r>
        <w:rPr>
          <w:rFonts w:hint="eastAsia" w:ascii="仿宋" w:hAnsi="仿宋" w:eastAsia="仿宋"/>
          <w:color w:val="auto"/>
          <w:highlight w:val="none"/>
          <w:lang w:eastAsia="zh-CN"/>
        </w:rPr>
        <w:t>，</w:t>
      </w:r>
      <w:r>
        <w:rPr>
          <w:rFonts w:ascii="仿宋" w:hAnsi="仿宋" w:eastAsia="仿宋"/>
          <w:color w:val="auto"/>
          <w:highlight w:val="none"/>
          <w:lang w:eastAsia="zh-CN"/>
        </w:rPr>
        <w:t>向审查</w:t>
      </w:r>
      <w:r>
        <w:rPr>
          <w:rFonts w:hint="eastAsia" w:ascii="仿宋" w:hAnsi="仿宋" w:eastAsia="仿宋"/>
          <w:color w:val="auto"/>
          <w:highlight w:val="none"/>
          <w:lang w:eastAsia="zh-CN"/>
        </w:rPr>
        <w:t>人员</w:t>
      </w:r>
      <w:r>
        <w:rPr>
          <w:rFonts w:ascii="仿宋" w:hAnsi="仿宋" w:eastAsia="仿宋"/>
          <w:color w:val="auto"/>
          <w:highlight w:val="none"/>
          <w:lang w:eastAsia="zh-CN"/>
        </w:rPr>
        <w:t>介绍、解答、解释其设计文件，并提供</w:t>
      </w:r>
      <w:r>
        <w:rPr>
          <w:rFonts w:hint="eastAsia" w:ascii="仿宋" w:hAnsi="仿宋" w:eastAsia="仿宋"/>
          <w:color w:val="auto"/>
          <w:highlight w:val="none"/>
          <w:lang w:eastAsia="zh-CN"/>
        </w:rPr>
        <w:t>有关补充</w:t>
      </w:r>
      <w:r>
        <w:rPr>
          <w:rFonts w:ascii="仿宋" w:hAnsi="仿宋" w:eastAsia="仿宋"/>
          <w:color w:val="auto"/>
          <w:highlight w:val="none"/>
          <w:lang w:eastAsia="zh-CN"/>
        </w:rPr>
        <w:t>资料。</w:t>
      </w:r>
    </w:p>
    <w:p w14:paraId="681BE185">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38.6.4审查延误</w:t>
      </w:r>
    </w:p>
    <w:p w14:paraId="7D66CD8C">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38.6.4.1</w:t>
      </w:r>
      <w:r>
        <w:rPr>
          <w:rFonts w:ascii="仿宋" w:hAnsi="仿宋" w:eastAsia="仿宋"/>
          <w:color w:val="auto"/>
          <w:highlight w:val="none"/>
          <w:lang w:eastAsia="zh-CN"/>
        </w:rPr>
        <w:t>因承包人原因，未能按</w:t>
      </w:r>
      <w:r>
        <w:rPr>
          <w:rFonts w:hint="eastAsia" w:ascii="仿宋" w:hAnsi="仿宋" w:eastAsia="仿宋"/>
          <w:color w:val="auto"/>
          <w:highlight w:val="none"/>
          <w:lang w:eastAsia="zh-CN"/>
        </w:rPr>
        <w:t>专用条款</w:t>
      </w:r>
      <w:r>
        <w:rPr>
          <w:rFonts w:ascii="仿宋" w:hAnsi="仿宋" w:eastAsia="仿宋"/>
          <w:color w:val="auto"/>
          <w:highlight w:val="none"/>
          <w:lang w:eastAsia="zh-CN"/>
        </w:rPr>
        <w:t>约定的时间，向发包人提交</w:t>
      </w:r>
      <w:r>
        <w:rPr>
          <w:rFonts w:hint="eastAsia" w:ascii="仿宋" w:hAnsi="仿宋" w:eastAsia="仿宋"/>
          <w:color w:val="auto"/>
          <w:highlight w:val="none"/>
          <w:lang w:eastAsia="zh-CN"/>
        </w:rPr>
        <w:t>初步设计文件和（或）施工图</w:t>
      </w:r>
      <w:r>
        <w:rPr>
          <w:rFonts w:ascii="仿宋" w:hAnsi="仿宋" w:eastAsia="仿宋"/>
          <w:color w:val="auto"/>
          <w:highlight w:val="none"/>
          <w:lang w:eastAsia="zh-CN"/>
        </w:rPr>
        <w:t>设计阶段的完整设计文件，致使相</w:t>
      </w:r>
      <w:r>
        <w:rPr>
          <w:rFonts w:hint="eastAsia" w:ascii="仿宋" w:hAnsi="仿宋" w:eastAsia="仿宋"/>
          <w:color w:val="auto"/>
          <w:highlight w:val="none"/>
          <w:lang w:eastAsia="zh-CN"/>
        </w:rPr>
        <w:t>应</w:t>
      </w:r>
      <w:r>
        <w:rPr>
          <w:rFonts w:ascii="仿宋" w:hAnsi="仿宋" w:eastAsia="仿宋"/>
          <w:color w:val="auto"/>
          <w:highlight w:val="none"/>
          <w:lang w:eastAsia="zh-CN"/>
        </w:rPr>
        <w:t>设计阶段的</w:t>
      </w:r>
      <w:r>
        <w:rPr>
          <w:rFonts w:hint="eastAsia" w:ascii="仿宋" w:hAnsi="仿宋" w:eastAsia="仿宋"/>
          <w:color w:val="auto"/>
          <w:highlight w:val="none"/>
          <w:lang w:eastAsia="zh-CN"/>
        </w:rPr>
        <w:t>设计审查</w:t>
      </w:r>
      <w:r>
        <w:rPr>
          <w:rFonts w:ascii="仿宋" w:hAnsi="仿宋" w:eastAsia="仿宋"/>
          <w:color w:val="auto"/>
          <w:highlight w:val="none"/>
          <w:lang w:eastAsia="zh-CN"/>
        </w:rPr>
        <w:t>无法进行或无法按期进行，造成的</w:t>
      </w:r>
      <w:r>
        <w:rPr>
          <w:rFonts w:hint="eastAsia" w:ascii="仿宋" w:hAnsi="仿宋" w:eastAsia="仿宋"/>
          <w:color w:val="auto"/>
          <w:highlight w:val="none"/>
          <w:lang w:eastAsia="zh-CN"/>
        </w:rPr>
        <w:t>设计工期延长</w:t>
      </w:r>
      <w:r>
        <w:rPr>
          <w:rFonts w:ascii="仿宋" w:hAnsi="仿宋" w:eastAsia="仿宋"/>
          <w:color w:val="auto"/>
          <w:highlight w:val="none"/>
          <w:lang w:eastAsia="zh-CN"/>
        </w:rPr>
        <w:t>、</w:t>
      </w:r>
      <w:r>
        <w:rPr>
          <w:rFonts w:hint="eastAsia" w:ascii="仿宋" w:hAnsi="仿宋" w:eastAsia="仿宋"/>
          <w:color w:val="auto"/>
          <w:highlight w:val="none"/>
          <w:lang w:eastAsia="zh-CN"/>
        </w:rPr>
        <w:t>后续设计施工延误</w:t>
      </w:r>
      <w:r>
        <w:rPr>
          <w:rFonts w:ascii="仿宋" w:hAnsi="仿宋" w:eastAsia="仿宋"/>
          <w:color w:val="auto"/>
          <w:highlight w:val="none"/>
          <w:lang w:eastAsia="zh-CN"/>
        </w:rPr>
        <w:t>及</w:t>
      </w:r>
      <w:r>
        <w:rPr>
          <w:rFonts w:hint="eastAsia" w:ascii="仿宋" w:hAnsi="仿宋" w:eastAsia="仿宋"/>
          <w:color w:val="auto"/>
          <w:highlight w:val="none"/>
          <w:lang w:eastAsia="zh-CN"/>
        </w:rPr>
        <w:t>费用增加</w:t>
      </w:r>
      <w:r>
        <w:rPr>
          <w:rFonts w:ascii="仿宋" w:hAnsi="仿宋" w:eastAsia="仿宋"/>
          <w:color w:val="auto"/>
          <w:highlight w:val="none"/>
          <w:lang w:eastAsia="zh-CN"/>
        </w:rPr>
        <w:t>，</w:t>
      </w:r>
      <w:r>
        <w:rPr>
          <w:rFonts w:hint="eastAsia" w:ascii="仿宋" w:hAnsi="仿宋" w:eastAsia="仿宋"/>
          <w:color w:val="auto"/>
          <w:highlight w:val="none"/>
          <w:lang w:eastAsia="zh-CN"/>
        </w:rPr>
        <w:t>责任</w:t>
      </w:r>
      <w:r>
        <w:rPr>
          <w:rFonts w:ascii="仿宋" w:hAnsi="仿宋" w:eastAsia="仿宋"/>
          <w:color w:val="auto"/>
          <w:highlight w:val="none"/>
          <w:lang w:eastAsia="zh-CN"/>
        </w:rPr>
        <w:t>由承包人承担。</w:t>
      </w:r>
    </w:p>
    <w:p w14:paraId="0D727E71">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38.6.4.2因发包人原因导致设计文件审查</w:t>
      </w:r>
      <w:r>
        <w:rPr>
          <w:rFonts w:ascii="仿宋" w:hAnsi="仿宋" w:eastAsia="仿宋"/>
          <w:color w:val="auto"/>
          <w:highlight w:val="none"/>
          <w:lang w:eastAsia="zh-CN"/>
        </w:rPr>
        <w:t>无法进行或无法按期进行，造成的</w:t>
      </w:r>
      <w:r>
        <w:rPr>
          <w:rFonts w:hint="eastAsia" w:ascii="仿宋" w:hAnsi="仿宋" w:eastAsia="仿宋"/>
          <w:color w:val="auto"/>
          <w:highlight w:val="none"/>
          <w:lang w:eastAsia="zh-CN"/>
        </w:rPr>
        <w:t>设计工期延长及费用增加</w:t>
      </w:r>
      <w:r>
        <w:rPr>
          <w:rFonts w:ascii="仿宋" w:hAnsi="仿宋" w:eastAsia="仿宋"/>
          <w:color w:val="auto"/>
          <w:highlight w:val="none"/>
          <w:lang w:eastAsia="zh-CN"/>
        </w:rPr>
        <w:t>，</w:t>
      </w:r>
      <w:r>
        <w:rPr>
          <w:rFonts w:hint="eastAsia" w:ascii="仿宋" w:hAnsi="仿宋" w:eastAsia="仿宋"/>
          <w:color w:val="auto"/>
          <w:highlight w:val="none"/>
          <w:lang w:eastAsia="zh-CN"/>
        </w:rPr>
        <w:t>责任</w:t>
      </w:r>
      <w:r>
        <w:rPr>
          <w:rFonts w:ascii="仿宋" w:hAnsi="仿宋" w:eastAsia="仿宋"/>
          <w:color w:val="auto"/>
          <w:highlight w:val="none"/>
          <w:lang w:eastAsia="zh-CN"/>
        </w:rPr>
        <w:t>由</w:t>
      </w:r>
      <w:r>
        <w:rPr>
          <w:rFonts w:hint="eastAsia" w:ascii="仿宋" w:hAnsi="仿宋" w:eastAsia="仿宋"/>
          <w:color w:val="auto"/>
          <w:highlight w:val="none"/>
          <w:lang w:eastAsia="zh-CN"/>
        </w:rPr>
        <w:t>发</w:t>
      </w:r>
      <w:r>
        <w:rPr>
          <w:rFonts w:ascii="仿宋" w:hAnsi="仿宋" w:eastAsia="仿宋"/>
          <w:color w:val="auto"/>
          <w:highlight w:val="none"/>
          <w:lang w:eastAsia="zh-CN"/>
        </w:rPr>
        <w:t>包人承担。</w:t>
      </w:r>
    </w:p>
    <w:p w14:paraId="3C4EE8D9">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38.6.5审查责任的免除</w:t>
      </w:r>
    </w:p>
    <w:p w14:paraId="1BAD47F6">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设计文件的审查，</w:t>
      </w:r>
      <w:r>
        <w:rPr>
          <w:rFonts w:ascii="仿宋" w:hAnsi="仿宋" w:eastAsia="仿宋"/>
          <w:color w:val="auto"/>
          <w:highlight w:val="none"/>
          <w:lang w:eastAsia="zh-CN"/>
        </w:rPr>
        <w:t>不减轻或免除承包人</w:t>
      </w:r>
      <w:r>
        <w:rPr>
          <w:rFonts w:hint="eastAsia" w:ascii="仿宋" w:hAnsi="仿宋" w:eastAsia="仿宋"/>
          <w:color w:val="auto"/>
          <w:highlight w:val="none"/>
          <w:lang w:eastAsia="zh-CN"/>
        </w:rPr>
        <w:t>依据法律规定与</w:t>
      </w:r>
      <w:r>
        <w:rPr>
          <w:rFonts w:ascii="仿宋" w:hAnsi="仿宋" w:eastAsia="仿宋"/>
          <w:color w:val="auto"/>
          <w:highlight w:val="none"/>
          <w:lang w:eastAsia="zh-CN"/>
        </w:rPr>
        <w:t>合同</w:t>
      </w:r>
      <w:r>
        <w:rPr>
          <w:rFonts w:hint="eastAsia" w:ascii="仿宋" w:hAnsi="仿宋" w:eastAsia="仿宋"/>
          <w:color w:val="auto"/>
          <w:highlight w:val="none"/>
          <w:lang w:eastAsia="zh-CN"/>
        </w:rPr>
        <w:t>约定应当承担的责任。</w:t>
      </w:r>
    </w:p>
    <w:p w14:paraId="314E8620">
      <w:pPr>
        <w:spacing w:line="360" w:lineRule="auto"/>
        <w:ind w:left="1687" w:hanging="1687" w:hangingChars="7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38.7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A5B4857">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b/>
          <w:bCs/>
          <w:color w:val="auto"/>
          <w:highlight w:val="none"/>
        </w:rPr>
        <mc:AlternateContent>
          <mc:Choice Requires="wps">
            <w:drawing>
              <wp:anchor distT="0" distB="0" distL="114300" distR="114300" simplePos="0" relativeHeight="251823104" behindDoc="0" locked="0" layoutInCell="1" allowOverlap="1">
                <wp:simplePos x="0" y="0"/>
                <wp:positionH relativeFrom="column">
                  <wp:posOffset>-9525</wp:posOffset>
                </wp:positionH>
                <wp:positionV relativeFrom="paragraph">
                  <wp:posOffset>88265</wp:posOffset>
                </wp:positionV>
                <wp:extent cx="759460" cy="426085"/>
                <wp:effectExtent l="0" t="0" r="0" b="0"/>
                <wp:wrapNone/>
                <wp:docPr id="161" name="0001a4"/>
                <wp:cNvGraphicFramePr/>
                <a:graphic xmlns:a="http://schemas.openxmlformats.org/drawingml/2006/main">
                  <a:graphicData uri="http://schemas.microsoft.com/office/word/2010/wordprocessingShape">
                    <wps:wsp>
                      <wps:cNvSpPr txBox="1"/>
                      <wps:spPr>
                        <a:xfrm>
                          <a:off x="0" y="0"/>
                          <a:ext cx="759460" cy="426085"/>
                        </a:xfrm>
                        <a:prstGeom prst="rect">
                          <a:avLst/>
                        </a:prstGeom>
                        <a:noFill/>
                        <a:ln>
                          <a:noFill/>
                        </a:ln>
                        <a:effectLst/>
                      </wps:spPr>
                      <wps:txbx>
                        <w:txbxContent>
                          <w:p w14:paraId="47354F64">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p w14:paraId="2E4B3DE2"/>
                        </w:txbxContent>
                      </wps:txbx>
                      <wps:bodyPr wrap="square" upright="1"/>
                    </wps:wsp>
                  </a:graphicData>
                </a:graphic>
              </wp:anchor>
            </w:drawing>
          </mc:Choice>
          <mc:Fallback>
            <w:pict>
              <v:shape id="0001a4" o:spid="_x0000_s1026" o:spt="202" type="#_x0000_t202" style="position:absolute;left:0pt;margin-left:-0.75pt;margin-top:6.95pt;height:33.55pt;width:59.8pt;z-index:251823104;mso-width-relative:page;mso-height-relative:page;" filled="f" stroked="f" coordsize="21600,21600" o:gfxdata="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wt2tRNUAAAAIAQAA&#10;DwAAAAAAAAABACAAAAAiAAAAZHJzL2Rvd25yZXYueG1sUEsBAhQAFAAAAAgAh07iQGnrme2qAQAA&#10;ZgMAAA4AAAAAAAAAAQAgAAAAJAEAAGRycy9lMm9Eb2MueG1sUEsFBgAAAAAGAAYAWQEAAEAFAAAA&#10;AA==&#10;">
                <v:fill on="f" focussize="0,0"/>
                <v:stroke on="f"/>
                <v:imagedata o:title=""/>
                <o:lock v:ext="edit" aspectratio="f"/>
                <v:textbox>
                  <w:txbxContent>
                    <w:p w14:paraId="47354F64">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p w14:paraId="2E4B3DE2"/>
                  </w:txbxContent>
                </v:textbox>
              </v:shape>
            </w:pict>
          </mc:Fallback>
        </mc:AlternateContent>
      </w:r>
      <w:r>
        <w:rPr>
          <w:rFonts w:hint="eastAsia" w:ascii="仿宋" w:hAnsi="仿宋" w:eastAsia="仿宋" w:cs="仿宋"/>
          <w:color w:val="auto"/>
          <w:highlight w:val="none"/>
          <w:lang w:eastAsia="zh-CN"/>
        </w:rPr>
        <w:t>承包人完成施工图设计阶段的工作并提交施工图后，设计人员应配合设备及工器具购置人员及施工人员开展相关工作，进行技术交底，解释相关数据，解决施工中设计技术问题，合理进行设计变更，因此增加的费用由承包人自行承担。</w:t>
      </w:r>
    </w:p>
    <w:p w14:paraId="50DD9DBA">
      <w:pPr>
        <w:spacing w:line="360" w:lineRule="auto"/>
        <w:rPr>
          <w:rFonts w:hint="eastAsia" w:ascii="仿宋" w:hAnsi="仿宋" w:eastAsia="仿宋" w:cs="仿宋"/>
          <w:color w:val="auto"/>
          <w:highlight w:val="none"/>
          <w:lang w:eastAsia="zh-CN"/>
        </w:rPr>
      </w:pPr>
      <w:r>
        <w:rPr>
          <w:rFonts w:ascii="仿宋" w:hAnsi="仿宋" w:eastAsia="仿宋" w:cs="仿宋"/>
          <w:b/>
          <w:bCs/>
          <w:color w:val="auto"/>
          <w:highlight w:val="none"/>
          <w:u w:val="single"/>
          <w:lang w:eastAsia="zh-CN"/>
        </w:rPr>
        <w:t xml:space="preserve">                                                                                     </w:t>
      </w:r>
    </w:p>
    <w:p w14:paraId="5B3CF602">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593" w:name="_Toc11437"/>
      <w:bookmarkStart w:id="594" w:name="_Toc47694312"/>
      <w:bookmarkStart w:id="595" w:name="_Toc14912"/>
      <w:bookmarkStart w:id="596" w:name="_Toc12934"/>
      <w:bookmarkStart w:id="597" w:name="_Toc1749"/>
      <w:bookmarkStart w:id="598" w:name="_Toc26467"/>
      <w:bookmarkStart w:id="599" w:name="_Toc14366"/>
      <w:bookmarkStart w:id="600" w:name="_Toc348"/>
      <w:r>
        <w:rPr>
          <w:rFonts w:hint="eastAsia" w:ascii="仿宋" w:hAnsi="仿宋" w:eastAsia="仿宋" w:cs="仿宋"/>
          <w:bCs w:val="0"/>
          <w:color w:val="auto"/>
          <w:sz w:val="24"/>
          <w:szCs w:val="24"/>
          <w:highlight w:val="none"/>
          <w:lang w:eastAsia="zh-CN"/>
        </w:rPr>
        <w:t>39  BIM技术应用</w:t>
      </w:r>
      <w:bookmarkEnd w:id="593"/>
      <w:bookmarkEnd w:id="594"/>
      <w:bookmarkEnd w:id="595"/>
      <w:bookmarkEnd w:id="596"/>
      <w:bookmarkEnd w:id="597"/>
      <w:bookmarkEnd w:id="598"/>
      <w:bookmarkEnd w:id="599"/>
      <w:bookmarkEnd w:id="600"/>
    </w:p>
    <w:p w14:paraId="0CAD167A">
      <w:pPr>
        <w:tabs>
          <w:tab w:val="left" w:pos="4970"/>
        </w:tabs>
        <w:spacing w:line="360" w:lineRule="auto"/>
        <w:rPr>
          <w:rFonts w:hint="eastAsia" w:ascii="仿宋" w:hAnsi="仿宋" w:eastAsia="仿宋"/>
          <w:b/>
          <w:bCs/>
          <w:color w:val="auto"/>
          <w:highlight w:val="none"/>
          <w:lang w:eastAsia="zh-CN"/>
        </w:rPr>
      </w:pPr>
      <w:r>
        <w:rPr>
          <w:b/>
          <w:bCs/>
          <w:color w:val="auto"/>
          <w:highlight w:val="none"/>
        </w:rPr>
        <mc:AlternateContent>
          <mc:Choice Requires="wps">
            <w:drawing>
              <wp:anchor distT="0" distB="0" distL="114300" distR="114300" simplePos="0" relativeHeight="251824128" behindDoc="0" locked="0" layoutInCell="1" allowOverlap="1">
                <wp:simplePos x="0" y="0"/>
                <wp:positionH relativeFrom="column">
                  <wp:posOffset>-121920</wp:posOffset>
                </wp:positionH>
                <wp:positionV relativeFrom="paragraph">
                  <wp:posOffset>281305</wp:posOffset>
                </wp:positionV>
                <wp:extent cx="899795" cy="617855"/>
                <wp:effectExtent l="0" t="0" r="0" b="0"/>
                <wp:wrapNone/>
                <wp:docPr id="162" name="0001a5"/>
                <wp:cNvGraphicFramePr/>
                <a:graphic xmlns:a="http://schemas.openxmlformats.org/drawingml/2006/main">
                  <a:graphicData uri="http://schemas.microsoft.com/office/word/2010/wordprocessingShape">
                    <wps:wsp>
                      <wps:cNvSpPr txBox="1"/>
                      <wps:spPr>
                        <a:xfrm>
                          <a:off x="0" y="0"/>
                          <a:ext cx="899795" cy="617855"/>
                        </a:xfrm>
                        <a:prstGeom prst="rect">
                          <a:avLst/>
                        </a:prstGeom>
                        <a:noFill/>
                        <a:ln>
                          <a:noFill/>
                        </a:ln>
                        <a:effectLst/>
                      </wps:spPr>
                      <wps:txbx>
                        <w:txbxContent>
                          <w:p w14:paraId="0CB0A608">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p w14:paraId="1FAB3638"/>
                        </w:txbxContent>
                      </wps:txbx>
                      <wps:bodyPr wrap="square" upright="1"/>
                    </wps:wsp>
                  </a:graphicData>
                </a:graphic>
              </wp:anchor>
            </w:drawing>
          </mc:Choice>
          <mc:Fallback>
            <w:pict>
              <v:shape id="0001a5" o:spid="_x0000_s1026" o:spt="202" type="#_x0000_t202" style="position:absolute;left:0pt;margin-left:-9.6pt;margin-top:22.15pt;height:48.65pt;width:70.85pt;z-index:251824128;mso-width-relative:page;mso-height-relative:page;" filled="f" stroked="f" coordsize="21600,21600" o:gfxdata="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r07O+2AAA&#10;AAoBAAAPAAAAAAAAAAEAIAAAACIAAABkcnMvZG93bnJldi54bWxQSwECFAAUAAAACACHTuJActqe&#10;hqwBAABmAwAADgAAAAAAAAABACAAAAAnAQAAZHJzL2Uyb0RvYy54bWxQSwUGAAAAAAYABgBZAQAA&#10;RQUAAAAA&#10;">
                <v:fill on="f" focussize="0,0"/>
                <v:stroke on="f"/>
                <v:imagedata o:title=""/>
                <o:lock v:ext="edit" aspectratio="f"/>
                <v:textbox>
                  <w:txbxContent>
                    <w:p w14:paraId="0CB0A608">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p w14:paraId="1FAB3638"/>
                  </w:txbxContent>
                </v:textbox>
              </v:shape>
            </w:pict>
          </mc:Fallback>
        </mc:AlternateContent>
      </w:r>
      <w:r>
        <w:rPr>
          <w:rFonts w:hint="eastAsia" w:ascii="仿宋" w:hAnsi="仿宋" w:eastAsia="仿宋"/>
          <w:b/>
          <w:bCs/>
          <w:color w:val="auto"/>
          <w:highlight w:val="none"/>
          <w:lang w:eastAsia="zh-CN"/>
        </w:rPr>
        <w:t>39.1</w:t>
      </w:r>
    </w:p>
    <w:p w14:paraId="710D9D71">
      <w:pPr>
        <w:widowControl w:val="0"/>
        <w:tabs>
          <w:tab w:val="left" w:pos="132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在BIM技术应用工作开始日期前，应对发包人的BIM技术应用要求和所提供的项目基础资料的完备性和正确性进行核实，发现错漏应及时提请发包人补充完善。因发包人要求和所提供的资料存在错漏，但发包人未按承包人要求补充完善，导致工程存在缺陷或发生事故，责任由发包人承担。但本合同第5条、第6条以及专用条款另有约定的除外。</w:t>
      </w:r>
    </w:p>
    <w:p w14:paraId="5F3A38CC">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承包人因自身完成的勘察报告、设计文件或其他途径得到的资料存在错漏，导致BIM技术工作延误、成果错误及费用增加，责任由承包人承担。</w:t>
      </w:r>
    </w:p>
    <w:p w14:paraId="1047FBF4">
      <w:pPr>
        <w:tabs>
          <w:tab w:val="left" w:pos="4970"/>
        </w:tabs>
        <w:spacing w:line="360" w:lineRule="auto"/>
        <w:rPr>
          <w:rFonts w:hint="eastAsia" w:ascii="仿宋" w:hAnsi="仿宋" w:eastAsia="仿宋"/>
          <w:color w:val="auto"/>
          <w:highlight w:val="none"/>
          <w:lang w:eastAsia="zh-CN"/>
        </w:rPr>
      </w:pPr>
      <w:r>
        <w:rPr>
          <w:rFonts w:hint="eastAsia" w:ascii="仿宋" w:hAnsi="仿宋" w:eastAsia="仿宋"/>
          <w:b/>
          <w:bCs/>
          <w:color w:val="auto"/>
          <w:highlight w:val="none"/>
          <w:lang w:eastAsia="zh-CN"/>
        </w:rPr>
        <w:t>39.2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B2E2567">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25152" behindDoc="0" locked="0" layoutInCell="1" allowOverlap="1">
                <wp:simplePos x="0" y="0"/>
                <wp:positionH relativeFrom="column">
                  <wp:posOffset>-113665</wp:posOffset>
                </wp:positionH>
                <wp:positionV relativeFrom="paragraph">
                  <wp:posOffset>9525</wp:posOffset>
                </wp:positionV>
                <wp:extent cx="833120" cy="466090"/>
                <wp:effectExtent l="0" t="0" r="0" b="0"/>
                <wp:wrapNone/>
                <wp:docPr id="163" name="0001a6"/>
                <wp:cNvGraphicFramePr/>
                <a:graphic xmlns:a="http://schemas.openxmlformats.org/drawingml/2006/main">
                  <a:graphicData uri="http://schemas.microsoft.com/office/word/2010/wordprocessingShape">
                    <wps:wsp>
                      <wps:cNvSpPr txBox="1"/>
                      <wps:spPr>
                        <a:xfrm>
                          <a:off x="0" y="0"/>
                          <a:ext cx="833120" cy="466090"/>
                        </a:xfrm>
                        <a:prstGeom prst="rect">
                          <a:avLst/>
                        </a:prstGeom>
                        <a:noFill/>
                        <a:ln>
                          <a:noFill/>
                        </a:ln>
                        <a:effectLst/>
                      </wps:spPr>
                      <wps:txbx>
                        <w:txbxContent>
                          <w:p w14:paraId="046A3C5A">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p w14:paraId="3A178CCD">
                            <w:pPr>
                              <w:rPr>
                                <w:lang w:eastAsia="zh-CN"/>
                              </w:rPr>
                            </w:pPr>
                          </w:p>
                        </w:txbxContent>
                      </wps:txbx>
                      <wps:bodyPr wrap="square" upright="1"/>
                    </wps:wsp>
                  </a:graphicData>
                </a:graphic>
              </wp:anchor>
            </w:drawing>
          </mc:Choice>
          <mc:Fallback>
            <w:pict>
              <v:shape id="0001a6" o:spid="_x0000_s1026" o:spt="202" type="#_x0000_t202" style="position:absolute;left:0pt;margin-left:-8.95pt;margin-top:0.75pt;height:36.7pt;width:65.6pt;z-index:251825152;mso-width-relative:page;mso-height-relative:page;" filled="f" stroked="f" coordsize="21600,21600" o:gfxdata="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oG0Lq1gAAAAgB&#10;AAAPAAAAAAAAAAEAIAAAACIAAABkcnMvZG93bnJldi54bWxQSwECFAAUAAAACACHTuJAselri6sB&#10;AABmAwAADgAAAAAAAAABACAAAAAlAQAAZHJzL2Uyb0RvYy54bWxQSwUGAAAAAAYABgBZAQAAQgUA&#10;AAAA&#10;">
                <v:fill on="f" focussize="0,0"/>
                <v:stroke on="f"/>
                <v:imagedata o:title=""/>
                <o:lock v:ext="edit" aspectratio="f"/>
                <v:textbox>
                  <w:txbxContent>
                    <w:p w14:paraId="046A3C5A">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p w14:paraId="3A178CCD">
                      <w:pPr>
                        <w:rPr>
                          <w:lang w:eastAsia="zh-CN"/>
                        </w:rPr>
                      </w:pPr>
                    </w:p>
                  </w:txbxContent>
                </v:textbox>
              </v:shape>
            </w:pict>
          </mc:Fallback>
        </mc:AlternateContent>
      </w:r>
      <w:r>
        <w:rPr>
          <w:rFonts w:hint="eastAsia" w:ascii="仿宋" w:hAnsi="仿宋" w:eastAsia="仿宋" w:cs="仿宋"/>
          <w:color w:val="auto"/>
          <w:highlight w:val="none"/>
          <w:lang w:eastAsia="zh-CN"/>
        </w:rPr>
        <w:t>39.2.1承包人应在BIM技术应用工作开始日期前，编制BIM技术应用工作方案，并按专用条款约定的方式和时间报发包人审查或备案。</w:t>
      </w:r>
    </w:p>
    <w:p w14:paraId="68C91949">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39.2.2 BIM技术应用工作方案应包括项目基本情况、人员安排、工作进度、技术标准、工作量、质量保证体系以及需要发包人配合事项等。</w:t>
      </w:r>
    </w:p>
    <w:p w14:paraId="3EBAF3F1">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39.3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C2B533F">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olor w:val="auto"/>
          <w:highlight w:val="none"/>
        </w:rPr>
        <mc:AlternateContent>
          <mc:Choice Requires="wps">
            <w:drawing>
              <wp:anchor distT="0" distB="0" distL="114300" distR="114300" simplePos="0" relativeHeight="251826176" behindDoc="0" locked="0" layoutInCell="1" allowOverlap="1">
                <wp:simplePos x="0" y="0"/>
                <wp:positionH relativeFrom="column">
                  <wp:posOffset>-101600</wp:posOffset>
                </wp:positionH>
                <wp:positionV relativeFrom="paragraph">
                  <wp:posOffset>18415</wp:posOffset>
                </wp:positionV>
                <wp:extent cx="832485" cy="598170"/>
                <wp:effectExtent l="0" t="0" r="0" b="0"/>
                <wp:wrapNone/>
                <wp:docPr id="164" name="0001a7"/>
                <wp:cNvGraphicFramePr/>
                <a:graphic xmlns:a="http://schemas.openxmlformats.org/drawingml/2006/main">
                  <a:graphicData uri="http://schemas.microsoft.com/office/word/2010/wordprocessingShape">
                    <wps:wsp>
                      <wps:cNvSpPr txBox="1"/>
                      <wps:spPr>
                        <a:xfrm>
                          <a:off x="0" y="0"/>
                          <a:ext cx="832485" cy="598170"/>
                        </a:xfrm>
                        <a:prstGeom prst="rect">
                          <a:avLst/>
                        </a:prstGeom>
                        <a:noFill/>
                        <a:ln>
                          <a:noFill/>
                        </a:ln>
                        <a:effectLst/>
                      </wps:spPr>
                      <wps:txbx>
                        <w:txbxContent>
                          <w:p w14:paraId="31976783">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p w14:paraId="54FEF11E"/>
                        </w:txbxContent>
                      </wps:txbx>
                      <wps:bodyPr wrap="square" upright="1"/>
                    </wps:wsp>
                  </a:graphicData>
                </a:graphic>
              </wp:anchor>
            </w:drawing>
          </mc:Choice>
          <mc:Fallback>
            <w:pict>
              <v:shape id="0001a7" o:spid="_x0000_s1026" o:spt="202" type="#_x0000_t202" style="position:absolute;left:0pt;margin-left:-8pt;margin-top:1.45pt;height:47.1pt;width:65.55pt;z-index:251826176;mso-width-relative:page;mso-height-relative:page;" filled="f" stroked="f" coordsize="21600,21600" o:gfxdata="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NqHbdUAAAAI&#10;AQAADwAAAAAAAAABACAAAAAiAAAAZHJzL2Rvd25yZXYueG1sUEsBAhQAFAAAAAgAh07iQG1LkBSt&#10;AQAAZgMAAA4AAAAAAAAAAQAgAAAAJAEAAGRycy9lMm9Eb2MueG1sUEsFBgAAAAAGAAYAWQEAAEMF&#10;AAAAAA==&#10;">
                <v:fill on="f" focussize="0,0"/>
                <v:stroke on="f"/>
                <v:imagedata o:title=""/>
                <o:lock v:ext="edit" aspectratio="f"/>
                <v:textbox>
                  <w:txbxContent>
                    <w:p w14:paraId="31976783">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p w14:paraId="54FEF11E"/>
                  </w:txbxContent>
                </v:textbox>
              </v:shape>
            </w:pict>
          </mc:Fallback>
        </mc:AlternateContent>
      </w:r>
      <w:r>
        <w:rPr>
          <w:rFonts w:hint="eastAsia" w:ascii="仿宋" w:hAnsi="仿宋" w:eastAsia="仿宋" w:cs="仿宋"/>
          <w:color w:val="auto"/>
          <w:highlight w:val="none"/>
          <w:lang w:eastAsia="zh-CN"/>
        </w:rPr>
        <w:t>39.3.1承包人应根据发包人审查批准或备案的BIM技术应用工作方案、发包人要求并依据有关技术标准开展BIM技术应用。具体应用内容和要求，由合同双方在专用条款和发包人要求中约定。</w:t>
      </w:r>
    </w:p>
    <w:p w14:paraId="1E7E9330">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39.3.2勘察阶段，承包人应采用BIM技术建立与相关勘察图纸配套的建筑信息模型（BIM）。</w:t>
      </w:r>
    </w:p>
    <w:p w14:paraId="29792DF2">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39.3.3在初步设计阶段，承包人应采用BIM技术进行正向设计或建模与出图同步完成的设计方式，建立本工程的建筑信息模型（BIM）并出具初步设计文件。</w:t>
      </w:r>
    </w:p>
    <w:p w14:paraId="7148F4C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39.3.4在施工图设计阶段，承包人应根据初步设计文件采用传统设计方法与BIM技术相结合，建立本工程的建筑信息模型（BIM）；或根据初步设计阶段建立的建筑信息模型（BIM）和初步设计文件，通过正向设计或建模与出图同步完成的设计方式，深化完善建筑信息模型（BIM）并出具施工图。建筑信息模型（BIM）技术应用的模型精细度、几何表达精度和信息深度要求应符合国家、广东省和广州市发布的有关建筑信息模型应用规范与标准。</w:t>
      </w:r>
    </w:p>
    <w:p w14:paraId="43B5D44A">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39.3.5施工阶段，承包人应采用BIM技术编制施工方案和绿色安全防护措施，优化施工工艺流程，建立BIM信息管理平台，统筹协调施工进度。</w:t>
      </w:r>
    </w:p>
    <w:p w14:paraId="506037F8">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39.3.6竣工验收阶段，承包人应在施工图与建筑信息模型（BIM）的基础上，结合设计变更、签证、管线碰撞检查等资料，采用正向设计或建模与出图同步完成的设计方式修改、完善建筑信息模型（BIM）、出具竣工图，并配合政府行政主管部门的要求，采用建筑信息模型（BIM）进行竣工验收备案。</w:t>
      </w:r>
    </w:p>
    <w:p w14:paraId="63C4A649">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39.3.7运维阶段（如果有），承包人应按发包人要求和专用条款的约定，建立运营维护所需要的建筑信息模型（BIM）。</w:t>
      </w:r>
    </w:p>
    <w:p w14:paraId="22237DE5">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39.3.8承包人宜应用BIM技术方法，进行工程计量、计价，编制本项目工程的概算、施工图预算、竣工结算等造价文件，并配合发包人及造价咨询人的审核。</w:t>
      </w:r>
    </w:p>
    <w:p w14:paraId="7954B16C">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39.3.9承包人应协助发包人建立基于BIM技术的项目信息管理平台，为发包人及设计顾问人、监理人、造价咨询人等相关方正确使用建筑信息模型（BIM）开展相关工程技术、质量、安全、绿色环保、建材集中采购、进度与造价管理工作提供必要的指导和协助。</w:t>
      </w:r>
    </w:p>
    <w:p w14:paraId="2F139FE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39.3.10发包人、政府有关部门、施工图审查机构对设计文件审查有BIM技术应用要求的，承包人应予以配合执行。</w:t>
      </w:r>
    </w:p>
    <w:p w14:paraId="3821A44D">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827200" behindDoc="0" locked="0" layoutInCell="1" allowOverlap="1">
                <wp:simplePos x="0" y="0"/>
                <wp:positionH relativeFrom="column">
                  <wp:posOffset>-102870</wp:posOffset>
                </wp:positionH>
                <wp:positionV relativeFrom="paragraph">
                  <wp:posOffset>278765</wp:posOffset>
                </wp:positionV>
                <wp:extent cx="794385" cy="541020"/>
                <wp:effectExtent l="0" t="0" r="0" b="0"/>
                <wp:wrapNone/>
                <wp:docPr id="165" name="0001a8"/>
                <wp:cNvGraphicFramePr/>
                <a:graphic xmlns:a="http://schemas.openxmlformats.org/drawingml/2006/main">
                  <a:graphicData uri="http://schemas.microsoft.com/office/word/2010/wordprocessingShape">
                    <wps:wsp>
                      <wps:cNvSpPr txBox="1"/>
                      <wps:spPr>
                        <a:xfrm>
                          <a:off x="0" y="0"/>
                          <a:ext cx="794385" cy="541020"/>
                        </a:xfrm>
                        <a:prstGeom prst="rect">
                          <a:avLst/>
                        </a:prstGeom>
                        <a:noFill/>
                        <a:ln>
                          <a:noFill/>
                        </a:ln>
                        <a:effectLst/>
                      </wps:spPr>
                      <wps:txbx>
                        <w:txbxContent>
                          <w:p w14:paraId="5B472B11">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p w14:paraId="1BFA44F4">
                            <w:pPr>
                              <w:rPr>
                                <w:lang w:eastAsia="zh-CN"/>
                              </w:rPr>
                            </w:pPr>
                          </w:p>
                        </w:txbxContent>
                      </wps:txbx>
                      <wps:bodyPr wrap="square" upright="1"/>
                    </wps:wsp>
                  </a:graphicData>
                </a:graphic>
              </wp:anchor>
            </w:drawing>
          </mc:Choice>
          <mc:Fallback>
            <w:pict>
              <v:shape id="0001a8" o:spid="_x0000_s1026" o:spt="202" type="#_x0000_t202" style="position:absolute;left:0pt;margin-left:-8.1pt;margin-top:21.95pt;height:42.6pt;width:62.55pt;z-index:251827200;mso-width-relative:page;mso-height-relative:page;" filled="f" stroked="f" coordsize="21600,21600" o:gfxdata="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1KzXjXAAAA&#10;CgEAAA8AAAAAAAAAAQAgAAAAIgAAAGRycy9kb3ducmV2LnhtbFBLAQIUABQAAAAIAIdO4kACMH28&#10;rAEAAGYDAAAOAAAAAAAAAAEAIAAAACYBAABkcnMvZTJvRG9jLnhtbFBLBQYAAAAABgAGAFkBAABE&#10;BQAAAAA=&#10;">
                <v:fill on="f" focussize="0,0"/>
                <v:stroke on="f"/>
                <v:imagedata o:title=""/>
                <o:lock v:ext="edit" aspectratio="f"/>
                <v:textbox>
                  <w:txbxContent>
                    <w:p w14:paraId="5B472B11">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p w14:paraId="1BFA44F4">
                      <w:pPr>
                        <w:rPr>
                          <w:lang w:eastAsia="zh-CN"/>
                        </w:rPr>
                      </w:pPr>
                    </w:p>
                  </w:txbxContent>
                </v:textbox>
              </v:shape>
            </w:pict>
          </mc:Fallback>
        </mc:AlternateContent>
      </w:r>
      <w:r>
        <w:rPr>
          <w:rFonts w:hint="eastAsia" w:ascii="仿宋" w:hAnsi="仿宋" w:eastAsia="仿宋" w:cs="仿宋"/>
          <w:b/>
          <w:bCs/>
          <w:color w:val="auto"/>
          <w:highlight w:val="none"/>
          <w:lang w:eastAsia="zh-CN"/>
        </w:rPr>
        <w:t>39.4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315B914">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39.4.1承包人向发包人提交建筑信息模型（BIM）及有关应用成果的方式和时间，由双方在专用条款中约定。发包人要求增加的服务内容和成果，费用由发包人承担；承包人内部使用建筑信息模型（BIM）或增加工作量，其费用由承包人自己承担。</w:t>
      </w:r>
    </w:p>
    <w:p w14:paraId="339BAE10">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39.4.2承包人完成各阶段的建筑信息模型（BIM）及有关应用成果后，发包人应及时组织评审或审查，审查内容和标准在发包人要求中明确。发包人应及时签收建筑信息模型（BIM）及有关应用成果、确认相应工作完成时间，并按专用条款约定计付BIM技术应用费。</w:t>
      </w:r>
    </w:p>
    <w:p w14:paraId="3CBCFB0C">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39.4.3</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各阶段BIM模型及有关应用成果</w:t>
      </w:r>
      <w:r>
        <w:rPr>
          <w:rFonts w:ascii="仿宋" w:hAnsi="仿宋" w:eastAsia="仿宋"/>
          <w:color w:val="auto"/>
          <w:highlight w:val="none"/>
          <w:lang w:eastAsia="zh-CN"/>
        </w:rPr>
        <w:t>存在遗漏、错误的，承包人应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因此对相关设计、采购、施工等造成的工期延误及费用增加由承包人承担。</w:t>
      </w:r>
    </w:p>
    <w:p w14:paraId="3C5E7A38">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828224" behindDoc="0" locked="0" layoutInCell="1" allowOverlap="1">
                <wp:simplePos x="0" y="0"/>
                <wp:positionH relativeFrom="column">
                  <wp:posOffset>-102870</wp:posOffset>
                </wp:positionH>
                <wp:positionV relativeFrom="paragraph">
                  <wp:posOffset>278765</wp:posOffset>
                </wp:positionV>
                <wp:extent cx="785495" cy="493395"/>
                <wp:effectExtent l="0" t="0" r="0" b="0"/>
                <wp:wrapNone/>
                <wp:docPr id="166" name="0001a9"/>
                <wp:cNvGraphicFramePr/>
                <a:graphic xmlns:a="http://schemas.openxmlformats.org/drawingml/2006/main">
                  <a:graphicData uri="http://schemas.microsoft.com/office/word/2010/wordprocessingShape">
                    <wps:wsp>
                      <wps:cNvSpPr txBox="1"/>
                      <wps:spPr>
                        <a:xfrm>
                          <a:off x="0" y="0"/>
                          <a:ext cx="785495" cy="493395"/>
                        </a:xfrm>
                        <a:prstGeom prst="rect">
                          <a:avLst/>
                        </a:prstGeom>
                        <a:noFill/>
                        <a:ln>
                          <a:noFill/>
                        </a:ln>
                        <a:effectLst/>
                      </wps:spPr>
                      <wps:txbx>
                        <w:txbxContent>
                          <w:p w14:paraId="4F87271B">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p w14:paraId="48537067">
                            <w:pPr>
                              <w:rPr>
                                <w:lang w:eastAsia="zh-CN"/>
                              </w:rPr>
                            </w:pPr>
                          </w:p>
                        </w:txbxContent>
                      </wps:txbx>
                      <wps:bodyPr wrap="square" upright="1"/>
                    </wps:wsp>
                  </a:graphicData>
                </a:graphic>
              </wp:anchor>
            </w:drawing>
          </mc:Choice>
          <mc:Fallback>
            <w:pict>
              <v:shape id="0001a9" o:spid="_x0000_s1026" o:spt="202" type="#_x0000_t202" style="position:absolute;left:0pt;margin-left:-8.1pt;margin-top:21.95pt;height:38.85pt;width:61.85pt;z-index:251828224;mso-width-relative:page;mso-height-relative:page;" filled="f" stroked="f" coordsize="21600,21600" o:gfxdata="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fH6vjYAAAA&#10;CgEAAA8AAAAAAAAAAQAgAAAAIgAAAGRycy9kb3ducmV2LnhtbFBLAQIUABQAAAAIAIdO4kCqKwyp&#10;qwEAAGYDAAAOAAAAAAAAAAEAIAAAACcBAABkcnMvZTJvRG9jLnhtbFBLBQYAAAAABgAGAFkBAABE&#10;BQAAAAA=&#10;">
                <v:fill on="f" focussize="0,0"/>
                <v:stroke on="f"/>
                <v:imagedata o:title=""/>
                <o:lock v:ext="edit" aspectratio="f"/>
                <v:textbox>
                  <w:txbxContent>
                    <w:p w14:paraId="4F87271B">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p w14:paraId="48537067">
                      <w:pPr>
                        <w:rPr>
                          <w:lang w:eastAsia="zh-CN"/>
                        </w:rPr>
                      </w:pPr>
                    </w:p>
                  </w:txbxContent>
                </v:textbox>
              </v:shape>
            </w:pict>
          </mc:Fallback>
        </mc:AlternateContent>
      </w:r>
      <w:r>
        <w:rPr>
          <w:rFonts w:hint="eastAsia" w:ascii="仿宋" w:hAnsi="仿宋" w:eastAsia="仿宋" w:cs="仿宋"/>
          <w:b/>
          <w:bCs/>
          <w:color w:val="auto"/>
          <w:highlight w:val="none"/>
          <w:lang w:eastAsia="zh-CN"/>
        </w:rPr>
        <w:t>39.5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C0A7C12">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发包人及政府有关部门基于设计文件审查需要承包人提供建筑信息模型（BIM）的，相关审查按第38.6款约定执行。</w:t>
      </w:r>
    </w:p>
    <w:p w14:paraId="22673926">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829248" behindDoc="0" locked="0" layoutInCell="1" allowOverlap="1">
                <wp:simplePos x="0" y="0"/>
                <wp:positionH relativeFrom="column">
                  <wp:posOffset>-102870</wp:posOffset>
                </wp:positionH>
                <wp:positionV relativeFrom="paragraph">
                  <wp:posOffset>278765</wp:posOffset>
                </wp:positionV>
                <wp:extent cx="813435" cy="569595"/>
                <wp:effectExtent l="0" t="0" r="0" b="0"/>
                <wp:wrapNone/>
                <wp:docPr id="167" name="0001aa"/>
                <wp:cNvGraphicFramePr/>
                <a:graphic xmlns:a="http://schemas.openxmlformats.org/drawingml/2006/main">
                  <a:graphicData uri="http://schemas.microsoft.com/office/word/2010/wordprocessingShape">
                    <wps:wsp>
                      <wps:cNvSpPr txBox="1"/>
                      <wps:spPr>
                        <a:xfrm>
                          <a:off x="0" y="0"/>
                          <a:ext cx="813435" cy="569595"/>
                        </a:xfrm>
                        <a:prstGeom prst="rect">
                          <a:avLst/>
                        </a:prstGeom>
                        <a:noFill/>
                        <a:ln>
                          <a:noFill/>
                        </a:ln>
                        <a:effectLst/>
                      </wps:spPr>
                      <wps:txbx>
                        <w:txbxContent>
                          <w:p w14:paraId="3C060A9E">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p w14:paraId="50095984">
                            <w:pPr>
                              <w:rPr>
                                <w:lang w:eastAsia="zh-CN"/>
                              </w:rPr>
                            </w:pPr>
                          </w:p>
                        </w:txbxContent>
                      </wps:txbx>
                      <wps:bodyPr wrap="square" upright="1"/>
                    </wps:wsp>
                  </a:graphicData>
                </a:graphic>
              </wp:anchor>
            </w:drawing>
          </mc:Choice>
          <mc:Fallback>
            <w:pict>
              <v:shape id="0001aa" o:spid="_x0000_s1026" o:spt="202" type="#_x0000_t202" style="position:absolute;left:0pt;margin-left:-8.1pt;margin-top:21.95pt;height:44.85pt;width:64.05pt;z-index:251829248;mso-width-relative:page;mso-height-relative:page;" filled="f" stroked="f" coordsize="21600,21600" o:gfxdata="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YHYcL1gAAAAoB&#10;AAAPAAAAAAAAAAEAIAAAACIAAABkcnMvZG93bnJldi54bWxQSwECFAAUAAAACACHTuJA/QvCwqsB&#10;AABmAwAADgAAAAAAAAABACAAAAAlAQAAZHJzL2Uyb0RvYy54bWxQSwUGAAAAAAYABgBZAQAAQgUA&#10;AAAA&#10;">
                <v:fill on="f" focussize="0,0"/>
                <v:stroke on="f"/>
                <v:imagedata o:title=""/>
                <o:lock v:ext="edit" aspectratio="f"/>
                <v:textbox>
                  <w:txbxContent>
                    <w:p w14:paraId="3C060A9E">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p w14:paraId="50095984">
                      <w:pPr>
                        <w:rPr>
                          <w:lang w:eastAsia="zh-CN"/>
                        </w:rPr>
                      </w:pPr>
                    </w:p>
                  </w:txbxContent>
                </v:textbox>
              </v:shape>
            </w:pict>
          </mc:Fallback>
        </mc:AlternateContent>
      </w:r>
      <w:r>
        <w:rPr>
          <w:rFonts w:hint="eastAsia" w:ascii="仿宋" w:hAnsi="仿宋" w:eastAsia="仿宋" w:cs="仿宋"/>
          <w:b/>
          <w:bCs/>
          <w:color w:val="auto"/>
          <w:highlight w:val="none"/>
          <w:lang w:eastAsia="zh-CN"/>
        </w:rPr>
        <w:t>39.6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E1A711C">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BIM技术应用各阶段的建筑信息模（BIM）交付，应符合国家、行业及省市现行有关标准。具体交付标准要求在专用条款中约定。</w:t>
      </w:r>
    </w:p>
    <w:p w14:paraId="3A34B7B7">
      <w:pPr>
        <w:tabs>
          <w:tab w:val="left" w:pos="1620"/>
        </w:tabs>
        <w:spacing w:line="360" w:lineRule="auto"/>
        <w:rPr>
          <w:rFonts w:hint="eastAsia"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243CC847">
      <w:pPr>
        <w:pStyle w:val="23"/>
        <w:spacing w:line="360" w:lineRule="auto"/>
        <w:ind w:right="-238"/>
        <w:jc w:val="center"/>
        <w:outlineLvl w:val="1"/>
        <w:rPr>
          <w:rFonts w:ascii="仿宋" w:hAnsi="仿宋" w:eastAsia="仿宋"/>
          <w:b/>
          <w:bCs/>
          <w:color w:val="auto"/>
          <w:sz w:val="24"/>
          <w:szCs w:val="24"/>
          <w:highlight w:val="none"/>
          <w:lang w:eastAsia="zh-CN"/>
        </w:rPr>
      </w:pPr>
      <w:bookmarkStart w:id="601" w:name="_Toc6350"/>
      <w:bookmarkStart w:id="602" w:name="_Toc17146"/>
      <w:bookmarkStart w:id="603" w:name="_Toc22798"/>
      <w:bookmarkStart w:id="604" w:name="_Toc12479"/>
      <w:bookmarkStart w:id="605" w:name="_Toc47694313"/>
      <w:bookmarkStart w:id="606" w:name="_Toc30928"/>
      <w:bookmarkStart w:id="607" w:name="_Toc25335"/>
      <w:bookmarkStart w:id="608" w:name="_Toc22620"/>
      <w:r>
        <w:rPr>
          <w:rFonts w:hint="eastAsia" w:ascii="仿宋" w:hAnsi="仿宋" w:eastAsia="仿宋" w:cs="仿宋"/>
          <w:b/>
          <w:bCs/>
          <w:color w:val="auto"/>
          <w:sz w:val="24"/>
          <w:szCs w:val="24"/>
          <w:highlight w:val="none"/>
          <w:lang w:eastAsia="zh-CN"/>
        </w:rPr>
        <w:t>五、工</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期</w:t>
      </w:r>
      <w:bookmarkEnd w:id="601"/>
      <w:bookmarkEnd w:id="602"/>
      <w:bookmarkEnd w:id="603"/>
      <w:bookmarkEnd w:id="604"/>
      <w:bookmarkEnd w:id="605"/>
      <w:bookmarkEnd w:id="606"/>
      <w:bookmarkEnd w:id="607"/>
      <w:bookmarkEnd w:id="608"/>
    </w:p>
    <w:p w14:paraId="120F26A7">
      <w:pPr>
        <w:pStyle w:val="4"/>
        <w:tabs>
          <w:tab w:val="left" w:pos="420"/>
        </w:tabs>
        <w:spacing w:before="120" w:after="120" w:line="360" w:lineRule="auto"/>
        <w:rPr>
          <w:rFonts w:ascii="仿宋" w:hAnsi="仿宋" w:eastAsia="仿宋" w:cs="仿宋"/>
          <w:color w:val="auto"/>
          <w:sz w:val="24"/>
          <w:szCs w:val="24"/>
          <w:highlight w:val="none"/>
          <w:lang w:eastAsia="zh-CN"/>
        </w:rPr>
      </w:pPr>
      <w:bookmarkStart w:id="609" w:name="_Toc11443"/>
      <w:bookmarkStart w:id="610" w:name="_Toc26745"/>
      <w:bookmarkStart w:id="611" w:name="_Toc47694314"/>
      <w:bookmarkStart w:id="612" w:name="_Toc24035"/>
      <w:bookmarkStart w:id="613" w:name="_Toc24238"/>
      <w:bookmarkStart w:id="614" w:name="_Toc2078"/>
      <w:bookmarkStart w:id="615" w:name="_Toc25472"/>
      <w:bookmarkStart w:id="616" w:name="_Toc21563"/>
      <w:r>
        <w:rPr>
          <w:rFonts w:hint="eastAsia" w:ascii="仿宋" w:hAnsi="仿宋" w:eastAsia="仿宋" w:cs="仿宋"/>
          <w:bCs w:val="0"/>
          <w:color w:val="auto"/>
          <w:sz w:val="24"/>
          <w:szCs w:val="24"/>
          <w:highlight w:val="none"/>
          <w:lang w:eastAsia="zh-CN"/>
        </w:rPr>
        <w:t>40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进度计划和报告</w:t>
      </w:r>
      <w:bookmarkEnd w:id="609"/>
      <w:bookmarkEnd w:id="610"/>
      <w:bookmarkEnd w:id="611"/>
      <w:bookmarkEnd w:id="612"/>
      <w:bookmarkEnd w:id="613"/>
      <w:bookmarkEnd w:id="614"/>
      <w:bookmarkEnd w:id="615"/>
      <w:bookmarkEnd w:id="616"/>
    </w:p>
    <w:p w14:paraId="392F3BB3">
      <w:pPr>
        <w:pStyle w:val="23"/>
        <w:tabs>
          <w:tab w:val="left" w:pos="1620"/>
        </w:tabs>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283845</wp:posOffset>
                </wp:positionV>
                <wp:extent cx="775970" cy="478155"/>
                <wp:effectExtent l="0" t="0" r="0" b="0"/>
                <wp:wrapNone/>
                <wp:docPr id="168" name="0001ab"/>
                <wp:cNvGraphicFramePr/>
                <a:graphic xmlns:a="http://schemas.openxmlformats.org/drawingml/2006/main">
                  <a:graphicData uri="http://schemas.microsoft.com/office/word/2010/wordprocessingShape">
                    <wps:wsp>
                      <wps:cNvSpPr txBox="1"/>
                      <wps:spPr>
                        <a:xfrm>
                          <a:off x="0" y="0"/>
                          <a:ext cx="775970" cy="478155"/>
                        </a:xfrm>
                        <a:prstGeom prst="rect">
                          <a:avLst/>
                        </a:prstGeom>
                        <a:noFill/>
                        <a:ln>
                          <a:noFill/>
                        </a:ln>
                        <a:effectLst/>
                      </wps:spPr>
                      <wps:txbx>
                        <w:txbxContent>
                          <w:p w14:paraId="43E80D98">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p w14:paraId="3B1763D3"/>
                        </w:txbxContent>
                      </wps:txbx>
                      <wps:bodyPr wrap="square" upright="1"/>
                    </wps:wsp>
                  </a:graphicData>
                </a:graphic>
              </wp:anchor>
            </w:drawing>
          </mc:Choice>
          <mc:Fallback>
            <w:pict>
              <v:shape id="0001ab" o:spid="_x0000_s1026" o:spt="202" type="#_x0000_t202" style="position:absolute;left:0pt;margin-left:-9pt;margin-top:22.35pt;height:37.65pt;width:61.1pt;z-index:251830272;mso-width-relative:page;mso-height-relative:page;" filled="f" stroked="f" coordsize="21600,21600" o:gfxdata="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eYW9DWAAAACgEA&#10;AA8AAAAAAAAAAQAgAAAAIgAAAGRycy9kb3ducmV2LnhtbFBLAQIUABQAAAAIAIdO4kDj0et8qgEA&#10;AGYDAAAOAAAAAAAAAAEAIAAAACUBAABkcnMvZTJvRG9jLnhtbFBLBQYAAAAABgAGAFkBAABBBQAA&#10;AAA=&#10;">
                <v:fill on="f" focussize="0,0"/>
                <v:stroke on="f"/>
                <v:imagedata o:title=""/>
                <o:lock v:ext="edit" aspectratio="f"/>
                <v:textbox>
                  <w:txbxContent>
                    <w:p w14:paraId="43E80D98">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p w14:paraId="3B1763D3"/>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.1</w:t>
      </w:r>
    </w:p>
    <w:p w14:paraId="3D504ACA">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在本合同生效后的14天内，向发包人提交一式三份（或约定其他的份数）工程进度计划，包括勘察工作计划（如果有）、初步设计和（或）施工图设计工作计划、BIM技术应用工作计划、设备及工器具购置工作计划（如果有）、施工组织设计和施工进度计划。发包人、设计顾问人或监理人应在收到工程进度计划后的21天内予以确认或提出修改意见，逾期不确认也不提出书面意见的，视为同意。工程进度计划，应对合同工程的总承包范围内的全部工作内容，提出总体上的勘察方法、设计方法、施工方法、施工安排、作业顺序和时间表。合同约定有单项工程的，承包人还应编制单项工程进度计划。</w:t>
      </w:r>
    </w:p>
    <w:p w14:paraId="6526236A">
      <w:pPr>
        <w:pStyle w:val="23"/>
        <w:tabs>
          <w:tab w:val="left" w:pos="1620"/>
        </w:tabs>
        <w:spacing w:line="360" w:lineRule="auto"/>
        <w:rPr>
          <w:rFonts w:hint="eastAsia"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281305</wp:posOffset>
                </wp:positionV>
                <wp:extent cx="775970" cy="554355"/>
                <wp:effectExtent l="0" t="0" r="0" b="0"/>
                <wp:wrapNone/>
                <wp:docPr id="169" name="0001ac"/>
                <wp:cNvGraphicFramePr/>
                <a:graphic xmlns:a="http://schemas.openxmlformats.org/drawingml/2006/main">
                  <a:graphicData uri="http://schemas.microsoft.com/office/word/2010/wordprocessingShape">
                    <wps:wsp>
                      <wps:cNvSpPr txBox="1"/>
                      <wps:spPr>
                        <a:xfrm>
                          <a:off x="0" y="0"/>
                          <a:ext cx="775970" cy="554355"/>
                        </a:xfrm>
                        <a:prstGeom prst="rect">
                          <a:avLst/>
                        </a:prstGeom>
                        <a:noFill/>
                        <a:ln>
                          <a:noFill/>
                        </a:ln>
                        <a:effectLst/>
                      </wps:spPr>
                      <wps:txbx>
                        <w:txbxContent>
                          <w:p w14:paraId="0BBC2F8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p w14:paraId="3B893B0E"/>
                        </w:txbxContent>
                      </wps:txbx>
                      <wps:bodyPr wrap="square" upright="1"/>
                    </wps:wsp>
                  </a:graphicData>
                </a:graphic>
              </wp:anchor>
            </w:drawing>
          </mc:Choice>
          <mc:Fallback>
            <w:pict>
              <v:shape id="0001ac" o:spid="_x0000_s1026" o:spt="202" type="#_x0000_t202" style="position:absolute;left:0pt;margin-left:-9pt;margin-top:22.15pt;height:43.65pt;width:61.1pt;z-index:251831296;mso-width-relative:page;mso-height-relative:page;" filled="f" stroked="f" coordsize="21600,21600" o:gfxdata="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31p2dgAAAAK&#10;AQAADwAAAAAAAAABACAAAAAiAAAAZHJzL2Rvd25yZXYueG1sUEsBAhQAFAAAAAgAh07iQPoRLcqq&#10;AQAAZgMAAA4AAAAAAAAAAQAgAAAAJwEAAGRycy9lMm9Eb2MueG1sUEsFBgAAAAAGAAYAWQEAAEMF&#10;AAAAAA==&#10;">
                <v:fill on="f" focussize="0,0"/>
                <v:stroke on="f"/>
                <v:imagedata o:title=""/>
                <o:lock v:ext="edit" aspectratio="f"/>
                <v:textbox>
                  <w:txbxContent>
                    <w:p w14:paraId="0BBC2F8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p w14:paraId="3B893B0E"/>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0613FA35">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承包人应按照经设计顾问人或监理人确认并由其报发包人批准的进度计划组织勘察（如果有）、</w:t>
      </w:r>
      <w:r>
        <w:rPr>
          <w:rFonts w:hint="eastAsia" w:ascii="仿宋" w:hAnsi="仿宋" w:eastAsia="仿宋"/>
          <w:color w:val="auto"/>
          <w:sz w:val="24"/>
          <w:szCs w:val="24"/>
          <w:highlight w:val="none"/>
          <w:lang w:eastAsia="zh-CN"/>
        </w:rPr>
        <w:t>初步设计和（或）施工图</w:t>
      </w:r>
      <w:r>
        <w:rPr>
          <w:rFonts w:hint="eastAsia" w:ascii="仿宋" w:hAnsi="仿宋" w:eastAsia="仿宋" w:cs="仿宋"/>
          <w:color w:val="auto"/>
          <w:sz w:val="24"/>
          <w:szCs w:val="24"/>
          <w:highlight w:val="none"/>
          <w:lang w:eastAsia="zh-CN"/>
        </w:rPr>
        <w:t>设计、BIM技术应用、设备及工器具购置（如果有）、施工，接受监理人、设计顾问人对工程进度的监督和检查。</w:t>
      </w:r>
    </w:p>
    <w:p w14:paraId="1249128C">
      <w:pPr>
        <w:pStyle w:val="23"/>
        <w:tabs>
          <w:tab w:val="left" w:pos="1620"/>
        </w:tabs>
        <w:spacing w:line="36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265430</wp:posOffset>
                </wp:positionV>
                <wp:extent cx="851535" cy="673735"/>
                <wp:effectExtent l="0" t="0" r="0" b="0"/>
                <wp:wrapNone/>
                <wp:docPr id="170" name="0001ad"/>
                <wp:cNvGraphicFramePr/>
                <a:graphic xmlns:a="http://schemas.openxmlformats.org/drawingml/2006/main">
                  <a:graphicData uri="http://schemas.microsoft.com/office/word/2010/wordprocessingShape">
                    <wps:wsp>
                      <wps:cNvSpPr txBox="1"/>
                      <wps:spPr>
                        <a:xfrm>
                          <a:off x="0" y="0"/>
                          <a:ext cx="851535" cy="673735"/>
                        </a:xfrm>
                        <a:prstGeom prst="rect">
                          <a:avLst/>
                        </a:prstGeom>
                        <a:noFill/>
                        <a:ln>
                          <a:noFill/>
                        </a:ln>
                        <a:effectLst/>
                      </wps:spPr>
                      <wps:txbx>
                        <w:txbxContent>
                          <w:p w14:paraId="29EF904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p w14:paraId="0F341069">
                            <w:pPr>
                              <w:rPr>
                                <w:lang w:eastAsia="zh-CN"/>
                              </w:rPr>
                            </w:pPr>
                          </w:p>
                        </w:txbxContent>
                      </wps:txbx>
                      <wps:bodyPr wrap="square" upright="1"/>
                    </wps:wsp>
                  </a:graphicData>
                </a:graphic>
              </wp:anchor>
            </w:drawing>
          </mc:Choice>
          <mc:Fallback>
            <w:pict>
              <v:shape id="0001ad" o:spid="_x0000_s1026" o:spt="202" type="#_x0000_t202" style="position:absolute;left:0pt;margin-left:-9pt;margin-top:20.9pt;height:53.05pt;width:67.05pt;z-index:251832320;mso-width-relative:page;mso-height-relative:page;" filled="f" stroked="f" coordsize="21600,21600" o:gfxdata="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A0fN/XAAAACgEA&#10;AA8AAAAAAAAAAQAgAAAAIgAAAGRycy9kb3ducmV2LnhtbFBLAQIUABQAAAAIAIdO4kDkw1EQqQEA&#10;AGYDAAAOAAAAAAAAAAEAIAAAACYBAABkcnMvZTJvRG9jLnhtbFBLBQYAAAAABgAGAFkBAABBBQAA&#10;AAA=&#10;">
                <v:fill on="f" focussize="0,0"/>
                <v:stroke on="f"/>
                <v:imagedata o:title=""/>
                <o:lock v:ext="edit" aspectratio="f"/>
                <v:textbox>
                  <w:txbxContent>
                    <w:p w14:paraId="29EF904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p w14:paraId="0F341069">
                      <w:pPr>
                        <w:rPr>
                          <w:lang w:eastAsia="zh-CN"/>
                        </w:rPr>
                      </w:pP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610943FD">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除专用条款另有约定外，承包人应编制每月工程进度报告，同时每季度对进度计划修订一次，并在每月或季结束后的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天内向发包人、设计顾问人或监理人提交上述报告和修订计划一式两份。月进度报告的内容至少应包括：</w:t>
      </w:r>
    </w:p>
    <w:p w14:paraId="22999E9B">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）勘察作业进展情况的图表和说明；</w:t>
      </w:r>
    </w:p>
    <w:p w14:paraId="746C8877">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（2）设计工作进展情况的图表和说明；</w:t>
      </w:r>
    </w:p>
    <w:p w14:paraId="0042E3AC">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（3）BIM技术应用工作进展情况的图表和说明；</w:t>
      </w:r>
    </w:p>
    <w:p w14:paraId="39B9062A">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（4）施工、安装、试验以及其分包人工作等进展情况的图表和说明；</w:t>
      </w:r>
    </w:p>
    <w:p w14:paraId="6A376C7E">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（5）工程材料、工程设备的采购和制造商名称、地点以及进入现场情况；</w:t>
      </w:r>
    </w:p>
    <w:p w14:paraId="7F745975">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（6）装配式构件的生产商名称、地点及采购、运输及进入现场情况；</w:t>
      </w:r>
    </w:p>
    <w:p w14:paraId="218B0C35">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（7）设备及工器具购置工作进展情况的图表和说明；</w:t>
      </w:r>
    </w:p>
    <w:p w14:paraId="10AAC3AD">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（8）索赔情况和安全统计；</w:t>
      </w:r>
    </w:p>
    <w:p w14:paraId="365D7C0B">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（9）实际进度与计划进度的对比，以及为消除延误正在或准备采取的措施。</w:t>
      </w:r>
    </w:p>
    <w:p w14:paraId="77BE08D5">
      <w:pPr>
        <w:pStyle w:val="23"/>
        <w:tabs>
          <w:tab w:val="left" w:pos="1620"/>
        </w:tabs>
        <w:spacing w:line="48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.4   </w:t>
      </w:r>
      <w:r>
        <w:rPr>
          <w:rFonts w:ascii="仿宋" w:hAnsi="仿宋" w:eastAsia="仿宋" w:cs="仿宋"/>
          <w:color w:val="auto"/>
          <w:sz w:val="24"/>
          <w:szCs w:val="24"/>
          <w:highlight w:val="none"/>
          <w:u w:val="dotted"/>
          <w:lang w:eastAsia="zh-CN"/>
        </w:rPr>
        <w:t xml:space="preserve">                                                                              </w:t>
      </w:r>
    </w:p>
    <w:p w14:paraId="7CB97EE4">
      <w:pPr>
        <w:pStyle w:val="23"/>
        <w:widowControl w:val="0"/>
        <w:spacing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41910</wp:posOffset>
                </wp:positionV>
                <wp:extent cx="832485" cy="728980"/>
                <wp:effectExtent l="0" t="0" r="0" b="0"/>
                <wp:wrapNone/>
                <wp:docPr id="171" name="0001ae"/>
                <wp:cNvGraphicFramePr/>
                <a:graphic xmlns:a="http://schemas.openxmlformats.org/drawingml/2006/main">
                  <a:graphicData uri="http://schemas.microsoft.com/office/word/2010/wordprocessingShape">
                    <wps:wsp>
                      <wps:cNvSpPr txBox="1"/>
                      <wps:spPr>
                        <a:xfrm>
                          <a:off x="0" y="0"/>
                          <a:ext cx="832485" cy="728980"/>
                        </a:xfrm>
                        <a:prstGeom prst="rect">
                          <a:avLst/>
                        </a:prstGeom>
                        <a:noFill/>
                        <a:ln>
                          <a:noFill/>
                        </a:ln>
                        <a:effectLst/>
                      </wps:spPr>
                      <wps:txbx>
                        <w:txbxContent>
                          <w:p w14:paraId="38078C1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p w14:paraId="22F34A89">
                            <w:pPr>
                              <w:rPr>
                                <w:lang w:eastAsia="zh-CN"/>
                              </w:rPr>
                            </w:pPr>
                          </w:p>
                        </w:txbxContent>
                      </wps:txbx>
                      <wps:bodyPr wrap="square" upright="1"/>
                    </wps:wsp>
                  </a:graphicData>
                </a:graphic>
              </wp:anchor>
            </w:drawing>
          </mc:Choice>
          <mc:Fallback>
            <w:pict>
              <v:shape id="0001ae" o:spid="_x0000_s1026" o:spt="202" type="#_x0000_t202" style="position:absolute;left:0pt;margin-left:-9pt;margin-top:3.3pt;height:57.4pt;width:65.55pt;z-index:251833344;mso-width-relative:page;mso-height-relative:page;" filled="f" stroked="f" coordsize="21600,21600" o:gfxdata="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Feax/XAAAA&#10;CQEAAA8AAAAAAAAAAQAgAAAAIgAAAGRycy9kb3ducmV2LnhtbFBLAQIUABQAAAAIAIdO4kCvvFoA&#10;rAEAAGYDAAAOAAAAAAAAAAEAIAAAACYBAABkcnMvZTJvRG9jLnhtbFBLBQYAAAAABgAGAFkBAABE&#10;BQAAAAA=&#10;">
                <v:fill on="f" focussize="0,0"/>
                <v:stroke on="f"/>
                <v:imagedata o:title=""/>
                <o:lock v:ext="edit" aspectratio="f"/>
                <v:textbox>
                  <w:txbxContent>
                    <w:p w14:paraId="38078C1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p w14:paraId="22F34A89">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如果发包人、设计顾问人或监理人指出承包人的实际进度和经确认的计划进度不符时，承包人应按照发包人或设计顾问人或监理人的要求提出改进措施，经发包人或设计顾问人或监理人确认后执行。因承包人的原因导致实际进度迟于计划进度的，承包人不但无权就改进措施要求发包人增加任何费用，而且应按照第76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款约定向发包人支付由此产生的误期赔偿费。工程进度计划即使经发包人或设计顾问人或监理人确认，也不能免除承包人按照合同约定应承担的任何责任和应履行的任何义务。</w:t>
      </w:r>
    </w:p>
    <w:p w14:paraId="403D51E3">
      <w:pPr>
        <w:pStyle w:val="23"/>
        <w:spacing w:line="360" w:lineRule="auto"/>
        <w:ind w:right="-238"/>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68D735A0">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617" w:name="_Toc2880"/>
      <w:bookmarkStart w:id="618" w:name="_Toc17911"/>
      <w:bookmarkStart w:id="619" w:name="_Toc24798"/>
      <w:bookmarkStart w:id="620" w:name="_Toc19739"/>
      <w:bookmarkStart w:id="621" w:name="_Toc2162"/>
      <w:bookmarkStart w:id="622" w:name="_Toc11833"/>
      <w:bookmarkStart w:id="623" w:name="_Toc47694315"/>
      <w:bookmarkStart w:id="624" w:name="_Toc8940"/>
      <w:r>
        <w:rPr>
          <w:rFonts w:hint="eastAsia" w:ascii="仿宋" w:hAnsi="仿宋" w:eastAsia="仿宋" w:cs="仿宋"/>
          <w:bCs w:val="0"/>
          <w:color w:val="auto"/>
          <w:sz w:val="24"/>
          <w:szCs w:val="24"/>
          <w:highlight w:val="none"/>
          <w:lang w:eastAsia="zh-CN"/>
        </w:rPr>
        <w:t>41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开始工作或开工</w:t>
      </w:r>
      <w:bookmarkEnd w:id="617"/>
      <w:bookmarkEnd w:id="618"/>
      <w:bookmarkEnd w:id="619"/>
      <w:bookmarkEnd w:id="620"/>
      <w:bookmarkEnd w:id="621"/>
      <w:bookmarkEnd w:id="622"/>
      <w:bookmarkEnd w:id="623"/>
      <w:bookmarkEnd w:id="624"/>
    </w:p>
    <w:p w14:paraId="6105A80B">
      <w:pPr>
        <w:pStyle w:val="23"/>
        <w:tabs>
          <w:tab w:val="left" w:pos="1320"/>
        </w:tabs>
        <w:spacing w:line="360" w:lineRule="auto"/>
        <w:ind w:right="3"/>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247015</wp:posOffset>
                </wp:positionV>
                <wp:extent cx="779780" cy="520065"/>
                <wp:effectExtent l="0" t="0" r="0" b="0"/>
                <wp:wrapNone/>
                <wp:docPr id="172" name="0001af"/>
                <wp:cNvGraphicFramePr/>
                <a:graphic xmlns:a="http://schemas.openxmlformats.org/drawingml/2006/main">
                  <a:graphicData uri="http://schemas.microsoft.com/office/word/2010/wordprocessingShape">
                    <wps:wsp>
                      <wps:cNvSpPr txBox="1"/>
                      <wps:spPr>
                        <a:xfrm>
                          <a:off x="0" y="0"/>
                          <a:ext cx="779780" cy="520065"/>
                        </a:xfrm>
                        <a:prstGeom prst="rect">
                          <a:avLst/>
                        </a:prstGeom>
                        <a:noFill/>
                        <a:ln>
                          <a:noFill/>
                        </a:ln>
                        <a:effectLst/>
                      </wps:spPr>
                      <wps:txbx>
                        <w:txbxContent>
                          <w:p w14:paraId="5503961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p w14:paraId="4E5E41F5"/>
                        </w:txbxContent>
                      </wps:txbx>
                      <wps:bodyPr wrap="square" upright="1"/>
                    </wps:wsp>
                  </a:graphicData>
                </a:graphic>
              </wp:anchor>
            </w:drawing>
          </mc:Choice>
          <mc:Fallback>
            <w:pict>
              <v:shape id="0001af" o:spid="_x0000_s1026" o:spt="202" type="#_x0000_t202" style="position:absolute;left:0pt;margin-left:-9pt;margin-top:19.45pt;height:40.95pt;width:61.4pt;z-index:251834368;mso-width-relative:page;mso-height-relative:page;" filled="f" stroked="f" coordsize="21600,21600" o:gfxdata="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XdFYdcAAAAKAQAA&#10;DwAAAAAAAAABACAAAAAiAAAAZHJzL2Rvd25yZXYueG1sUEsBAhQAFAAAAAgAh07iQJHz8M2oAQAA&#10;ZgMAAA4AAAAAAAAAAQAgAAAAJgEAAGRycy9lMm9Eb2MueG1sUEsFBgAAAAAGAAYAWQEAAEAFAAAA&#10;AA==&#10;">
                <v:fill on="f" focussize="0,0"/>
                <v:stroke on="f"/>
                <v:imagedata o:title=""/>
                <o:lock v:ext="edit" aspectratio="f"/>
                <v:textbox>
                  <w:txbxContent>
                    <w:p w14:paraId="5503961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p w14:paraId="4E5E41F5"/>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.1</w:t>
      </w:r>
    </w:p>
    <w:p w14:paraId="1CE1FCED">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41.1.1承包人开始勘察、设计、BIM技术应用、设备及工器具购置等工作前，应当具备法律规定的工程现场作业条件，并按照法律规定获得了开展工作所需的政府部门许可、批准或备案。</w:t>
      </w:r>
    </w:p>
    <w:p w14:paraId="4BF3B6BE">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41.1.2工程开工必须具备法律规定的开工条件，并已经领取了施工许可证。发包人代表、设计顾问或监理人代表违反本条约定发出的开始工作指令或开工令无效，由发包人承担相应责任。</w:t>
      </w:r>
    </w:p>
    <w:p w14:paraId="37013B11">
      <w:pPr>
        <w:pStyle w:val="23"/>
        <w:tabs>
          <w:tab w:val="left" w:pos="1320"/>
        </w:tabs>
        <w:spacing w:line="360" w:lineRule="auto"/>
        <w:ind w:right="3"/>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242570</wp:posOffset>
                </wp:positionV>
                <wp:extent cx="826770" cy="638175"/>
                <wp:effectExtent l="0" t="0" r="0" b="0"/>
                <wp:wrapNone/>
                <wp:docPr id="173" name="0001b0"/>
                <wp:cNvGraphicFramePr/>
                <a:graphic xmlns:a="http://schemas.openxmlformats.org/drawingml/2006/main">
                  <a:graphicData uri="http://schemas.microsoft.com/office/word/2010/wordprocessingShape">
                    <wps:wsp>
                      <wps:cNvSpPr txBox="1"/>
                      <wps:spPr>
                        <a:xfrm>
                          <a:off x="0" y="0"/>
                          <a:ext cx="826770" cy="638175"/>
                        </a:xfrm>
                        <a:prstGeom prst="rect">
                          <a:avLst/>
                        </a:prstGeom>
                        <a:noFill/>
                        <a:ln>
                          <a:noFill/>
                        </a:ln>
                        <a:effectLst/>
                      </wps:spPr>
                      <wps:txbx>
                        <w:txbxContent>
                          <w:p w14:paraId="68B68BD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p w14:paraId="28AFE86D"/>
                        </w:txbxContent>
                      </wps:txbx>
                      <wps:bodyPr wrap="square" upright="1"/>
                    </wps:wsp>
                  </a:graphicData>
                </a:graphic>
              </wp:anchor>
            </w:drawing>
          </mc:Choice>
          <mc:Fallback>
            <w:pict>
              <v:shape id="0001b0" o:spid="_x0000_s1026" o:spt="202" type="#_x0000_t202" style="position:absolute;left:0pt;margin-left:-9pt;margin-top:19.1pt;height:50.25pt;width:65.1pt;z-index:251835392;mso-width-relative:page;mso-height-relative:page;" filled="f" stroked="f" coordsize="21600,21600" o:gfxdata="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EIH2QXXAAAACgEA&#10;AA8AAAAAAAAAAQAgAAAAIgAAAGRycy9kb3ducmV2LnhtbFBLAQIUABQAAAAIAIdO4kBxq84hqQEA&#10;AGYDAAAOAAAAAAAAAAEAIAAAACYBAABkcnMvZTJvRG9jLnhtbFBLBQYAAAAABgAGAFkBAABBBQAA&#10;AAA=&#10;">
                <v:fill on="f" focussize="0,0"/>
                <v:stroke on="f"/>
                <v:imagedata o:title=""/>
                <o:lock v:ext="edit" aspectratio="f"/>
                <v:textbox>
                  <w:txbxContent>
                    <w:p w14:paraId="68B68BD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p w14:paraId="28AFE86D"/>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4FF370CD">
      <w:pPr>
        <w:pStyle w:val="23"/>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41.2.1承包人应在具备工程现场作业条件或获得相关许可、批准或备案后的14天内，向发包人代表、设计顾问人或监理人代表提交开始工作的申请书，并附上表明已做好开始该项工作准备的有关资料。除专用条款另有约定外，发包人代表、设计顾问人或监理人代表应在收到承包人申请后的7天内报发包人批准后向承包人发出开始工作指令；承包人应在接到开始工作指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天内开始工作，并一直保持该项工作连续进行，直至其被改变为止。</w:t>
      </w:r>
    </w:p>
    <w:p w14:paraId="79215B31">
      <w:pPr>
        <w:pStyle w:val="23"/>
        <w:spacing w:line="360" w:lineRule="auto"/>
        <w:ind w:left="1850" w:leftChars="771" w:right="3"/>
        <w:rPr>
          <w:rFonts w:hint="eastAsia"/>
          <w:color w:val="auto"/>
          <w:highlight w:val="none"/>
          <w:lang w:eastAsia="zh-CN"/>
        </w:rPr>
      </w:pPr>
      <w:r>
        <w:rPr>
          <w:rFonts w:hint="eastAsia" w:ascii="仿宋" w:hAnsi="仿宋" w:eastAsia="仿宋" w:cs="仿宋"/>
          <w:color w:val="auto"/>
          <w:sz w:val="24"/>
          <w:szCs w:val="24"/>
          <w:highlight w:val="none"/>
          <w:lang w:eastAsia="zh-CN"/>
        </w:rPr>
        <w:t>41.2.2承包人应在本合同工程施工图审查批准或备案后的28天内，向发包人代表、设计顾问人代表或监理人代表提交开工申请书，并附上表明已做好开工准备的有关资料。除专用条款另有约定外，发包人代表或监理人代表应在本合同工程施工图审查批准或备案后的</w:t>
      </w:r>
      <w:r>
        <w:rPr>
          <w:rFonts w:ascii="仿宋" w:hAnsi="仿宋" w:eastAsia="仿宋" w:cs="仿宋"/>
          <w:color w:val="auto"/>
          <w:sz w:val="24"/>
          <w:szCs w:val="24"/>
          <w:highlight w:val="none"/>
          <w:lang w:eastAsia="zh-CN"/>
        </w:rPr>
        <w:t>42</w:t>
      </w:r>
      <w:r>
        <w:rPr>
          <w:rFonts w:hint="eastAsia" w:ascii="仿宋" w:hAnsi="仿宋" w:eastAsia="仿宋" w:cs="仿宋"/>
          <w:color w:val="auto"/>
          <w:sz w:val="24"/>
          <w:szCs w:val="24"/>
          <w:highlight w:val="none"/>
          <w:lang w:eastAsia="zh-CN"/>
        </w:rPr>
        <w:t>天内报发包人批准后向承包人发出开工令；承包人应在接到开工令后的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天内开工，并一直保持合同工程连续均衡施工，直至其被改变为止。</w:t>
      </w:r>
    </w:p>
    <w:p w14:paraId="0D750557">
      <w:pPr>
        <w:pStyle w:val="23"/>
        <w:tabs>
          <w:tab w:val="left" w:pos="1320"/>
        </w:tabs>
        <w:spacing w:line="360" w:lineRule="auto"/>
        <w:ind w:right="3"/>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269875</wp:posOffset>
                </wp:positionV>
                <wp:extent cx="861695" cy="1001395"/>
                <wp:effectExtent l="0" t="0" r="0" b="0"/>
                <wp:wrapNone/>
                <wp:docPr id="174" name="0001b1"/>
                <wp:cNvGraphicFramePr/>
                <a:graphic xmlns:a="http://schemas.openxmlformats.org/drawingml/2006/main">
                  <a:graphicData uri="http://schemas.microsoft.com/office/word/2010/wordprocessingShape">
                    <wps:wsp>
                      <wps:cNvSpPr txBox="1"/>
                      <wps:spPr>
                        <a:xfrm>
                          <a:off x="0" y="0"/>
                          <a:ext cx="861695" cy="1001395"/>
                        </a:xfrm>
                        <a:prstGeom prst="rect">
                          <a:avLst/>
                        </a:prstGeom>
                        <a:noFill/>
                        <a:ln>
                          <a:noFill/>
                        </a:ln>
                        <a:effectLst/>
                      </wps:spPr>
                      <wps:txbx>
                        <w:txbxContent>
                          <w:p w14:paraId="53433A2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p w14:paraId="0BD23AC4">
                            <w:pPr>
                              <w:rPr>
                                <w:lang w:eastAsia="zh-CN"/>
                              </w:rPr>
                            </w:pPr>
                          </w:p>
                        </w:txbxContent>
                      </wps:txbx>
                      <wps:bodyPr wrap="square" upright="1"/>
                    </wps:wsp>
                  </a:graphicData>
                </a:graphic>
              </wp:anchor>
            </w:drawing>
          </mc:Choice>
          <mc:Fallback>
            <w:pict>
              <v:shape id="0001b1" o:spid="_x0000_s1026" o:spt="202" type="#_x0000_t202" style="position:absolute;left:0pt;margin-left:-9pt;margin-top:21.25pt;height:78.85pt;width:67.85pt;z-index:251836416;mso-width-relative:page;mso-height-relative:page;" filled="f" stroked="f" coordsize="21600,21600" o:gfxdata="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5sYptcAAAAK&#10;AQAADwAAAAAAAAABACAAAAAiAAAAZHJzL2Rvd25yZXYueG1sUEsBAhQAFAAAAAgAh07iQLJrpTer&#10;AQAAZwMAAA4AAAAAAAAAAQAgAAAAJgEAAGRycy9lMm9Eb2MueG1sUEsFBgAAAAAGAAYAWQEAAEMF&#10;AAAAAA==&#10;">
                <v:fill on="f" focussize="0,0"/>
                <v:stroke on="f"/>
                <v:imagedata o:title=""/>
                <o:lock v:ext="edit" aspectratio="f"/>
                <v:textbox>
                  <w:txbxContent>
                    <w:p w14:paraId="53433A2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p w14:paraId="0BD23AC4">
                      <w:pPr>
                        <w:rPr>
                          <w:lang w:eastAsia="zh-CN"/>
                        </w:rPr>
                      </w:pP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2D49F69E">
      <w:pPr>
        <w:pStyle w:val="23"/>
        <w:spacing w:line="360" w:lineRule="auto"/>
        <w:ind w:left="1850" w:leftChars="771" w:right="3"/>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小时内书面予以答复，否则视为同意。承包人没有合理理由而延期开始工作或开工的，由此造成的损失和延误的工期由承包人承担。</w:t>
      </w:r>
    </w:p>
    <w:p w14:paraId="78CE0826">
      <w:pPr>
        <w:pStyle w:val="23"/>
        <w:tabs>
          <w:tab w:val="left" w:pos="1320"/>
        </w:tabs>
        <w:spacing w:line="360" w:lineRule="auto"/>
        <w:ind w:right="3"/>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rP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237490</wp:posOffset>
                </wp:positionV>
                <wp:extent cx="842645" cy="922020"/>
                <wp:effectExtent l="0" t="0" r="0" b="0"/>
                <wp:wrapNone/>
                <wp:docPr id="175" name="0001b2"/>
                <wp:cNvGraphicFramePr/>
                <a:graphic xmlns:a="http://schemas.openxmlformats.org/drawingml/2006/main">
                  <a:graphicData uri="http://schemas.microsoft.com/office/word/2010/wordprocessingShape">
                    <wps:wsp>
                      <wps:cNvSpPr txBox="1"/>
                      <wps:spPr>
                        <a:xfrm>
                          <a:off x="0" y="0"/>
                          <a:ext cx="842645" cy="922020"/>
                        </a:xfrm>
                        <a:prstGeom prst="rect">
                          <a:avLst/>
                        </a:prstGeom>
                        <a:noFill/>
                        <a:ln>
                          <a:noFill/>
                        </a:ln>
                        <a:effectLst/>
                      </wps:spPr>
                      <wps:txbx>
                        <w:txbxContent>
                          <w:p w14:paraId="7273173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p w14:paraId="58C91513">
                            <w:pPr>
                              <w:rPr>
                                <w:lang w:eastAsia="zh-CN"/>
                              </w:rPr>
                            </w:pPr>
                          </w:p>
                        </w:txbxContent>
                      </wps:txbx>
                      <wps:bodyPr wrap="square" upright="1"/>
                    </wps:wsp>
                  </a:graphicData>
                </a:graphic>
              </wp:anchor>
            </w:drawing>
          </mc:Choice>
          <mc:Fallback>
            <w:pict>
              <v:shape id="0001b2" o:spid="_x0000_s1026" o:spt="202" type="#_x0000_t202" style="position:absolute;left:0pt;margin-left:-9pt;margin-top:18.7pt;height:72.6pt;width:66.35pt;z-index:251837440;mso-width-relative:page;mso-height-relative:page;" filled="f" stroked="f" coordsize="21600,21600" o:gfxdata="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sMOljYAAAA&#10;CgEAAA8AAAAAAAAAAQAgAAAAIgAAAGRycy9kb3ducmV2LnhtbFBLAQIUABQAAAAIAIdO4kB/qtpF&#10;qwEAAGYDAAAOAAAAAAAAAAEAIAAAACcBAABkcnMvZTJvRG9jLnhtbFBLBQYAAAAABgAGAFkBAABE&#10;BQAAAAA=&#10;">
                <v:fill on="f" focussize="0,0"/>
                <v:stroke on="f"/>
                <v:imagedata o:title=""/>
                <o:lock v:ext="edit" aspectratio="f"/>
                <v:textbox>
                  <w:txbxContent>
                    <w:p w14:paraId="7273173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p w14:paraId="58C91513">
                      <w:pPr>
                        <w:rPr>
                          <w:lang w:eastAsia="zh-CN"/>
                        </w:rPr>
                      </w:pPr>
                    </w:p>
                  </w:txbxContent>
                </v:textbox>
              </v:shape>
            </w:pict>
          </mc:Fallback>
        </mc:AlternateContent>
      </w:r>
      <w:r>
        <w:rPr>
          <w:rFonts w:hint="eastAsia" w:ascii="仿宋" w:hAnsi="仿宋" w:eastAsia="仿宋" w:cs="仿宋"/>
          <w:b/>
          <w:bCs/>
          <w:color w:val="auto"/>
          <w:sz w:val="24"/>
          <w:szCs w:val="24"/>
          <w:highlight w:val="none"/>
          <w:lang w:eastAsia="zh-CN"/>
        </w:rPr>
        <w:t xml:space="preserve">41.4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r>
        <w:rPr>
          <w:rFonts w:hint="eastAsia" w:ascii="仿宋" w:hAnsi="仿宋" w:eastAsia="仿宋" w:cs="仿宋"/>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14:paraId="5F2E412E">
      <w:pPr>
        <w:pStyle w:val="23"/>
        <w:spacing w:line="360" w:lineRule="auto"/>
        <w:ind w:left="1850" w:leftChars="771" w:right="3"/>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因发包人的原因不能在第41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款约定的时间内发出开始工作指令或开工令的，发包人或监理人应至少提前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天以书面形式通知承包人推迟开始工作或开工。由此造成的损失由发包人承担，开始工作或开工日期相应顺延。发包人、设计顾问人或监理人未能提前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天通知承包人推迟开工的，由此造成损失的扩大由发包人承担。</w:t>
      </w:r>
    </w:p>
    <w:p w14:paraId="0C22BE37">
      <w:pPr>
        <w:pStyle w:val="23"/>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lang w:eastAsia="zh-CN"/>
        </w:rPr>
        <w:t xml:space="preserve"> </w:t>
      </w:r>
    </w:p>
    <w:p w14:paraId="5F0333A0">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625" w:name="_Toc9043"/>
      <w:bookmarkStart w:id="626" w:name="_Toc5722"/>
      <w:bookmarkStart w:id="627" w:name="_Toc13160"/>
      <w:bookmarkStart w:id="628" w:name="_Toc31198"/>
      <w:bookmarkStart w:id="629" w:name="_Toc28163"/>
      <w:bookmarkStart w:id="630" w:name="_Toc47694316"/>
      <w:bookmarkStart w:id="631" w:name="_Toc3851"/>
      <w:bookmarkStart w:id="632" w:name="_Toc14372"/>
      <w:r>
        <w:rPr>
          <w:rFonts w:hint="eastAsia" w:ascii="仿宋" w:hAnsi="仿宋" w:eastAsia="仿宋" w:cs="仿宋"/>
          <w:bCs w:val="0"/>
          <w:color w:val="auto"/>
          <w:sz w:val="24"/>
          <w:szCs w:val="24"/>
          <w:highlight w:val="none"/>
          <w:lang w:eastAsia="zh-CN"/>
        </w:rPr>
        <w:t>42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暂停工作、暂停施工和复工</w:t>
      </w:r>
      <w:bookmarkEnd w:id="625"/>
      <w:bookmarkEnd w:id="626"/>
      <w:bookmarkEnd w:id="627"/>
      <w:bookmarkEnd w:id="628"/>
      <w:bookmarkEnd w:id="629"/>
      <w:bookmarkEnd w:id="630"/>
      <w:bookmarkEnd w:id="631"/>
      <w:bookmarkEnd w:id="632"/>
    </w:p>
    <w:p w14:paraId="64613081">
      <w:pPr>
        <w:pStyle w:val="23"/>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261620</wp:posOffset>
                </wp:positionV>
                <wp:extent cx="765810" cy="813435"/>
                <wp:effectExtent l="0" t="0" r="0" b="0"/>
                <wp:wrapNone/>
                <wp:docPr id="176" name="0001b3"/>
                <wp:cNvGraphicFramePr/>
                <a:graphic xmlns:a="http://schemas.openxmlformats.org/drawingml/2006/main">
                  <a:graphicData uri="http://schemas.microsoft.com/office/word/2010/wordprocessingShape">
                    <wps:wsp>
                      <wps:cNvSpPr txBox="1"/>
                      <wps:spPr>
                        <a:xfrm>
                          <a:off x="0" y="0"/>
                          <a:ext cx="765810" cy="813435"/>
                        </a:xfrm>
                        <a:prstGeom prst="rect">
                          <a:avLst/>
                        </a:prstGeom>
                        <a:noFill/>
                        <a:ln>
                          <a:noFill/>
                        </a:ln>
                        <a:effectLst/>
                      </wps:spPr>
                      <wps:txbx>
                        <w:txbxContent>
                          <w:p w14:paraId="6E7AD10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p w14:paraId="2DD1773C"/>
                        </w:txbxContent>
                      </wps:txbx>
                      <wps:bodyPr wrap="square" upright="1"/>
                    </wps:wsp>
                  </a:graphicData>
                </a:graphic>
              </wp:anchor>
            </w:drawing>
          </mc:Choice>
          <mc:Fallback>
            <w:pict>
              <v:shape id="0001b3" o:spid="_x0000_s1026" o:spt="202" type="#_x0000_t202" style="position:absolute;left:0pt;margin-left:-9pt;margin-top:20.6pt;height:64.05pt;width:60.3pt;z-index:251838464;mso-width-relative:page;mso-height-relative:page;" filled="f" stroked="f" coordsize="21600,21600" o:gfxdata="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WSZTbYAAAA&#10;CgEAAA8AAAAAAAAAAQAgAAAAIgAAAGRycy9kb3ducmV2LnhtbFBLAQIUABQAAAAIAIdO4kAkvfHP&#10;qwEAAGYDAAAOAAAAAAAAAAEAIAAAACcBAABkcnMvZTJvRG9jLnhtbFBLBQYAAAAABgAGAFkBAABE&#10;BQAAAAA=&#10;">
                <v:fill on="f" focussize="0,0"/>
                <v:stroke on="f"/>
                <v:imagedata o:title=""/>
                <o:lock v:ext="edit" aspectratio="f"/>
                <v:textbox>
                  <w:txbxContent>
                    <w:p w14:paraId="6E7AD10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p w14:paraId="2DD1773C"/>
                  </w:txbxContent>
                </v:textbox>
              </v:shape>
            </w:pict>
          </mc:Fallback>
        </mc:AlternateContent>
      </w:r>
      <w:r>
        <w:rPr>
          <w:rFonts w:hint="eastAsia" w:ascii="仿宋" w:hAnsi="仿宋" w:eastAsia="仿宋" w:cs="仿宋"/>
          <w:b/>
          <w:bCs/>
          <w:color w:val="auto"/>
          <w:sz w:val="24"/>
          <w:szCs w:val="24"/>
          <w:highlight w:val="none"/>
          <w:lang w:eastAsia="zh-CN"/>
        </w:rPr>
        <w:t>42</w:t>
      </w:r>
      <w:r>
        <w:rPr>
          <w:rFonts w:ascii="仿宋" w:hAnsi="仿宋" w:eastAsia="仿宋" w:cs="仿宋"/>
          <w:b/>
          <w:bCs/>
          <w:color w:val="auto"/>
          <w:sz w:val="24"/>
          <w:szCs w:val="24"/>
          <w:highlight w:val="none"/>
          <w:lang w:eastAsia="zh-CN"/>
        </w:rPr>
        <w:t>.1</w:t>
      </w:r>
    </w:p>
    <w:p w14:paraId="2D2E8718">
      <w:pPr>
        <w:pStyle w:val="23"/>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发包人、设计顾问人或监理人认为有必要时，可向承包人发出暂停勘察、暂停设计等暂停工作指令或暂停施工令，并在</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提出处理意见，承包人应按照发包人、设计顾问人或监理人的指令停止某项工作或施工。不论任何原因造成的暂停工作或暂停施工，暂停工作或施工期间承包人应妥善保护已完工作成果或已完工程并提供安全保障。</w:t>
      </w:r>
    </w:p>
    <w:p w14:paraId="416F9D98">
      <w:pPr>
        <w:pStyle w:val="23"/>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因发包人的原因引起暂停施工的合同工程发生紧急情况，且监理人又未及时发出暂停施工令时，承包人可先暂停施工，并及时向监理人提出暂停施工报告。监理人应在收到暂停施工报告后的</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小时内予以答复；逾期未答复的，视为承包人的暂停施工报告被认可。</w:t>
      </w:r>
    </w:p>
    <w:p w14:paraId="72C04DEE">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.2</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5F370F6">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20320</wp:posOffset>
                </wp:positionV>
                <wp:extent cx="842645" cy="608330"/>
                <wp:effectExtent l="0" t="0" r="0" b="0"/>
                <wp:wrapNone/>
                <wp:docPr id="177" name="0001b4"/>
                <wp:cNvGraphicFramePr/>
                <a:graphic xmlns:a="http://schemas.openxmlformats.org/drawingml/2006/main">
                  <a:graphicData uri="http://schemas.microsoft.com/office/word/2010/wordprocessingShape">
                    <wps:wsp>
                      <wps:cNvSpPr txBox="1"/>
                      <wps:spPr>
                        <a:xfrm>
                          <a:off x="0" y="0"/>
                          <a:ext cx="842645" cy="608330"/>
                        </a:xfrm>
                        <a:prstGeom prst="rect">
                          <a:avLst/>
                        </a:prstGeom>
                        <a:noFill/>
                        <a:ln>
                          <a:noFill/>
                        </a:ln>
                        <a:effectLst/>
                      </wps:spPr>
                      <wps:txbx>
                        <w:txbxContent>
                          <w:p w14:paraId="0B264D4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p w14:paraId="0764E50F"/>
                        </w:txbxContent>
                      </wps:txbx>
                      <wps:bodyPr wrap="square" upright="1"/>
                    </wps:wsp>
                  </a:graphicData>
                </a:graphic>
              </wp:anchor>
            </w:drawing>
          </mc:Choice>
          <mc:Fallback>
            <w:pict>
              <v:shape id="0001b4" o:spid="_x0000_s1026" o:spt="202" type="#_x0000_t202" style="position:absolute;left:0pt;margin-left:-9pt;margin-top:1.6pt;height:47.9pt;width:66.35pt;z-index:251839488;mso-width-relative:page;mso-height-relative:page;" filled="f" stroked="f" coordsize="21600,21600" o:gfxdata="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9zgB/NYAAAAI&#10;AQAADwAAAAAAAAABACAAAAAiAAAAZHJzL2Rvd25yZXYueG1sUEsBAhQAFAAAAAgAh07iQPGMppKs&#10;AQAAZgMAAA4AAAAAAAAAAQAgAAAAJQEAAGRycy9lMm9Eb2MueG1sUEsFBgAAAAAGAAYAWQEAAEMF&#10;AAAAAA==&#10;">
                <v:fill on="f" focussize="0,0"/>
                <v:stroke on="f"/>
                <v:imagedata o:title=""/>
                <o:lock v:ext="edit" aspectratio="f"/>
                <v:textbox>
                  <w:txbxContent>
                    <w:p w14:paraId="0B264D4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p w14:paraId="0764E50F"/>
                  </w:txbxContent>
                </v:textbox>
              </v:shape>
            </w:pict>
          </mc:Fallback>
        </mc:AlternateContent>
      </w:r>
      <w:r>
        <w:rPr>
          <w:rFonts w:hint="eastAsia" w:ascii="仿宋" w:hAnsi="仿宋" w:eastAsia="仿宋" w:cs="仿宋"/>
          <w:color w:val="auto"/>
          <w:sz w:val="24"/>
          <w:szCs w:val="24"/>
          <w:highlight w:val="none"/>
          <w:lang w:eastAsia="zh-CN"/>
        </w:rPr>
        <w:t>承包人实施发包人、设计顾问人或监理人的处理意见后，可向发包人、设计顾问人或监理人提交复工报审表要求复工；发包人、设计顾问人或监理人应在收到复工报审表后的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小时内予以答复。具备继续工作条件或复工条件时，发包人、设计顾问人或监理人应立即向承包人发出复工令，承包人应立即组织复工。发包人、设计顾问人或监理人在收到复工报审表后的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小时内未答复也未提出处理意见的，承包人可自行复工，发包人、设计顾问人或监理人应予认可。</w:t>
      </w:r>
    </w:p>
    <w:p w14:paraId="14E98ADF">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承包人无故拖延或拒绝复工的，由此增加的费用和（或）延误的工期由承包人承担；因发包人的原因无法按时复工的，承包人有权要求发包人增加发生的费用和（或）顺延工期，并支付合理利润。</w:t>
      </w:r>
    </w:p>
    <w:p w14:paraId="775DA78D">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14:paraId="3F637FEB">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71755</wp:posOffset>
                </wp:positionV>
                <wp:extent cx="870585" cy="793750"/>
                <wp:effectExtent l="0" t="0" r="0" b="0"/>
                <wp:wrapNone/>
                <wp:docPr id="178" name="0001b5"/>
                <wp:cNvGraphicFramePr/>
                <a:graphic xmlns:a="http://schemas.openxmlformats.org/drawingml/2006/main">
                  <a:graphicData uri="http://schemas.microsoft.com/office/word/2010/wordprocessingShape">
                    <wps:wsp>
                      <wps:cNvSpPr txBox="1"/>
                      <wps:spPr>
                        <a:xfrm>
                          <a:off x="0" y="0"/>
                          <a:ext cx="870585" cy="793750"/>
                        </a:xfrm>
                        <a:prstGeom prst="rect">
                          <a:avLst/>
                        </a:prstGeom>
                        <a:noFill/>
                        <a:ln>
                          <a:noFill/>
                        </a:ln>
                        <a:effectLst/>
                      </wps:spPr>
                      <wps:txbx>
                        <w:txbxContent>
                          <w:p w14:paraId="6F33CBFB">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p w14:paraId="093E2916">
                            <w:pPr>
                              <w:rPr>
                                <w:lang w:eastAsia="zh-CN"/>
                              </w:rPr>
                            </w:pPr>
                          </w:p>
                        </w:txbxContent>
                      </wps:txbx>
                      <wps:bodyPr wrap="square" upright="1"/>
                    </wps:wsp>
                  </a:graphicData>
                </a:graphic>
              </wp:anchor>
            </w:drawing>
          </mc:Choice>
          <mc:Fallback>
            <w:pict>
              <v:shape id="0001b5" o:spid="_x0000_s1026" o:spt="202" type="#_x0000_t202" style="position:absolute;left:0pt;margin-left:-9pt;margin-top:5.65pt;height:62.5pt;width:68.55pt;z-index:251840512;mso-width-relative:page;mso-height-relative:page;" filled="f" stroked="f" coordsize="21600,21600" o:gfxdata="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fvSNvXAAAA&#10;CgEAAA8AAAAAAAAAAQAgAAAAIgAAAGRycy9kb3ducmV2LnhtbFBLAQIUABQAAAAIAIdO4kD+WVwH&#10;rAEAAGYDAAAOAAAAAAAAAAEAIAAAACYBAABkcnMvZTJvRG9jLnhtbFBLBQYAAAAABgAGAFkBAABE&#10;BQAAAAA=&#10;">
                <v:fill on="f" focussize="0,0"/>
                <v:stroke on="f"/>
                <v:imagedata o:title=""/>
                <o:lock v:ext="edit" aspectratio="f"/>
                <v:textbox>
                  <w:txbxContent>
                    <w:p w14:paraId="6F33CBFB">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p w14:paraId="093E2916">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42.3.1非承包人的原因造成某项工作暂停，承包人可尽快向发包人、设计顾问人或监理人提交复工报审表要求复工；发包人、设计顾问人或监理人应在收到复工报审表后的14天内准许复工。如果在上述期限内发包人、设计顾问人或监理人未予准许，则承包人可以作如下选择：</w:t>
      </w:r>
    </w:p>
    <w:p w14:paraId="211CCE88">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（1）如果此项工作暂停仅影响合同工程的一部分时，则根据第63</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2款约定及时提出工程变更或工作变更，取消该部分工程或后续工作，并书面通知发包人，抄送设计顾问人、监理人和造价咨询人；</w:t>
      </w:r>
    </w:p>
    <w:p w14:paraId="345CFA20">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（2）如果此项工作暂停影响整个合同工程时，则根据第92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w:t>
      </w:r>
    </w:p>
    <w:p w14:paraId="333FEBB8">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因承包人的原因引起某项工作暂停，承包人收到发包人、设计顾问人或监理人的复工指令后14天内未采取有效的复工措施，造成工期延误的，发包人可根据第92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w:t>
      </w:r>
    </w:p>
    <w:p w14:paraId="2F26FC0E">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42.3.2非承包人的原因造成暂停施工持续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天以上时，承包人可向设计顾问人或监理人提交复工报审表要求复工；设计顾问人或监理人应在收到复工报审表后的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天内准许复工。如果在上述期限内设计顾问人、监理人未予准许，则承包人可以作如下选择：</w:t>
      </w:r>
    </w:p>
    <w:p w14:paraId="48CD1B44">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（1）如果此项停工仅影响合同工程的一部分时，则根据第64</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2款约定及时提出工程变更，取消该部分工程，并书面通知发包人，抄送设计顾问人、监理人和造价咨询人；</w:t>
      </w:r>
    </w:p>
    <w:p w14:paraId="43655423">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（2）如果此项停工影响整个合同工程时，则根据第92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w:t>
      </w:r>
    </w:p>
    <w:p w14:paraId="46761FD8">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因承包人的原因引起暂停施工持续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天以上，承包人不采取有效的复工措施，造成工期延误的，发包人可根据第92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w:t>
      </w:r>
    </w:p>
    <w:p w14:paraId="69D5ED12">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7FC56E8B">
      <w:pPr>
        <w:pStyle w:val="23"/>
        <w:spacing w:line="360" w:lineRule="auto"/>
        <w:ind w:left="1850" w:leftChars="771" w:firstLine="2"/>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635</wp:posOffset>
                </wp:positionV>
                <wp:extent cx="794385" cy="1221105"/>
                <wp:effectExtent l="0" t="0" r="0" b="0"/>
                <wp:wrapNone/>
                <wp:docPr id="179" name="0001b6"/>
                <wp:cNvGraphicFramePr/>
                <a:graphic xmlns:a="http://schemas.openxmlformats.org/drawingml/2006/main">
                  <a:graphicData uri="http://schemas.microsoft.com/office/word/2010/wordprocessingShape">
                    <wps:wsp>
                      <wps:cNvSpPr txBox="1"/>
                      <wps:spPr>
                        <a:xfrm>
                          <a:off x="0" y="0"/>
                          <a:ext cx="794385" cy="1221105"/>
                        </a:xfrm>
                        <a:prstGeom prst="rect">
                          <a:avLst/>
                        </a:prstGeom>
                        <a:noFill/>
                        <a:ln>
                          <a:noFill/>
                        </a:ln>
                        <a:effectLst/>
                      </wps:spPr>
                      <wps:txbx>
                        <w:txbxContent>
                          <w:p w14:paraId="78C1868E">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p w14:paraId="767F2B98">
                            <w:pPr>
                              <w:rPr>
                                <w:lang w:eastAsia="zh-CN"/>
                              </w:rPr>
                            </w:pPr>
                          </w:p>
                        </w:txbxContent>
                      </wps:txbx>
                      <wps:bodyPr wrap="square" upright="1"/>
                    </wps:wsp>
                  </a:graphicData>
                </a:graphic>
              </wp:anchor>
            </w:drawing>
          </mc:Choice>
          <mc:Fallback>
            <w:pict>
              <v:shape id="0001b6" o:spid="_x0000_s1026" o:spt="202" type="#_x0000_t202" style="position:absolute;left:0pt;margin-left:-9pt;margin-top:0.05pt;height:96.15pt;width:62.55pt;z-index:251841536;mso-width-relative:page;mso-height-relative:page;" filled="f" stroked="f" coordsize="21600,21600" o:gfxdata="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u+ELzUAAAACAEA&#10;AA8AAAAAAAAAAQAgAAAAIgAAAGRycy9kb3ducmV2LnhtbFBLAQIUABQAAAAIAIdO4kACPk2nrAEA&#10;AGcDAAAOAAAAAAAAAAEAIAAAACMBAABkcnMvZTJvRG9jLnhtbFBLBQYAAAAABgAGAFkBAABBBQAA&#10;AAA=&#10;">
                <v:fill on="f" focussize="0,0"/>
                <v:stroke on="f"/>
                <v:imagedata o:title=""/>
                <o:lock v:ext="edit" aspectratio="f"/>
                <v:textbox>
                  <w:txbxContent>
                    <w:p w14:paraId="78C1868E">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p w14:paraId="767F2B98">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因发包人的原因造成暂停工作、暂停施工且引起工期延误的，承包人有权要求发包人增加由此发生的费用和（或）顺延工期，并支付合理利润。</w:t>
      </w:r>
    </w:p>
    <w:p w14:paraId="16AE2BE0">
      <w:pPr>
        <w:pStyle w:val="23"/>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因承包人下列原因造成的暂停工作或暂停施工，增加的费用和（或）延误的工期由承包人承担：</w:t>
      </w:r>
    </w:p>
    <w:p w14:paraId="4D05D3F1">
      <w:pPr>
        <w:pStyle w:val="23"/>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（1）工作失误或违约造成的；</w:t>
      </w:r>
    </w:p>
    <w:p w14:paraId="0EE40F93">
      <w:pPr>
        <w:pStyle w:val="23"/>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（2）为合同工程合理施工和安全保障所必需的；</w:t>
      </w:r>
    </w:p>
    <w:p w14:paraId="7E981FB3">
      <w:pPr>
        <w:pStyle w:val="23"/>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（3）施工现场气候条件（除不可抗力停工外）导致的；</w:t>
      </w:r>
    </w:p>
    <w:p w14:paraId="7C2134A2">
      <w:pPr>
        <w:pStyle w:val="23"/>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（4）擅自停工的；</w:t>
      </w:r>
    </w:p>
    <w:p w14:paraId="0017BF56">
      <w:pPr>
        <w:pStyle w:val="23"/>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（5）专用条款约定的其他原因。</w:t>
      </w:r>
    </w:p>
    <w:p w14:paraId="433040EC">
      <w:pPr>
        <w:pStyle w:val="23"/>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因不可抗力因素造成暂停施工的，按照第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5条约定处理。</w:t>
      </w:r>
    </w:p>
    <w:p w14:paraId="7983D716">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22C3DB6B">
      <w:pPr>
        <w:pStyle w:val="23"/>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42560" behindDoc="0" locked="0" layoutInCell="1" allowOverlap="1">
                <wp:simplePos x="0" y="0"/>
                <wp:positionH relativeFrom="column">
                  <wp:posOffset>-66675</wp:posOffset>
                </wp:positionH>
                <wp:positionV relativeFrom="paragraph">
                  <wp:posOffset>6350</wp:posOffset>
                </wp:positionV>
                <wp:extent cx="861695" cy="990600"/>
                <wp:effectExtent l="0" t="0" r="0" b="0"/>
                <wp:wrapNone/>
                <wp:docPr id="180" name="0001b7"/>
                <wp:cNvGraphicFramePr/>
                <a:graphic xmlns:a="http://schemas.openxmlformats.org/drawingml/2006/main">
                  <a:graphicData uri="http://schemas.microsoft.com/office/word/2010/wordprocessingShape">
                    <wps:wsp>
                      <wps:cNvSpPr txBox="1"/>
                      <wps:spPr>
                        <a:xfrm>
                          <a:off x="0" y="0"/>
                          <a:ext cx="861695" cy="990600"/>
                        </a:xfrm>
                        <a:prstGeom prst="rect">
                          <a:avLst/>
                        </a:prstGeom>
                        <a:noFill/>
                        <a:ln>
                          <a:noFill/>
                        </a:ln>
                        <a:effectLst/>
                      </wps:spPr>
                      <wps:txbx>
                        <w:txbxContent>
                          <w:p w14:paraId="4430F441">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p w14:paraId="39612C06">
                            <w:pPr>
                              <w:rPr>
                                <w:lang w:eastAsia="zh-CN"/>
                              </w:rPr>
                            </w:pPr>
                          </w:p>
                        </w:txbxContent>
                      </wps:txbx>
                      <wps:bodyPr wrap="square" upright="1"/>
                    </wps:wsp>
                  </a:graphicData>
                </a:graphic>
              </wp:anchor>
            </w:drawing>
          </mc:Choice>
          <mc:Fallback>
            <w:pict>
              <v:shape id="0001b7" o:spid="_x0000_s1026" o:spt="202" type="#_x0000_t202" style="position:absolute;left:0pt;margin-left:-5.25pt;margin-top:0.5pt;height:78pt;width:67.85pt;z-index:251842560;mso-width-relative:page;mso-height-relative:page;" filled="f" stroked="f" coordsize="21600,21600" o:gfxdata="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LmxLfDVAAAACQEA&#10;AA8AAAAAAAAAAQAgAAAAIgAAAGRycy9kb3ducmV2LnhtbFBLAQIUABQAAAAIAIdO4kDyntBMqwEA&#10;AGYDAAAOAAAAAAAAAAEAIAAAACQBAABkcnMvZTJvRG9jLnhtbFBLBQYAAAAABgAGAFkBAABBBQAA&#10;AAA=&#10;">
                <v:fill on="f" focussize="0,0"/>
                <v:stroke on="f"/>
                <v:imagedata o:title=""/>
                <o:lock v:ext="edit" aspectratio="f"/>
                <v:textbox>
                  <w:txbxContent>
                    <w:p w14:paraId="4430F441">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p w14:paraId="39612C06">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如果发包人未按照合同约定支付工程勘察费、工程设计费或工程进度款等款项，经催告后在14天或28天（工程勘察费、工程设计费等进度款为14天；工程进度款为28天）内仍未支付的，承包人可以暂停工作或施工，直至收到包括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款约定的应付利息在内的所欠全部款项。由此造成的暂停工作或施工，视为是因发包人的原因引起的，并按照第42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款约定处理。</w:t>
      </w:r>
    </w:p>
    <w:p w14:paraId="375CCFF4">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740ED074">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635</wp:posOffset>
                </wp:positionV>
                <wp:extent cx="794385" cy="624840"/>
                <wp:effectExtent l="0" t="0" r="0" b="0"/>
                <wp:wrapNone/>
                <wp:docPr id="181" name="0001b8"/>
                <wp:cNvGraphicFramePr/>
                <a:graphic xmlns:a="http://schemas.openxmlformats.org/drawingml/2006/main">
                  <a:graphicData uri="http://schemas.microsoft.com/office/word/2010/wordprocessingShape">
                    <wps:wsp>
                      <wps:cNvSpPr txBox="1"/>
                      <wps:spPr>
                        <a:xfrm>
                          <a:off x="0" y="0"/>
                          <a:ext cx="794385" cy="624840"/>
                        </a:xfrm>
                        <a:prstGeom prst="rect">
                          <a:avLst/>
                        </a:prstGeom>
                        <a:noFill/>
                        <a:ln>
                          <a:noFill/>
                        </a:ln>
                        <a:effectLst/>
                      </wps:spPr>
                      <wps:txbx>
                        <w:txbxContent>
                          <w:p w14:paraId="095C113C">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p w14:paraId="01B7587D">
                            <w:pPr>
                              <w:rPr>
                                <w:lang w:eastAsia="zh-CN"/>
                              </w:rPr>
                            </w:pPr>
                          </w:p>
                        </w:txbxContent>
                      </wps:txbx>
                      <wps:bodyPr wrap="square" upright="1"/>
                    </wps:wsp>
                  </a:graphicData>
                </a:graphic>
              </wp:anchor>
            </w:drawing>
          </mc:Choice>
          <mc:Fallback>
            <w:pict>
              <v:shape id="0001b8" o:spid="_x0000_s1026" o:spt="202" type="#_x0000_t202" style="position:absolute;left:0pt;margin-left:-9pt;margin-top:0.05pt;height:49.2pt;width:62.55pt;z-index:251843584;mso-width-relative:page;mso-height-relative:page;" filled="f" stroked="f" coordsize="21600,21600" o:gfxdata="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buouf1AAAAAcB&#10;AAAPAAAAAAAAAAEAIAAAACIAAABkcnMvZG93bnJldi54bWxQSwECFAAUAAAACACHTuJAritola0B&#10;AABmAwAADgAAAAAAAAABACAAAAAjAQAAZHJzL2Uyb0RvYy54bWxQSwUGAAAAAAYABgBZAQAAQgUA&#10;AAAA&#10;">
                <v:fill on="f" focussize="0,0"/>
                <v:stroke on="f"/>
                <v:imagedata o:title=""/>
                <o:lock v:ext="edit" aspectratio="f"/>
                <v:textbox>
                  <w:txbxContent>
                    <w:p w14:paraId="095C113C">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p w14:paraId="01B7587D">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暂停工作或施工结束后，承包人和监理人、设计顾问人应对受暂停工作或施工影响的工程、工程材料和工程设备进行检查。承包人负责修复在暂停期间发生的任何变质、缺陷或损坏，因而发生的费用和造成的损失按照第42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款约定处理。</w:t>
      </w:r>
    </w:p>
    <w:p w14:paraId="53107F19">
      <w:pPr>
        <w:spacing w:line="360" w:lineRule="auto"/>
        <w:rPr>
          <w:rFonts w:hint="eastAsia" w:ascii="仿宋" w:hAnsi="仿宋" w:eastAsia="仿宋"/>
          <w:color w:val="auto"/>
          <w:highlight w:val="none"/>
          <w:u w:val="single"/>
          <w:lang w:eastAsia="zh-CN"/>
        </w:rPr>
      </w:pPr>
      <w:r>
        <w:rPr>
          <w:rFonts w:ascii="仿宋" w:hAnsi="仿宋" w:eastAsia="仿宋"/>
          <w:color w:val="auto"/>
          <w:highlight w:val="none"/>
          <w:u w:val="single"/>
          <w:lang w:eastAsia="zh-CN"/>
        </w:rPr>
        <w:t></w:t>
      </w:r>
    </w:p>
    <w:p w14:paraId="66A0012A">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633" w:name="_Toc16118"/>
      <w:bookmarkStart w:id="634" w:name="_Toc47694317"/>
      <w:bookmarkStart w:id="635" w:name="_Toc21366"/>
      <w:bookmarkStart w:id="636" w:name="_Toc476"/>
      <w:bookmarkStart w:id="637" w:name="_Toc8112"/>
      <w:bookmarkStart w:id="638" w:name="_Toc14051"/>
      <w:bookmarkStart w:id="639" w:name="_Toc8829"/>
      <w:bookmarkStart w:id="640" w:name="_Toc18917"/>
      <w:r>
        <w:rPr>
          <w:rFonts w:hint="eastAsia" w:ascii="仿宋" w:hAnsi="仿宋" w:eastAsia="仿宋" w:cs="仿宋"/>
          <w:bCs w:val="0"/>
          <w:color w:val="auto"/>
          <w:sz w:val="24"/>
          <w:szCs w:val="24"/>
          <w:highlight w:val="none"/>
          <w:lang w:eastAsia="zh-CN"/>
        </w:rPr>
        <w:t>43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工期和工期延误</w:t>
      </w:r>
      <w:bookmarkEnd w:id="633"/>
      <w:bookmarkEnd w:id="634"/>
      <w:bookmarkEnd w:id="635"/>
      <w:bookmarkEnd w:id="636"/>
      <w:bookmarkEnd w:id="637"/>
      <w:bookmarkEnd w:id="638"/>
      <w:bookmarkEnd w:id="639"/>
      <w:bookmarkEnd w:id="640"/>
    </w:p>
    <w:p w14:paraId="3BB6EF0A">
      <w:pPr>
        <w:pStyle w:val="23"/>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43</w:t>
      </w:r>
      <w:r>
        <w:rPr>
          <w:rFonts w:ascii="仿宋" w:hAnsi="仿宋" w:eastAsia="仿宋" w:cs="仿宋"/>
          <w:b/>
          <w:bCs/>
          <w:color w:val="auto"/>
          <w:sz w:val="24"/>
          <w:szCs w:val="24"/>
          <w:highlight w:val="none"/>
          <w:lang w:eastAsia="zh-CN"/>
        </w:rPr>
        <w:t>.1</w:t>
      </w:r>
    </w:p>
    <w:p w14:paraId="2D90B065">
      <w:pPr>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29210</wp:posOffset>
                </wp:positionV>
                <wp:extent cx="721995" cy="669290"/>
                <wp:effectExtent l="0" t="0" r="0" b="0"/>
                <wp:wrapNone/>
                <wp:docPr id="182" name="0001b9"/>
                <wp:cNvGraphicFramePr/>
                <a:graphic xmlns:a="http://schemas.openxmlformats.org/drawingml/2006/main">
                  <a:graphicData uri="http://schemas.microsoft.com/office/word/2010/wordprocessingShape">
                    <wps:wsp>
                      <wps:cNvSpPr txBox="1"/>
                      <wps:spPr>
                        <a:xfrm>
                          <a:off x="0" y="0"/>
                          <a:ext cx="721995" cy="669290"/>
                        </a:xfrm>
                        <a:prstGeom prst="rect">
                          <a:avLst/>
                        </a:prstGeom>
                        <a:noFill/>
                        <a:ln>
                          <a:noFill/>
                        </a:ln>
                        <a:effectLst/>
                      </wps:spPr>
                      <wps:txbx>
                        <w:txbxContent>
                          <w:p w14:paraId="63EEDE1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p w14:paraId="040B9967"/>
                        </w:txbxContent>
                      </wps:txbx>
                      <wps:bodyPr wrap="square" upright="1"/>
                    </wps:wsp>
                  </a:graphicData>
                </a:graphic>
              </wp:anchor>
            </w:drawing>
          </mc:Choice>
          <mc:Fallback>
            <w:pict>
              <v:shape id="0001b9" o:spid="_x0000_s1026" o:spt="202" type="#_x0000_t202" style="position:absolute;left:0pt;margin-left:-9pt;margin-top:2.3pt;height:52.7pt;width:56.85pt;z-index:251844608;mso-width-relative:page;mso-height-relative:page;" filled="f" stroked="f" coordsize="21600,21600" o:gfxdata="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1I8MctYAAAAI&#10;AQAADwAAAAAAAAABACAAAAAiAAAAZHJzL2Rvd25yZXYueG1sUEsBAhQAFAAAAAgAh07iQNw3Ulms&#10;AQAAZgMAAA4AAAAAAAAAAQAgAAAAJQEAAGRycy9lMm9Eb2MueG1sUEsFBgAAAAAGAAYAWQEAAEMF&#10;AAAAAA==&#10;">
                <v:fill on="f" focussize="0,0"/>
                <v:stroke on="f"/>
                <v:imagedata o:title=""/>
                <o:lock v:ext="edit" aspectratio="f"/>
                <v:textbox>
                  <w:txbxContent>
                    <w:p w14:paraId="63EEDE1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p w14:paraId="040B9967"/>
                  </w:txbxContent>
                </v:textbox>
              </v:shape>
            </w:pict>
          </mc:Fallback>
        </mc:AlternateContent>
      </w:r>
      <w:r>
        <w:rPr>
          <w:rFonts w:hint="eastAsia" w:ascii="仿宋" w:hAnsi="仿宋" w:eastAsia="仿宋" w:cs="仿宋"/>
          <w:color w:val="auto"/>
          <w:highlight w:val="none"/>
          <w:lang w:eastAsia="zh-CN"/>
        </w:rPr>
        <w:t>43.1.1勘察工期（如果有），由双方在协议书及专用条款中约定，并制定保障措施，确保勘察工作进度和质量。</w:t>
      </w:r>
    </w:p>
    <w:p w14:paraId="36B6749A">
      <w:pPr>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43.1.2设计工期，由双方在协议书及专用条款中约定，并制定保障措施，确保设计工作进度和质量。</w:t>
      </w:r>
    </w:p>
    <w:p w14:paraId="762C2B41">
      <w:pPr>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43.1.3 BIM技术应用工期，由双方在协议书及专用条款中约定，并制定保障措施，确保BIM技术应用工作进度和质量。</w:t>
      </w:r>
    </w:p>
    <w:p w14:paraId="3DA89F60">
      <w:pPr>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43.1.4设备及工器具购置工期（如果有），由双方在协议书及专用条款中约定，并制定保障措施，确保购置工作进度和质量。</w:t>
      </w:r>
    </w:p>
    <w:p w14:paraId="0AC1C5C3">
      <w:pPr>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43.1.5施工工期，由双方在协议书及专用条款约定。如合同约定的施工工期与广东省建设工程工期定额规定不一致的，需说明与省工期定额规定不一致的原因，并制定保障措施，确保施工进度、施工质量和施工安全。</w:t>
      </w:r>
    </w:p>
    <w:p w14:paraId="31B56975">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上述约定的各项工期计算总天数可能存在叠加，以协议书约定的合同工期总日历天数为准。</w:t>
      </w:r>
    </w:p>
    <w:p w14:paraId="38E7C044">
      <w:pPr>
        <w:spacing w:line="360" w:lineRule="auto"/>
        <w:rPr>
          <w:rFonts w:ascii="仿宋" w:hAnsi="仿宋" w:eastAsia="仿宋"/>
          <w:color w:val="auto"/>
          <w:highlight w:val="none"/>
          <w:lang w:eastAsia="zh-CN"/>
        </w:rPr>
      </w:pPr>
      <w:bookmarkStart w:id="641" w:name="_Toc19777"/>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.2</w:t>
      </w:r>
      <w:bookmarkEnd w:id="641"/>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194E51B7">
      <w:pPr>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31750</wp:posOffset>
                </wp:positionV>
                <wp:extent cx="798830" cy="527685"/>
                <wp:effectExtent l="0" t="0" r="0" b="0"/>
                <wp:wrapNone/>
                <wp:docPr id="183" name="0001ba"/>
                <wp:cNvGraphicFramePr/>
                <a:graphic xmlns:a="http://schemas.openxmlformats.org/drawingml/2006/main">
                  <a:graphicData uri="http://schemas.microsoft.com/office/word/2010/wordprocessingShape">
                    <wps:wsp>
                      <wps:cNvSpPr txBox="1"/>
                      <wps:spPr>
                        <a:xfrm>
                          <a:off x="0" y="0"/>
                          <a:ext cx="798830" cy="527685"/>
                        </a:xfrm>
                        <a:prstGeom prst="rect">
                          <a:avLst/>
                        </a:prstGeom>
                        <a:noFill/>
                        <a:ln>
                          <a:noFill/>
                        </a:ln>
                        <a:effectLst/>
                      </wps:spPr>
                      <wps:txbx>
                        <w:txbxContent>
                          <w:p w14:paraId="3889BD9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p w14:paraId="0522B3BA"/>
                        </w:txbxContent>
                      </wps:txbx>
                      <wps:bodyPr wrap="square" upright="1"/>
                    </wps:wsp>
                  </a:graphicData>
                </a:graphic>
              </wp:anchor>
            </w:drawing>
          </mc:Choice>
          <mc:Fallback>
            <w:pict>
              <v:shape id="0001ba" o:spid="_x0000_s1026" o:spt="202" type="#_x0000_t202" style="position:absolute;left:0pt;margin-left:-9pt;margin-top:2.5pt;height:41.55pt;width:62.9pt;z-index:251845632;mso-width-relative:page;mso-height-relative:page;" filled="f" stroked="f" coordsize="21600,21600" o:gfxdata="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OfguXVAAAACAEA&#10;AA8AAAAAAAAAAQAgAAAAIgAAAGRycy9kb3ducmV2LnhtbFBLAQIUABQAAAAIAIdO4kCI3U0OqwEA&#10;AGYDAAAOAAAAAAAAAAEAIAAAACQBAABkcnMvZTJvRG9jLnhtbFBLBQYAAAAABgAGAFkBAABBBQAA&#10;AAA=&#10;">
                <v:fill on="f" focussize="0,0"/>
                <v:stroke on="f"/>
                <v:imagedata o:title=""/>
                <o:lock v:ext="edit" aspectratio="f"/>
                <v:textbox>
                  <w:txbxContent>
                    <w:p w14:paraId="3889BD9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p w14:paraId="0522B3BA"/>
                  </w:txbxContent>
                </v:textbox>
              </v:shape>
            </w:pict>
          </mc:Fallback>
        </mc:AlternateContent>
      </w:r>
      <w:r>
        <w:rPr>
          <w:rFonts w:hint="eastAsia" w:ascii="仿宋" w:hAnsi="仿宋" w:eastAsia="仿宋" w:cs="仿宋"/>
          <w:color w:val="auto"/>
          <w:highlight w:val="none"/>
          <w:lang w:eastAsia="zh-CN"/>
        </w:rPr>
        <w:t>合同双方当事人应在专用条款中约定合同工程的总工期及勘察（如果有）、设计、BIM技术应用、设备及工器具购置（如果有）、施工等各阶段工期，工期从合同约定的首项工作（如勘察）开始工作日期开始计算。合同中包括有多个单项工程的，应在专用条款中约定各单项工程的工期。根据各阶段工期计算的总工期可能存在叠加，以协议书约定的合同工期总日历天数为准。合同允许调整事项导致的合理工期延误，按变更处理。</w:t>
      </w:r>
    </w:p>
    <w:p w14:paraId="4DE7557F">
      <w:pPr>
        <w:spacing w:line="360" w:lineRule="auto"/>
        <w:rPr>
          <w:rFonts w:ascii="仿宋" w:hAnsi="仿宋" w:eastAsia="仿宋"/>
          <w:b/>
          <w:bCs/>
          <w:color w:val="auto"/>
          <w:highlight w:val="none"/>
          <w:lang w:eastAsia="zh-CN"/>
        </w:rPr>
      </w:pPr>
      <w:bookmarkStart w:id="642" w:name="_Toc19907"/>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.3</w:t>
      </w:r>
      <w:bookmarkEnd w:id="64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FB51C85">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16510</wp:posOffset>
                </wp:positionV>
                <wp:extent cx="741045" cy="554990"/>
                <wp:effectExtent l="0" t="0" r="0" b="0"/>
                <wp:wrapNone/>
                <wp:docPr id="184" name="0001bb"/>
                <wp:cNvGraphicFramePr/>
                <a:graphic xmlns:a="http://schemas.openxmlformats.org/drawingml/2006/main">
                  <a:graphicData uri="http://schemas.microsoft.com/office/word/2010/wordprocessingShape">
                    <wps:wsp>
                      <wps:cNvSpPr txBox="1"/>
                      <wps:spPr>
                        <a:xfrm>
                          <a:off x="0" y="0"/>
                          <a:ext cx="741045" cy="554990"/>
                        </a:xfrm>
                        <a:prstGeom prst="rect">
                          <a:avLst/>
                        </a:prstGeom>
                        <a:noFill/>
                        <a:ln>
                          <a:noFill/>
                        </a:ln>
                        <a:effectLst/>
                      </wps:spPr>
                      <wps:txbx>
                        <w:txbxContent>
                          <w:p w14:paraId="685174B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p w14:paraId="5E320C24"/>
                        </w:txbxContent>
                      </wps:txbx>
                      <wps:bodyPr wrap="square" upright="1"/>
                    </wps:wsp>
                  </a:graphicData>
                </a:graphic>
              </wp:anchor>
            </w:drawing>
          </mc:Choice>
          <mc:Fallback>
            <w:pict>
              <v:shape id="0001bb" o:spid="_x0000_s1026" o:spt="202" type="#_x0000_t202" style="position:absolute;left:0pt;margin-left:-9pt;margin-top:1.3pt;height:43.7pt;width:58.35pt;z-index:251846656;mso-width-relative:page;mso-height-relative:page;" filled="f" stroked="f" coordsize="21600,21600" o:gfxdata="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XIDFYNUAAAAH&#10;AQAADwAAAAAAAAABACAAAAAiAAAAZHJzL2Rvd25yZXYueG1sUEsBAhQAFAAAAAgAh07iQKZq6+Wt&#10;AQAAZgMAAA4AAAAAAAAAAQAgAAAAJAEAAGRycy9lMm9Eb2MueG1sUEsFBgAAAAAGAAYAWQEAAEMF&#10;AAAAAA==&#10;">
                <v:fill on="f" focussize="0,0"/>
                <v:stroke on="f"/>
                <v:imagedata o:title=""/>
                <o:lock v:ext="edit" aspectratio="f"/>
                <v:textbox>
                  <w:txbxContent>
                    <w:p w14:paraId="685174B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p w14:paraId="5E320C24"/>
                  </w:txbxContent>
                </v:textbox>
              </v:shape>
            </w:pict>
          </mc:Fallback>
        </mc:AlternateContent>
      </w:r>
      <w:r>
        <w:rPr>
          <w:rFonts w:hint="eastAsia" w:ascii="仿宋" w:hAnsi="仿宋" w:eastAsia="仿宋" w:cs="仿宋"/>
          <w:color w:val="auto"/>
          <w:highlight w:val="none"/>
          <w:lang w:eastAsia="zh-CN"/>
        </w:rPr>
        <w:t>合同履行期间，由于下列原因造成工期延误的，承包人有权要求发包人增加由此发生的费用和（或）顺延工期，并支付合理利润。本款发生顺延的工期，由承包人提出，经设计顾问人或监理人核实后由合同双方当事人协商确定；协商不能达成一致的，由设计顾问人或监理人暂定，通知承包人并抄报发包人。构成争议的，由合同双方当事人按照第91条约定处理。</w:t>
      </w:r>
    </w:p>
    <w:p w14:paraId="708747EB">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）发包人未能按照专用条款的约定提供项目基础资料及其它开始工作或开工条件；</w:t>
      </w:r>
    </w:p>
    <w:p w14:paraId="2D0DF246">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）发包人未能按照专用条款约定的时间支付预付款、绿色施工安全防护</w:t>
      </w:r>
      <w:r>
        <w:rPr>
          <w:rFonts w:hint="eastAsia" w:ascii="仿宋" w:hAnsi="仿宋" w:eastAsia="仿宋" w:cs="仿宋"/>
          <w:color w:val="auto"/>
          <w:sz w:val="24"/>
          <w:szCs w:val="24"/>
          <w:highlight w:val="none"/>
          <w:lang w:val="en-US" w:eastAsia="zh-CN"/>
        </w:rPr>
        <w:t>措施</w:t>
      </w:r>
      <w:r>
        <w:rPr>
          <w:rFonts w:hint="eastAsia" w:ascii="仿宋" w:hAnsi="仿宋" w:eastAsia="仿宋" w:cs="仿宋"/>
          <w:color w:val="auto"/>
          <w:sz w:val="24"/>
          <w:szCs w:val="24"/>
          <w:highlight w:val="none"/>
          <w:lang w:eastAsia="zh-CN"/>
        </w:rPr>
        <w:t>费和进度款；</w:t>
      </w:r>
    </w:p>
    <w:p w14:paraId="74A03842">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）发包人代表或发包人雇用的其他人员造成的人为因素；</w:t>
      </w:r>
    </w:p>
    <w:p w14:paraId="4169703E">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）发包人、设计顾问人或监理人未按照合同约定及时提供所需指令、回复等；</w:t>
      </w:r>
    </w:p>
    <w:p w14:paraId="3201AF7F">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）由发包人原因引起的工作变更或工程变更（含增加合同工作内容、改变合同的任何一项工作内容等）；</w:t>
      </w:r>
    </w:p>
    <w:p w14:paraId="793F16A8">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）发包人原因引起的工作量或工程量增加；</w:t>
      </w:r>
    </w:p>
    <w:p w14:paraId="4393BDE5">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）勘察现场遇到的不利物质条件；</w:t>
      </w:r>
    </w:p>
    <w:p w14:paraId="33E10D30">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（8）一周内非承包人原因停水、停电、停气造成停工累计超过</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小时；</w:t>
      </w:r>
    </w:p>
    <w:p w14:paraId="3A92A0DF">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（9）不可抗力；</w:t>
      </w:r>
    </w:p>
    <w:p w14:paraId="585C113F">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（10）发包人风险事项；</w:t>
      </w:r>
    </w:p>
    <w:p w14:paraId="5947D7EC">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1）因发包人的原因导致的暂停工作或暂停施工；</w:t>
      </w:r>
    </w:p>
    <w:p w14:paraId="65DB15C0">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2）非承包人失误、违约，以及设计顾问人或监理人同意的工期顺延。</w:t>
      </w:r>
    </w:p>
    <w:p w14:paraId="7DD00B4A">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3）发包人造成工期延误的其他情形。</w:t>
      </w:r>
    </w:p>
    <w:p w14:paraId="30959C22">
      <w:pPr>
        <w:spacing w:line="360" w:lineRule="auto"/>
        <w:rPr>
          <w:rFonts w:ascii="仿宋" w:hAnsi="仿宋" w:eastAsia="仿宋"/>
          <w:color w:val="auto"/>
          <w:highlight w:val="none"/>
          <w:lang w:eastAsia="zh-CN"/>
        </w:rPr>
      </w:pPr>
      <w:bookmarkStart w:id="643" w:name="_Toc4122"/>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.4</w:t>
      </w:r>
      <w:bookmarkEnd w:id="643"/>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22EEE79E">
      <w:pPr>
        <w:pStyle w:val="23"/>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62230</wp:posOffset>
                </wp:positionV>
                <wp:extent cx="813435" cy="467995"/>
                <wp:effectExtent l="0" t="0" r="0" b="0"/>
                <wp:wrapNone/>
                <wp:docPr id="185" name="0001bc"/>
                <wp:cNvGraphicFramePr/>
                <a:graphic xmlns:a="http://schemas.openxmlformats.org/drawingml/2006/main">
                  <a:graphicData uri="http://schemas.microsoft.com/office/word/2010/wordprocessingShape">
                    <wps:wsp>
                      <wps:cNvSpPr txBox="1"/>
                      <wps:spPr>
                        <a:xfrm>
                          <a:off x="0" y="0"/>
                          <a:ext cx="813435" cy="467995"/>
                        </a:xfrm>
                        <a:prstGeom prst="rect">
                          <a:avLst/>
                        </a:prstGeom>
                        <a:noFill/>
                        <a:ln>
                          <a:noFill/>
                        </a:ln>
                        <a:effectLst/>
                      </wps:spPr>
                      <wps:txbx>
                        <w:txbxContent>
                          <w:p w14:paraId="56705544">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p w14:paraId="165B80B4"/>
                        </w:txbxContent>
                      </wps:txbx>
                      <wps:bodyPr wrap="square" upright="1"/>
                    </wps:wsp>
                  </a:graphicData>
                </a:graphic>
              </wp:anchor>
            </w:drawing>
          </mc:Choice>
          <mc:Fallback>
            <w:pict>
              <v:shape id="0001bc" o:spid="_x0000_s1026" o:spt="202" type="#_x0000_t202" style="position:absolute;left:0pt;margin-left:-9pt;margin-top:4.9pt;height:36.85pt;width:64.05pt;z-index:251847680;mso-width-relative:page;mso-height-relative:page;" filled="f" stroked="f" coordsize="21600,21600" o:gfxdata="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GqTNN9UAAAAIAQAA&#10;DwAAAAAAAAABACAAAAAiAAAAZHJzL2Rvd25yZXYueG1sUEsBAhQAFAAAAAgAh07iQGh3qR+qAQAA&#10;ZgMAAA4AAAAAAAAAAQAgAAAAJAEAAGRycy9lMm9Eb2MueG1sUEsFBgAAAAAGAAYAWQEAAEAFAAAA&#10;AA==&#10;">
                <v:fill on="f" focussize="0,0"/>
                <v:stroke on="f"/>
                <v:imagedata o:title=""/>
                <o:lock v:ext="edit" aspectratio="f"/>
                <v:textbox>
                  <w:txbxContent>
                    <w:p w14:paraId="56705544">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p w14:paraId="165B80B4"/>
                  </w:txbxContent>
                </v:textbox>
              </v:shape>
            </w:pict>
          </mc:Fallback>
        </mc:AlternateContent>
      </w:r>
      <w:r>
        <w:rPr>
          <w:rFonts w:hint="eastAsia" w:ascii="仿宋" w:hAnsi="仿宋" w:eastAsia="仿宋" w:cs="仿宋"/>
          <w:color w:val="auto"/>
          <w:sz w:val="24"/>
          <w:szCs w:val="24"/>
          <w:highlight w:val="none"/>
          <w:lang w:eastAsia="zh-CN"/>
        </w:rPr>
        <w:t>当第43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款所述事项发生后，承包人应在</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天内向发包人、设计顾问人或监理人发出工期顺延意向书，并抄送发包人。承包人应在发出工期顺延意向书后的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天内，向设计顾问人或监理人提交工期顺延报告和有关详细资料。</w:t>
      </w:r>
    </w:p>
    <w:p w14:paraId="13DDD9A8">
      <w:pPr>
        <w:spacing w:line="360" w:lineRule="auto"/>
        <w:rPr>
          <w:rFonts w:ascii="仿宋" w:hAnsi="仿宋" w:eastAsia="仿宋" w:cs="仿宋"/>
          <w:b/>
          <w:bCs/>
          <w:color w:val="auto"/>
          <w:highlight w:val="none"/>
          <w:u w:val="dotted"/>
          <w:lang w:eastAsia="zh-CN"/>
        </w:rPr>
      </w:pPr>
      <w:bookmarkStart w:id="644" w:name="_Toc15344"/>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.5</w:t>
      </w:r>
      <w:bookmarkEnd w:id="64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67975D9">
      <w:pPr>
        <w:pStyle w:val="23"/>
        <w:widowControl w:val="0"/>
        <w:spacing w:line="360" w:lineRule="auto"/>
        <w:ind w:left="1850" w:leftChars="771"/>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46990</wp:posOffset>
                </wp:positionV>
                <wp:extent cx="822960" cy="791210"/>
                <wp:effectExtent l="0" t="0" r="0" b="0"/>
                <wp:wrapNone/>
                <wp:docPr id="186" name="0001bd"/>
                <wp:cNvGraphicFramePr/>
                <a:graphic xmlns:a="http://schemas.openxmlformats.org/drawingml/2006/main">
                  <a:graphicData uri="http://schemas.microsoft.com/office/word/2010/wordprocessingShape">
                    <wps:wsp>
                      <wps:cNvSpPr txBox="1"/>
                      <wps:spPr>
                        <a:xfrm>
                          <a:off x="0" y="0"/>
                          <a:ext cx="822960" cy="791210"/>
                        </a:xfrm>
                        <a:prstGeom prst="rect">
                          <a:avLst/>
                        </a:prstGeom>
                        <a:noFill/>
                        <a:ln>
                          <a:noFill/>
                        </a:ln>
                        <a:effectLst/>
                      </wps:spPr>
                      <wps:txbx>
                        <w:txbxContent>
                          <w:p w14:paraId="59C925D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p w14:paraId="2D962702">
                            <w:pPr>
                              <w:rPr>
                                <w:lang w:eastAsia="zh-CN"/>
                              </w:rPr>
                            </w:pPr>
                          </w:p>
                        </w:txbxContent>
                      </wps:txbx>
                      <wps:bodyPr wrap="square" upright="1"/>
                    </wps:wsp>
                  </a:graphicData>
                </a:graphic>
              </wp:anchor>
            </w:drawing>
          </mc:Choice>
          <mc:Fallback>
            <w:pict>
              <v:shape id="0001bd" o:spid="_x0000_s1026" o:spt="202" type="#_x0000_t202" style="position:absolute;left:0pt;margin-left:-9pt;margin-top:3.7pt;height:62.3pt;width:64.8pt;z-index:251848704;mso-width-relative:page;mso-height-relative:page;" filled="f" stroked="f" coordsize="21600,21600" o:gfxdata="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4QlvU9cAAAAJ&#10;AQAADwAAAAAAAAABACAAAAAiAAAAZHJzL2Rvd25yZXYueG1sUEsBAhQAFAAAAAgAh07iQNHz9kSr&#10;AQAAZgMAAA4AAAAAAAAAAQAgAAAAJgEAAGRycy9lMm9Eb2MueG1sUEsFBgAAAAAGAAYAWQEAAEMF&#10;AAAAAA==&#10;">
                <v:fill on="f" focussize="0,0"/>
                <v:stroke on="f"/>
                <v:imagedata o:title=""/>
                <o:lock v:ext="edit" aspectratio="f"/>
                <v:textbox>
                  <w:txbxContent>
                    <w:p w14:paraId="59C925D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p w14:paraId="2D962702">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如果工期顺延事项持续发生时，承包人应每隔</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天向发包人、设计顾问人或监理人发出工期顺延意向书，并在工期顺延事项终结后的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天内，向发包人、设计顾问人或监理人提交最终工期顺延报告和详细资料。</w:t>
      </w:r>
    </w:p>
    <w:p w14:paraId="44BAE11A">
      <w:pPr>
        <w:spacing w:line="360" w:lineRule="auto"/>
        <w:rPr>
          <w:rFonts w:ascii="仿宋" w:hAnsi="仿宋" w:eastAsia="仿宋" w:cs="仿宋"/>
          <w:b/>
          <w:bCs/>
          <w:color w:val="auto"/>
          <w:highlight w:val="none"/>
          <w:u w:val="dotted"/>
          <w:lang w:eastAsia="zh-CN"/>
        </w:rPr>
      </w:pPr>
      <w:bookmarkStart w:id="645" w:name="_Toc25744"/>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.6</w:t>
      </w:r>
      <w:bookmarkEnd w:id="64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47D2FB6">
      <w:pPr>
        <w:pStyle w:val="23"/>
        <w:spacing w:line="360" w:lineRule="auto"/>
        <w:ind w:left="1850" w:leftChars="771"/>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45720</wp:posOffset>
                </wp:positionV>
                <wp:extent cx="861695" cy="552450"/>
                <wp:effectExtent l="0" t="0" r="0" b="0"/>
                <wp:wrapNone/>
                <wp:docPr id="187" name="0001be"/>
                <wp:cNvGraphicFramePr/>
                <a:graphic xmlns:a="http://schemas.openxmlformats.org/drawingml/2006/main">
                  <a:graphicData uri="http://schemas.microsoft.com/office/word/2010/wordprocessingShape">
                    <wps:wsp>
                      <wps:cNvSpPr txBox="1"/>
                      <wps:spPr>
                        <a:xfrm>
                          <a:off x="0" y="0"/>
                          <a:ext cx="861695" cy="552450"/>
                        </a:xfrm>
                        <a:prstGeom prst="rect">
                          <a:avLst/>
                        </a:prstGeom>
                        <a:noFill/>
                        <a:ln>
                          <a:noFill/>
                        </a:ln>
                        <a:effectLst/>
                      </wps:spPr>
                      <wps:txbx>
                        <w:txbxContent>
                          <w:p w14:paraId="32CCBDA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p w14:paraId="3C071077"/>
                        </w:txbxContent>
                      </wps:txbx>
                      <wps:bodyPr wrap="square" upright="1"/>
                    </wps:wsp>
                  </a:graphicData>
                </a:graphic>
              </wp:anchor>
            </w:drawing>
          </mc:Choice>
          <mc:Fallback>
            <w:pict>
              <v:shape id="0001be" o:spid="_x0000_s1026" o:spt="202" type="#_x0000_t202" style="position:absolute;left:0pt;margin-left:-9pt;margin-top:3.6pt;height:43.5pt;width:67.85pt;z-index:251849728;mso-width-relative:page;mso-height-relative:page;" filled="f" stroked="f" coordsize="21600,21600" o:gfxdata="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M2lpUtYAAAAI&#10;AQAADwAAAAAAAAABACAAAAAiAAAAZHJzL2Rvd25yZXYueG1sUEsBAhQAFAAAAAgAh07iQDo/NSqs&#10;AQAAZgMAAA4AAAAAAAAAAQAgAAAAJQEAAGRycy9lMm9Eb2MueG1sUEsFBgAAAAAGAAYAWQEAAEMF&#10;AAAAAA==&#10;">
                <v:fill on="f" focussize="0,0"/>
                <v:stroke on="f"/>
                <v:imagedata o:title=""/>
                <o:lock v:ext="edit" aspectratio="f"/>
                <v:textbox>
                  <w:txbxContent>
                    <w:p w14:paraId="32CCBDA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p w14:paraId="3C071077"/>
                  </w:txbxContent>
                </v:textbox>
              </v:shape>
            </w:pict>
          </mc:Fallback>
        </mc:AlternateContent>
      </w:r>
      <w:r>
        <w:rPr>
          <w:rFonts w:hint="eastAsia" w:ascii="仿宋" w:hAnsi="仿宋" w:eastAsia="仿宋" w:cs="仿宋"/>
          <w:color w:val="auto"/>
          <w:sz w:val="24"/>
          <w:szCs w:val="24"/>
          <w:highlight w:val="none"/>
          <w:lang w:eastAsia="zh-CN"/>
        </w:rPr>
        <w:t>如果承包人未能在第43</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款和第43</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款（发生时）约定的时间内提交（最终）工期顺延报告和详细资料，则视为该事项不影响工作进度、施工进度或承包人放弃顺延工期的权利。</w:t>
      </w:r>
      <w:r>
        <w:rPr>
          <w:rFonts w:ascii="仿宋" w:hAnsi="仿宋" w:eastAsia="仿宋" w:cs="仿宋"/>
          <w:color w:val="auto"/>
          <w:sz w:val="24"/>
          <w:szCs w:val="24"/>
          <w:highlight w:val="none"/>
          <w:lang w:eastAsia="zh-CN"/>
        </w:rPr>
        <w:t xml:space="preserve"> </w:t>
      </w:r>
    </w:p>
    <w:p w14:paraId="677A532D">
      <w:pPr>
        <w:spacing w:line="360" w:lineRule="auto"/>
        <w:rPr>
          <w:rFonts w:ascii="仿宋" w:hAnsi="仿宋" w:eastAsia="仿宋" w:cs="仿宋"/>
          <w:b/>
          <w:bCs/>
          <w:color w:val="auto"/>
          <w:highlight w:val="none"/>
          <w:u w:val="dotted"/>
          <w:lang w:eastAsia="zh-CN"/>
        </w:rPr>
      </w:pPr>
      <w:bookmarkStart w:id="646" w:name="_Toc6199"/>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.7</w:t>
      </w:r>
      <w:bookmarkEnd w:id="64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144C3E9">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45720</wp:posOffset>
                </wp:positionV>
                <wp:extent cx="870585" cy="695325"/>
                <wp:effectExtent l="0" t="0" r="0" b="0"/>
                <wp:wrapNone/>
                <wp:docPr id="188" name="0001bf"/>
                <wp:cNvGraphicFramePr/>
                <a:graphic xmlns:a="http://schemas.openxmlformats.org/drawingml/2006/main">
                  <a:graphicData uri="http://schemas.microsoft.com/office/word/2010/wordprocessingShape">
                    <wps:wsp>
                      <wps:cNvSpPr txBox="1"/>
                      <wps:spPr>
                        <a:xfrm>
                          <a:off x="0" y="0"/>
                          <a:ext cx="870585" cy="695325"/>
                        </a:xfrm>
                        <a:prstGeom prst="rect">
                          <a:avLst/>
                        </a:prstGeom>
                        <a:noFill/>
                        <a:ln>
                          <a:noFill/>
                        </a:ln>
                        <a:effectLst/>
                      </wps:spPr>
                      <wps:txbx>
                        <w:txbxContent>
                          <w:p w14:paraId="64AECC3F">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p w14:paraId="1DD4FC5C"/>
                        </w:txbxContent>
                      </wps:txbx>
                      <wps:bodyPr wrap="square" upright="1"/>
                    </wps:wsp>
                  </a:graphicData>
                </a:graphic>
              </wp:anchor>
            </w:drawing>
          </mc:Choice>
          <mc:Fallback>
            <w:pict>
              <v:shape id="0001bf" o:spid="_x0000_s1026" o:spt="202" type="#_x0000_t202" style="position:absolute;left:0pt;margin-left:-9pt;margin-top:3.6pt;height:54.75pt;width:68.55pt;z-index:251850752;mso-width-relative:page;mso-height-relative:page;" filled="f" stroked="f" coordsize="21600,21600" o:gfxdata="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IG+t1gAAAAkB&#10;AAAPAAAAAAAAAAEAIAAAACIAAABkcnMvZG93bnJldi54bWxQSwECFAAUAAAACACHTuJARw9yV6sB&#10;AABmAwAADgAAAAAAAAABACAAAAAlAQAAZHJzL2Uyb0RvYy54bWxQSwUGAAAAAAYABgBZAQAAQgUA&#10;AAAA&#10;">
                <v:fill on="f" focussize="0,0"/>
                <v:stroke on="f"/>
                <v:imagedata o:title=""/>
                <o:lock v:ext="edit" aspectratio="f"/>
                <v:textbox>
                  <w:txbxContent>
                    <w:p w14:paraId="64AECC3F">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p w14:paraId="1DD4FC5C"/>
                  </w:txbxContent>
                </v:textbox>
              </v:shape>
            </w:pict>
          </mc:Fallback>
        </mc:AlternateContent>
      </w:r>
      <w:r>
        <w:rPr>
          <w:rFonts w:hint="eastAsia" w:ascii="仿宋" w:hAnsi="仿宋" w:eastAsia="仿宋" w:cs="仿宋"/>
          <w:color w:val="auto"/>
          <w:sz w:val="24"/>
          <w:szCs w:val="24"/>
          <w:highlight w:val="none"/>
          <w:lang w:eastAsia="zh-CN"/>
        </w:rPr>
        <w:t>发包人、设计顾问人或监理人应在收到承包人按照第43</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款和第43</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款（发生时）约定提交（最终）工期顺延报告和详细资料后的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天内，按照第43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款约定予以核实，或要求承包人进一步补充顺延工期的理由。合同双方当事人一旦协商确定顺延的工期，发包人应承担由此增加的费用，并向承包人支付合理利润。</w:t>
      </w:r>
    </w:p>
    <w:p w14:paraId="1C878885">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如果发包人、设计顾问人或监理人在收到上述报告和资料后的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天内未予核实也未对承包人作出进一步要求，则视为发包人、设计顾问人或监理人已认可承包人上述报告中提出的顺延工期天数。</w:t>
      </w:r>
    </w:p>
    <w:p w14:paraId="24851F75">
      <w:pPr>
        <w:spacing w:line="360" w:lineRule="auto"/>
        <w:rPr>
          <w:rFonts w:ascii="仿宋" w:hAnsi="仿宋" w:eastAsia="仿宋" w:cs="仿宋"/>
          <w:b/>
          <w:bCs/>
          <w:color w:val="auto"/>
          <w:highlight w:val="none"/>
          <w:u w:val="dotted"/>
          <w:lang w:eastAsia="zh-CN"/>
        </w:rPr>
      </w:pPr>
      <w:bookmarkStart w:id="647" w:name="_Toc7906"/>
      <w:r>
        <w:rPr>
          <w:color w:val="auto"/>
          <w:highlight w:val="none"/>
        </w:rPr>
        <mc:AlternateContent>
          <mc:Choice Requires="wps">
            <w:drawing>
              <wp:anchor distT="0" distB="0" distL="114300" distR="114300" simplePos="0" relativeHeight="251851776" behindDoc="0" locked="0" layoutInCell="1" allowOverlap="1">
                <wp:simplePos x="0" y="0"/>
                <wp:positionH relativeFrom="column">
                  <wp:posOffset>-142875</wp:posOffset>
                </wp:positionH>
                <wp:positionV relativeFrom="paragraph">
                  <wp:posOffset>236855</wp:posOffset>
                </wp:positionV>
                <wp:extent cx="785495" cy="525780"/>
                <wp:effectExtent l="0" t="0" r="0" b="0"/>
                <wp:wrapNone/>
                <wp:docPr id="189" name="0001c0"/>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a:noFill/>
                        </a:ln>
                        <a:effectLst/>
                      </wps:spPr>
                      <wps:txbx>
                        <w:txbxContent>
                          <w:p w14:paraId="30D4C62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p w14:paraId="2AE03C5D">
                            <w:pPr>
                              <w:rPr>
                                <w:lang w:eastAsia="zh-CN"/>
                              </w:rPr>
                            </w:pPr>
                          </w:p>
                        </w:txbxContent>
                      </wps:txbx>
                      <wps:bodyPr wrap="square" upright="1"/>
                    </wps:wsp>
                  </a:graphicData>
                </a:graphic>
              </wp:anchor>
            </w:drawing>
          </mc:Choice>
          <mc:Fallback>
            <w:pict>
              <v:shape id="0001c0" o:spid="_x0000_s1026" o:spt="202" type="#_x0000_t202" style="position:absolute;left:0pt;margin-left:-11.25pt;margin-top:18.65pt;height:41.4pt;width:61.85pt;z-index:251851776;mso-width-relative:page;mso-height-relative:page;" filled="f" stroked="f" coordsize="21600,21600" o:gfxdata="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C4Tm7YAAAA&#10;CgEAAA8AAAAAAAAAAQAgAAAAIgAAAGRycy9kb3ducmV2LnhtbFBLAQIUABQAAAAIAIdO4kCwbCuc&#10;qwEAAGYDAAAOAAAAAAAAAAEAIAAAACcBAABkcnMvZTJvRG9jLnhtbFBLBQYAAAAABgAGAFkBAABE&#10;BQAAAAA=&#10;">
                <v:fill on="f" focussize="0,0"/>
                <v:stroke on="f"/>
                <v:imagedata o:title=""/>
                <o:lock v:ext="edit" aspectratio="f"/>
                <v:textbox>
                  <w:txbxContent>
                    <w:p w14:paraId="30D4C62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p w14:paraId="2AE03C5D">
                      <w:pPr>
                        <w:rPr>
                          <w:lang w:eastAsia="zh-CN"/>
                        </w:rPr>
                      </w:pPr>
                    </w:p>
                  </w:txbxContent>
                </v:textbox>
              </v:shape>
            </w:pict>
          </mc:Fallback>
        </mc:AlternateContent>
      </w: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.8</w:t>
      </w:r>
      <w:bookmarkEnd w:id="64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34AF0D7">
      <w:pPr>
        <w:pStyle w:val="23"/>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承包人未能按照合同进度计划完成工程，或因承包人的原因造成工期延误，发包人可按照本条约定的时限和第76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款约定要求承包人支付误期赔偿费。</w:t>
      </w:r>
    </w:p>
    <w:p w14:paraId="5A1AE23B">
      <w:pPr>
        <w:spacing w:line="360" w:lineRule="auto"/>
        <w:rPr>
          <w:rFonts w:ascii="仿宋" w:hAnsi="仿宋" w:eastAsia="仿宋" w:cs="仿宋"/>
          <w:b/>
          <w:bCs/>
          <w:color w:val="auto"/>
          <w:highlight w:val="none"/>
          <w:u w:val="dotted"/>
          <w:lang w:eastAsia="zh-CN"/>
        </w:rPr>
      </w:pPr>
      <w:bookmarkStart w:id="648" w:name="_Toc26475"/>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.9</w:t>
      </w:r>
      <w:bookmarkEnd w:id="64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20E429D">
      <w:pPr>
        <w:pStyle w:val="23"/>
        <w:spacing w:line="360" w:lineRule="auto"/>
        <w:ind w:left="1850" w:leftChars="77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按发包人批准的项目进度计划实施合同工程时，发包人认为有必要加快勘察、设计、采购、施工、竣工试验等工作的进度，应书面向承包人提出赶工要求。发包人不得提出不合理的施工工期（原则上压缩工期不得超过计划工期的20%）要求。承包人收到发包人书面赶工要求后，应向发包人提交合理的赶工方案及赶工措施费预算书，经发包人审核同意后实施。产生的赶工措施费，按第69.3款的约定执行。</w:t>
      </w:r>
      <w:r>
        <w:rPr>
          <w:rFonts w:hint="eastAsia" w:ascii="仿宋" w:hAnsi="仿宋" w:eastAsia="仿宋" w:cs="仿宋"/>
          <w:color w:val="auto"/>
          <w:sz w:val="24"/>
          <w:szCs w:val="24"/>
          <w:highlight w:val="none"/>
          <w:lang w:eastAsia="zh-CN"/>
        </w:rPr>
        <mc:AlternateContent>
          <mc:Choice Requires="wps">
            <w:drawing>
              <wp:anchor distT="0" distB="0" distL="114300" distR="114300" simplePos="0" relativeHeight="251852800" behindDoc="0" locked="0" layoutInCell="1" allowOverlap="1">
                <wp:simplePos x="0" y="0"/>
                <wp:positionH relativeFrom="column">
                  <wp:posOffset>-64770</wp:posOffset>
                </wp:positionH>
                <wp:positionV relativeFrom="paragraph">
                  <wp:posOffset>21590</wp:posOffset>
                </wp:positionV>
                <wp:extent cx="904875" cy="571500"/>
                <wp:effectExtent l="0" t="0" r="0" b="0"/>
                <wp:wrapNone/>
                <wp:docPr id="190" name="0001c1"/>
                <wp:cNvGraphicFramePr/>
                <a:graphic xmlns:a="http://schemas.openxmlformats.org/drawingml/2006/main">
                  <a:graphicData uri="http://schemas.microsoft.com/office/word/2010/wordprocessingShape">
                    <wps:wsp>
                      <wps:cNvSpPr txBox="1"/>
                      <wps:spPr>
                        <a:xfrm>
                          <a:off x="0" y="0"/>
                          <a:ext cx="904875" cy="571500"/>
                        </a:xfrm>
                        <a:prstGeom prst="rect">
                          <a:avLst/>
                        </a:prstGeom>
                        <a:noFill/>
                        <a:ln>
                          <a:noFill/>
                        </a:ln>
                        <a:effectLst/>
                      </wps:spPr>
                      <wps:txbx>
                        <w:txbxContent>
                          <w:p w14:paraId="1D3FF8B2">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p w14:paraId="139A9C67"/>
                        </w:txbxContent>
                      </wps:txbx>
                      <wps:bodyPr wrap="square" upright="1"/>
                    </wps:wsp>
                  </a:graphicData>
                </a:graphic>
              </wp:anchor>
            </w:drawing>
          </mc:Choice>
          <mc:Fallback>
            <w:pict>
              <v:shape id="0001c1" o:spid="_x0000_s1026" o:spt="202" type="#_x0000_t202" style="position:absolute;left:0pt;margin-left:-5.1pt;margin-top:1.7pt;height:45pt;width:71.25pt;z-index:251852800;mso-width-relative:page;mso-height-relative:page;" filled="f" stroked="f" coordsize="21600,21600" o:gfxdata="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znVkt1gAAAAgB&#10;AAAPAAAAAAAAAAEAIAAAACIAAABkcnMvZG93bnJldi54bWxQSwECFAAUAAAACACHTuJAuEVwXKsB&#10;AABmAwAADgAAAAAAAAABACAAAAAlAQAAZHJzL2Uyb0RvYy54bWxQSwUGAAAAAAYABgBZAQAAQgUA&#10;AAAA&#10;">
                <v:fill on="f" focussize="0,0"/>
                <v:stroke on="f"/>
                <v:imagedata o:title=""/>
                <o:lock v:ext="edit" aspectratio="f"/>
                <v:textbox>
                  <w:txbxContent>
                    <w:p w14:paraId="1D3FF8B2">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p w14:paraId="139A9C67"/>
                  </w:txbxContent>
                </v:textbox>
              </v:shape>
            </w:pict>
          </mc:Fallback>
        </mc:AlternateContent>
      </w:r>
    </w:p>
    <w:p w14:paraId="062F9718">
      <w:pPr>
        <w:pStyle w:val="23"/>
        <w:spacing w:line="360" w:lineRule="auto"/>
        <w:ind w:left="1850" w:leftChars="77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由于承包人责任导致关键路径的工程实际进度比发包人批准的项目进度计划延误，发包人有权要求承包人采取赶工措施赶上项目进度计划，由此产生的赶工措施费由承包人自行承担。</w:t>
      </w:r>
    </w:p>
    <w:p w14:paraId="3FF5C153">
      <w:pPr>
        <w:pStyle w:val="23"/>
        <w:spacing w:line="360" w:lineRule="auto"/>
        <w:ind w:left="1850" w:leftChars="771"/>
        <w:rPr>
          <w:rFonts w:hint="eastAsia" w:ascii="仿宋" w:hAnsi="仿宋" w:eastAsia="仿宋" w:cs="仿宋"/>
          <w:color w:val="auto"/>
          <w:sz w:val="24"/>
          <w:szCs w:val="24"/>
          <w:highlight w:val="none"/>
          <w:lang w:eastAsia="zh-CN"/>
        </w:rPr>
      </w:pPr>
    </w:p>
    <w:p w14:paraId="4F083D16">
      <w:pPr>
        <w:pStyle w:val="23"/>
        <w:tabs>
          <w:tab w:val="left" w:pos="540"/>
        </w:tabs>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3CD22A">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649" w:name="_Toc8832"/>
      <w:bookmarkStart w:id="650" w:name="_Toc30986"/>
      <w:bookmarkStart w:id="651" w:name="_Toc31415"/>
      <w:bookmarkStart w:id="652" w:name="_Toc12871"/>
      <w:bookmarkStart w:id="653" w:name="_Toc29569"/>
      <w:bookmarkStart w:id="654" w:name="_Toc3807"/>
      <w:bookmarkStart w:id="655" w:name="_Toc47694318"/>
      <w:bookmarkStart w:id="656" w:name="_Toc29857"/>
      <w:r>
        <w:rPr>
          <w:rFonts w:hint="eastAsia" w:ascii="仿宋" w:hAnsi="仿宋" w:eastAsia="仿宋" w:cs="仿宋"/>
          <w:bCs w:val="0"/>
          <w:color w:val="auto"/>
          <w:sz w:val="24"/>
          <w:szCs w:val="24"/>
          <w:highlight w:val="none"/>
          <w:lang w:eastAsia="zh-CN"/>
        </w:rPr>
        <w:t>44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加快进度</w:t>
      </w:r>
      <w:bookmarkEnd w:id="649"/>
      <w:bookmarkEnd w:id="650"/>
      <w:bookmarkEnd w:id="651"/>
      <w:bookmarkEnd w:id="652"/>
      <w:bookmarkEnd w:id="653"/>
      <w:bookmarkEnd w:id="654"/>
      <w:bookmarkEnd w:id="655"/>
      <w:bookmarkEnd w:id="656"/>
    </w:p>
    <w:p w14:paraId="63FBC8F2">
      <w:pPr>
        <w:pStyle w:val="23"/>
        <w:tabs>
          <w:tab w:val="left" w:pos="1320"/>
        </w:tabs>
        <w:spacing w:line="360" w:lineRule="auto"/>
        <w:ind w:left="1800" w:hanging="1800" w:hangingChars="900"/>
        <w:rPr>
          <w:rFonts w:hint="eastAsia"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284480</wp:posOffset>
                </wp:positionV>
                <wp:extent cx="794385" cy="662940"/>
                <wp:effectExtent l="0" t="0" r="0" b="0"/>
                <wp:wrapNone/>
                <wp:docPr id="191" name="0001c2"/>
                <wp:cNvGraphicFramePr/>
                <a:graphic xmlns:a="http://schemas.openxmlformats.org/drawingml/2006/main">
                  <a:graphicData uri="http://schemas.microsoft.com/office/word/2010/wordprocessingShape">
                    <wps:wsp>
                      <wps:cNvSpPr txBox="1"/>
                      <wps:spPr>
                        <a:xfrm>
                          <a:off x="0" y="0"/>
                          <a:ext cx="794385" cy="662940"/>
                        </a:xfrm>
                        <a:prstGeom prst="rect">
                          <a:avLst/>
                        </a:prstGeom>
                        <a:noFill/>
                        <a:ln>
                          <a:noFill/>
                        </a:ln>
                        <a:effectLst/>
                      </wps:spPr>
                      <wps:txbx>
                        <w:txbxContent>
                          <w:p w14:paraId="69617069">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p w14:paraId="6B09FEEC">
                            <w:pPr>
                              <w:rPr>
                                <w:lang w:eastAsia="zh-CN"/>
                              </w:rPr>
                            </w:pPr>
                          </w:p>
                        </w:txbxContent>
                      </wps:txbx>
                      <wps:bodyPr wrap="square" upright="1"/>
                    </wps:wsp>
                  </a:graphicData>
                </a:graphic>
              </wp:anchor>
            </w:drawing>
          </mc:Choice>
          <mc:Fallback>
            <w:pict>
              <v:shape id="0001c2" o:spid="_x0000_s1026" o:spt="202" type="#_x0000_t202" style="position:absolute;left:0pt;margin-left:-9pt;margin-top:22.4pt;height:52.2pt;width:62.55pt;z-index:251853824;mso-width-relative:page;mso-height-relative:page;" filled="f" stroked="f" coordsize="21600,21600" o:gfxdata="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3izl1wAA&#10;AAoBAAAPAAAAAAAAAAEAIAAAACIAAABkcnMvZG93bnJldi54bWxQSwECFAAUAAAACACHTuJAnWoe&#10;Z60BAABmAwAADgAAAAAAAAABACAAAAAmAQAAZHJzL2Uyb0RvYy54bWxQSwUGAAAAAAYABgBZAQAA&#10;RQUAAAAA&#10;">
                <v:fill on="f" focussize="0,0"/>
                <v:stroke on="f"/>
                <v:imagedata o:title=""/>
                <o:lock v:ext="edit" aspectratio="f"/>
                <v:textbox>
                  <w:txbxContent>
                    <w:p w14:paraId="69617069">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p w14:paraId="6B09FEEC">
                      <w:pPr>
                        <w:rPr>
                          <w:lang w:eastAsia="zh-CN"/>
                        </w:rPr>
                      </w:pPr>
                    </w:p>
                  </w:txbxContent>
                </v:textbox>
              </v:shape>
            </w:pict>
          </mc:Fallback>
        </mc:AlternateContent>
      </w:r>
      <w:r>
        <w:rPr>
          <w:rFonts w:hint="eastAsia" w:ascii="仿宋" w:hAnsi="仿宋" w:eastAsia="仿宋" w:cs="仿宋"/>
          <w:b/>
          <w:bCs/>
          <w:color w:val="auto"/>
          <w:sz w:val="24"/>
          <w:szCs w:val="24"/>
          <w:highlight w:val="none"/>
          <w:lang w:eastAsia="zh-CN"/>
        </w:rPr>
        <w:t>44</w:t>
      </w:r>
      <w:r>
        <w:rPr>
          <w:rFonts w:ascii="仿宋" w:hAnsi="仿宋" w:eastAsia="仿宋" w:cs="仿宋"/>
          <w:b/>
          <w:bCs/>
          <w:color w:val="auto"/>
          <w:sz w:val="24"/>
          <w:szCs w:val="24"/>
          <w:highlight w:val="none"/>
          <w:lang w:eastAsia="zh-CN"/>
        </w:rPr>
        <w:t>.1</w:t>
      </w:r>
    </w:p>
    <w:p w14:paraId="3EDB04FD">
      <w:pPr>
        <w:pStyle w:val="23"/>
        <w:widowControl w:val="0"/>
        <w:tabs>
          <w:tab w:val="left" w:pos="132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如果设计顾问人或监理人发现承包人未按发包人批准的项目进度计划实施合同工程或其任何部分的工作进度迟于进度计划，预计无法按期竣工，应向承包人提出加快进度的书面要求。承包人收到加快进度的书面要求后，应按照第 40</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款约定采取改进措施，加快工程进度。</w:t>
      </w:r>
    </w:p>
    <w:p w14:paraId="5F47361C">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如果承包人在收到设计顾问人或监理人书面要求后的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天内，未能采取加快进度的措施；或虽然采取了改进措施，但实际进度仍然迟于进度计划，预计无法按期竣工，设计顾问人或监理人应立即向发包人提交书面报告，并抄送承包人。发包人可按照第93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款约定解除合同，也可将合同工程中的部分关键工作交由第三方完成，由此增加的费用由承包人承担。即使承包人承担了增加的费用，也不能免除合同约定应由其承担的责任和义务。</w:t>
      </w:r>
    </w:p>
    <w:p w14:paraId="7D939EF9">
      <w:pPr>
        <w:pStyle w:val="23"/>
        <w:tabs>
          <w:tab w:val="left" w:pos="1320"/>
        </w:tabs>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278130</wp:posOffset>
                </wp:positionV>
                <wp:extent cx="832485" cy="579755"/>
                <wp:effectExtent l="0" t="0" r="0" b="0"/>
                <wp:wrapNone/>
                <wp:docPr id="192" name="0001c3"/>
                <wp:cNvGraphicFramePr/>
                <a:graphic xmlns:a="http://schemas.openxmlformats.org/drawingml/2006/main">
                  <a:graphicData uri="http://schemas.microsoft.com/office/word/2010/wordprocessingShape">
                    <wps:wsp>
                      <wps:cNvSpPr txBox="1"/>
                      <wps:spPr>
                        <a:xfrm>
                          <a:off x="0" y="0"/>
                          <a:ext cx="832485" cy="579755"/>
                        </a:xfrm>
                        <a:prstGeom prst="rect">
                          <a:avLst/>
                        </a:prstGeom>
                        <a:noFill/>
                        <a:ln>
                          <a:noFill/>
                        </a:ln>
                        <a:effectLst/>
                      </wps:spPr>
                      <wps:txbx>
                        <w:txbxContent>
                          <w:p w14:paraId="5E3A64AC">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p w14:paraId="21099342">
                            <w:pPr>
                              <w:rPr>
                                <w:lang w:eastAsia="zh-CN"/>
                              </w:rPr>
                            </w:pPr>
                          </w:p>
                        </w:txbxContent>
                      </wps:txbx>
                      <wps:bodyPr wrap="square" upright="1"/>
                    </wps:wsp>
                  </a:graphicData>
                </a:graphic>
              </wp:anchor>
            </w:drawing>
          </mc:Choice>
          <mc:Fallback>
            <w:pict>
              <v:shape id="0001c3" o:spid="_x0000_s1026" o:spt="202" type="#_x0000_t202" style="position:absolute;left:0pt;margin-left:-9pt;margin-top:21.9pt;height:45.65pt;width:65.55pt;z-index:251854848;mso-width-relative:page;mso-height-relative:page;" filled="f" stroked="f" coordsize="21600,21600" o:gfxdata="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Gf/YHXAAAA&#10;CgEAAA8AAAAAAAAAAQAgAAAAIgAAAGRycy9kb3ducmV2LnhtbFBLAQIUABQAAAAIAIdO4kC1omZS&#10;rAEAAGYDAAAOAAAAAAAAAAEAIAAAACYBAABkcnMvZTJvRG9jLnhtbFBLBQYAAAAABgAGAFkBAABE&#10;BQAAAAA=&#10;">
                <v:fill on="f" focussize="0,0"/>
                <v:stroke on="f"/>
                <v:imagedata o:title=""/>
                <o:lock v:ext="edit" aspectratio="f"/>
                <v:textbox>
                  <w:txbxContent>
                    <w:p w14:paraId="5E3A64AC">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p w14:paraId="21099342">
                      <w:pPr>
                        <w:rPr>
                          <w:lang w:eastAsia="zh-CN"/>
                        </w:rPr>
                      </w:pPr>
                    </w:p>
                  </w:txbxContent>
                </v:textbox>
              </v:shape>
            </w:pict>
          </mc:Fallback>
        </mc:AlternateContent>
      </w:r>
      <w:r>
        <w:rPr>
          <w:rFonts w:hint="eastAsia" w:ascii="仿宋" w:hAnsi="仿宋" w:eastAsia="仿宋" w:cs="仿宋"/>
          <w:b/>
          <w:bCs/>
          <w:color w:val="auto"/>
          <w:sz w:val="24"/>
          <w:szCs w:val="24"/>
          <w:highlight w:val="none"/>
          <w:lang w:eastAsia="zh-CN"/>
        </w:rPr>
        <w:t>44</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87DE683">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如果发包人希望承包人提前竣工，那么发包人可要求承包人提交为加快进度而编制的提前竣工建议书。承包人应在接到发包人要求后的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天内完成编制并向发包人提交提前竣工建议书，该建议书的内容至少应包括：</w:t>
      </w:r>
    </w:p>
    <w:p w14:paraId="4FA91269">
      <w:pPr>
        <w:pStyle w:val="23"/>
        <w:spacing w:line="360" w:lineRule="auto"/>
        <w:ind w:left="1850" w:leftChars="77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加快进度拟采取的措施；</w:t>
      </w:r>
    </w:p>
    <w:p w14:paraId="4EFEF623">
      <w:pPr>
        <w:pStyle w:val="23"/>
        <w:spacing w:line="360" w:lineRule="auto"/>
        <w:ind w:left="1850" w:leftChars="77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加快进度后的进度计划</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以及与原计划的对比；</w:t>
      </w:r>
    </w:p>
    <w:p w14:paraId="2D6497D5">
      <w:pPr>
        <w:pStyle w:val="23"/>
        <w:spacing w:line="360" w:lineRule="auto"/>
        <w:ind w:left="1850" w:leftChars="77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加快进度所需的合同价格增加额（含第76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款约定的提前竣工奖）。该增加额按照第79</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款、第79</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款、第79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4款规、第79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5款约定计算。</w:t>
      </w:r>
    </w:p>
    <w:p w14:paraId="03427FAD">
      <w:pPr>
        <w:pStyle w:val="23"/>
        <w:spacing w:line="360" w:lineRule="auto"/>
        <w:ind w:left="1850" w:leftChars="77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发包人应在接到建议书后的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天内予以答复。如果发包人接受了该建议书，则监理人应以书面形式发出变更指令，相应调整工期；造价咨询人应核实并相应调整合同价格。</w:t>
      </w:r>
    </w:p>
    <w:p w14:paraId="5DAA6C43">
      <w:pPr>
        <w:pStyle w:val="23"/>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B839506">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657" w:name="_Toc3880"/>
      <w:bookmarkStart w:id="658" w:name="_Toc29355"/>
      <w:bookmarkStart w:id="659" w:name="_Toc12226"/>
      <w:bookmarkStart w:id="660" w:name="_Toc30641"/>
      <w:bookmarkStart w:id="661" w:name="_Toc47694319"/>
      <w:bookmarkStart w:id="662" w:name="_Toc18289"/>
      <w:bookmarkStart w:id="663" w:name="_Toc20963"/>
      <w:bookmarkStart w:id="664" w:name="_Toc25173"/>
      <w:r>
        <w:rPr>
          <w:rFonts w:hint="eastAsia" w:ascii="仿宋" w:hAnsi="仿宋" w:eastAsia="仿宋" w:cs="仿宋"/>
          <w:bCs w:val="0"/>
          <w:color w:val="auto"/>
          <w:sz w:val="24"/>
          <w:szCs w:val="24"/>
          <w:highlight w:val="none"/>
          <w:lang w:eastAsia="zh-CN"/>
        </w:rPr>
        <w:t>45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竣工日期</w:t>
      </w:r>
      <w:bookmarkEnd w:id="657"/>
      <w:bookmarkEnd w:id="658"/>
      <w:bookmarkEnd w:id="659"/>
      <w:bookmarkEnd w:id="660"/>
      <w:bookmarkEnd w:id="661"/>
      <w:bookmarkEnd w:id="662"/>
      <w:bookmarkEnd w:id="663"/>
      <w:bookmarkEnd w:id="664"/>
    </w:p>
    <w:p w14:paraId="1C059CFB">
      <w:pPr>
        <w:pStyle w:val="23"/>
        <w:spacing w:line="360" w:lineRule="auto"/>
        <w:rPr>
          <w:rFonts w:hint="eastAsia"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202565</wp:posOffset>
                </wp:positionV>
                <wp:extent cx="853440" cy="373380"/>
                <wp:effectExtent l="0" t="0" r="0" b="0"/>
                <wp:wrapNone/>
                <wp:docPr id="193" name="0001c4"/>
                <wp:cNvGraphicFramePr/>
                <a:graphic xmlns:a="http://schemas.openxmlformats.org/drawingml/2006/main">
                  <a:graphicData uri="http://schemas.microsoft.com/office/word/2010/wordprocessingShape">
                    <wps:wsp>
                      <wps:cNvSpPr txBox="1"/>
                      <wps:spPr>
                        <a:xfrm>
                          <a:off x="0" y="0"/>
                          <a:ext cx="853440" cy="373380"/>
                        </a:xfrm>
                        <a:prstGeom prst="rect">
                          <a:avLst/>
                        </a:prstGeom>
                        <a:noFill/>
                        <a:ln>
                          <a:noFill/>
                        </a:ln>
                        <a:effectLst/>
                      </wps:spPr>
                      <wps:txbx>
                        <w:txbxContent>
                          <w:p w14:paraId="0AC03BA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p w14:paraId="45598B35"/>
                        </w:txbxContent>
                      </wps:txbx>
                      <wps:bodyPr wrap="square" upright="1"/>
                    </wps:wsp>
                  </a:graphicData>
                </a:graphic>
              </wp:anchor>
            </w:drawing>
          </mc:Choice>
          <mc:Fallback>
            <w:pict>
              <v:shape id="0001c4" o:spid="_x0000_s1026" o:spt="202" type="#_x0000_t202" style="position:absolute;left:0pt;margin-left:-9pt;margin-top:15.95pt;height:29.4pt;width:67.2pt;z-index:251855872;mso-width-relative:page;mso-height-relative:page;" filled="f" stroked="f" coordsize="21600,21600" o:gfxdata="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BKWX69YAAAAJ&#10;AQAADwAAAAAAAAABACAAAAAiAAAAZHJzL2Rvd25yZXYueG1sUEsBAhQAFAAAAAgAh07iQEkNDTys&#10;AQAAZgMAAA4AAAAAAAAAAQAgAAAAJQEAAGRycy9lMm9Eb2MueG1sUEsFBgAAAAAGAAYAWQEAAEMF&#10;AAAAAA==&#10;">
                <v:fill on="f" focussize="0,0"/>
                <v:stroke on="f"/>
                <v:imagedata o:title=""/>
                <o:lock v:ext="edit" aspectratio="f"/>
                <v:textbox>
                  <w:txbxContent>
                    <w:p w14:paraId="0AC03BA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p w14:paraId="45598B35"/>
                  </w:txbxContent>
                </v:textbox>
              </v:shape>
            </w:pict>
          </mc:Fallback>
        </mc:AlternateContent>
      </w: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.1</w:t>
      </w:r>
    </w:p>
    <w:p w14:paraId="38B1462F">
      <w:pPr>
        <w:pStyle w:val="23"/>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合同双方当事人应在协议书和专用条款中约定合同工程的计划竣工日期。</w:t>
      </w:r>
    </w:p>
    <w:p w14:paraId="7E3CDDFB">
      <w:pPr>
        <w:pStyle w:val="23"/>
        <w:spacing w:line="360" w:lineRule="auto"/>
        <w:rPr>
          <w:rFonts w:hint="eastAsia"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716C6EAB">
      <w:pPr>
        <w:pStyle w:val="23"/>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5715</wp:posOffset>
                </wp:positionV>
                <wp:extent cx="758190" cy="421005"/>
                <wp:effectExtent l="0" t="0" r="0" b="0"/>
                <wp:wrapNone/>
                <wp:docPr id="194" name="0001c5"/>
                <wp:cNvGraphicFramePr/>
                <a:graphic xmlns:a="http://schemas.openxmlformats.org/drawingml/2006/main">
                  <a:graphicData uri="http://schemas.microsoft.com/office/word/2010/wordprocessingShape">
                    <wps:wsp>
                      <wps:cNvSpPr txBox="1"/>
                      <wps:spPr>
                        <a:xfrm>
                          <a:off x="0" y="0"/>
                          <a:ext cx="758190" cy="421005"/>
                        </a:xfrm>
                        <a:prstGeom prst="rect">
                          <a:avLst/>
                        </a:prstGeom>
                        <a:noFill/>
                        <a:ln>
                          <a:noFill/>
                        </a:ln>
                        <a:effectLst/>
                      </wps:spPr>
                      <wps:txbx>
                        <w:txbxContent>
                          <w:p w14:paraId="5688971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p w14:paraId="739E292D"/>
                        </w:txbxContent>
                      </wps:txbx>
                      <wps:bodyPr wrap="square" upright="1"/>
                    </wps:wsp>
                  </a:graphicData>
                </a:graphic>
              </wp:anchor>
            </w:drawing>
          </mc:Choice>
          <mc:Fallback>
            <w:pict>
              <v:shape id="0001c5" o:spid="_x0000_s1026" o:spt="202" type="#_x0000_t202" style="position:absolute;left:0pt;margin-left:-9pt;margin-top:0.45pt;height:33.15pt;width:59.7pt;z-index:251856896;mso-width-relative:page;mso-height-relative:page;" filled="f" stroked="f" coordsize="21600,21600" o:gfxdata="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sB7p/VAAAABwEA&#10;AA8AAAAAAAAAAQAgAAAAIgAAAGRycy9kb3ducmV2LnhtbFBLAQIUABQAAAAIAIdO4kDU+qAoqwEA&#10;AGYDAAAOAAAAAAAAAAEAIAAAACQBAABkcnMvZTJvRG9jLnhtbFBLBQYAAAAABgAGAFkBAABBBQAA&#10;AAA=&#10;">
                <v:fill on="f" focussize="0,0"/>
                <v:stroke on="f"/>
                <v:imagedata o:title=""/>
                <o:lock v:ext="edit" aspectratio="f"/>
                <v:textbox>
                  <w:txbxContent>
                    <w:p w14:paraId="5688971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p w14:paraId="739E292D"/>
                  </w:txbxContent>
                </v:textbox>
              </v:shape>
            </w:pict>
          </mc:Fallback>
        </mc:AlternateContent>
      </w:r>
      <w:r>
        <w:rPr>
          <w:rFonts w:hint="eastAsia" w:ascii="仿宋" w:hAnsi="仿宋" w:eastAsia="仿宋" w:cs="仿宋"/>
          <w:color w:val="auto"/>
          <w:sz w:val="24"/>
          <w:szCs w:val="24"/>
          <w:highlight w:val="none"/>
          <w:lang w:eastAsia="zh-CN"/>
        </w:rPr>
        <w:t>除发生不可抗力事项致使发包人不能按时竣工验收外，实际竣工日期按照下列情况分别确定：</w:t>
      </w:r>
    </w:p>
    <w:p w14:paraId="5878F479">
      <w:pPr>
        <w:pStyle w:val="23"/>
        <w:tabs>
          <w:tab w:val="left" w:pos="1980"/>
          <w:tab w:val="left" w:pos="2160"/>
        </w:tabs>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（1）工程经竣工验收合格的，以承包人提交竣工验收申请报告之日为实际竣工日期；</w:t>
      </w:r>
    </w:p>
    <w:p w14:paraId="330C0B67">
      <w:pPr>
        <w:pStyle w:val="23"/>
        <w:tabs>
          <w:tab w:val="left" w:pos="1980"/>
          <w:tab w:val="left" w:pos="216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（2）承包人已按照第64</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款约定提交竣工验收申请报告，但发包人未按照第65</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款约定完成合同工程验收的，以承包人提交竣工验收申请报告之日为实际竣工日期；</w:t>
      </w:r>
    </w:p>
    <w:p w14:paraId="5EB06691">
      <w:pPr>
        <w:pStyle w:val="23"/>
        <w:tabs>
          <w:tab w:val="left" w:pos="1980"/>
          <w:tab w:val="left" w:pos="2160"/>
        </w:tabs>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（3）</w:t>
      </w:r>
      <w:r>
        <w:rPr>
          <w:rFonts w:ascii="仿宋" w:hAnsi="仿宋" w:eastAsia="仿宋" w:cs="仿宋"/>
          <w:color w:val="auto"/>
          <w:sz w:val="27"/>
          <w:szCs w:val="27"/>
          <w:highlight w:val="none"/>
          <w:lang w:eastAsia="zh-CN" w:bidi="ar"/>
        </w:rPr>
        <w:t>建设工程未经竣工验收，发包人擅自使用的，以转移占有建设工程之</w:t>
      </w:r>
      <w:r>
        <w:rPr>
          <w:rFonts w:hint="eastAsia" w:ascii="仿宋" w:hAnsi="仿宋" w:eastAsia="仿宋" w:cs="仿宋"/>
          <w:color w:val="auto"/>
          <w:sz w:val="27"/>
          <w:szCs w:val="27"/>
          <w:highlight w:val="none"/>
          <w:lang w:eastAsia="zh-CN" w:bidi="ar"/>
        </w:rPr>
        <w:t>日为竣工日期。</w:t>
      </w:r>
    </w:p>
    <w:p w14:paraId="7FC2EECC">
      <w:pPr>
        <w:pStyle w:val="23"/>
        <w:spacing w:line="360" w:lineRule="auto"/>
        <w:ind w:left="1626" w:leftChars="1" w:hanging="1624" w:hangingChars="674"/>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7A067358">
      <w:pPr>
        <w:pStyle w:val="12"/>
        <w:widowControl w:val="0"/>
        <w:spacing w:line="360" w:lineRule="auto"/>
        <w:ind w:left="1850" w:leftChars="771" w:firstLine="0"/>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47625</wp:posOffset>
                </wp:positionV>
                <wp:extent cx="823595" cy="553085"/>
                <wp:effectExtent l="0" t="0" r="0" b="0"/>
                <wp:wrapNone/>
                <wp:docPr id="195" name="0001c6"/>
                <wp:cNvGraphicFramePr/>
                <a:graphic xmlns:a="http://schemas.openxmlformats.org/drawingml/2006/main">
                  <a:graphicData uri="http://schemas.microsoft.com/office/word/2010/wordprocessingShape">
                    <wps:wsp>
                      <wps:cNvSpPr txBox="1"/>
                      <wps:spPr>
                        <a:xfrm>
                          <a:off x="0" y="0"/>
                          <a:ext cx="823595" cy="553085"/>
                        </a:xfrm>
                        <a:prstGeom prst="rect">
                          <a:avLst/>
                        </a:prstGeom>
                        <a:noFill/>
                        <a:ln>
                          <a:noFill/>
                        </a:ln>
                        <a:effectLst/>
                      </wps:spPr>
                      <wps:txbx>
                        <w:txbxContent>
                          <w:p w14:paraId="145ABD0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p w14:paraId="5FC1437B"/>
                        </w:txbxContent>
                      </wps:txbx>
                      <wps:bodyPr wrap="square" upright="1"/>
                    </wps:wsp>
                  </a:graphicData>
                </a:graphic>
              </wp:anchor>
            </w:drawing>
          </mc:Choice>
          <mc:Fallback>
            <w:pict>
              <v:shape id="0001c6" o:spid="_x0000_s1026" o:spt="202" type="#_x0000_t202" style="position:absolute;left:0pt;margin-left:-9pt;margin-top:3.75pt;height:43.55pt;width:64.85pt;z-index:251857920;mso-width-relative:page;mso-height-relative:page;" filled="f" stroked="f" coordsize="21600,21600" o:gfxdata="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2SQ3i1QAAAAgBAAAP&#10;AAAAAAAAAAEAIAAAACIAAABkcnMvZG93bnJldi54bWxQSwECFAAUAAAACACHTuJASpEwlakBAABm&#10;AwAADgAAAAAAAAABACAAAAAkAQAAZHJzL2Uyb0RvYy54bWxQSwUGAAAAAAYABgBZAQAAPwUAAAAA&#10;">
                <v:fill on="f" focussize="0,0"/>
                <v:stroke on="f"/>
                <v:imagedata o:title=""/>
                <o:lock v:ext="edit" aspectratio="f"/>
                <v:textbox>
                  <w:txbxContent>
                    <w:p w14:paraId="145ABD0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p w14:paraId="5FC1437B"/>
                  </w:txbxContent>
                </v:textbox>
              </v:shape>
            </w:pict>
          </mc:Fallback>
        </mc:AlternateContent>
      </w:r>
      <w:r>
        <w:rPr>
          <w:rFonts w:hint="eastAsia" w:ascii="仿宋" w:hAnsi="仿宋" w:eastAsia="仿宋" w:cs="仿宋"/>
          <w:color w:val="auto"/>
          <w:highlight w:val="none"/>
          <w:lang w:eastAsia="zh-CN"/>
        </w:rPr>
        <w:t>因发包人的原因导致实际竣工日期迟于计划竣工日期的，发包人应承担由此增加的费用和（或）延误的工期，并向承包人支付合理利润。</w:t>
      </w:r>
    </w:p>
    <w:p w14:paraId="51CC5021">
      <w:pPr>
        <w:spacing w:line="360" w:lineRule="auto"/>
        <w:ind w:left="1850" w:leftChars="771"/>
        <w:jc w:val="both"/>
        <w:rPr>
          <w:rFonts w:ascii="仿宋" w:hAnsi="仿宋" w:eastAsia="仿宋"/>
          <w:caps/>
          <w:color w:val="auto"/>
          <w:highlight w:val="none"/>
          <w:lang w:eastAsia="zh-CN"/>
        </w:rPr>
      </w:pPr>
      <w:r>
        <w:rPr>
          <w:rFonts w:hint="eastAsia" w:ascii="仿宋" w:hAnsi="仿宋" w:eastAsia="仿宋" w:cs="仿宋"/>
          <w:color w:val="auto"/>
          <w:highlight w:val="none"/>
          <w:lang w:eastAsia="zh-CN"/>
        </w:rPr>
        <w:t>因承包人的原因导致实际竣工日期迟于计划竣工日期的，承包人应按照第</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7条约定</w:t>
      </w:r>
      <w:r>
        <w:rPr>
          <w:rFonts w:hint="eastAsia" w:ascii="仿宋" w:hAnsi="仿宋" w:eastAsia="仿宋" w:cs="仿宋"/>
          <w:caps/>
          <w:color w:val="auto"/>
          <w:highlight w:val="none"/>
          <w:lang w:eastAsia="zh-CN"/>
        </w:rPr>
        <w:t>赔偿发包人由此造成的损失，并向发包人支付误期赔偿费。</w:t>
      </w:r>
    </w:p>
    <w:p w14:paraId="634D3EE1">
      <w:pPr>
        <w:spacing w:line="360" w:lineRule="auto"/>
        <w:rPr>
          <w:rFonts w:ascii="仿宋" w:hAnsi="仿宋" w:eastAsia="仿宋" w:cs="仿宋"/>
          <w:caps/>
          <w:color w:val="auto"/>
          <w:highlight w:val="none"/>
          <w:u w:val="single"/>
          <w:lang w:eastAsia="zh-CN"/>
        </w:rPr>
      </w:pPr>
      <w:r>
        <w:rPr>
          <w:rFonts w:ascii="仿宋" w:hAnsi="仿宋" w:eastAsia="仿宋" w:cs="仿宋"/>
          <w:b/>
          <w:bCs/>
          <w:caps/>
          <w:color w:val="auto"/>
          <w:highlight w:val="none"/>
          <w:u w:val="single"/>
          <w:lang w:eastAsia="zh-CN"/>
        </w:rPr>
        <w:t xml:space="preserve">                                                                                    </w:t>
      </w:r>
      <w:r>
        <w:rPr>
          <w:rFonts w:ascii="仿宋" w:hAnsi="仿宋" w:eastAsia="仿宋" w:cs="仿宋"/>
          <w:caps/>
          <w:color w:val="auto"/>
          <w:highlight w:val="none"/>
          <w:u w:val="single"/>
          <w:lang w:eastAsia="zh-CN"/>
        </w:rPr>
        <w:t xml:space="preserve"> </w:t>
      </w:r>
    </w:p>
    <w:p w14:paraId="46C8BE87">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665" w:name="_Toc12649"/>
      <w:bookmarkStart w:id="666" w:name="_Toc11690"/>
      <w:bookmarkStart w:id="667" w:name="_Toc19337"/>
      <w:bookmarkStart w:id="668" w:name="_Toc47694320"/>
      <w:bookmarkStart w:id="669" w:name="_Toc13616"/>
      <w:bookmarkStart w:id="670" w:name="_Toc24945"/>
      <w:bookmarkStart w:id="671" w:name="_Toc19861"/>
      <w:bookmarkStart w:id="672" w:name="_Toc32732"/>
      <w:r>
        <w:rPr>
          <w:rFonts w:hint="eastAsia" w:ascii="仿宋" w:hAnsi="仿宋" w:eastAsia="仿宋" w:cs="仿宋"/>
          <w:bCs w:val="0"/>
          <w:color w:val="auto"/>
          <w:sz w:val="24"/>
          <w:szCs w:val="24"/>
          <w:highlight w:val="none"/>
          <w:lang w:eastAsia="zh-CN"/>
        </w:rPr>
        <w:t>46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提前竣工</w:t>
      </w:r>
      <w:bookmarkEnd w:id="665"/>
      <w:bookmarkEnd w:id="666"/>
      <w:bookmarkEnd w:id="667"/>
      <w:bookmarkEnd w:id="668"/>
      <w:bookmarkEnd w:id="669"/>
      <w:bookmarkEnd w:id="670"/>
      <w:bookmarkEnd w:id="671"/>
      <w:bookmarkEnd w:id="672"/>
    </w:p>
    <w:p w14:paraId="2DE23C83">
      <w:pPr>
        <w:pStyle w:val="23"/>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.1</w:t>
      </w:r>
    </w:p>
    <w:p w14:paraId="2EFC3988">
      <w:pPr>
        <w:pStyle w:val="23"/>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58944" behindDoc="0" locked="0" layoutInCell="1" allowOverlap="1">
                <wp:simplePos x="0" y="0"/>
                <wp:positionH relativeFrom="column">
                  <wp:posOffset>-66675</wp:posOffset>
                </wp:positionH>
                <wp:positionV relativeFrom="paragraph">
                  <wp:posOffset>30480</wp:posOffset>
                </wp:positionV>
                <wp:extent cx="786765" cy="421005"/>
                <wp:effectExtent l="0" t="0" r="0" b="0"/>
                <wp:wrapNone/>
                <wp:docPr id="196" name="0001c7"/>
                <wp:cNvGraphicFramePr/>
                <a:graphic xmlns:a="http://schemas.openxmlformats.org/drawingml/2006/main">
                  <a:graphicData uri="http://schemas.microsoft.com/office/word/2010/wordprocessingShape">
                    <wps:wsp>
                      <wps:cNvSpPr txBox="1"/>
                      <wps:spPr>
                        <a:xfrm>
                          <a:off x="0" y="0"/>
                          <a:ext cx="786765" cy="421005"/>
                        </a:xfrm>
                        <a:prstGeom prst="rect">
                          <a:avLst/>
                        </a:prstGeom>
                        <a:noFill/>
                        <a:ln>
                          <a:noFill/>
                        </a:ln>
                        <a:effectLst/>
                      </wps:spPr>
                      <wps:txbx>
                        <w:txbxContent>
                          <w:p w14:paraId="6BF7F34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p w14:paraId="2D341B27"/>
                        </w:txbxContent>
                      </wps:txbx>
                      <wps:bodyPr wrap="square" upright="1"/>
                    </wps:wsp>
                  </a:graphicData>
                </a:graphic>
              </wp:anchor>
            </w:drawing>
          </mc:Choice>
          <mc:Fallback>
            <w:pict>
              <v:shape id="0001c7" o:spid="_x0000_s1026" o:spt="202" type="#_x0000_t202" style="position:absolute;left:0pt;margin-left:-5.25pt;margin-top:2.4pt;height:33.15pt;width:61.95pt;z-index:251858944;mso-width-relative:page;mso-height-relative:page;" filled="f" stroked="f" coordsize="21600,21600" o:gfxdata="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gJXVt1gAAAAgB&#10;AAAPAAAAAAAAAAEAIAAAACIAAABkcnMvZG93bnJldi54bWxQSwECFAAUAAAACACHTuJA4y820asB&#10;AABmAwAADgAAAAAAAAABACAAAAAlAQAAZHJzL2Uyb0RvYy54bWxQSwUGAAAAAAYABgBZAQAAQgUA&#10;AAAA&#10;">
                <v:fill on="f" focussize="0,0"/>
                <v:stroke on="f"/>
                <v:imagedata o:title=""/>
                <o:lock v:ext="edit" aspectratio="f"/>
                <v:textbox>
                  <w:txbxContent>
                    <w:p w14:paraId="6BF7F34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p w14:paraId="2D341B27"/>
                  </w:txbxContent>
                </v:textbox>
              </v:shape>
            </w:pict>
          </mc:Fallback>
        </mc:AlternateContent>
      </w:r>
      <w:r>
        <w:rPr>
          <w:rFonts w:hint="eastAsia" w:ascii="仿宋" w:hAnsi="仿宋" w:eastAsia="仿宋" w:cs="仿宋"/>
          <w:color w:val="auto"/>
          <w:sz w:val="24"/>
          <w:szCs w:val="24"/>
          <w:highlight w:val="none"/>
          <w:lang w:eastAsia="zh-CN"/>
        </w:rPr>
        <w:t>发包人要求承包人提前竣工，或承包人按照第44</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款约定提交提前竣工建议书为发包人接受的，监理人应与承包人商定采取加快工程进度的措施，并修订合同工程进度计划。</w:t>
      </w:r>
    </w:p>
    <w:p w14:paraId="03B9FCFF">
      <w:pPr>
        <w:pStyle w:val="23"/>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257EA4CD">
      <w:pPr>
        <w:pStyle w:val="23"/>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5715</wp:posOffset>
                </wp:positionV>
                <wp:extent cx="843915" cy="487680"/>
                <wp:effectExtent l="0" t="0" r="0" b="0"/>
                <wp:wrapNone/>
                <wp:docPr id="197" name="0001c8"/>
                <wp:cNvGraphicFramePr/>
                <a:graphic xmlns:a="http://schemas.openxmlformats.org/drawingml/2006/main">
                  <a:graphicData uri="http://schemas.microsoft.com/office/word/2010/wordprocessingShape">
                    <wps:wsp>
                      <wps:cNvSpPr txBox="1"/>
                      <wps:spPr>
                        <a:xfrm>
                          <a:off x="0" y="0"/>
                          <a:ext cx="843915" cy="487680"/>
                        </a:xfrm>
                        <a:prstGeom prst="rect">
                          <a:avLst/>
                        </a:prstGeom>
                        <a:noFill/>
                        <a:ln>
                          <a:noFill/>
                        </a:ln>
                        <a:effectLst/>
                      </wps:spPr>
                      <wps:txbx>
                        <w:txbxContent>
                          <w:p w14:paraId="75500AF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p w14:paraId="207AB6AD"/>
                        </w:txbxContent>
                      </wps:txbx>
                      <wps:bodyPr wrap="square" upright="1"/>
                    </wps:wsp>
                  </a:graphicData>
                </a:graphic>
              </wp:anchor>
            </w:drawing>
          </mc:Choice>
          <mc:Fallback>
            <w:pict>
              <v:shape id="0001c8" o:spid="_x0000_s1026" o:spt="202" type="#_x0000_t202" style="position:absolute;left:0pt;margin-left:-9pt;margin-top:0.45pt;height:38.4pt;width:66.45pt;z-index:251859968;mso-width-relative:page;mso-height-relative:page;" filled="f" stroked="f" coordsize="21600,21600" o:gfxdata="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HmUl9UAAAAH&#10;AQAADwAAAAAAAAABACAAAAAiAAAAZHJzL2Rvd25yZXYueG1sUEsBAhQAFAAAAAgAh07iQKNehyat&#10;AQAAZgMAAA4AAAAAAAAAAQAgAAAAJAEAAGRycy9lMm9Eb2MueG1sUEsFBgAAAAAGAAYAWQEAAEMF&#10;AAAAAA==&#10;">
                <v:fill on="f" focussize="0,0"/>
                <v:stroke on="f"/>
                <v:imagedata o:title=""/>
                <o:lock v:ext="edit" aspectratio="f"/>
                <v:textbox>
                  <w:txbxContent>
                    <w:p w14:paraId="75500AF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p w14:paraId="207AB6AD"/>
                  </w:txbxContent>
                </v:textbox>
              </v:shape>
            </w:pict>
          </mc:Fallback>
        </mc:AlternateContent>
      </w:r>
      <w:r>
        <w:rPr>
          <w:rFonts w:hint="eastAsia" w:ascii="仿宋" w:hAnsi="仿宋" w:eastAsia="仿宋" w:cs="仿宋"/>
          <w:color w:val="auto"/>
          <w:sz w:val="24"/>
          <w:szCs w:val="24"/>
          <w:highlight w:val="none"/>
          <w:lang w:eastAsia="zh-CN"/>
        </w:rPr>
        <w:t>提前竣工天数按照第45</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款约定确定的计划竣工天数减去实际竣工天数计算，其公式为：</w:t>
      </w:r>
    </w:p>
    <w:p w14:paraId="06F3F24E">
      <w:pPr>
        <w:pStyle w:val="23"/>
        <w:spacing w:line="360" w:lineRule="auto"/>
        <w:ind w:firstLine="2160" w:firstLineChars="9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提前竣工天数</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计划竣工天数</w:t>
      </w:r>
      <w:r>
        <w:rPr>
          <w:rFonts w:ascii="仿宋" w:hAnsi="仿宋" w:eastAsia="仿宋" w:cs="仿宋"/>
          <w:color w:val="auto"/>
          <w:sz w:val="24"/>
          <w:szCs w:val="24"/>
          <w:highlight w:val="none"/>
          <w:lang w:eastAsia="zh-CN"/>
        </w:rPr>
        <w:t xml:space="preserve"> — </w:t>
      </w:r>
      <w:r>
        <w:rPr>
          <w:rFonts w:hint="eastAsia" w:ascii="仿宋" w:hAnsi="仿宋" w:eastAsia="仿宋" w:cs="仿宋"/>
          <w:color w:val="auto"/>
          <w:sz w:val="24"/>
          <w:szCs w:val="24"/>
          <w:highlight w:val="none"/>
          <w:lang w:eastAsia="zh-CN"/>
        </w:rPr>
        <w:t>实际竣工天数</w:t>
      </w:r>
    </w:p>
    <w:p w14:paraId="5EE56532">
      <w:pPr>
        <w:pStyle w:val="23"/>
        <w:tabs>
          <w:tab w:val="left" w:pos="1980"/>
          <w:tab w:val="left" w:pos="2160"/>
        </w:tabs>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发包人要求提前竣工或承包人提交的提前竣工建议书得到批准，发包人应承担承包人由此增加的费用，并按照第76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款约定向承包人支付提前竣工奖。</w:t>
      </w:r>
    </w:p>
    <w:p w14:paraId="54E7392F">
      <w:pPr>
        <w:pStyle w:val="23"/>
        <w:tabs>
          <w:tab w:val="left" w:pos="540"/>
        </w:tabs>
        <w:spacing w:before="240" w:line="360" w:lineRule="auto"/>
        <w:rPr>
          <w:rFonts w:ascii="仿宋" w:hAnsi="仿宋" w:eastAsia="仿宋" w:cs="仿宋"/>
          <w:b/>
          <w:bCs/>
          <w:caps/>
          <w:color w:val="auto"/>
          <w:sz w:val="24"/>
          <w:szCs w:val="24"/>
          <w:highlight w:val="none"/>
          <w:u w:val="single"/>
          <w:lang w:eastAsia="zh-CN"/>
        </w:rPr>
      </w:pPr>
      <w:r>
        <w:rPr>
          <w:rFonts w:ascii="仿宋" w:hAnsi="仿宋" w:eastAsia="仿宋" w:cs="仿宋"/>
          <w:b/>
          <w:bCs/>
          <w:caps/>
          <w:color w:val="auto"/>
          <w:sz w:val="24"/>
          <w:szCs w:val="24"/>
          <w:highlight w:val="none"/>
          <w:u w:val="single"/>
          <w:lang w:eastAsia="zh-CN"/>
        </w:rPr>
        <w:t xml:space="preserve">                                                                        </w:t>
      </w:r>
      <w:r>
        <w:rPr>
          <w:rFonts w:hint="eastAsia" w:ascii="仿宋" w:hAnsi="仿宋" w:eastAsia="仿宋" w:cs="仿宋"/>
          <w:b/>
          <w:bCs/>
          <w:caps/>
          <w:color w:val="auto"/>
          <w:sz w:val="24"/>
          <w:szCs w:val="24"/>
          <w:highlight w:val="none"/>
          <w:u w:val="single"/>
          <w:lang w:eastAsia="zh-CN"/>
        </w:rPr>
        <w:t xml:space="preserve">    </w:t>
      </w:r>
      <w:r>
        <w:rPr>
          <w:rFonts w:ascii="仿宋" w:hAnsi="仿宋" w:eastAsia="仿宋" w:cs="仿宋"/>
          <w:b/>
          <w:bCs/>
          <w:caps/>
          <w:color w:val="auto"/>
          <w:sz w:val="24"/>
          <w:szCs w:val="24"/>
          <w:highlight w:val="none"/>
          <w:u w:val="single"/>
          <w:lang w:eastAsia="zh-CN"/>
        </w:rPr>
        <w:t xml:space="preserve">        </w:t>
      </w:r>
    </w:p>
    <w:p w14:paraId="598443BA">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673" w:name="_Toc31519"/>
      <w:bookmarkStart w:id="674" w:name="_Toc27878"/>
      <w:bookmarkStart w:id="675" w:name="_Toc3300"/>
      <w:bookmarkStart w:id="676" w:name="_Toc6947"/>
      <w:bookmarkStart w:id="677" w:name="_Toc24086"/>
      <w:bookmarkStart w:id="678" w:name="_Toc25876"/>
      <w:bookmarkStart w:id="679" w:name="_Toc7472"/>
      <w:bookmarkStart w:id="680" w:name="_Toc47694321"/>
      <w:r>
        <w:rPr>
          <w:rFonts w:ascii="仿宋" w:hAnsi="仿宋" w:eastAsia="仿宋" w:cs="仿宋"/>
          <w:bCs w:val="0"/>
          <w:color w:val="auto"/>
          <w:sz w:val="24"/>
          <w:szCs w:val="24"/>
          <w:highlight w:val="none"/>
          <w:lang w:eastAsia="zh-CN"/>
        </w:rPr>
        <w:t>4</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误期赔偿</w:t>
      </w:r>
      <w:bookmarkEnd w:id="673"/>
      <w:bookmarkEnd w:id="674"/>
      <w:bookmarkEnd w:id="675"/>
      <w:bookmarkEnd w:id="676"/>
      <w:bookmarkEnd w:id="677"/>
      <w:bookmarkEnd w:id="678"/>
      <w:bookmarkEnd w:id="679"/>
      <w:bookmarkEnd w:id="680"/>
    </w:p>
    <w:p w14:paraId="16CA9D4F">
      <w:pPr>
        <w:rPr>
          <w:rFonts w:ascii="仿宋" w:hAnsi="仿宋" w:eastAsia="仿宋"/>
          <w:b/>
          <w:bCs/>
          <w:cap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14:paraId="69EF923F">
      <w:pPr>
        <w:spacing w:line="360" w:lineRule="auto"/>
        <w:ind w:left="1850" w:leftChars="771"/>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860992" behindDoc="0" locked="0" layoutInCell="1" allowOverlap="1">
                <wp:simplePos x="0" y="0"/>
                <wp:positionH relativeFrom="column">
                  <wp:posOffset>-133350</wp:posOffset>
                </wp:positionH>
                <wp:positionV relativeFrom="paragraph">
                  <wp:posOffset>104140</wp:posOffset>
                </wp:positionV>
                <wp:extent cx="882015" cy="434975"/>
                <wp:effectExtent l="0" t="0" r="0" b="0"/>
                <wp:wrapNone/>
                <wp:docPr id="198" name="0001c9"/>
                <wp:cNvGraphicFramePr/>
                <a:graphic xmlns:a="http://schemas.openxmlformats.org/drawingml/2006/main">
                  <a:graphicData uri="http://schemas.microsoft.com/office/word/2010/wordprocessingShape">
                    <wps:wsp>
                      <wps:cNvSpPr txBox="1"/>
                      <wps:spPr>
                        <a:xfrm>
                          <a:off x="0" y="0"/>
                          <a:ext cx="882015" cy="434975"/>
                        </a:xfrm>
                        <a:prstGeom prst="rect">
                          <a:avLst/>
                        </a:prstGeom>
                        <a:noFill/>
                        <a:ln>
                          <a:noFill/>
                        </a:ln>
                        <a:effectLst/>
                      </wps:spPr>
                      <wps:txbx>
                        <w:txbxContent>
                          <w:p w14:paraId="01DDDBF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p w14:paraId="255B85E0"/>
                        </w:txbxContent>
                      </wps:txbx>
                      <wps:bodyPr wrap="square" upright="1"/>
                    </wps:wsp>
                  </a:graphicData>
                </a:graphic>
              </wp:anchor>
            </w:drawing>
          </mc:Choice>
          <mc:Fallback>
            <w:pict>
              <v:shape id="0001c9" o:spid="_x0000_s1026" o:spt="202" type="#_x0000_t202" style="position:absolute;left:0pt;margin-left:-10.5pt;margin-top:8.2pt;height:34.25pt;width:69.45pt;z-index:251860992;mso-width-relative:page;mso-height-relative:page;" filled="f" stroked="f" coordsize="21600,21600" o:gfxdata="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u/N901wAAAAkB&#10;AAAPAAAAAAAAAAEAIAAAACIAAABkcnMvZG93bnJldi54bWxQSwECFAAUAAAACACHTuJAUaILjaoB&#10;AABmAwAADgAAAAAAAAABACAAAAAmAQAAZHJzL2Uyb0RvYy54bWxQSwUGAAAAAAYABgBZAQAAQgUA&#10;AAAA&#10;">
                <v:fill on="f" focussize="0,0"/>
                <v:stroke on="f"/>
                <v:imagedata o:title=""/>
                <o:lock v:ext="edit" aspectratio="f"/>
                <v:textbox>
                  <w:txbxContent>
                    <w:p w14:paraId="01DDDBF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p w14:paraId="255B85E0"/>
                  </w:txbxContent>
                </v:textbox>
              </v:shape>
            </w:pict>
          </mc:Fallback>
        </mc:AlternateContent>
      </w:r>
      <w:r>
        <w:rPr>
          <w:rFonts w:hint="eastAsia" w:ascii="仿宋" w:hAnsi="仿宋" w:eastAsia="仿宋" w:cs="仿宋"/>
          <w:caps/>
          <w:color w:val="auto"/>
          <w:highlight w:val="none"/>
          <w:lang w:eastAsia="zh-CN"/>
        </w:rPr>
        <w:t>如果承包人未按照第40</w:t>
      </w:r>
      <w:r>
        <w:rPr>
          <w:rFonts w:ascii="仿宋" w:hAnsi="仿宋" w:eastAsia="仿宋" w:cs="仿宋"/>
          <w:caps/>
          <w:color w:val="auto"/>
          <w:highlight w:val="none"/>
          <w:lang w:eastAsia="zh-CN"/>
        </w:rPr>
        <w:t>.4</w:t>
      </w:r>
      <w:r>
        <w:rPr>
          <w:rFonts w:hint="eastAsia" w:ascii="仿宋" w:hAnsi="仿宋" w:eastAsia="仿宋" w:cs="仿宋"/>
          <w:caps/>
          <w:color w:val="auto"/>
          <w:highlight w:val="none"/>
          <w:lang w:eastAsia="zh-CN"/>
        </w:rPr>
        <w:t>款约定按计划进度开展工作或施工，导致实际进度迟于计划进度的，承包人应向发包人支付误期赔偿费，误期赔偿费的计算方法在专用条款中约定。即使承包人支付误期赔偿费，也不能免除承包人按照合同约定应承担的任何责任和应履行的任何义务。</w:t>
      </w:r>
    </w:p>
    <w:p w14:paraId="2B878E06">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39A99378">
      <w:pPr>
        <w:spacing w:line="360" w:lineRule="auto"/>
        <w:ind w:left="1850" w:leftChars="771"/>
        <w:jc w:val="both"/>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31750</wp:posOffset>
                </wp:positionV>
                <wp:extent cx="797560" cy="574675"/>
                <wp:effectExtent l="0" t="0" r="0" b="0"/>
                <wp:wrapNone/>
                <wp:docPr id="199" name="0001ca"/>
                <wp:cNvGraphicFramePr/>
                <a:graphic xmlns:a="http://schemas.openxmlformats.org/drawingml/2006/main">
                  <a:graphicData uri="http://schemas.microsoft.com/office/word/2010/wordprocessingShape">
                    <wps:wsp>
                      <wps:cNvSpPr txBox="1"/>
                      <wps:spPr>
                        <a:xfrm>
                          <a:off x="0" y="0"/>
                          <a:ext cx="797560" cy="574675"/>
                        </a:xfrm>
                        <a:prstGeom prst="rect">
                          <a:avLst/>
                        </a:prstGeom>
                        <a:noFill/>
                        <a:ln>
                          <a:noFill/>
                        </a:ln>
                        <a:effectLst/>
                      </wps:spPr>
                      <wps:txbx>
                        <w:txbxContent>
                          <w:p w14:paraId="0F41E5A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p w14:paraId="6ADD4BD4"/>
                        </w:txbxContent>
                      </wps:txbx>
                      <wps:bodyPr wrap="square" upright="1"/>
                    </wps:wsp>
                  </a:graphicData>
                </a:graphic>
              </wp:anchor>
            </w:drawing>
          </mc:Choice>
          <mc:Fallback>
            <w:pict>
              <v:shape id="0001ca" o:spid="_x0000_s1026" o:spt="202" type="#_x0000_t202" style="position:absolute;left:0pt;margin-left:-9pt;margin-top:2.5pt;height:45.25pt;width:62.8pt;z-index:251862016;mso-width-relative:page;mso-height-relative:page;" filled="f" stroked="f" coordsize="21600,21600" o:gfxdata="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E+culvWAAAACAEA&#10;AA8AAAAAAAAAAQAgAAAAIgAAAGRycy9kb3ducmV2LnhtbFBLAQIUABQAAAAIAIdO4kAkdjZDqgEA&#10;AGYDAAAOAAAAAAAAAAEAIAAAACUBAABkcnMvZTJvRG9jLnhtbFBLBQYAAAAABgAGAFkBAABBBQAA&#10;AAA=&#10;">
                <v:fill on="f" focussize="0,0"/>
                <v:stroke on="f"/>
                <v:imagedata o:title=""/>
                <o:lock v:ext="edit" aspectratio="f"/>
                <v:textbox>
                  <w:txbxContent>
                    <w:p w14:paraId="0F41E5A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p w14:paraId="6ADD4BD4"/>
                  </w:txbxContent>
                </v:textbox>
              </v:shape>
            </w:pict>
          </mc:Fallback>
        </mc:AlternateContent>
      </w:r>
      <w:r>
        <w:rPr>
          <w:rFonts w:hint="eastAsia" w:ascii="仿宋" w:hAnsi="仿宋" w:eastAsia="仿宋" w:cs="仿宋"/>
          <w:caps/>
          <w:color w:val="auto"/>
          <w:highlight w:val="none"/>
          <w:lang w:eastAsia="zh-CN"/>
        </w:rPr>
        <w:t>误期（实际延误天数）按照实际总工期天数减去计划总工期天数计算，其公式为：</w:t>
      </w:r>
    </w:p>
    <w:p w14:paraId="0C8A0973">
      <w:pPr>
        <w:spacing w:line="360" w:lineRule="auto"/>
        <w:ind w:firstLine="2160" w:firstLineChars="900"/>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实际延误天数＝实际总工期天数</w:t>
      </w:r>
      <w:r>
        <w:rPr>
          <w:rFonts w:ascii="仿宋" w:hAnsi="仿宋" w:eastAsia="仿宋" w:cs="仿宋"/>
          <w:caps/>
          <w:color w:val="auto"/>
          <w:highlight w:val="none"/>
          <w:lang w:eastAsia="zh-CN"/>
        </w:rPr>
        <w:t xml:space="preserve"> </w:t>
      </w:r>
      <w:r>
        <w:rPr>
          <w:rFonts w:hint="eastAsia" w:ascii="仿宋" w:hAnsi="仿宋" w:eastAsia="仿宋" w:cs="仿宋"/>
          <w:caps/>
          <w:color w:val="auto"/>
          <w:highlight w:val="none"/>
          <w:lang w:eastAsia="zh-CN"/>
        </w:rPr>
        <w:t>－</w:t>
      </w:r>
      <w:r>
        <w:rPr>
          <w:rFonts w:ascii="仿宋" w:hAnsi="仿宋" w:eastAsia="仿宋" w:cs="仿宋"/>
          <w:caps/>
          <w:color w:val="auto"/>
          <w:highlight w:val="none"/>
          <w:lang w:eastAsia="zh-CN"/>
        </w:rPr>
        <w:t xml:space="preserve"> </w:t>
      </w:r>
      <w:r>
        <w:rPr>
          <w:rFonts w:hint="eastAsia" w:ascii="仿宋" w:hAnsi="仿宋" w:eastAsia="仿宋" w:cs="仿宋"/>
          <w:caps/>
          <w:color w:val="auto"/>
          <w:highlight w:val="none"/>
          <w:lang w:eastAsia="zh-CN"/>
        </w:rPr>
        <w:t>计划总工期天数</w:t>
      </w:r>
    </w:p>
    <w:p w14:paraId="1F1DA2CA">
      <w:pPr>
        <w:spacing w:line="360" w:lineRule="auto"/>
        <w:ind w:left="1850" w:leftChars="771"/>
        <w:jc w:val="both"/>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合同工程发生误期，承包人应赔偿发包人由此造成的损失，并按照第76</w:t>
      </w:r>
      <w:r>
        <w:rPr>
          <w:rFonts w:ascii="仿宋" w:hAnsi="仿宋" w:eastAsia="仿宋" w:cs="仿宋"/>
          <w:caps/>
          <w:color w:val="auto"/>
          <w:highlight w:val="none"/>
          <w:lang w:eastAsia="zh-CN"/>
        </w:rPr>
        <w:t>.2</w:t>
      </w:r>
      <w:r>
        <w:rPr>
          <w:rFonts w:hint="eastAsia" w:ascii="仿宋" w:hAnsi="仿宋" w:eastAsia="仿宋" w:cs="仿宋"/>
          <w:caps/>
          <w:color w:val="auto"/>
          <w:highlight w:val="none"/>
          <w:lang w:eastAsia="zh-CN"/>
        </w:rPr>
        <w:t>款约定向发包人支付误期赔偿费。</w:t>
      </w:r>
    </w:p>
    <w:p w14:paraId="48D85558">
      <w:pPr>
        <w:pStyle w:val="23"/>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3B008861">
      <w:pPr>
        <w:pStyle w:val="23"/>
        <w:spacing w:line="360" w:lineRule="auto"/>
        <w:jc w:val="center"/>
        <w:outlineLvl w:val="1"/>
        <w:rPr>
          <w:rFonts w:ascii="仿宋" w:hAnsi="仿宋" w:eastAsia="仿宋"/>
          <w:b/>
          <w:bCs/>
          <w:color w:val="auto"/>
          <w:sz w:val="24"/>
          <w:szCs w:val="24"/>
          <w:highlight w:val="none"/>
          <w:lang w:eastAsia="zh-CN"/>
        </w:rPr>
      </w:pPr>
      <w:bookmarkStart w:id="681" w:name="_Toc24601"/>
      <w:bookmarkStart w:id="682" w:name="_Toc11896"/>
      <w:bookmarkStart w:id="683" w:name="_Toc25527"/>
      <w:bookmarkStart w:id="684" w:name="_Toc47694322"/>
      <w:bookmarkStart w:id="685" w:name="_Toc14292"/>
      <w:bookmarkStart w:id="686" w:name="_Toc8803"/>
      <w:bookmarkStart w:id="687" w:name="_Toc9074"/>
      <w:bookmarkStart w:id="688" w:name="_Toc14076"/>
      <w:r>
        <w:rPr>
          <w:rFonts w:hint="eastAsia" w:ascii="仿宋" w:hAnsi="仿宋" w:eastAsia="仿宋" w:cs="仿宋"/>
          <w:b/>
          <w:bCs/>
          <w:color w:val="auto"/>
          <w:sz w:val="24"/>
          <w:szCs w:val="24"/>
          <w:highlight w:val="none"/>
          <w:lang w:eastAsia="zh-CN"/>
        </w:rPr>
        <w:t>六、质量与安全</w:t>
      </w:r>
      <w:bookmarkEnd w:id="681"/>
      <w:bookmarkEnd w:id="682"/>
      <w:bookmarkEnd w:id="683"/>
      <w:bookmarkEnd w:id="684"/>
      <w:bookmarkEnd w:id="685"/>
      <w:bookmarkEnd w:id="686"/>
      <w:bookmarkEnd w:id="687"/>
      <w:bookmarkEnd w:id="688"/>
    </w:p>
    <w:p w14:paraId="7BA018E5">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689" w:name="_Toc31782"/>
      <w:bookmarkStart w:id="690" w:name="_Toc15186"/>
      <w:bookmarkStart w:id="691" w:name="_Toc19924"/>
      <w:bookmarkStart w:id="692" w:name="_Toc47694323"/>
      <w:bookmarkStart w:id="693" w:name="_Toc22894"/>
      <w:bookmarkStart w:id="694" w:name="_Toc26364"/>
      <w:bookmarkStart w:id="695" w:name="_Toc16098"/>
      <w:bookmarkStart w:id="696" w:name="_Toc18965"/>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4</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质量与安全管理</w:t>
      </w:r>
      <w:bookmarkEnd w:id="689"/>
      <w:bookmarkEnd w:id="690"/>
      <w:bookmarkEnd w:id="691"/>
      <w:bookmarkEnd w:id="692"/>
      <w:bookmarkEnd w:id="693"/>
      <w:bookmarkEnd w:id="694"/>
      <w:bookmarkEnd w:id="695"/>
      <w:bookmarkEnd w:id="696"/>
    </w:p>
    <w:p w14:paraId="59069C25">
      <w:pPr>
        <w:tabs>
          <w:tab w:val="left" w:pos="780"/>
        </w:tabs>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14:paraId="2A832A50">
      <w:pPr>
        <w:pStyle w:val="23"/>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-6350</wp:posOffset>
                </wp:positionV>
                <wp:extent cx="814070" cy="587375"/>
                <wp:effectExtent l="0" t="0" r="0" b="0"/>
                <wp:wrapNone/>
                <wp:docPr id="200" name="0001cb"/>
                <wp:cNvGraphicFramePr/>
                <a:graphic xmlns:a="http://schemas.openxmlformats.org/drawingml/2006/main">
                  <a:graphicData uri="http://schemas.microsoft.com/office/word/2010/wordprocessingShape">
                    <wps:wsp>
                      <wps:cNvSpPr txBox="1"/>
                      <wps:spPr>
                        <a:xfrm>
                          <a:off x="0" y="0"/>
                          <a:ext cx="814070" cy="587375"/>
                        </a:xfrm>
                        <a:prstGeom prst="rect">
                          <a:avLst/>
                        </a:prstGeom>
                        <a:noFill/>
                        <a:ln>
                          <a:noFill/>
                        </a:ln>
                        <a:effectLst/>
                      </wps:spPr>
                      <wps:txbx>
                        <w:txbxContent>
                          <w:p w14:paraId="6254CF3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p w14:paraId="7B9EAA24"/>
                        </w:txbxContent>
                      </wps:txbx>
                      <wps:bodyPr wrap="square" upright="1"/>
                    </wps:wsp>
                  </a:graphicData>
                </a:graphic>
              </wp:anchor>
            </w:drawing>
          </mc:Choice>
          <mc:Fallback>
            <w:pict>
              <v:shape id="0001cb" o:spid="_x0000_s1026" o:spt="202" type="#_x0000_t202" style="position:absolute;left:0pt;margin-left:-9pt;margin-top:-0.5pt;height:46.25pt;width:64.1pt;z-index:251863040;mso-width-relative:page;mso-height-relative:page;" filled="f" stroked="f" coordsize="21600,21600" o:gfxdata="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LSncj/WAAAACQEA&#10;AA8AAAAAAAAAAQAgAAAAIgAAAGRycy9kb3ducmV2LnhtbFBLAQIUABQAAAAIAIdO4kBsybg8qgEA&#10;AGYDAAAOAAAAAAAAAAEAIAAAACUBAABkcnMvZTJvRG9jLnhtbFBLBQYAAAAABgAGAFkBAABBBQAA&#10;AAA=&#10;">
                <v:fill on="f" focussize="0,0"/>
                <v:stroke on="f"/>
                <v:imagedata o:title=""/>
                <o:lock v:ext="edit" aspectratio="f"/>
                <v:textbox>
                  <w:txbxContent>
                    <w:p w14:paraId="6254CF3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p w14:paraId="7B9EAA24"/>
                  </w:txbxContent>
                </v:textbox>
              </v:shape>
            </w:pict>
          </mc:Fallback>
        </mc:AlternateContent>
      </w:r>
      <w:r>
        <w:rPr>
          <w:rFonts w:hint="eastAsia" w:ascii="仿宋" w:hAnsi="仿宋" w:eastAsia="仿宋" w:cs="仿宋"/>
          <w:color w:val="auto"/>
          <w:sz w:val="24"/>
          <w:szCs w:val="24"/>
          <w:highlight w:val="none"/>
          <w:lang w:eastAsia="zh-CN"/>
        </w:rPr>
        <w:t>合同双方当事人应严格遵守国家、省有关工程勘察设计及BIM技术应用成果质量、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14:paraId="092EC152">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493A493E">
      <w:pPr>
        <w:pStyle w:val="12"/>
        <w:spacing w:line="360" w:lineRule="auto"/>
        <w:ind w:left="1850" w:leftChars="771" w:firstLine="0"/>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35560</wp:posOffset>
                </wp:positionV>
                <wp:extent cx="851535" cy="523875"/>
                <wp:effectExtent l="0" t="0" r="0" b="0"/>
                <wp:wrapNone/>
                <wp:docPr id="201" name="0001cc"/>
                <wp:cNvGraphicFramePr/>
                <a:graphic xmlns:a="http://schemas.openxmlformats.org/drawingml/2006/main">
                  <a:graphicData uri="http://schemas.microsoft.com/office/word/2010/wordprocessingShape">
                    <wps:wsp>
                      <wps:cNvSpPr txBox="1"/>
                      <wps:spPr>
                        <a:xfrm>
                          <a:off x="0" y="0"/>
                          <a:ext cx="851535" cy="523875"/>
                        </a:xfrm>
                        <a:prstGeom prst="rect">
                          <a:avLst/>
                        </a:prstGeom>
                        <a:noFill/>
                        <a:ln>
                          <a:noFill/>
                        </a:ln>
                        <a:effectLst/>
                      </wps:spPr>
                      <wps:txbx>
                        <w:txbxContent>
                          <w:p w14:paraId="2BBEAFE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p w14:paraId="1466F29D"/>
                        </w:txbxContent>
                      </wps:txbx>
                      <wps:bodyPr wrap="square" upright="1"/>
                    </wps:wsp>
                  </a:graphicData>
                </a:graphic>
              </wp:anchor>
            </w:drawing>
          </mc:Choice>
          <mc:Fallback>
            <w:pict>
              <v:shape id="0001cc" o:spid="_x0000_s1026" o:spt="202" type="#_x0000_t202" style="position:absolute;left:0pt;margin-left:-9pt;margin-top:2.8pt;height:41.25pt;width:67.05pt;z-index:251864064;mso-width-relative:page;mso-height-relative:page;" filled="f" stroked="f" coordsize="21600,21600" o:gfxdata="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3YH+4tUAAAAIAQAA&#10;DwAAAAAAAAABACAAAAAiAAAAZHJzL2Rvd25yZXYueG1sUEsBAhQAFAAAAAgAh07iQIvE+UGqAQAA&#10;ZgMAAA4AAAAAAAAAAQAgAAAAJAEAAGRycy9lMm9Eb2MueG1sUEsFBgAAAAAGAAYAWQEAAEAFAAAA&#10;AA==&#10;">
                <v:fill on="f" focussize="0,0"/>
                <v:stroke on="f"/>
                <v:imagedata o:title=""/>
                <o:lock v:ext="edit" aspectratio="f"/>
                <v:textbox>
                  <w:txbxContent>
                    <w:p w14:paraId="2BBEAFE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p w14:paraId="1466F29D"/>
                  </w:txbxContent>
                </v:textbox>
              </v:shape>
            </w:pict>
          </mc:Fallback>
        </mc:AlternateContent>
      </w:r>
      <w:r>
        <w:rPr>
          <w:rFonts w:hint="eastAsia" w:ascii="仿宋" w:hAnsi="仿宋" w:eastAsia="仿宋" w:cs="仿宋"/>
          <w:color w:val="auto"/>
          <w:highlight w:val="none"/>
          <w:lang w:eastAsia="zh-CN"/>
        </w:rPr>
        <w:t>发包人在领取施工许可证或者提交开工报告之前，应及时按照国家有关规定对勘察、设计成果进行审查；报送政府、行业主管部门或施工图审查机构审查；办理合同工程质量和施工安全监督手续。</w:t>
      </w:r>
    </w:p>
    <w:p w14:paraId="0C846561">
      <w:pPr>
        <w:pStyle w:val="12"/>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承包人应组织勘察、设计成果、建筑信息模型（BIM）的内部审查，加强勘察、设计、BIM技术、采购、施工等专业人员的内部协调和管理，在施工场地设置专门的工程质量和施工安全管理机构，配备专职管理人员，建立完善的管理制度。</w:t>
      </w:r>
    </w:p>
    <w:p w14:paraId="50F0E449">
      <w:pPr>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351790</wp:posOffset>
                </wp:positionV>
                <wp:extent cx="815340" cy="469265"/>
                <wp:effectExtent l="0" t="0" r="0" b="0"/>
                <wp:wrapNone/>
                <wp:docPr id="202" name="0001cd"/>
                <wp:cNvGraphicFramePr/>
                <a:graphic xmlns:a="http://schemas.openxmlformats.org/drawingml/2006/main">
                  <a:graphicData uri="http://schemas.microsoft.com/office/word/2010/wordprocessingShape">
                    <wps:wsp>
                      <wps:cNvSpPr txBox="1"/>
                      <wps:spPr>
                        <a:xfrm>
                          <a:off x="0" y="0"/>
                          <a:ext cx="815340" cy="469265"/>
                        </a:xfrm>
                        <a:prstGeom prst="rect">
                          <a:avLst/>
                        </a:prstGeom>
                        <a:noFill/>
                        <a:ln>
                          <a:noFill/>
                        </a:ln>
                        <a:effectLst/>
                      </wps:spPr>
                      <wps:txbx>
                        <w:txbxContent>
                          <w:p w14:paraId="37BE031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p w14:paraId="16968074"/>
                        </w:txbxContent>
                      </wps:txbx>
                      <wps:bodyPr wrap="square" upright="1"/>
                    </wps:wsp>
                  </a:graphicData>
                </a:graphic>
              </wp:anchor>
            </w:drawing>
          </mc:Choice>
          <mc:Fallback>
            <w:pict>
              <v:shape id="0001cd" o:spid="_x0000_s1026" o:spt="202" type="#_x0000_t202" style="position:absolute;left:0pt;margin-left:-9pt;margin-top:27.7pt;height:36.95pt;width:64.2pt;z-index:251865088;mso-width-relative:page;mso-height-relative:page;" filled="f" stroked="f" coordsize="21600,21600" o:gfxdata="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NrVjfNcAAAAK&#10;AQAADwAAAAAAAAABACAAAAAiAAAAZHJzL2Rvd25yZXYueG1sUEsBAhQAFAAAAAgAh07iQIvu8NKr&#10;AQAAZgMAAA4AAAAAAAAAAQAgAAAAJgEAAGRycy9lMm9Eb2MueG1sUEsFBgAAAAAGAAYAWQEAAEMF&#10;AAAAAA==&#10;">
                <v:fill on="f" focussize="0,0"/>
                <v:stroke on="f"/>
                <v:imagedata o:title=""/>
                <o:lock v:ext="edit" aspectratio="f"/>
                <v:textbox>
                  <w:txbxContent>
                    <w:p w14:paraId="37BE031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p w14:paraId="16968074"/>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14:paraId="68A08C03">
      <w:pPr>
        <w:pStyle w:val="12"/>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发包人不得以任何理由，要求承包人在勘察（如果有）、设计、BIM技术应用、设备及工器具购置（如果有）、施工等作业中违反法律法规、工程建设强制性标准，以及工程质量和施工安全标准，降低合同工程质量。承包人应加强对勘察、设计、设备及工器具购置、施工等管理、技术、作业人员的工程质量和施工安全教育培训，定期考核施工作业人员的劳动技能，加强工程质量和施工安全管理。</w:t>
      </w:r>
    </w:p>
    <w:p w14:paraId="1CF4EF9F">
      <w:pPr>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66112" behindDoc="0" locked="0" layoutInCell="1" allowOverlap="1">
                <wp:simplePos x="0" y="0"/>
                <wp:positionH relativeFrom="column">
                  <wp:posOffset>-115570</wp:posOffset>
                </wp:positionH>
                <wp:positionV relativeFrom="paragraph">
                  <wp:posOffset>279400</wp:posOffset>
                </wp:positionV>
                <wp:extent cx="842645" cy="626110"/>
                <wp:effectExtent l="0" t="0" r="0" b="0"/>
                <wp:wrapNone/>
                <wp:docPr id="203" name="0001ce"/>
                <wp:cNvGraphicFramePr/>
                <a:graphic xmlns:a="http://schemas.openxmlformats.org/drawingml/2006/main">
                  <a:graphicData uri="http://schemas.microsoft.com/office/word/2010/wordprocessingShape">
                    <wps:wsp>
                      <wps:cNvSpPr txBox="1"/>
                      <wps:spPr>
                        <a:xfrm>
                          <a:off x="0" y="0"/>
                          <a:ext cx="842645" cy="626110"/>
                        </a:xfrm>
                        <a:prstGeom prst="rect">
                          <a:avLst/>
                        </a:prstGeom>
                        <a:noFill/>
                        <a:ln>
                          <a:noFill/>
                        </a:ln>
                        <a:effectLst/>
                      </wps:spPr>
                      <wps:txbx>
                        <w:txbxContent>
                          <w:p w14:paraId="61E302A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p w14:paraId="022938A4">
                            <w:pPr>
                              <w:rPr>
                                <w:lang w:eastAsia="zh-CN"/>
                              </w:rPr>
                            </w:pPr>
                          </w:p>
                        </w:txbxContent>
                      </wps:txbx>
                      <wps:bodyPr wrap="square" upright="1"/>
                    </wps:wsp>
                  </a:graphicData>
                </a:graphic>
              </wp:anchor>
            </w:drawing>
          </mc:Choice>
          <mc:Fallback>
            <w:pict>
              <v:shape id="0001ce" o:spid="_x0000_s1026" o:spt="202" type="#_x0000_t202" style="position:absolute;left:0pt;margin-left:-9.1pt;margin-top:22pt;height:49.3pt;width:66.35pt;z-index:251866112;mso-width-relative:page;mso-height-relative:page;" filled="f" stroked="f" coordsize="21600,21600" o:gfxdata="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PPcuHXAAAA&#10;CgEAAA8AAAAAAAAAAQAgAAAAIgAAAGRycy9kb3ducmV2LnhtbFBLAQIUABQAAAAIAIdO4kAR5zSZ&#10;rAEAAGYDAAAOAAAAAAAAAAEAIAAAACYBAABkcnMvZTJvRG9jLnhtbFBLBQYAAAAABgAGAFkBAABE&#10;BQAAAAA=&#10;">
                <v:fill on="f" focussize="0,0"/>
                <v:stroke on="f"/>
                <v:imagedata o:title=""/>
                <o:lock v:ext="edit" aspectratio="f"/>
                <v:textbox>
                  <w:txbxContent>
                    <w:p w14:paraId="61E302A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p w14:paraId="022938A4">
                      <w:pPr>
                        <w:rPr>
                          <w:lang w:eastAsia="zh-CN"/>
                        </w:rPr>
                      </w:pP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0CFB733B">
      <w:pPr>
        <w:pStyle w:val="12"/>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对合同工程质量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程质量和施工安全。</w:t>
      </w:r>
    </w:p>
    <w:p w14:paraId="43EECE77">
      <w:pPr>
        <w:pStyle w:val="12"/>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因承包人原因造成工程质量未达到合同约定标准的，发包人有权要求承包人返工直至工程质量达到合同约定的标准为止，并由承包人承担由此增加的费用和延误工期的责任。</w:t>
      </w:r>
    </w:p>
    <w:p w14:paraId="03058CFB">
      <w:pPr>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67136" behindDoc="0" locked="0" layoutInCell="1" allowOverlap="1">
                <wp:simplePos x="0" y="0"/>
                <wp:positionH relativeFrom="column">
                  <wp:posOffset>-123825</wp:posOffset>
                </wp:positionH>
                <wp:positionV relativeFrom="paragraph">
                  <wp:posOffset>224790</wp:posOffset>
                </wp:positionV>
                <wp:extent cx="794385" cy="535305"/>
                <wp:effectExtent l="0" t="0" r="0" b="0"/>
                <wp:wrapNone/>
                <wp:docPr id="204" name="0001cf"/>
                <wp:cNvGraphicFramePr/>
                <a:graphic xmlns:a="http://schemas.openxmlformats.org/drawingml/2006/main">
                  <a:graphicData uri="http://schemas.microsoft.com/office/word/2010/wordprocessingShape">
                    <wps:wsp>
                      <wps:cNvSpPr txBox="1"/>
                      <wps:spPr>
                        <a:xfrm>
                          <a:off x="0" y="0"/>
                          <a:ext cx="794385" cy="535305"/>
                        </a:xfrm>
                        <a:prstGeom prst="rect">
                          <a:avLst/>
                        </a:prstGeom>
                        <a:noFill/>
                        <a:ln>
                          <a:noFill/>
                        </a:ln>
                        <a:effectLst/>
                      </wps:spPr>
                      <wps:txbx>
                        <w:txbxContent>
                          <w:p w14:paraId="018EE5F8">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p w14:paraId="7CDFA56F">
                            <w:pPr>
                              <w:rPr>
                                <w:lang w:eastAsia="zh-CN"/>
                              </w:rPr>
                            </w:pPr>
                          </w:p>
                        </w:txbxContent>
                      </wps:txbx>
                      <wps:bodyPr wrap="square" upright="1"/>
                    </wps:wsp>
                  </a:graphicData>
                </a:graphic>
              </wp:anchor>
            </w:drawing>
          </mc:Choice>
          <mc:Fallback>
            <w:pict>
              <v:shape id="0001cf" o:spid="_x0000_s1026" o:spt="202" type="#_x0000_t202" style="position:absolute;left:0pt;margin-left:-9.75pt;margin-top:17.7pt;height:42.15pt;width:62.55pt;z-index:251867136;mso-width-relative:page;mso-height-relative:page;" filled="f" stroked="f" coordsize="21600,21600" o:gfxdata="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rv6Sm2AAA&#10;AAoBAAAPAAAAAAAAAAEAIAAAACIAAABkcnMvZG93bnJldi54bWxQSwECFAAUAAAACACHTuJAo0eb&#10;pawBAABmAwAADgAAAAAAAAABACAAAAAnAQAAZHJzL2Uyb0RvYy54bWxQSwUGAAAAAAYABgBZAQAA&#10;RQUAAAAA&#10;">
                <v:fill on="f" focussize="0,0"/>
                <v:stroke on="f"/>
                <v:imagedata o:title=""/>
                <o:lock v:ext="edit" aspectratio="f"/>
                <v:textbox>
                  <w:txbxContent>
                    <w:p w14:paraId="018EE5F8">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p w14:paraId="7CDFA56F">
                      <w:pPr>
                        <w:rPr>
                          <w:lang w:eastAsia="zh-CN"/>
                        </w:rPr>
                      </w:pP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4C4A76F5">
      <w:pPr>
        <w:autoSpaceDE w:val="0"/>
        <w:autoSpaceDN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因发包人原因造成工程质量未达到合同约定标准的，由发包人承担由此增加的费用和延误工期的责任，增加的费用按本合同相关条款约定计算。</w:t>
      </w:r>
    </w:p>
    <w:p w14:paraId="2174B586">
      <w:pPr>
        <w:spacing w:line="360" w:lineRule="auto"/>
        <w:rPr>
          <w:rFonts w:ascii="仿宋" w:hAnsi="仿宋" w:eastAsia="仿宋" w:cs="仿宋"/>
          <w:color w:val="auto"/>
          <w:highlight w:val="none"/>
          <w:u w:val="dotted"/>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2301E850">
      <w:pPr>
        <w:widowControl w:val="0"/>
        <w:autoSpaceDE w:val="0"/>
        <w:autoSpaceDN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16510</wp:posOffset>
                </wp:positionV>
                <wp:extent cx="855980" cy="741045"/>
                <wp:effectExtent l="0" t="0" r="0" b="0"/>
                <wp:wrapNone/>
                <wp:docPr id="205" name="0001d0"/>
                <wp:cNvGraphicFramePr/>
                <a:graphic xmlns:a="http://schemas.openxmlformats.org/drawingml/2006/main">
                  <a:graphicData uri="http://schemas.microsoft.com/office/word/2010/wordprocessingShape">
                    <wps:wsp>
                      <wps:cNvSpPr txBox="1"/>
                      <wps:spPr>
                        <a:xfrm>
                          <a:off x="0" y="0"/>
                          <a:ext cx="855980" cy="741045"/>
                        </a:xfrm>
                        <a:prstGeom prst="rect">
                          <a:avLst/>
                        </a:prstGeom>
                        <a:noFill/>
                        <a:ln>
                          <a:noFill/>
                        </a:ln>
                        <a:effectLst/>
                      </wps:spPr>
                      <wps:txbx>
                        <w:txbxContent>
                          <w:p w14:paraId="28378F0F">
                            <w:pPr>
                              <w:rPr>
                                <w:color w:val="FF0000"/>
                                <w:lang w:eastAsia="zh-CN"/>
                              </w:rPr>
                            </w:pPr>
                            <w:r>
                              <w:rPr>
                                <w:rFonts w:hint="eastAsia" w:ascii="楷体_GB2312" w:hAnsi="宋体" w:eastAsia="楷体_GB2312" w:cs="楷体_GB2312"/>
                                <w:b/>
                                <w:bCs/>
                                <w:sz w:val="18"/>
                                <w:szCs w:val="18"/>
                                <w:lang w:eastAsia="zh-CN"/>
                              </w:rPr>
                              <w:t>监理人的质量检查和检验</w:t>
                            </w:r>
                          </w:p>
                          <w:p w14:paraId="099D93E0">
                            <w:pPr>
                              <w:rPr>
                                <w:lang w:eastAsia="zh-CN"/>
                              </w:rPr>
                            </w:pPr>
                          </w:p>
                        </w:txbxContent>
                      </wps:txbx>
                      <wps:bodyPr wrap="square" upright="1"/>
                    </wps:wsp>
                  </a:graphicData>
                </a:graphic>
              </wp:anchor>
            </w:drawing>
          </mc:Choice>
          <mc:Fallback>
            <w:pict>
              <v:shape id="0001d0" o:spid="_x0000_s1026" o:spt="202" type="#_x0000_t202" style="position:absolute;left:0pt;margin-left:-9pt;margin-top:1.3pt;height:58.35pt;width:67.4pt;z-index:251868160;mso-width-relative:page;mso-height-relative:page;" filled="f" stroked="f" coordsize="21600,21600" o:gfxdata="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DSU9DWAAAACQEA&#10;AA8AAAAAAAAAAQAgAAAAIgAAAGRycy9kb3ducmV2LnhtbFBLAQIUABQAAAAIAIdO4kBNVYG/qgEA&#10;AGYDAAAOAAAAAAAAAAEAIAAAACUBAABkcnMvZTJvRG9jLnhtbFBLBQYAAAAABgAGAFkBAABBBQAA&#10;AAA=&#10;">
                <v:fill on="f" focussize="0,0"/>
                <v:stroke on="f"/>
                <v:imagedata o:title=""/>
                <o:lock v:ext="edit" aspectratio="f"/>
                <v:textbox>
                  <w:txbxContent>
                    <w:p w14:paraId="28378F0F">
                      <w:pPr>
                        <w:rPr>
                          <w:color w:val="FF0000"/>
                          <w:lang w:eastAsia="zh-CN"/>
                        </w:rPr>
                      </w:pPr>
                      <w:r>
                        <w:rPr>
                          <w:rFonts w:hint="eastAsia" w:ascii="楷体_GB2312" w:hAnsi="宋体" w:eastAsia="楷体_GB2312" w:cs="楷体_GB2312"/>
                          <w:b/>
                          <w:bCs/>
                          <w:sz w:val="18"/>
                          <w:szCs w:val="18"/>
                          <w:lang w:eastAsia="zh-CN"/>
                        </w:rPr>
                        <w:t>监理人的质量检查和检验</w:t>
                      </w:r>
                    </w:p>
                    <w:p w14:paraId="099D93E0">
                      <w:pPr>
                        <w:rPr>
                          <w:lang w:eastAsia="zh-CN"/>
                        </w:rPr>
                      </w:pPr>
                    </w:p>
                  </w:txbxContent>
                </v:textbox>
              </v:shape>
            </w:pict>
          </mc:Fallback>
        </mc:AlternateContent>
      </w:r>
      <w:r>
        <w:rPr>
          <w:rFonts w:hint="eastAsia" w:ascii="仿宋" w:hAnsi="仿宋" w:eastAsia="仿宋" w:cs="仿宋"/>
          <w:color w:val="auto"/>
          <w:highlight w:val="none"/>
          <w:lang w:eastAsia="zh-CN"/>
        </w:rPr>
        <w:t>监理人按照法律规定和发包人授权对工程的所有部位及其施工工艺、工程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718BCBBB">
      <w:pPr>
        <w:pStyle w:val="12"/>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0272F72E">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697" w:name="_Toc11624"/>
      <w:bookmarkStart w:id="698" w:name="_Toc20463"/>
      <w:bookmarkStart w:id="699" w:name="_Toc26474"/>
      <w:bookmarkStart w:id="700" w:name="_Toc31697"/>
      <w:bookmarkStart w:id="701" w:name="_Toc26958"/>
      <w:bookmarkStart w:id="702" w:name="_Toc47694324"/>
      <w:bookmarkStart w:id="703" w:name="_Toc18596"/>
      <w:bookmarkStart w:id="704" w:name="_Toc22964"/>
      <w:r>
        <w:rPr>
          <w:rFonts w:hint="eastAsia" w:ascii="仿宋" w:hAnsi="仿宋" w:eastAsia="仿宋" w:cs="仿宋"/>
          <w:bCs w:val="0"/>
          <w:color w:val="auto"/>
          <w:sz w:val="24"/>
          <w:szCs w:val="24"/>
          <w:highlight w:val="none"/>
          <w:lang w:eastAsia="zh-CN"/>
        </w:rPr>
        <w:t>★49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质量标准</w:t>
      </w:r>
      <w:bookmarkEnd w:id="697"/>
      <w:bookmarkEnd w:id="698"/>
      <w:bookmarkEnd w:id="699"/>
      <w:bookmarkEnd w:id="700"/>
      <w:bookmarkEnd w:id="701"/>
      <w:bookmarkEnd w:id="702"/>
      <w:bookmarkEnd w:id="703"/>
      <w:bookmarkEnd w:id="704"/>
    </w:p>
    <w:p w14:paraId="5E08A841">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.1</w:t>
      </w:r>
    </w:p>
    <w:p w14:paraId="4754AC74">
      <w:pPr>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8255</wp:posOffset>
                </wp:positionV>
                <wp:extent cx="822960" cy="711200"/>
                <wp:effectExtent l="0" t="0" r="0" b="0"/>
                <wp:wrapNone/>
                <wp:docPr id="206" name="0001d1"/>
                <wp:cNvGraphicFramePr/>
                <a:graphic xmlns:a="http://schemas.openxmlformats.org/drawingml/2006/main">
                  <a:graphicData uri="http://schemas.microsoft.com/office/word/2010/wordprocessingShape">
                    <wps:wsp>
                      <wps:cNvSpPr txBox="1"/>
                      <wps:spPr>
                        <a:xfrm>
                          <a:off x="0" y="0"/>
                          <a:ext cx="822960" cy="711200"/>
                        </a:xfrm>
                        <a:prstGeom prst="rect">
                          <a:avLst/>
                        </a:prstGeom>
                        <a:noFill/>
                        <a:ln>
                          <a:noFill/>
                        </a:ln>
                        <a:effectLst/>
                      </wps:spPr>
                      <wps:txbx>
                        <w:txbxContent>
                          <w:p w14:paraId="66DDEF8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p w14:paraId="30F1A070">
                            <w:pPr>
                              <w:rPr>
                                <w:lang w:eastAsia="zh-CN"/>
                              </w:rPr>
                            </w:pPr>
                          </w:p>
                        </w:txbxContent>
                      </wps:txbx>
                      <wps:bodyPr wrap="square" upright="1"/>
                    </wps:wsp>
                  </a:graphicData>
                </a:graphic>
              </wp:anchor>
            </w:drawing>
          </mc:Choice>
          <mc:Fallback>
            <w:pict>
              <v:shape id="0001d1" o:spid="_x0000_s1026" o:spt="202" type="#_x0000_t202" style="position:absolute;left:0pt;margin-left:-9pt;margin-top:0.65pt;height:56pt;width:64.8pt;z-index:251869184;mso-width-relative:page;mso-height-relative:page;" filled="f" stroked="f" coordsize="21600,21600" o:gfxdata="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i3Hje1QAAAAkBAAAP&#10;AAAAAAAAAAEAIAAAACIAAABkcnMvZG93bnJldi54bWxQSwECFAAUAAAACACHTuJAA7Su5akBAABm&#10;AwAADgAAAAAAAAABACAAAAAkAQAAZHJzL2Uyb0RvYy54bWxQSwUGAAAAAAYABgBZAQAAPwUAAAAA&#10;">
                <v:fill on="f" focussize="0,0"/>
                <v:stroke on="f"/>
                <v:imagedata o:title=""/>
                <o:lock v:ext="edit" aspectratio="f"/>
                <v:textbox>
                  <w:txbxContent>
                    <w:p w14:paraId="66DDEF8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p w14:paraId="30F1A070">
                      <w:pPr>
                        <w:rPr>
                          <w:lang w:eastAsia="zh-CN"/>
                        </w:rPr>
                      </w:pPr>
                    </w:p>
                  </w:txbxContent>
                </v:textbox>
              </v:shape>
            </w:pict>
          </mc:Fallback>
        </mc:AlternateContent>
      </w:r>
      <w:r>
        <w:rPr>
          <w:rFonts w:hint="eastAsia" w:ascii="仿宋" w:hAnsi="仿宋" w:eastAsia="仿宋" w:cs="仿宋"/>
          <w:color w:val="auto"/>
          <w:highlight w:val="none"/>
          <w:lang w:eastAsia="zh-CN"/>
        </w:rPr>
        <w:t>合同双方当事人应在专用条款中约定勘察（如果有）、设计、BIM技术应用、设备及工器具购置（如果有）、施工等总承包范围内的服务工作和工程质量标准，但不得低于国家或行业的强制性标准。服务工作和工程质量应当达到专用条款约定的质量标准。</w:t>
      </w:r>
    </w:p>
    <w:p w14:paraId="7F49B289">
      <w:pPr>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工程质量验收，按照合同约定的标准执行；合同没有约定的，按照国家或行业的质量验收标准执行。</w:t>
      </w:r>
    </w:p>
    <w:p w14:paraId="47875CD4">
      <w:pPr>
        <w:spacing w:line="360" w:lineRule="auto"/>
        <w:rPr>
          <w:rFonts w:ascii="仿宋" w:hAnsi="仿宋" w:eastAsia="仿宋"/>
          <w:color w:val="auto"/>
          <w:highlight w:val="none"/>
          <w:lang w:eastAsia="zh-CN"/>
        </w:rPr>
      </w:pPr>
      <w:r>
        <w:rPr>
          <w:rFonts w:hint="eastAsia"/>
          <w:color w:val="auto"/>
          <w:highlight w:val="none"/>
          <w:lang w:eastAsia="zh-CN"/>
        </w:rPr>
        <w:t>49</w:t>
      </w:r>
      <w:r>
        <w:rPr>
          <w:rFonts w:ascii="仿宋" w:hAnsi="仿宋" w:eastAsia="仿宋" w:cs="仿宋"/>
          <w:b/>
          <w:bCs/>
          <w:color w:val="auto"/>
          <w:highlight w:val="none"/>
          <w:lang w:eastAsia="zh-CN"/>
        </w:rPr>
        <w:t>.2</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5A131CED">
      <w:pPr>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70208" behindDoc="0" locked="0" layoutInCell="1" allowOverlap="1">
                <wp:simplePos x="0" y="0"/>
                <wp:positionH relativeFrom="column">
                  <wp:posOffset>-9525</wp:posOffset>
                </wp:positionH>
                <wp:positionV relativeFrom="paragraph">
                  <wp:posOffset>48895</wp:posOffset>
                </wp:positionV>
                <wp:extent cx="843915" cy="551815"/>
                <wp:effectExtent l="0" t="0" r="0" b="0"/>
                <wp:wrapNone/>
                <wp:docPr id="207" name="0001d2"/>
                <wp:cNvGraphicFramePr/>
                <a:graphic xmlns:a="http://schemas.openxmlformats.org/drawingml/2006/main">
                  <a:graphicData uri="http://schemas.microsoft.com/office/word/2010/wordprocessingShape">
                    <wps:wsp>
                      <wps:cNvSpPr txBox="1"/>
                      <wps:spPr>
                        <a:xfrm>
                          <a:off x="0" y="0"/>
                          <a:ext cx="843915" cy="551815"/>
                        </a:xfrm>
                        <a:prstGeom prst="rect">
                          <a:avLst/>
                        </a:prstGeom>
                        <a:noFill/>
                        <a:ln>
                          <a:noFill/>
                        </a:ln>
                        <a:effectLst/>
                      </wps:spPr>
                      <wps:txbx>
                        <w:txbxContent>
                          <w:p w14:paraId="25495D9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p w14:paraId="192F2C8D">
                            <w:pPr>
                              <w:rPr>
                                <w:lang w:eastAsia="zh-CN"/>
                              </w:rPr>
                            </w:pPr>
                          </w:p>
                        </w:txbxContent>
                      </wps:txbx>
                      <wps:bodyPr wrap="square" upright="1"/>
                    </wps:wsp>
                  </a:graphicData>
                </a:graphic>
              </wp:anchor>
            </w:drawing>
          </mc:Choice>
          <mc:Fallback>
            <w:pict>
              <v:shape id="0001d2" o:spid="_x0000_s1026" o:spt="202" type="#_x0000_t202" style="position:absolute;left:0pt;margin-left:-0.75pt;margin-top:3.85pt;height:43.45pt;width:66.45pt;z-index:251870208;mso-width-relative:page;mso-height-relative:page;" filled="f" stroked="f" coordsize="21600,21600" o:gfxdata="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V+nZ3VAAAABwEA&#10;AA8AAAAAAAAAAQAgAAAAIgAAAGRycy9kb3ducmV2LnhtbFBLAQIUABQAAAAIAIdO4kCeFyAIqwEA&#10;AGYDAAAOAAAAAAAAAAEAIAAAACQBAABkcnMvZTJvRG9jLnhtbFBLBQYAAAAABgAGAFkBAABBBQAA&#10;AAA=&#10;">
                <v:fill on="f" focussize="0,0"/>
                <v:stroke on="f"/>
                <v:imagedata o:title=""/>
                <o:lock v:ext="edit" aspectratio="f"/>
                <v:textbox>
                  <w:txbxContent>
                    <w:p w14:paraId="25495D9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p w14:paraId="192F2C8D">
                      <w:pPr>
                        <w:rPr>
                          <w:lang w:eastAsia="zh-CN"/>
                        </w:rPr>
                      </w:pPr>
                    </w:p>
                  </w:txbxContent>
                </v:textbox>
              </v:shape>
            </w:pict>
          </mc:Fallback>
        </mc:AlternateContent>
      </w:r>
      <w:r>
        <w:rPr>
          <w:rFonts w:hint="eastAsia" w:ascii="仿宋" w:hAnsi="仿宋" w:eastAsia="仿宋" w:cs="仿宋"/>
          <w:color w:val="auto"/>
          <w:highlight w:val="none"/>
          <w:lang w:eastAsia="zh-CN"/>
        </w:rPr>
        <w:t>承包人对合同工程的工作质量和工程质量向发包人负责，其职责包括但不限于下列内容：</w:t>
      </w:r>
    </w:p>
    <w:p w14:paraId="0B40FEA4">
      <w:pPr>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（1）编制勘察、设计、BIM技术应用、设备及工器具购置等工作方案，确定工作方法，制定质量保证措施；</w:t>
      </w:r>
    </w:p>
    <w:p w14:paraId="4B7AF334">
      <w:pPr>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（2）安排足够的勘察、设计、BIM技术应用等专业技术人员，检查和控制成果质量；</w:t>
      </w:r>
    </w:p>
    <w:p w14:paraId="2898498D">
      <w:pPr>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（3）编制施工技术方案，确定施工技术措施；</w:t>
      </w:r>
    </w:p>
    <w:p w14:paraId="2F5316C7">
      <w:pPr>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（4）提供和组织足够的工程技术人员，检查和控制工程施工质量；</w:t>
      </w:r>
    </w:p>
    <w:p w14:paraId="3B6A6362">
      <w:pPr>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（5）控制施工所用的工程材料和工程设备，使其符合标准与规范、设计要求及合同约定的标准；</w:t>
      </w:r>
    </w:p>
    <w:p w14:paraId="5FEBB9B2">
      <w:pPr>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（6）负责合同工程施工中出现质量问题或竣工验收不合格的返修工作；</w:t>
      </w:r>
    </w:p>
    <w:p w14:paraId="04FCAFD8">
      <w:pPr>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（7）参加合同工程的所有验收工作，包括隐蔽验收、中间验收；参加竣工验收，组织分包人参加工程验收工作；</w:t>
      </w:r>
    </w:p>
    <w:p w14:paraId="2A15D38F">
      <w:pPr>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（8）承担质量保修期的工程保修责任；</w:t>
      </w:r>
    </w:p>
    <w:p w14:paraId="71B6A7FB">
      <w:pPr>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（9）承担其他工程质量责任。</w:t>
      </w:r>
    </w:p>
    <w:p w14:paraId="28A85025">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14:paraId="2EE6CA0F">
      <w:pPr>
        <w:pStyle w:val="34"/>
        <w:widowControl w:val="0"/>
        <w:ind w:left="1850" w:leftChars="771"/>
        <w:jc w:val="both"/>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57150</wp:posOffset>
                </wp:positionV>
                <wp:extent cx="774700" cy="407035"/>
                <wp:effectExtent l="0" t="0" r="0" b="0"/>
                <wp:wrapNone/>
                <wp:docPr id="208" name="0001d3"/>
                <wp:cNvGraphicFramePr/>
                <a:graphic xmlns:a="http://schemas.openxmlformats.org/drawingml/2006/main">
                  <a:graphicData uri="http://schemas.microsoft.com/office/word/2010/wordprocessingShape">
                    <wps:wsp>
                      <wps:cNvSpPr txBox="1"/>
                      <wps:spPr>
                        <a:xfrm>
                          <a:off x="0" y="0"/>
                          <a:ext cx="774700" cy="407035"/>
                        </a:xfrm>
                        <a:prstGeom prst="rect">
                          <a:avLst/>
                        </a:prstGeom>
                        <a:noFill/>
                        <a:ln>
                          <a:noFill/>
                        </a:ln>
                        <a:effectLst/>
                      </wps:spPr>
                      <wps:txbx>
                        <w:txbxContent>
                          <w:p w14:paraId="26DE144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p w14:paraId="147FB0EC"/>
                        </w:txbxContent>
                      </wps:txbx>
                      <wps:bodyPr wrap="square" upright="1"/>
                    </wps:wsp>
                  </a:graphicData>
                </a:graphic>
              </wp:anchor>
            </w:drawing>
          </mc:Choice>
          <mc:Fallback>
            <w:pict>
              <v:shape id="0001d3" o:spid="_x0000_s1026" o:spt="202" type="#_x0000_t202" style="position:absolute;left:0pt;margin-left:-9pt;margin-top:4.5pt;height:32.05pt;width:61pt;z-index:251871232;mso-width-relative:page;mso-height-relative:page;" filled="f" stroked="f" coordsize="21600,21600" o:gfxdata="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6aFM6dUAAAAIAQAA&#10;DwAAAAAAAAABACAAAAAiAAAAZHJzL2Rvd25yZXYueG1sUEsBAhQAFAAAAAgAh07iQJCPB1uqAQAA&#10;ZgMAAA4AAAAAAAAAAQAgAAAAJAEAAGRycy9lMm9Eb2MueG1sUEsFBgAAAAAGAAYAWQEAAEAFAAAA&#10;AA==&#10;">
                <v:fill on="f" focussize="0,0"/>
                <v:stroke on="f"/>
                <v:imagedata o:title=""/>
                <o:lock v:ext="edit" aspectratio="f"/>
                <v:textbox>
                  <w:txbxContent>
                    <w:p w14:paraId="26DE144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p w14:paraId="147FB0EC"/>
                  </w:txbxContent>
                </v:textbox>
              </v:shape>
            </w:pict>
          </mc:Fallback>
        </mc:AlternateContent>
      </w:r>
      <w:r>
        <w:rPr>
          <w:rFonts w:hint="eastAsia" w:ascii="仿宋" w:hAnsi="仿宋" w:eastAsia="仿宋" w:cs="仿宋"/>
          <w:color w:val="auto"/>
          <w:highlight w:val="none"/>
          <w:lang w:eastAsia="zh-CN"/>
        </w:rPr>
        <w:t>承包人应建立健全完善的质量保证体系。</w:t>
      </w:r>
    </w:p>
    <w:p w14:paraId="20715170">
      <w:pPr>
        <w:pStyle w:val="34"/>
        <w:widowControl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）承包人应向发包人和监理人提交工程质量保证体系及措施文件，建立完善的质量检查制度，并提交相应的工程质量文件。对于发包人和监理人违反法律规定和合同约定的错误指示，承包人有权拒绝实施。</w:t>
      </w:r>
    </w:p>
    <w:p w14:paraId="1B17E606">
      <w:pPr>
        <w:pStyle w:val="34"/>
        <w:widowControl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应遵守质量保证体系，对施工人员进行质量教育和技术培训，定期考核施工人员的劳动技能，严格执行施工规范和操作规程。即使承包人遵守质量保证体系，也不能免除其按照合同约定应承担的任何责任和应履行的任何义务。</w:t>
      </w:r>
    </w:p>
    <w:p w14:paraId="66A771A9">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276225</wp:posOffset>
                </wp:positionV>
                <wp:extent cx="762000" cy="473710"/>
                <wp:effectExtent l="0" t="0" r="0" b="0"/>
                <wp:wrapNone/>
                <wp:docPr id="209" name="0001d4"/>
                <wp:cNvGraphicFramePr/>
                <a:graphic xmlns:a="http://schemas.openxmlformats.org/drawingml/2006/main">
                  <a:graphicData uri="http://schemas.microsoft.com/office/word/2010/wordprocessingShape">
                    <wps:wsp>
                      <wps:cNvSpPr txBox="1"/>
                      <wps:spPr>
                        <a:xfrm>
                          <a:off x="0" y="0"/>
                          <a:ext cx="762000" cy="473710"/>
                        </a:xfrm>
                        <a:prstGeom prst="rect">
                          <a:avLst/>
                        </a:prstGeom>
                        <a:noFill/>
                        <a:ln>
                          <a:noFill/>
                        </a:ln>
                        <a:effectLst/>
                      </wps:spPr>
                      <wps:txbx>
                        <w:txbxContent>
                          <w:p w14:paraId="2FA558F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p w14:paraId="219C4B0E"/>
                        </w:txbxContent>
                      </wps:txbx>
                      <wps:bodyPr wrap="square" upright="1"/>
                    </wps:wsp>
                  </a:graphicData>
                </a:graphic>
              </wp:anchor>
            </w:drawing>
          </mc:Choice>
          <mc:Fallback>
            <w:pict>
              <v:shape id="0001d4" o:spid="_x0000_s1026" o:spt="202" type="#_x0000_t202" style="position:absolute;left:0pt;margin-left:-9pt;margin-top:21.75pt;height:37.3pt;width:60pt;z-index:251872256;mso-width-relative:page;mso-height-relative:page;" filled="f" stroked="f" coordsize="21600,21600" o:gfxdata="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6zv7/XAAAA&#10;CgEAAA8AAAAAAAAAAQAgAAAAIgAAAGRycy9kb3ducmV2LnhtbFBLAQIUABQAAAAIAIdO4kANzaMM&#10;rAEAAGYDAAAOAAAAAAAAAAEAIAAAACYBAABkcnMvZTJvRG9jLnhtbFBLBQYAAAAABgAGAFkBAABE&#10;BQAAAAA=&#10;">
                <v:fill on="f" focussize="0,0"/>
                <v:stroke on="f"/>
                <v:imagedata o:title=""/>
                <o:lock v:ext="edit" aspectratio="f"/>
                <v:textbox>
                  <w:txbxContent>
                    <w:p w14:paraId="2FA558F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p w14:paraId="219C4B0E"/>
                  </w:txbxContent>
                </v:textbox>
              </v:shape>
            </w:pict>
          </mc:Fallback>
        </mc:AlternateContent>
      </w: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774C4E7B">
      <w:pPr>
        <w:widowControl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合同双方当事人对工程质量有争议的，按照第91</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款约定调解或认定，所需的费用及由此造成的损失，由责任方承担。双方均有责任的，由双方根据其责任划分分别承担。</w:t>
      </w:r>
    </w:p>
    <w:p w14:paraId="24F4D66A">
      <w:pPr>
        <w:tabs>
          <w:tab w:val="left" w:pos="1620"/>
        </w:tabs>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239BC9FD">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705" w:name="_Toc32251"/>
      <w:bookmarkStart w:id="706" w:name="_Toc47694325"/>
      <w:bookmarkStart w:id="707" w:name="_Toc23191"/>
      <w:bookmarkStart w:id="708" w:name="_Toc31287"/>
      <w:bookmarkStart w:id="709" w:name="_Toc14311"/>
      <w:bookmarkStart w:id="710" w:name="_Toc21785"/>
      <w:bookmarkStart w:id="711" w:name="_Toc5399"/>
      <w:bookmarkStart w:id="712" w:name="_Toc14126"/>
      <w:r>
        <w:rPr>
          <w:rFonts w:hint="eastAsia" w:ascii="仿宋" w:hAnsi="仿宋" w:eastAsia="仿宋" w:cs="仿宋"/>
          <w:bCs w:val="0"/>
          <w:color w:val="auto"/>
          <w:sz w:val="24"/>
          <w:szCs w:val="24"/>
          <w:highlight w:val="none"/>
          <w:lang w:eastAsia="zh-CN"/>
        </w:rPr>
        <w:t>★50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工程质量创优</w:t>
      </w:r>
      <w:bookmarkEnd w:id="705"/>
      <w:bookmarkEnd w:id="706"/>
      <w:bookmarkEnd w:id="707"/>
      <w:bookmarkEnd w:id="708"/>
      <w:bookmarkEnd w:id="709"/>
      <w:bookmarkEnd w:id="710"/>
      <w:bookmarkEnd w:id="711"/>
      <w:bookmarkEnd w:id="712"/>
    </w:p>
    <w:p w14:paraId="43F4001D">
      <w:pPr>
        <w:spacing w:line="360" w:lineRule="auto"/>
        <w:rPr>
          <w:rFonts w:ascii="仿宋" w:hAnsi="仿宋" w:eastAsia="仿宋"/>
          <w:b/>
          <w:bCs/>
          <w:caps/>
          <w:color w:val="auto"/>
          <w:highlight w:val="none"/>
          <w:lang w:eastAsia="zh-CN"/>
        </w:rPr>
      </w:pPr>
      <w:bookmarkStart w:id="713" w:name="_Toc5870"/>
      <w:r>
        <w:rPr>
          <w:color w:val="auto"/>
          <w:highlight w:val="none"/>
        </w:rPr>
        <mc:AlternateContent>
          <mc:Choice Requires="wps">
            <w:drawing>
              <wp:anchor distT="0" distB="0" distL="114300" distR="114300" simplePos="0" relativeHeight="251873280" behindDoc="0" locked="0" layoutInCell="1" allowOverlap="1">
                <wp:simplePos x="0" y="0"/>
                <wp:positionH relativeFrom="column">
                  <wp:posOffset>-85725</wp:posOffset>
                </wp:positionH>
                <wp:positionV relativeFrom="paragraph">
                  <wp:posOffset>217170</wp:posOffset>
                </wp:positionV>
                <wp:extent cx="832485" cy="434975"/>
                <wp:effectExtent l="0" t="0" r="0" b="0"/>
                <wp:wrapNone/>
                <wp:docPr id="210" name="0001d5"/>
                <wp:cNvGraphicFramePr/>
                <a:graphic xmlns:a="http://schemas.openxmlformats.org/drawingml/2006/main">
                  <a:graphicData uri="http://schemas.microsoft.com/office/word/2010/wordprocessingShape">
                    <wps:wsp>
                      <wps:cNvSpPr txBox="1"/>
                      <wps:spPr>
                        <a:xfrm>
                          <a:off x="0" y="0"/>
                          <a:ext cx="832485" cy="434975"/>
                        </a:xfrm>
                        <a:prstGeom prst="rect">
                          <a:avLst/>
                        </a:prstGeom>
                        <a:noFill/>
                        <a:ln>
                          <a:noFill/>
                        </a:ln>
                        <a:effectLst/>
                      </wps:spPr>
                      <wps:txbx>
                        <w:txbxContent>
                          <w:p w14:paraId="2B65B5E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p w14:paraId="0F2A6EE2"/>
                        </w:txbxContent>
                      </wps:txbx>
                      <wps:bodyPr wrap="square" upright="1"/>
                    </wps:wsp>
                  </a:graphicData>
                </a:graphic>
              </wp:anchor>
            </w:drawing>
          </mc:Choice>
          <mc:Fallback>
            <w:pict>
              <v:shape id="0001d5" o:spid="_x0000_s1026" o:spt="202" type="#_x0000_t202" style="position:absolute;left:0pt;margin-left:-6.75pt;margin-top:17.1pt;height:34.25pt;width:65.55pt;z-index:251873280;mso-width-relative:page;mso-height-relative:page;" filled="f" stroked="f" coordsize="21600,21600" o:gfxdata="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05IUf9gA&#10;AAAKAQAADwAAAAAAAAABACAAAAAiAAAAZHJzL2Rvd25yZXYueG1sUEsBAhQAFAAAAAgAh07iQJtF&#10;nVCtAQAAZgMAAA4AAAAAAAAAAQAgAAAAJwEAAGRycy9lMm9Eb2MueG1sUEsFBgAAAAAGAAYAWQEA&#10;AEYFAAAAAA==&#10;">
                <v:fill on="f" focussize="0,0"/>
                <v:stroke on="f"/>
                <v:imagedata o:title=""/>
                <o:lock v:ext="edit" aspectratio="f"/>
                <v:textbox>
                  <w:txbxContent>
                    <w:p w14:paraId="2B65B5E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p w14:paraId="0F2A6EE2"/>
                  </w:txbxContent>
                </v:textbox>
              </v:shape>
            </w:pict>
          </mc:Fallback>
        </mc:AlternateContent>
      </w:r>
      <w:r>
        <w:rPr>
          <w:rFonts w:hint="eastAsia" w:ascii="仿宋" w:hAnsi="仿宋" w:eastAsia="仿宋" w:cs="仿宋"/>
          <w:b/>
          <w:bCs/>
          <w:caps/>
          <w:color w:val="auto"/>
          <w:highlight w:val="none"/>
          <w:lang w:eastAsia="zh-CN"/>
        </w:rPr>
        <w:t>50</w:t>
      </w:r>
      <w:r>
        <w:rPr>
          <w:rFonts w:ascii="仿宋" w:hAnsi="仿宋" w:eastAsia="仿宋" w:cs="仿宋"/>
          <w:b/>
          <w:bCs/>
          <w:caps/>
          <w:color w:val="auto"/>
          <w:highlight w:val="none"/>
          <w:lang w:eastAsia="zh-CN"/>
        </w:rPr>
        <w:t>.1</w:t>
      </w:r>
      <w:bookmarkEnd w:id="713"/>
    </w:p>
    <w:p w14:paraId="29AECCAF">
      <w:pPr>
        <w:widowControl w:val="0"/>
        <w:spacing w:line="360" w:lineRule="auto"/>
        <w:ind w:left="1850" w:leftChars="771"/>
        <w:rPr>
          <w:rFonts w:hint="eastAsia" w:ascii="仿宋" w:hAnsi="仿宋" w:eastAsia="仿宋" w:cs="仿宋"/>
          <w:caps/>
          <w:color w:val="auto"/>
          <w:highlight w:val="none"/>
          <w:lang w:eastAsia="zh-CN"/>
        </w:rPr>
      </w:pPr>
      <w:r>
        <w:rPr>
          <w:rFonts w:hint="eastAsia" w:ascii="仿宋" w:hAnsi="仿宋" w:eastAsia="仿宋" w:cs="仿宋"/>
          <w:caps/>
          <w:color w:val="auto"/>
          <w:highlight w:val="none"/>
          <w:lang w:eastAsia="zh-CN"/>
        </w:rPr>
        <w:t>发包人应配合承包人加强合同工程质量与施工安全管理，鼓励承包人实施合同工程质量创优。工程质量创优包括国家级、省级和市级的优秀勘察设计奖、工程优质奖及精品工程等，其中精品工程是指规划方案先进、勘察设计优秀、施工组织规范、工程质量优良、项目管理科学、造价经济合理、功能效益突出，统筹兼顾实用性、美观性等相关要求的工程，精品工程六要素包括设计要素、科技创新要素、绿色节能要素、安全要素、质量要素和功能要素。本工程的质量创优目标及评价标准在专用条款中约定。</w:t>
      </w:r>
    </w:p>
    <w:p w14:paraId="2FA70F29">
      <w:pPr>
        <w:widowControl w:val="0"/>
        <w:spacing w:line="360" w:lineRule="auto"/>
        <w:ind w:left="1850" w:leftChars="771"/>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对于合同工程质量高于国家规定或合同约定的质量验收合格标准的，应按照第77条约定向承包人支付优质优价费用。</w:t>
      </w:r>
    </w:p>
    <w:p w14:paraId="15FF8B9A">
      <w:pPr>
        <w:spacing w:line="360" w:lineRule="auto"/>
        <w:rPr>
          <w:rFonts w:ascii="仿宋" w:hAnsi="仿宋" w:eastAsia="仿宋"/>
          <w:b/>
          <w:bCs/>
          <w:caps/>
          <w:color w:val="auto"/>
          <w:highlight w:val="none"/>
          <w:lang w:eastAsia="zh-CN"/>
        </w:rPr>
      </w:pPr>
      <w:r>
        <w:rPr>
          <w:rFonts w:hint="eastAsia" w:ascii="仿宋" w:hAnsi="仿宋" w:eastAsia="仿宋" w:cs="仿宋"/>
          <w:b/>
          <w:bCs/>
          <w:color w:val="auto"/>
          <w:highlight w:val="none"/>
          <w:lang w:eastAsia="zh-CN"/>
        </w:rPr>
        <w:t>50</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EC35EFE">
      <w:pPr>
        <w:widowControl w:val="0"/>
        <w:spacing w:line="360" w:lineRule="auto"/>
        <w:ind w:left="1850" w:leftChars="771"/>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5715</wp:posOffset>
                </wp:positionV>
                <wp:extent cx="813435" cy="482600"/>
                <wp:effectExtent l="0" t="0" r="0" b="0"/>
                <wp:wrapNone/>
                <wp:docPr id="211" name="0001d6"/>
                <wp:cNvGraphicFramePr/>
                <a:graphic xmlns:a="http://schemas.openxmlformats.org/drawingml/2006/main">
                  <a:graphicData uri="http://schemas.microsoft.com/office/word/2010/wordprocessingShape">
                    <wps:wsp>
                      <wps:cNvSpPr txBox="1"/>
                      <wps:spPr>
                        <a:xfrm>
                          <a:off x="0" y="0"/>
                          <a:ext cx="813435" cy="482600"/>
                        </a:xfrm>
                        <a:prstGeom prst="rect">
                          <a:avLst/>
                        </a:prstGeom>
                        <a:noFill/>
                        <a:ln>
                          <a:noFill/>
                        </a:ln>
                        <a:effectLst/>
                      </wps:spPr>
                      <wps:txbx>
                        <w:txbxContent>
                          <w:p w14:paraId="5F76717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p w14:paraId="0EB746D3"/>
                        </w:txbxContent>
                      </wps:txbx>
                      <wps:bodyPr wrap="square" upright="1"/>
                    </wps:wsp>
                  </a:graphicData>
                </a:graphic>
              </wp:anchor>
            </w:drawing>
          </mc:Choice>
          <mc:Fallback>
            <w:pict>
              <v:shape id="0001d6" o:spid="_x0000_s1026" o:spt="202" type="#_x0000_t202" style="position:absolute;left:0pt;margin-left:-9pt;margin-top:0.45pt;height:38pt;width:64.05pt;z-index:251874304;mso-width-relative:page;mso-height-relative:page;" filled="f" stroked="f" coordsize="21600,21600" o:gfxdata="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PJ226LUAAAABwEA&#10;AA8AAAAAAAAAAQAgAAAAIgAAAGRycy9kb3ducmV2LnhtbFBLAQIUABQAAAAIAIdO4kCuRX6orAEA&#10;AGYDAAAOAAAAAAAAAAEAIAAAACMBAABkcnMvZTJvRG9jLnhtbFBLBQYAAAAABgAGAFkBAABBBQAA&#10;AAA=&#10;">
                <v:fill on="f" focussize="0,0"/>
                <v:stroke on="f"/>
                <v:imagedata o:title=""/>
                <o:lock v:ext="edit" aspectratio="f"/>
                <v:textbox>
                  <w:txbxContent>
                    <w:p w14:paraId="5F76717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p w14:paraId="0EB746D3"/>
                  </w:txbxContent>
                </v:textbox>
              </v:shape>
            </w:pict>
          </mc:Fallback>
        </mc:AlternateContent>
      </w:r>
      <w:r>
        <w:rPr>
          <w:rFonts w:hint="eastAsia" w:ascii="仿宋" w:hAnsi="仿宋" w:eastAsia="仿宋" w:cs="仿宋"/>
          <w:caps/>
          <w:color w:val="auto"/>
          <w:highlight w:val="none"/>
          <w:lang w:eastAsia="zh-CN"/>
        </w:rPr>
        <w:t>承包人应采取有效措施确保合同工程质量与施工安全，在保证工程质量、施工安全达到国家或行业的强制性标准的前提下，提高工程质量与施工安全管理水平，争取合同工程质量创优。</w:t>
      </w:r>
    </w:p>
    <w:p w14:paraId="6E1D9B8A">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aps/>
          <w:color w:val="auto"/>
          <w:highlight w:val="none"/>
          <w:u w:val="single"/>
          <w:lang w:eastAsia="zh-CN"/>
        </w:rPr>
        <w:t xml:space="preserve">                                                                                     </w:t>
      </w:r>
    </w:p>
    <w:p w14:paraId="66595A95">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714" w:name="_Toc16199"/>
      <w:bookmarkStart w:id="715" w:name="_Toc28649"/>
      <w:bookmarkStart w:id="716" w:name="_Toc18747"/>
      <w:bookmarkStart w:id="717" w:name="_Toc5255"/>
      <w:bookmarkStart w:id="718" w:name="_Toc47694326"/>
      <w:bookmarkStart w:id="719" w:name="_Toc7794"/>
      <w:bookmarkStart w:id="720" w:name="_Toc8176"/>
      <w:bookmarkStart w:id="721" w:name="_Toc628"/>
      <w:r>
        <w:rPr>
          <w:rFonts w:hint="eastAsia" w:ascii="仿宋" w:hAnsi="仿宋" w:eastAsia="仿宋" w:cs="仿宋"/>
          <w:bCs w:val="0"/>
          <w:color w:val="auto"/>
          <w:sz w:val="24"/>
          <w:szCs w:val="24"/>
          <w:highlight w:val="none"/>
          <w:lang w:eastAsia="zh-CN"/>
        </w:rPr>
        <w:t>51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工程的照管</w:t>
      </w:r>
      <w:bookmarkEnd w:id="714"/>
      <w:bookmarkEnd w:id="715"/>
      <w:bookmarkEnd w:id="716"/>
      <w:bookmarkEnd w:id="717"/>
      <w:bookmarkEnd w:id="718"/>
      <w:bookmarkEnd w:id="719"/>
      <w:bookmarkEnd w:id="720"/>
      <w:bookmarkEnd w:id="721"/>
    </w:p>
    <w:p w14:paraId="4AE4E2B0">
      <w:pPr>
        <w:spacing w:line="360" w:lineRule="auto"/>
        <w:rPr>
          <w:rFonts w:ascii="仿宋" w:hAnsi="仿宋" w:eastAsia="仿宋" w:cs="仿宋"/>
          <w:b/>
          <w:bCs/>
          <w:color w:val="auto"/>
          <w:highlight w:val="none"/>
          <w:lang w:eastAsia="zh-CN"/>
        </w:rPr>
      </w:pPr>
      <w:bookmarkStart w:id="722" w:name="_Toc5922"/>
      <w:r>
        <w:rPr>
          <w:rFonts w:ascii="仿宋" w:hAnsi="仿宋" w:eastAsia="仿宋" w:cs="仿宋"/>
          <w:b/>
          <w:bCs/>
          <w:color w:val="auto"/>
          <w:highlight w:val="none"/>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264160</wp:posOffset>
                </wp:positionV>
                <wp:extent cx="883920" cy="314325"/>
                <wp:effectExtent l="0" t="0" r="0" b="0"/>
                <wp:wrapNone/>
                <wp:docPr id="212" name="0001d7"/>
                <wp:cNvGraphicFramePr/>
                <a:graphic xmlns:a="http://schemas.openxmlformats.org/drawingml/2006/main">
                  <a:graphicData uri="http://schemas.microsoft.com/office/word/2010/wordprocessingShape">
                    <wps:wsp>
                      <wps:cNvSpPr txBox="1"/>
                      <wps:spPr>
                        <a:xfrm>
                          <a:off x="0" y="0"/>
                          <a:ext cx="883920" cy="314325"/>
                        </a:xfrm>
                        <a:prstGeom prst="rect">
                          <a:avLst/>
                        </a:prstGeom>
                        <a:noFill/>
                        <a:ln>
                          <a:noFill/>
                        </a:ln>
                        <a:effectLst/>
                      </wps:spPr>
                      <wps:txbx>
                        <w:txbxContent>
                          <w:p w14:paraId="3A1AF7C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p w14:paraId="760EB5DC"/>
                        </w:txbxContent>
                      </wps:txbx>
                      <wps:bodyPr wrap="square" upright="1"/>
                    </wps:wsp>
                  </a:graphicData>
                </a:graphic>
              </wp:anchor>
            </w:drawing>
          </mc:Choice>
          <mc:Fallback>
            <w:pict>
              <v:shape id="0001d7" o:spid="_x0000_s1026" o:spt="202" type="#_x0000_t202" style="position:absolute;left:0pt;margin-left:-9pt;margin-top:20.8pt;height:24.75pt;width:69.6pt;z-index:251875328;mso-width-relative:page;mso-height-relative:page;" filled="f" stroked="f" coordsize="21600,21600" o:gfxdata="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CPzw01gAAAAkB&#10;AAAPAAAAAAAAAAEAIAAAACIAAABkcnMvZG93bnJldi54bWxQSwECFAAUAAAACACHTuJATrratqsB&#10;AABmAwAADgAAAAAAAAABACAAAAAlAQAAZHJzL2Uyb0RvYy54bWxQSwUGAAAAAAYABgBZAQAAQgUA&#10;AAAA&#10;">
                <v:fill on="f" focussize="0,0"/>
                <v:stroke on="f"/>
                <v:imagedata o:title=""/>
                <o:lock v:ext="edit" aspectratio="f"/>
                <v:textbox>
                  <w:txbxContent>
                    <w:p w14:paraId="3A1AF7C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p w14:paraId="760EB5DC"/>
                  </w:txbxContent>
                </v:textbox>
              </v:shape>
            </w:pict>
          </mc:Fallback>
        </mc:AlternateContent>
      </w:r>
      <w:r>
        <w:rPr>
          <w:rFonts w:hint="eastAsia" w:ascii="仿宋" w:hAnsi="仿宋" w:eastAsia="仿宋" w:cs="仿宋"/>
          <w:b/>
          <w:bCs/>
          <w:color w:val="auto"/>
          <w:highlight w:val="none"/>
          <w:lang w:eastAsia="zh-CN"/>
        </w:rPr>
        <w:t>51</w:t>
      </w:r>
      <w:r>
        <w:rPr>
          <w:rFonts w:ascii="仿宋" w:hAnsi="仿宋" w:eastAsia="仿宋" w:cs="仿宋"/>
          <w:b/>
          <w:bCs/>
          <w:color w:val="auto"/>
          <w:highlight w:val="none"/>
          <w:lang w:eastAsia="zh-CN"/>
        </w:rPr>
        <w:t>.1</w:t>
      </w:r>
      <w:bookmarkEnd w:id="722"/>
    </w:p>
    <w:p w14:paraId="39E77D04">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从开工之日起，承包人应全面负责照管合同工程及运至现场将使用到合同工程中的工程材料和工程设备，直到合同双方当事人确认工程移交之日止。此后，工程的照管即转由发包人负责。</w:t>
      </w:r>
    </w:p>
    <w:p w14:paraId="6469CE18">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在整个工程移交前，合同双方当事人已经确认移交或发包人提前使用其中任一单项工程，则从确认移交或提前使用之日起承包人无须对该单项工程负责照管，而转由发包人负责。但是，承包人应继续负责照管尚未完成的工程和将用于或安装在合同工程中的工程材料和工程设备，直至完成上述工作并经合同双方当事人确认整个工程移交之日止。</w:t>
      </w:r>
    </w:p>
    <w:p w14:paraId="251DC448">
      <w:pPr>
        <w:spacing w:line="360" w:lineRule="auto"/>
        <w:rPr>
          <w:rFonts w:ascii="仿宋" w:hAnsi="仿宋" w:eastAsia="仿宋"/>
          <w:color w:val="auto"/>
          <w:highlight w:val="none"/>
          <w:lang w:eastAsia="zh-CN"/>
        </w:rPr>
      </w:pPr>
      <w:bookmarkStart w:id="723" w:name="_Toc8290"/>
      <w:r>
        <w:rPr>
          <w:rFonts w:ascii="仿宋" w:hAnsi="仿宋" w:eastAsia="仿宋" w:cs="仿宋"/>
          <w:b/>
          <w:bCs/>
          <w:color w:val="auto"/>
          <w:highlight w:val="none"/>
        </w:rPr>
        <mc:AlternateContent>
          <mc:Choice Requires="wps">
            <w:drawing>
              <wp:anchor distT="0" distB="0" distL="114300" distR="114300" simplePos="0" relativeHeight="251876352" behindDoc="0" locked="0" layoutInCell="1" allowOverlap="1">
                <wp:simplePos x="0" y="0"/>
                <wp:positionH relativeFrom="column">
                  <wp:posOffset>-114300</wp:posOffset>
                </wp:positionH>
                <wp:positionV relativeFrom="paragraph">
                  <wp:posOffset>276860</wp:posOffset>
                </wp:positionV>
                <wp:extent cx="766445" cy="633095"/>
                <wp:effectExtent l="0" t="0" r="0" b="0"/>
                <wp:wrapNone/>
                <wp:docPr id="213" name="0001d8"/>
                <wp:cNvGraphicFramePr/>
                <a:graphic xmlns:a="http://schemas.openxmlformats.org/drawingml/2006/main">
                  <a:graphicData uri="http://schemas.microsoft.com/office/word/2010/wordprocessingShape">
                    <wps:wsp>
                      <wps:cNvSpPr txBox="1"/>
                      <wps:spPr>
                        <a:xfrm>
                          <a:off x="0" y="0"/>
                          <a:ext cx="766445" cy="633095"/>
                        </a:xfrm>
                        <a:prstGeom prst="rect">
                          <a:avLst/>
                        </a:prstGeom>
                        <a:noFill/>
                        <a:ln>
                          <a:noFill/>
                        </a:ln>
                        <a:effectLst/>
                      </wps:spPr>
                      <wps:txbx>
                        <w:txbxContent>
                          <w:p w14:paraId="2FFD6C5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p w14:paraId="308E51A5">
                            <w:pPr>
                              <w:rPr>
                                <w:lang w:eastAsia="zh-CN"/>
                              </w:rPr>
                            </w:pPr>
                          </w:p>
                        </w:txbxContent>
                      </wps:txbx>
                      <wps:bodyPr wrap="square" upright="1"/>
                    </wps:wsp>
                  </a:graphicData>
                </a:graphic>
              </wp:anchor>
            </w:drawing>
          </mc:Choice>
          <mc:Fallback>
            <w:pict>
              <v:shape id="0001d8" o:spid="_x0000_s1026" o:spt="202" type="#_x0000_t202" style="position:absolute;left:0pt;margin-left:-9pt;margin-top:21.8pt;height:49.85pt;width:60.35pt;z-index:251876352;mso-width-relative:page;mso-height-relative:page;" filled="f" stroked="f" coordsize="21600,21600" o:gfxdata="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xZTIq2AAA&#10;AAoBAAAPAAAAAAAAAAEAIAAAACIAAABkcnMvZG93bnJldi54bWxQSwECFAAUAAAACACHTuJANxFZ&#10;IKwBAABmAwAADgAAAAAAAAABACAAAAAnAQAAZHJzL2Uyb0RvYy54bWxQSwUGAAAAAAYABgBZAQAA&#10;RQUAAAAA&#10;">
                <v:fill on="f" focussize="0,0"/>
                <v:stroke on="f"/>
                <v:imagedata o:title=""/>
                <o:lock v:ext="edit" aspectratio="f"/>
                <v:textbox>
                  <w:txbxContent>
                    <w:p w14:paraId="2FFD6C5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p w14:paraId="308E51A5">
                      <w:pPr>
                        <w:rPr>
                          <w:lang w:eastAsia="zh-CN"/>
                        </w:rPr>
                      </w:pPr>
                    </w:p>
                  </w:txbxContent>
                </v:textbox>
              </v:shape>
            </w:pict>
          </mc:Fallback>
        </mc:AlternateContent>
      </w:r>
      <w:r>
        <w:rPr>
          <w:rFonts w:hint="eastAsia" w:ascii="仿宋" w:hAnsi="仿宋" w:eastAsia="仿宋" w:cs="仿宋"/>
          <w:b/>
          <w:bCs/>
          <w:color w:val="auto"/>
          <w:highlight w:val="none"/>
          <w:lang w:eastAsia="zh-CN"/>
        </w:rPr>
        <w:t>51</w:t>
      </w:r>
      <w:r>
        <w:rPr>
          <w:rFonts w:ascii="仿宋" w:hAnsi="仿宋" w:eastAsia="仿宋" w:cs="仿宋"/>
          <w:b/>
          <w:bCs/>
          <w:color w:val="auto"/>
          <w:highlight w:val="none"/>
          <w:lang w:eastAsia="zh-CN"/>
        </w:rPr>
        <w:t>.2</w:t>
      </w:r>
      <w:bookmarkEnd w:id="723"/>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7B0E8129">
      <w:pPr>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承包人在负责工程照管期间，如因自身原因造成合同工程或其任何部分，以及工程材料和工程设备或临时工程的损坏，承包人应自费修复上述损坏，保证合同工程质量达到合同约定的标准。</w:t>
      </w:r>
    </w:p>
    <w:p w14:paraId="1B9E5A86">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03BB88B6">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724" w:name="_Toc29354"/>
      <w:bookmarkStart w:id="725" w:name="_Toc20282"/>
      <w:bookmarkStart w:id="726" w:name="_Toc47694327"/>
      <w:bookmarkStart w:id="727" w:name="_Toc10465"/>
      <w:bookmarkStart w:id="728" w:name="_Toc19090"/>
      <w:bookmarkStart w:id="729" w:name="_Toc25374"/>
      <w:bookmarkStart w:id="730" w:name="_Toc2005"/>
      <w:bookmarkStart w:id="731" w:name="_Toc24685"/>
      <w:r>
        <w:rPr>
          <w:rFonts w:hint="eastAsia" w:ascii="仿宋" w:hAnsi="仿宋" w:eastAsia="仿宋" w:cs="仿宋"/>
          <w:bCs w:val="0"/>
          <w:color w:val="auto"/>
          <w:sz w:val="24"/>
          <w:szCs w:val="24"/>
          <w:highlight w:val="none"/>
          <w:lang w:eastAsia="zh-CN"/>
        </w:rPr>
        <w:t>★52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绿色施工安全防护</w:t>
      </w:r>
      <w:bookmarkEnd w:id="724"/>
      <w:bookmarkEnd w:id="725"/>
      <w:bookmarkEnd w:id="726"/>
      <w:bookmarkEnd w:id="727"/>
      <w:bookmarkEnd w:id="728"/>
      <w:bookmarkEnd w:id="729"/>
      <w:bookmarkEnd w:id="730"/>
      <w:bookmarkEnd w:id="731"/>
    </w:p>
    <w:p w14:paraId="3C91C282">
      <w:pPr>
        <w:spacing w:line="360" w:lineRule="auto"/>
        <w:rPr>
          <w:rFonts w:ascii="仿宋" w:hAnsi="仿宋" w:eastAsia="仿宋" w:cs="仿宋"/>
          <w:b/>
          <w:bCs/>
          <w:color w:val="auto"/>
          <w:highlight w:val="none"/>
          <w:lang w:eastAsia="zh-CN"/>
        </w:rPr>
      </w:pPr>
      <w:bookmarkStart w:id="732" w:name="_Toc1795"/>
      <w:r>
        <w:rPr>
          <w:rFonts w:ascii="仿宋" w:hAnsi="仿宋" w:eastAsia="仿宋" w:cs="仿宋"/>
          <w:b/>
          <w:bCs/>
          <w:color w:val="auto"/>
          <w:highlight w:val="none"/>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194945</wp:posOffset>
                </wp:positionV>
                <wp:extent cx="910590" cy="539750"/>
                <wp:effectExtent l="0" t="0" r="0" b="0"/>
                <wp:wrapNone/>
                <wp:docPr id="214" name="0001d9"/>
                <wp:cNvGraphicFramePr/>
                <a:graphic xmlns:a="http://schemas.openxmlformats.org/drawingml/2006/main">
                  <a:graphicData uri="http://schemas.microsoft.com/office/word/2010/wordprocessingShape">
                    <wps:wsp>
                      <wps:cNvSpPr txBox="1"/>
                      <wps:spPr>
                        <a:xfrm>
                          <a:off x="0" y="0"/>
                          <a:ext cx="910590" cy="539750"/>
                        </a:xfrm>
                        <a:prstGeom prst="rect">
                          <a:avLst/>
                        </a:prstGeom>
                        <a:noFill/>
                        <a:ln>
                          <a:noFill/>
                        </a:ln>
                        <a:effectLst/>
                      </wps:spPr>
                      <wps:txbx>
                        <w:txbxContent>
                          <w:p w14:paraId="589FA647">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p w14:paraId="17FCB24A">
                            <w:pPr>
                              <w:rPr>
                                <w:lang w:eastAsia="zh-CN"/>
                              </w:rPr>
                            </w:pPr>
                          </w:p>
                        </w:txbxContent>
                      </wps:txbx>
                      <wps:bodyPr wrap="square" upright="1"/>
                    </wps:wsp>
                  </a:graphicData>
                </a:graphic>
              </wp:anchor>
            </w:drawing>
          </mc:Choice>
          <mc:Fallback>
            <w:pict>
              <v:shape id="0001d9" o:spid="_x0000_s1026" o:spt="202" type="#_x0000_t202" style="position:absolute;left:0pt;margin-left:-9pt;margin-top:15.35pt;height:42.5pt;width:71.7pt;z-index:251877376;mso-width-relative:page;mso-height-relative:page;" filled="f" stroked="f" coordsize="21600,21600" o:gfxdata="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Z9b3YAAAA&#10;CgEAAA8AAAAAAAAAAQAgAAAAIgAAAGRycy9kb3ducmV2LnhtbFBLAQIUABQAAAAIAIdO4kD0Y5Vt&#10;qwEAAGYDAAAOAAAAAAAAAAEAIAAAACcBAABkcnMvZTJvRG9jLnhtbFBLBQYAAAAABgAGAFkBAABE&#10;BQAAAAA=&#10;">
                <v:fill on="f" focussize="0,0"/>
                <v:stroke on="f"/>
                <v:imagedata o:title=""/>
                <o:lock v:ext="edit" aspectratio="f"/>
                <v:textbox>
                  <w:txbxContent>
                    <w:p w14:paraId="589FA647">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p w14:paraId="17FCB24A">
                      <w:pPr>
                        <w:rPr>
                          <w:lang w:eastAsia="zh-CN"/>
                        </w:rPr>
                      </w:pPr>
                    </w:p>
                  </w:txbxContent>
                </v:textbox>
              </v:shape>
            </w:pict>
          </mc:Fallback>
        </mc:AlternateContent>
      </w: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.1</w:t>
      </w:r>
      <w:bookmarkEnd w:id="732"/>
    </w:p>
    <w:p w14:paraId="6192B54C">
      <w:pPr>
        <w:widowControl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49FBEBDE">
      <w:pPr>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在施工过程中，如遇到地质突变、事先未知的地下施工障碍等影响施工安全的紧急情况，承包人应及时报告监理人和发包人，发包人应当及时下令停工并报政府有关行政管理部门采取应急措施。</w:t>
      </w:r>
    </w:p>
    <w:p w14:paraId="462BA3D8">
      <w:pPr>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发包人应组织承包人和有关单位进行安全检查，授权监理人按合同约定的绿色施工安全防护内容监督、检查承包人实施绿色施工安全防护，并按照第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5条约定及时向承包人支付绿色施工安全防护</w:t>
      </w:r>
      <w:r>
        <w:rPr>
          <w:rFonts w:hint="eastAsia" w:ascii="仿宋" w:hAnsi="仿宋" w:eastAsia="仿宋" w:cs="仿宋"/>
          <w:color w:val="auto"/>
          <w:highlight w:val="none"/>
          <w:lang w:val="en-US" w:eastAsia="zh-CN"/>
        </w:rPr>
        <w:t>措施</w:t>
      </w:r>
      <w:r>
        <w:rPr>
          <w:rFonts w:hint="eastAsia" w:ascii="仿宋" w:hAnsi="仿宋" w:eastAsia="仿宋" w:cs="仿宋"/>
          <w:color w:val="auto"/>
          <w:highlight w:val="none"/>
          <w:lang w:eastAsia="zh-CN"/>
        </w:rPr>
        <w:t>费。</w:t>
      </w:r>
    </w:p>
    <w:p w14:paraId="7E4B84DB">
      <w:pPr>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及时执行监理人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人并由其报发包人批准后实施。</w:t>
      </w:r>
    </w:p>
    <w:p w14:paraId="73A87587">
      <w:pPr>
        <w:spacing w:line="360" w:lineRule="auto"/>
        <w:rPr>
          <w:rFonts w:ascii="仿宋" w:hAnsi="仿宋" w:eastAsia="仿宋" w:cs="仿宋"/>
          <w:b/>
          <w:bCs/>
          <w:color w:val="auto"/>
          <w:highlight w:val="none"/>
          <w:u w:val="dotted"/>
          <w:lang w:eastAsia="zh-CN"/>
        </w:rPr>
      </w:pPr>
      <w:bookmarkStart w:id="733" w:name="_Toc28621"/>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.2</w:t>
      </w:r>
      <w:bookmarkEnd w:id="73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8C4FC9F">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1270</wp:posOffset>
                </wp:positionV>
                <wp:extent cx="833755" cy="647700"/>
                <wp:effectExtent l="0" t="0" r="0" b="0"/>
                <wp:wrapNone/>
                <wp:docPr id="215" name="0001da"/>
                <wp:cNvGraphicFramePr/>
                <a:graphic xmlns:a="http://schemas.openxmlformats.org/drawingml/2006/main">
                  <a:graphicData uri="http://schemas.microsoft.com/office/word/2010/wordprocessingShape">
                    <wps:wsp>
                      <wps:cNvSpPr txBox="1"/>
                      <wps:spPr>
                        <a:xfrm>
                          <a:off x="0" y="0"/>
                          <a:ext cx="833755" cy="647700"/>
                        </a:xfrm>
                        <a:prstGeom prst="rect">
                          <a:avLst/>
                        </a:prstGeom>
                        <a:noFill/>
                        <a:ln>
                          <a:noFill/>
                        </a:ln>
                        <a:effectLst/>
                      </wps:spPr>
                      <wps:txbx>
                        <w:txbxContent>
                          <w:p w14:paraId="484F23EF">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p w14:paraId="5A812CBD">
                            <w:pPr>
                              <w:rPr>
                                <w:lang w:eastAsia="zh-CN"/>
                              </w:rPr>
                            </w:pPr>
                          </w:p>
                        </w:txbxContent>
                      </wps:txbx>
                      <wps:bodyPr wrap="square" upright="1"/>
                    </wps:wsp>
                  </a:graphicData>
                </a:graphic>
              </wp:anchor>
            </w:drawing>
          </mc:Choice>
          <mc:Fallback>
            <w:pict>
              <v:shape id="0001da" o:spid="_x0000_s1026" o:spt="202" type="#_x0000_t202" style="position:absolute;left:0pt;margin-left:-9pt;margin-top:0.1pt;height:51pt;width:65.65pt;z-index:251878400;mso-width-relative:page;mso-height-relative:page;" filled="f" stroked="f" coordsize="21600,21600" o:gfxdata="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De+Cp1QAAAAgB&#10;AAAPAAAAAAAAAAEAIAAAACIAAABkcnMvZG93bnJldi54bWxQSwECFAAUAAAACACHTuJACPK37qwB&#10;AABmAwAADgAAAAAAAAABACAAAAAkAQAAZHJzL2Uyb0RvYy54bWxQSwUGAAAAAAYABgBZAQAAQgUA&#10;AAAA&#10;">
                <v:fill on="f" focussize="0,0"/>
                <v:stroke on="f"/>
                <v:imagedata o:title=""/>
                <o:lock v:ext="edit" aspectratio="f"/>
                <v:textbox>
                  <w:txbxContent>
                    <w:p w14:paraId="484F23EF">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p w14:paraId="5A812CBD">
                      <w:pPr>
                        <w:rPr>
                          <w:lang w:eastAsia="zh-CN"/>
                        </w:rPr>
                      </w:pPr>
                    </w:p>
                  </w:txbxContent>
                </v:textbox>
              </v:shape>
            </w:pict>
          </mc:Fallback>
        </mc:AlternateContent>
      </w:r>
      <w:r>
        <w:rPr>
          <w:rFonts w:hint="eastAsia" w:ascii="仿宋" w:hAnsi="仿宋" w:eastAsia="仿宋" w:cs="仿宋"/>
          <w:color w:val="auto"/>
          <w:highlight w:val="none"/>
          <w:lang w:eastAsia="zh-CN"/>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配合总承包企业做好相关工作。发包人、承包人、分包人存在违反有关规定情形的，需承担相应的责任。</w:t>
      </w:r>
    </w:p>
    <w:p w14:paraId="2F25429A">
      <w:pPr>
        <w:spacing w:line="360" w:lineRule="auto"/>
        <w:rPr>
          <w:rFonts w:ascii="仿宋" w:hAnsi="仿宋" w:eastAsia="仿宋" w:cs="仿宋"/>
          <w:b/>
          <w:bCs/>
          <w:color w:val="auto"/>
          <w:highlight w:val="none"/>
          <w:u w:val="dotted"/>
          <w:lang w:eastAsia="zh-CN"/>
        </w:rPr>
      </w:pPr>
      <w:bookmarkStart w:id="734" w:name="_Toc11707"/>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.3</w:t>
      </w:r>
      <w:bookmarkEnd w:id="73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23E4EF3">
      <w:pPr>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1270</wp:posOffset>
                </wp:positionV>
                <wp:extent cx="853440" cy="486410"/>
                <wp:effectExtent l="0" t="0" r="0" b="0"/>
                <wp:wrapNone/>
                <wp:docPr id="216" name="0001db"/>
                <wp:cNvGraphicFramePr/>
                <a:graphic xmlns:a="http://schemas.openxmlformats.org/drawingml/2006/main">
                  <a:graphicData uri="http://schemas.microsoft.com/office/word/2010/wordprocessingShape">
                    <wps:wsp>
                      <wps:cNvSpPr txBox="1"/>
                      <wps:spPr>
                        <a:xfrm>
                          <a:off x="0" y="0"/>
                          <a:ext cx="853440" cy="486410"/>
                        </a:xfrm>
                        <a:prstGeom prst="rect">
                          <a:avLst/>
                        </a:prstGeom>
                        <a:noFill/>
                        <a:ln>
                          <a:noFill/>
                        </a:ln>
                        <a:effectLst/>
                      </wps:spPr>
                      <wps:txbx>
                        <w:txbxContent>
                          <w:p w14:paraId="79FD655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p w14:paraId="1B3F91C6"/>
                        </w:txbxContent>
                      </wps:txbx>
                      <wps:bodyPr wrap="square" upright="1"/>
                    </wps:wsp>
                  </a:graphicData>
                </a:graphic>
              </wp:anchor>
            </w:drawing>
          </mc:Choice>
          <mc:Fallback>
            <w:pict>
              <v:shape id="0001db" o:spid="_x0000_s1026" o:spt="202" type="#_x0000_t202" style="position:absolute;left:0pt;margin-left:-9pt;margin-top:0.1pt;height:38.3pt;width:67.2pt;z-index:251879424;mso-width-relative:page;mso-height-relative:page;" filled="f" stroked="f" coordsize="21600,21600" o:gfxdata="UEsDBAoAAAAAAIdO4kAAAAAAAAAAAAAAAAAEAAAAZHJzL1BLAwQUAAAACACHTuJAMEIIa9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wQghr1QAAAAcB&#10;AAAPAAAAAAAAAAEAIAAAACIAAABkcnMvZG93bnJldi54bWxQSwECFAAUAAAACACHTuJAyS0DwawB&#10;AABmAwAADgAAAAAAAAABACAAAAAkAQAAZHJzL2Uyb0RvYy54bWxQSwUGAAAAAAYABgBZAQAAQgUA&#10;AAAA&#10;">
                <v:fill on="f" focussize="0,0"/>
                <v:stroke on="f"/>
                <v:imagedata o:title=""/>
                <o:lock v:ext="edit" aspectratio="f"/>
                <v:textbox>
                  <w:txbxContent>
                    <w:p w14:paraId="79FD655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p w14:paraId="1B3F91C6"/>
                  </w:txbxContent>
                </v:textbox>
              </v:shape>
            </w:pict>
          </mc:Fallback>
        </mc:AlternateContent>
      </w:r>
      <w:r>
        <w:rPr>
          <w:rFonts w:hint="eastAsia" w:ascii="仿宋" w:hAnsi="仿宋" w:eastAsia="仿宋" w:cs="仿宋"/>
          <w:color w:val="auto"/>
          <w:highlight w:val="none"/>
          <w:lang w:eastAsia="zh-CN"/>
        </w:rPr>
        <w:t>在合同工程实施、完成及保修期间，发包人承担下列责任：</w:t>
      </w:r>
    </w:p>
    <w:p w14:paraId="2C9A8E0F">
      <w:pPr>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）发包人应配合承包人做好绿色施工安全防护工作，定期对其现场机构全部人员进行绿色施工安全防护教育和培训。</w:t>
      </w:r>
    </w:p>
    <w:p w14:paraId="3FB469EC">
      <w:pPr>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）发包人应对其现场机构全部人员的安全事故承担责任，但由于承包人原因造成发包人人员安全事故的，应由承包人承担责任。</w:t>
      </w:r>
    </w:p>
    <w:p w14:paraId="6DC7302F">
      <w:pPr>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）发包人有下列行为之一或由于发包人原因造成安全事故的，由发包人承担责任，由此增加的费用和延误的工期由发包人承担。</w:t>
      </w:r>
    </w:p>
    <w:p w14:paraId="5565F1CB">
      <w:pPr>
        <w:tabs>
          <w:tab w:val="left" w:pos="198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① 要求承包人违反绿色施工安全防护操作规程施工的；</w:t>
      </w:r>
    </w:p>
    <w:p w14:paraId="4EB56E9E">
      <w:pPr>
        <w:tabs>
          <w:tab w:val="left" w:pos="198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② 对承包人提出不符合国家、省有关绿色施工安全防护法律和强制性标准规定要求的；</w:t>
      </w:r>
    </w:p>
    <w:p w14:paraId="3960415C">
      <w:pPr>
        <w:tabs>
          <w:tab w:val="left" w:pos="198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③ 明示或暗示承包人购买、租赁、使用不符合安全施工要求的安全防护用具、施工机具的。</w:t>
      </w:r>
    </w:p>
    <w:p w14:paraId="74D581CC">
      <w:pPr>
        <w:tabs>
          <w:tab w:val="left" w:pos="198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）发包人应负责赔偿下列情形造成的第三者人身伤亡和财产损失。</w:t>
      </w:r>
    </w:p>
    <w:p w14:paraId="0DFE48B7">
      <w:pPr>
        <w:tabs>
          <w:tab w:val="left" w:pos="198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① 工程或工程的任何部分对土地的占用所造成的第三者财产损失；</w:t>
      </w:r>
    </w:p>
    <w:p w14:paraId="7A482099">
      <w:pPr>
        <w:tabs>
          <w:tab w:val="left" w:pos="198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② 由于发包人原因在施工场地及其毗邻区域造成的第三者人身伤亡和财产损失。</w:t>
      </w:r>
    </w:p>
    <w:p w14:paraId="61C1EDC1">
      <w:pPr>
        <w:spacing w:line="360" w:lineRule="auto"/>
        <w:rPr>
          <w:rFonts w:ascii="仿宋" w:hAnsi="仿宋" w:eastAsia="仿宋" w:cs="仿宋"/>
          <w:color w:val="auto"/>
          <w:highlight w:val="none"/>
          <w:u w:val="dotted"/>
          <w:lang w:eastAsia="zh-CN"/>
        </w:rPr>
      </w:pPr>
      <w:bookmarkStart w:id="735" w:name="_Toc17090"/>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.4</w:t>
      </w:r>
      <w:bookmarkEnd w:id="735"/>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016FE131">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198120</wp:posOffset>
                </wp:positionV>
                <wp:extent cx="847725" cy="461645"/>
                <wp:effectExtent l="0" t="0" r="0" b="0"/>
                <wp:wrapNone/>
                <wp:docPr id="217" name="0001dc"/>
                <wp:cNvGraphicFramePr/>
                <a:graphic xmlns:a="http://schemas.openxmlformats.org/drawingml/2006/main">
                  <a:graphicData uri="http://schemas.microsoft.com/office/word/2010/wordprocessingShape">
                    <wps:wsp>
                      <wps:cNvSpPr txBox="1"/>
                      <wps:spPr>
                        <a:xfrm>
                          <a:off x="0" y="0"/>
                          <a:ext cx="847725" cy="461645"/>
                        </a:xfrm>
                        <a:prstGeom prst="rect">
                          <a:avLst/>
                        </a:prstGeom>
                        <a:noFill/>
                        <a:ln>
                          <a:noFill/>
                        </a:ln>
                        <a:effectLst/>
                      </wps:spPr>
                      <wps:txbx>
                        <w:txbxContent>
                          <w:p w14:paraId="734FD2D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p w14:paraId="1EDE7A62"/>
                        </w:txbxContent>
                      </wps:txbx>
                      <wps:bodyPr wrap="square" upright="1"/>
                    </wps:wsp>
                  </a:graphicData>
                </a:graphic>
              </wp:anchor>
            </w:drawing>
          </mc:Choice>
          <mc:Fallback>
            <w:pict>
              <v:shape id="0001dc" o:spid="_x0000_s1026" o:spt="202" type="#_x0000_t202" style="position:absolute;left:0pt;margin-left:-9pt;margin-top:15.6pt;height:36.35pt;width:66.75pt;z-index:251880448;mso-width-relative:page;mso-height-relative:page;" filled="f" stroked="f" coordsize="21600,21600" o:gfxdata="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X1ThTXAAAA&#10;CgEAAA8AAAAAAAAAAQAgAAAAIgAAAGRycy9kb3ducmV2LnhtbFBLAQIUABQAAAAIAIdO4kAmU1dA&#10;rAEAAGYDAAAOAAAAAAAAAAEAIAAAACYBAABkcnMvZTJvRG9jLnhtbFBLBQYAAAAABgAGAFkBAABE&#10;BQAAAAA=&#10;">
                <v:fill on="f" focussize="0,0"/>
                <v:stroke on="f"/>
                <v:imagedata o:title=""/>
                <o:lock v:ext="edit" aspectratio="f"/>
                <v:textbox>
                  <w:txbxContent>
                    <w:p w14:paraId="734FD2D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p w14:paraId="1EDE7A62"/>
                  </w:txbxContent>
                </v:textbox>
              </v:shape>
            </w:pict>
          </mc:Fallback>
        </mc:AlternateContent>
      </w:r>
      <w:r>
        <w:rPr>
          <w:rFonts w:hint="eastAsia" w:ascii="仿宋" w:hAnsi="仿宋" w:eastAsia="仿宋" w:cs="仿宋"/>
          <w:color w:val="auto"/>
          <w:highlight w:val="none"/>
          <w:lang w:eastAsia="zh-CN"/>
        </w:rPr>
        <w:t>在合同工程实施、完成及保修期间，承包人承担下列责任：</w:t>
      </w:r>
    </w:p>
    <w:p w14:paraId="39B38E7B">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）承包人应严格按照国家、省、市有关绿色施工安全防护的标准规范制定绿色施工安全防护操作规程，配备必要的安全生产和劳动保护设施，加强对承包人人员的施工安全教育和培训。</w:t>
      </w:r>
    </w:p>
    <w:p w14:paraId="0A8FB732">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）承包人应对合同工程的绿色施工安全防护负责，采取有效的安全措施消除安全事故隐患，并接受和配合政府有关部门实施的监督检查。</w:t>
      </w:r>
    </w:p>
    <w:p w14:paraId="1A66D4D7">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）承包人应加强施工作业安全管理，特别应加强使用易燃、易爆、有毒与腐蚀性材料，以及爆破和地下施工等危险作业的安全管理，尽量避免人员伤亡和财产损失。</w:t>
      </w:r>
    </w:p>
    <w:p w14:paraId="7247D3D7">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）承包人应按监理人的指令制定应对灾害的应急预案，并按预案做好安全检查，配置必要的救助物资和器材，切实保护好有关人员的人身和财产安全。</w:t>
      </w:r>
    </w:p>
    <w:p w14:paraId="72D87ADA">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）承包人违反本条约定或由于承包人原因造成安全事故的，由承包人承担责任，由此增加的费用和延误的工期由承包人承担。</w:t>
      </w:r>
    </w:p>
    <w:p w14:paraId="594E582C">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6</w:t>
      </w:r>
      <w:r>
        <w:rPr>
          <w:rFonts w:hint="eastAsia" w:ascii="仿宋" w:hAnsi="仿宋" w:eastAsia="仿宋" w:cs="仿宋"/>
          <w:color w:val="auto"/>
          <w:highlight w:val="none"/>
          <w:lang w:eastAsia="zh-CN"/>
        </w:rPr>
        <w:t>）承包人应对其履行合同所雇佣的全部人员，包括分包人人员的安全事故承担责任，但由于发包人原因造成承包人人员安全事故的，应由发包人承担责任。</w:t>
      </w:r>
    </w:p>
    <w:p w14:paraId="7F1A0EC2">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）由于承包人原因在施工场地内及其毗邻区域造成的第三者人身伤亡和财产损失，由承包人负责赔偿。</w:t>
      </w:r>
    </w:p>
    <w:p w14:paraId="012EC7D2">
      <w:pPr>
        <w:spacing w:line="360" w:lineRule="auto"/>
        <w:rPr>
          <w:rFonts w:ascii="仿宋" w:hAnsi="仿宋" w:eastAsia="仿宋" w:cs="仿宋"/>
          <w:color w:val="auto"/>
          <w:highlight w:val="none"/>
          <w:u w:val="dotted"/>
          <w:lang w:eastAsia="zh-CN"/>
        </w:rPr>
      </w:pPr>
      <w:bookmarkStart w:id="736" w:name="_Toc12329"/>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.5</w:t>
      </w:r>
      <w:bookmarkEnd w:id="736"/>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06996BFC">
      <w:pPr>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71120</wp:posOffset>
                </wp:positionV>
                <wp:extent cx="791210" cy="519430"/>
                <wp:effectExtent l="0" t="0" r="0" b="0"/>
                <wp:wrapNone/>
                <wp:docPr id="218" name="0001dd"/>
                <wp:cNvGraphicFramePr/>
                <a:graphic xmlns:a="http://schemas.openxmlformats.org/drawingml/2006/main">
                  <a:graphicData uri="http://schemas.microsoft.com/office/word/2010/wordprocessingShape">
                    <wps:wsp>
                      <wps:cNvSpPr txBox="1"/>
                      <wps:spPr>
                        <a:xfrm>
                          <a:off x="0" y="0"/>
                          <a:ext cx="791210" cy="519430"/>
                        </a:xfrm>
                        <a:prstGeom prst="rect">
                          <a:avLst/>
                        </a:prstGeom>
                        <a:noFill/>
                        <a:ln>
                          <a:noFill/>
                        </a:ln>
                        <a:effectLst/>
                      </wps:spPr>
                      <wps:txbx>
                        <w:txbxContent>
                          <w:p w14:paraId="149CA0B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p w14:paraId="27B8A220"/>
                        </w:txbxContent>
                      </wps:txbx>
                      <wps:bodyPr wrap="square" upright="1"/>
                    </wps:wsp>
                  </a:graphicData>
                </a:graphic>
              </wp:anchor>
            </w:drawing>
          </mc:Choice>
          <mc:Fallback>
            <w:pict>
              <v:shape id="0001dd" o:spid="_x0000_s1026" o:spt="202" type="#_x0000_t202" style="position:absolute;left:0pt;margin-left:-9pt;margin-top:5.6pt;height:40.9pt;width:62.3pt;z-index:251881472;mso-width-relative:page;mso-height-relative:page;" filled="f" stroked="f" coordsize="21600,21600" o:gfxdata="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2uz9k1gAAAAkB&#10;AAAPAAAAAAAAAAEAIAAAACIAAABkcnMvZG93bnJldi54bWxQSwECFAAUAAAACACHTuJA2zEIJKsB&#10;AABmAwAADgAAAAAAAAABACAAAAAlAQAAZHJzL2Uyb0RvYy54bWxQSwUGAAAAAAYABgBZAQAAQgUA&#10;AAAA&#10;">
                <v:fill on="f" focussize="0,0"/>
                <v:stroke on="f"/>
                <v:imagedata o:title=""/>
                <o:lock v:ext="edit" aspectratio="f"/>
                <v:textbox>
                  <w:txbxContent>
                    <w:p w14:paraId="149CA0B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p w14:paraId="27B8A220"/>
                  </w:txbxContent>
                </v:textbox>
              </v:shape>
            </w:pict>
          </mc:Fallback>
        </mc:AlternateContent>
      </w:r>
      <w:r>
        <w:rPr>
          <w:rFonts w:hint="eastAsia" w:ascii="仿宋" w:hAnsi="仿宋" w:eastAsia="仿宋" w:cs="仿宋"/>
          <w:color w:val="auto"/>
          <w:highlight w:val="none"/>
          <w:lang w:eastAsia="zh-CN"/>
        </w:rPr>
        <w:t>监理人应当审查施工组织设计中的安全技术措施或者专项施工方案是否符合建设行政主管部门的有关规定。监理人发现承包人未遵守安全生产和文明施工规定或施工现场存在安全事故隐患的，应以书面形式通知承包人整改；情况严重的，应要求承包人暂停施工，并及时报告发包人。承包人在收到监理人发出书面通知后的</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小时内仍未整改的，监理人可在报经发包人批准后委托第三方采取措施。由此发生的费用经造价咨询人核实后，由发包人从应付或将付给承包人的款项中扣除。</w:t>
      </w:r>
    </w:p>
    <w:p w14:paraId="09DA1152">
      <w:pPr>
        <w:spacing w:line="360" w:lineRule="auto"/>
        <w:rPr>
          <w:rFonts w:hint="eastAsia" w:ascii="仿宋" w:hAnsi="仿宋" w:eastAsia="仿宋" w:cs="仿宋"/>
          <w:color w:val="auto"/>
          <w:highlight w:val="none"/>
          <w:lang w:eastAsia="zh-CN"/>
        </w:rPr>
      </w:pPr>
      <w:bookmarkStart w:id="737" w:name="_Toc22450"/>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.6</w:t>
      </w:r>
      <w:bookmarkEnd w:id="737"/>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47E50B5B">
      <w:pPr>
        <w:widowControl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82496" behindDoc="0" locked="0" layoutInCell="1" allowOverlap="1">
                <wp:simplePos x="0" y="0"/>
                <wp:positionH relativeFrom="column">
                  <wp:posOffset>-83820</wp:posOffset>
                </wp:positionH>
                <wp:positionV relativeFrom="paragraph">
                  <wp:posOffset>11430</wp:posOffset>
                </wp:positionV>
                <wp:extent cx="693420" cy="501015"/>
                <wp:effectExtent l="0" t="0" r="0" b="0"/>
                <wp:wrapNone/>
                <wp:docPr id="219" name="0001de"/>
                <wp:cNvGraphicFramePr/>
                <a:graphic xmlns:a="http://schemas.openxmlformats.org/drawingml/2006/main">
                  <a:graphicData uri="http://schemas.microsoft.com/office/word/2010/wordprocessingShape">
                    <wps:wsp>
                      <wps:cNvSpPr txBox="1"/>
                      <wps:spPr>
                        <a:xfrm>
                          <a:off x="0" y="0"/>
                          <a:ext cx="693420" cy="501015"/>
                        </a:xfrm>
                        <a:prstGeom prst="rect">
                          <a:avLst/>
                        </a:prstGeom>
                        <a:noFill/>
                        <a:ln>
                          <a:noFill/>
                        </a:ln>
                        <a:effectLst/>
                      </wps:spPr>
                      <wps:txbx>
                        <w:txbxContent>
                          <w:p w14:paraId="2733D82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p w14:paraId="00182E86"/>
                        </w:txbxContent>
                      </wps:txbx>
                      <wps:bodyPr wrap="square" upright="1"/>
                    </wps:wsp>
                  </a:graphicData>
                </a:graphic>
              </wp:anchor>
            </w:drawing>
          </mc:Choice>
          <mc:Fallback>
            <w:pict>
              <v:shape id="0001de" o:spid="_x0000_s1026" o:spt="202" type="#_x0000_t202" style="position:absolute;left:0pt;margin-left:-6.6pt;margin-top:0.9pt;height:39.45pt;width:54.6pt;z-index:251882496;mso-width-relative:page;mso-height-relative:page;" filled="f" stroked="f" coordsize="21600,21600" o:gfxdata="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qIa8I1AAAAAcBAAAP&#10;AAAAAAAAAAEAIAAAACIAAABkcnMvZG93bnJldi54bWxQSwECFAAUAAAACACHTuJAE4FF+6oBAABm&#10;AwAADgAAAAAAAAABACAAAAAjAQAAZHJzL2Uyb0RvYy54bWxQSwUGAAAAAAYABgBZAQAAPwUAAAAA&#10;">
                <v:fill on="f" focussize="0,0"/>
                <v:stroke on="f"/>
                <v:imagedata o:title=""/>
                <o:lock v:ext="edit" aspectratio="f"/>
                <v:textbox>
                  <w:txbxContent>
                    <w:p w14:paraId="2733D82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p w14:paraId="00182E86"/>
                  </w:txbxContent>
                </v:textbox>
              </v:shape>
            </w:pict>
          </mc:Fallback>
        </mc:AlternateContent>
      </w:r>
      <w:r>
        <w:rPr>
          <w:rFonts w:hint="eastAsia" w:ascii="仿宋" w:hAnsi="仿宋" w:eastAsia="仿宋" w:cs="仿宋"/>
          <w:color w:val="auto"/>
          <w:highlight w:val="none"/>
          <w:lang w:eastAsia="zh-CN"/>
        </w:rPr>
        <w:t>合同双方当事人不仅应协助当地治安管理机构或联防组织维护施工场地的社会治安，而且应做好施工现场内人员生产生活的治安保卫工作。</w:t>
      </w:r>
    </w:p>
    <w:p w14:paraId="5E61E754">
      <w:pPr>
        <w:widowControl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除专用条款另有约定外，合同双方当事人应在工程开工后，共同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2FE4042B">
      <w:pPr>
        <w:spacing w:line="360" w:lineRule="auto"/>
        <w:rPr>
          <w:rFonts w:ascii="仿宋" w:hAnsi="仿宋" w:eastAsia="仿宋" w:cs="仿宋"/>
          <w:b/>
          <w:bCs/>
          <w:color w:val="auto"/>
          <w:highlight w:val="none"/>
          <w:lang w:eastAsia="zh-CN"/>
        </w:rPr>
      </w:pPr>
      <w:bookmarkStart w:id="738" w:name="_Toc29262"/>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.7</w:t>
      </w:r>
      <w:bookmarkEnd w:id="73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A208CAE">
      <w:pPr>
        <w:widowControl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83520" behindDoc="0" locked="0" layoutInCell="1" allowOverlap="1">
                <wp:simplePos x="0" y="0"/>
                <wp:positionH relativeFrom="column">
                  <wp:posOffset>-83185</wp:posOffset>
                </wp:positionH>
                <wp:positionV relativeFrom="paragraph">
                  <wp:posOffset>25400</wp:posOffset>
                </wp:positionV>
                <wp:extent cx="787400" cy="561975"/>
                <wp:effectExtent l="0" t="0" r="0" b="0"/>
                <wp:wrapNone/>
                <wp:docPr id="220" name="0001df"/>
                <wp:cNvGraphicFramePr/>
                <a:graphic xmlns:a="http://schemas.openxmlformats.org/drawingml/2006/main">
                  <a:graphicData uri="http://schemas.microsoft.com/office/word/2010/wordprocessingShape">
                    <wps:wsp>
                      <wps:cNvSpPr txBox="1"/>
                      <wps:spPr>
                        <a:xfrm>
                          <a:off x="0" y="0"/>
                          <a:ext cx="787400" cy="561975"/>
                        </a:xfrm>
                        <a:prstGeom prst="rect">
                          <a:avLst/>
                        </a:prstGeom>
                        <a:noFill/>
                        <a:ln>
                          <a:noFill/>
                        </a:ln>
                        <a:effectLst/>
                      </wps:spPr>
                      <wps:txbx>
                        <w:txbxContent>
                          <w:p w14:paraId="540BD543">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p w14:paraId="16551F2C">
                            <w:pPr>
                              <w:rPr>
                                <w:lang w:eastAsia="zh-CN"/>
                              </w:rPr>
                            </w:pPr>
                          </w:p>
                        </w:txbxContent>
                      </wps:txbx>
                      <wps:bodyPr wrap="square" upright="1"/>
                    </wps:wsp>
                  </a:graphicData>
                </a:graphic>
              </wp:anchor>
            </w:drawing>
          </mc:Choice>
          <mc:Fallback>
            <w:pict>
              <v:shape id="0001df" o:spid="_x0000_s1026" o:spt="202" type="#_x0000_t202" style="position:absolute;left:0pt;margin-left:-6.55pt;margin-top:2pt;height:44.25pt;width:62pt;z-index:251883520;mso-width-relative:page;mso-height-relative:page;" filled="f" stroked="f" coordsize="21600,21600" o:gfxdata="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tOwM/tUAAAAIAQAA&#10;DwAAAAAAAAABACAAAAAiAAAAZHJzL2Rvd25yZXYueG1sUEsBAhQAFAAAAAgAh07iQKWop22qAQAA&#10;ZgMAAA4AAAAAAAAAAQAgAAAAJAEAAGRycy9lMm9Eb2MueG1sUEsFBgAAAAAGAAYAWQEAAEAFAAAA&#10;AA==&#10;">
                <v:fill on="f" focussize="0,0"/>
                <v:stroke on="f"/>
                <v:imagedata o:title=""/>
                <o:lock v:ext="edit" aspectratio="f"/>
                <v:textbox>
                  <w:txbxContent>
                    <w:p w14:paraId="540BD543">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p w14:paraId="16551F2C">
                      <w:pPr>
                        <w:rPr>
                          <w:lang w:eastAsia="zh-CN"/>
                        </w:rPr>
                      </w:pPr>
                    </w:p>
                  </w:txbxContent>
                </v:textbox>
              </v:shape>
            </w:pict>
          </mc:Fallback>
        </mc:AlternateContent>
      </w:r>
      <w:r>
        <w:rPr>
          <w:rFonts w:hint="eastAsia" w:ascii="仿宋" w:hAnsi="仿宋" w:eastAsia="仿宋" w:cs="仿宋"/>
          <w:color w:val="auto"/>
          <w:highlight w:val="none"/>
          <w:lang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清理现场，运走全部施工设备、剩余工程材料和垃圾，保持施工场地和合同工程的清洁整齐。否则，发包人可自行处理或委托第三方处理留下的物品，所得金额在扣除由此发生的费用之后，将余额退还给承包人。</w:t>
      </w:r>
    </w:p>
    <w:p w14:paraId="3E1F88AC">
      <w:pPr>
        <w:spacing w:line="360" w:lineRule="auto"/>
        <w:rPr>
          <w:rFonts w:ascii="仿宋" w:hAnsi="仿宋" w:eastAsia="仿宋"/>
          <w:color w:val="auto"/>
          <w:highlight w:val="none"/>
          <w:lang w:eastAsia="zh-CN"/>
        </w:rPr>
      </w:pPr>
      <w:bookmarkStart w:id="739" w:name="_Toc3457"/>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.8</w:t>
      </w:r>
      <w:bookmarkEnd w:id="73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9514EAE">
      <w:pPr>
        <w:widowControl w:val="0"/>
        <w:spacing w:line="360" w:lineRule="auto"/>
        <w:ind w:left="1850" w:leftChars="771"/>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884544" behindDoc="0" locked="0" layoutInCell="1" allowOverlap="1">
                <wp:simplePos x="0" y="0"/>
                <wp:positionH relativeFrom="column">
                  <wp:posOffset>-104775</wp:posOffset>
                </wp:positionH>
                <wp:positionV relativeFrom="paragraph">
                  <wp:posOffset>7620</wp:posOffset>
                </wp:positionV>
                <wp:extent cx="844550" cy="535940"/>
                <wp:effectExtent l="0" t="0" r="0" b="0"/>
                <wp:wrapNone/>
                <wp:docPr id="221" name="0001e0"/>
                <wp:cNvGraphicFramePr/>
                <a:graphic xmlns:a="http://schemas.openxmlformats.org/drawingml/2006/main">
                  <a:graphicData uri="http://schemas.microsoft.com/office/word/2010/wordprocessingShape">
                    <wps:wsp>
                      <wps:cNvSpPr txBox="1"/>
                      <wps:spPr>
                        <a:xfrm>
                          <a:off x="0" y="0"/>
                          <a:ext cx="844550" cy="535940"/>
                        </a:xfrm>
                        <a:prstGeom prst="rect">
                          <a:avLst/>
                        </a:prstGeom>
                        <a:noFill/>
                        <a:ln>
                          <a:noFill/>
                        </a:ln>
                        <a:effectLst/>
                      </wps:spPr>
                      <wps:txbx>
                        <w:txbxContent>
                          <w:p w14:paraId="0D5F94B6">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p w14:paraId="3431F5F7">
                            <w:pPr>
                              <w:rPr>
                                <w:lang w:eastAsia="zh-CN"/>
                              </w:rPr>
                            </w:pPr>
                          </w:p>
                        </w:txbxContent>
                      </wps:txbx>
                      <wps:bodyPr wrap="square" upright="1"/>
                    </wps:wsp>
                  </a:graphicData>
                </a:graphic>
              </wp:anchor>
            </w:drawing>
          </mc:Choice>
          <mc:Fallback>
            <w:pict>
              <v:shape id="0001e0" o:spid="_x0000_s1026" o:spt="202" type="#_x0000_t202" style="position:absolute;left:0pt;margin-left:-8.25pt;margin-top:0.6pt;height:42.2pt;width:66.5pt;z-index:251884544;mso-width-relative:page;mso-height-relative:page;" filled="f" stroked="f" coordsize="21600,21600" o:gfxdata="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dFj7f1AAAAAgBAAAP&#10;AAAAAAAAAAEAIAAAACIAAABkcnMvZG93bnJldi54bWxQSwECFAAUAAAACACHTuJAP0m5VaoBAABm&#10;AwAADgAAAAAAAAABACAAAAAjAQAAZHJzL2Uyb0RvYy54bWxQSwUGAAAAAAYABgBZAQAAPwUAAAAA&#10;">
                <v:fill on="f" focussize="0,0"/>
                <v:stroke on="f"/>
                <v:imagedata o:title=""/>
                <o:lock v:ext="edit" aspectratio="f"/>
                <v:textbox>
                  <w:txbxContent>
                    <w:p w14:paraId="0D5F94B6">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p w14:paraId="3431F5F7">
                      <w:pPr>
                        <w:rPr>
                          <w:lang w:eastAsia="zh-CN"/>
                        </w:rPr>
                      </w:pPr>
                    </w:p>
                  </w:txbxContent>
                </v:textbox>
              </v:shape>
            </w:pict>
          </mc:Fallback>
        </mc:AlternateContent>
      </w:r>
      <w:r>
        <w:rPr>
          <w:rFonts w:hint="eastAsia" w:ascii="仿宋" w:hAnsi="仿宋" w:eastAsia="仿宋" w:cs="仿宋"/>
          <w:caps/>
          <w:color w:val="auto"/>
          <w:highlight w:val="none"/>
          <w:lang w:eastAsia="zh-CN"/>
        </w:rPr>
        <w:t>发包人应配合承包人加强</w:t>
      </w:r>
      <w:r>
        <w:rPr>
          <w:rFonts w:hint="eastAsia" w:ascii="仿宋" w:hAnsi="仿宋" w:eastAsia="仿宋" w:cs="仿宋"/>
          <w:color w:val="auto"/>
          <w:highlight w:val="none"/>
          <w:lang w:eastAsia="zh-CN"/>
        </w:rPr>
        <w:t>绿色施工安全防护</w:t>
      </w:r>
      <w:r>
        <w:rPr>
          <w:rFonts w:hint="eastAsia" w:ascii="仿宋" w:hAnsi="仿宋" w:eastAsia="仿宋" w:cs="仿宋"/>
          <w:caps/>
          <w:color w:val="auto"/>
          <w:highlight w:val="none"/>
          <w:lang w:eastAsia="zh-CN"/>
        </w:rPr>
        <w:t>管理，鼓励承包人创建省、市级或其它级别文明工地。对于工程获得省、市级或其它级别文明工地的，应按照第</w:t>
      </w:r>
      <w:r>
        <w:rPr>
          <w:rFonts w:ascii="仿宋" w:hAnsi="仿宋" w:eastAsia="仿宋" w:cs="仿宋"/>
          <w:caps/>
          <w:color w:val="auto"/>
          <w:highlight w:val="none"/>
          <w:lang w:eastAsia="zh-CN"/>
        </w:rPr>
        <w:t>8</w:t>
      </w:r>
      <w:r>
        <w:rPr>
          <w:rFonts w:hint="eastAsia" w:ascii="仿宋" w:hAnsi="仿宋" w:eastAsia="仿宋" w:cs="仿宋"/>
          <w:caps/>
          <w:color w:val="auto"/>
          <w:highlight w:val="none"/>
          <w:lang w:eastAsia="zh-CN"/>
        </w:rPr>
        <w:t>5条约定向承包人支付文明工地增加费。</w:t>
      </w:r>
    </w:p>
    <w:p w14:paraId="2DEC9220">
      <w:pPr>
        <w:spacing w:line="360" w:lineRule="auto"/>
        <w:rPr>
          <w:rFonts w:ascii="仿宋" w:hAnsi="仿宋" w:eastAsia="仿宋"/>
          <w:color w:val="auto"/>
          <w:highlight w:val="none"/>
          <w:lang w:eastAsia="zh-CN"/>
        </w:rPr>
      </w:pPr>
      <w:bookmarkStart w:id="740" w:name="_Toc24255"/>
      <w:r>
        <w:rPr>
          <w:color w:val="auto"/>
          <w:highlight w:val="none"/>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285115</wp:posOffset>
                </wp:positionV>
                <wp:extent cx="796925" cy="488315"/>
                <wp:effectExtent l="0" t="0" r="0" b="0"/>
                <wp:wrapNone/>
                <wp:docPr id="222" name="0001e1"/>
                <wp:cNvGraphicFramePr/>
                <a:graphic xmlns:a="http://schemas.openxmlformats.org/drawingml/2006/main">
                  <a:graphicData uri="http://schemas.microsoft.com/office/word/2010/wordprocessingShape">
                    <wps:wsp>
                      <wps:cNvSpPr txBox="1"/>
                      <wps:spPr>
                        <a:xfrm>
                          <a:off x="0" y="0"/>
                          <a:ext cx="796925" cy="488315"/>
                        </a:xfrm>
                        <a:prstGeom prst="rect">
                          <a:avLst/>
                        </a:prstGeom>
                        <a:noFill/>
                        <a:ln>
                          <a:noFill/>
                        </a:ln>
                        <a:effectLst/>
                      </wps:spPr>
                      <wps:txbx>
                        <w:txbxContent>
                          <w:p w14:paraId="0255658C">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p w14:paraId="494279B2"/>
                        </w:txbxContent>
                      </wps:txbx>
                      <wps:bodyPr wrap="square" upright="1"/>
                    </wps:wsp>
                  </a:graphicData>
                </a:graphic>
              </wp:anchor>
            </w:drawing>
          </mc:Choice>
          <mc:Fallback>
            <w:pict>
              <v:shape id="0001e1" o:spid="_x0000_s1026" o:spt="202" type="#_x0000_t202" style="position:absolute;left:0pt;margin-left:-9pt;margin-top:22.45pt;height:38.45pt;width:62.75pt;z-index:251885568;mso-width-relative:page;mso-height-relative:page;" filled="f" stroked="f" coordsize="21600,21600" o:gfxdata="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V9fh12AAA&#10;AAoBAAAPAAAAAAAAAAEAIAAAACIAAABkcnMvZG93bnJldi54bWxQSwECFAAUAAAACACHTuJA3BCq&#10;x6wBAABmAwAADgAAAAAAAAABACAAAAAnAQAAZHJzL2Uyb0RvYy54bWxQSwUGAAAAAAYABgBZAQAA&#10;RQUAAAAA&#10;">
                <v:fill on="f" focussize="0,0"/>
                <v:stroke on="f"/>
                <v:imagedata o:title=""/>
                <o:lock v:ext="edit" aspectratio="f"/>
                <v:textbox>
                  <w:txbxContent>
                    <w:p w14:paraId="0255658C">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p w14:paraId="494279B2"/>
                  </w:txbxContent>
                </v:textbox>
              </v:shape>
            </w:pict>
          </mc:Fallback>
        </mc:AlternateContent>
      </w: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.9</w:t>
      </w:r>
      <w:bookmarkEnd w:id="74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0726E28">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承包人应按照法律规定进行施工，做好</w:t>
      </w:r>
      <w:r>
        <w:rPr>
          <w:rFonts w:hint="eastAsia" w:ascii="仿宋" w:hAnsi="仿宋" w:eastAsia="仿宋"/>
          <w:color w:val="auto"/>
          <w:highlight w:val="none"/>
          <w:lang w:eastAsia="zh-CN"/>
        </w:rPr>
        <w:t>安全</w:t>
      </w:r>
      <w:r>
        <w:rPr>
          <w:rFonts w:hint="eastAsia" w:ascii="仿宋" w:hAnsi="仿宋" w:eastAsia="仿宋" w:cs="仿宋"/>
          <w:color w:val="auto"/>
          <w:highlight w:val="none"/>
          <w:lang w:eastAsia="zh-CN"/>
        </w:rPr>
        <w:t>技术交底工作，施工过程中做好各项安全防护措施。承包人为实施合同而雇用的特殊工种的人员应受过专门的培训并已取得上岗证书。</w:t>
      </w:r>
    </w:p>
    <w:p w14:paraId="27D623FE">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承包人在动力设备、输电线路、地下管道、密封防震车间、易燃易爆地段以及临街交通要道附近施工时，施工开始前应向发包人和监理人提出安全防护措施，经发包人认可后实施。</w:t>
      </w:r>
    </w:p>
    <w:p w14:paraId="4217667C">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实施爆破作业，在放射、毒害性环境中施工（含储存、运输、使用）及使用毒害性、腐蚀性物品施工时，承包人应在施工前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天以书面通知发包人和监理人，并报送相应的安全防护措施，经发包人认可后实施。</w:t>
      </w:r>
    </w:p>
    <w:p w14:paraId="3ED24083">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需单独编制危险性较大分部分项专项工程施工方案的，及要求进行专家论证的超过一定规模的危险性较大的分部分项工程，承包人应及时编制和组织论证。</w:t>
      </w:r>
    </w:p>
    <w:p w14:paraId="37285A24">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68A796E8">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741" w:name="_Toc21574"/>
      <w:bookmarkStart w:id="742" w:name="_Toc5661"/>
      <w:bookmarkStart w:id="743" w:name="_Toc47694328"/>
      <w:bookmarkStart w:id="744" w:name="_Toc30096"/>
      <w:bookmarkStart w:id="745" w:name="_Toc27880"/>
      <w:bookmarkStart w:id="746" w:name="_Toc29804"/>
      <w:bookmarkStart w:id="747" w:name="_Toc31751"/>
      <w:bookmarkStart w:id="748" w:name="_Toc28381"/>
      <w:r>
        <w:rPr>
          <w:rFonts w:hint="eastAsia" w:ascii="仿宋" w:hAnsi="仿宋" w:eastAsia="仿宋" w:cs="仿宋"/>
          <w:bCs w:val="0"/>
          <w:color w:val="auto"/>
          <w:sz w:val="24"/>
          <w:szCs w:val="24"/>
          <w:highlight w:val="none"/>
          <w:lang w:eastAsia="zh-CN"/>
        </w:rPr>
        <w:t>53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测量放线</w:t>
      </w:r>
      <w:bookmarkEnd w:id="741"/>
      <w:bookmarkEnd w:id="742"/>
      <w:bookmarkEnd w:id="743"/>
      <w:bookmarkEnd w:id="744"/>
      <w:bookmarkEnd w:id="745"/>
      <w:bookmarkEnd w:id="746"/>
      <w:bookmarkEnd w:id="747"/>
      <w:bookmarkEnd w:id="748"/>
    </w:p>
    <w:p w14:paraId="4A65A8A3">
      <w:pPr>
        <w:pStyle w:val="12"/>
        <w:tabs>
          <w:tab w:val="left" w:pos="1202"/>
        </w:tabs>
        <w:spacing w:line="360" w:lineRule="auto"/>
        <w:ind w:firstLine="0"/>
        <w:rPr>
          <w:rFonts w:ascii="仿宋" w:hAnsi="仿宋" w:eastAsia="仿宋" w:cs="仿宋"/>
          <w:b/>
          <w:bCs/>
          <w:color w:val="auto"/>
          <w:highlight w:val="none"/>
          <w:lang w:eastAsia="zh-CN"/>
        </w:rPr>
      </w:pPr>
      <w:r>
        <w:rPr>
          <w:color w:val="auto"/>
          <w:highlight w:val="none"/>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286385</wp:posOffset>
                </wp:positionV>
                <wp:extent cx="756920" cy="495300"/>
                <wp:effectExtent l="0" t="0" r="0" b="0"/>
                <wp:wrapNone/>
                <wp:docPr id="223" name="0001e2"/>
                <wp:cNvGraphicFramePr/>
                <a:graphic xmlns:a="http://schemas.openxmlformats.org/drawingml/2006/main">
                  <a:graphicData uri="http://schemas.microsoft.com/office/word/2010/wordprocessingShape">
                    <wps:wsp>
                      <wps:cNvSpPr txBox="1"/>
                      <wps:spPr>
                        <a:xfrm>
                          <a:off x="0" y="0"/>
                          <a:ext cx="756920" cy="495300"/>
                        </a:xfrm>
                        <a:prstGeom prst="rect">
                          <a:avLst/>
                        </a:prstGeom>
                        <a:noFill/>
                        <a:ln>
                          <a:noFill/>
                        </a:ln>
                        <a:effectLst/>
                      </wps:spPr>
                      <wps:txbx>
                        <w:txbxContent>
                          <w:p w14:paraId="7FA6AEB8">
                            <w:pPr>
                              <w:rPr>
                                <w:rFonts w:ascii="宋体"/>
                                <w:sz w:val="18"/>
                                <w:szCs w:val="18"/>
                              </w:rPr>
                            </w:pPr>
                            <w:r>
                              <w:rPr>
                                <w:rFonts w:hint="eastAsia" w:ascii="楷体_GB2312" w:hAnsi="宋体" w:eastAsia="楷体_GB2312" w:cs="楷体_GB2312"/>
                                <w:b/>
                                <w:bCs/>
                                <w:color w:val="000000"/>
                                <w:sz w:val="18"/>
                                <w:szCs w:val="18"/>
                              </w:rPr>
                              <w:t>测设施工控制网</w:t>
                            </w:r>
                          </w:p>
                          <w:p w14:paraId="0A390869"/>
                        </w:txbxContent>
                      </wps:txbx>
                      <wps:bodyPr wrap="square" upright="1"/>
                    </wps:wsp>
                  </a:graphicData>
                </a:graphic>
              </wp:anchor>
            </w:drawing>
          </mc:Choice>
          <mc:Fallback>
            <w:pict>
              <v:shape id="0001e2" o:spid="_x0000_s1026" o:spt="202" type="#_x0000_t202" style="position:absolute;left:0pt;margin-left:-9pt;margin-top:22.55pt;height:39pt;width:59.6pt;z-index:251886592;mso-width-relative:page;mso-height-relative:page;" filled="f" stroked="f" coordsize="21600,21600" o:gfxdata="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JtM6XXAAAA&#10;CgEAAA8AAAAAAAAAAQAgAAAAIgAAAGRycy9kb3ducmV2LnhtbFBLAQIUABQAAAAIAIdO4kBgTulb&#10;rAEAAGYDAAAOAAAAAAAAAAEAIAAAACYBAABkcnMvZTJvRG9jLnhtbFBLBQYAAAAABgAGAFkBAABE&#10;BQAAAAA=&#10;">
                <v:fill on="f" focussize="0,0"/>
                <v:stroke on="f"/>
                <v:imagedata o:title=""/>
                <o:lock v:ext="edit" aspectratio="f"/>
                <v:textbox>
                  <w:txbxContent>
                    <w:p w14:paraId="7FA6AEB8">
                      <w:pPr>
                        <w:rPr>
                          <w:rFonts w:ascii="宋体"/>
                          <w:sz w:val="18"/>
                          <w:szCs w:val="18"/>
                        </w:rPr>
                      </w:pPr>
                      <w:r>
                        <w:rPr>
                          <w:rFonts w:hint="eastAsia" w:ascii="楷体_GB2312" w:hAnsi="宋体" w:eastAsia="楷体_GB2312" w:cs="楷体_GB2312"/>
                          <w:b/>
                          <w:bCs/>
                          <w:color w:val="000000"/>
                          <w:sz w:val="18"/>
                          <w:szCs w:val="18"/>
                        </w:rPr>
                        <w:t>测设施工控制网</w:t>
                      </w:r>
                    </w:p>
                    <w:p w14:paraId="0A390869"/>
                  </w:txbxContent>
                </v:textbox>
              </v:shape>
            </w:pict>
          </mc:Fallback>
        </mc:AlternateContent>
      </w: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.1</w:t>
      </w:r>
    </w:p>
    <w:p w14:paraId="4706CD79">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监理人应在发出开工令后的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设计人顾问人、监理人确认。</w:t>
      </w:r>
    </w:p>
    <w:p w14:paraId="2F98D740">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30E1FA67">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62230</wp:posOffset>
                </wp:positionV>
                <wp:extent cx="775970" cy="588645"/>
                <wp:effectExtent l="0" t="0" r="0" b="0"/>
                <wp:wrapNone/>
                <wp:docPr id="224" name="0001e3"/>
                <wp:cNvGraphicFramePr/>
                <a:graphic xmlns:a="http://schemas.openxmlformats.org/drawingml/2006/main">
                  <a:graphicData uri="http://schemas.microsoft.com/office/word/2010/wordprocessingShape">
                    <wps:wsp>
                      <wps:cNvSpPr txBox="1"/>
                      <wps:spPr>
                        <a:xfrm>
                          <a:off x="0" y="0"/>
                          <a:ext cx="775970" cy="588645"/>
                        </a:xfrm>
                        <a:prstGeom prst="rect">
                          <a:avLst/>
                        </a:prstGeom>
                        <a:noFill/>
                        <a:ln>
                          <a:noFill/>
                        </a:ln>
                        <a:effectLst/>
                      </wps:spPr>
                      <wps:txbx>
                        <w:txbxContent>
                          <w:p w14:paraId="51EB72F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p w14:paraId="0973C16E">
                            <w:pPr>
                              <w:rPr>
                                <w:lang w:eastAsia="zh-CN"/>
                              </w:rPr>
                            </w:pPr>
                          </w:p>
                        </w:txbxContent>
                      </wps:txbx>
                      <wps:bodyPr wrap="square" upright="1"/>
                    </wps:wsp>
                  </a:graphicData>
                </a:graphic>
              </wp:anchor>
            </w:drawing>
          </mc:Choice>
          <mc:Fallback>
            <w:pict>
              <v:shape id="0001e3" o:spid="_x0000_s1026" o:spt="202" type="#_x0000_t202" style="position:absolute;left:0pt;margin-left:-9pt;margin-top:4.9pt;height:46.35pt;width:61.1pt;z-index:251887616;mso-width-relative:page;mso-height-relative:page;" filled="f" stroked="f" coordsize="21600,21600" o:gfxdata="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KthhtYAAAAJ&#10;AQAADwAAAAAAAAABACAAAAAiAAAAZHJzL2Rvd25yZXYueG1sUEsBAhQAFAAAAAgAh07iQPln7gOs&#10;AQAAZgMAAA4AAAAAAAAAAQAgAAAAJQEAAGRycy9lMm9Eb2MueG1sUEsFBgAAAAAGAAYAWQEAAEMF&#10;AAAAAA==&#10;">
                <v:fill on="f" focussize="0,0"/>
                <v:stroke on="f"/>
                <v:imagedata o:title=""/>
                <o:lock v:ext="edit" aspectratio="f"/>
                <v:textbox>
                  <w:txbxContent>
                    <w:p w14:paraId="51EB72F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p w14:paraId="0973C16E">
                      <w:pPr>
                        <w:rPr>
                          <w:lang w:eastAsia="zh-CN"/>
                        </w:rPr>
                      </w:pPr>
                    </w:p>
                  </w:txbxContent>
                </v:textbox>
              </v:shape>
            </w:pict>
          </mc:Fallback>
        </mc:AlternateContent>
      </w:r>
      <w:r>
        <w:rPr>
          <w:rFonts w:hint="eastAsia" w:ascii="仿宋" w:hAnsi="仿宋" w:eastAsia="仿宋" w:cs="仿宋"/>
          <w:color w:val="auto"/>
          <w:highlight w:val="none"/>
          <w:lang w:eastAsia="zh-CN"/>
        </w:rPr>
        <w:t>承包人应负责施工控制网点的管理。施工控制网点丢失或损坏的，承包人应及时修复。承包人应承担施工控制网点的管理与修复费用，并在工程竣工后将施工控制网点移交发包人。</w:t>
      </w:r>
    </w:p>
    <w:p w14:paraId="583BE801">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监理工程师需要使用施工控制网的，承包人应提供必要的协助，发包人无需为此支付任何费用。</w:t>
      </w:r>
    </w:p>
    <w:p w14:paraId="07F8DCEC">
      <w:pPr>
        <w:spacing w:line="360" w:lineRule="auto"/>
        <w:rPr>
          <w:rFonts w:ascii="仿宋" w:hAnsi="仿宋" w:eastAsia="仿宋" w:cs="仿宋"/>
          <w:b/>
          <w:bCs/>
          <w:color w:val="auto"/>
          <w:highlight w:val="none"/>
          <w:u w:val="dotted"/>
          <w:lang w:eastAsia="zh-CN"/>
        </w:rPr>
      </w:pPr>
      <w:bookmarkStart w:id="749" w:name="_Toc28492"/>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.3</w:t>
      </w:r>
      <w:bookmarkEnd w:id="74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9EFE615">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-6350</wp:posOffset>
                </wp:positionV>
                <wp:extent cx="765810" cy="596900"/>
                <wp:effectExtent l="0" t="0" r="0" b="0"/>
                <wp:wrapNone/>
                <wp:docPr id="225" name="0001e4"/>
                <wp:cNvGraphicFramePr/>
                <a:graphic xmlns:a="http://schemas.openxmlformats.org/drawingml/2006/main">
                  <a:graphicData uri="http://schemas.microsoft.com/office/word/2010/wordprocessingShape">
                    <wps:wsp>
                      <wps:cNvSpPr txBox="1"/>
                      <wps:spPr>
                        <a:xfrm>
                          <a:off x="0" y="0"/>
                          <a:ext cx="765810" cy="596900"/>
                        </a:xfrm>
                        <a:prstGeom prst="rect">
                          <a:avLst/>
                        </a:prstGeom>
                        <a:noFill/>
                        <a:ln>
                          <a:noFill/>
                        </a:ln>
                        <a:effectLst/>
                      </wps:spPr>
                      <wps:txbx>
                        <w:txbxContent>
                          <w:p w14:paraId="76145D6A">
                            <w:pPr>
                              <w:spacing w:line="200" w:lineRule="exact"/>
                              <w:rPr>
                                <w:sz w:val="18"/>
                                <w:szCs w:val="18"/>
                              </w:rPr>
                            </w:pPr>
                            <w:r>
                              <w:rPr>
                                <w:rFonts w:hint="eastAsia" w:ascii="楷体_GB2312" w:hAnsi="宋体" w:eastAsia="楷体_GB2312" w:cs="楷体_GB2312"/>
                                <w:b/>
                                <w:bCs/>
                                <w:color w:val="000000"/>
                                <w:sz w:val="18"/>
                                <w:szCs w:val="18"/>
                              </w:rPr>
                              <w:t>承包人测量放线的责任</w:t>
                            </w:r>
                          </w:p>
                          <w:p w14:paraId="1EF8063C"/>
                        </w:txbxContent>
                      </wps:txbx>
                      <wps:bodyPr wrap="square" upright="1"/>
                    </wps:wsp>
                  </a:graphicData>
                </a:graphic>
              </wp:anchor>
            </w:drawing>
          </mc:Choice>
          <mc:Fallback>
            <w:pict>
              <v:shape id="0001e4" o:spid="_x0000_s1026" o:spt="202" type="#_x0000_t202" style="position:absolute;left:0pt;margin-left:-9pt;margin-top:-0.5pt;height:47pt;width:60.3pt;z-index:251888640;mso-width-relative:page;mso-height-relative:page;" filled="f" stroked="f" coordsize="21600,21600" o:gfxdata="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2RQbytYAAAAJ&#10;AQAADwAAAAAAAAABACAAAAAiAAAAZHJzL2Rvd25yZXYueG1sUEsBAhQAFAAAAAgAh07iQLbJt/qs&#10;AQAAZgMAAA4AAAAAAAAAAQAgAAAAJQEAAGRycy9lMm9Eb2MueG1sUEsFBgAAAAAGAAYAWQEAAEMF&#10;AAAAAA==&#10;">
                <v:fill on="f" focussize="0,0"/>
                <v:stroke on="f"/>
                <v:imagedata o:title=""/>
                <o:lock v:ext="edit" aspectratio="f"/>
                <v:textbox>
                  <w:txbxContent>
                    <w:p w14:paraId="76145D6A">
                      <w:pPr>
                        <w:spacing w:line="200" w:lineRule="exact"/>
                        <w:rPr>
                          <w:sz w:val="18"/>
                          <w:szCs w:val="18"/>
                        </w:rPr>
                      </w:pPr>
                      <w:r>
                        <w:rPr>
                          <w:rFonts w:hint="eastAsia" w:ascii="楷体_GB2312" w:hAnsi="宋体" w:eastAsia="楷体_GB2312" w:cs="楷体_GB2312"/>
                          <w:b/>
                          <w:bCs/>
                          <w:color w:val="000000"/>
                          <w:sz w:val="18"/>
                          <w:szCs w:val="18"/>
                        </w:rPr>
                        <w:t>承包人测量放线的责任</w:t>
                      </w:r>
                    </w:p>
                    <w:p w14:paraId="1EF8063C"/>
                  </w:txbxContent>
                </v:textbox>
              </v:shape>
            </w:pict>
          </mc:Fallback>
        </mc:AlternateContent>
      </w:r>
      <w:r>
        <w:rPr>
          <w:rFonts w:hint="eastAsia" w:ascii="仿宋" w:hAnsi="仿宋" w:eastAsia="仿宋" w:cs="仿宋"/>
          <w:color w:val="auto"/>
          <w:highlight w:val="none"/>
          <w:lang w:eastAsia="zh-CN"/>
        </w:rPr>
        <w:t>承包人应配置合格的人员、仪器、施工设备和其他物品，根据监理人书面确定的原始基准点、基准线、基准高程等资料，准确完成对合同工程的全部施工测量放线工作，并对工程各部分的位置、标高、尺寸或定线的正确性负责。</w:t>
      </w:r>
    </w:p>
    <w:p w14:paraId="55B397CB">
      <w:pPr>
        <w:spacing w:line="360" w:lineRule="auto"/>
        <w:rPr>
          <w:rFonts w:ascii="仿宋" w:hAnsi="仿宋" w:eastAsia="仿宋" w:cs="仿宋"/>
          <w:b/>
          <w:bCs/>
          <w:color w:val="auto"/>
          <w:highlight w:val="none"/>
          <w:u w:val="dotted"/>
          <w:lang w:eastAsia="zh-CN"/>
        </w:rPr>
      </w:pPr>
      <w:bookmarkStart w:id="750" w:name="_Toc6614"/>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.4</w:t>
      </w:r>
      <w:bookmarkEnd w:id="75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83C2F8F">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89664" behindDoc="0" locked="0" layoutInCell="1" allowOverlap="1">
                <wp:simplePos x="0" y="0"/>
                <wp:positionH relativeFrom="column">
                  <wp:posOffset>-66675</wp:posOffset>
                </wp:positionH>
                <wp:positionV relativeFrom="paragraph">
                  <wp:posOffset>8255</wp:posOffset>
                </wp:positionV>
                <wp:extent cx="775970" cy="511810"/>
                <wp:effectExtent l="0" t="0" r="0" b="0"/>
                <wp:wrapNone/>
                <wp:docPr id="226" name="0001e5"/>
                <wp:cNvGraphicFramePr/>
                <a:graphic xmlns:a="http://schemas.openxmlformats.org/drawingml/2006/main">
                  <a:graphicData uri="http://schemas.microsoft.com/office/word/2010/wordprocessingShape">
                    <wps:wsp>
                      <wps:cNvSpPr txBox="1"/>
                      <wps:spPr>
                        <a:xfrm>
                          <a:off x="0" y="0"/>
                          <a:ext cx="775970" cy="511810"/>
                        </a:xfrm>
                        <a:prstGeom prst="rect">
                          <a:avLst/>
                        </a:prstGeom>
                        <a:noFill/>
                        <a:ln>
                          <a:noFill/>
                        </a:ln>
                        <a:effectLst/>
                      </wps:spPr>
                      <wps:txbx>
                        <w:txbxContent>
                          <w:p w14:paraId="0268A294">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p w14:paraId="6E60C665"/>
                        </w:txbxContent>
                      </wps:txbx>
                      <wps:bodyPr wrap="square" upright="1"/>
                    </wps:wsp>
                  </a:graphicData>
                </a:graphic>
              </wp:anchor>
            </w:drawing>
          </mc:Choice>
          <mc:Fallback>
            <w:pict>
              <v:shape id="0001e5" o:spid="_x0000_s1026" o:spt="202" type="#_x0000_t202" style="position:absolute;left:0pt;margin-left:-5.25pt;margin-top:0.65pt;height:40.3pt;width:61.1pt;z-index:251889664;mso-width-relative:page;mso-height-relative:page;" filled="f" stroked="f" coordsize="21600,21600" o:gfxdata="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Lr3WLVAAAACAEA&#10;AA8AAAAAAAAAAQAgAAAAIgAAAGRycy9kb3ducmV2LnhtbFBLAQIUABQAAAAIAIdO4kD0vXzPqwEA&#10;AGYDAAAOAAAAAAAAAAEAIAAAACQBAABkcnMvZTJvRG9jLnhtbFBLBQYAAAAABgAGAFkBAABBBQAA&#10;AAA=&#10;">
                <v:fill on="f" focussize="0,0"/>
                <v:stroke on="f"/>
                <v:imagedata o:title=""/>
                <o:lock v:ext="edit" aspectratio="f"/>
                <v:textbox>
                  <w:txbxContent>
                    <w:p w14:paraId="0268A294">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p w14:paraId="6E60C665"/>
                  </w:txbxContent>
                </v:textbox>
              </v:shape>
            </w:pict>
          </mc:Fallback>
        </mc:AlternateContent>
      </w:r>
      <w:r>
        <w:rPr>
          <w:rFonts w:hint="eastAsia" w:ascii="仿宋" w:hAnsi="仿宋" w:eastAsia="仿宋" w:cs="仿宋"/>
          <w:color w:val="auto"/>
          <w:highlight w:val="none"/>
          <w:lang w:eastAsia="zh-CN"/>
        </w:rPr>
        <w:t>监理人有权对承包人施工测量放线工作进行检查验收。如果发现永久工程任何部分的位置、标高、尺寸或定线超过合同约定误差的，承包人应自费纠正，直到监理人认为符合合同约定为止。如果这些误差是由于监理人书面提供的数据错误导致的，发包人应当承担由此增加的费用和（或）工期延误，并向承包人支付合理利润。</w:t>
      </w:r>
    </w:p>
    <w:p w14:paraId="1CF858F9">
      <w:pPr>
        <w:spacing w:line="360" w:lineRule="auto"/>
        <w:rPr>
          <w:rFonts w:ascii="仿宋" w:hAnsi="仿宋" w:eastAsia="仿宋"/>
          <w:b/>
          <w:bCs/>
          <w:color w:val="auto"/>
          <w:highlight w:val="none"/>
          <w:lang w:eastAsia="zh-CN"/>
        </w:rPr>
      </w:pPr>
      <w:bookmarkStart w:id="751" w:name="_Toc7191"/>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r>
        <w:rPr>
          <w:color w:val="auto"/>
          <w:highlight w:val="none"/>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278130</wp:posOffset>
                </wp:positionV>
                <wp:extent cx="784860" cy="509905"/>
                <wp:effectExtent l="0" t="0" r="0" b="0"/>
                <wp:wrapNone/>
                <wp:docPr id="227" name="0001e6"/>
                <wp:cNvGraphicFramePr/>
                <a:graphic xmlns:a="http://schemas.openxmlformats.org/drawingml/2006/main">
                  <a:graphicData uri="http://schemas.microsoft.com/office/word/2010/wordprocessingShape">
                    <wps:wsp>
                      <wps:cNvSpPr txBox="1"/>
                      <wps:spPr>
                        <a:xfrm>
                          <a:off x="0" y="0"/>
                          <a:ext cx="784860" cy="509905"/>
                        </a:xfrm>
                        <a:prstGeom prst="rect">
                          <a:avLst/>
                        </a:prstGeom>
                        <a:noFill/>
                        <a:ln>
                          <a:noFill/>
                        </a:ln>
                        <a:effectLst/>
                      </wps:spPr>
                      <wps:txbx>
                        <w:txbxContent>
                          <w:p w14:paraId="792F336C">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p w14:paraId="13CDC1BE"/>
                        </w:txbxContent>
                      </wps:txbx>
                      <wps:bodyPr wrap="square" upright="1"/>
                    </wps:wsp>
                  </a:graphicData>
                </a:graphic>
              </wp:anchor>
            </w:drawing>
          </mc:Choice>
          <mc:Fallback>
            <w:pict>
              <v:shape id="0001e6" o:spid="_x0000_s1026" o:spt="202" type="#_x0000_t202" style="position:absolute;left:0pt;margin-left:-9pt;margin-top:21.9pt;height:40.15pt;width:61.8pt;z-index:251890688;mso-width-relative:page;mso-height-relative:page;" filled="f" stroked="f" coordsize="21600,21600" o:gfxdata="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dI0tcAAAAK&#10;AQAADwAAAAAAAAABACAAAAAiAAAAZHJzL2Rvd25yZXYueG1sUEsBAhQAFAAAAAgAh07iQE/uYEir&#10;AQAAZgMAAA4AAAAAAAAAAQAgAAAAJgEAAGRycy9lMm9Eb2MueG1sUEsFBgAAAAAGAAYAWQEAAEMF&#10;AAAAAA==&#10;">
                <v:fill on="f" focussize="0,0"/>
                <v:stroke on="f"/>
                <v:imagedata o:title=""/>
                <o:lock v:ext="edit" aspectratio="f"/>
                <v:textbox>
                  <w:txbxContent>
                    <w:p w14:paraId="792F336C">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p w14:paraId="13CDC1BE"/>
                  </w:txbxContent>
                </v:textbox>
              </v:shape>
            </w:pict>
          </mc:Fallback>
        </mc:AlternateContent>
      </w:r>
      <w:bookmarkEnd w:id="751"/>
      <w:r>
        <w:rPr>
          <w:rFonts w:ascii="仿宋" w:hAnsi="仿宋" w:eastAsia="仿宋" w:cs="仿宋"/>
          <w:b/>
          <w:bCs/>
          <w:color w:val="auto"/>
          <w:highlight w:val="none"/>
          <w:u w:val="dotted"/>
          <w:lang w:eastAsia="zh-CN"/>
        </w:rPr>
        <w:t xml:space="preserve">      </w:t>
      </w:r>
    </w:p>
    <w:p w14:paraId="3B95B132">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对工程位置、标高、尺寸、定线的检查，不能免除承包人测量放线工作准确性应承担的任何责任和应履行的任何义务。承包人应有效地保护一切基准点、基准线和其他有关的标志，直到永久工程竣工验收合格为止。</w:t>
      </w:r>
    </w:p>
    <w:p w14:paraId="0600A2FB">
      <w:pPr>
        <w:pStyle w:val="12"/>
        <w:tabs>
          <w:tab w:val="left" w:pos="2070"/>
        </w:tabs>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7190C1B3">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752" w:name="_Toc22832"/>
      <w:bookmarkStart w:id="753" w:name="_Toc26847"/>
      <w:bookmarkStart w:id="754" w:name="_Toc12572"/>
      <w:bookmarkStart w:id="755" w:name="_Toc3559"/>
      <w:bookmarkStart w:id="756" w:name="_Toc47694329"/>
      <w:bookmarkStart w:id="757" w:name="_Toc19168"/>
      <w:bookmarkStart w:id="758" w:name="_Toc14534"/>
      <w:bookmarkStart w:id="759" w:name="_Toc29343"/>
      <w:r>
        <w:rPr>
          <w:rFonts w:hint="eastAsia" w:ascii="仿宋" w:hAnsi="仿宋" w:eastAsia="仿宋" w:cs="仿宋"/>
          <w:bCs w:val="0"/>
          <w:color w:val="auto"/>
          <w:sz w:val="24"/>
          <w:szCs w:val="24"/>
          <w:highlight w:val="none"/>
          <w:lang w:eastAsia="zh-CN"/>
        </w:rPr>
        <w:t>54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钻孔与勘探性开挖</w:t>
      </w:r>
      <w:bookmarkEnd w:id="752"/>
      <w:bookmarkEnd w:id="753"/>
      <w:bookmarkEnd w:id="754"/>
      <w:bookmarkEnd w:id="755"/>
      <w:bookmarkEnd w:id="756"/>
      <w:bookmarkEnd w:id="757"/>
      <w:bookmarkEnd w:id="758"/>
      <w:bookmarkEnd w:id="759"/>
    </w:p>
    <w:p w14:paraId="4940CE63">
      <w:pPr>
        <w:pStyle w:val="12"/>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54</w:t>
      </w:r>
      <w:r>
        <w:rPr>
          <w:rFonts w:ascii="仿宋" w:hAnsi="仿宋" w:eastAsia="仿宋" w:cs="仿宋"/>
          <w:b/>
          <w:bCs/>
          <w:color w:val="auto"/>
          <w:highlight w:val="none"/>
          <w:lang w:eastAsia="zh-CN"/>
        </w:rPr>
        <w:t>.1</w:t>
      </w:r>
    </w:p>
    <w:p w14:paraId="4E00FD06">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91712" behindDoc="0" locked="0" layoutInCell="1" allowOverlap="1">
                <wp:simplePos x="0" y="0"/>
                <wp:positionH relativeFrom="column">
                  <wp:posOffset>0</wp:posOffset>
                </wp:positionH>
                <wp:positionV relativeFrom="paragraph">
                  <wp:posOffset>-26035</wp:posOffset>
                </wp:positionV>
                <wp:extent cx="756920" cy="598805"/>
                <wp:effectExtent l="0" t="0" r="0" b="0"/>
                <wp:wrapNone/>
                <wp:docPr id="228" name="0001e7"/>
                <wp:cNvGraphicFramePr/>
                <a:graphic xmlns:a="http://schemas.openxmlformats.org/drawingml/2006/main">
                  <a:graphicData uri="http://schemas.microsoft.com/office/word/2010/wordprocessingShape">
                    <wps:wsp>
                      <wps:cNvSpPr txBox="1"/>
                      <wps:spPr>
                        <a:xfrm>
                          <a:off x="0" y="0"/>
                          <a:ext cx="756920" cy="598805"/>
                        </a:xfrm>
                        <a:prstGeom prst="rect">
                          <a:avLst/>
                        </a:prstGeom>
                        <a:noFill/>
                        <a:ln>
                          <a:noFill/>
                        </a:ln>
                        <a:effectLst/>
                      </wps:spPr>
                      <wps:txbx>
                        <w:txbxContent>
                          <w:p w14:paraId="5DE65E6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p w14:paraId="38587A17">
                            <w:pPr>
                              <w:rPr>
                                <w:lang w:eastAsia="zh-CN"/>
                              </w:rPr>
                            </w:pPr>
                          </w:p>
                        </w:txbxContent>
                      </wps:txbx>
                      <wps:bodyPr wrap="square" upright="1"/>
                    </wps:wsp>
                  </a:graphicData>
                </a:graphic>
              </wp:anchor>
            </w:drawing>
          </mc:Choice>
          <mc:Fallback>
            <w:pict>
              <v:shape id="0001e7" o:spid="_x0000_s1026" o:spt="202" type="#_x0000_t202" style="position:absolute;left:0pt;margin-left:0pt;margin-top:-2.05pt;height:47.15pt;width:59.6pt;z-index:251891712;mso-width-relative:page;mso-height-relative:page;" filled="f" stroked="f" coordsize="21600,21600" o:gfxdata="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hPysTTAAAABgEAAA8A&#10;AAAAAAAAAQAgAAAAIgAAAGRycy9kb3ducmV2LnhtbFBLAQIUABQAAAAIAIdO4kDUAgUAqgEAAGYD&#10;AAAOAAAAAAAAAAEAIAAAACIBAABkcnMvZTJvRG9jLnhtbFBLBQYAAAAABgAGAFkBAAA+BQAAAAA=&#10;">
                <v:fill on="f" focussize="0,0"/>
                <v:stroke on="f"/>
                <v:imagedata o:title=""/>
                <o:lock v:ext="edit" aspectratio="f"/>
                <v:textbox>
                  <w:txbxContent>
                    <w:p w14:paraId="5DE65E6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p w14:paraId="38587A17">
                      <w:pPr>
                        <w:rPr>
                          <w:lang w:eastAsia="zh-CN"/>
                        </w:rPr>
                      </w:pPr>
                    </w:p>
                  </w:txbxContent>
                </v:textbox>
              </v:shape>
            </w:pict>
          </mc:Fallback>
        </mc:AlternateContent>
      </w:r>
      <w:r>
        <w:rPr>
          <w:rFonts w:hint="eastAsia" w:ascii="仿宋" w:hAnsi="仿宋" w:eastAsia="仿宋" w:cs="仿宋"/>
          <w:color w:val="auto"/>
          <w:highlight w:val="none"/>
          <w:lang w:eastAsia="zh-CN"/>
        </w:rPr>
        <w:t>在施工过程中，如果需要承包人进行钻孔或勘探性开挖（含疏浚工作在内）工作的，监理人应就此项工作按照第63条约定书面发出专项指令。承包人在接到监理工程师指令后，应及时实施相关工作。</w:t>
      </w:r>
    </w:p>
    <w:p w14:paraId="34E73308">
      <w:pPr>
        <w:pStyle w:val="12"/>
        <w:tabs>
          <w:tab w:val="left" w:pos="720"/>
          <w:tab w:val="left" w:pos="1080"/>
        </w:tabs>
        <w:spacing w:line="360" w:lineRule="auto"/>
        <w:ind w:firstLine="0"/>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92736" behindDoc="0" locked="0" layoutInCell="1" allowOverlap="1">
                <wp:simplePos x="0" y="0"/>
                <wp:positionH relativeFrom="column">
                  <wp:posOffset>-47625</wp:posOffset>
                </wp:positionH>
                <wp:positionV relativeFrom="paragraph">
                  <wp:posOffset>284480</wp:posOffset>
                </wp:positionV>
                <wp:extent cx="861695" cy="591820"/>
                <wp:effectExtent l="0" t="0" r="0" b="0"/>
                <wp:wrapNone/>
                <wp:docPr id="229" name="0001e8"/>
                <wp:cNvGraphicFramePr/>
                <a:graphic xmlns:a="http://schemas.openxmlformats.org/drawingml/2006/main">
                  <a:graphicData uri="http://schemas.microsoft.com/office/word/2010/wordprocessingShape">
                    <wps:wsp>
                      <wps:cNvSpPr txBox="1"/>
                      <wps:spPr>
                        <a:xfrm>
                          <a:off x="0" y="0"/>
                          <a:ext cx="861695" cy="591820"/>
                        </a:xfrm>
                        <a:prstGeom prst="rect">
                          <a:avLst/>
                        </a:prstGeom>
                        <a:noFill/>
                        <a:ln>
                          <a:noFill/>
                        </a:ln>
                        <a:effectLst/>
                      </wps:spPr>
                      <wps:txbx>
                        <w:txbxContent>
                          <w:p w14:paraId="38EDDF43">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p w14:paraId="48367868">
                            <w:pPr>
                              <w:rPr>
                                <w:lang w:eastAsia="zh-CN"/>
                              </w:rPr>
                            </w:pPr>
                          </w:p>
                        </w:txbxContent>
                      </wps:txbx>
                      <wps:bodyPr wrap="square" upright="1"/>
                    </wps:wsp>
                  </a:graphicData>
                </a:graphic>
              </wp:anchor>
            </w:drawing>
          </mc:Choice>
          <mc:Fallback>
            <w:pict>
              <v:shape id="0001e8" o:spid="_x0000_s1026" o:spt="202" type="#_x0000_t202" style="position:absolute;left:0pt;margin-left:-3.75pt;margin-top:22.4pt;height:46.6pt;width:67.85pt;z-index:251892736;mso-width-relative:page;mso-height-relative:page;" filled="f" stroked="f" coordsize="21600,21600" o:gfxdata="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fdyh7XAAAA&#10;CQEAAA8AAAAAAAAAAQAgAAAAIgAAAGRycy9kb3ducmV2LnhtbFBLAQIUABQAAAAIAIdO4kAniWoa&#10;rAEAAGYDAAAOAAAAAAAAAAEAIAAAACYBAABkcnMvZTJvRG9jLnhtbFBLBQYAAAAABgAGAFkBAABE&#10;BQAAAAA=&#10;">
                <v:fill on="f" focussize="0,0"/>
                <v:stroke on="f"/>
                <v:imagedata o:title=""/>
                <o:lock v:ext="edit" aspectratio="f"/>
                <v:textbox>
                  <w:txbxContent>
                    <w:p w14:paraId="38EDDF43">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p w14:paraId="48367868">
                      <w:pPr>
                        <w:rPr>
                          <w:lang w:eastAsia="zh-CN"/>
                        </w:rPr>
                      </w:pPr>
                    </w:p>
                  </w:txbxContent>
                </v:textbox>
              </v:shape>
            </w:pict>
          </mc:Fallback>
        </mc:AlternateContent>
      </w:r>
      <w:r>
        <w:rPr>
          <w:rFonts w:hint="eastAsia" w:ascii="仿宋" w:hAnsi="仿宋" w:eastAsia="仿宋" w:cs="仿宋"/>
          <w:b/>
          <w:bCs/>
          <w:color w:val="auto"/>
          <w:highlight w:val="none"/>
          <w:lang w:eastAsia="zh-CN"/>
        </w:rPr>
        <w:t>54</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40C9611D">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除工程量清单中已列有此类工作的支付项目和额度外，此项工作所发生的一切费用，经造价咨询人核实后，由合同双方当事人按照第79条约定办理。</w:t>
      </w:r>
    </w:p>
    <w:p w14:paraId="54F05710">
      <w:pPr>
        <w:pStyle w:val="23"/>
        <w:tabs>
          <w:tab w:val="left" w:pos="540"/>
        </w:tabs>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77E7C46B">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760" w:name="_Toc23652"/>
      <w:bookmarkStart w:id="761" w:name="_Toc17603"/>
      <w:bookmarkStart w:id="762" w:name="_Toc17107"/>
      <w:bookmarkStart w:id="763" w:name="_Toc11595"/>
      <w:bookmarkStart w:id="764" w:name="_Toc807"/>
      <w:bookmarkStart w:id="765" w:name="_Toc5494"/>
      <w:bookmarkStart w:id="766" w:name="_Toc29796"/>
      <w:bookmarkStart w:id="767" w:name="_Toc47694330"/>
      <w:r>
        <w:rPr>
          <w:rFonts w:hint="eastAsia" w:ascii="仿宋" w:hAnsi="仿宋" w:eastAsia="仿宋" w:cs="仿宋"/>
          <w:bCs w:val="0"/>
          <w:color w:val="auto"/>
          <w:sz w:val="24"/>
          <w:szCs w:val="24"/>
          <w:highlight w:val="none"/>
          <w:lang w:eastAsia="zh-CN"/>
        </w:rPr>
        <w:t>55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发包人供应工程材料和工程设备</w:t>
      </w:r>
      <w:bookmarkEnd w:id="760"/>
      <w:bookmarkEnd w:id="761"/>
      <w:bookmarkEnd w:id="762"/>
      <w:bookmarkEnd w:id="763"/>
      <w:bookmarkEnd w:id="764"/>
      <w:bookmarkEnd w:id="765"/>
      <w:bookmarkEnd w:id="766"/>
      <w:bookmarkEnd w:id="767"/>
    </w:p>
    <w:p w14:paraId="47E7FDDC">
      <w:pPr>
        <w:pStyle w:val="12"/>
        <w:spacing w:line="360" w:lineRule="auto"/>
        <w:ind w:firstLine="0"/>
        <w:rPr>
          <w:rFonts w:ascii="仿宋" w:hAnsi="仿宋" w:eastAsia="仿宋" w:cs="仿宋"/>
          <w:b/>
          <w:bCs/>
          <w:color w:val="auto"/>
          <w:highlight w:val="none"/>
          <w:lang w:eastAsia="zh-CN"/>
        </w:rPr>
      </w:pPr>
      <w:r>
        <w:rPr>
          <w:color w:val="auto"/>
          <w:highlight w:val="none"/>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278765</wp:posOffset>
                </wp:positionV>
                <wp:extent cx="803910" cy="495300"/>
                <wp:effectExtent l="0" t="0" r="0" b="0"/>
                <wp:wrapNone/>
                <wp:docPr id="230" name="0001e9"/>
                <wp:cNvGraphicFramePr/>
                <a:graphic xmlns:a="http://schemas.openxmlformats.org/drawingml/2006/main">
                  <a:graphicData uri="http://schemas.microsoft.com/office/word/2010/wordprocessingShape">
                    <wps:wsp>
                      <wps:cNvSpPr txBox="1"/>
                      <wps:spPr>
                        <a:xfrm>
                          <a:off x="0" y="0"/>
                          <a:ext cx="803910" cy="495300"/>
                        </a:xfrm>
                        <a:prstGeom prst="rect">
                          <a:avLst/>
                        </a:prstGeom>
                        <a:noFill/>
                        <a:ln>
                          <a:noFill/>
                        </a:ln>
                        <a:effectLst/>
                      </wps:spPr>
                      <wps:txbx>
                        <w:txbxContent>
                          <w:p w14:paraId="4FD8B93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p w14:paraId="3D0F738B">
                            <w:pPr>
                              <w:rPr>
                                <w:lang w:eastAsia="zh-CN"/>
                              </w:rPr>
                            </w:pPr>
                          </w:p>
                        </w:txbxContent>
                      </wps:txbx>
                      <wps:bodyPr wrap="square" upright="1"/>
                    </wps:wsp>
                  </a:graphicData>
                </a:graphic>
              </wp:anchor>
            </w:drawing>
          </mc:Choice>
          <mc:Fallback>
            <w:pict>
              <v:shape id="0001e9" o:spid="_x0000_s1026" o:spt="202" type="#_x0000_t202" style="position:absolute;left:0pt;margin-left:-9pt;margin-top:21.95pt;height:39pt;width:63.3pt;z-index:251893760;mso-width-relative:page;mso-height-relative:page;" filled="f" stroked="f" coordsize="21600,21600" o:gfxdata="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ZQybq2AAA&#10;AAoBAAAPAAAAAAAAAAEAIAAAACIAAABkcnMvZG93bnJldi54bWxQSwECFAAUAAAACACHTuJAsVzT&#10;d6wBAABmAwAADgAAAAAAAAABACAAAAAnAQAAZHJzL2Uyb0RvYy54bWxQSwUGAAAAAAYABgBZAQAA&#10;RQUAAAAA&#10;">
                <v:fill on="f" focussize="0,0"/>
                <v:stroke on="f"/>
                <v:imagedata o:title=""/>
                <o:lock v:ext="edit" aspectratio="f"/>
                <v:textbox>
                  <w:txbxContent>
                    <w:p w14:paraId="4FD8B93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p w14:paraId="3D0F738B">
                      <w:pPr>
                        <w:rPr>
                          <w:lang w:eastAsia="zh-CN"/>
                        </w:rPr>
                      </w:pPr>
                    </w:p>
                  </w:txbxContent>
                </v:textbox>
              </v:shape>
            </w:pict>
          </mc:Fallback>
        </mc:AlternateContent>
      </w: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.1</w:t>
      </w:r>
    </w:p>
    <w:p w14:paraId="7818BED3">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供应工程材料和工程设备的，应在供应工程材料和工程设备前，与承包人确认“发包人供应材料和工程设备一览表”，并作为本合同的附件。一览表应包括发包人供应工程材料和工程设备的品种、规格、型号、数量、单价、质量标准、交货计划和地点等内容。</w:t>
      </w:r>
    </w:p>
    <w:p w14:paraId="1550643E">
      <w:pPr>
        <w:pStyle w:val="12"/>
        <w:tabs>
          <w:tab w:val="left" w:pos="720"/>
          <w:tab w:val="left" w:pos="1080"/>
        </w:tabs>
        <w:spacing w:line="360" w:lineRule="auto"/>
        <w:ind w:firstLine="0"/>
        <w:rPr>
          <w:rFonts w:ascii="仿宋" w:hAnsi="仿宋" w:eastAsia="仿宋"/>
          <w:color w:val="auto"/>
          <w:highlight w:val="none"/>
          <w:lang w:eastAsia="zh-CN"/>
        </w:rPr>
      </w:pPr>
      <w:bookmarkStart w:id="768" w:name="_Toc989"/>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.2</w:t>
      </w:r>
      <w:bookmarkEnd w:id="768"/>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21BABB6C">
      <w:pPr>
        <w:widowControl w:val="0"/>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894784" behindDoc="0" locked="0" layoutInCell="1" allowOverlap="1">
                <wp:simplePos x="0" y="0"/>
                <wp:positionH relativeFrom="column">
                  <wp:posOffset>-66675</wp:posOffset>
                </wp:positionH>
                <wp:positionV relativeFrom="paragraph">
                  <wp:posOffset>47625</wp:posOffset>
                </wp:positionV>
                <wp:extent cx="756920" cy="466725"/>
                <wp:effectExtent l="0" t="0" r="0" b="0"/>
                <wp:wrapNone/>
                <wp:docPr id="231" name="0001ea"/>
                <wp:cNvGraphicFramePr/>
                <a:graphic xmlns:a="http://schemas.openxmlformats.org/drawingml/2006/main">
                  <a:graphicData uri="http://schemas.microsoft.com/office/word/2010/wordprocessingShape">
                    <wps:wsp>
                      <wps:cNvSpPr txBox="1"/>
                      <wps:spPr>
                        <a:xfrm>
                          <a:off x="0" y="0"/>
                          <a:ext cx="756920" cy="466725"/>
                        </a:xfrm>
                        <a:prstGeom prst="rect">
                          <a:avLst/>
                        </a:prstGeom>
                        <a:noFill/>
                        <a:ln>
                          <a:noFill/>
                        </a:ln>
                        <a:effectLst/>
                      </wps:spPr>
                      <wps:txbx>
                        <w:txbxContent>
                          <w:p w14:paraId="4E85B6E3">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p w14:paraId="11FCE35A"/>
                        </w:txbxContent>
                      </wps:txbx>
                      <wps:bodyPr wrap="square" upright="1"/>
                    </wps:wsp>
                  </a:graphicData>
                </a:graphic>
              </wp:anchor>
            </w:drawing>
          </mc:Choice>
          <mc:Fallback>
            <w:pict>
              <v:shape id="0001ea" o:spid="_x0000_s1026" o:spt="202" type="#_x0000_t202" style="position:absolute;left:0pt;margin-left:-5.25pt;margin-top:3.75pt;height:36.75pt;width:59.6pt;z-index:251894784;mso-width-relative:page;mso-height-relative:page;" filled="f" stroked="f" coordsize="21600,21600" o:gfxdata="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LIzga7VAAAACAEA&#10;AA8AAAAAAAAAAQAgAAAAIgAAAGRycy9kb3ducmV2LnhtbFBLAQIUABQAAAAIAIdO4kBdOYmpqwEA&#10;AGYDAAAOAAAAAAAAAAEAIAAAACQBAABkcnMvZTJvRG9jLnhtbFBLBQYAAAAABgAGAFkBAABBBQAA&#10;AAA=&#10;">
                <v:fill on="f" focussize="0,0"/>
                <v:stroke on="f"/>
                <v:imagedata o:title=""/>
                <o:lock v:ext="edit" aspectratio="f"/>
                <v:textbox>
                  <w:txbxContent>
                    <w:p w14:paraId="4E85B6E3">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p w14:paraId="11FCE35A"/>
                  </w:txbxContent>
                </v:textbox>
              </v:shape>
            </w:pict>
          </mc:Fallback>
        </mc:AlternateContent>
      </w:r>
      <w:r>
        <w:rPr>
          <w:rFonts w:hint="eastAsia" w:ascii="仿宋" w:hAnsi="仿宋" w:eastAsia="仿宋" w:cs="仿宋"/>
          <w:color w:val="auto"/>
          <w:highlight w:val="none"/>
          <w:lang w:eastAsia="zh-CN"/>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并向承包人支付合理利润。</w:t>
      </w:r>
    </w:p>
    <w:p w14:paraId="7575BA7A">
      <w:pPr>
        <w:pStyle w:val="12"/>
        <w:tabs>
          <w:tab w:val="left" w:pos="720"/>
          <w:tab w:val="left" w:pos="1080"/>
        </w:tabs>
        <w:spacing w:line="360" w:lineRule="auto"/>
        <w:ind w:firstLine="0"/>
        <w:rPr>
          <w:rFonts w:ascii="仿宋" w:hAnsi="仿宋" w:eastAsia="仿宋"/>
          <w:b/>
          <w:bCs/>
          <w:color w:val="auto"/>
          <w:highlight w:val="none"/>
          <w:lang w:eastAsia="zh-CN"/>
        </w:rPr>
      </w:pPr>
      <w:bookmarkStart w:id="769" w:name="_Toc31784"/>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.3</w:t>
      </w:r>
      <w:bookmarkEnd w:id="76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DE0DF27">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2540</wp:posOffset>
                </wp:positionV>
                <wp:extent cx="762000" cy="484505"/>
                <wp:effectExtent l="0" t="0" r="0" b="0"/>
                <wp:wrapNone/>
                <wp:docPr id="232" name="0001eb"/>
                <wp:cNvGraphicFramePr/>
                <a:graphic xmlns:a="http://schemas.openxmlformats.org/drawingml/2006/main">
                  <a:graphicData uri="http://schemas.microsoft.com/office/word/2010/wordprocessingShape">
                    <wps:wsp>
                      <wps:cNvSpPr txBox="1"/>
                      <wps:spPr>
                        <a:xfrm>
                          <a:off x="0" y="0"/>
                          <a:ext cx="762000" cy="484505"/>
                        </a:xfrm>
                        <a:prstGeom prst="rect">
                          <a:avLst/>
                        </a:prstGeom>
                        <a:noFill/>
                        <a:ln>
                          <a:noFill/>
                        </a:ln>
                        <a:effectLst/>
                      </wps:spPr>
                      <wps:txbx>
                        <w:txbxContent>
                          <w:p w14:paraId="6A60C27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p w14:paraId="4D70B5A0">
                            <w:pPr>
                              <w:rPr>
                                <w:lang w:eastAsia="zh-CN"/>
                              </w:rPr>
                            </w:pPr>
                          </w:p>
                        </w:txbxContent>
                      </wps:txbx>
                      <wps:bodyPr wrap="square" upright="1"/>
                    </wps:wsp>
                  </a:graphicData>
                </a:graphic>
              </wp:anchor>
            </w:drawing>
          </mc:Choice>
          <mc:Fallback>
            <w:pict>
              <v:shape id="0001eb" o:spid="_x0000_s1026" o:spt="202" type="#_x0000_t202" style="position:absolute;left:0pt;margin-left:-9pt;margin-top:0.2pt;height:38.15pt;width:60pt;z-index:251895808;mso-width-relative:page;mso-height-relative:page;" filled="f" stroked="f" coordsize="21600,21600" o:gfxdata="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XZcbl1AAAAAcBAAAP&#10;AAAAAAAAAAEAIAAAACIAAABkcnMvZG93bnJldi54bWxQSwECFAAUAAAACACHTuJAZgmZQaoBAABm&#10;AwAADgAAAAAAAAABACAAAAAjAQAAZHJzL2Uyb0RvYy54bWxQSwUGAAAAAAYABgBZAQAAPwUAAAAA&#10;">
                <v:fill on="f" focussize="0,0"/>
                <v:stroke on="f"/>
                <v:imagedata o:title=""/>
                <o:lock v:ext="edit" aspectratio="f"/>
                <v:textbox>
                  <w:txbxContent>
                    <w:p w14:paraId="6A60C27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p w14:paraId="4D70B5A0">
                      <w:pPr>
                        <w:rPr>
                          <w:lang w:eastAsia="zh-CN"/>
                        </w:rPr>
                      </w:pPr>
                    </w:p>
                  </w:txbxContent>
                </v:textbox>
              </v:shape>
            </w:pict>
          </mc:Fallback>
        </mc:AlternateContent>
      </w:r>
      <w:r>
        <w:rPr>
          <w:rFonts w:hint="eastAsia" w:ascii="仿宋" w:hAnsi="仿宋" w:eastAsia="仿宋" w:cs="仿宋"/>
          <w:color w:val="auto"/>
          <w:highlight w:val="none"/>
          <w:lang w:eastAsia="zh-CN"/>
        </w:rPr>
        <w:t>发包人应按照一览表内容和第55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款交货日期向承包人供应工程材料和工程设备，并提供产品质量合格证明文件，对工程材料和工程设备质量负责。发包人应在工程材料和工程设备到货前至少提前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小时，以书面形式通知承包人和监理人，并在监理人的见证下与承包人共同清点，同时在施工现场内合理堆放。</w:t>
      </w:r>
    </w:p>
    <w:p w14:paraId="079F170B">
      <w:pPr>
        <w:pStyle w:val="12"/>
        <w:tabs>
          <w:tab w:val="left" w:pos="720"/>
          <w:tab w:val="left" w:pos="1080"/>
        </w:tabs>
        <w:spacing w:line="360" w:lineRule="auto"/>
        <w:ind w:firstLine="0"/>
        <w:rPr>
          <w:rFonts w:ascii="仿宋" w:hAnsi="仿宋" w:eastAsia="仿宋"/>
          <w:b/>
          <w:bCs/>
          <w:color w:val="auto"/>
          <w:highlight w:val="none"/>
          <w:lang w:eastAsia="zh-CN"/>
        </w:rPr>
      </w:pPr>
      <w:bookmarkStart w:id="770" w:name="_Toc14207"/>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.4</w:t>
      </w:r>
      <w:bookmarkEnd w:id="77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326C0EB">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8890</wp:posOffset>
                </wp:positionV>
                <wp:extent cx="871220" cy="869950"/>
                <wp:effectExtent l="0" t="0" r="0" b="0"/>
                <wp:wrapNone/>
                <wp:docPr id="233" name="0001ec"/>
                <wp:cNvGraphicFramePr/>
                <a:graphic xmlns:a="http://schemas.openxmlformats.org/drawingml/2006/main">
                  <a:graphicData uri="http://schemas.microsoft.com/office/word/2010/wordprocessingShape">
                    <wps:wsp>
                      <wps:cNvSpPr txBox="1"/>
                      <wps:spPr>
                        <a:xfrm>
                          <a:off x="0" y="0"/>
                          <a:ext cx="871220" cy="869950"/>
                        </a:xfrm>
                        <a:prstGeom prst="rect">
                          <a:avLst/>
                        </a:prstGeom>
                        <a:noFill/>
                        <a:ln>
                          <a:noFill/>
                        </a:ln>
                        <a:effectLst/>
                      </wps:spPr>
                      <wps:txbx>
                        <w:txbxContent>
                          <w:p w14:paraId="3C68F1F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p w14:paraId="26A678DC">
                            <w:pPr>
                              <w:rPr>
                                <w:lang w:eastAsia="zh-CN"/>
                              </w:rPr>
                            </w:pPr>
                          </w:p>
                        </w:txbxContent>
                      </wps:txbx>
                      <wps:bodyPr wrap="square" upright="1"/>
                    </wps:wsp>
                  </a:graphicData>
                </a:graphic>
              </wp:anchor>
            </w:drawing>
          </mc:Choice>
          <mc:Fallback>
            <w:pict>
              <v:shape id="0001ec" o:spid="_x0000_s1026" o:spt="202" type="#_x0000_t202" style="position:absolute;left:0pt;margin-left:-9pt;margin-top:0.7pt;height:68.5pt;width:68.6pt;z-index:251896832;mso-width-relative:page;mso-height-relative:page;" filled="f" stroked="f" coordsize="21600,21600" o:gfxdata="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ZXJ3tYAAAAJ&#10;AQAADwAAAAAAAAABACAAAAAiAAAAZHJzL2Rvd25yZXYueG1sUEsBAhQAFAAAAAgAh07iQNZevG2s&#10;AQAAZgMAAA4AAAAAAAAAAQAgAAAAJQEAAGRycy9lMm9Eb2MueG1sUEsFBgAAAAAGAAYAWQEAAEMF&#10;AAAAAA==&#10;">
                <v:fill on="f" focussize="0,0"/>
                <v:stroke on="f"/>
                <v:imagedata o:title=""/>
                <o:lock v:ext="edit" aspectratio="f"/>
                <v:textbox>
                  <w:txbxContent>
                    <w:p w14:paraId="3C68F1F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p w14:paraId="26A678DC">
                      <w:pPr>
                        <w:rPr>
                          <w:lang w:eastAsia="zh-CN"/>
                        </w:rPr>
                      </w:pPr>
                    </w:p>
                  </w:txbxContent>
                </v:textbox>
              </v:shape>
            </w:pict>
          </mc:Fallback>
        </mc:AlternateContent>
      </w:r>
      <w:r>
        <w:rPr>
          <w:rFonts w:hint="eastAsia" w:ascii="仿宋" w:hAnsi="仿宋" w:eastAsia="仿宋" w:cs="仿宋"/>
          <w:color w:val="auto"/>
          <w:highlight w:val="none"/>
          <w:lang w:eastAsia="zh-CN"/>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6439F240">
      <w:pPr>
        <w:pStyle w:val="12"/>
        <w:tabs>
          <w:tab w:val="left" w:pos="720"/>
          <w:tab w:val="left" w:pos="1080"/>
        </w:tabs>
        <w:spacing w:line="360" w:lineRule="auto"/>
        <w:ind w:firstLine="0"/>
        <w:rPr>
          <w:rFonts w:ascii="仿宋" w:hAnsi="仿宋" w:eastAsia="仿宋"/>
          <w:color w:val="auto"/>
          <w:highlight w:val="none"/>
          <w:lang w:eastAsia="zh-CN"/>
        </w:rPr>
      </w:pPr>
      <w:bookmarkStart w:id="771" w:name="_Toc12869"/>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.5</w:t>
      </w:r>
      <w:bookmarkEnd w:id="771"/>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3A4BB2F8">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8890</wp:posOffset>
                </wp:positionV>
                <wp:extent cx="775970" cy="659765"/>
                <wp:effectExtent l="0" t="0" r="0" b="0"/>
                <wp:wrapNone/>
                <wp:docPr id="234" name="0001ed"/>
                <wp:cNvGraphicFramePr/>
                <a:graphic xmlns:a="http://schemas.openxmlformats.org/drawingml/2006/main">
                  <a:graphicData uri="http://schemas.microsoft.com/office/word/2010/wordprocessingShape">
                    <wps:wsp>
                      <wps:cNvSpPr txBox="1"/>
                      <wps:spPr>
                        <a:xfrm>
                          <a:off x="0" y="0"/>
                          <a:ext cx="775970" cy="659765"/>
                        </a:xfrm>
                        <a:prstGeom prst="rect">
                          <a:avLst/>
                        </a:prstGeom>
                        <a:noFill/>
                        <a:ln>
                          <a:noFill/>
                        </a:ln>
                        <a:effectLst/>
                      </wps:spPr>
                      <wps:txbx>
                        <w:txbxContent>
                          <w:p w14:paraId="3ECC1CA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p w14:paraId="48AD3D71">
                            <w:pPr>
                              <w:rPr>
                                <w:lang w:eastAsia="zh-CN"/>
                              </w:rPr>
                            </w:pPr>
                          </w:p>
                        </w:txbxContent>
                      </wps:txbx>
                      <wps:bodyPr wrap="square" upright="1"/>
                    </wps:wsp>
                  </a:graphicData>
                </a:graphic>
              </wp:anchor>
            </w:drawing>
          </mc:Choice>
          <mc:Fallback>
            <w:pict>
              <v:shape id="0001ed" o:spid="_x0000_s1026" o:spt="202" type="#_x0000_t202" style="position:absolute;left:0pt;margin-left:-9pt;margin-top:0.7pt;height:51.95pt;width:61.1pt;z-index:251897856;mso-width-relative:page;mso-height-relative:page;" filled="f" stroked="f" coordsize="21600,21600" o:gfxdata="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fwdt/9UAAAAJAQAA&#10;DwAAAAAAAAABACAAAAAiAAAAZHJzL2Rvd25yZXYueG1sUEsBAhQAFAAAAAgAh07iQGwP9e+qAQAA&#10;ZgMAAA4AAAAAAAAAAQAgAAAAJAEAAGRycy9lMm9Eb2MueG1sUEsFBgAAAAAGAAYAWQEAAEAFAAAA&#10;AA==&#10;">
                <v:fill on="f" focussize="0,0"/>
                <v:stroke on="f"/>
                <v:imagedata o:title=""/>
                <o:lock v:ext="edit" aspectratio="f"/>
                <v:textbox>
                  <w:txbxContent>
                    <w:p w14:paraId="3ECC1CA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p w14:paraId="48AD3D71">
                      <w:pPr>
                        <w:rPr>
                          <w:lang w:eastAsia="zh-CN"/>
                        </w:rPr>
                      </w:pPr>
                    </w:p>
                  </w:txbxContent>
                </v:textbox>
              </v:shape>
            </w:pict>
          </mc:Fallback>
        </mc:AlternateContent>
      </w:r>
      <w:r>
        <w:rPr>
          <w:rFonts w:hint="eastAsia" w:ascii="仿宋" w:hAnsi="仿宋" w:eastAsia="仿宋" w:cs="仿宋"/>
          <w:color w:val="auto"/>
          <w:highlight w:val="none"/>
          <w:lang w:eastAsia="zh-CN"/>
        </w:rPr>
        <w:t>发包人供应工程材料和工程设备的，经合同双方当事人共同清点后由承包人妥善保管，保管费由发包人承担；因承包人保管不善或承包人其他原因导致丢失或损害的，承包人应予赔偿。除工程量清单中已列有此类工作的支付项目和额度外，造价咨询人应与合同双方当事人协商确定保管费，并增加到合同价格中；协商不能达成一致的，由造价咨询人暂定，通知承包人并抄报发包人。</w:t>
      </w:r>
    </w:p>
    <w:p w14:paraId="7EC57A1F">
      <w:pPr>
        <w:pStyle w:val="12"/>
        <w:tabs>
          <w:tab w:val="left" w:pos="720"/>
          <w:tab w:val="left" w:pos="1080"/>
        </w:tabs>
        <w:spacing w:line="360" w:lineRule="auto"/>
        <w:ind w:firstLine="0"/>
        <w:rPr>
          <w:rFonts w:ascii="仿宋" w:hAnsi="仿宋" w:eastAsia="仿宋" w:cs="仿宋"/>
          <w:b/>
          <w:bCs/>
          <w:color w:val="auto"/>
          <w:highlight w:val="none"/>
          <w:u w:val="dotted"/>
          <w:lang w:eastAsia="zh-CN"/>
        </w:rPr>
      </w:pPr>
      <w:bookmarkStart w:id="772" w:name="_Toc12103"/>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.6</w:t>
      </w:r>
      <w:bookmarkEnd w:id="77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258DF66">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18415</wp:posOffset>
                </wp:positionV>
                <wp:extent cx="765810" cy="781685"/>
                <wp:effectExtent l="0" t="0" r="0" b="0"/>
                <wp:wrapNone/>
                <wp:docPr id="235" name="0001ee"/>
                <wp:cNvGraphicFramePr/>
                <a:graphic xmlns:a="http://schemas.openxmlformats.org/drawingml/2006/main">
                  <a:graphicData uri="http://schemas.microsoft.com/office/word/2010/wordprocessingShape">
                    <wps:wsp>
                      <wps:cNvSpPr txBox="1"/>
                      <wps:spPr>
                        <a:xfrm>
                          <a:off x="0" y="0"/>
                          <a:ext cx="765810" cy="781685"/>
                        </a:xfrm>
                        <a:prstGeom prst="rect">
                          <a:avLst/>
                        </a:prstGeom>
                        <a:noFill/>
                        <a:ln>
                          <a:noFill/>
                        </a:ln>
                        <a:effectLst/>
                      </wps:spPr>
                      <wps:txbx>
                        <w:txbxContent>
                          <w:p w14:paraId="74F4D3E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p w14:paraId="20B1C72E">
                            <w:pPr>
                              <w:rPr>
                                <w:lang w:eastAsia="zh-CN"/>
                              </w:rPr>
                            </w:pPr>
                          </w:p>
                        </w:txbxContent>
                      </wps:txbx>
                      <wps:bodyPr wrap="square" upright="1"/>
                    </wps:wsp>
                  </a:graphicData>
                </a:graphic>
              </wp:anchor>
            </w:drawing>
          </mc:Choice>
          <mc:Fallback>
            <w:pict>
              <v:shape id="0001ee" o:spid="_x0000_s1026" o:spt="202" type="#_x0000_t202" style="position:absolute;left:0pt;margin-left:-9pt;margin-top:1.45pt;height:61.55pt;width:60.3pt;z-index:251898880;mso-width-relative:page;mso-height-relative:page;" filled="f" stroked="f" coordsize="21600,21600" o:gfxdata="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UFDf/WAAAACQEA&#10;AA8AAAAAAAAAAQAgAAAAIgAAAGRycy9kb3ducmV2LnhtbFBLAQIUABQAAAAIAIdO4kCVNpCFqgEA&#10;AGYDAAAOAAAAAAAAAAEAIAAAACUBAABkcnMvZTJvRG9jLnhtbFBLBQYAAAAABgAGAFkBAABBBQAA&#10;AAA=&#10;">
                <v:fill on="f" focussize="0,0"/>
                <v:stroke on="f"/>
                <v:imagedata o:title=""/>
                <o:lock v:ext="edit" aspectratio="f"/>
                <v:textbox>
                  <w:txbxContent>
                    <w:p w14:paraId="74F4D3E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p w14:paraId="20B1C72E">
                      <w:pPr>
                        <w:rPr>
                          <w:lang w:eastAsia="zh-CN"/>
                        </w:rPr>
                      </w:pPr>
                    </w:p>
                  </w:txbxContent>
                </v:textbox>
              </v:shape>
            </w:pict>
          </mc:Fallback>
        </mc:AlternateContent>
      </w:r>
      <w:r>
        <w:rPr>
          <w:rFonts w:hint="eastAsia" w:ascii="仿宋" w:hAnsi="仿宋" w:eastAsia="仿宋" w:cs="仿宋"/>
          <w:color w:val="auto"/>
          <w:highlight w:val="none"/>
          <w:lang w:eastAsia="zh-CN"/>
        </w:rPr>
        <w:t>发包人供应的工程材料和工程设备与一览表不符时，发包人应按照下列约定承担相应责任：</w:t>
      </w:r>
    </w:p>
    <w:p w14:paraId="0B06ED8E">
      <w:pPr>
        <w:pStyle w:val="12"/>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（1）工程材料和工程设备的单价与一览表不符，由发包人承担所有价差；</w:t>
      </w:r>
    </w:p>
    <w:p w14:paraId="58AE1CC3">
      <w:pPr>
        <w:pStyle w:val="12"/>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（2）工程材料和工程设备的品种、规格、型号、质量标准与一览表不符，承包人可以拒绝接受保管，由发包人运出施工场地并重新采购；</w:t>
      </w:r>
    </w:p>
    <w:p w14:paraId="7A98CD4C">
      <w:pPr>
        <w:pStyle w:val="12"/>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（3）工程材料和工程设备的品种、规格、型号、质量标准与一览表不符，经发包人同意，承包人可代为调剂替换，由发包人承担相应费用；</w:t>
      </w:r>
    </w:p>
    <w:p w14:paraId="38941BEC">
      <w:pPr>
        <w:pStyle w:val="12"/>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（4）交货地点与一览表不符，除合同双方当事人协商确定外，由发包人重新运至一览表指定地点，并承担由此增加的费用和（或）延误的工期；</w:t>
      </w:r>
    </w:p>
    <w:p w14:paraId="4BF802B2">
      <w:pPr>
        <w:pStyle w:val="12"/>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（5）供应数量少于一览表约定的数量时，由发包人补齐；多于一览表约定的数量时，发包人应将多出的部分运出施工场地；</w:t>
      </w:r>
    </w:p>
    <w:p w14:paraId="6A4C1282">
      <w:pPr>
        <w:pStyle w:val="12"/>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（6）交货时间早于一览表约定计划和第55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款交货日期，由发包人承担由此发生的保管费；交货时间迟于一览表约定计划和第55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款交货日期，由发包人承担由此增加的费用和（或）延误的工期。</w:t>
      </w:r>
    </w:p>
    <w:p w14:paraId="74E07B95">
      <w:pPr>
        <w:pStyle w:val="12"/>
        <w:tabs>
          <w:tab w:val="left" w:pos="720"/>
          <w:tab w:val="left" w:pos="1080"/>
        </w:tabs>
        <w:spacing w:line="360" w:lineRule="auto"/>
        <w:ind w:firstLine="0"/>
        <w:rPr>
          <w:rFonts w:ascii="仿宋" w:hAnsi="仿宋" w:eastAsia="仿宋"/>
          <w:b/>
          <w:bCs/>
          <w:color w:val="auto"/>
          <w:highlight w:val="none"/>
          <w:lang w:eastAsia="zh-CN"/>
        </w:rPr>
      </w:pPr>
      <w:bookmarkStart w:id="773" w:name="_Toc21810"/>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.7</w:t>
      </w:r>
      <w:bookmarkEnd w:id="77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756C2C7">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17145</wp:posOffset>
                </wp:positionV>
                <wp:extent cx="832485" cy="679450"/>
                <wp:effectExtent l="0" t="0" r="0" b="0"/>
                <wp:wrapNone/>
                <wp:docPr id="236" name="0001ef"/>
                <wp:cNvGraphicFramePr/>
                <a:graphic xmlns:a="http://schemas.openxmlformats.org/drawingml/2006/main">
                  <a:graphicData uri="http://schemas.microsoft.com/office/word/2010/wordprocessingShape">
                    <wps:wsp>
                      <wps:cNvSpPr txBox="1"/>
                      <wps:spPr>
                        <a:xfrm>
                          <a:off x="0" y="0"/>
                          <a:ext cx="832485" cy="679450"/>
                        </a:xfrm>
                        <a:prstGeom prst="rect">
                          <a:avLst/>
                        </a:prstGeom>
                        <a:noFill/>
                        <a:ln>
                          <a:noFill/>
                        </a:ln>
                        <a:effectLst/>
                      </wps:spPr>
                      <wps:txbx>
                        <w:txbxContent>
                          <w:p w14:paraId="5C81FDA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p w14:paraId="0B9AEAF7">
                            <w:pPr>
                              <w:rPr>
                                <w:lang w:eastAsia="zh-CN"/>
                              </w:rPr>
                            </w:pPr>
                          </w:p>
                        </w:txbxContent>
                      </wps:txbx>
                      <wps:bodyPr wrap="square" upright="1"/>
                    </wps:wsp>
                  </a:graphicData>
                </a:graphic>
              </wp:anchor>
            </w:drawing>
          </mc:Choice>
          <mc:Fallback>
            <w:pict>
              <v:shape id="0001ef" o:spid="_x0000_s1026" o:spt="202" type="#_x0000_t202" style="position:absolute;left:0pt;margin-left:-9pt;margin-top:1.35pt;height:53.5pt;width:65.55pt;z-index:251899904;mso-width-relative:page;mso-height-relative:page;" filled="f" stroked="f" coordsize="21600,21600" o:gfxdata="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j5WIe1wAA&#10;AAkBAAAPAAAAAAAAAAEAIAAAACIAAABkcnMvZG93bnJldi54bWxQSwECFAAUAAAACACHTuJAs8/x&#10;vq0BAABmAwAADgAAAAAAAAABACAAAAAmAQAAZHJzL2Uyb0RvYy54bWxQSwUGAAAAAAYABgBZAQAA&#10;RQUAAAAA&#10;">
                <v:fill on="f" focussize="0,0"/>
                <v:stroke on="f"/>
                <v:imagedata o:title=""/>
                <o:lock v:ext="edit" aspectratio="f"/>
                <v:textbox>
                  <w:txbxContent>
                    <w:p w14:paraId="5C81FDA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p w14:paraId="0B9AEAF7">
                      <w:pPr>
                        <w:rPr>
                          <w:lang w:eastAsia="zh-CN"/>
                        </w:rPr>
                      </w:pPr>
                    </w:p>
                  </w:txbxContent>
                </v:textbox>
              </v:shape>
            </w:pict>
          </mc:Fallback>
        </mc:AlternateContent>
      </w:r>
      <w:r>
        <w:rPr>
          <w:rFonts w:hint="eastAsia" w:ascii="仿宋" w:hAnsi="仿宋" w:eastAsia="仿宋" w:cs="仿宋"/>
          <w:color w:val="auto"/>
          <w:highlight w:val="none"/>
          <w:lang w:eastAsia="zh-CN"/>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14:paraId="184A09ED">
      <w:pPr>
        <w:pStyle w:val="12"/>
        <w:tabs>
          <w:tab w:val="left" w:pos="720"/>
          <w:tab w:val="left" w:pos="1080"/>
        </w:tabs>
        <w:spacing w:line="360" w:lineRule="auto"/>
        <w:ind w:firstLine="0"/>
        <w:rPr>
          <w:rFonts w:ascii="仿宋" w:hAnsi="仿宋" w:eastAsia="仿宋"/>
          <w:b/>
          <w:bCs/>
          <w:color w:val="auto"/>
          <w:highlight w:val="none"/>
          <w:lang w:eastAsia="zh-CN"/>
        </w:rPr>
      </w:pPr>
      <w:bookmarkStart w:id="774" w:name="_Toc7626"/>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.8</w:t>
      </w:r>
      <w:bookmarkEnd w:id="77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50EC5E0">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7620</wp:posOffset>
                </wp:positionV>
                <wp:extent cx="828040" cy="491490"/>
                <wp:effectExtent l="0" t="0" r="0" b="0"/>
                <wp:wrapNone/>
                <wp:docPr id="237" name="0001f0"/>
                <wp:cNvGraphicFramePr/>
                <a:graphic xmlns:a="http://schemas.openxmlformats.org/drawingml/2006/main">
                  <a:graphicData uri="http://schemas.microsoft.com/office/word/2010/wordprocessingShape">
                    <wps:wsp>
                      <wps:cNvSpPr txBox="1"/>
                      <wps:spPr>
                        <a:xfrm>
                          <a:off x="0" y="0"/>
                          <a:ext cx="828040" cy="491490"/>
                        </a:xfrm>
                        <a:prstGeom prst="rect">
                          <a:avLst/>
                        </a:prstGeom>
                        <a:noFill/>
                        <a:ln>
                          <a:noFill/>
                        </a:ln>
                        <a:effectLst/>
                      </wps:spPr>
                      <wps:txbx>
                        <w:txbxContent>
                          <w:p w14:paraId="20F187FB">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p w14:paraId="0BA14664"/>
                        </w:txbxContent>
                      </wps:txbx>
                      <wps:bodyPr wrap="square" upright="1"/>
                    </wps:wsp>
                  </a:graphicData>
                </a:graphic>
              </wp:anchor>
            </w:drawing>
          </mc:Choice>
          <mc:Fallback>
            <w:pict>
              <v:shape id="0001f0" o:spid="_x0000_s1026" o:spt="202" type="#_x0000_t202" style="position:absolute;left:0pt;margin-left:-9pt;margin-top:0.6pt;height:38.7pt;width:65.2pt;z-index:251900928;mso-width-relative:page;mso-height-relative:page;" filled="f" stroked="f" coordsize="21600,21600" o:gfxdata="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OAPzLvWAAAACAEA&#10;AA8AAAAAAAAAAQAgAAAAIgAAAGRycy9kb3ducmV2LnhtbFBLAQIUABQAAAAIAIdO4kAZyhTDqgEA&#10;AGYDAAAOAAAAAAAAAAEAIAAAACUBAABkcnMvZTJvRG9jLnhtbFBLBQYAAAAABgAGAFkBAABBBQAA&#10;AAA=&#10;">
                <v:fill on="f" focussize="0,0"/>
                <v:stroke on="f"/>
                <v:imagedata o:title=""/>
                <o:lock v:ext="edit" aspectratio="f"/>
                <v:textbox>
                  <w:txbxContent>
                    <w:p w14:paraId="20F187FB">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p w14:paraId="0BA14664"/>
                  </w:txbxContent>
                </v:textbox>
              </v:shape>
            </w:pict>
          </mc:Fallback>
        </mc:AlternateContent>
      </w:r>
      <w:r>
        <w:rPr>
          <w:rFonts w:hint="eastAsia" w:ascii="仿宋" w:hAnsi="仿宋" w:eastAsia="仿宋" w:cs="仿宋"/>
          <w:color w:val="auto"/>
          <w:highlight w:val="none"/>
          <w:lang w:eastAsia="zh-CN"/>
        </w:rPr>
        <w:t>发包人供应工程材料和工程设备的结算方式，由合同双方当事人在专用条款中约定。除工程量清单中已列有税金项目的计算方法和额度，可由承包人代收代缴外，均由发包人按照政府有关部门和税务部门规定缴纳税金。</w:t>
      </w:r>
    </w:p>
    <w:p w14:paraId="0398F7B6">
      <w:pPr>
        <w:pStyle w:val="12"/>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29AC28F1">
      <w:pPr>
        <w:pStyle w:val="4"/>
        <w:tabs>
          <w:tab w:val="left" w:pos="360"/>
          <w:tab w:val="left" w:pos="420"/>
        </w:tabs>
        <w:spacing w:before="120" w:after="120" w:line="360" w:lineRule="auto"/>
        <w:rPr>
          <w:rFonts w:ascii="仿宋" w:hAnsi="仿宋" w:eastAsia="仿宋" w:cs="仿宋"/>
          <w:bCs w:val="0"/>
          <w:color w:val="auto"/>
          <w:sz w:val="24"/>
          <w:szCs w:val="24"/>
          <w:highlight w:val="none"/>
          <w:lang w:eastAsia="zh-CN"/>
        </w:rPr>
      </w:pPr>
      <w:bookmarkStart w:id="775" w:name="_Toc15898"/>
      <w:bookmarkStart w:id="776" w:name="_Toc15443"/>
      <w:bookmarkStart w:id="777" w:name="_Toc28517"/>
      <w:bookmarkStart w:id="778" w:name="_Toc19062"/>
      <w:bookmarkStart w:id="779" w:name="_Toc47694331"/>
      <w:bookmarkStart w:id="780" w:name="_Toc16756"/>
      <w:bookmarkStart w:id="781" w:name="_Toc7438"/>
      <w:bookmarkStart w:id="782" w:name="_Toc27168"/>
      <w:r>
        <w:rPr>
          <w:rFonts w:hint="eastAsia" w:ascii="仿宋" w:hAnsi="仿宋" w:eastAsia="仿宋" w:cs="仿宋"/>
          <w:bCs w:val="0"/>
          <w:color w:val="auto"/>
          <w:sz w:val="24"/>
          <w:szCs w:val="24"/>
          <w:highlight w:val="none"/>
          <w:lang w:eastAsia="zh-CN"/>
        </w:rPr>
        <w:t>56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承包人购置设备及工器具、采购工程材料和工程设备</w:t>
      </w:r>
      <w:bookmarkEnd w:id="775"/>
      <w:bookmarkEnd w:id="776"/>
      <w:bookmarkEnd w:id="777"/>
      <w:bookmarkEnd w:id="778"/>
      <w:bookmarkEnd w:id="779"/>
      <w:bookmarkEnd w:id="780"/>
      <w:bookmarkEnd w:id="781"/>
      <w:bookmarkEnd w:id="782"/>
    </w:p>
    <w:p w14:paraId="15212EB3">
      <w:pPr>
        <w:spacing w:line="360" w:lineRule="auto"/>
        <w:rPr>
          <w:rFonts w:hint="eastAsia" w:ascii="仿宋" w:hAnsi="仿宋" w:eastAsia="仿宋"/>
          <w:b/>
          <w:bCs/>
          <w:color w:val="auto"/>
          <w:highlight w:val="none"/>
          <w:lang w:eastAsia="zh-CN"/>
        </w:rPr>
      </w:pPr>
      <w:bookmarkStart w:id="783" w:name="_Toc6410"/>
      <w:r>
        <w:rPr>
          <w:rFonts w:hint="eastAsia" w:ascii="仿宋" w:hAnsi="仿宋" w:eastAsia="仿宋" w:cs="仿宋"/>
          <w:b/>
          <w:bCs/>
          <w:color w:val="auto"/>
          <w:highlight w:val="none"/>
        </w:rPr>
        <mc:AlternateContent>
          <mc:Choice Requires="wps">
            <w:drawing>
              <wp:anchor distT="0" distB="0" distL="114300" distR="114300" simplePos="0" relativeHeight="251901952" behindDoc="0" locked="0" layoutInCell="1" allowOverlap="1">
                <wp:simplePos x="0" y="0"/>
                <wp:positionH relativeFrom="column">
                  <wp:posOffset>-95250</wp:posOffset>
                </wp:positionH>
                <wp:positionV relativeFrom="paragraph">
                  <wp:posOffset>234950</wp:posOffset>
                </wp:positionV>
                <wp:extent cx="813435" cy="616585"/>
                <wp:effectExtent l="0" t="0" r="0" b="0"/>
                <wp:wrapNone/>
                <wp:docPr id="238" name="0001f1"/>
                <wp:cNvGraphicFramePr/>
                <a:graphic xmlns:a="http://schemas.openxmlformats.org/drawingml/2006/main">
                  <a:graphicData uri="http://schemas.microsoft.com/office/word/2010/wordprocessingShape">
                    <wps:wsp>
                      <wps:cNvSpPr txBox="1"/>
                      <wps:spPr>
                        <a:xfrm>
                          <a:off x="0" y="0"/>
                          <a:ext cx="813435" cy="616585"/>
                        </a:xfrm>
                        <a:prstGeom prst="rect">
                          <a:avLst/>
                        </a:prstGeom>
                        <a:noFill/>
                        <a:ln>
                          <a:noFill/>
                        </a:ln>
                        <a:effectLst/>
                      </wps:spPr>
                      <wps:txbx>
                        <w:txbxContent>
                          <w:p w14:paraId="04A797F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p w14:paraId="58DC0086">
                            <w:pPr>
                              <w:rPr>
                                <w:lang w:eastAsia="zh-CN"/>
                              </w:rPr>
                            </w:pPr>
                          </w:p>
                        </w:txbxContent>
                      </wps:txbx>
                      <wps:bodyPr wrap="square" upright="1"/>
                    </wps:wsp>
                  </a:graphicData>
                </a:graphic>
              </wp:anchor>
            </w:drawing>
          </mc:Choice>
          <mc:Fallback>
            <w:pict>
              <v:shape id="0001f1" o:spid="_x0000_s1026" o:spt="202" type="#_x0000_t202" style="position:absolute;left:0pt;margin-left:-7.5pt;margin-top:18.5pt;height:48.55pt;width:64.05pt;z-index:251901952;mso-width-relative:page;mso-height-relative:page;" filled="f" stroked="f" coordsize="21600,21600" o:gfxdata="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jjckLXAAAA&#10;CgEAAA8AAAAAAAAAAQAgAAAAIgAAAGRycy9kb3ducmV2LnhtbFBLAQIUABQAAAAIAIdO4kBez72Q&#10;rAEAAGYDAAAOAAAAAAAAAAEAIAAAACYBAABkcnMvZTJvRG9jLnhtbFBLBQYAAAAABgAGAFkBAABE&#10;BQAAAAA=&#10;">
                <v:fill on="f" focussize="0,0"/>
                <v:stroke on="f"/>
                <v:imagedata o:title=""/>
                <o:lock v:ext="edit" aspectratio="f"/>
                <v:textbox>
                  <w:txbxContent>
                    <w:p w14:paraId="04A797F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p w14:paraId="58DC0086">
                      <w:pPr>
                        <w:rPr>
                          <w:lang w:eastAsia="zh-CN"/>
                        </w:rPr>
                      </w:pPr>
                    </w:p>
                  </w:txbxContent>
                </v:textbox>
              </v:shape>
            </w:pict>
          </mc:Fallback>
        </mc:AlternateContent>
      </w:r>
      <w:r>
        <w:rPr>
          <w:rFonts w:hint="eastAsia" w:ascii="仿宋" w:hAnsi="仿宋" w:eastAsia="仿宋" w:cs="仿宋"/>
          <w:b/>
          <w:bCs/>
          <w:color w:val="auto"/>
          <w:highlight w:val="none"/>
          <w:lang w:eastAsia="zh-CN"/>
        </w:rPr>
        <w:t>56.1</w:t>
      </w:r>
      <w:bookmarkEnd w:id="783"/>
    </w:p>
    <w:p w14:paraId="4B38E5D9">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发包人委托承包人购置发包人组织生产或运营所需的设备及工器具，其购置工程量清单、具体内容和购置要求由合同双方在协议书及专用条款中约定。</w:t>
      </w:r>
    </w:p>
    <w:p w14:paraId="1C4E76D4">
      <w:pPr>
        <w:spacing w:line="360" w:lineRule="auto"/>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6F6C224">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17145</wp:posOffset>
                </wp:positionV>
                <wp:extent cx="775970" cy="467360"/>
                <wp:effectExtent l="0" t="0" r="0" b="0"/>
                <wp:wrapNone/>
                <wp:docPr id="239" name="0001f2"/>
                <wp:cNvGraphicFramePr/>
                <a:graphic xmlns:a="http://schemas.openxmlformats.org/drawingml/2006/main">
                  <a:graphicData uri="http://schemas.microsoft.com/office/word/2010/wordprocessingShape">
                    <wps:wsp>
                      <wps:cNvSpPr txBox="1"/>
                      <wps:spPr>
                        <a:xfrm>
                          <a:off x="0" y="0"/>
                          <a:ext cx="775970" cy="467360"/>
                        </a:xfrm>
                        <a:prstGeom prst="rect">
                          <a:avLst/>
                        </a:prstGeom>
                        <a:noFill/>
                        <a:ln>
                          <a:noFill/>
                        </a:ln>
                        <a:effectLst/>
                      </wps:spPr>
                      <wps:txbx>
                        <w:txbxContent>
                          <w:p w14:paraId="7EC8914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p w14:paraId="39F01B6E">
                            <w:pPr>
                              <w:rPr>
                                <w:lang w:eastAsia="zh-CN"/>
                              </w:rPr>
                            </w:pPr>
                          </w:p>
                        </w:txbxContent>
                      </wps:txbx>
                      <wps:bodyPr wrap="square" upright="1"/>
                    </wps:wsp>
                  </a:graphicData>
                </a:graphic>
              </wp:anchor>
            </w:drawing>
          </mc:Choice>
          <mc:Fallback>
            <w:pict>
              <v:shape id="0001f2" o:spid="_x0000_s1026" o:spt="202" type="#_x0000_t202" style="position:absolute;left:0pt;margin-left:-9pt;margin-top:1.35pt;height:36.8pt;width:61.1pt;z-index:251902976;mso-width-relative:page;mso-height-relative:page;" filled="f" stroked="f" coordsize="21600,21600" o:gfxdata="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LwHbHWAAAA&#10;CAEAAA8AAAAAAAAAAQAgAAAAIgAAAGRycy9kb3ducmV2LnhtbFBLAQIUABQAAAAIAIdO4kAqEpV1&#10;rQEAAGYDAAAOAAAAAAAAAAEAIAAAACUBAABkcnMvZTJvRG9jLnhtbFBLBQYAAAAABgAGAFkBAABE&#10;BQAAAAA=&#10;">
                <v:fill on="f" focussize="0,0"/>
                <v:stroke on="f"/>
                <v:imagedata o:title=""/>
                <o:lock v:ext="edit" aspectratio="f"/>
                <v:textbox>
                  <w:txbxContent>
                    <w:p w14:paraId="7EC8914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p w14:paraId="39F01B6E">
                      <w:pPr>
                        <w:rPr>
                          <w:lang w:eastAsia="zh-CN"/>
                        </w:rPr>
                      </w:pPr>
                    </w:p>
                  </w:txbxContent>
                </v:textbox>
              </v:shape>
            </w:pict>
          </mc:Fallback>
        </mc:AlternateContent>
      </w:r>
      <w:r>
        <w:rPr>
          <w:rFonts w:hint="eastAsia" w:ascii="仿宋" w:hAnsi="仿宋" w:eastAsia="仿宋" w:cs="仿宋"/>
          <w:color w:val="auto"/>
          <w:highlight w:val="none"/>
          <w:lang w:eastAsia="zh-CN"/>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承揽政府投资工程的承包人，可通过“广州市集群采购管理服务综合平台”采购工程使用的主要建材（钢筋、水泥、混凝土、装配式构件、预拌砂浆等），具体要求由双方在专用条款中约定。除专用条款另有约定外，上述工程材料和工程设备均由承包人负责运输和保管。</w:t>
      </w:r>
    </w:p>
    <w:p w14:paraId="36CE0494">
      <w:pPr>
        <w:spacing w:line="360" w:lineRule="auto"/>
        <w:rPr>
          <w:rFonts w:ascii="仿宋" w:hAnsi="仿宋" w:eastAsia="仿宋"/>
          <w:b/>
          <w:bCs/>
          <w:color w:val="auto"/>
          <w:highlight w:val="none"/>
          <w:lang w:eastAsia="zh-CN"/>
        </w:rPr>
      </w:pPr>
      <w:bookmarkStart w:id="784" w:name="_Toc6817"/>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bookmarkEnd w:id="78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FD2E2BE">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17145</wp:posOffset>
                </wp:positionV>
                <wp:extent cx="765810" cy="581660"/>
                <wp:effectExtent l="0" t="0" r="0" b="0"/>
                <wp:wrapNone/>
                <wp:docPr id="240" name="0001f3"/>
                <wp:cNvGraphicFramePr/>
                <a:graphic xmlns:a="http://schemas.openxmlformats.org/drawingml/2006/main">
                  <a:graphicData uri="http://schemas.microsoft.com/office/word/2010/wordprocessingShape">
                    <wps:wsp>
                      <wps:cNvSpPr txBox="1"/>
                      <wps:spPr>
                        <a:xfrm>
                          <a:off x="0" y="0"/>
                          <a:ext cx="765810" cy="581660"/>
                        </a:xfrm>
                        <a:prstGeom prst="rect">
                          <a:avLst/>
                        </a:prstGeom>
                        <a:noFill/>
                        <a:ln>
                          <a:noFill/>
                        </a:ln>
                        <a:effectLst/>
                      </wps:spPr>
                      <wps:txbx>
                        <w:txbxContent>
                          <w:p w14:paraId="19EC25F4">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p w14:paraId="76A7CF46"/>
                        </w:txbxContent>
                      </wps:txbx>
                      <wps:bodyPr wrap="square" upright="1"/>
                    </wps:wsp>
                  </a:graphicData>
                </a:graphic>
              </wp:anchor>
            </w:drawing>
          </mc:Choice>
          <mc:Fallback>
            <w:pict>
              <v:shape id="0001f3" o:spid="_x0000_s1026" o:spt="202" type="#_x0000_t202" style="position:absolute;left:0pt;margin-left:-9pt;margin-top:1.35pt;height:45.8pt;width:60.3pt;z-index:251904000;mso-width-relative:page;mso-height-relative:page;" filled="f" stroked="f" coordsize="21600,21600" o:gfxdata="UEsDBAoAAAAAAIdO4kAAAAAAAAAAAAAAAAAEAAAAZHJzL1BLAwQUAAAACACHTuJAxe/hzN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Xv4czWAAAACAEA&#10;AA8AAAAAAAAAAQAgAAAAIgAAAGRycy9kb3ducmV2LnhtbFBLAQIUABQAAAAIAIdO4kBkLlVwqgEA&#10;AGYDAAAOAAAAAAAAAAEAIAAAACUBAABkcnMvZTJvRG9jLnhtbFBLBQYAAAAABgAGAFkBAABBBQAA&#10;AAA=&#10;">
                <v:fill on="f" focussize="0,0"/>
                <v:stroke on="f"/>
                <v:imagedata o:title=""/>
                <o:lock v:ext="edit" aspectratio="f"/>
                <v:textbox>
                  <w:txbxContent>
                    <w:p w14:paraId="19EC25F4">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p w14:paraId="76A7CF46"/>
                  </w:txbxContent>
                </v:textbox>
              </v:shape>
            </w:pict>
          </mc:Fallback>
        </mc:AlternateContent>
      </w:r>
      <w:r>
        <w:rPr>
          <w:rFonts w:hint="eastAsia" w:ascii="仿宋" w:hAnsi="仿宋" w:eastAsia="仿宋" w:cs="仿宋"/>
          <w:color w:val="auto"/>
          <w:highlight w:val="none"/>
          <w:lang w:eastAsia="zh-CN"/>
        </w:rPr>
        <w:t>承包人应按照专用条款的约定，将各项工程材料和工程设备的供货人及品种、规格、数量和供货时间等情况以书面形式提交监理人确认，并由其报发包人批准后实施供货。承包人应在工程材料和工程设备到货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小时，以书面形式通知发包人和监理人，并在监理人的见证下与发包人共同清点。</w:t>
      </w:r>
    </w:p>
    <w:p w14:paraId="03725405">
      <w:pPr>
        <w:spacing w:line="360" w:lineRule="auto"/>
        <w:rPr>
          <w:rFonts w:ascii="仿宋" w:hAnsi="仿宋" w:eastAsia="仿宋"/>
          <w:b/>
          <w:bCs/>
          <w:color w:val="auto"/>
          <w:highlight w:val="none"/>
          <w:lang w:eastAsia="zh-CN"/>
        </w:rPr>
      </w:pPr>
      <w:bookmarkStart w:id="785" w:name="_Toc19602"/>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bookmarkEnd w:id="78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9BEAA8A">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1270</wp:posOffset>
                </wp:positionV>
                <wp:extent cx="823595" cy="641350"/>
                <wp:effectExtent l="0" t="0" r="0" b="0"/>
                <wp:wrapNone/>
                <wp:docPr id="241" name="0001f4"/>
                <wp:cNvGraphicFramePr/>
                <a:graphic xmlns:a="http://schemas.openxmlformats.org/drawingml/2006/main">
                  <a:graphicData uri="http://schemas.microsoft.com/office/word/2010/wordprocessingShape">
                    <wps:wsp>
                      <wps:cNvSpPr txBox="1"/>
                      <wps:spPr>
                        <a:xfrm>
                          <a:off x="0" y="0"/>
                          <a:ext cx="823595" cy="641350"/>
                        </a:xfrm>
                        <a:prstGeom prst="rect">
                          <a:avLst/>
                        </a:prstGeom>
                        <a:noFill/>
                        <a:ln>
                          <a:noFill/>
                        </a:ln>
                        <a:effectLst/>
                      </wps:spPr>
                      <wps:txbx>
                        <w:txbxContent>
                          <w:p w14:paraId="7B90984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p w14:paraId="6EAFB18F">
                            <w:pPr>
                              <w:rPr>
                                <w:lang w:eastAsia="zh-CN"/>
                              </w:rPr>
                            </w:pPr>
                          </w:p>
                        </w:txbxContent>
                      </wps:txbx>
                      <wps:bodyPr wrap="square" upright="1"/>
                    </wps:wsp>
                  </a:graphicData>
                </a:graphic>
              </wp:anchor>
            </w:drawing>
          </mc:Choice>
          <mc:Fallback>
            <w:pict>
              <v:shape id="0001f4" o:spid="_x0000_s1026" o:spt="202" type="#_x0000_t202" style="position:absolute;left:0pt;margin-left:-9pt;margin-top:0.1pt;height:50.5pt;width:64.85pt;z-index:251905024;mso-width-relative:page;mso-height-relative:page;" filled="f" stroked="f" coordsize="21600,21600" o:gfxdata="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VwkcbVAAAA&#10;CAEAAA8AAAAAAAAAAQAgAAAAIgAAAGRycy9kb3ducmV2LnhtbFBLAQIUABQAAAAIAIdO4kCVqzKX&#10;rgEAAGYDAAAOAAAAAAAAAAEAIAAAACQBAABkcnMvZTJvRG9jLnhtbFBLBQYAAAAABgAGAFkBAABE&#10;BQAAAAA=&#10;">
                <v:fill on="f" focussize="0,0"/>
                <v:stroke on="f"/>
                <v:imagedata o:title=""/>
                <o:lock v:ext="edit" aspectratio="f"/>
                <v:textbox>
                  <w:txbxContent>
                    <w:p w14:paraId="7B90984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p w14:paraId="6EAFB18F">
                      <w:pPr>
                        <w:rPr>
                          <w:lang w:eastAsia="zh-CN"/>
                        </w:rPr>
                      </w:pPr>
                    </w:p>
                  </w:txbxContent>
                </v:textbox>
              </v:shape>
            </w:pict>
          </mc:Fallback>
        </mc:AlternateContent>
      </w:r>
      <w:r>
        <w:rPr>
          <w:rFonts w:hint="eastAsia" w:ascii="仿宋" w:hAnsi="仿宋" w:eastAsia="仿宋" w:cs="仿宋"/>
          <w:color w:val="auto"/>
          <w:highlight w:val="none"/>
          <w:lang w:eastAsia="zh-CN"/>
        </w:rPr>
        <w:t>承包人采购的工程材料和工程设备不符合标准与规范、设计要求和合同约定的要求时，应按照监理人的指令将其运出施工场地，重新采购符合要求的产品，由此增加的费用和（或）延误的工期由承包人承担。</w:t>
      </w:r>
    </w:p>
    <w:p w14:paraId="7A867C32">
      <w:pPr>
        <w:spacing w:line="360" w:lineRule="auto"/>
        <w:rPr>
          <w:rFonts w:ascii="仿宋" w:hAnsi="仿宋" w:eastAsia="仿宋"/>
          <w:b/>
          <w:bCs/>
          <w:color w:val="auto"/>
          <w:highlight w:val="none"/>
          <w:lang w:eastAsia="zh-CN"/>
        </w:rPr>
      </w:pPr>
      <w:bookmarkStart w:id="786" w:name="_Toc527"/>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78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2AF55D8">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-5080</wp:posOffset>
                </wp:positionV>
                <wp:extent cx="765810" cy="661035"/>
                <wp:effectExtent l="0" t="0" r="0" b="0"/>
                <wp:wrapNone/>
                <wp:docPr id="242" name="0001f5"/>
                <wp:cNvGraphicFramePr/>
                <a:graphic xmlns:a="http://schemas.openxmlformats.org/drawingml/2006/main">
                  <a:graphicData uri="http://schemas.microsoft.com/office/word/2010/wordprocessingShape">
                    <wps:wsp>
                      <wps:cNvSpPr txBox="1"/>
                      <wps:spPr>
                        <a:xfrm>
                          <a:off x="0" y="0"/>
                          <a:ext cx="765810" cy="661035"/>
                        </a:xfrm>
                        <a:prstGeom prst="rect">
                          <a:avLst/>
                        </a:prstGeom>
                        <a:noFill/>
                        <a:ln>
                          <a:noFill/>
                        </a:ln>
                        <a:effectLst/>
                      </wps:spPr>
                      <wps:txbx>
                        <w:txbxContent>
                          <w:p w14:paraId="23A6B42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p w14:paraId="18F4A678">
                            <w:pPr>
                              <w:rPr>
                                <w:lang w:eastAsia="zh-CN"/>
                              </w:rPr>
                            </w:pPr>
                          </w:p>
                        </w:txbxContent>
                      </wps:txbx>
                      <wps:bodyPr wrap="square" upright="1"/>
                    </wps:wsp>
                  </a:graphicData>
                </a:graphic>
              </wp:anchor>
            </w:drawing>
          </mc:Choice>
          <mc:Fallback>
            <w:pict>
              <v:shape id="0001f5" o:spid="_x0000_s1026" o:spt="202" type="#_x0000_t202" style="position:absolute;left:0pt;margin-left:-9pt;margin-top:-0.4pt;height:52.05pt;width:60.3pt;z-index:251906048;mso-width-relative:page;mso-height-relative:page;" filled="f" stroked="f" coordsize="21600,21600" o:gfxdata="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2sW4H1QAAAAkB&#10;AAAPAAAAAAAAAAEAIAAAACIAAABkcnMvZG93bnJldi54bWxQSwECFAAUAAAACACHTuJA+SJSKawB&#10;AABmAwAADgAAAAAAAAABACAAAAAkAQAAZHJzL2Uyb0RvYy54bWxQSwUGAAAAAAYABgBZAQAAQgUA&#10;AAAA&#10;">
                <v:fill on="f" focussize="0,0"/>
                <v:stroke on="f"/>
                <v:imagedata o:title=""/>
                <o:lock v:ext="edit" aspectratio="f"/>
                <v:textbox>
                  <w:txbxContent>
                    <w:p w14:paraId="23A6B42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p w14:paraId="18F4A678">
                      <w:pPr>
                        <w:rPr>
                          <w:lang w:eastAsia="zh-CN"/>
                        </w:rPr>
                      </w:pPr>
                    </w:p>
                  </w:txbxContent>
                </v:textbox>
              </v:shape>
            </w:pict>
          </mc:Fallback>
        </mc:AlternateContent>
      </w:r>
      <w:r>
        <w:rPr>
          <w:rFonts w:hint="eastAsia" w:ascii="仿宋" w:hAnsi="仿宋" w:eastAsia="仿宋" w:cs="仿宋"/>
          <w:color w:val="auto"/>
          <w:highlight w:val="none"/>
          <w:lang w:eastAsia="zh-CN"/>
        </w:rPr>
        <w:t>监理人发现承包人使用不符合标准与规范、设计要求和合同约定的工程材料和工程设备时，应迅速发出指令要求承包人立即停止使用，并拆除、修复或重新采购，由此增加的费用和（或）延误的工期由承包人承担。</w:t>
      </w:r>
    </w:p>
    <w:p w14:paraId="20AB9077">
      <w:pPr>
        <w:spacing w:line="360" w:lineRule="auto"/>
        <w:rPr>
          <w:rFonts w:ascii="仿宋" w:hAnsi="仿宋" w:eastAsia="仿宋"/>
          <w:color w:val="auto"/>
          <w:highlight w:val="none"/>
          <w:lang w:eastAsia="zh-CN"/>
        </w:rPr>
      </w:pPr>
      <w:bookmarkStart w:id="787" w:name="_Toc29015"/>
      <w:r>
        <w:rPr>
          <w:color w:val="auto"/>
          <w:highlight w:val="none"/>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242570</wp:posOffset>
                </wp:positionV>
                <wp:extent cx="794385" cy="525780"/>
                <wp:effectExtent l="0" t="0" r="0" b="0"/>
                <wp:wrapNone/>
                <wp:docPr id="243" name="0001f6"/>
                <wp:cNvGraphicFramePr/>
                <a:graphic xmlns:a="http://schemas.openxmlformats.org/drawingml/2006/main">
                  <a:graphicData uri="http://schemas.microsoft.com/office/word/2010/wordprocessingShape">
                    <wps:wsp>
                      <wps:cNvSpPr txBox="1"/>
                      <wps:spPr>
                        <a:xfrm>
                          <a:off x="0" y="0"/>
                          <a:ext cx="794385" cy="525780"/>
                        </a:xfrm>
                        <a:prstGeom prst="rect">
                          <a:avLst/>
                        </a:prstGeom>
                        <a:noFill/>
                        <a:ln>
                          <a:noFill/>
                        </a:ln>
                        <a:effectLst/>
                      </wps:spPr>
                      <wps:txbx>
                        <w:txbxContent>
                          <w:p w14:paraId="1DEE1D3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p w14:paraId="381676BF">
                            <w:pPr>
                              <w:rPr>
                                <w:lang w:eastAsia="zh-CN"/>
                              </w:rPr>
                            </w:pPr>
                          </w:p>
                        </w:txbxContent>
                      </wps:txbx>
                      <wps:bodyPr wrap="square" upright="1"/>
                    </wps:wsp>
                  </a:graphicData>
                </a:graphic>
              </wp:anchor>
            </w:drawing>
          </mc:Choice>
          <mc:Fallback>
            <w:pict>
              <v:shape id="0001f6" o:spid="_x0000_s1026" o:spt="202" type="#_x0000_t202" style="position:absolute;left:0pt;margin-left:-9pt;margin-top:19.1pt;height:41.4pt;width:62.55pt;z-index:251907072;mso-width-relative:page;mso-height-relative:page;" filled="f" stroked="f" coordsize="21600,21600" o:gfxdata="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b1WItcA&#10;AAAKAQAADwAAAAAAAAABACAAAAAiAAAAZHJzL2Rvd25yZXYueG1sUEsBAhQAFAAAAAgAh07iQMAz&#10;Rh6uAQAAZgMAAA4AAAAAAAAAAQAgAAAAJgEAAGRycy9lMm9Eb2MueG1sUEsFBgAAAAAGAAYAWQEA&#10;AEYFAAAAAA==&#10;">
                <v:fill on="f" focussize="0,0"/>
                <v:stroke on="f"/>
                <v:imagedata o:title=""/>
                <o:lock v:ext="edit" aspectratio="f"/>
                <v:textbox>
                  <w:txbxContent>
                    <w:p w14:paraId="1DEE1D3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p w14:paraId="381676BF">
                      <w:pPr>
                        <w:rPr>
                          <w:lang w:eastAsia="zh-CN"/>
                        </w:rPr>
                      </w:pPr>
                    </w:p>
                  </w:txbxContent>
                </v:textbox>
              </v:shape>
            </w:pict>
          </mc:Fallback>
        </mc:AlternateContent>
      </w: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6</w:t>
      </w:r>
      <w:bookmarkEnd w:id="787"/>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32248374">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如果承包人不执行监理人依据第56.4款和第56.5款约定发出的指令</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则发包人可自行或委托第三方执行该指令，由此发生的费用由承包人承担。该笔款项经造价咨询人核实后，由发包人从应付或将付给承包人的工程款中扣除。</w:t>
      </w:r>
    </w:p>
    <w:p w14:paraId="66177D94">
      <w:pPr>
        <w:spacing w:line="360" w:lineRule="auto"/>
        <w:rPr>
          <w:rFonts w:ascii="仿宋" w:hAnsi="仿宋" w:eastAsia="仿宋" w:cs="仿宋"/>
          <w:b/>
          <w:bCs/>
          <w:color w:val="auto"/>
          <w:highlight w:val="none"/>
          <w:lang w:eastAsia="zh-CN"/>
        </w:rPr>
      </w:pPr>
      <w:bookmarkStart w:id="788" w:name="_Toc24372"/>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bookmarkEnd w:id="78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D5A4E0D">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45720</wp:posOffset>
                </wp:positionV>
                <wp:extent cx="832485" cy="544195"/>
                <wp:effectExtent l="0" t="0" r="0" b="0"/>
                <wp:wrapNone/>
                <wp:docPr id="244" name="0001f7"/>
                <wp:cNvGraphicFramePr/>
                <a:graphic xmlns:a="http://schemas.openxmlformats.org/drawingml/2006/main">
                  <a:graphicData uri="http://schemas.microsoft.com/office/word/2010/wordprocessingShape">
                    <wps:wsp>
                      <wps:cNvSpPr txBox="1"/>
                      <wps:spPr>
                        <a:xfrm>
                          <a:off x="0" y="0"/>
                          <a:ext cx="832485" cy="544195"/>
                        </a:xfrm>
                        <a:prstGeom prst="rect">
                          <a:avLst/>
                        </a:prstGeom>
                        <a:noFill/>
                        <a:ln>
                          <a:noFill/>
                        </a:ln>
                        <a:effectLst/>
                      </wps:spPr>
                      <wps:txbx>
                        <w:txbxContent>
                          <w:p w14:paraId="0F920BF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p w14:paraId="1E425E87">
                            <w:pPr>
                              <w:rPr>
                                <w:lang w:eastAsia="zh-CN"/>
                              </w:rPr>
                            </w:pPr>
                          </w:p>
                        </w:txbxContent>
                      </wps:txbx>
                      <wps:bodyPr wrap="square" upright="1"/>
                    </wps:wsp>
                  </a:graphicData>
                </a:graphic>
              </wp:anchor>
            </w:drawing>
          </mc:Choice>
          <mc:Fallback>
            <w:pict>
              <v:shape id="0001f7" o:spid="_x0000_s1026" o:spt="202" type="#_x0000_t202" style="position:absolute;left:0pt;margin-left:-9pt;margin-top:3.6pt;height:42.85pt;width:65.55pt;z-index:251908096;mso-width-relative:page;mso-height-relative:page;" filled="f" stroked="f" coordsize="21600,21600" o:gfxdata="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5xjPG1QAAAAgB&#10;AAAPAAAAAAAAAAEAIAAAACIAAABkcnMvZG93bnJldi54bWxQSwECFAAUAAAACACHTuJA9FBT6awB&#10;AABmAwAADgAAAAAAAAABACAAAAAkAQAAZHJzL2Uyb0RvYy54bWxQSwUGAAAAAAYABgBZAQAAQgUA&#10;AAAA&#10;">
                <v:fill on="f" focussize="0,0"/>
                <v:stroke on="f"/>
                <v:imagedata o:title=""/>
                <o:lock v:ext="edit" aspectratio="f"/>
                <v:textbox>
                  <w:txbxContent>
                    <w:p w14:paraId="0F920BF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p w14:paraId="1E425E87">
                      <w:pPr>
                        <w:rPr>
                          <w:lang w:eastAsia="zh-CN"/>
                        </w:rPr>
                      </w:pPr>
                    </w:p>
                  </w:txbxContent>
                </v:textbox>
              </v:shape>
            </w:pict>
          </mc:Fallback>
        </mc:AlternateContent>
      </w:r>
      <w:r>
        <w:rPr>
          <w:rFonts w:hint="eastAsia" w:ascii="仿宋" w:hAnsi="仿宋" w:eastAsia="仿宋" w:cs="仿宋"/>
          <w:color w:val="auto"/>
          <w:highlight w:val="none"/>
          <w:lang w:eastAsia="zh-CN"/>
        </w:rPr>
        <w:t>承包人申请使用替换工程材料的，替换工程材料的材质、档次不得低于原设计明确的材质、档次，并作为变更事项报经监理人同意、发包人批准后方可实施，但合同价格不予调整。</w:t>
      </w:r>
    </w:p>
    <w:p w14:paraId="6E65D3EF">
      <w:pPr>
        <w:spacing w:line="360" w:lineRule="auto"/>
        <w:rPr>
          <w:rFonts w:ascii="仿宋" w:hAnsi="仿宋" w:eastAsia="仿宋"/>
          <w:b/>
          <w:bCs/>
          <w:color w:val="auto"/>
          <w:highlight w:val="none"/>
          <w:lang w:eastAsia="zh-CN"/>
        </w:rPr>
      </w:pPr>
      <w:bookmarkStart w:id="789" w:name="_Toc25004"/>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8</w:t>
      </w:r>
      <w:bookmarkEnd w:id="78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20CB88F">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30480</wp:posOffset>
                </wp:positionV>
                <wp:extent cx="822325" cy="714375"/>
                <wp:effectExtent l="0" t="0" r="0" b="0"/>
                <wp:wrapNone/>
                <wp:docPr id="245" name="0001f8"/>
                <wp:cNvGraphicFramePr/>
                <a:graphic xmlns:a="http://schemas.openxmlformats.org/drawingml/2006/main">
                  <a:graphicData uri="http://schemas.microsoft.com/office/word/2010/wordprocessingShape">
                    <wps:wsp>
                      <wps:cNvSpPr txBox="1"/>
                      <wps:spPr>
                        <a:xfrm>
                          <a:off x="0" y="0"/>
                          <a:ext cx="822325" cy="714375"/>
                        </a:xfrm>
                        <a:prstGeom prst="rect">
                          <a:avLst/>
                        </a:prstGeom>
                        <a:noFill/>
                        <a:ln>
                          <a:noFill/>
                        </a:ln>
                        <a:effectLst/>
                      </wps:spPr>
                      <wps:txbx>
                        <w:txbxContent>
                          <w:p w14:paraId="698E7FF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p w14:paraId="3903C065">
                            <w:pPr>
                              <w:rPr>
                                <w:lang w:eastAsia="zh-CN"/>
                              </w:rPr>
                            </w:pPr>
                          </w:p>
                        </w:txbxContent>
                      </wps:txbx>
                      <wps:bodyPr wrap="square" upright="1"/>
                    </wps:wsp>
                  </a:graphicData>
                </a:graphic>
              </wp:anchor>
            </w:drawing>
          </mc:Choice>
          <mc:Fallback>
            <w:pict>
              <v:shape id="0001f8" o:spid="_x0000_s1026" o:spt="202" type="#_x0000_t202" style="position:absolute;left:0pt;margin-left:-9pt;margin-top:2.4pt;height:56.25pt;width:64.75pt;z-index:251909120;mso-width-relative:page;mso-height-relative:page;" filled="f" stroked="f" coordsize="21600,21600" o:gfxdata="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rorTC1gAAAAkB&#10;AAAPAAAAAAAAAAEAIAAAACIAAABkcnMvZG93bnJldi54bWxQSwECFAAUAAAACACHTuJAo+Ran6sB&#10;AABmAwAADgAAAAAAAAABACAAAAAlAQAAZHJzL2Uyb0RvYy54bWxQSwUGAAAAAAYABgBZAQAAQgUA&#10;AAAA&#10;">
                <v:fill on="f" focussize="0,0"/>
                <v:stroke on="f"/>
                <v:imagedata o:title=""/>
                <o:lock v:ext="edit" aspectratio="f"/>
                <v:textbox>
                  <w:txbxContent>
                    <w:p w14:paraId="698E7FF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p w14:paraId="3903C065">
                      <w:pPr>
                        <w:rPr>
                          <w:lang w:eastAsia="zh-CN"/>
                        </w:rPr>
                      </w:pPr>
                    </w:p>
                  </w:txbxContent>
                </v:textbox>
              </v:shape>
            </w:pict>
          </mc:Fallback>
        </mc:AlternateContent>
      </w:r>
      <w:r>
        <w:rPr>
          <w:rFonts w:hint="eastAsia" w:ascii="仿宋" w:hAnsi="仿宋" w:eastAsia="仿宋" w:cs="仿宋"/>
          <w:color w:val="auto"/>
          <w:highlight w:val="none"/>
          <w:lang w:eastAsia="zh-CN"/>
        </w:rPr>
        <w:t>承包人采购的工程材料和工程设备在使用前，应会同监理人进行检验试验，查验工程材料合格证明和产品合格证书。合同双方当事人应做好检验书面记录，并要求指定人选及时办理签认手续。不合格的，禁止在合同工程中使用。</w:t>
      </w:r>
    </w:p>
    <w:p w14:paraId="7F1A42E6">
      <w:pPr>
        <w:spacing w:line="360" w:lineRule="auto"/>
        <w:rPr>
          <w:rFonts w:ascii="仿宋" w:hAnsi="仿宋" w:eastAsia="仿宋"/>
          <w:b/>
          <w:bCs/>
          <w:color w:val="auto"/>
          <w:highlight w:val="none"/>
          <w:lang w:eastAsia="zh-CN"/>
        </w:rPr>
      </w:pPr>
      <w:bookmarkStart w:id="790" w:name="_Toc14474"/>
      <w:r>
        <w:rPr>
          <w:color w:val="auto"/>
          <w:highlight w:val="none"/>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207010</wp:posOffset>
                </wp:positionV>
                <wp:extent cx="775335" cy="610235"/>
                <wp:effectExtent l="0" t="0" r="0" b="0"/>
                <wp:wrapNone/>
                <wp:docPr id="246" name="0001f9"/>
                <wp:cNvGraphicFramePr/>
                <a:graphic xmlns:a="http://schemas.openxmlformats.org/drawingml/2006/main">
                  <a:graphicData uri="http://schemas.microsoft.com/office/word/2010/wordprocessingShape">
                    <wps:wsp>
                      <wps:cNvSpPr txBox="1"/>
                      <wps:spPr>
                        <a:xfrm>
                          <a:off x="0" y="0"/>
                          <a:ext cx="775335" cy="610235"/>
                        </a:xfrm>
                        <a:prstGeom prst="rect">
                          <a:avLst/>
                        </a:prstGeom>
                        <a:noFill/>
                        <a:ln>
                          <a:noFill/>
                        </a:ln>
                        <a:effectLst/>
                      </wps:spPr>
                      <wps:txbx>
                        <w:txbxContent>
                          <w:p w14:paraId="31A642C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p w14:paraId="1AC95868">
                            <w:pPr>
                              <w:rPr>
                                <w:lang w:eastAsia="zh-CN"/>
                              </w:rPr>
                            </w:pPr>
                          </w:p>
                        </w:txbxContent>
                      </wps:txbx>
                      <wps:bodyPr wrap="square" upright="1"/>
                    </wps:wsp>
                  </a:graphicData>
                </a:graphic>
              </wp:anchor>
            </w:drawing>
          </mc:Choice>
          <mc:Fallback>
            <w:pict>
              <v:shape id="0001f9" o:spid="_x0000_s1026" o:spt="202" type="#_x0000_t202" style="position:absolute;left:0pt;margin-left:-9pt;margin-top:16.3pt;height:48.05pt;width:61.05pt;z-index:251910144;mso-width-relative:page;mso-height-relative:page;" filled="f" stroked="f" coordsize="21600,21600" o:gfxdata="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G4Y4s2AAA&#10;AAoBAAAPAAAAAAAAAAEAIAAAACIAAABkcnMvZG93bnJldi54bWxQSwECFAAUAAAACACHTuJA7L6R&#10;XawBAABmAwAADgAAAAAAAAABACAAAAAnAQAAZHJzL2Uyb0RvYy54bWxQSwUGAAAAAAYABgBZAQAA&#10;RQUAAAAA&#10;">
                <v:fill on="f" focussize="0,0"/>
                <v:stroke on="f"/>
                <v:imagedata o:title=""/>
                <o:lock v:ext="edit" aspectratio="f"/>
                <v:textbox>
                  <w:txbxContent>
                    <w:p w14:paraId="31A642C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p w14:paraId="1AC95868">
                      <w:pPr>
                        <w:rPr>
                          <w:lang w:eastAsia="zh-CN"/>
                        </w:rPr>
                      </w:pPr>
                    </w:p>
                  </w:txbxContent>
                </v:textbox>
              </v:shape>
            </w:pict>
          </mc:Fallback>
        </mc:AlternateContent>
      </w: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9</w:t>
      </w:r>
      <w:bookmarkEnd w:id="79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DE07123">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承包人采购工程材料和工程设备的，除专用条款另有约定外，发包人不得指定生产厂家或供应商。</w:t>
      </w:r>
    </w:p>
    <w:p w14:paraId="2298AC90">
      <w:pPr>
        <w:pStyle w:val="12"/>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77782CEF">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791" w:name="_Toc31900"/>
      <w:bookmarkStart w:id="792" w:name="_Toc1695"/>
      <w:bookmarkStart w:id="793" w:name="_Toc47694332"/>
      <w:bookmarkStart w:id="794" w:name="_Toc23271"/>
      <w:bookmarkStart w:id="795" w:name="_Toc1198"/>
      <w:bookmarkStart w:id="796" w:name="_Toc25822"/>
      <w:bookmarkStart w:id="797" w:name="_Toc968"/>
      <w:bookmarkStart w:id="798" w:name="_Toc5318"/>
      <w:r>
        <w:rPr>
          <w:rFonts w:ascii="仿宋" w:hAnsi="仿宋" w:eastAsia="仿宋" w:cs="仿宋"/>
          <w:bCs w:val="0"/>
          <w:color w:val="auto"/>
          <w:sz w:val="24"/>
          <w:szCs w:val="24"/>
          <w:highlight w:val="none"/>
          <w:lang w:eastAsia="zh-CN"/>
        </w:rPr>
        <w:t>5</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设备及工器具的验收、工程材料和工程设备的检验试验</w:t>
      </w:r>
      <w:bookmarkEnd w:id="791"/>
      <w:bookmarkEnd w:id="792"/>
      <w:bookmarkEnd w:id="793"/>
      <w:bookmarkEnd w:id="794"/>
      <w:bookmarkEnd w:id="795"/>
      <w:bookmarkEnd w:id="796"/>
      <w:bookmarkEnd w:id="797"/>
      <w:bookmarkEnd w:id="798"/>
    </w:p>
    <w:p w14:paraId="6F9D529E">
      <w:pPr>
        <w:pStyle w:val="12"/>
        <w:spacing w:line="360" w:lineRule="auto"/>
        <w:ind w:firstLine="0"/>
        <w:rPr>
          <w:rFonts w:ascii="仿宋" w:hAnsi="仿宋" w:eastAsia="仿宋" w:cs="仿宋"/>
          <w:b/>
          <w:bCs/>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14:paraId="6BBA4A2C">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635</wp:posOffset>
                </wp:positionV>
                <wp:extent cx="851535" cy="518795"/>
                <wp:effectExtent l="0" t="0" r="0" b="0"/>
                <wp:wrapNone/>
                <wp:docPr id="247" name="0001fa"/>
                <wp:cNvGraphicFramePr/>
                <a:graphic xmlns:a="http://schemas.openxmlformats.org/drawingml/2006/main">
                  <a:graphicData uri="http://schemas.microsoft.com/office/word/2010/wordprocessingShape">
                    <wps:wsp>
                      <wps:cNvSpPr txBox="1"/>
                      <wps:spPr>
                        <a:xfrm>
                          <a:off x="0" y="0"/>
                          <a:ext cx="851535" cy="518795"/>
                        </a:xfrm>
                        <a:prstGeom prst="rect">
                          <a:avLst/>
                        </a:prstGeom>
                        <a:noFill/>
                        <a:ln>
                          <a:noFill/>
                        </a:ln>
                        <a:effectLst/>
                      </wps:spPr>
                      <wps:txbx>
                        <w:txbxContent>
                          <w:p w14:paraId="7EAA9741">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p w14:paraId="2BFD0B4B"/>
                        </w:txbxContent>
                      </wps:txbx>
                      <wps:bodyPr wrap="square" upright="1"/>
                    </wps:wsp>
                  </a:graphicData>
                </a:graphic>
              </wp:anchor>
            </w:drawing>
          </mc:Choice>
          <mc:Fallback>
            <w:pict>
              <v:shape id="0001fa" o:spid="_x0000_s1026" o:spt="202" type="#_x0000_t202" style="position:absolute;left:0pt;margin-left:-9pt;margin-top:0.05pt;height:40.85pt;width:67.05pt;z-index:251911168;mso-width-relative:page;mso-height-relative:page;" filled="f" stroked="f" coordsize="21600,21600" o:gfxdata="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d2B0rdMAAAAHAQAA&#10;DwAAAAAAAAABACAAAAAiAAAAZHJzL2Rvd25yZXYueG1sUEsBAhQAFAAAAAgAh07iQDu+zcKsAQAA&#10;ZgMAAA4AAAAAAAAAAQAgAAAAIgEAAGRycy9lMm9Eb2MueG1sUEsFBgAAAAAGAAYAWQEAAEAFAAAA&#10;AA==&#10;">
                <v:fill on="f" focussize="0,0"/>
                <v:stroke on="f"/>
                <v:imagedata o:title=""/>
                <o:lock v:ext="edit" aspectratio="f"/>
                <v:textbox>
                  <w:txbxContent>
                    <w:p w14:paraId="7EAA9741">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p w14:paraId="2BFD0B4B"/>
                  </w:txbxContent>
                </v:textbox>
              </v:shape>
            </w:pict>
          </mc:Fallback>
        </mc:AlternateContent>
      </w:r>
      <w:r>
        <w:rPr>
          <w:rFonts w:hint="eastAsia" w:ascii="仿宋" w:hAnsi="仿宋" w:eastAsia="仿宋" w:cs="仿宋"/>
          <w:color w:val="auto"/>
          <w:highlight w:val="none"/>
          <w:lang w:eastAsia="zh-CN"/>
        </w:rPr>
        <w:t>承包人购置的设备及工器具全部到场安放、组装完毕后，发包人应及时组织设备及工器具验收或试车，承包人应参与验收或试车，并为发包人开展相关验收或试车工作提供便利和协助。除专用条款另有约定外，验收程序可遵照本通用条款第57.2款～第57.7款约定执行，试车程序可遵照本通用条款第62条“工程试车”约定执行。</w:t>
      </w:r>
    </w:p>
    <w:p w14:paraId="0E9B001A">
      <w:pPr>
        <w:spacing w:line="360" w:lineRule="auto"/>
        <w:rPr>
          <w:rFonts w:ascii="仿宋" w:hAnsi="仿宋" w:eastAsia="仿宋" w:cs="仿宋"/>
          <w:b/>
          <w:bCs/>
          <w:color w:val="auto"/>
          <w:highlight w:val="none"/>
          <w:lang w:eastAsia="zh-CN"/>
        </w:rPr>
      </w:pPr>
      <w:bookmarkStart w:id="799" w:name="_Toc16990"/>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bookmarkEnd w:id="79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F26C28D">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635</wp:posOffset>
                </wp:positionV>
                <wp:extent cx="766445" cy="536575"/>
                <wp:effectExtent l="0" t="0" r="0" b="0"/>
                <wp:wrapNone/>
                <wp:docPr id="248" name="0001fb"/>
                <wp:cNvGraphicFramePr/>
                <a:graphic xmlns:a="http://schemas.openxmlformats.org/drawingml/2006/main">
                  <a:graphicData uri="http://schemas.microsoft.com/office/word/2010/wordprocessingShape">
                    <wps:wsp>
                      <wps:cNvSpPr txBox="1"/>
                      <wps:spPr>
                        <a:xfrm>
                          <a:off x="0" y="0"/>
                          <a:ext cx="766445" cy="536575"/>
                        </a:xfrm>
                        <a:prstGeom prst="rect">
                          <a:avLst/>
                        </a:prstGeom>
                        <a:noFill/>
                        <a:ln>
                          <a:noFill/>
                        </a:ln>
                        <a:effectLst/>
                      </wps:spPr>
                      <wps:txbx>
                        <w:txbxContent>
                          <w:p w14:paraId="347CB095">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p w14:paraId="3B9B303D"/>
                        </w:txbxContent>
                      </wps:txbx>
                      <wps:bodyPr wrap="square" upright="1"/>
                    </wps:wsp>
                  </a:graphicData>
                </a:graphic>
              </wp:anchor>
            </w:drawing>
          </mc:Choice>
          <mc:Fallback>
            <w:pict>
              <v:shape id="0001fb" o:spid="_x0000_s1026" o:spt="202" type="#_x0000_t202" style="position:absolute;left:0pt;margin-left:-9pt;margin-top:0.05pt;height:42.25pt;width:60.35pt;z-index:251912192;mso-width-relative:page;mso-height-relative:page;" filled="f" stroked="f" coordsize="21600,21600" o:gfxdata="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nWCsvUAAAABwEA&#10;AA8AAAAAAAAAAQAgAAAAIgAAAGRycy9kb3ducmV2LnhtbFBLAQIUABQAAAAIAIdO4kAC07trrAEA&#10;AGYDAAAOAAAAAAAAAAEAIAAAACMBAABkcnMvZTJvRG9jLnhtbFBLBQYAAAAABgAGAFkBAABBBQAA&#10;AAA=&#10;">
                <v:fill on="f" focussize="0,0"/>
                <v:stroke on="f"/>
                <v:imagedata o:title=""/>
                <o:lock v:ext="edit" aspectratio="f"/>
                <v:textbox>
                  <w:txbxContent>
                    <w:p w14:paraId="347CB095">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p w14:paraId="3B9B303D"/>
                  </w:txbxContent>
                </v:textbox>
              </v:shape>
            </w:pict>
          </mc:Fallback>
        </mc:AlternateContent>
      </w:r>
      <w:r>
        <w:rPr>
          <w:rFonts w:hint="eastAsia" w:ascii="仿宋" w:hAnsi="仿宋" w:eastAsia="仿宋" w:cs="仿宋"/>
          <w:color w:val="auto"/>
          <w:highlight w:val="none"/>
          <w:lang w:eastAsia="zh-CN"/>
        </w:rPr>
        <w:t>监理人及其委派的代表可进入施工场地、工程材料和工程设备的制造、加工或制配车间等场所参加工程材料和工程设备等产品的检验试验。承包人应为他们进入上述场所及开展相关工作提供便利和协助。</w:t>
      </w:r>
    </w:p>
    <w:p w14:paraId="443773DB">
      <w:pPr>
        <w:spacing w:line="360" w:lineRule="auto"/>
        <w:rPr>
          <w:rFonts w:ascii="仿宋" w:hAnsi="仿宋" w:eastAsia="仿宋" w:cs="仿宋"/>
          <w:b/>
          <w:bCs/>
          <w:color w:val="auto"/>
          <w:highlight w:val="none"/>
          <w:u w:val="dotted"/>
          <w:lang w:eastAsia="zh-CN"/>
        </w:rPr>
      </w:pPr>
      <w:bookmarkStart w:id="800" w:name="_Toc14797"/>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bookmarkEnd w:id="80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426604C">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154305</wp:posOffset>
                </wp:positionV>
                <wp:extent cx="832485" cy="1264920"/>
                <wp:effectExtent l="0" t="0" r="0" b="0"/>
                <wp:wrapNone/>
                <wp:docPr id="249" name="0001fc"/>
                <wp:cNvGraphicFramePr/>
                <a:graphic xmlns:a="http://schemas.openxmlformats.org/drawingml/2006/main">
                  <a:graphicData uri="http://schemas.microsoft.com/office/word/2010/wordprocessingShape">
                    <wps:wsp>
                      <wps:cNvSpPr txBox="1"/>
                      <wps:spPr>
                        <a:xfrm>
                          <a:off x="0" y="0"/>
                          <a:ext cx="832485" cy="1264920"/>
                        </a:xfrm>
                        <a:prstGeom prst="rect">
                          <a:avLst/>
                        </a:prstGeom>
                        <a:noFill/>
                        <a:ln>
                          <a:noFill/>
                        </a:ln>
                        <a:effectLst/>
                      </wps:spPr>
                      <wps:txbx>
                        <w:txbxContent>
                          <w:p w14:paraId="506C15E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p w14:paraId="30A27F08">
                            <w:pPr>
                              <w:rPr>
                                <w:lang w:eastAsia="zh-CN"/>
                              </w:rPr>
                            </w:pPr>
                          </w:p>
                        </w:txbxContent>
                      </wps:txbx>
                      <wps:bodyPr wrap="square" upright="1"/>
                    </wps:wsp>
                  </a:graphicData>
                </a:graphic>
              </wp:anchor>
            </w:drawing>
          </mc:Choice>
          <mc:Fallback>
            <w:pict>
              <v:shape id="0001fc" o:spid="_x0000_s1026" o:spt="202" type="#_x0000_t202" style="position:absolute;left:0pt;margin-left:-9pt;margin-top:12.15pt;height:99.6pt;width:65.55pt;z-index:251913216;mso-width-relative:page;mso-height-relative:page;" filled="f" stroked="f" coordsize="21600,21600" o:gfxdata="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XHMptcA&#10;AAAKAQAADwAAAAAAAAABACAAAAAiAAAAZHJzL2Rvd25yZXYueG1sUEsBAhQAFAAAAAgAh07iQBMQ&#10;kOCuAQAAZwMAAA4AAAAAAAAAAQAgAAAAJgEAAGRycy9lMm9Eb2MueG1sUEsFBgAAAAAGAAYAWQEA&#10;AEYFAAAAAA==&#10;">
                <v:fill on="f" focussize="0,0"/>
                <v:stroke on="f"/>
                <v:imagedata o:title=""/>
                <o:lock v:ext="edit" aspectratio="f"/>
                <v:textbox>
                  <w:txbxContent>
                    <w:p w14:paraId="506C15E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p w14:paraId="30A27F08">
                      <w:pPr>
                        <w:rPr>
                          <w:lang w:eastAsia="zh-CN"/>
                        </w:rPr>
                      </w:pPr>
                    </w:p>
                  </w:txbxContent>
                </v:textbox>
              </v:shape>
            </w:pict>
          </mc:Fallback>
        </mc:AlternateContent>
      </w:r>
      <w:r>
        <w:rPr>
          <w:rFonts w:hint="eastAsia" w:ascii="仿宋" w:hAnsi="仿宋" w:eastAsia="仿宋" w:cs="仿宋"/>
          <w:color w:val="auto"/>
          <w:highlight w:val="none"/>
          <w:lang w:eastAsia="zh-CN"/>
        </w:rPr>
        <w:t>工程材料和工程设备等产品的检验试验见证取样和不见证取样的要求：</w:t>
      </w:r>
    </w:p>
    <w:p w14:paraId="7B3EDBE9">
      <w:pPr>
        <w:widowControl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1）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14:paraId="1F41E7B8">
      <w:pPr>
        <w:widowControl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2）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并向承包人支付合理利润。</w:t>
      </w:r>
    </w:p>
    <w:p w14:paraId="5A94108E">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（3）标准规范规定、结构安全要求或合同约定需要进行见证取样检验试验的工程材料和工程设备等产品，承包人应在取样前至少提前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小时通知监理人参加，并在监理人的见证下现场取样，同时送至具有相应资质等级的质量检测机构进行检验试验。</w:t>
      </w:r>
    </w:p>
    <w:p w14:paraId="16DE399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标准与规范没要求或合同没约定进行见证取样检验试验的工程材料和工程设备等产品，承包人和监理人应按照合同约定进行工程材料和工程设备等产品的检验试验。承包人和监理人应事先协商确定检验试验的时间和地点，并按时到场参加检验试验。如果监理人或其委派的代表不能按时到场参加的，监理人应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小时发出延期检验试验指令并书面说明理由，延期不得超过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如果监理人或其委派的代表未发出延期指令也未能按时到场检验试验，承包人可自行检验试验，并认为该检验试验是经监理人同意下完成的；检验试验完成后，承包人应立即向监理人提交检验试验结果的有效证据，监理人应予认可。</w:t>
      </w:r>
    </w:p>
    <w:p w14:paraId="3780B3E2">
      <w:pPr>
        <w:spacing w:line="360" w:lineRule="auto"/>
        <w:rPr>
          <w:rFonts w:ascii="仿宋" w:hAnsi="仿宋" w:eastAsia="仿宋"/>
          <w:color w:val="auto"/>
          <w:highlight w:val="none"/>
          <w:lang w:eastAsia="zh-CN"/>
        </w:rPr>
      </w:pPr>
      <w:bookmarkStart w:id="801" w:name="_Toc1575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bookmarkEnd w:id="80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2D0EDA2">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14240" behindDoc="0" locked="0" layoutInCell="1" allowOverlap="1">
                <wp:simplePos x="0" y="0"/>
                <wp:positionH relativeFrom="column">
                  <wp:posOffset>-66675</wp:posOffset>
                </wp:positionH>
                <wp:positionV relativeFrom="paragraph">
                  <wp:posOffset>11430</wp:posOffset>
                </wp:positionV>
                <wp:extent cx="814070" cy="473710"/>
                <wp:effectExtent l="0" t="0" r="0" b="0"/>
                <wp:wrapNone/>
                <wp:docPr id="250" name="0001fd"/>
                <wp:cNvGraphicFramePr/>
                <a:graphic xmlns:a="http://schemas.openxmlformats.org/drawingml/2006/main">
                  <a:graphicData uri="http://schemas.microsoft.com/office/word/2010/wordprocessingShape">
                    <wps:wsp>
                      <wps:cNvSpPr txBox="1"/>
                      <wps:spPr>
                        <a:xfrm>
                          <a:off x="0" y="0"/>
                          <a:ext cx="814070" cy="473710"/>
                        </a:xfrm>
                        <a:prstGeom prst="rect">
                          <a:avLst/>
                        </a:prstGeom>
                        <a:noFill/>
                        <a:ln>
                          <a:noFill/>
                        </a:ln>
                        <a:effectLst/>
                      </wps:spPr>
                      <wps:txbx>
                        <w:txbxContent>
                          <w:p w14:paraId="6769B3E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p w14:paraId="7263BF8A">
                            <w:pPr>
                              <w:rPr>
                                <w:lang w:eastAsia="zh-CN"/>
                              </w:rPr>
                            </w:pPr>
                          </w:p>
                        </w:txbxContent>
                      </wps:txbx>
                      <wps:bodyPr wrap="square" upright="1"/>
                    </wps:wsp>
                  </a:graphicData>
                </a:graphic>
              </wp:anchor>
            </w:drawing>
          </mc:Choice>
          <mc:Fallback>
            <w:pict>
              <v:shape id="0001fd" o:spid="_x0000_s1026" o:spt="202" type="#_x0000_t202" style="position:absolute;left:0pt;margin-left:-5.25pt;margin-top:0.9pt;height:37.3pt;width:64.1pt;z-index:251914240;mso-width-relative:page;mso-height-relative:page;" filled="f" stroked="f" coordsize="21600,21600" o:gfxdata="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ellvp1QAAAAgB&#10;AAAPAAAAAAAAAAEAIAAAACIAAABkcnMvZG93bnJldi54bWxQSwECFAAUAAAACACHTuJAMkU/cqwB&#10;AABmAwAADgAAAAAAAAABACAAAAAkAQAAZHJzL2Uyb0RvYy54bWxQSwUGAAAAAAYABgBZAQAAQgUA&#10;AAAA&#10;">
                <v:fill on="f" focussize="0,0"/>
                <v:stroke on="f"/>
                <v:imagedata o:title=""/>
                <o:lock v:ext="edit" aspectratio="f"/>
                <v:textbox>
                  <w:txbxContent>
                    <w:p w14:paraId="6769B3E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p w14:paraId="7263BF8A">
                      <w:pPr>
                        <w:rPr>
                          <w:lang w:eastAsia="zh-CN"/>
                        </w:rPr>
                      </w:pPr>
                    </w:p>
                  </w:txbxContent>
                </v:textbox>
              </v:shape>
            </w:pict>
          </mc:Fallback>
        </mc:AlternateContent>
      </w:r>
      <w:r>
        <w:rPr>
          <w:rFonts w:hint="eastAsia" w:ascii="仿宋" w:hAnsi="仿宋" w:eastAsia="仿宋" w:cs="仿宋"/>
          <w:color w:val="auto"/>
          <w:highlight w:val="none"/>
          <w:lang w:eastAsia="zh-CN"/>
        </w:rPr>
        <w:t>工程材料和工程设备等产品检验试验合格的，可在合同工程中使用。工程材料和工程设备等产品检验试验不合格的，禁止在合同工程中使用，并及时清出施工场地。</w:t>
      </w:r>
    </w:p>
    <w:p w14:paraId="3D0C2D2B">
      <w:pPr>
        <w:spacing w:line="360" w:lineRule="auto"/>
        <w:rPr>
          <w:rFonts w:ascii="仿宋" w:hAnsi="仿宋" w:eastAsia="仿宋"/>
          <w:color w:val="auto"/>
          <w:highlight w:val="none"/>
          <w:u w:val="dotted"/>
          <w:lang w:eastAsia="zh-CN"/>
        </w:rPr>
      </w:pPr>
      <w:bookmarkStart w:id="802" w:name="_Toc9196"/>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80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C3521CF">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15240</wp:posOffset>
                </wp:positionV>
                <wp:extent cx="861695" cy="748030"/>
                <wp:effectExtent l="0" t="0" r="0" b="0"/>
                <wp:wrapNone/>
                <wp:docPr id="251" name="0001fe"/>
                <wp:cNvGraphicFramePr/>
                <a:graphic xmlns:a="http://schemas.openxmlformats.org/drawingml/2006/main">
                  <a:graphicData uri="http://schemas.microsoft.com/office/word/2010/wordprocessingShape">
                    <wps:wsp>
                      <wps:cNvSpPr txBox="1"/>
                      <wps:spPr>
                        <a:xfrm>
                          <a:off x="0" y="0"/>
                          <a:ext cx="861695" cy="748030"/>
                        </a:xfrm>
                        <a:prstGeom prst="rect">
                          <a:avLst/>
                        </a:prstGeom>
                        <a:noFill/>
                        <a:ln>
                          <a:noFill/>
                        </a:ln>
                        <a:effectLst/>
                      </wps:spPr>
                      <wps:txbx>
                        <w:txbxContent>
                          <w:p w14:paraId="38EA99A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p w14:paraId="6D2F8A3E">
                            <w:pPr>
                              <w:rPr>
                                <w:lang w:eastAsia="zh-CN"/>
                              </w:rPr>
                            </w:pPr>
                          </w:p>
                        </w:txbxContent>
                      </wps:txbx>
                      <wps:bodyPr wrap="square" upright="1"/>
                    </wps:wsp>
                  </a:graphicData>
                </a:graphic>
              </wp:anchor>
            </w:drawing>
          </mc:Choice>
          <mc:Fallback>
            <w:pict>
              <v:shape id="0001fe" o:spid="_x0000_s1026" o:spt="202" type="#_x0000_t202" style="position:absolute;left:0pt;margin-left:-9pt;margin-top:1.2pt;height:58.9pt;width:67.85pt;z-index:251915264;mso-width-relative:page;mso-height-relative:page;" filled="f" stroked="f" coordsize="21600,21600" o:gfxdata="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XIzTWAAAA&#10;CQEAAA8AAAAAAAAAAQAgAAAAIgAAAGRycy9kb3ducmV2LnhtbFBLAQIUABQAAAAIAIdO4kC0jMvE&#10;rQEAAGYDAAAOAAAAAAAAAAEAIAAAACUBAABkcnMvZTJvRG9jLnhtbFBLBQYAAAAABgAGAFkBAABE&#10;BQAAAAA=&#10;">
                <v:fill on="f" focussize="0,0"/>
                <v:stroke on="f"/>
                <v:imagedata o:title=""/>
                <o:lock v:ext="edit" aspectratio="f"/>
                <v:textbox>
                  <w:txbxContent>
                    <w:p w14:paraId="38EA99A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p w14:paraId="6D2F8A3E">
                      <w:pPr>
                        <w:rPr>
                          <w:lang w:eastAsia="zh-CN"/>
                        </w:rPr>
                      </w:pPr>
                    </w:p>
                  </w:txbxContent>
                </v:textbox>
              </v:shape>
            </w:pict>
          </mc:Fallback>
        </mc:AlternateContent>
      </w:r>
      <w:r>
        <w:rPr>
          <w:rFonts w:hint="eastAsia" w:ascii="仿宋" w:hAnsi="仿宋" w:eastAsia="仿宋" w:cs="仿宋"/>
          <w:color w:val="auto"/>
          <w:highlight w:val="none"/>
          <w:lang w:eastAsia="zh-CN"/>
        </w:rPr>
        <w:t>除合同价格已包括外，工程材料和工程设备等产品的检验试验费，按照实际发生的费用计算。</w:t>
      </w:r>
    </w:p>
    <w:p w14:paraId="4C1CCDDC">
      <w:pPr>
        <w:widowControl w:val="0"/>
        <w:spacing w:line="360" w:lineRule="auto"/>
        <w:ind w:left="1850" w:leftChars="771"/>
        <w:jc w:val="both"/>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）现场使用前工程材料和工程设备等产品的检验试验，发包人供应的，检验试验费由发包人承担；承包人采购的，检验试验费由承包人承担。</w:t>
      </w:r>
    </w:p>
    <w:p w14:paraId="0E19171F">
      <w:pPr>
        <w:widowControl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2）作为工程质量验收依据的工程材料、工程设备、装配式构件检测，依法应由发包人委托的，发包人应按时足额支付检测费用；承包人自行委托的检测机构出具的检测报告不得作为工程质量验收依据，其费用由承包人自行承担。</w:t>
      </w:r>
    </w:p>
    <w:p w14:paraId="13DA62A1">
      <w:pPr>
        <w:spacing w:line="360" w:lineRule="auto"/>
        <w:rPr>
          <w:rFonts w:ascii="仿宋" w:hAnsi="仿宋" w:eastAsia="仿宋"/>
          <w:b/>
          <w:bCs/>
          <w:color w:val="auto"/>
          <w:highlight w:val="none"/>
          <w:lang w:eastAsia="zh-CN"/>
        </w:rPr>
      </w:pPr>
      <w:bookmarkStart w:id="803" w:name="_Toc1969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6</w:t>
      </w:r>
      <w:bookmarkEnd w:id="80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7AA70D6">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8255</wp:posOffset>
                </wp:positionV>
                <wp:extent cx="784860" cy="558800"/>
                <wp:effectExtent l="0" t="0" r="0" b="0"/>
                <wp:wrapNone/>
                <wp:docPr id="252" name="0001ff"/>
                <wp:cNvGraphicFramePr/>
                <a:graphic xmlns:a="http://schemas.openxmlformats.org/drawingml/2006/main">
                  <a:graphicData uri="http://schemas.microsoft.com/office/word/2010/wordprocessingShape">
                    <wps:wsp>
                      <wps:cNvSpPr txBox="1"/>
                      <wps:spPr>
                        <a:xfrm>
                          <a:off x="0" y="0"/>
                          <a:ext cx="784860" cy="558800"/>
                        </a:xfrm>
                        <a:prstGeom prst="rect">
                          <a:avLst/>
                        </a:prstGeom>
                        <a:noFill/>
                        <a:ln>
                          <a:noFill/>
                        </a:ln>
                        <a:effectLst/>
                      </wps:spPr>
                      <wps:txbx>
                        <w:txbxContent>
                          <w:p w14:paraId="3E0CB9A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p w14:paraId="319A9AA7">
                            <w:pPr>
                              <w:rPr>
                                <w:lang w:eastAsia="zh-CN"/>
                              </w:rPr>
                            </w:pPr>
                          </w:p>
                        </w:txbxContent>
                      </wps:txbx>
                      <wps:bodyPr wrap="square" upright="1"/>
                    </wps:wsp>
                  </a:graphicData>
                </a:graphic>
              </wp:anchor>
            </w:drawing>
          </mc:Choice>
          <mc:Fallback>
            <w:pict>
              <v:shape id="0001ff" o:spid="_x0000_s1026" o:spt="202" type="#_x0000_t202" style="position:absolute;left:0pt;margin-left:-9pt;margin-top:0.65pt;height:44pt;width:61.8pt;z-index:251916288;mso-width-relative:page;mso-height-relative:page;" filled="f" stroked="f" coordsize="21600,21600" o:gfxdata="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S/lKD1QAAAAgB&#10;AAAPAAAAAAAAAAEAIAAAACIAAABkcnMvZG93bnJldi54bWxQSwECFAAUAAAACACHTuJAVJS4jKwB&#10;AABmAwAADgAAAAAAAAABACAAAAAkAQAAZHJzL2Uyb0RvYy54bWxQSwUGAAAAAAYABgBZAQAAQgUA&#10;AAAA&#10;">
                <v:fill on="f" focussize="0,0"/>
                <v:stroke on="f"/>
                <v:imagedata o:title=""/>
                <o:lock v:ext="edit" aspectratio="f"/>
                <v:textbox>
                  <w:txbxContent>
                    <w:p w14:paraId="3E0CB9A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p w14:paraId="319A9AA7">
                      <w:pPr>
                        <w:rPr>
                          <w:lang w:eastAsia="zh-CN"/>
                        </w:rPr>
                      </w:pPr>
                    </w:p>
                  </w:txbxContent>
                </v:textbox>
              </v:shape>
            </w:pict>
          </mc:Fallback>
        </mc:AlternateContent>
      </w:r>
      <w:r>
        <w:rPr>
          <w:rFonts w:hint="eastAsia" w:ascii="仿宋" w:hAnsi="仿宋" w:eastAsia="仿宋" w:cs="仿宋"/>
          <w:color w:val="auto"/>
          <w:highlight w:val="none"/>
          <w:lang w:eastAsia="zh-CN"/>
        </w:rPr>
        <w:t>监理人对承包人自行检验试验结果有疑问的，可要求承包人共同对工程材料和工程设备等再次检验试验。</w:t>
      </w:r>
    </w:p>
    <w:p w14:paraId="092FD1A1">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）合格的，再次检验试验费和（或）延误的工期由发包人承担，并向承包人支付合理利润。</w:t>
      </w:r>
    </w:p>
    <w:p w14:paraId="19DDE3A1">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）不合格的，发包人供应的，再次检验试验费和（或）延误的工期由发包人承担，并向承包人支付合理利润；承包人采购的，再次检验试验费和（或）延误的工期由承包人承担。</w:t>
      </w:r>
    </w:p>
    <w:p w14:paraId="43CA4837">
      <w:pPr>
        <w:spacing w:line="360" w:lineRule="auto"/>
        <w:rPr>
          <w:rFonts w:ascii="仿宋" w:hAnsi="仿宋" w:eastAsia="仿宋"/>
          <w:color w:val="auto"/>
          <w:highlight w:val="none"/>
          <w:lang w:eastAsia="zh-CN"/>
        </w:rPr>
      </w:pPr>
      <w:bookmarkStart w:id="804" w:name="_Toc27295"/>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color w:val="auto"/>
          <w:highlight w:val="none"/>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245110</wp:posOffset>
                </wp:positionV>
                <wp:extent cx="814070" cy="576580"/>
                <wp:effectExtent l="0" t="0" r="0" b="0"/>
                <wp:wrapNone/>
                <wp:docPr id="253" name="000200"/>
                <wp:cNvGraphicFramePr/>
                <a:graphic xmlns:a="http://schemas.openxmlformats.org/drawingml/2006/main">
                  <a:graphicData uri="http://schemas.microsoft.com/office/word/2010/wordprocessingShape">
                    <wps:wsp>
                      <wps:cNvSpPr txBox="1"/>
                      <wps:spPr>
                        <a:xfrm>
                          <a:off x="0" y="0"/>
                          <a:ext cx="814070" cy="576580"/>
                        </a:xfrm>
                        <a:prstGeom prst="rect">
                          <a:avLst/>
                        </a:prstGeom>
                        <a:noFill/>
                        <a:ln>
                          <a:noFill/>
                        </a:ln>
                        <a:effectLst/>
                      </wps:spPr>
                      <wps:txbx>
                        <w:txbxContent>
                          <w:p w14:paraId="0ADA525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p w14:paraId="0D83A380">
                            <w:pPr>
                              <w:rPr>
                                <w:lang w:eastAsia="zh-CN"/>
                              </w:rPr>
                            </w:pPr>
                          </w:p>
                        </w:txbxContent>
                      </wps:txbx>
                      <wps:bodyPr wrap="square" upright="1"/>
                    </wps:wsp>
                  </a:graphicData>
                </a:graphic>
              </wp:anchor>
            </w:drawing>
          </mc:Choice>
          <mc:Fallback>
            <w:pict>
              <v:shape id="000200" o:spid="_x0000_s1026" o:spt="202" type="#_x0000_t202" style="position:absolute;left:0pt;margin-left:-9pt;margin-top:19.3pt;height:45.4pt;width:64.1pt;z-index:251917312;mso-width-relative:page;mso-height-relative:page;" filled="f" stroked="f" coordsize="21600,21600" o:gfxdata="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TdbvTYAAAA&#10;CgEAAA8AAAAAAAAAAQAgAAAAIgAAAGRycy9kb3ducmV2LnhtbFBLAQIUABQAAAAIAIdO4kAF3Yry&#10;qwEAAGYDAAAOAAAAAAAAAAEAIAAAACcBAABkcnMvZTJvRG9jLnhtbFBLBQYAAAAABgAGAFkBAABE&#10;BQAAAAA=&#10;">
                <v:fill on="f" focussize="0,0"/>
                <v:stroke on="f"/>
                <v:imagedata o:title=""/>
                <o:lock v:ext="edit" aspectratio="f"/>
                <v:textbox>
                  <w:txbxContent>
                    <w:p w14:paraId="0ADA525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p w14:paraId="0D83A380">
                      <w:pPr>
                        <w:rPr>
                          <w:lang w:eastAsia="zh-CN"/>
                        </w:rPr>
                      </w:pPr>
                    </w:p>
                  </w:txbxContent>
                </v:textbox>
              </v:shape>
            </w:pict>
          </mc:Fallback>
        </mc:AlternateContent>
      </w:r>
      <w:bookmarkEnd w:id="804"/>
      <w:r>
        <w:rPr>
          <w:rFonts w:ascii="仿宋" w:hAnsi="仿宋" w:eastAsia="仿宋" w:cs="仿宋"/>
          <w:b/>
          <w:bCs/>
          <w:color w:val="auto"/>
          <w:highlight w:val="none"/>
          <w:u w:val="dotted"/>
          <w:lang w:eastAsia="zh-CN"/>
        </w:rPr>
        <w:t xml:space="preserve">    </w:t>
      </w:r>
    </w:p>
    <w:p w14:paraId="63D73DE9">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合同双方当事人对工程材料和工程设备等产品质量有争议的，所需的检验试验费由责任方承担。双方均有责任的，由双方根据其责任划分分别承担。</w:t>
      </w:r>
    </w:p>
    <w:p w14:paraId="7CD341AE">
      <w:pPr>
        <w:pStyle w:val="12"/>
        <w:spacing w:line="360" w:lineRule="auto"/>
        <w:ind w:firstLine="0"/>
        <w:rPr>
          <w:rFonts w:ascii="仿宋" w:hAnsi="仿宋" w:eastAsia="仿宋" w:cs="仿宋"/>
          <w:color w:val="auto"/>
          <w:highlight w:val="none"/>
          <w:u w:val="singl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52EF0627">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805" w:name="_Toc13077"/>
      <w:bookmarkStart w:id="806" w:name="_Toc22777"/>
      <w:bookmarkStart w:id="807" w:name="_Toc23345"/>
      <w:bookmarkStart w:id="808" w:name="_Toc5835"/>
      <w:bookmarkStart w:id="809" w:name="_Toc25334"/>
      <w:bookmarkStart w:id="810" w:name="_Toc17398"/>
      <w:bookmarkStart w:id="811" w:name="_Toc47694333"/>
      <w:bookmarkStart w:id="812" w:name="_Toc26346"/>
      <w:r>
        <w:rPr>
          <w:rFonts w:ascii="仿宋" w:hAnsi="仿宋" w:eastAsia="仿宋" w:cs="仿宋"/>
          <w:bCs w:val="0"/>
          <w:color w:val="auto"/>
          <w:sz w:val="24"/>
          <w:szCs w:val="24"/>
          <w:highlight w:val="none"/>
          <w:lang w:eastAsia="zh-CN"/>
        </w:rPr>
        <w:t>5</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施工设备和临时设施</w:t>
      </w:r>
      <w:bookmarkEnd w:id="805"/>
      <w:bookmarkEnd w:id="806"/>
      <w:bookmarkEnd w:id="807"/>
      <w:bookmarkEnd w:id="808"/>
      <w:bookmarkEnd w:id="809"/>
      <w:bookmarkEnd w:id="810"/>
      <w:bookmarkEnd w:id="811"/>
      <w:bookmarkEnd w:id="812"/>
    </w:p>
    <w:p w14:paraId="5271EB80">
      <w:pPr>
        <w:spacing w:line="360" w:lineRule="auto"/>
        <w:rPr>
          <w:rFonts w:ascii="仿宋" w:hAnsi="仿宋" w:eastAsia="仿宋" w:cs="仿宋"/>
          <w:b/>
          <w:bCs/>
          <w:color w:val="auto"/>
          <w:highlight w:val="none"/>
          <w:lang w:eastAsia="zh-CN"/>
        </w:rPr>
      </w:pPr>
      <w:bookmarkStart w:id="813" w:name="_Toc3020"/>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bookmarkEnd w:id="813"/>
    </w:p>
    <w:p w14:paraId="26C3A884">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18336" behindDoc="0" locked="0" layoutInCell="1" allowOverlap="1">
                <wp:simplePos x="0" y="0"/>
                <wp:positionH relativeFrom="column">
                  <wp:posOffset>-73660</wp:posOffset>
                </wp:positionH>
                <wp:positionV relativeFrom="paragraph">
                  <wp:posOffset>5715</wp:posOffset>
                </wp:positionV>
                <wp:extent cx="831215" cy="579120"/>
                <wp:effectExtent l="0" t="0" r="0" b="0"/>
                <wp:wrapNone/>
                <wp:docPr id="254" name="000201"/>
                <wp:cNvGraphicFramePr/>
                <a:graphic xmlns:a="http://schemas.openxmlformats.org/drawingml/2006/main">
                  <a:graphicData uri="http://schemas.microsoft.com/office/word/2010/wordprocessingShape">
                    <wps:wsp>
                      <wps:cNvSpPr txBox="1"/>
                      <wps:spPr>
                        <a:xfrm>
                          <a:off x="0" y="0"/>
                          <a:ext cx="831215" cy="579120"/>
                        </a:xfrm>
                        <a:prstGeom prst="rect">
                          <a:avLst/>
                        </a:prstGeom>
                        <a:noFill/>
                        <a:ln>
                          <a:noFill/>
                        </a:ln>
                        <a:effectLst/>
                      </wps:spPr>
                      <wps:txbx>
                        <w:txbxContent>
                          <w:p w14:paraId="1931BA4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p w14:paraId="4E8BB4A6">
                            <w:pPr>
                              <w:rPr>
                                <w:lang w:eastAsia="zh-CN"/>
                              </w:rPr>
                            </w:pPr>
                          </w:p>
                        </w:txbxContent>
                      </wps:txbx>
                      <wps:bodyPr wrap="square" upright="1"/>
                    </wps:wsp>
                  </a:graphicData>
                </a:graphic>
              </wp:anchor>
            </w:drawing>
          </mc:Choice>
          <mc:Fallback>
            <w:pict>
              <v:shape id="000201" o:spid="_x0000_s1026" o:spt="202" type="#_x0000_t202" style="position:absolute;left:0pt;margin-left:-5.8pt;margin-top:0.45pt;height:45.6pt;width:65.45pt;z-index:251918336;mso-width-relative:page;mso-height-relative:page;" filled="f" stroked="f" coordsize="21600,21600" o:gfxdata="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7/IyhdMAAAAHAQAA&#10;DwAAAAAAAAABACAAAAAiAAAAZHJzL2Rvd25yZXYueG1sUEsBAhQAFAAAAAgAh07iQIKvK76sAQAA&#10;ZgMAAA4AAAAAAAAAAQAgAAAAIgEAAGRycy9lMm9Eb2MueG1sUEsFBgAAAAAGAAYAWQEAAEAFAAAA&#10;AA==&#10;">
                <v:fill on="f" focussize="0,0"/>
                <v:stroke on="f"/>
                <v:imagedata o:title=""/>
                <o:lock v:ext="edit" aspectratio="f"/>
                <v:textbox>
                  <w:txbxContent>
                    <w:p w14:paraId="1931BA4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p w14:paraId="4E8BB4A6">
                      <w:pPr>
                        <w:rPr>
                          <w:lang w:eastAsia="zh-CN"/>
                        </w:rPr>
                      </w:pPr>
                    </w:p>
                  </w:txbxContent>
                </v:textbox>
              </v:shape>
            </w:pict>
          </mc:Fallback>
        </mc:AlternateContent>
      </w:r>
      <w:r>
        <w:rPr>
          <w:rFonts w:hint="eastAsia" w:ascii="仿宋" w:hAnsi="仿宋" w:eastAsia="仿宋" w:cs="仿宋"/>
          <w:color w:val="auto"/>
          <w:highlight w:val="none"/>
          <w:lang w:eastAsia="zh-CN"/>
        </w:rPr>
        <w:t>承包人应按合同工程进度计划的要求，及时配置施工设备和修建临时设施。除专用条款另有约定外，承包人应自行承担修建临时设施的费用。需要临时占地的，发包人应办理其申请手续并承担相应费用。</w:t>
      </w:r>
    </w:p>
    <w:p w14:paraId="09E31178">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进入施工场地的承包人施工设备，需经监理人核查后才能投入使用。承包人更换合同约定范围施工设备的，应经监理人同意并由其报发包人批准后方可实施。</w:t>
      </w:r>
    </w:p>
    <w:p w14:paraId="43470549">
      <w:pPr>
        <w:spacing w:line="360" w:lineRule="auto"/>
        <w:rPr>
          <w:rFonts w:ascii="仿宋" w:hAnsi="仿宋" w:eastAsia="仿宋"/>
          <w:color w:val="auto"/>
          <w:highlight w:val="none"/>
          <w:lang w:eastAsia="zh-CN"/>
        </w:rPr>
      </w:pPr>
      <w:bookmarkStart w:id="814" w:name="_Toc23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814"/>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1A3352F1">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19360" behindDoc="0" locked="0" layoutInCell="1" allowOverlap="1">
                <wp:simplePos x="0" y="0"/>
                <wp:positionH relativeFrom="column">
                  <wp:posOffset>-66675</wp:posOffset>
                </wp:positionH>
                <wp:positionV relativeFrom="paragraph">
                  <wp:posOffset>18415</wp:posOffset>
                </wp:positionV>
                <wp:extent cx="844550" cy="526415"/>
                <wp:effectExtent l="0" t="0" r="0" b="0"/>
                <wp:wrapNone/>
                <wp:docPr id="255" name="000202"/>
                <wp:cNvGraphicFramePr/>
                <a:graphic xmlns:a="http://schemas.openxmlformats.org/drawingml/2006/main">
                  <a:graphicData uri="http://schemas.microsoft.com/office/word/2010/wordprocessingShape">
                    <wps:wsp>
                      <wps:cNvSpPr txBox="1"/>
                      <wps:spPr>
                        <a:xfrm>
                          <a:off x="0" y="0"/>
                          <a:ext cx="844550" cy="526415"/>
                        </a:xfrm>
                        <a:prstGeom prst="rect">
                          <a:avLst/>
                        </a:prstGeom>
                        <a:noFill/>
                        <a:ln>
                          <a:noFill/>
                        </a:ln>
                        <a:effectLst/>
                      </wps:spPr>
                      <wps:txbx>
                        <w:txbxContent>
                          <w:p w14:paraId="3315C409">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p w14:paraId="0CAC8D02">
                            <w:pPr>
                              <w:rPr>
                                <w:lang w:eastAsia="zh-CN"/>
                              </w:rPr>
                            </w:pPr>
                          </w:p>
                        </w:txbxContent>
                      </wps:txbx>
                      <wps:bodyPr wrap="square" upright="1"/>
                    </wps:wsp>
                  </a:graphicData>
                </a:graphic>
              </wp:anchor>
            </w:drawing>
          </mc:Choice>
          <mc:Fallback>
            <w:pict>
              <v:shape id="000202" o:spid="_x0000_s1026" o:spt="202" type="#_x0000_t202" style="position:absolute;left:0pt;margin-left:-5.25pt;margin-top:1.45pt;height:41.45pt;width:66.5pt;z-index:251919360;mso-width-relative:page;mso-height-relative:page;" filled="f" stroked="f" coordsize="21600,21600" o:gfxdata="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tNWtUAAAAIAQAA&#10;DwAAAAAAAAABACAAAAAiAAAAZHJzL2Rvd25yZXYueG1sUEsBAhQAFAAAAAgAh07iQPEd5DmqAQAA&#10;ZgMAAA4AAAAAAAAAAQAgAAAAJAEAAGRycy9lMm9Eb2MueG1sUEsFBgAAAAAGAAYAWQEAAEAFAAAA&#10;AA==&#10;">
                <v:fill on="f" focussize="0,0"/>
                <v:stroke on="f"/>
                <v:imagedata o:title=""/>
                <o:lock v:ext="edit" aspectratio="f"/>
                <v:textbox>
                  <w:txbxContent>
                    <w:p w14:paraId="3315C409">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p w14:paraId="0CAC8D02">
                      <w:pPr>
                        <w:rPr>
                          <w:lang w:eastAsia="zh-CN"/>
                        </w:rPr>
                      </w:pPr>
                    </w:p>
                  </w:txbxContent>
                </v:textbox>
              </v:shape>
            </w:pict>
          </mc:Fallback>
        </mc:AlternateContent>
      </w:r>
      <w:r>
        <w:rPr>
          <w:rFonts w:hint="eastAsia" w:ascii="仿宋" w:hAnsi="仿宋" w:eastAsia="仿宋" w:cs="仿宋"/>
          <w:color w:val="auto"/>
          <w:highlight w:val="none"/>
          <w:lang w:eastAsia="zh-CN"/>
        </w:rPr>
        <w:t>如果发包人提供施工设备或临时设施的，合同双方当事人应在专用条款中约定施工设备或临时设施的品种、规格、型号和提供的时间、地点等内容。</w:t>
      </w:r>
    </w:p>
    <w:p w14:paraId="51EF270B">
      <w:pPr>
        <w:spacing w:line="360" w:lineRule="auto"/>
        <w:rPr>
          <w:rFonts w:ascii="仿宋" w:hAnsi="仿宋" w:eastAsia="仿宋"/>
          <w:b/>
          <w:bCs/>
          <w:color w:val="auto"/>
          <w:highlight w:val="none"/>
          <w:lang w:eastAsia="zh-CN"/>
        </w:rPr>
      </w:pPr>
      <w:bookmarkStart w:id="815" w:name="_Toc8979"/>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81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A80871A">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20384" behindDoc="0" locked="0" layoutInCell="1" allowOverlap="1">
                <wp:simplePos x="0" y="0"/>
                <wp:positionH relativeFrom="column">
                  <wp:posOffset>-73660</wp:posOffset>
                </wp:positionH>
                <wp:positionV relativeFrom="paragraph">
                  <wp:posOffset>8890</wp:posOffset>
                </wp:positionV>
                <wp:extent cx="796925" cy="509905"/>
                <wp:effectExtent l="0" t="0" r="0" b="0"/>
                <wp:wrapNone/>
                <wp:docPr id="256" name="000203"/>
                <wp:cNvGraphicFramePr/>
                <a:graphic xmlns:a="http://schemas.openxmlformats.org/drawingml/2006/main">
                  <a:graphicData uri="http://schemas.microsoft.com/office/word/2010/wordprocessingShape">
                    <wps:wsp>
                      <wps:cNvSpPr txBox="1"/>
                      <wps:spPr>
                        <a:xfrm>
                          <a:off x="0" y="0"/>
                          <a:ext cx="796925" cy="509905"/>
                        </a:xfrm>
                        <a:prstGeom prst="rect">
                          <a:avLst/>
                        </a:prstGeom>
                        <a:noFill/>
                        <a:ln>
                          <a:noFill/>
                        </a:ln>
                        <a:effectLst/>
                      </wps:spPr>
                      <wps:txbx>
                        <w:txbxContent>
                          <w:p w14:paraId="5F95868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p w14:paraId="209C4728">
                            <w:pPr>
                              <w:rPr>
                                <w:lang w:eastAsia="zh-CN"/>
                              </w:rPr>
                            </w:pPr>
                          </w:p>
                        </w:txbxContent>
                      </wps:txbx>
                      <wps:bodyPr wrap="square" upright="1"/>
                    </wps:wsp>
                  </a:graphicData>
                </a:graphic>
              </wp:anchor>
            </w:drawing>
          </mc:Choice>
          <mc:Fallback>
            <w:pict>
              <v:shape id="000203" o:spid="_x0000_s1026" o:spt="202" type="#_x0000_t202" style="position:absolute;left:0pt;margin-left:-5.8pt;margin-top:0.7pt;height:40.15pt;width:62.75pt;z-index:251920384;mso-width-relative:page;mso-height-relative:page;" filled="f" stroked="f" coordsize="21600,21600" o:gfxdata="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ljLw01gAAAAgB&#10;AAAPAAAAAAAAAAEAIAAAACIAAABkcnMvZG93bnJldi54bWxQSwECFAAUAAAACACHTuJAOaua0qsB&#10;AABmAwAADgAAAAAAAAABACAAAAAlAQAAZHJzL2Uyb0RvYy54bWxQSwUGAAAAAAYABgBZAQAAQgUA&#10;AAAA&#10;">
                <v:fill on="f" focussize="0,0"/>
                <v:stroke on="f"/>
                <v:imagedata o:title=""/>
                <o:lock v:ext="edit" aspectratio="f"/>
                <v:textbox>
                  <w:txbxContent>
                    <w:p w14:paraId="5F95868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p w14:paraId="209C4728">
                      <w:pPr>
                        <w:rPr>
                          <w:lang w:eastAsia="zh-CN"/>
                        </w:rPr>
                      </w:pPr>
                    </w:p>
                  </w:txbxContent>
                </v:textbox>
              </v:shape>
            </w:pict>
          </mc:Fallback>
        </mc:AlternateContent>
      </w:r>
      <w:r>
        <w:rPr>
          <w:rFonts w:hint="eastAsia" w:ascii="仿宋" w:hAnsi="仿宋" w:eastAsia="仿宋" w:cs="仿宋"/>
          <w:color w:val="auto"/>
          <w:highlight w:val="none"/>
          <w:lang w:eastAsia="zh-CN"/>
        </w:rPr>
        <w:t>如果承包人使用的施工设备不能满足合同工程进度计划和（或）质量要求的，监理人有权要求承包人增加或更换施工设备，承包人应及时增加或更换，由此增加的费用和（或）延误的工期由承包人承担。</w:t>
      </w:r>
    </w:p>
    <w:p w14:paraId="662A2A83">
      <w:pPr>
        <w:spacing w:line="360" w:lineRule="auto"/>
        <w:rPr>
          <w:rFonts w:ascii="仿宋" w:hAnsi="仿宋" w:eastAsia="仿宋"/>
          <w:b/>
          <w:bCs/>
          <w:color w:val="auto"/>
          <w:highlight w:val="none"/>
          <w:lang w:eastAsia="zh-CN"/>
        </w:rPr>
      </w:pPr>
      <w:bookmarkStart w:id="816" w:name="_Toc4997"/>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.4</w:t>
      </w:r>
      <w:bookmarkEnd w:id="81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13ACCC2">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运至施工现场的施工设备和在施工现场修建的临时设施，均应视为专门用于实施合同工程。除经监理人同意并由其报发包人批准，承包人可根据合同工程进度计划撤走闲置的施工设备</w:t>
      </w:r>
      <w:r>
        <w:rPr>
          <w:color w:val="auto"/>
          <w:highlight w:val="none"/>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46355</wp:posOffset>
                </wp:positionV>
                <wp:extent cx="813435" cy="595630"/>
                <wp:effectExtent l="0" t="0" r="0" b="0"/>
                <wp:wrapNone/>
                <wp:docPr id="257" name="000204"/>
                <wp:cNvGraphicFramePr/>
                <a:graphic xmlns:a="http://schemas.openxmlformats.org/drawingml/2006/main">
                  <a:graphicData uri="http://schemas.microsoft.com/office/word/2010/wordprocessingShape">
                    <wps:wsp>
                      <wps:cNvSpPr txBox="1"/>
                      <wps:spPr>
                        <a:xfrm>
                          <a:off x="0" y="0"/>
                          <a:ext cx="813435" cy="595630"/>
                        </a:xfrm>
                        <a:prstGeom prst="rect">
                          <a:avLst/>
                        </a:prstGeom>
                        <a:noFill/>
                        <a:ln>
                          <a:noFill/>
                        </a:ln>
                        <a:effectLst/>
                      </wps:spPr>
                      <wps:txbx>
                        <w:txbxContent>
                          <w:p w14:paraId="163F48D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p w14:paraId="7F221CFF">
                            <w:pPr>
                              <w:rPr>
                                <w:lang w:eastAsia="zh-CN"/>
                              </w:rPr>
                            </w:pPr>
                          </w:p>
                        </w:txbxContent>
                      </wps:txbx>
                      <wps:bodyPr wrap="square" upright="1"/>
                    </wps:wsp>
                  </a:graphicData>
                </a:graphic>
              </wp:anchor>
            </w:drawing>
          </mc:Choice>
          <mc:Fallback>
            <w:pict>
              <v:shape id="000204" o:spid="_x0000_s1026" o:spt="202" type="#_x0000_t202" style="position:absolute;left:0pt;margin-left:-9pt;margin-top:3.65pt;height:46.9pt;width:64.05pt;z-index:251921408;mso-width-relative:page;mso-height-relative:page;" filled="f" stroked="f" coordsize="21600,21600" o:gfxdata="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gFBgPVAAAA&#10;CQEAAA8AAAAAAAAAAQAgAAAAIgAAAGRycy9kb3ducmV2LnhtbFBLAQIUABQAAAAIAIdO4kDw42CO&#10;rgEAAGYDAAAOAAAAAAAAAAEAIAAAACQBAABkcnMvZTJvRG9jLnhtbFBLBQYAAAAABgAGAFkBAABE&#10;BQAAAAA=&#10;">
                <v:fill on="f" focussize="0,0"/>
                <v:stroke on="f"/>
                <v:imagedata o:title=""/>
                <o:lock v:ext="edit" aspectratio="f"/>
                <v:textbox>
                  <w:txbxContent>
                    <w:p w14:paraId="163F48D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p w14:paraId="7F221CFF">
                      <w:pPr>
                        <w:rPr>
                          <w:lang w:eastAsia="zh-CN"/>
                        </w:rPr>
                      </w:pPr>
                    </w:p>
                  </w:txbxContent>
                </v:textbox>
              </v:shape>
            </w:pict>
          </mc:Fallback>
        </mc:AlternateContent>
      </w:r>
      <w:r>
        <w:rPr>
          <w:rFonts w:hint="eastAsia" w:ascii="仿宋" w:hAnsi="仿宋" w:eastAsia="仿宋" w:cs="仿宋"/>
          <w:color w:val="auto"/>
          <w:highlight w:val="none"/>
          <w:lang w:eastAsia="zh-CN"/>
        </w:rPr>
        <w:t>外，承包人不得将上述施工设备和临时设施中的任何部分运出施工场地或挪作他用。</w:t>
      </w:r>
    </w:p>
    <w:p w14:paraId="2E50E62F">
      <w:pPr>
        <w:pStyle w:val="23"/>
        <w:tabs>
          <w:tab w:val="left" w:pos="540"/>
        </w:tabs>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76C667DF">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817" w:name="_Toc7389"/>
      <w:bookmarkStart w:id="818" w:name="_Toc21976"/>
      <w:bookmarkStart w:id="819" w:name="_Toc22740"/>
      <w:bookmarkStart w:id="820" w:name="_Toc30802"/>
      <w:bookmarkStart w:id="821" w:name="_Toc47694334"/>
      <w:bookmarkStart w:id="822" w:name="_Toc32090"/>
      <w:bookmarkStart w:id="823" w:name="_Toc21127"/>
      <w:bookmarkStart w:id="824" w:name="_Toc14973"/>
      <w:r>
        <w:rPr>
          <w:rFonts w:hint="eastAsia" w:ascii="仿宋" w:hAnsi="仿宋" w:eastAsia="仿宋" w:cs="仿宋"/>
          <w:bCs w:val="0"/>
          <w:color w:val="auto"/>
          <w:sz w:val="24"/>
          <w:szCs w:val="24"/>
          <w:highlight w:val="none"/>
          <w:lang w:eastAsia="zh-CN"/>
        </w:rPr>
        <w:t>★59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工程质量检查</w:t>
      </w:r>
      <w:bookmarkEnd w:id="817"/>
      <w:bookmarkEnd w:id="818"/>
      <w:bookmarkEnd w:id="819"/>
      <w:bookmarkEnd w:id="820"/>
      <w:bookmarkEnd w:id="821"/>
      <w:bookmarkEnd w:id="822"/>
      <w:bookmarkEnd w:id="823"/>
      <w:bookmarkEnd w:id="824"/>
    </w:p>
    <w:p w14:paraId="0E01E94B">
      <w:pPr>
        <w:spacing w:line="360" w:lineRule="auto"/>
        <w:rPr>
          <w:rFonts w:ascii="仿宋" w:hAnsi="仿宋" w:eastAsia="仿宋" w:cs="仿宋"/>
          <w:b/>
          <w:bCs/>
          <w:color w:val="auto"/>
          <w:highlight w:val="none"/>
          <w:lang w:eastAsia="zh-CN"/>
        </w:rPr>
      </w:pPr>
      <w:bookmarkStart w:id="825" w:name="_Toc8383"/>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.1</w:t>
      </w:r>
      <w:bookmarkEnd w:id="825"/>
    </w:p>
    <w:p w14:paraId="340E96F2">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22432" behindDoc="0" locked="0" layoutInCell="1" allowOverlap="1">
                <wp:simplePos x="0" y="0"/>
                <wp:positionH relativeFrom="column">
                  <wp:posOffset>-73660</wp:posOffset>
                </wp:positionH>
                <wp:positionV relativeFrom="paragraph">
                  <wp:posOffset>5715</wp:posOffset>
                </wp:positionV>
                <wp:extent cx="782955" cy="556895"/>
                <wp:effectExtent l="0" t="0" r="0" b="0"/>
                <wp:wrapNone/>
                <wp:docPr id="258" name="000205"/>
                <wp:cNvGraphicFramePr/>
                <a:graphic xmlns:a="http://schemas.openxmlformats.org/drawingml/2006/main">
                  <a:graphicData uri="http://schemas.microsoft.com/office/word/2010/wordprocessingShape">
                    <wps:wsp>
                      <wps:cNvSpPr txBox="1"/>
                      <wps:spPr>
                        <a:xfrm>
                          <a:off x="0" y="0"/>
                          <a:ext cx="782955" cy="556895"/>
                        </a:xfrm>
                        <a:prstGeom prst="rect">
                          <a:avLst/>
                        </a:prstGeom>
                        <a:noFill/>
                        <a:ln>
                          <a:noFill/>
                        </a:ln>
                        <a:effectLst/>
                      </wps:spPr>
                      <wps:txbx>
                        <w:txbxContent>
                          <w:p w14:paraId="22DFF71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p w14:paraId="23483D65">
                            <w:pPr>
                              <w:rPr>
                                <w:lang w:eastAsia="zh-CN"/>
                              </w:rPr>
                            </w:pPr>
                          </w:p>
                        </w:txbxContent>
                      </wps:txbx>
                      <wps:bodyPr wrap="square" upright="1"/>
                    </wps:wsp>
                  </a:graphicData>
                </a:graphic>
              </wp:anchor>
            </w:drawing>
          </mc:Choice>
          <mc:Fallback>
            <w:pict>
              <v:shape id="000205" o:spid="_x0000_s1026" o:spt="202" type="#_x0000_t202" style="position:absolute;left:0pt;margin-left:-5.8pt;margin-top:0.45pt;height:43.85pt;width:61.65pt;z-index:251922432;mso-width-relative:page;mso-height-relative:page;" filled="f" stroked="f" coordsize="21600,21600" o:gfxdata="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qdkta9MAAAAHAQAA&#10;DwAAAAAAAAABACAAAAAiAAAAZHJzL2Rvd25yZXYueG1sUEsBAhQAFAAAAAgAh07iQMHDIjOsAQAA&#10;ZgMAAA4AAAAAAAAAAQAgAAAAIgEAAGRycy9lMm9Eb2MueG1sUEsFBgAAAAAGAAYAWQEAAEAFAAAA&#10;AA==&#10;">
                <v:fill on="f" focussize="0,0"/>
                <v:stroke on="f"/>
                <v:imagedata o:title=""/>
                <o:lock v:ext="edit" aspectratio="f"/>
                <v:textbox>
                  <w:txbxContent>
                    <w:p w14:paraId="22DFF71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p w14:paraId="23483D65">
                      <w:pPr>
                        <w:rPr>
                          <w:lang w:eastAsia="zh-CN"/>
                        </w:rPr>
                      </w:pPr>
                    </w:p>
                  </w:txbxContent>
                </v:textbox>
              </v:shape>
            </w:pict>
          </mc:Fallback>
        </mc:AlternateContent>
      </w:r>
      <w:r>
        <w:rPr>
          <w:rFonts w:hint="eastAsia" w:ascii="仿宋" w:hAnsi="仿宋" w:eastAsia="仿宋" w:cs="仿宋"/>
          <w:color w:val="auto"/>
          <w:highlight w:val="none"/>
          <w:lang w:eastAsia="zh-CN"/>
        </w:rPr>
        <w:t>承包人应按照标准与规范、设计要求以及监理人依据合同约定发出的指令施工，确保工程质量，随时接受监理工程师的检查，并为监理工程师的检查（包括监理工程师到施工场地，或合同约定的其他地方察看和查阅施工原始记录等）提供便利和协助。</w:t>
      </w:r>
    </w:p>
    <w:p w14:paraId="462D81F8">
      <w:pPr>
        <w:spacing w:line="360" w:lineRule="auto"/>
        <w:rPr>
          <w:rFonts w:ascii="仿宋" w:hAnsi="仿宋" w:eastAsia="仿宋"/>
          <w:b/>
          <w:bCs/>
          <w:color w:val="auto"/>
          <w:highlight w:val="none"/>
          <w:lang w:eastAsia="zh-CN"/>
        </w:rPr>
      </w:pPr>
      <w:bookmarkStart w:id="826" w:name="_Toc26104"/>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.2</w:t>
      </w:r>
      <w:bookmarkEnd w:id="82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C3420A0">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23456" behindDoc="0" locked="0" layoutInCell="1" allowOverlap="1">
                <wp:simplePos x="0" y="0"/>
                <wp:positionH relativeFrom="column">
                  <wp:posOffset>-73660</wp:posOffset>
                </wp:positionH>
                <wp:positionV relativeFrom="paragraph">
                  <wp:posOffset>8890</wp:posOffset>
                </wp:positionV>
                <wp:extent cx="824865" cy="556895"/>
                <wp:effectExtent l="0" t="0" r="0" b="0"/>
                <wp:wrapNone/>
                <wp:docPr id="259" name="000206"/>
                <wp:cNvGraphicFramePr/>
                <a:graphic xmlns:a="http://schemas.openxmlformats.org/drawingml/2006/main">
                  <a:graphicData uri="http://schemas.microsoft.com/office/word/2010/wordprocessingShape">
                    <wps:wsp>
                      <wps:cNvSpPr txBox="1"/>
                      <wps:spPr>
                        <a:xfrm>
                          <a:off x="0" y="0"/>
                          <a:ext cx="824865" cy="556895"/>
                        </a:xfrm>
                        <a:prstGeom prst="rect">
                          <a:avLst/>
                        </a:prstGeom>
                        <a:noFill/>
                        <a:ln>
                          <a:noFill/>
                        </a:ln>
                        <a:effectLst/>
                      </wps:spPr>
                      <wps:txbx>
                        <w:txbxContent>
                          <w:p w14:paraId="0DB7AE9E">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p w14:paraId="42E65DCB"/>
                        </w:txbxContent>
                      </wps:txbx>
                      <wps:bodyPr wrap="square" upright="1"/>
                    </wps:wsp>
                  </a:graphicData>
                </a:graphic>
              </wp:anchor>
            </w:drawing>
          </mc:Choice>
          <mc:Fallback>
            <w:pict>
              <v:shape id="000206" o:spid="_x0000_s1026" o:spt="202" type="#_x0000_t202" style="position:absolute;left:0pt;margin-left:-5.8pt;margin-top:0.7pt;height:43.85pt;width:64.95pt;z-index:251923456;mso-width-relative:page;mso-height-relative:page;" filled="f" stroked="f" coordsize="21600,21600" o:gfxdata="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DXlAk1QAAAAgB&#10;AAAPAAAAAAAAAAEAIAAAACIAAABkcnMvZG93bnJldi54bWxQSwECFAAUAAAACACHTuJAgyKV06wB&#10;AABmAwAADgAAAAAAAAABACAAAAAkAQAAZHJzL2Uyb0RvYy54bWxQSwUGAAAAAAYABgBZAQAAQgUA&#10;AAAA&#10;">
                <v:fill on="f" focussize="0,0"/>
                <v:stroke on="f"/>
                <v:imagedata o:title=""/>
                <o:lock v:ext="edit" aspectratio="f"/>
                <v:textbox>
                  <w:txbxContent>
                    <w:p w14:paraId="0DB7AE9E">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p w14:paraId="42E65DCB"/>
                  </w:txbxContent>
                </v:textbox>
              </v:shape>
            </w:pict>
          </mc:Fallback>
        </mc:AlternateContent>
      </w:r>
      <w:r>
        <w:rPr>
          <w:rFonts w:hint="eastAsia" w:ascii="仿宋" w:hAnsi="仿宋" w:eastAsia="仿宋" w:cs="仿宋"/>
          <w:color w:val="auto"/>
          <w:highlight w:val="none"/>
          <w:lang w:eastAsia="zh-CN"/>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拆除和重新施工。即使经监理人检查，也不能免除承包人按照合同约定应承担的任何责任和应履行的任何义务。</w:t>
      </w:r>
    </w:p>
    <w:p w14:paraId="1BB7C207">
      <w:pPr>
        <w:spacing w:line="360" w:lineRule="auto"/>
        <w:rPr>
          <w:rFonts w:ascii="仿宋" w:hAnsi="仿宋" w:eastAsia="仿宋"/>
          <w:b/>
          <w:bCs/>
          <w:color w:val="auto"/>
          <w:highlight w:val="none"/>
          <w:lang w:eastAsia="zh-CN"/>
        </w:rPr>
      </w:pPr>
      <w:bookmarkStart w:id="827" w:name="_Toc20962"/>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.3</w:t>
      </w:r>
      <w:bookmarkEnd w:id="82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0793963">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24480" behindDoc="0" locked="0" layoutInCell="1" allowOverlap="1">
                <wp:simplePos x="0" y="0"/>
                <wp:positionH relativeFrom="column">
                  <wp:posOffset>-73660</wp:posOffset>
                </wp:positionH>
                <wp:positionV relativeFrom="paragraph">
                  <wp:posOffset>8890</wp:posOffset>
                </wp:positionV>
                <wp:extent cx="844550" cy="576580"/>
                <wp:effectExtent l="0" t="0" r="0" b="0"/>
                <wp:wrapNone/>
                <wp:docPr id="260" name="000207"/>
                <wp:cNvGraphicFramePr/>
                <a:graphic xmlns:a="http://schemas.openxmlformats.org/drawingml/2006/main">
                  <a:graphicData uri="http://schemas.microsoft.com/office/word/2010/wordprocessingShape">
                    <wps:wsp>
                      <wps:cNvSpPr txBox="1"/>
                      <wps:spPr>
                        <a:xfrm>
                          <a:off x="0" y="0"/>
                          <a:ext cx="844550" cy="576580"/>
                        </a:xfrm>
                        <a:prstGeom prst="rect">
                          <a:avLst/>
                        </a:prstGeom>
                        <a:noFill/>
                        <a:ln>
                          <a:noFill/>
                        </a:ln>
                        <a:effectLst/>
                      </wps:spPr>
                      <wps:txbx>
                        <w:txbxContent>
                          <w:p w14:paraId="35DEE4B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p w14:paraId="140E5A35">
                            <w:pPr>
                              <w:rPr>
                                <w:lang w:eastAsia="zh-CN"/>
                              </w:rPr>
                            </w:pPr>
                          </w:p>
                        </w:txbxContent>
                      </wps:txbx>
                      <wps:bodyPr wrap="square" upright="1"/>
                    </wps:wsp>
                  </a:graphicData>
                </a:graphic>
              </wp:anchor>
            </w:drawing>
          </mc:Choice>
          <mc:Fallback>
            <w:pict>
              <v:shape id="000207" o:spid="_x0000_s1026" o:spt="202" type="#_x0000_t202" style="position:absolute;left:0pt;margin-left:-5.8pt;margin-top:0.7pt;height:45.4pt;width:66.5pt;z-index:251924480;mso-width-relative:page;mso-height-relative:page;" filled="f" stroked="f" coordsize="21600,21600" o:gfxdata="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FP4aVHUAAAACAEA&#10;AA8AAAAAAAAAAQAgAAAAIgAAAGRycy9kb3ducmV2LnhtbFBLAQIUABQAAAAIAIdO4kBD/rDQrAEA&#10;AGYDAAAOAAAAAAAAAAEAIAAAACMBAABkcnMvZTJvRG9jLnhtbFBLBQYAAAAABgAGAFkBAABBBQAA&#10;AAA=&#10;">
                <v:fill on="f" focussize="0,0"/>
                <v:stroke on="f"/>
                <v:imagedata o:title=""/>
                <o:lock v:ext="edit" aspectratio="f"/>
                <v:textbox>
                  <w:txbxContent>
                    <w:p w14:paraId="35DEE4B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p w14:paraId="140E5A35">
                      <w:pPr>
                        <w:rPr>
                          <w:lang w:eastAsia="zh-CN"/>
                        </w:rPr>
                      </w:pPr>
                    </w:p>
                  </w:txbxContent>
                </v:textbox>
              </v:shape>
            </w:pict>
          </mc:Fallback>
        </mc:AlternateContent>
      </w:r>
      <w:r>
        <w:rPr>
          <w:rFonts w:hint="eastAsia" w:ascii="仿宋" w:hAnsi="仿宋" w:eastAsia="仿宋" w:cs="仿宋"/>
          <w:color w:val="auto"/>
          <w:highlight w:val="none"/>
          <w:lang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681C20BD">
      <w:pPr>
        <w:spacing w:line="360" w:lineRule="auto"/>
        <w:rPr>
          <w:rFonts w:ascii="仿宋" w:hAnsi="仿宋" w:eastAsia="仿宋"/>
          <w:b/>
          <w:bCs/>
          <w:color w:val="auto"/>
          <w:highlight w:val="none"/>
          <w:lang w:eastAsia="zh-CN"/>
        </w:rPr>
      </w:pPr>
      <w:bookmarkStart w:id="828" w:name="_Toc20500"/>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.4</w:t>
      </w:r>
      <w:bookmarkEnd w:id="82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7D85149">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46355</wp:posOffset>
                </wp:positionV>
                <wp:extent cx="784860" cy="437515"/>
                <wp:effectExtent l="0" t="0" r="0" b="0"/>
                <wp:wrapNone/>
                <wp:docPr id="261" name="000208"/>
                <wp:cNvGraphicFramePr/>
                <a:graphic xmlns:a="http://schemas.openxmlformats.org/drawingml/2006/main">
                  <a:graphicData uri="http://schemas.microsoft.com/office/word/2010/wordprocessingShape">
                    <wps:wsp>
                      <wps:cNvSpPr txBox="1"/>
                      <wps:spPr>
                        <a:xfrm>
                          <a:off x="0" y="0"/>
                          <a:ext cx="784860" cy="437515"/>
                        </a:xfrm>
                        <a:prstGeom prst="rect">
                          <a:avLst/>
                        </a:prstGeom>
                        <a:noFill/>
                        <a:ln>
                          <a:noFill/>
                        </a:ln>
                        <a:effectLst/>
                      </wps:spPr>
                      <wps:txbx>
                        <w:txbxContent>
                          <w:p w14:paraId="1C5C5EC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p w14:paraId="7770C6F0"/>
                        </w:txbxContent>
                      </wps:txbx>
                      <wps:bodyPr wrap="square" upright="1"/>
                    </wps:wsp>
                  </a:graphicData>
                </a:graphic>
              </wp:anchor>
            </w:drawing>
          </mc:Choice>
          <mc:Fallback>
            <w:pict>
              <v:shape id="000208" o:spid="_x0000_s1026" o:spt="202" type="#_x0000_t202" style="position:absolute;left:0pt;margin-left:-9pt;margin-top:3.65pt;height:34.45pt;width:61.8pt;z-index:251925504;mso-width-relative:page;mso-height-relative:page;" filled="f" stroked="f" coordsize="21600,21600" o:gfxdata="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X/+NDVAAAACAEA&#10;AA8AAAAAAAAAAQAgAAAAIgAAAGRycy9kb3ducmV2LnhtbFBLAQIUABQAAAAIAIdO4kBsQaAgqwEA&#10;AGYDAAAOAAAAAAAAAAEAIAAAACQBAABkcnMvZTJvRG9jLnhtbFBLBQYAAAAABgAGAFkBAABBBQAA&#10;AAA=&#10;">
                <v:fill on="f" focussize="0,0"/>
                <v:stroke on="f"/>
                <v:imagedata o:title=""/>
                <o:lock v:ext="edit" aspectratio="f"/>
                <v:textbox>
                  <w:txbxContent>
                    <w:p w14:paraId="1C5C5EC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p w14:paraId="7770C6F0"/>
                  </w:txbxContent>
                </v:textbox>
              </v:shape>
            </w:pict>
          </mc:Fallback>
        </mc:AlternateContent>
      </w:r>
      <w:r>
        <w:rPr>
          <w:rFonts w:hint="eastAsia" w:ascii="仿宋" w:hAnsi="仿宋" w:eastAsia="仿宋" w:cs="仿宋"/>
          <w:color w:val="auto"/>
          <w:highlight w:val="none"/>
          <w:lang w:eastAsia="zh-CN"/>
        </w:rPr>
        <w:t>监理人对合同工程质量的检查，不得影响承包人的正常施工。如影响施工正常进行，承包人应向发包人、监理人发出书面改正通知；监理人应及时予以改正，否则承包人有权提出并得到补偿。</w:t>
      </w:r>
    </w:p>
    <w:p w14:paraId="4C971B0C">
      <w:pPr>
        <w:spacing w:line="360" w:lineRule="auto"/>
        <w:rPr>
          <w:rFonts w:ascii="仿宋" w:hAnsi="仿宋" w:eastAsia="仿宋"/>
          <w:b/>
          <w:bCs/>
          <w:color w:val="auto"/>
          <w:highlight w:val="none"/>
          <w:lang w:eastAsia="zh-CN"/>
        </w:rPr>
      </w:pPr>
      <w:bookmarkStart w:id="829" w:name="_Toc29086"/>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.5</w:t>
      </w:r>
      <w:bookmarkEnd w:id="82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9B10649">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46355</wp:posOffset>
                </wp:positionV>
                <wp:extent cx="803910" cy="628015"/>
                <wp:effectExtent l="0" t="0" r="0" b="0"/>
                <wp:wrapNone/>
                <wp:docPr id="262" name="000209"/>
                <wp:cNvGraphicFramePr/>
                <a:graphic xmlns:a="http://schemas.openxmlformats.org/drawingml/2006/main">
                  <a:graphicData uri="http://schemas.microsoft.com/office/word/2010/wordprocessingShape">
                    <wps:wsp>
                      <wps:cNvSpPr txBox="1"/>
                      <wps:spPr>
                        <a:xfrm>
                          <a:off x="0" y="0"/>
                          <a:ext cx="803910" cy="628015"/>
                        </a:xfrm>
                        <a:prstGeom prst="rect">
                          <a:avLst/>
                        </a:prstGeom>
                        <a:noFill/>
                        <a:ln>
                          <a:noFill/>
                        </a:ln>
                        <a:effectLst/>
                      </wps:spPr>
                      <wps:txbx>
                        <w:txbxContent>
                          <w:p w14:paraId="3E5FE91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p w14:paraId="7B6E305D"/>
                        </w:txbxContent>
                      </wps:txbx>
                      <wps:bodyPr wrap="square" upright="1"/>
                    </wps:wsp>
                  </a:graphicData>
                </a:graphic>
              </wp:anchor>
            </w:drawing>
          </mc:Choice>
          <mc:Fallback>
            <w:pict>
              <v:shape id="000209" o:spid="_x0000_s1026" o:spt="202" type="#_x0000_t202" style="position:absolute;left:0pt;margin-left:-9pt;margin-top:3.65pt;height:49.45pt;width:63.3pt;z-index:251926528;mso-width-relative:page;mso-height-relative:page;" filled="f" stroked="f" coordsize="21600,21600" o:gfxdata="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PvwodfWAAAACQEA&#10;AA8AAAAAAAAAAQAgAAAAIgAAAGRycy9kb3ducmV2LnhtbFBLAQIUABQAAAAIAIdO4kDowwDmqgEA&#10;AGYDAAAOAAAAAAAAAAEAIAAAACUBAABkcnMvZTJvRG9jLnhtbFBLBQYAAAAABgAGAFkBAABBBQAA&#10;AAA=&#10;">
                <v:fill on="f" focussize="0,0"/>
                <v:stroke on="f"/>
                <v:imagedata o:title=""/>
                <o:lock v:ext="edit" aspectratio="f"/>
                <v:textbox>
                  <w:txbxContent>
                    <w:p w14:paraId="3E5FE91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p w14:paraId="7B6E305D"/>
                  </w:txbxContent>
                </v:textbox>
              </v:shape>
            </w:pict>
          </mc:Fallback>
        </mc:AlternateContent>
      </w:r>
      <w:r>
        <w:rPr>
          <w:rFonts w:hint="eastAsia" w:ascii="仿宋" w:hAnsi="仿宋" w:eastAsia="仿宋" w:cs="仿宋"/>
          <w:color w:val="auto"/>
          <w:highlight w:val="none"/>
          <w:lang w:eastAsia="zh-CN"/>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14:paraId="3A60F7B3">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5BB7B8CA">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830" w:name="_Toc1905"/>
      <w:bookmarkStart w:id="831" w:name="_Toc1"/>
      <w:bookmarkStart w:id="832" w:name="_Toc18175"/>
      <w:bookmarkStart w:id="833" w:name="_Toc47694335"/>
      <w:bookmarkStart w:id="834" w:name="_Toc20874"/>
      <w:bookmarkStart w:id="835" w:name="_Toc5965"/>
      <w:bookmarkStart w:id="836" w:name="_Toc10979"/>
      <w:bookmarkStart w:id="837" w:name="_Toc27226"/>
      <w:r>
        <w:rPr>
          <w:rFonts w:hint="eastAsia" w:ascii="仿宋" w:hAnsi="仿宋" w:eastAsia="仿宋" w:cs="仿宋"/>
          <w:bCs w:val="0"/>
          <w:color w:val="auto"/>
          <w:sz w:val="24"/>
          <w:szCs w:val="24"/>
          <w:highlight w:val="none"/>
          <w:lang w:eastAsia="zh-CN"/>
        </w:rPr>
        <w:t>★60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隐蔽工程和中间验收</w:t>
      </w:r>
      <w:bookmarkEnd w:id="830"/>
      <w:bookmarkEnd w:id="831"/>
      <w:bookmarkEnd w:id="832"/>
      <w:bookmarkEnd w:id="833"/>
      <w:bookmarkEnd w:id="834"/>
      <w:bookmarkEnd w:id="835"/>
      <w:bookmarkEnd w:id="836"/>
      <w:bookmarkEnd w:id="837"/>
    </w:p>
    <w:p w14:paraId="024E5BF8">
      <w:pPr>
        <w:pStyle w:val="12"/>
        <w:tabs>
          <w:tab w:val="left" w:pos="1320"/>
        </w:tabs>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.1</w:t>
      </w:r>
    </w:p>
    <w:p w14:paraId="212E4BA5">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27552" behindDoc="0" locked="0" layoutInCell="1" allowOverlap="1">
                <wp:simplePos x="0" y="0"/>
                <wp:positionH relativeFrom="column">
                  <wp:posOffset>-73660</wp:posOffset>
                </wp:positionH>
                <wp:positionV relativeFrom="paragraph">
                  <wp:posOffset>17780</wp:posOffset>
                </wp:positionV>
                <wp:extent cx="796290" cy="570230"/>
                <wp:effectExtent l="0" t="0" r="0" b="0"/>
                <wp:wrapNone/>
                <wp:docPr id="263" name="00020a"/>
                <wp:cNvGraphicFramePr/>
                <a:graphic xmlns:a="http://schemas.openxmlformats.org/drawingml/2006/main">
                  <a:graphicData uri="http://schemas.microsoft.com/office/word/2010/wordprocessingShape">
                    <wps:wsp>
                      <wps:cNvSpPr txBox="1"/>
                      <wps:spPr>
                        <a:xfrm>
                          <a:off x="0" y="0"/>
                          <a:ext cx="796290" cy="570230"/>
                        </a:xfrm>
                        <a:prstGeom prst="rect">
                          <a:avLst/>
                        </a:prstGeom>
                        <a:noFill/>
                        <a:ln>
                          <a:noFill/>
                        </a:ln>
                        <a:effectLst/>
                      </wps:spPr>
                      <wps:txbx>
                        <w:txbxContent>
                          <w:p w14:paraId="15E780A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p w14:paraId="307C39E8">
                            <w:pPr>
                              <w:rPr>
                                <w:lang w:eastAsia="zh-CN"/>
                              </w:rPr>
                            </w:pPr>
                          </w:p>
                        </w:txbxContent>
                      </wps:txbx>
                      <wps:bodyPr wrap="square" upright="1"/>
                    </wps:wsp>
                  </a:graphicData>
                </a:graphic>
              </wp:anchor>
            </w:drawing>
          </mc:Choice>
          <mc:Fallback>
            <w:pict>
              <v:shape id="00020a" o:spid="_x0000_s1026" o:spt="202" type="#_x0000_t202" style="position:absolute;left:0pt;margin-left:-5.8pt;margin-top:1.4pt;height:44.9pt;width:62.7pt;z-index:251927552;mso-width-relative:page;mso-height-relative:page;" filled="f" stroked="f" coordsize="21600,21600" o:gfxdata="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xDzCv1QAAAAgB&#10;AAAPAAAAAAAAAAEAIAAAACIAAABkcnMvZG93bnJldi54bWxQSwECFAAUAAAACACHTuJA8Dwn66wB&#10;AABmAwAADgAAAAAAAAABACAAAAAkAQAAZHJzL2Uyb0RvYy54bWxQSwUGAAAAAAYABgBZAQAAQgUA&#10;AAAA&#10;">
                <v:fill on="f" focussize="0,0"/>
                <v:stroke on="f"/>
                <v:imagedata o:title=""/>
                <o:lock v:ext="edit" aspectratio="f"/>
                <v:textbox>
                  <w:txbxContent>
                    <w:p w14:paraId="15E780A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p w14:paraId="307C39E8">
                      <w:pPr>
                        <w:rPr>
                          <w:lang w:eastAsia="zh-CN"/>
                        </w:rPr>
                      </w:pPr>
                    </w:p>
                  </w:txbxContent>
                </v:textbox>
              </v:shape>
            </w:pict>
          </mc:Fallback>
        </mc:AlternateContent>
      </w:r>
      <w:r>
        <w:rPr>
          <w:rFonts w:hint="eastAsia" w:ascii="仿宋" w:hAnsi="仿宋" w:eastAsia="仿宋" w:cs="仿宋"/>
          <w:color w:val="auto"/>
          <w:highlight w:val="none"/>
          <w:lang w:eastAsia="zh-CN"/>
        </w:rPr>
        <w:t>没有经监理人验收同意，任何分部分项工程均不得覆盖或隐蔽。隐蔽工程覆盖前或中间验收部位具备专用条款约定的验收条件时，承包人应进行自检，并在隐蔽或中间验收前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向监理人提出隐蔽工程或中间验收申请，通知监理人验收。通知的内容包括工程隐蔽或中间验收的内容、时间、地点，以及自检记录和必要的验收资料。承包人应准备施工记录、验收表格，并提供必要的资料和协助。</w:t>
      </w:r>
    </w:p>
    <w:p w14:paraId="6A0B81F5">
      <w:pPr>
        <w:spacing w:line="360" w:lineRule="auto"/>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281940</wp:posOffset>
                </wp:positionV>
                <wp:extent cx="785495" cy="464820"/>
                <wp:effectExtent l="0" t="0" r="0" b="0"/>
                <wp:wrapNone/>
                <wp:docPr id="264" name="00020b"/>
                <wp:cNvGraphicFramePr/>
                <a:graphic xmlns:a="http://schemas.openxmlformats.org/drawingml/2006/main">
                  <a:graphicData uri="http://schemas.microsoft.com/office/word/2010/wordprocessingShape">
                    <wps:wsp>
                      <wps:cNvSpPr txBox="1"/>
                      <wps:spPr>
                        <a:xfrm>
                          <a:off x="0" y="0"/>
                          <a:ext cx="785495" cy="464820"/>
                        </a:xfrm>
                        <a:prstGeom prst="rect">
                          <a:avLst/>
                        </a:prstGeom>
                        <a:noFill/>
                        <a:ln>
                          <a:noFill/>
                        </a:ln>
                        <a:effectLst/>
                      </wps:spPr>
                      <wps:txbx>
                        <w:txbxContent>
                          <w:p w14:paraId="6BAE2F7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p w14:paraId="142C9622"/>
                        </w:txbxContent>
                      </wps:txbx>
                      <wps:bodyPr wrap="square" upright="1"/>
                    </wps:wsp>
                  </a:graphicData>
                </a:graphic>
              </wp:anchor>
            </w:drawing>
          </mc:Choice>
          <mc:Fallback>
            <w:pict>
              <v:shape id="00020b" o:spid="_x0000_s1026" o:spt="202" type="#_x0000_t202" style="position:absolute;left:0pt;margin-left:-9pt;margin-top:22.2pt;height:36.6pt;width:61.85pt;z-index:251928576;mso-width-relative:page;mso-height-relative:page;" filled="f" stroked="f" coordsize="21600,21600" o:gfxdata="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VjZ6dgA&#10;AAAKAQAADwAAAAAAAAABACAAAAAiAAAAZHJzL2Rvd25yZXYueG1sUEsBAhQAFAAAAAgAh07iQHud&#10;qAStAQAAZgMAAA4AAAAAAAAAAQAgAAAAJwEAAGRycy9lMm9Eb2MueG1sUEsFBgAAAAAGAAYAWQEA&#10;AEYFAAAAAA==&#10;">
                <v:fill on="f" focussize="0,0"/>
                <v:stroke on="f"/>
                <v:imagedata o:title=""/>
                <o:lock v:ext="edit" aspectratio="f"/>
                <v:textbox>
                  <w:txbxContent>
                    <w:p w14:paraId="6BAE2F7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p w14:paraId="142C9622"/>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.2  </w:t>
      </w:r>
      <w:r>
        <w:rPr>
          <w:rFonts w:ascii="仿宋" w:hAnsi="仿宋" w:eastAsia="仿宋" w:cs="仿宋"/>
          <w:color w:val="auto"/>
          <w:highlight w:val="none"/>
          <w:u w:val="dotted"/>
          <w:lang w:eastAsia="zh-CN"/>
        </w:rPr>
        <w:t xml:space="preserve">                                                                               </w:t>
      </w:r>
    </w:p>
    <w:p w14:paraId="6A36D58F">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如果监理人不能按时参加验收，应至少提前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小时发出延期验收指令并书面说明理由，延期不得超过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小时。如果监理人或其委派的代表未发出延期验收指令也未到场验收，承包人必须停止验收并通知发包人代表；由此增加的费用和（或）延误的工期由发包人承担，并向承包人支付合理利润。</w:t>
      </w:r>
    </w:p>
    <w:p w14:paraId="1048E099">
      <w:pPr>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300355</wp:posOffset>
                </wp:positionV>
                <wp:extent cx="813435" cy="624840"/>
                <wp:effectExtent l="0" t="0" r="0" b="0"/>
                <wp:wrapNone/>
                <wp:docPr id="265" name="00020c"/>
                <wp:cNvGraphicFramePr/>
                <a:graphic xmlns:a="http://schemas.openxmlformats.org/drawingml/2006/main">
                  <a:graphicData uri="http://schemas.microsoft.com/office/word/2010/wordprocessingShape">
                    <wps:wsp>
                      <wps:cNvSpPr txBox="1"/>
                      <wps:spPr>
                        <a:xfrm>
                          <a:off x="0" y="0"/>
                          <a:ext cx="813435" cy="624840"/>
                        </a:xfrm>
                        <a:prstGeom prst="rect">
                          <a:avLst/>
                        </a:prstGeom>
                        <a:noFill/>
                        <a:ln>
                          <a:noFill/>
                        </a:ln>
                        <a:effectLst/>
                      </wps:spPr>
                      <wps:txbx>
                        <w:txbxContent>
                          <w:p w14:paraId="0A0C001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p w14:paraId="3F657072"/>
                        </w:txbxContent>
                      </wps:txbx>
                      <wps:bodyPr wrap="square" upright="1"/>
                    </wps:wsp>
                  </a:graphicData>
                </a:graphic>
              </wp:anchor>
            </w:drawing>
          </mc:Choice>
          <mc:Fallback>
            <w:pict>
              <v:shape id="00020c" o:spid="_x0000_s1026" o:spt="202" type="#_x0000_t202" style="position:absolute;left:0pt;margin-left:-9pt;margin-top:23.65pt;height:49.2pt;width:64.05pt;z-index:251929600;mso-width-relative:page;mso-height-relative:page;" filled="f" stroked="f" coordsize="21600,21600" o:gfxdata="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MWuQ3XAAAA&#10;CgEAAA8AAAAAAAAAAQAgAAAAIgAAAGRycy9kb3ducmV2LnhtbFBLAQIUABQAAAAIAIdO4kBmnFOt&#10;rAEAAGYDAAAOAAAAAAAAAAEAIAAAACYBAABkcnMvZTJvRG9jLnhtbFBLBQYAAAAABgAGAFkBAABE&#10;BQAAAAA=&#10;">
                <v:fill on="f" focussize="0,0"/>
                <v:stroke on="f"/>
                <v:imagedata o:title=""/>
                <o:lock v:ext="edit" aspectratio="f"/>
                <v:textbox>
                  <w:txbxContent>
                    <w:p w14:paraId="0A0C001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p w14:paraId="3F657072"/>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.3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6177D45F">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验收合格的，监理工程师应在验收记录上签字，并形成验收文件，承包人可进行隐蔽或继续施工。验收合格</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小时后，监理工程师仍不在验收记录上签字，视为监理工程师已认可验收记录。</w:t>
      </w:r>
    </w:p>
    <w:p w14:paraId="345EB75E">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验收不合格的，承包人应按照监理人的指令修改后重新验收，由此增加的费用和（或）延误的工期由承包人承担。</w:t>
      </w:r>
    </w:p>
    <w:p w14:paraId="2B03DD85">
      <w:pPr>
        <w:spacing w:line="360" w:lineRule="auto"/>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245110</wp:posOffset>
                </wp:positionV>
                <wp:extent cx="804545" cy="401320"/>
                <wp:effectExtent l="0" t="0" r="0" b="0"/>
                <wp:wrapNone/>
                <wp:docPr id="266" name="00020d"/>
                <wp:cNvGraphicFramePr/>
                <a:graphic xmlns:a="http://schemas.openxmlformats.org/drawingml/2006/main">
                  <a:graphicData uri="http://schemas.microsoft.com/office/word/2010/wordprocessingShape">
                    <wps:wsp>
                      <wps:cNvSpPr txBox="1"/>
                      <wps:spPr>
                        <a:xfrm>
                          <a:off x="0" y="0"/>
                          <a:ext cx="804545" cy="401320"/>
                        </a:xfrm>
                        <a:prstGeom prst="rect">
                          <a:avLst/>
                        </a:prstGeom>
                        <a:noFill/>
                        <a:ln>
                          <a:noFill/>
                        </a:ln>
                        <a:effectLst/>
                      </wps:spPr>
                      <wps:txbx>
                        <w:txbxContent>
                          <w:p w14:paraId="6B64A92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p w14:paraId="6EBCB8C6"/>
                        </w:txbxContent>
                      </wps:txbx>
                      <wps:bodyPr wrap="square" upright="1"/>
                    </wps:wsp>
                  </a:graphicData>
                </a:graphic>
              </wp:anchor>
            </w:drawing>
          </mc:Choice>
          <mc:Fallback>
            <w:pict>
              <v:shape id="00020d" o:spid="_x0000_s1026" o:spt="202" type="#_x0000_t202" style="position:absolute;left:0pt;margin-left:-9pt;margin-top:19.3pt;height:31.6pt;width:63.35pt;z-index:251930624;mso-width-relative:page;mso-height-relative:page;" filled="f" stroked="f" coordsize="21600,21600" o:gfxdata="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81ZvjXAAAA&#10;CgEAAA8AAAAAAAAAAQAgAAAAIgAAAGRycy9kb3ducmV2LnhtbFBLAQIUABQAAAAIAIdO4kB6NvEo&#10;rAEAAGYDAAAOAAAAAAAAAAEAIAAAACYBAABkcnMvZTJvRG9jLnhtbFBLBQYAAAAABgAGAFkBAABE&#10;BQAAAAA=&#10;">
                <v:fill on="f" focussize="0,0"/>
                <v:stroke on="f"/>
                <v:imagedata o:title=""/>
                <o:lock v:ext="edit" aspectratio="f"/>
                <v:textbox>
                  <w:txbxContent>
                    <w:p w14:paraId="6B64A92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p w14:paraId="6EBCB8C6"/>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.4    </w:t>
      </w:r>
      <w:r>
        <w:rPr>
          <w:rFonts w:ascii="仿宋" w:hAnsi="仿宋" w:eastAsia="仿宋" w:cs="仿宋"/>
          <w:color w:val="auto"/>
          <w:highlight w:val="none"/>
          <w:u w:val="dotted"/>
          <w:lang w:eastAsia="zh-CN"/>
        </w:rPr>
        <w:t xml:space="preserve">                                                                             </w:t>
      </w:r>
    </w:p>
    <w:p w14:paraId="29A97B79">
      <w:pPr>
        <w:widowControl w:val="0"/>
        <w:spacing w:line="360" w:lineRule="auto"/>
        <w:ind w:left="1850" w:leftChars="771"/>
        <w:jc w:val="both"/>
        <w:rPr>
          <w:rFonts w:hint="eastAsia"/>
          <w:color w:val="auto"/>
          <w:highlight w:val="none"/>
          <w:lang w:eastAsia="zh-CN"/>
        </w:rPr>
      </w:pPr>
      <w:r>
        <w:rPr>
          <w:rFonts w:hint="eastAsia" w:ascii="仿宋" w:hAnsi="仿宋" w:eastAsia="仿宋" w:cs="仿宋"/>
          <w:color w:val="auto"/>
          <w:highlight w:val="none"/>
          <w:lang w:eastAsia="zh-CN"/>
        </w:rPr>
        <w:t>如监理工程师有指令，承包人应对隐蔽工程进行拍摄或照相，保证监理工程师能充分检查和测量隐蔽的工程。</w:t>
      </w:r>
    </w:p>
    <w:p w14:paraId="1984D606">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245110</wp:posOffset>
                </wp:positionV>
                <wp:extent cx="575945" cy="249555"/>
                <wp:effectExtent l="0" t="0" r="0" b="0"/>
                <wp:wrapNone/>
                <wp:docPr id="267" name="00020e"/>
                <wp:cNvGraphicFramePr/>
                <a:graphic xmlns:a="http://schemas.openxmlformats.org/drawingml/2006/main">
                  <a:graphicData uri="http://schemas.microsoft.com/office/word/2010/wordprocessingShape">
                    <wps:wsp>
                      <wps:cNvSpPr txBox="1"/>
                      <wps:spPr>
                        <a:xfrm>
                          <a:off x="0" y="0"/>
                          <a:ext cx="575945" cy="249555"/>
                        </a:xfrm>
                        <a:prstGeom prst="rect">
                          <a:avLst/>
                        </a:prstGeom>
                        <a:noFill/>
                        <a:ln>
                          <a:noFill/>
                        </a:ln>
                        <a:effectLst/>
                      </wps:spPr>
                      <wps:txbx>
                        <w:txbxContent>
                          <w:p w14:paraId="2AD532DC">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p w14:paraId="61A50539"/>
                        </w:txbxContent>
                      </wps:txbx>
                      <wps:bodyPr wrap="square" upright="1"/>
                    </wps:wsp>
                  </a:graphicData>
                </a:graphic>
              </wp:anchor>
            </w:drawing>
          </mc:Choice>
          <mc:Fallback>
            <w:pict>
              <v:shape id="00020e" o:spid="_x0000_s1026" o:spt="202" type="#_x0000_t202" style="position:absolute;left:0pt;margin-left:-9pt;margin-top:19.3pt;height:19.65pt;width:45.35pt;z-index:251931648;mso-width-relative:page;mso-height-relative:page;" filled="f" stroked="f" coordsize="21600,21600" o:gfxdata="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RiQ73XAAAA&#10;CAEAAA8AAAAAAAAAAQAgAAAAIgAAAGRycy9kb3ducmV2LnhtbFBLAQIUABQAAAAIAIdO4kBbsCl3&#10;rAEAAGYDAAAOAAAAAAAAAAEAIAAAACYBAABkcnMvZTJvRG9jLnhtbFBLBQYAAAAABgAGAFkBAABE&#10;BQAAAAA=&#10;">
                <v:fill on="f" focussize="0,0"/>
                <v:stroke on="f"/>
                <v:imagedata o:title=""/>
                <o:lock v:ext="edit" aspectratio="f"/>
                <v:textbox>
                  <w:txbxContent>
                    <w:p w14:paraId="2AD532DC">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p w14:paraId="61A50539"/>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4A547D2F">
      <w:pPr>
        <w:widowControl w:val="0"/>
        <w:spacing w:line="360" w:lineRule="auto"/>
        <w:ind w:left="1850" w:leftChars="771"/>
        <w:jc w:val="both"/>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承包人未通知监理工程师到场验收，私自将隐蔽工程覆盖的，监理工程师有权指令承包人进行钻孔探测或剥露验收，由此增加的费用和（或）延误的工期由承包人承担。</w:t>
      </w:r>
    </w:p>
    <w:p w14:paraId="65252C5D">
      <w:pPr>
        <w:pStyle w:val="12"/>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275DF8B3">
      <w:pPr>
        <w:pStyle w:val="3"/>
        <w:tabs>
          <w:tab w:val="left" w:pos="420"/>
        </w:tabs>
        <w:spacing w:before="120" w:after="120" w:line="360" w:lineRule="auto"/>
        <w:rPr>
          <w:rFonts w:ascii="仿宋" w:hAnsi="仿宋" w:eastAsia="仿宋" w:cs="仿宋"/>
          <w:bCs w:val="0"/>
          <w:i w:val="0"/>
          <w:iCs w:val="0"/>
          <w:color w:val="auto"/>
          <w:sz w:val="24"/>
          <w:szCs w:val="24"/>
          <w:highlight w:val="none"/>
          <w:lang w:eastAsia="zh-CN"/>
        </w:rPr>
      </w:pPr>
      <w:bookmarkStart w:id="838" w:name="_Toc11803"/>
      <w:bookmarkStart w:id="839" w:name="_Toc11433"/>
      <w:bookmarkStart w:id="840" w:name="_Toc6169"/>
      <w:bookmarkStart w:id="841" w:name="_Toc16566"/>
      <w:bookmarkStart w:id="842" w:name="_Toc4888"/>
      <w:bookmarkStart w:id="843" w:name="_Toc4683"/>
      <w:bookmarkStart w:id="844" w:name="_Toc47694336"/>
      <w:bookmarkStart w:id="845" w:name="_Toc20702"/>
      <w:r>
        <w:rPr>
          <w:rFonts w:hint="eastAsia" w:ascii="仿宋" w:hAnsi="仿宋" w:eastAsia="仿宋" w:cs="仿宋"/>
          <w:bCs w:val="0"/>
          <w:i w:val="0"/>
          <w:iCs w:val="0"/>
          <w:color w:val="auto"/>
          <w:sz w:val="24"/>
          <w:szCs w:val="24"/>
          <w:highlight w:val="none"/>
          <w:lang w:eastAsia="zh-CN"/>
        </w:rPr>
        <w:t>★61</w:t>
      </w:r>
      <w:r>
        <w:rPr>
          <w:rFonts w:ascii="仿宋" w:hAnsi="仿宋" w:eastAsia="仿宋" w:cs="仿宋"/>
          <w:bCs w:val="0"/>
          <w:i w:val="0"/>
          <w:iCs w:val="0"/>
          <w:color w:val="auto"/>
          <w:sz w:val="24"/>
          <w:szCs w:val="24"/>
          <w:highlight w:val="none"/>
          <w:lang w:eastAsia="zh-CN"/>
        </w:rPr>
        <w:t xml:space="preserve">  </w:t>
      </w:r>
      <w:r>
        <w:rPr>
          <w:rFonts w:hint="eastAsia" w:ascii="仿宋" w:hAnsi="仿宋" w:eastAsia="仿宋" w:cs="仿宋"/>
          <w:bCs w:val="0"/>
          <w:i w:val="0"/>
          <w:iCs w:val="0"/>
          <w:color w:val="auto"/>
          <w:sz w:val="24"/>
          <w:szCs w:val="24"/>
          <w:highlight w:val="none"/>
          <w:lang w:eastAsia="zh-CN"/>
        </w:rPr>
        <w:t>重新验收和额外检查检验</w:t>
      </w:r>
      <w:bookmarkEnd w:id="838"/>
      <w:bookmarkEnd w:id="839"/>
      <w:bookmarkEnd w:id="840"/>
      <w:bookmarkEnd w:id="841"/>
      <w:bookmarkEnd w:id="842"/>
      <w:bookmarkEnd w:id="843"/>
      <w:bookmarkEnd w:id="844"/>
      <w:bookmarkEnd w:id="845"/>
    </w:p>
    <w:p w14:paraId="4374A3A1">
      <w:pPr>
        <w:pStyle w:val="12"/>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61</w:t>
      </w:r>
      <w:r>
        <w:rPr>
          <w:rFonts w:ascii="仿宋" w:hAnsi="仿宋" w:eastAsia="仿宋" w:cs="仿宋"/>
          <w:b/>
          <w:bCs/>
          <w:color w:val="auto"/>
          <w:highlight w:val="none"/>
          <w:lang w:eastAsia="zh-CN"/>
        </w:rPr>
        <w:t>.1</w:t>
      </w:r>
    </w:p>
    <w:p w14:paraId="26883212">
      <w:pPr>
        <w:widowControl w:val="0"/>
        <w:spacing w:line="360" w:lineRule="auto"/>
        <w:ind w:left="1850" w:leftChars="771"/>
        <w:jc w:val="both"/>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65405</wp:posOffset>
                </wp:positionV>
                <wp:extent cx="817245" cy="521970"/>
                <wp:effectExtent l="0" t="0" r="0" b="0"/>
                <wp:wrapNone/>
                <wp:docPr id="268" name="00020f"/>
                <wp:cNvGraphicFramePr/>
                <a:graphic xmlns:a="http://schemas.openxmlformats.org/drawingml/2006/main">
                  <a:graphicData uri="http://schemas.microsoft.com/office/word/2010/wordprocessingShape">
                    <wps:wsp>
                      <wps:cNvSpPr txBox="1"/>
                      <wps:spPr>
                        <a:xfrm>
                          <a:off x="0" y="0"/>
                          <a:ext cx="817245" cy="521970"/>
                        </a:xfrm>
                        <a:prstGeom prst="rect">
                          <a:avLst/>
                        </a:prstGeom>
                        <a:noFill/>
                        <a:ln>
                          <a:noFill/>
                        </a:ln>
                        <a:effectLst/>
                      </wps:spPr>
                      <wps:txbx>
                        <w:txbxContent>
                          <w:p w14:paraId="32711F5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p w14:paraId="4543E0AE"/>
                        </w:txbxContent>
                      </wps:txbx>
                      <wps:bodyPr wrap="square" upright="1"/>
                    </wps:wsp>
                  </a:graphicData>
                </a:graphic>
              </wp:anchor>
            </w:drawing>
          </mc:Choice>
          <mc:Fallback>
            <w:pict>
              <v:shape id="00020f" o:spid="_x0000_s1026" o:spt="202" type="#_x0000_t202" style="position:absolute;left:0pt;margin-left:-9pt;margin-top:5.15pt;height:41.1pt;width:64.35pt;z-index:251932672;mso-width-relative:page;mso-height-relative:page;" filled="f" stroked="f" coordsize="21600,21600" o:gfxdata="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sCZSLWAAAA&#10;CQEAAA8AAAAAAAAAAQAgAAAAIgAAAGRycy9kb3ducmV2LnhtbFBLAQIUABQAAAAIAIdO4kAJv9ee&#10;rQEAAGYDAAAOAAAAAAAAAAEAIAAAACUBAABkcnMvZTJvRG9jLnhtbFBLBQYAAAAABgAGAFkBAABE&#10;BQAAAAA=&#10;">
                <v:fill on="f" focussize="0,0"/>
                <v:stroke on="f"/>
                <v:imagedata o:title=""/>
                <o:lock v:ext="edit" aspectratio="f"/>
                <v:textbox>
                  <w:txbxContent>
                    <w:p w14:paraId="32711F5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p w14:paraId="4543E0AE"/>
                  </w:txbxContent>
                </v:textbox>
              </v:shape>
            </w:pict>
          </mc:Fallback>
        </mc:AlternateContent>
      </w:r>
      <w:r>
        <w:rPr>
          <w:rFonts w:hint="eastAsia" w:ascii="仿宋" w:hAnsi="仿宋" w:eastAsia="仿宋" w:cs="仿宋"/>
          <w:color w:val="auto"/>
          <w:highlight w:val="none"/>
          <w:lang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4DF74668">
      <w:pPr>
        <w:pStyle w:val="12"/>
        <w:tabs>
          <w:tab w:val="left" w:pos="540"/>
          <w:tab w:val="left" w:pos="720"/>
        </w:tabs>
        <w:spacing w:line="360" w:lineRule="auto"/>
        <w:ind w:firstLine="0"/>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61</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0FEAA2A4">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7620</wp:posOffset>
                </wp:positionV>
                <wp:extent cx="791210" cy="528320"/>
                <wp:effectExtent l="0" t="0" r="0" b="0"/>
                <wp:wrapNone/>
                <wp:docPr id="269" name="000210"/>
                <wp:cNvGraphicFramePr/>
                <a:graphic xmlns:a="http://schemas.openxmlformats.org/drawingml/2006/main">
                  <a:graphicData uri="http://schemas.microsoft.com/office/word/2010/wordprocessingShape">
                    <wps:wsp>
                      <wps:cNvSpPr txBox="1"/>
                      <wps:spPr>
                        <a:xfrm>
                          <a:off x="0" y="0"/>
                          <a:ext cx="791210" cy="528320"/>
                        </a:xfrm>
                        <a:prstGeom prst="rect">
                          <a:avLst/>
                        </a:prstGeom>
                        <a:noFill/>
                        <a:ln>
                          <a:noFill/>
                        </a:ln>
                        <a:effectLst/>
                      </wps:spPr>
                      <wps:txbx>
                        <w:txbxContent>
                          <w:p w14:paraId="5CBB4AB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p w14:paraId="1F6B2868"/>
                        </w:txbxContent>
                      </wps:txbx>
                      <wps:bodyPr wrap="square" upright="1"/>
                    </wps:wsp>
                  </a:graphicData>
                </a:graphic>
              </wp:anchor>
            </w:drawing>
          </mc:Choice>
          <mc:Fallback>
            <w:pict>
              <v:shape id="000210" o:spid="_x0000_s1026" o:spt="202" type="#_x0000_t202" style="position:absolute;left:0pt;margin-left:-9pt;margin-top:0.6pt;height:41.6pt;width:62.3pt;z-index:251933696;mso-width-relative:page;mso-height-relative:page;" filled="f" stroked="f" coordsize="21600,21600" o:gfxdata="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GoJPo1QAAAAgBAAAP&#10;AAAAAAAAAAEAIAAAACIAAABkcnMvZG93bnJldi54bWxQSwECFAAUAAAACACHTuJARQTPA6kBAABm&#10;AwAADgAAAAAAAAABACAAAAAkAQAAZHJzL2Uyb0RvYy54bWxQSwUGAAAAAAYABgBZAQAAPwUAAAAA&#10;">
                <v:fill on="f" focussize="0,0"/>
                <v:stroke on="f"/>
                <v:imagedata o:title=""/>
                <o:lock v:ext="edit" aspectratio="f"/>
                <v:textbox>
                  <w:txbxContent>
                    <w:p w14:paraId="5CBB4AB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p w14:paraId="1F6B2868"/>
                  </w:txbxContent>
                </v:textbox>
              </v:shape>
            </w:pict>
          </mc:Fallback>
        </mc:AlternateContent>
      </w:r>
      <w:r>
        <w:rPr>
          <w:rFonts w:hint="eastAsia" w:ascii="仿宋" w:hAnsi="仿宋" w:eastAsia="仿宋" w:cs="仿宋"/>
          <w:color w:val="auto"/>
          <w:highlight w:val="none"/>
          <w:lang w:eastAsia="zh-CN"/>
        </w:rPr>
        <w:t>当监理工程师指令承包人进行合同中没有约定的检查检验，以核实合同工程某一部位或某种工程材料和工程设备等产品是否有缺陷时，承包人应按照要求进行检查检验。存在缺陷的，分别按照第</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7.7款、第59</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款约定处理；没有缺陷的，检查检验的费用和（或）延误的工期由发包人承担，并向承包人支付合理利润。</w:t>
      </w:r>
    </w:p>
    <w:p w14:paraId="1032CB15">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44DBA2AF">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846" w:name="_Toc7517"/>
      <w:bookmarkStart w:id="847" w:name="_Toc9830"/>
      <w:bookmarkStart w:id="848" w:name="_Toc479"/>
      <w:bookmarkStart w:id="849" w:name="_Toc4857"/>
      <w:bookmarkStart w:id="850" w:name="_Toc12460"/>
      <w:bookmarkStart w:id="851" w:name="_Toc47694337"/>
      <w:bookmarkStart w:id="852" w:name="_Toc32393"/>
      <w:bookmarkStart w:id="853" w:name="_Toc7390"/>
      <w:r>
        <w:rPr>
          <w:rFonts w:hint="eastAsia" w:ascii="仿宋" w:hAnsi="仿宋" w:eastAsia="仿宋" w:cs="仿宋"/>
          <w:bCs w:val="0"/>
          <w:color w:val="auto"/>
          <w:sz w:val="24"/>
          <w:szCs w:val="24"/>
          <w:highlight w:val="none"/>
          <w:lang w:eastAsia="zh-CN"/>
        </w:rPr>
        <w:t>62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工程试车</w:t>
      </w:r>
      <w:bookmarkEnd w:id="846"/>
      <w:bookmarkEnd w:id="847"/>
      <w:bookmarkEnd w:id="848"/>
      <w:bookmarkEnd w:id="849"/>
      <w:bookmarkEnd w:id="850"/>
      <w:bookmarkEnd w:id="851"/>
      <w:bookmarkEnd w:id="852"/>
      <w:bookmarkEnd w:id="853"/>
    </w:p>
    <w:p w14:paraId="2253D363">
      <w:pPr>
        <w:rPr>
          <w:rFonts w:ascii="仿宋" w:hAnsi="仿宋" w:eastAsia="仿宋"/>
          <w:b/>
          <w:bCs/>
          <w:color w:val="auto"/>
          <w:highlight w:val="none"/>
          <w:lang w:eastAsia="zh-CN"/>
        </w:rPr>
      </w:pPr>
      <w:bookmarkStart w:id="854" w:name="_Toc32034"/>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.1</w:t>
      </w:r>
      <w:bookmarkEnd w:id="854"/>
    </w:p>
    <w:p w14:paraId="326072B1">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16510</wp:posOffset>
                </wp:positionV>
                <wp:extent cx="846455" cy="300355"/>
                <wp:effectExtent l="0" t="0" r="0" b="0"/>
                <wp:wrapNone/>
                <wp:docPr id="270" name="000211"/>
                <wp:cNvGraphicFramePr/>
                <a:graphic xmlns:a="http://schemas.openxmlformats.org/drawingml/2006/main">
                  <a:graphicData uri="http://schemas.microsoft.com/office/word/2010/wordprocessingShape">
                    <wps:wsp>
                      <wps:cNvSpPr txBox="1"/>
                      <wps:spPr>
                        <a:xfrm>
                          <a:off x="0" y="0"/>
                          <a:ext cx="846455" cy="300355"/>
                        </a:xfrm>
                        <a:prstGeom prst="rect">
                          <a:avLst/>
                        </a:prstGeom>
                        <a:noFill/>
                        <a:ln>
                          <a:noFill/>
                        </a:ln>
                        <a:effectLst/>
                      </wps:spPr>
                      <wps:txbx>
                        <w:txbxContent>
                          <w:p w14:paraId="363BFDEE">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p w14:paraId="049C6960"/>
                        </w:txbxContent>
                      </wps:txbx>
                      <wps:bodyPr wrap="square" upright="1"/>
                    </wps:wsp>
                  </a:graphicData>
                </a:graphic>
              </wp:anchor>
            </w:drawing>
          </mc:Choice>
          <mc:Fallback>
            <w:pict>
              <v:shape id="000211" o:spid="_x0000_s1026" o:spt="202" type="#_x0000_t202" style="position:absolute;left:0pt;margin-left:-9pt;margin-top:1.3pt;height:23.65pt;width:66.65pt;z-index:251934720;mso-width-relative:page;mso-height-relative:page;" filled="f" stroked="f" coordsize="21600,21600" o:gfxdata="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p8sdS1gAAAAgB&#10;AAAPAAAAAAAAAAEAIAAAACIAAABkcnMvZG93bnJldi54bWxQSwECFAAUAAAACACHTuJAzDS50qsB&#10;AABmAwAADgAAAAAAAAABACAAAAAlAQAAZHJzL2Uyb0RvYy54bWxQSwUGAAAAAAYABgBZAQAAQgUA&#10;AAAA&#10;">
                <v:fill on="f" focussize="0,0"/>
                <v:stroke on="f"/>
                <v:imagedata o:title=""/>
                <o:lock v:ext="edit" aspectratio="f"/>
                <v:textbox>
                  <w:txbxContent>
                    <w:p w14:paraId="363BFDEE">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p w14:paraId="049C6960"/>
                  </w:txbxContent>
                </v:textbox>
              </v:shape>
            </w:pict>
          </mc:Fallback>
        </mc:AlternateContent>
      </w:r>
      <w:r>
        <w:rPr>
          <w:rFonts w:hint="eastAsia" w:ascii="仿宋" w:hAnsi="仿宋" w:eastAsia="仿宋" w:cs="仿宋"/>
          <w:color w:val="auto"/>
          <w:highlight w:val="none"/>
          <w:lang w:eastAsia="zh-CN"/>
        </w:rPr>
        <w:t>按照合同约定需要试车的，试车的内容应与承包人承包的安装范围相一致。</w:t>
      </w:r>
    </w:p>
    <w:p w14:paraId="265A70C0">
      <w:pPr>
        <w:spacing w:line="360" w:lineRule="auto"/>
        <w:rPr>
          <w:rFonts w:ascii="仿宋" w:hAnsi="仿宋" w:eastAsia="仿宋" w:cs="仿宋"/>
          <w:b/>
          <w:bCs/>
          <w:color w:val="auto"/>
          <w:highlight w:val="none"/>
          <w:u w:val="dotted"/>
          <w:lang w:eastAsia="zh-CN"/>
        </w:rPr>
      </w:pPr>
      <w:bookmarkStart w:id="855" w:name="_Toc28883"/>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.2</w:t>
      </w:r>
      <w:bookmarkEnd w:id="85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70F4F4E">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发包人应为承包人试车提供便利和协助</w:t>
      </w:r>
      <w:r>
        <w:rPr>
          <w:color w:val="auto"/>
          <w:highlight w:val="none"/>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3175</wp:posOffset>
                </wp:positionV>
                <wp:extent cx="785495" cy="504190"/>
                <wp:effectExtent l="0" t="0" r="0" b="0"/>
                <wp:wrapNone/>
                <wp:docPr id="271" name="000212"/>
                <wp:cNvGraphicFramePr/>
                <a:graphic xmlns:a="http://schemas.openxmlformats.org/drawingml/2006/main">
                  <a:graphicData uri="http://schemas.microsoft.com/office/word/2010/wordprocessingShape">
                    <wps:wsp>
                      <wps:cNvSpPr txBox="1"/>
                      <wps:spPr>
                        <a:xfrm>
                          <a:off x="0" y="0"/>
                          <a:ext cx="785495" cy="504190"/>
                        </a:xfrm>
                        <a:prstGeom prst="rect">
                          <a:avLst/>
                        </a:prstGeom>
                        <a:noFill/>
                        <a:ln>
                          <a:noFill/>
                        </a:ln>
                        <a:effectLst/>
                      </wps:spPr>
                      <wps:txbx>
                        <w:txbxContent>
                          <w:p w14:paraId="603714B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p w14:paraId="0648BE5C"/>
                        </w:txbxContent>
                      </wps:txbx>
                      <wps:bodyPr wrap="square" upright="1"/>
                    </wps:wsp>
                  </a:graphicData>
                </a:graphic>
              </wp:anchor>
            </w:drawing>
          </mc:Choice>
          <mc:Fallback>
            <w:pict>
              <v:shape id="000212" o:spid="_x0000_s1026" o:spt="202" type="#_x0000_t202" style="position:absolute;left:0pt;margin-left:-9pt;margin-top:0.25pt;height:39.7pt;width:61.85pt;z-index:251935744;mso-width-relative:page;mso-height-relative:page;" filled="f" stroked="f" coordsize="21600,21600" o:gfxdata="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4GKITtUAAAAH&#10;AQAADwAAAAAAAAABACAAAAAiAAAAZHJzL2Rvd25yZXYueG1sUEsBAhQAFAAAAAgAh07iQLUGYhqt&#10;AQAAZgMAAA4AAAAAAAAAAQAgAAAAJAEAAGRycy9lMm9Eb2MueG1sUEsFBgAAAAAGAAYAWQEAAEMF&#10;AAAAAA==&#10;">
                <v:fill on="f" focussize="0,0"/>
                <v:stroke on="f"/>
                <v:imagedata o:title=""/>
                <o:lock v:ext="edit" aspectratio="f"/>
                <v:textbox>
                  <w:txbxContent>
                    <w:p w14:paraId="603714B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p w14:paraId="0648BE5C"/>
                  </w:txbxContent>
                </v:textbox>
              </v:shape>
            </w:pict>
          </mc:Fallback>
        </mc:AlternateContent>
      </w:r>
      <w:r>
        <w:rPr>
          <w:rFonts w:hint="eastAsia" w:ascii="仿宋" w:hAnsi="仿宋" w:eastAsia="仿宋" w:cs="仿宋"/>
          <w:color w:val="auto"/>
          <w:highlight w:val="none"/>
          <w:lang w:eastAsia="zh-CN"/>
        </w:rPr>
        <w:t>，设备安装工程具备单机无负荷试车条件时，承包人应组织试车，并在试车前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小时以书面形式通知监理人。通知包括试车内容、时间和地点。承包人应自行准备试车记录。</w:t>
      </w:r>
    </w:p>
    <w:p w14:paraId="35E9052E">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监理人不能按时参加试车的，应在开始试车前至少提前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小时发出延期试车指令并书面说明理由，延期不能超过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小时。监理人未发出延期试车指令也未能按时参加试车的，承包人可自行试车，并认为试车是经监理人同意下完成的。试车完成后，承包人应立即向监理人提交试车记录，监理人应予认可。</w:t>
      </w:r>
    </w:p>
    <w:p w14:paraId="60628655">
      <w:pPr>
        <w:spacing w:line="360" w:lineRule="auto"/>
        <w:rPr>
          <w:rFonts w:ascii="仿宋" w:hAnsi="仿宋" w:eastAsia="仿宋" w:cs="仿宋"/>
          <w:color w:val="auto"/>
          <w:highlight w:val="none"/>
          <w:u w:val="dotted"/>
          <w:lang w:eastAsia="zh-CN"/>
        </w:rPr>
      </w:pPr>
      <w:bookmarkStart w:id="856" w:name="_Toc18884"/>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.3</w:t>
      </w:r>
      <w:bookmarkEnd w:id="856"/>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6042961F">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36768" behindDoc="0" locked="0" layoutInCell="1" allowOverlap="1">
                <wp:simplePos x="0" y="0"/>
                <wp:positionH relativeFrom="column">
                  <wp:posOffset>-73660</wp:posOffset>
                </wp:positionH>
                <wp:positionV relativeFrom="paragraph">
                  <wp:posOffset>635</wp:posOffset>
                </wp:positionV>
                <wp:extent cx="824865" cy="601345"/>
                <wp:effectExtent l="0" t="0" r="0" b="0"/>
                <wp:wrapNone/>
                <wp:docPr id="272" name="000213"/>
                <wp:cNvGraphicFramePr/>
                <a:graphic xmlns:a="http://schemas.openxmlformats.org/drawingml/2006/main">
                  <a:graphicData uri="http://schemas.microsoft.com/office/word/2010/wordprocessingShape">
                    <wps:wsp>
                      <wps:cNvSpPr txBox="1"/>
                      <wps:spPr>
                        <a:xfrm>
                          <a:off x="0" y="0"/>
                          <a:ext cx="824865" cy="601345"/>
                        </a:xfrm>
                        <a:prstGeom prst="rect">
                          <a:avLst/>
                        </a:prstGeom>
                        <a:noFill/>
                        <a:ln>
                          <a:noFill/>
                        </a:ln>
                        <a:effectLst/>
                      </wps:spPr>
                      <wps:txbx>
                        <w:txbxContent>
                          <w:p w14:paraId="30AF876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p w14:paraId="237956B1"/>
                        </w:txbxContent>
                      </wps:txbx>
                      <wps:bodyPr wrap="square" upright="1"/>
                    </wps:wsp>
                  </a:graphicData>
                </a:graphic>
              </wp:anchor>
            </w:drawing>
          </mc:Choice>
          <mc:Fallback>
            <w:pict>
              <v:shape id="000213" o:spid="_x0000_s1026" o:spt="202" type="#_x0000_t202" style="position:absolute;left:0pt;margin-left:-5.8pt;margin-top:0.05pt;height:47.35pt;width:64.95pt;z-index:251936768;mso-width-relative:page;mso-height-relative:page;" filled="f" stroked="f" coordsize="21600,21600" o:gfxdata="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1L5HrtMAAAAHAQAA&#10;DwAAAAAAAAABACAAAAAiAAAAZHJzL2Rvd25yZXYueG1sUEsBAhQAFAAAAAgAh07iQLb2RumsAQAA&#10;ZgMAAA4AAAAAAAAAAQAgAAAAIgEAAGRycy9lMm9Eb2MueG1sUEsFBgAAAAAGAAYAWQEAAEAFAAAA&#10;AA==&#10;">
                <v:fill on="f" focussize="0,0"/>
                <v:stroke on="f"/>
                <v:imagedata o:title=""/>
                <o:lock v:ext="edit" aspectratio="f"/>
                <v:textbox>
                  <w:txbxContent>
                    <w:p w14:paraId="30AF876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p w14:paraId="237956B1"/>
                  </w:txbxContent>
                </v:textbox>
              </v:shape>
            </w:pict>
          </mc:Fallback>
        </mc:AlternateContent>
      </w:r>
      <w:r>
        <w:rPr>
          <w:rFonts w:hint="eastAsia" w:ascii="仿宋" w:hAnsi="仿宋" w:eastAsia="仿宋" w:cs="仿宋"/>
          <w:color w:val="auto"/>
          <w:highlight w:val="none"/>
          <w:lang w:eastAsia="zh-CN"/>
        </w:rPr>
        <w:t>单机试车合格，监理工程师应在试车记录上签字，承包人可继续施工或申请办理竣工验收手续。单机试车合格</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小时后，监理工程师仍不在试车记录上签字的，视为监理工程师已认可试车记录。</w:t>
      </w:r>
    </w:p>
    <w:p w14:paraId="68B2C493">
      <w:pPr>
        <w:spacing w:line="360" w:lineRule="auto"/>
        <w:rPr>
          <w:rFonts w:ascii="仿宋" w:hAnsi="仿宋" w:eastAsia="仿宋" w:cs="仿宋"/>
          <w:b/>
          <w:bCs/>
          <w:color w:val="auto"/>
          <w:highlight w:val="none"/>
          <w:u w:val="dotted"/>
          <w:lang w:eastAsia="zh-CN"/>
        </w:rPr>
      </w:pPr>
      <w:bookmarkStart w:id="857" w:name="_Toc13716"/>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.4</w:t>
      </w:r>
      <w:bookmarkEnd w:id="85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69C442B">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37792" behindDoc="0" locked="0" layoutInCell="1" allowOverlap="1">
                <wp:simplePos x="0" y="0"/>
                <wp:positionH relativeFrom="column">
                  <wp:posOffset>-73660</wp:posOffset>
                </wp:positionH>
                <wp:positionV relativeFrom="paragraph">
                  <wp:posOffset>11430</wp:posOffset>
                </wp:positionV>
                <wp:extent cx="844550" cy="662305"/>
                <wp:effectExtent l="0" t="0" r="0" b="0"/>
                <wp:wrapNone/>
                <wp:docPr id="273" name="000214"/>
                <wp:cNvGraphicFramePr/>
                <a:graphic xmlns:a="http://schemas.openxmlformats.org/drawingml/2006/main">
                  <a:graphicData uri="http://schemas.microsoft.com/office/word/2010/wordprocessingShape">
                    <wps:wsp>
                      <wps:cNvSpPr txBox="1"/>
                      <wps:spPr>
                        <a:xfrm>
                          <a:off x="0" y="0"/>
                          <a:ext cx="844550" cy="662305"/>
                        </a:xfrm>
                        <a:prstGeom prst="rect">
                          <a:avLst/>
                        </a:prstGeom>
                        <a:noFill/>
                        <a:ln>
                          <a:noFill/>
                        </a:ln>
                        <a:effectLst/>
                      </wps:spPr>
                      <wps:txbx>
                        <w:txbxContent>
                          <w:p w14:paraId="12D94763">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p w14:paraId="59FE0FC5">
                            <w:pPr>
                              <w:rPr>
                                <w:lang w:eastAsia="zh-CN"/>
                              </w:rPr>
                            </w:pPr>
                          </w:p>
                        </w:txbxContent>
                      </wps:txbx>
                      <wps:bodyPr wrap="square" upright="1"/>
                    </wps:wsp>
                  </a:graphicData>
                </a:graphic>
              </wp:anchor>
            </w:drawing>
          </mc:Choice>
          <mc:Fallback>
            <w:pict>
              <v:shape id="000214" o:spid="_x0000_s1026" o:spt="202" type="#_x0000_t202" style="position:absolute;left:0pt;margin-left:-5.8pt;margin-top:0.9pt;height:52.15pt;width:66.5pt;z-index:251937792;mso-width-relative:page;mso-height-relative:page;" filled="f" stroked="f" coordsize="21600,21600" o:gfxdata="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ksEZzVAAAACQEA&#10;AA8AAAAAAAAAAQAgAAAAIgAAAGRycy9kb3ducmV2LnhtbFBLAQIUABQAAAAIAIdO4kArOe8VqwEA&#10;AGYDAAAOAAAAAAAAAAEAIAAAACQBAABkcnMvZTJvRG9jLnhtbFBLBQYAAAAABgAGAFkBAABBBQAA&#10;AAA=&#10;">
                <v:fill on="f" focussize="0,0"/>
                <v:stroke on="f"/>
                <v:imagedata o:title=""/>
                <o:lock v:ext="edit" aspectratio="f"/>
                <v:textbox>
                  <w:txbxContent>
                    <w:p w14:paraId="12D94763">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p w14:paraId="59FE0FC5">
                      <w:pPr>
                        <w:rPr>
                          <w:lang w:eastAsia="zh-CN"/>
                        </w:rPr>
                      </w:pPr>
                    </w:p>
                  </w:txbxContent>
                </v:textbox>
              </v:shape>
            </w:pict>
          </mc:Fallback>
        </mc:AlternateContent>
      </w:r>
      <w:r>
        <w:rPr>
          <w:rFonts w:hint="eastAsia" w:ascii="仿宋" w:hAnsi="仿宋" w:eastAsia="仿宋" w:cs="仿宋"/>
          <w:color w:val="auto"/>
          <w:highlight w:val="none"/>
          <w:lang w:eastAsia="zh-CN"/>
        </w:rPr>
        <w:t>设备安装工程具备联动无负荷试车条件时，发包人应组织试车，并在试车前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小时以书面形式通知承包人。通知包括试车内容、时间、地点和对承包人的要求，承包人应按照要求做好准备工作。试车合格，合同双方当事人均应在试车记录上签字。</w:t>
      </w:r>
    </w:p>
    <w:p w14:paraId="68C2E59A">
      <w:pPr>
        <w:spacing w:line="360" w:lineRule="auto"/>
        <w:rPr>
          <w:rFonts w:ascii="仿宋" w:hAnsi="仿宋" w:eastAsia="仿宋" w:cs="仿宋"/>
          <w:b/>
          <w:bCs/>
          <w:color w:val="auto"/>
          <w:highlight w:val="none"/>
          <w:u w:val="dotted"/>
          <w:lang w:eastAsia="zh-CN"/>
        </w:rPr>
      </w:pPr>
      <w:bookmarkStart w:id="858" w:name="_Toc5680"/>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.5</w:t>
      </w:r>
      <w:bookmarkEnd w:id="85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240E816">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-6350</wp:posOffset>
                </wp:positionV>
                <wp:extent cx="831850" cy="667385"/>
                <wp:effectExtent l="0" t="0" r="0" b="0"/>
                <wp:wrapNone/>
                <wp:docPr id="274" name="000215"/>
                <wp:cNvGraphicFramePr/>
                <a:graphic xmlns:a="http://schemas.openxmlformats.org/drawingml/2006/main">
                  <a:graphicData uri="http://schemas.microsoft.com/office/word/2010/wordprocessingShape">
                    <wps:wsp>
                      <wps:cNvSpPr txBox="1"/>
                      <wps:spPr>
                        <a:xfrm>
                          <a:off x="0" y="0"/>
                          <a:ext cx="831850" cy="667385"/>
                        </a:xfrm>
                        <a:prstGeom prst="rect">
                          <a:avLst/>
                        </a:prstGeom>
                        <a:noFill/>
                        <a:ln>
                          <a:noFill/>
                        </a:ln>
                        <a:effectLst/>
                      </wps:spPr>
                      <wps:txbx>
                        <w:txbxContent>
                          <w:p w14:paraId="2D355FB9">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p w14:paraId="04A19EDF">
                            <w:pPr>
                              <w:rPr>
                                <w:lang w:eastAsia="zh-CN"/>
                              </w:rPr>
                            </w:pPr>
                          </w:p>
                        </w:txbxContent>
                      </wps:txbx>
                      <wps:bodyPr wrap="square" upright="1"/>
                    </wps:wsp>
                  </a:graphicData>
                </a:graphic>
              </wp:anchor>
            </w:drawing>
          </mc:Choice>
          <mc:Fallback>
            <w:pict>
              <v:shape id="000215" o:spid="_x0000_s1026" o:spt="202" type="#_x0000_t202" style="position:absolute;left:0pt;margin-left:-9pt;margin-top:-0.5pt;height:52.55pt;width:65.5pt;z-index:251938816;mso-width-relative:page;mso-height-relative:page;" filled="f" stroked="f" coordsize="21600,21600" o:gfxdata="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meBPm1QAAAAoB&#10;AAAPAAAAAAAAAAEAIAAAACIAAABkcnMvZG93bnJldi54bWxQSwECFAAUAAAACACHTuJANKDWhqwB&#10;AABmAwAADgAAAAAAAAABACAAAAAkAQAAZHJzL2Uyb0RvYy54bWxQSwUGAAAAAAYABgBZAQAAQgUA&#10;AAAA&#10;">
                <v:fill on="f" focussize="0,0"/>
                <v:stroke on="f"/>
                <v:imagedata o:title=""/>
                <o:lock v:ext="edit" aspectratio="f"/>
                <v:textbox>
                  <w:txbxContent>
                    <w:p w14:paraId="2D355FB9">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p w14:paraId="04A19EDF">
                      <w:pPr>
                        <w:rPr>
                          <w:lang w:eastAsia="zh-CN"/>
                        </w:rPr>
                      </w:pPr>
                    </w:p>
                  </w:txbxContent>
                </v:textbox>
              </v:shape>
            </w:pict>
          </mc:Fallback>
        </mc:AlternateContent>
      </w:r>
      <w:r>
        <w:rPr>
          <w:rFonts w:hint="eastAsia" w:ascii="仿宋" w:hAnsi="仿宋" w:eastAsia="仿宋" w:cs="仿宋"/>
          <w:color w:val="auto"/>
          <w:highlight w:val="none"/>
          <w:lang w:eastAsia="zh-CN"/>
        </w:rPr>
        <w:t>试车费用，除已含在合同价格外，由发包人承担。试车达不到验收要求的，按照下列约定处理：</w:t>
      </w:r>
    </w:p>
    <w:p w14:paraId="6563364C">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由于设计原因试车达不到验收要求，发包人应要求设计人修改设计，承包人按照修改后的设计重新安装。发包人承担修改设计、拆除及重新安装的全部费用和延误的工期。</w:t>
      </w:r>
    </w:p>
    <w:p w14:paraId="066386E1">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089FA2DA">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由于承包人施工原因试车达不到验收要求，承包人应按照监理人要求重新安装和试车，并承担拆除、重新安装和重新试车的费用和延误的工期。</w:t>
      </w:r>
    </w:p>
    <w:p w14:paraId="77666416">
      <w:pPr>
        <w:spacing w:line="360" w:lineRule="auto"/>
        <w:rPr>
          <w:rFonts w:ascii="仿宋" w:hAnsi="仿宋" w:eastAsia="仿宋" w:cs="仿宋"/>
          <w:b/>
          <w:bCs/>
          <w:color w:val="auto"/>
          <w:highlight w:val="none"/>
          <w:u w:val="dotted"/>
          <w:lang w:eastAsia="zh-CN"/>
        </w:rPr>
      </w:pPr>
      <w:bookmarkStart w:id="859" w:name="_Toc12391"/>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.6</w:t>
      </w:r>
      <w:bookmarkEnd w:id="85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65CA5B4">
      <w:pPr>
        <w:pStyle w:val="34"/>
        <w:widowControl w:val="0"/>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10160</wp:posOffset>
                </wp:positionV>
                <wp:extent cx="751205" cy="491490"/>
                <wp:effectExtent l="0" t="0" r="0" b="0"/>
                <wp:wrapNone/>
                <wp:docPr id="275" name="000216"/>
                <wp:cNvGraphicFramePr/>
                <a:graphic xmlns:a="http://schemas.openxmlformats.org/drawingml/2006/main">
                  <a:graphicData uri="http://schemas.microsoft.com/office/word/2010/wordprocessingShape">
                    <wps:wsp>
                      <wps:cNvSpPr txBox="1"/>
                      <wps:spPr>
                        <a:xfrm>
                          <a:off x="0" y="0"/>
                          <a:ext cx="751205" cy="491490"/>
                        </a:xfrm>
                        <a:prstGeom prst="rect">
                          <a:avLst/>
                        </a:prstGeom>
                        <a:noFill/>
                        <a:ln>
                          <a:noFill/>
                        </a:ln>
                        <a:effectLst/>
                      </wps:spPr>
                      <wps:txbx>
                        <w:txbxContent>
                          <w:p w14:paraId="21108629">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p w14:paraId="13354370"/>
                        </w:txbxContent>
                      </wps:txbx>
                      <wps:bodyPr wrap="square" upright="1"/>
                    </wps:wsp>
                  </a:graphicData>
                </a:graphic>
              </wp:anchor>
            </w:drawing>
          </mc:Choice>
          <mc:Fallback>
            <w:pict>
              <v:shape id="000216" o:spid="_x0000_s1026" o:spt="202" type="#_x0000_t202" style="position:absolute;left:0pt;margin-left:-9pt;margin-top:0.8pt;height:38.7pt;width:59.15pt;z-index:251939840;mso-width-relative:page;mso-height-relative:page;" filled="f" stroked="f" coordsize="21600,21600" o:gfxdata="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6Ap7J1QAAAAgB&#10;AAAPAAAAAAAAAAEAIAAAACIAAABkcnMvZG93bnJldi54bWxQSwECFAAUAAAACACHTuJAaXccIKwB&#10;AABmAwAADgAAAAAAAAABACAAAAAkAQAAZHJzL2Uyb0RvYy54bWxQSwUGAAAAAAYABgBZAQAAQgUA&#10;AAAA&#10;">
                <v:fill on="f" focussize="0,0"/>
                <v:stroke on="f"/>
                <v:imagedata o:title=""/>
                <o:lock v:ext="edit" aspectratio="f"/>
                <v:textbox>
                  <w:txbxContent>
                    <w:p w14:paraId="21108629">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p w14:paraId="13354370"/>
                  </w:txbxContent>
                </v:textbox>
              </v:shape>
            </w:pict>
          </mc:Fallback>
        </mc:AlternateContent>
      </w:r>
      <w:r>
        <w:rPr>
          <w:rFonts w:hint="eastAsia" w:ascii="仿宋" w:hAnsi="仿宋" w:eastAsia="仿宋" w:cs="仿宋"/>
          <w:color w:val="auto"/>
          <w:highlight w:val="none"/>
          <w:lang w:eastAsia="zh-CN"/>
        </w:rPr>
        <w:t>投料试车应在永久工程竣工验收后，由发包人负责。如果发包人要求在永久工程竣工验收前进行试车或需要承包人配合时，应事先取得承包人同意，并另行签订补充协议。</w:t>
      </w:r>
    </w:p>
    <w:p w14:paraId="596792ED">
      <w:pPr>
        <w:pStyle w:val="12"/>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4B7A6CBC">
      <w:pPr>
        <w:pStyle w:val="3"/>
        <w:tabs>
          <w:tab w:val="left" w:pos="420"/>
        </w:tabs>
        <w:spacing w:before="120" w:after="120" w:line="360" w:lineRule="auto"/>
        <w:rPr>
          <w:rFonts w:ascii="仿宋" w:hAnsi="仿宋" w:eastAsia="仿宋" w:cs="仿宋"/>
          <w:bCs w:val="0"/>
          <w:i w:val="0"/>
          <w:iCs w:val="0"/>
          <w:color w:val="auto"/>
          <w:sz w:val="24"/>
          <w:szCs w:val="24"/>
          <w:highlight w:val="none"/>
          <w:lang w:eastAsia="zh-CN"/>
        </w:rPr>
      </w:pPr>
      <w:bookmarkStart w:id="860" w:name="_Toc15397"/>
      <w:bookmarkStart w:id="861" w:name="_Toc1895"/>
      <w:bookmarkStart w:id="862" w:name="_Toc6930"/>
      <w:bookmarkStart w:id="863" w:name="_Toc1584"/>
      <w:bookmarkStart w:id="864" w:name="_Toc22976"/>
      <w:bookmarkStart w:id="865" w:name="_Toc47694338"/>
      <w:bookmarkStart w:id="866" w:name="_Toc2684"/>
      <w:bookmarkStart w:id="867" w:name="_Toc4005"/>
      <w:r>
        <w:rPr>
          <w:rFonts w:hint="eastAsia" w:ascii="仿宋" w:hAnsi="仿宋" w:eastAsia="仿宋" w:cs="仿宋"/>
          <w:bCs w:val="0"/>
          <w:i w:val="0"/>
          <w:iCs w:val="0"/>
          <w:color w:val="auto"/>
          <w:sz w:val="24"/>
          <w:szCs w:val="24"/>
          <w:highlight w:val="none"/>
          <w:lang w:eastAsia="zh-CN"/>
        </w:rPr>
        <w:t>★63</w:t>
      </w:r>
      <w:r>
        <w:rPr>
          <w:rFonts w:ascii="仿宋" w:hAnsi="仿宋" w:eastAsia="仿宋" w:cs="仿宋"/>
          <w:bCs w:val="0"/>
          <w:i w:val="0"/>
          <w:iCs w:val="0"/>
          <w:color w:val="auto"/>
          <w:sz w:val="24"/>
          <w:szCs w:val="24"/>
          <w:highlight w:val="none"/>
          <w:lang w:eastAsia="zh-CN"/>
        </w:rPr>
        <w:t xml:space="preserve">  </w:t>
      </w:r>
      <w:r>
        <w:rPr>
          <w:rFonts w:hint="eastAsia" w:ascii="仿宋" w:hAnsi="仿宋" w:eastAsia="仿宋" w:cs="仿宋"/>
          <w:bCs w:val="0"/>
          <w:i w:val="0"/>
          <w:iCs w:val="0"/>
          <w:color w:val="auto"/>
          <w:sz w:val="24"/>
          <w:szCs w:val="24"/>
          <w:highlight w:val="none"/>
          <w:lang w:eastAsia="zh-CN"/>
        </w:rPr>
        <w:t>工程变更</w:t>
      </w:r>
      <w:bookmarkEnd w:id="860"/>
      <w:bookmarkEnd w:id="861"/>
      <w:bookmarkEnd w:id="862"/>
      <w:bookmarkEnd w:id="863"/>
      <w:bookmarkEnd w:id="864"/>
      <w:bookmarkEnd w:id="865"/>
      <w:bookmarkEnd w:id="866"/>
      <w:bookmarkEnd w:id="867"/>
    </w:p>
    <w:p w14:paraId="0ADEC0D2">
      <w:pPr>
        <w:pStyle w:val="23"/>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.1</w:t>
      </w:r>
    </w:p>
    <w:p w14:paraId="350761B6">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1270</wp:posOffset>
                </wp:positionV>
                <wp:extent cx="809625" cy="405765"/>
                <wp:effectExtent l="0" t="0" r="0" b="0"/>
                <wp:wrapNone/>
                <wp:docPr id="276" name="000217"/>
                <wp:cNvGraphicFramePr/>
                <a:graphic xmlns:a="http://schemas.openxmlformats.org/drawingml/2006/main">
                  <a:graphicData uri="http://schemas.microsoft.com/office/word/2010/wordprocessingShape">
                    <wps:wsp>
                      <wps:cNvSpPr txBox="1"/>
                      <wps:spPr>
                        <a:xfrm>
                          <a:off x="0" y="0"/>
                          <a:ext cx="809625" cy="405765"/>
                        </a:xfrm>
                        <a:prstGeom prst="rect">
                          <a:avLst/>
                        </a:prstGeom>
                        <a:noFill/>
                        <a:ln>
                          <a:noFill/>
                        </a:ln>
                        <a:effectLst/>
                      </wps:spPr>
                      <wps:txbx>
                        <w:txbxContent>
                          <w:p w14:paraId="2A3B782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p w14:paraId="269F8A52"/>
                        </w:txbxContent>
                      </wps:txbx>
                      <wps:bodyPr wrap="square" upright="1"/>
                    </wps:wsp>
                  </a:graphicData>
                </a:graphic>
              </wp:anchor>
            </w:drawing>
          </mc:Choice>
          <mc:Fallback>
            <w:pict>
              <v:shape id="000217" o:spid="_x0000_s1026" o:spt="202" type="#_x0000_t202" style="position:absolute;left:0pt;margin-left:-9pt;margin-top:0.1pt;height:31.95pt;width:63.75pt;z-index:251940864;mso-width-relative:page;mso-height-relative:page;" filled="f" stroked="f" coordsize="21600,21600" o:gfxdata="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h83Lk1QAAAAcB&#10;AAAPAAAAAAAAAAEAIAAAACIAAABkcnMvZG93bnJldi54bWxQSwECFAAUAAAACACHTuJAemS9/qwB&#10;AABmAwAADgAAAAAAAAABACAAAAAkAQAAZHJzL2Uyb0RvYy54bWxQSwUGAAAAAAYABgBZAQAAQgUA&#10;AAAA&#10;">
                <v:fill on="f" focussize="0,0"/>
                <v:stroke on="f"/>
                <v:imagedata o:title=""/>
                <o:lock v:ext="edit" aspectratio="f"/>
                <v:textbox>
                  <w:txbxContent>
                    <w:p w14:paraId="2A3B782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p w14:paraId="269F8A52"/>
                  </w:txbxContent>
                </v:textbox>
              </v:shape>
            </w:pict>
          </mc:Fallback>
        </mc:AlternateContent>
      </w:r>
      <w:r>
        <w:rPr>
          <w:rFonts w:hint="eastAsia" w:ascii="仿宋" w:hAnsi="仿宋" w:eastAsia="仿宋" w:cs="仿宋"/>
          <w:color w:val="auto"/>
          <w:sz w:val="24"/>
          <w:szCs w:val="24"/>
          <w:highlight w:val="none"/>
          <w:lang w:eastAsia="zh-CN"/>
        </w:rPr>
        <w:t>合同履行期间，经发包人批准，监理人可按照第63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款约定的变更程序向承包人发出变更指令，承包人应按照合同约定实施变更工作。</w:t>
      </w:r>
    </w:p>
    <w:p w14:paraId="2C8D427F">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没有经发包人批准也没有监理人的工程变更指令，承包人应按照合同约定施工，无权对合同工程作出任何变更。</w:t>
      </w:r>
    </w:p>
    <w:p w14:paraId="33D79B26">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工程量偏差不属于工程变更，该项工程量增减不需要任何指令。</w:t>
      </w:r>
    </w:p>
    <w:p w14:paraId="4F0EC85B">
      <w:pPr>
        <w:pStyle w:val="23"/>
        <w:spacing w:line="360" w:lineRule="auto"/>
        <w:rPr>
          <w:rFonts w:ascii="仿宋" w:hAnsi="仿宋" w:eastAsia="仿宋" w:cs="仿宋"/>
          <w:color w:val="auto"/>
          <w:sz w:val="24"/>
          <w:szCs w:val="24"/>
          <w:highlight w:val="none"/>
          <w:u w:val="dotted"/>
          <w:lang w:eastAsia="zh-CN"/>
        </w:rPr>
      </w:pPr>
      <w:r>
        <w:rPr>
          <w:color w:val="auto"/>
          <w:highlight w:val="none"/>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283845</wp:posOffset>
                </wp:positionV>
                <wp:extent cx="842645" cy="735965"/>
                <wp:effectExtent l="0" t="0" r="0" b="0"/>
                <wp:wrapNone/>
                <wp:docPr id="277" name="000218"/>
                <wp:cNvGraphicFramePr/>
                <a:graphic xmlns:a="http://schemas.openxmlformats.org/drawingml/2006/main">
                  <a:graphicData uri="http://schemas.microsoft.com/office/word/2010/wordprocessingShape">
                    <wps:wsp>
                      <wps:cNvSpPr txBox="1"/>
                      <wps:spPr>
                        <a:xfrm>
                          <a:off x="0" y="0"/>
                          <a:ext cx="842645" cy="735965"/>
                        </a:xfrm>
                        <a:prstGeom prst="rect">
                          <a:avLst/>
                        </a:prstGeom>
                        <a:noFill/>
                        <a:ln>
                          <a:noFill/>
                        </a:ln>
                        <a:effectLst/>
                      </wps:spPr>
                      <wps:txbx>
                        <w:txbxContent>
                          <w:p w14:paraId="5F60416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p w14:paraId="13E6D69A"/>
                        </w:txbxContent>
                      </wps:txbx>
                      <wps:bodyPr wrap="square" upright="1"/>
                    </wps:wsp>
                  </a:graphicData>
                </a:graphic>
              </wp:anchor>
            </w:drawing>
          </mc:Choice>
          <mc:Fallback>
            <w:pict>
              <v:shape id="000218" o:spid="_x0000_s1026" o:spt="202" type="#_x0000_t202" style="position:absolute;left:0pt;margin-left:-9pt;margin-top:22.35pt;height:57.95pt;width:66.35pt;z-index:251941888;mso-width-relative:page;mso-height-relative:page;" filled="f" stroked="f" coordsize="21600,21600" o:gfxdata="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Hn18ZNYAAAAK&#10;AQAADwAAAAAAAAABACAAAAAiAAAAZHJzL2Rvd25yZXYueG1sUEsBAhQAFAAAAAgAh07iQGqX9SWs&#10;AQAAZgMAAA4AAAAAAAAAAQAgAAAAJQEAAGRycy9lMm9Eb2MueG1sUEsFBgAAAAAGAAYAWQEAAEMF&#10;AAAAAA==&#10;">
                <v:fill on="f" focussize="0,0"/>
                <v:stroke on="f"/>
                <v:imagedata o:title=""/>
                <o:lock v:ext="edit" aspectratio="f"/>
                <v:textbox>
                  <w:txbxContent>
                    <w:p w14:paraId="5F60416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p w14:paraId="13E6D69A"/>
                  </w:txbxContent>
                </v:textbox>
              </v:shape>
            </w:pict>
          </mc:Fallback>
        </mc:AlternateContent>
      </w: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.2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4EC62757">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合同履行期间，对比经发包</w:t>
      </w:r>
      <w:r>
        <w:rPr>
          <w:rFonts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lang w:eastAsia="zh-CN"/>
        </w:rPr>
        <w:t>批准的施工图设计文件，发包人可对合同工程或其任何部分的形式、质量或数量作出变更。发生下列情形之一，应按照本条约定进行变更。</w:t>
      </w:r>
    </w:p>
    <w:p w14:paraId="79696042">
      <w:pPr>
        <w:pStyle w:val="23"/>
        <w:widowControl w:val="0"/>
        <w:numPr>
          <w:ilvl w:val="0"/>
          <w:numId w:val="10"/>
        </w:numPr>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改变合同工程中任何工程数量（不含工程量的偏差）；</w:t>
      </w:r>
    </w:p>
    <w:p w14:paraId="562C33F9">
      <w:pPr>
        <w:pStyle w:val="23"/>
        <w:widowControl w:val="0"/>
        <w:numPr>
          <w:ilvl w:val="0"/>
          <w:numId w:val="10"/>
        </w:numPr>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删减任何工作，但删减的工作不能转由发包人或其他人实施；</w:t>
      </w:r>
    </w:p>
    <w:p w14:paraId="64C211EF">
      <w:pPr>
        <w:pStyle w:val="23"/>
        <w:widowControl w:val="0"/>
        <w:numPr>
          <w:ilvl w:val="0"/>
          <w:numId w:val="10"/>
        </w:numPr>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改变任何工作内容的性质、质量或其他特征；</w:t>
      </w:r>
    </w:p>
    <w:p w14:paraId="67158097">
      <w:pPr>
        <w:pStyle w:val="23"/>
        <w:widowControl w:val="0"/>
        <w:numPr>
          <w:ilvl w:val="0"/>
          <w:numId w:val="10"/>
        </w:numPr>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改变工程任何部分的标高、基线、位置和</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或</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尺寸；</w:t>
      </w:r>
    </w:p>
    <w:p w14:paraId="0A558817">
      <w:pPr>
        <w:pStyle w:val="23"/>
        <w:widowControl w:val="0"/>
        <w:numPr>
          <w:ilvl w:val="0"/>
          <w:numId w:val="10"/>
        </w:numPr>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为完成永久工程所必须的任何额外工作；</w:t>
      </w:r>
    </w:p>
    <w:p w14:paraId="5B1D0852">
      <w:pPr>
        <w:pStyle w:val="23"/>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但对合同工程工期、质量标准等进行实质性变更的，应在作出变更前，与承包人签订补充协议书，作为本合同的补充文件。</w:t>
      </w:r>
    </w:p>
    <w:p w14:paraId="2725ACB6">
      <w:pPr>
        <w:pStyle w:val="23"/>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21F4B7A7">
      <w:pPr>
        <w:pStyle w:val="23"/>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15875</wp:posOffset>
                </wp:positionV>
                <wp:extent cx="832485" cy="664210"/>
                <wp:effectExtent l="0" t="0" r="0" b="0"/>
                <wp:wrapNone/>
                <wp:docPr id="278" name="000219"/>
                <wp:cNvGraphicFramePr/>
                <a:graphic xmlns:a="http://schemas.openxmlformats.org/drawingml/2006/main">
                  <a:graphicData uri="http://schemas.microsoft.com/office/word/2010/wordprocessingShape">
                    <wps:wsp>
                      <wps:cNvSpPr txBox="1"/>
                      <wps:spPr>
                        <a:xfrm>
                          <a:off x="0" y="0"/>
                          <a:ext cx="832485" cy="664210"/>
                        </a:xfrm>
                        <a:prstGeom prst="rect">
                          <a:avLst/>
                        </a:prstGeom>
                        <a:noFill/>
                        <a:ln>
                          <a:noFill/>
                        </a:ln>
                        <a:effectLst/>
                      </wps:spPr>
                      <wps:txbx>
                        <w:txbxContent>
                          <w:p w14:paraId="6EE147B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p w14:paraId="31099CA0"/>
                        </w:txbxContent>
                      </wps:txbx>
                      <wps:bodyPr wrap="square" upright="1"/>
                    </wps:wsp>
                  </a:graphicData>
                </a:graphic>
              </wp:anchor>
            </w:drawing>
          </mc:Choice>
          <mc:Fallback>
            <w:pict>
              <v:shape id="000219" o:spid="_x0000_s1026" o:spt="202" type="#_x0000_t202" style="position:absolute;left:0pt;margin-left:-9pt;margin-top:1.25pt;height:52.3pt;width:65.55pt;z-index:251942912;mso-width-relative:page;mso-height-relative:page;" filled="f" stroked="f" coordsize="21600,21600" o:gfxdata="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6I3XQNcA&#10;AAAJAQAADwAAAAAAAAABACAAAAAiAAAAZHJzL2Rvd25yZXYueG1sUEsBAhQAFAAAAAgAh07iQAhA&#10;YAyuAQAAZgMAAA4AAAAAAAAAAQAgAAAAJgEAAGRycy9lMm9Eb2MueG1sUEsFBgAAAAAGAAYAWQEA&#10;AEYFAAAAAA==&#10;">
                <v:fill on="f" focussize="0,0"/>
                <v:stroke on="f"/>
                <v:imagedata o:title=""/>
                <o:lock v:ext="edit" aspectratio="f"/>
                <v:textbox>
                  <w:txbxContent>
                    <w:p w14:paraId="6EE147B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p w14:paraId="31099CA0"/>
                  </w:txbxContent>
                </v:textbox>
              </v:shape>
            </w:pict>
          </mc:Fallback>
        </mc:AlternateContent>
      </w:r>
      <w:r>
        <w:rPr>
          <w:rFonts w:hint="eastAsia" w:ascii="仿宋" w:hAnsi="仿宋" w:eastAsia="仿宋" w:cs="仿宋"/>
          <w:color w:val="auto"/>
          <w:sz w:val="24"/>
          <w:szCs w:val="24"/>
          <w:highlight w:val="none"/>
          <w:lang w:eastAsia="zh-CN"/>
        </w:rPr>
        <w:t>合同工程发生变更，合同双方当事人以及设计顾问人、监理人、造价咨询人应遵循下列程序实施工程变更的相关工作。</w:t>
      </w:r>
    </w:p>
    <w:p w14:paraId="68642D1B">
      <w:pPr>
        <w:pStyle w:val="23"/>
        <w:widowControl w:val="0"/>
        <w:numPr>
          <w:ilvl w:val="0"/>
          <w:numId w:val="11"/>
        </w:numPr>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合同工程可能发生或发生工程变更时，监理人或承包人可依据下列情况及时提出。</w:t>
      </w:r>
    </w:p>
    <w:p w14:paraId="7892FC1E">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① 合同工程可能发生第63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款所列情形的，监理人可向承包人发出变更意向书，明确发包人要求和采用的标准规范等资料。承包人应在收到变更意向书后的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天内，向监理人书面提交包括拟实施变更工作的计划、措施、竣工时间、修改内容、变更图纸和所需金额等在内的实施方案。发包人应在收到实施方案后的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天内予以答复 。</w:t>
      </w:r>
    </w:p>
    <w:p w14:paraId="7AF09B22">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②同意承包人提交的实施方案的，监理人应至少提前</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天以书面形式向承包人发出变更指令，明确发包人要求和采用的标准规范等资料，及批准的实施方案。</w:t>
      </w:r>
    </w:p>
    <w:p w14:paraId="733E5BF3">
      <w:pPr>
        <w:pStyle w:val="23"/>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③ 若承包人收到监理人的变更意向书后认为难以实施此项变更的，应立即通知监理人，说明原因并附详细依据。监理人与合同双方当事人协商后确定撤销、改变或不改变原变更意向书。</w:t>
      </w:r>
    </w:p>
    <w:p w14:paraId="42ECE562">
      <w:pPr>
        <w:pStyle w:val="23"/>
        <w:widowControl w:val="0"/>
        <w:numPr>
          <w:ilvl w:val="0"/>
          <w:numId w:val="11"/>
        </w:numPr>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承包人应在收到监理人发出变更指令或变更意向书后的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天内，向发包人提交工程变更报告，并抄送监理人、造价咨询人。报告内容应包括变更原因、根据第79条约定详细开列变更工作的价格组成和依据，并附变更的施工设计图纸及其相关说明。</w:t>
      </w:r>
    </w:p>
    <w:p w14:paraId="68FD8491">
      <w:pPr>
        <w:pStyle w:val="23"/>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变更工作影响工期的，承包人应提出调整工期的要求。发包人认为有必要时，可要求承包人提交提前或者延长工期的施工进度计划或相应施工措施等资料。</w:t>
      </w:r>
    </w:p>
    <w:p w14:paraId="5778872D">
      <w:pPr>
        <w:pStyle w:val="23"/>
        <w:widowControl w:val="0"/>
        <w:numPr>
          <w:ilvl w:val="0"/>
          <w:numId w:val="11"/>
        </w:numPr>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发包人在收到承包人工程变更报告后，应通知监理人、造价咨询人及时对报告内容予以核实，并在收到报告后的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天内予以确定或提出修改意见。发包人在收到承包人工程变更报告后的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天内未确定也未提出修改意见的，视为承包人提交的工程变更报告已被认可。</w:t>
      </w:r>
    </w:p>
    <w:p w14:paraId="2B0C31F2">
      <w:pPr>
        <w:pStyle w:val="23"/>
        <w:widowControl w:val="0"/>
        <w:numPr>
          <w:ilvl w:val="0"/>
          <w:numId w:val="11"/>
        </w:numPr>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承包人应在发包人确定工程变更报告后的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天内，按照监理人发出的变更指令及时组织实施变更工作。否则，由此引起的损失和（或）延误的工期由承包人承担。</w:t>
      </w:r>
    </w:p>
    <w:p w14:paraId="669AB12B">
      <w:pPr>
        <w:pStyle w:val="23"/>
        <w:widowControl w:val="0"/>
        <w:numPr>
          <w:ilvl w:val="0"/>
          <w:numId w:val="11"/>
        </w:numPr>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工程变更技术审核：合同工程发生第63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款所列情形，监理人在批准或指示工程变更前，其变更图纸（若有）应先通过设计顾问人的技术审核。</w:t>
      </w:r>
    </w:p>
    <w:p w14:paraId="0BDAA591">
      <w:pPr>
        <w:pStyle w:val="23"/>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54786A43">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7620</wp:posOffset>
                </wp:positionV>
                <wp:extent cx="785495" cy="550545"/>
                <wp:effectExtent l="0" t="0" r="0" b="0"/>
                <wp:wrapNone/>
                <wp:docPr id="279" name="00021a"/>
                <wp:cNvGraphicFramePr/>
                <a:graphic xmlns:a="http://schemas.openxmlformats.org/drawingml/2006/main">
                  <a:graphicData uri="http://schemas.microsoft.com/office/word/2010/wordprocessingShape">
                    <wps:wsp>
                      <wps:cNvSpPr txBox="1"/>
                      <wps:spPr>
                        <a:xfrm>
                          <a:off x="0" y="0"/>
                          <a:ext cx="785495" cy="550545"/>
                        </a:xfrm>
                        <a:prstGeom prst="rect">
                          <a:avLst/>
                        </a:prstGeom>
                        <a:noFill/>
                        <a:ln>
                          <a:noFill/>
                        </a:ln>
                        <a:effectLst/>
                      </wps:spPr>
                      <wps:txbx>
                        <w:txbxContent>
                          <w:p w14:paraId="0833C79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p w14:paraId="0E1B73B7">
                            <w:pPr>
                              <w:rPr>
                                <w:lang w:eastAsia="zh-CN"/>
                              </w:rPr>
                            </w:pPr>
                          </w:p>
                        </w:txbxContent>
                      </wps:txbx>
                      <wps:bodyPr wrap="square" upright="1"/>
                    </wps:wsp>
                  </a:graphicData>
                </a:graphic>
              </wp:anchor>
            </w:drawing>
          </mc:Choice>
          <mc:Fallback>
            <w:pict>
              <v:shape id="00021a" o:spid="_x0000_s1026" o:spt="202" type="#_x0000_t202" style="position:absolute;left:0pt;margin-left:-9pt;margin-top:0.6pt;height:43.35pt;width:61.85pt;z-index:251943936;mso-width-relative:page;mso-height-relative:page;" filled="f" stroked="f" coordsize="21600,21600" o:gfxdata="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VYUMc1QAAAAgB&#10;AAAPAAAAAAAAAAEAIAAAACIAAABkcnMvZG93bnJldi54bWxQSwECFAAUAAAACACHTuJAdh+x4awB&#10;AABmAwAADgAAAAAAAAABACAAAAAkAQAAZHJzL2Uyb0RvYy54bWxQSwUGAAAAAAYABgBZAQAAQgUA&#10;AAAA&#10;">
                <v:fill on="f" focussize="0,0"/>
                <v:stroke on="f"/>
                <v:imagedata o:title=""/>
                <o:lock v:ext="edit" aspectratio="f"/>
                <v:textbox>
                  <w:txbxContent>
                    <w:p w14:paraId="0833C79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p w14:paraId="0E1B73B7">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合同履行期间，承包人可提出工程变更建议。变更建议应以书面形式向设计顾问人、监理人和造价咨询人提出，同时抄送发包人，详细说明变更的原因、变更方案、变更预算及合同价格的增减情况，并附必要的施工设计图纸及其说明等资料。变更建议被采纳的，设计顾问人、监理人和造价咨询人应按照第63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款约定向承包人发出变更指令。</w:t>
      </w:r>
    </w:p>
    <w:p w14:paraId="1B2C6EF8">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发包人采纳承包人的建议，给发包人带来降低合同价格、缩短工期或产生显著工程经济效益等利益的，发包人应按照国家有关规定并在专用条款中约定的计算方法予以奖励。</w:t>
      </w:r>
    </w:p>
    <w:p w14:paraId="6A63F33A">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63</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56E51CE5">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15240</wp:posOffset>
                </wp:positionV>
                <wp:extent cx="832485" cy="909955"/>
                <wp:effectExtent l="0" t="0" r="0" b="0"/>
                <wp:wrapNone/>
                <wp:docPr id="280" name="00021b"/>
                <wp:cNvGraphicFramePr/>
                <a:graphic xmlns:a="http://schemas.openxmlformats.org/drawingml/2006/main">
                  <a:graphicData uri="http://schemas.microsoft.com/office/word/2010/wordprocessingShape">
                    <wps:wsp>
                      <wps:cNvSpPr txBox="1"/>
                      <wps:spPr>
                        <a:xfrm>
                          <a:off x="0" y="0"/>
                          <a:ext cx="832485" cy="909955"/>
                        </a:xfrm>
                        <a:prstGeom prst="rect">
                          <a:avLst/>
                        </a:prstGeom>
                        <a:noFill/>
                        <a:ln>
                          <a:noFill/>
                        </a:ln>
                        <a:effectLst/>
                      </wps:spPr>
                      <wps:txbx>
                        <w:txbxContent>
                          <w:p w14:paraId="40938B8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p w14:paraId="1B14DE18">
                            <w:pPr>
                              <w:rPr>
                                <w:lang w:eastAsia="zh-CN"/>
                              </w:rPr>
                            </w:pPr>
                          </w:p>
                        </w:txbxContent>
                      </wps:txbx>
                      <wps:bodyPr wrap="square" upright="1"/>
                    </wps:wsp>
                  </a:graphicData>
                </a:graphic>
              </wp:anchor>
            </w:drawing>
          </mc:Choice>
          <mc:Fallback>
            <w:pict>
              <v:shape id="00021b" o:spid="_x0000_s1026" o:spt="202" type="#_x0000_t202" style="position:absolute;left:0pt;margin-left:-9pt;margin-top:1.2pt;height:71.65pt;width:65.55pt;z-index:251944960;mso-width-relative:page;mso-height-relative:page;" filled="f" stroked="f" coordsize="21600,21600" o:gfxdata="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PjzIXXAAAA&#10;CQEAAA8AAAAAAAAAAQAgAAAAIgAAAGRycy9kb3ducmV2LnhtbFBLAQIUABQAAAAIAIdO4kAOIPzS&#10;rAEAAGYDAAAOAAAAAAAAAAEAIAAAACYBAABkcnMvZTJvRG9jLnhtbFBLBQYAAAAABgAGAFkBAABE&#10;BQAAAAA=&#10;">
                <v:fill on="f" focussize="0,0"/>
                <v:stroke on="f"/>
                <v:imagedata o:title=""/>
                <o:lock v:ext="edit" aspectratio="f"/>
                <v:textbox>
                  <w:txbxContent>
                    <w:p w14:paraId="40938B8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p w14:paraId="1B14DE18">
                      <w:pPr>
                        <w:rPr>
                          <w:lang w:eastAsia="zh-CN"/>
                        </w:rPr>
                      </w:pPr>
                    </w:p>
                  </w:txbxContent>
                </v:textbox>
              </v:shape>
            </w:pict>
          </mc:Fallback>
        </mc:AlternateContent>
      </w:r>
      <w:r>
        <w:rPr>
          <w:rFonts w:hint="eastAsia" w:ascii="仿宋" w:hAnsi="仿宋" w:eastAsia="仿宋" w:cs="仿宋"/>
          <w:color w:val="auto"/>
          <w:highlight w:val="none"/>
          <w:lang w:eastAsia="zh-CN"/>
        </w:rPr>
        <w:t>工程变更不应使合同作废或无效。</w:t>
      </w:r>
    </w:p>
    <w:p w14:paraId="38908DE3">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影响工期的，工期应相应调整。但由于下列原因引起的变更，承包人无权要求任何额外或附加的费用，工期也不予顺延：</w:t>
      </w:r>
    </w:p>
    <w:p w14:paraId="5C883B28">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（1）为了便于组织施工而采取的技术措施变更或临时工程变更；</w:t>
      </w:r>
    </w:p>
    <w:p w14:paraId="0CBA160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）为了施工安全、避免干扰等原因而采取的技术措施变更或临时工程变更；</w:t>
      </w:r>
    </w:p>
    <w:p w14:paraId="123EAB6D">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（3）因承包人违约、过错或承包人引起的其他变更。</w:t>
      </w:r>
    </w:p>
    <w:p w14:paraId="018B2B45">
      <w:pPr>
        <w:pStyle w:val="23"/>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27401C94">
      <w:pPr>
        <w:pStyle w:val="3"/>
        <w:tabs>
          <w:tab w:val="left" w:pos="420"/>
        </w:tabs>
        <w:spacing w:before="120" w:after="120" w:line="360" w:lineRule="auto"/>
        <w:rPr>
          <w:rFonts w:ascii="仿宋" w:hAnsi="仿宋" w:eastAsia="仿宋" w:cs="仿宋"/>
          <w:bCs w:val="0"/>
          <w:i w:val="0"/>
          <w:iCs w:val="0"/>
          <w:color w:val="auto"/>
          <w:sz w:val="24"/>
          <w:szCs w:val="24"/>
          <w:highlight w:val="none"/>
          <w:lang w:eastAsia="zh-CN"/>
        </w:rPr>
      </w:pPr>
      <w:bookmarkStart w:id="868" w:name="_Toc12709"/>
      <w:bookmarkStart w:id="869" w:name="_Toc18679"/>
      <w:bookmarkStart w:id="870" w:name="_Toc1277"/>
      <w:bookmarkStart w:id="871" w:name="_Toc31070"/>
      <w:bookmarkStart w:id="872" w:name="_Toc47694339"/>
      <w:bookmarkStart w:id="873" w:name="_Toc24665"/>
      <w:bookmarkStart w:id="874" w:name="_Toc24164"/>
      <w:bookmarkStart w:id="875" w:name="_Toc633"/>
      <w:r>
        <w:rPr>
          <w:rFonts w:hint="eastAsia" w:ascii="仿宋" w:hAnsi="仿宋" w:eastAsia="仿宋" w:cs="仿宋"/>
          <w:bCs w:val="0"/>
          <w:i w:val="0"/>
          <w:iCs w:val="0"/>
          <w:color w:val="auto"/>
          <w:sz w:val="24"/>
          <w:szCs w:val="24"/>
          <w:highlight w:val="none"/>
          <w:lang w:eastAsia="zh-CN"/>
        </w:rPr>
        <w:t>64</w:t>
      </w:r>
      <w:r>
        <w:rPr>
          <w:rFonts w:ascii="仿宋" w:hAnsi="仿宋" w:eastAsia="仿宋" w:cs="仿宋"/>
          <w:bCs w:val="0"/>
          <w:i w:val="0"/>
          <w:iCs w:val="0"/>
          <w:color w:val="auto"/>
          <w:sz w:val="24"/>
          <w:szCs w:val="24"/>
          <w:highlight w:val="none"/>
          <w:lang w:eastAsia="zh-CN"/>
        </w:rPr>
        <w:t xml:space="preserve">  </w:t>
      </w:r>
      <w:r>
        <w:rPr>
          <w:rFonts w:hint="eastAsia" w:ascii="仿宋" w:hAnsi="仿宋" w:eastAsia="仿宋" w:cs="仿宋"/>
          <w:bCs w:val="0"/>
          <w:i w:val="0"/>
          <w:iCs w:val="0"/>
          <w:color w:val="auto"/>
          <w:sz w:val="24"/>
          <w:szCs w:val="24"/>
          <w:highlight w:val="none"/>
          <w:lang w:eastAsia="zh-CN"/>
        </w:rPr>
        <w:t>竣工验收条件</w:t>
      </w:r>
      <w:bookmarkEnd w:id="868"/>
      <w:bookmarkEnd w:id="869"/>
      <w:bookmarkEnd w:id="870"/>
      <w:bookmarkEnd w:id="871"/>
      <w:bookmarkEnd w:id="872"/>
      <w:bookmarkEnd w:id="873"/>
      <w:bookmarkEnd w:id="874"/>
      <w:bookmarkEnd w:id="875"/>
    </w:p>
    <w:p w14:paraId="45A0615C">
      <w:pPr>
        <w:pStyle w:val="12"/>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.1</w:t>
      </w:r>
    </w:p>
    <w:p w14:paraId="214964DC">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12700</wp:posOffset>
                </wp:positionV>
                <wp:extent cx="813435" cy="617855"/>
                <wp:effectExtent l="0" t="0" r="0" b="0"/>
                <wp:wrapNone/>
                <wp:docPr id="281" name="00021c"/>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a:noFill/>
                        </a:ln>
                        <a:effectLst/>
                      </wps:spPr>
                      <wps:txbx>
                        <w:txbxContent>
                          <w:p w14:paraId="2088386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p w14:paraId="49FB839E"/>
                        </w:txbxContent>
                      </wps:txbx>
                      <wps:bodyPr wrap="square" upright="1"/>
                    </wps:wsp>
                  </a:graphicData>
                </a:graphic>
              </wp:anchor>
            </w:drawing>
          </mc:Choice>
          <mc:Fallback>
            <w:pict>
              <v:shape id="00021c" o:spid="_x0000_s1026" o:spt="202" type="#_x0000_t202" style="position:absolute;left:0pt;margin-left:-9pt;margin-top:1pt;height:48.65pt;width:64.05pt;z-index:251945984;mso-width-relative:page;mso-height-relative:page;" filled="f" stroked="f" coordsize="21600,21600" o:gfxdata="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ma+5lNYAAAAI&#10;AQAADwAAAAAAAAABACAAAAAiAAAAZHJzL2Rvd25yZXYueG1sUEsBAhQAFAAAAAgAh07iQK8nVEOs&#10;AQAAZgMAAA4AAAAAAAAAAQAgAAAAJQEAAGRycy9lMm9Eb2MueG1sUEsFBgAAAAAGAAYAWQEAAEMF&#10;AAAAAA==&#10;">
                <v:fill on="f" focussize="0,0"/>
                <v:stroke on="f"/>
                <v:imagedata o:title=""/>
                <o:lock v:ext="edit" aspectratio="f"/>
                <v:textbox>
                  <w:txbxContent>
                    <w:p w14:paraId="2088386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p w14:paraId="49FB839E"/>
                  </w:txbxContent>
                </v:textbox>
              </v:shape>
            </w:pict>
          </mc:Fallback>
        </mc:AlternateContent>
      </w:r>
      <w:r>
        <w:rPr>
          <w:rFonts w:hint="eastAsia" w:ascii="仿宋" w:hAnsi="仿宋" w:eastAsia="仿宋" w:cs="仿宋"/>
          <w:color w:val="auto"/>
          <w:highlight w:val="none"/>
          <w:lang w:eastAsia="zh-CN"/>
        </w:rPr>
        <w:t>承包人实施、完成合同工程的全部工作内容，经自检评定并符合下列条件的，则认为合同工程已具备竣工验收条件。</w:t>
      </w:r>
    </w:p>
    <w:p w14:paraId="37D25722">
      <w:pPr>
        <w:widowControl w:val="0"/>
        <w:numPr>
          <w:ilvl w:val="0"/>
          <w:numId w:val="12"/>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除监理人同意列入缺陷责任期内完成的尾工（甩项）工程和缺陷修补工作外，包括合同约定的试验、检验和验收等工作在内的合同范围内全部工作均已完成，并符合施工设计图纸和合同约定的要求；</w:t>
      </w:r>
    </w:p>
    <w:p w14:paraId="094BBB54">
      <w:pPr>
        <w:widowControl w:val="0"/>
        <w:numPr>
          <w:ilvl w:val="0"/>
          <w:numId w:val="12"/>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已按照合同约定的内容和份数备齐了符合国家或行业、省要求的竣工资料（质量控制资料等）；</w:t>
      </w:r>
    </w:p>
    <w:p w14:paraId="4AA2CEB0">
      <w:pPr>
        <w:widowControl w:val="0"/>
        <w:numPr>
          <w:ilvl w:val="0"/>
          <w:numId w:val="12"/>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已按照监理人的指令编制了在缺陷责任期内完成的尾工（甩项）工程和缺陷修补工作清单，以及相应的实施计划；</w:t>
      </w:r>
    </w:p>
    <w:p w14:paraId="023FFA00">
      <w:pPr>
        <w:widowControl w:val="0"/>
        <w:numPr>
          <w:ilvl w:val="0"/>
          <w:numId w:val="12"/>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监理人要求在竣工验收前应完成的其他工作：</w:t>
      </w:r>
    </w:p>
    <w:p w14:paraId="3C97DF11">
      <w:pPr>
        <w:widowControl w:val="0"/>
        <w:numPr>
          <w:ilvl w:val="0"/>
          <w:numId w:val="12"/>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监理人要求提交的竣工验收资料清单；</w:t>
      </w:r>
    </w:p>
    <w:p w14:paraId="2FCA7C9A">
      <w:pPr>
        <w:widowControl w:val="0"/>
        <w:numPr>
          <w:ilvl w:val="0"/>
          <w:numId w:val="12"/>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竣工资料应当符合国家或行业、省关于基本建设项目档案资料管理的有关规定；发包人对基本建设项目档案资料管理有具体要求的，由合同双方在专用条款中约定。</w:t>
      </w:r>
    </w:p>
    <w:p w14:paraId="3865E4D9">
      <w:pPr>
        <w:spacing w:line="360" w:lineRule="auto"/>
        <w:rPr>
          <w:rFonts w:ascii="仿宋" w:hAnsi="仿宋" w:eastAsia="仿宋"/>
          <w:color w:val="auto"/>
          <w:highlight w:val="none"/>
          <w:lang w:eastAsia="zh-CN"/>
        </w:rPr>
      </w:pPr>
      <w:bookmarkStart w:id="876" w:name="_Toc9505"/>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.2</w:t>
      </w:r>
      <w:bookmarkEnd w:id="876"/>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05B0FA36">
      <w:pPr>
        <w:pStyle w:val="12"/>
        <w:widowControl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w:t>
      </w:r>
      <w:r>
        <w:rPr>
          <w:color w:val="auto"/>
          <w:highlight w:val="none"/>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12700</wp:posOffset>
                </wp:positionV>
                <wp:extent cx="831850" cy="579120"/>
                <wp:effectExtent l="0" t="0" r="0" b="0"/>
                <wp:wrapNone/>
                <wp:docPr id="282" name="00021d"/>
                <wp:cNvGraphicFramePr/>
                <a:graphic xmlns:a="http://schemas.openxmlformats.org/drawingml/2006/main">
                  <a:graphicData uri="http://schemas.microsoft.com/office/word/2010/wordprocessingShape">
                    <wps:wsp>
                      <wps:cNvSpPr txBox="1"/>
                      <wps:spPr>
                        <a:xfrm>
                          <a:off x="0" y="0"/>
                          <a:ext cx="831850" cy="579120"/>
                        </a:xfrm>
                        <a:prstGeom prst="rect">
                          <a:avLst/>
                        </a:prstGeom>
                        <a:noFill/>
                        <a:ln>
                          <a:noFill/>
                        </a:ln>
                        <a:effectLst/>
                      </wps:spPr>
                      <wps:txbx>
                        <w:txbxContent>
                          <w:p w14:paraId="57E4E03C">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p w14:paraId="47D6D5E6"/>
                        </w:txbxContent>
                      </wps:txbx>
                      <wps:bodyPr wrap="square" upright="1"/>
                    </wps:wsp>
                  </a:graphicData>
                </a:graphic>
              </wp:anchor>
            </w:drawing>
          </mc:Choice>
          <mc:Fallback>
            <w:pict>
              <v:shape id="00021d" o:spid="_x0000_s1026" o:spt="202" type="#_x0000_t202" style="position:absolute;left:0pt;margin-left:-9pt;margin-top:1pt;height:45.6pt;width:65.5pt;z-index:251947008;mso-width-relative:page;mso-height-relative:page;" filled="f" stroked="f" coordsize="21600,21600" o:gfxdata="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Zkxx41QAAAAgB&#10;AAAPAAAAAAAAAAEAIAAAACIAAABkcnMvZG93bnJldi54bWxQSwECFAAUAAAACACHTuJAsJjkFawB&#10;AABmAwAADgAAAAAAAAABACAAAAAkAQAAZHJzL2Uyb0RvYy54bWxQSwUGAAAAAAYABgBZAQAAQgUA&#10;AAAA&#10;">
                <v:fill on="f" focussize="0,0"/>
                <v:stroke on="f"/>
                <v:imagedata o:title=""/>
                <o:lock v:ext="edit" aspectratio="f"/>
                <v:textbox>
                  <w:txbxContent>
                    <w:p w14:paraId="57E4E03C">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p w14:paraId="47D6D5E6"/>
                  </w:txbxContent>
                </v:textbox>
              </v:shape>
            </w:pict>
          </mc:Fallback>
        </mc:AlternateContent>
      </w:r>
      <w:r>
        <w:rPr>
          <w:rFonts w:hint="eastAsia" w:ascii="仿宋" w:hAnsi="仿宋" w:eastAsia="仿宋" w:cs="仿宋"/>
          <w:color w:val="auto"/>
          <w:highlight w:val="none"/>
          <w:lang w:eastAsia="zh-CN"/>
        </w:rPr>
        <w:t>认为合同工程具备竣工验收条件的，应按照国家或行业、省规定的工程竣工验收技术资料格式和要求，及时向发包人提交竣工验收申请报告和符合要求的完整竣工资料，合同双方当事人应按照第65条约定进行验收。</w:t>
      </w:r>
    </w:p>
    <w:p w14:paraId="57D026F8">
      <w:pPr>
        <w:spacing w:line="360" w:lineRule="auto"/>
        <w:rPr>
          <w:rFonts w:ascii="仿宋" w:hAnsi="仿宋" w:eastAsia="仿宋"/>
          <w:b/>
          <w:bCs/>
          <w:color w:val="auto"/>
          <w:highlight w:val="none"/>
          <w:lang w:eastAsia="zh-CN"/>
        </w:rPr>
      </w:pPr>
      <w:bookmarkStart w:id="877" w:name="_Toc5775"/>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.3</w:t>
      </w:r>
      <w:bookmarkEnd w:id="87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B51EBEB">
      <w:pPr>
        <w:pStyle w:val="12"/>
        <w:spacing w:line="360" w:lineRule="auto"/>
        <w:ind w:left="1850" w:leftChars="771" w:firstLine="0"/>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38735</wp:posOffset>
                </wp:positionV>
                <wp:extent cx="759460" cy="569595"/>
                <wp:effectExtent l="0" t="0" r="0" b="0"/>
                <wp:wrapNone/>
                <wp:docPr id="283" name="00021e"/>
                <wp:cNvGraphicFramePr/>
                <a:graphic xmlns:a="http://schemas.openxmlformats.org/drawingml/2006/main">
                  <a:graphicData uri="http://schemas.microsoft.com/office/word/2010/wordprocessingShape">
                    <wps:wsp>
                      <wps:cNvSpPr txBox="1"/>
                      <wps:spPr>
                        <a:xfrm>
                          <a:off x="0" y="0"/>
                          <a:ext cx="759460" cy="569595"/>
                        </a:xfrm>
                        <a:prstGeom prst="rect">
                          <a:avLst/>
                        </a:prstGeom>
                        <a:noFill/>
                        <a:ln>
                          <a:noFill/>
                        </a:ln>
                        <a:effectLst/>
                      </wps:spPr>
                      <wps:txbx>
                        <w:txbxContent>
                          <w:p w14:paraId="69DAEB7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p w14:paraId="1A456E15"/>
                        </w:txbxContent>
                      </wps:txbx>
                      <wps:bodyPr wrap="square" upright="1"/>
                    </wps:wsp>
                  </a:graphicData>
                </a:graphic>
              </wp:anchor>
            </w:drawing>
          </mc:Choice>
          <mc:Fallback>
            <w:pict>
              <v:shape id="00021e" o:spid="_x0000_s1026" o:spt="202" type="#_x0000_t202" style="position:absolute;left:0pt;margin-left:-9pt;margin-top:3.05pt;height:44.85pt;width:59.8pt;z-index:251948032;mso-width-relative:page;mso-height-relative:page;" filled="f" stroked="f" coordsize="21600,21600" o:gfxdata="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vpPKbVAAAACAEA&#10;AA8AAAAAAAAAAQAgAAAAIgAAAGRycy9kb3ducmV2LnhtbFBLAQIUABQAAAAIAIdO4kCZ63ZaqwEA&#10;AGYDAAAOAAAAAAAAAAEAIAAAACQBAABkcnMvZTJvRG9jLnhtbFBLBQYAAAAABgAGAFkBAABBBQAA&#10;AAA=&#10;">
                <v:fill on="f" focussize="0,0"/>
                <v:stroke on="f"/>
                <v:imagedata o:title=""/>
                <o:lock v:ext="edit" aspectratio="f"/>
                <v:textbox>
                  <w:txbxContent>
                    <w:p w14:paraId="69DAEB7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p w14:paraId="1A456E15"/>
                  </w:txbxContent>
                </v:textbox>
              </v:shape>
            </w:pict>
          </mc:Fallback>
        </mc:AlternateContent>
      </w:r>
      <w:r>
        <w:rPr>
          <w:rFonts w:hint="eastAsia" w:ascii="仿宋" w:hAnsi="仿宋" w:eastAsia="仿宋" w:cs="仿宋"/>
          <w:color w:val="auto"/>
          <w:highlight w:val="none"/>
          <w:lang w:eastAsia="zh-CN"/>
        </w:rPr>
        <w:t>如果承包人不按照规定提交竣工资料或提交的资料不符合要求，则认为合同工程尚未具备竣工验收条件。</w:t>
      </w:r>
    </w:p>
    <w:p w14:paraId="1F627701">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0E8B646D">
      <w:pPr>
        <w:pStyle w:val="3"/>
        <w:tabs>
          <w:tab w:val="left" w:pos="420"/>
        </w:tabs>
        <w:spacing w:before="120" w:after="120" w:line="360" w:lineRule="auto"/>
        <w:rPr>
          <w:rFonts w:ascii="仿宋" w:hAnsi="仿宋" w:eastAsia="仿宋" w:cs="仿宋"/>
          <w:bCs w:val="0"/>
          <w:i w:val="0"/>
          <w:iCs w:val="0"/>
          <w:color w:val="auto"/>
          <w:sz w:val="24"/>
          <w:szCs w:val="24"/>
          <w:highlight w:val="none"/>
          <w:lang w:eastAsia="zh-CN"/>
        </w:rPr>
      </w:pPr>
      <w:bookmarkStart w:id="878" w:name="_Toc47694340"/>
      <w:bookmarkStart w:id="879" w:name="_Toc2016"/>
      <w:bookmarkStart w:id="880" w:name="_Toc945"/>
      <w:bookmarkStart w:id="881" w:name="_Toc6258"/>
      <w:bookmarkStart w:id="882" w:name="_Toc733"/>
      <w:bookmarkStart w:id="883" w:name="_Toc1217"/>
      <w:bookmarkStart w:id="884" w:name="_Toc16472"/>
      <w:bookmarkStart w:id="885" w:name="_Toc31662"/>
      <w:r>
        <w:rPr>
          <w:rFonts w:hint="eastAsia" w:ascii="仿宋" w:hAnsi="仿宋" w:eastAsia="仿宋" w:cs="仿宋"/>
          <w:bCs w:val="0"/>
          <w:i w:val="0"/>
          <w:iCs w:val="0"/>
          <w:color w:val="auto"/>
          <w:sz w:val="24"/>
          <w:szCs w:val="24"/>
          <w:highlight w:val="none"/>
          <w:lang w:eastAsia="zh-CN"/>
        </w:rPr>
        <w:t>65</w:t>
      </w:r>
      <w:r>
        <w:rPr>
          <w:rFonts w:ascii="仿宋" w:hAnsi="仿宋" w:eastAsia="仿宋" w:cs="仿宋"/>
          <w:bCs w:val="0"/>
          <w:i w:val="0"/>
          <w:iCs w:val="0"/>
          <w:color w:val="auto"/>
          <w:sz w:val="24"/>
          <w:szCs w:val="24"/>
          <w:highlight w:val="none"/>
          <w:lang w:eastAsia="zh-CN"/>
        </w:rPr>
        <w:t xml:space="preserve">  </w:t>
      </w:r>
      <w:r>
        <w:rPr>
          <w:rFonts w:hint="eastAsia" w:ascii="仿宋" w:hAnsi="仿宋" w:eastAsia="仿宋" w:cs="仿宋"/>
          <w:bCs w:val="0"/>
          <w:i w:val="0"/>
          <w:iCs w:val="0"/>
          <w:color w:val="auto"/>
          <w:sz w:val="24"/>
          <w:szCs w:val="24"/>
          <w:highlight w:val="none"/>
          <w:lang w:eastAsia="zh-CN"/>
        </w:rPr>
        <w:t>竣工验收</w:t>
      </w:r>
      <w:bookmarkEnd w:id="878"/>
      <w:bookmarkEnd w:id="879"/>
      <w:bookmarkEnd w:id="880"/>
      <w:bookmarkEnd w:id="881"/>
      <w:bookmarkEnd w:id="882"/>
      <w:bookmarkEnd w:id="883"/>
      <w:bookmarkEnd w:id="884"/>
      <w:bookmarkEnd w:id="885"/>
    </w:p>
    <w:p w14:paraId="78929356">
      <w:pPr>
        <w:tabs>
          <w:tab w:val="left" w:pos="1620"/>
        </w:tabs>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w:t>
      </w:r>
      <w:r>
        <w:rPr>
          <w:color w:val="auto"/>
          <w:highlight w:val="none"/>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257810</wp:posOffset>
                </wp:positionV>
                <wp:extent cx="825500" cy="569595"/>
                <wp:effectExtent l="0" t="0" r="0" b="0"/>
                <wp:wrapNone/>
                <wp:docPr id="284" name="00021f"/>
                <wp:cNvGraphicFramePr/>
                <a:graphic xmlns:a="http://schemas.openxmlformats.org/drawingml/2006/main">
                  <a:graphicData uri="http://schemas.microsoft.com/office/word/2010/wordprocessingShape">
                    <wps:wsp>
                      <wps:cNvSpPr txBox="1"/>
                      <wps:spPr>
                        <a:xfrm>
                          <a:off x="0" y="0"/>
                          <a:ext cx="825500" cy="569595"/>
                        </a:xfrm>
                        <a:prstGeom prst="rect">
                          <a:avLst/>
                        </a:prstGeom>
                        <a:noFill/>
                        <a:ln>
                          <a:noFill/>
                        </a:ln>
                        <a:effectLst/>
                      </wps:spPr>
                      <wps:txbx>
                        <w:txbxContent>
                          <w:p w14:paraId="56B12E2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p w14:paraId="4599BDDF"/>
                        </w:txbxContent>
                      </wps:txbx>
                      <wps:bodyPr wrap="square" upright="1"/>
                    </wps:wsp>
                  </a:graphicData>
                </a:graphic>
              </wp:anchor>
            </w:drawing>
          </mc:Choice>
          <mc:Fallback>
            <w:pict>
              <v:shape id="00021f" o:spid="_x0000_s1026" o:spt="202" type="#_x0000_t202" style="position:absolute;left:0pt;margin-left:-9pt;margin-top:20.3pt;height:44.85pt;width:65pt;z-index:251949056;mso-width-relative:page;mso-height-relative:page;" filled="f" stroked="f" coordsize="21600,21600" o:gfxdata="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H779mdcAAAAK&#10;AQAADwAAAAAAAAABACAAAAAiAAAAZHJzL2Rvd25yZXYueG1sUEsBAhQAFAAAAAgAh07iQDONUzur&#10;AQAAZgMAAA4AAAAAAAAAAQAgAAAAJgEAAGRycy9lMm9Eb2MueG1sUEsFBgAAAAAGAAYAWQEAAEMF&#10;AAAAAA==&#10;">
                <v:fill on="f" focussize="0,0"/>
                <v:stroke on="f"/>
                <v:imagedata o:title=""/>
                <o:lock v:ext="edit" aspectratio="f"/>
                <v:textbox>
                  <w:txbxContent>
                    <w:p w14:paraId="56B12E2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p w14:paraId="4599BDDF"/>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w:t>
      </w:r>
    </w:p>
    <w:p w14:paraId="1C6B6BEA">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合同双方当事人应在专用条款中约定合同工程竣工验收标准，但约定的竣工验收标准应符合国家或行业、省的有关规定。</w:t>
      </w:r>
    </w:p>
    <w:p w14:paraId="492D1B4B">
      <w:pPr>
        <w:widowControl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合同工程需要进行国家验收的，国家验收是竣工验收的一部分。</w:t>
      </w:r>
    </w:p>
    <w:p w14:paraId="661AA19B">
      <w:pPr>
        <w:tabs>
          <w:tab w:val="left" w:pos="1620"/>
        </w:tabs>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372110</wp:posOffset>
                </wp:positionV>
                <wp:extent cx="825500" cy="532130"/>
                <wp:effectExtent l="0" t="0" r="0" b="0"/>
                <wp:wrapNone/>
                <wp:docPr id="285" name="000220"/>
                <wp:cNvGraphicFramePr/>
                <a:graphic xmlns:a="http://schemas.openxmlformats.org/drawingml/2006/main">
                  <a:graphicData uri="http://schemas.microsoft.com/office/word/2010/wordprocessingShape">
                    <wps:wsp>
                      <wps:cNvSpPr txBox="1"/>
                      <wps:spPr>
                        <a:xfrm>
                          <a:off x="0" y="0"/>
                          <a:ext cx="825500" cy="532130"/>
                        </a:xfrm>
                        <a:prstGeom prst="rect">
                          <a:avLst/>
                        </a:prstGeom>
                        <a:noFill/>
                        <a:ln>
                          <a:noFill/>
                        </a:ln>
                        <a:effectLst/>
                      </wps:spPr>
                      <wps:txbx>
                        <w:txbxContent>
                          <w:p w14:paraId="2C192F4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p w14:paraId="4F90E2B4"/>
                        </w:txbxContent>
                      </wps:txbx>
                      <wps:bodyPr wrap="square" upright="1"/>
                    </wps:wsp>
                  </a:graphicData>
                </a:graphic>
              </wp:anchor>
            </w:drawing>
          </mc:Choice>
          <mc:Fallback>
            <w:pict>
              <v:shape id="000220" o:spid="_x0000_s1026" o:spt="202" type="#_x0000_t202" style="position:absolute;left:0pt;margin-left:-9pt;margin-top:29.3pt;height:41.9pt;width:65pt;z-index:251950080;mso-width-relative:page;mso-height-relative:page;" filled="f" stroked="f" coordsize="21600,21600" o:gfxdata="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zQCidgAAAAK&#10;AQAADwAAAAAAAAABACAAAAAiAAAAZHJzL2Rvd25yZXYueG1sUEsBAhQAFAAAAAgAh07iQF0LJ0Cq&#10;AQAAZgMAAA4AAAAAAAAAAQAgAAAAJwEAAGRycy9lMm9Eb2MueG1sUEsFBgAAAAAGAAYAWQEAAEMF&#10;AAAAAA==&#10;">
                <v:fill on="f" focussize="0,0"/>
                <v:stroke on="f"/>
                <v:imagedata o:title=""/>
                <o:lock v:ext="edit" aspectratio="f"/>
                <v:textbox>
                  <w:txbxContent>
                    <w:p w14:paraId="2C192F4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p w14:paraId="4F90E2B4"/>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.2</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03FC2E07">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发包人收到承包人按照第64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款约定提交的竣工验收申请报告后，应及时通知监理人核查合同工程是否具备竣工验收条件。</w:t>
      </w:r>
    </w:p>
    <w:p w14:paraId="5E36A0CB">
      <w:pPr>
        <w:widowControl w:val="0"/>
        <w:numPr>
          <w:ilvl w:val="0"/>
          <w:numId w:val="13"/>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经核查未具备竣工验收条件的，监理人应在收到竣工验收申请报告后的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通知承包人，指出在颁发接收证书前承包人应进一步完成的工作内容。承包人对监理人提出的有关工程质量和工程数量方面的问题，应在接到监理人通知后的14天内完成整改。承包人完成监理人通知的全部工作内容后，应再次提交竣工验收申请报告，直至监理人同意为止。</w:t>
      </w:r>
    </w:p>
    <w:p w14:paraId="15EBB89F">
      <w:pPr>
        <w:widowControl w:val="0"/>
        <w:numPr>
          <w:ilvl w:val="0"/>
          <w:numId w:val="13"/>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经核查已具备竣工验收条件的，监理人应在收到竣工验收申请报告后的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天内书面提请发包人组织合同工程验收。</w:t>
      </w:r>
    </w:p>
    <w:p w14:paraId="012B980E">
      <w:pPr>
        <w:spacing w:line="360" w:lineRule="auto"/>
        <w:rPr>
          <w:rFonts w:ascii="仿宋" w:hAnsi="仿宋" w:eastAsia="仿宋"/>
          <w:b/>
          <w:bCs/>
          <w:color w:val="auto"/>
          <w:highlight w:val="none"/>
          <w:lang w:eastAsia="zh-CN"/>
        </w:rPr>
      </w:pPr>
      <w:bookmarkStart w:id="886" w:name="_Toc5023"/>
      <w:r>
        <w:rPr>
          <w:color w:val="auto"/>
          <w:highlight w:val="none"/>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340360</wp:posOffset>
                </wp:positionV>
                <wp:extent cx="796925" cy="646430"/>
                <wp:effectExtent l="0" t="0" r="0" b="0"/>
                <wp:wrapNone/>
                <wp:docPr id="286" name="000221"/>
                <wp:cNvGraphicFramePr/>
                <a:graphic xmlns:a="http://schemas.openxmlformats.org/drawingml/2006/main">
                  <a:graphicData uri="http://schemas.microsoft.com/office/word/2010/wordprocessingShape">
                    <wps:wsp>
                      <wps:cNvSpPr txBox="1"/>
                      <wps:spPr>
                        <a:xfrm>
                          <a:off x="0" y="0"/>
                          <a:ext cx="796925" cy="646430"/>
                        </a:xfrm>
                        <a:prstGeom prst="rect">
                          <a:avLst/>
                        </a:prstGeom>
                        <a:noFill/>
                        <a:ln>
                          <a:noFill/>
                        </a:ln>
                        <a:effectLst/>
                      </wps:spPr>
                      <wps:txbx>
                        <w:txbxContent>
                          <w:p w14:paraId="4070C26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p w14:paraId="1CE151DD"/>
                        </w:txbxContent>
                      </wps:txbx>
                      <wps:bodyPr wrap="square" upright="1"/>
                    </wps:wsp>
                  </a:graphicData>
                </a:graphic>
              </wp:anchor>
            </w:drawing>
          </mc:Choice>
          <mc:Fallback>
            <w:pict>
              <v:shape id="000221" o:spid="_x0000_s1026" o:spt="202" type="#_x0000_t202" style="position:absolute;left:0pt;margin-left:-9pt;margin-top:26.8pt;height:50.9pt;width:62.75pt;z-index:251951104;mso-width-relative:page;mso-height-relative:page;" filled="f" stroked="f" coordsize="21600,21600" o:gfxdata="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17p+AtcA&#10;AAAKAQAADwAAAAAAAAABACAAAAAiAAAAZHJzL2Rvd25yZXYueG1sUEsBAhQAFAAAAAgAh07iQF8s&#10;4fiuAQAAZgMAAA4AAAAAAAAAAQAgAAAAJgEAAGRycy9lMm9Eb2MueG1sUEsFBgAAAAAGAAYAWQEA&#10;AEYFAAAAAA==&#10;">
                <v:fill on="f" focussize="0,0"/>
                <v:stroke on="f"/>
                <v:imagedata o:title=""/>
                <o:lock v:ext="edit" aspectratio="f"/>
                <v:textbox>
                  <w:txbxContent>
                    <w:p w14:paraId="4070C26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p w14:paraId="1CE151DD"/>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.3</w:t>
      </w:r>
      <w:bookmarkEnd w:id="88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919BA9E">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经监理人按照第65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款约定核查合同工程已具备竣工验收条件的，发包人应在收到监理人书面提请后的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天内，根据合同约定的竣工验收标准和施工设计图纸等文件，按照第22</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款约定组织验收各方完成合同工程验收，并在竣工验收后</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天内予以确认或提出修改意见。</w:t>
      </w:r>
    </w:p>
    <w:p w14:paraId="78360DD6">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竣工验收完成后，承包人应及时向发包人提交竣工验收记录。竣工验收合格的，发包人及参加验收各方应及时在竣工验收记录上签字，并由监理人会同参加验收各方形成合同工程竣工验收报告。</w:t>
      </w:r>
    </w:p>
    <w:p w14:paraId="353B4CD8">
      <w:pPr>
        <w:spacing w:line="360" w:lineRule="auto"/>
        <w:rPr>
          <w:rFonts w:ascii="仿宋" w:hAnsi="仿宋" w:eastAsia="仿宋"/>
          <w:color w:val="auto"/>
          <w:highlight w:val="none"/>
          <w:lang w:eastAsia="zh-CN"/>
        </w:rPr>
      </w:pPr>
      <w:bookmarkStart w:id="887" w:name="_Toc32546"/>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.4</w:t>
      </w:r>
      <w:bookmarkEnd w:id="887"/>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50DA306A">
      <w:pPr>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19685</wp:posOffset>
                </wp:positionV>
                <wp:extent cx="844550" cy="549910"/>
                <wp:effectExtent l="0" t="0" r="0" b="0"/>
                <wp:wrapNone/>
                <wp:docPr id="287" name="000222"/>
                <wp:cNvGraphicFramePr/>
                <a:graphic xmlns:a="http://schemas.openxmlformats.org/drawingml/2006/main">
                  <a:graphicData uri="http://schemas.microsoft.com/office/word/2010/wordprocessingShape">
                    <wps:wsp>
                      <wps:cNvSpPr txBox="1"/>
                      <wps:spPr>
                        <a:xfrm>
                          <a:off x="0" y="0"/>
                          <a:ext cx="844550" cy="549910"/>
                        </a:xfrm>
                        <a:prstGeom prst="rect">
                          <a:avLst/>
                        </a:prstGeom>
                        <a:noFill/>
                        <a:ln>
                          <a:noFill/>
                        </a:ln>
                        <a:effectLst/>
                      </wps:spPr>
                      <wps:txbx>
                        <w:txbxContent>
                          <w:p w14:paraId="5EAA4D3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p w14:paraId="024FCC77"/>
                        </w:txbxContent>
                      </wps:txbx>
                      <wps:bodyPr wrap="square" upright="1"/>
                    </wps:wsp>
                  </a:graphicData>
                </a:graphic>
              </wp:anchor>
            </w:drawing>
          </mc:Choice>
          <mc:Fallback>
            <w:pict>
              <v:shape id="000222" o:spid="_x0000_s1026" o:spt="202" type="#_x0000_t202" style="position:absolute;left:0pt;margin-left:-9pt;margin-top:1.55pt;height:43.3pt;width:66.5pt;z-index:251952128;mso-width-relative:page;mso-height-relative:page;" filled="f" stroked="f" coordsize="21600,21600" o:gfxdata="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R/BlntUAAAAI&#10;AQAADwAAAAAAAAABACAAAAAiAAAAZHJzL2Rvd25yZXYueG1sUEsBAhQAFAAAAAgAh07iQExRwBSt&#10;AQAAZgMAAA4AAAAAAAAAAQAgAAAAJAEAAGRycy9lMm9Eb2MueG1sUEsFBgAAAAAGAAYAWQEAAEMF&#10;AAAAAA==&#10;">
                <v:fill on="f" focussize="0,0"/>
                <v:stroke on="f"/>
                <v:imagedata o:title=""/>
                <o:lock v:ext="edit" aspectratio="f"/>
                <v:textbox>
                  <w:txbxContent>
                    <w:p w14:paraId="5EAA4D3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p w14:paraId="024FCC77"/>
                  </w:txbxContent>
                </v:textbox>
              </v:shape>
            </w:pict>
          </mc:Fallback>
        </mc:AlternateContent>
      </w:r>
      <w:r>
        <w:rPr>
          <w:rFonts w:hint="eastAsia" w:ascii="仿宋" w:hAnsi="仿宋" w:eastAsia="仿宋" w:cs="仿宋"/>
          <w:color w:val="auto"/>
          <w:highlight w:val="none"/>
          <w:lang w:eastAsia="zh-CN"/>
        </w:rPr>
        <w:t>发包人未按照第65</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款约定完成合同工程验收，或验收后</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天内未予确认也未提出修改意见，视为承包人提交的竣工验收申请报告已被认可。</w:t>
      </w:r>
    </w:p>
    <w:p w14:paraId="14A522E4">
      <w:pPr>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竣工验收申请报告被认可，则表明已完成合同工程，视为竣工验收合格，但由于不可抗力事项致使发包人不能完成验收的除外。</w:t>
      </w:r>
    </w:p>
    <w:p w14:paraId="3408783C">
      <w:pPr>
        <w:spacing w:line="360" w:lineRule="auto"/>
        <w:rPr>
          <w:rFonts w:ascii="仿宋" w:hAnsi="仿宋" w:eastAsia="仿宋"/>
          <w:b/>
          <w:bCs/>
          <w:color w:val="auto"/>
          <w:highlight w:val="none"/>
          <w:lang w:eastAsia="zh-CN"/>
        </w:rPr>
      </w:pPr>
      <w:bookmarkStart w:id="888" w:name="_Toc18131"/>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.5</w:t>
      </w:r>
      <w:bookmarkEnd w:id="88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AC1D7D2">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19685</wp:posOffset>
                </wp:positionV>
                <wp:extent cx="842645" cy="487680"/>
                <wp:effectExtent l="0" t="0" r="0" b="0"/>
                <wp:wrapNone/>
                <wp:docPr id="288" name="000223"/>
                <wp:cNvGraphicFramePr/>
                <a:graphic xmlns:a="http://schemas.openxmlformats.org/drawingml/2006/main">
                  <a:graphicData uri="http://schemas.microsoft.com/office/word/2010/wordprocessingShape">
                    <wps:wsp>
                      <wps:cNvSpPr txBox="1"/>
                      <wps:spPr>
                        <a:xfrm>
                          <a:off x="0" y="0"/>
                          <a:ext cx="842645" cy="487680"/>
                        </a:xfrm>
                        <a:prstGeom prst="rect">
                          <a:avLst/>
                        </a:prstGeom>
                        <a:noFill/>
                        <a:ln>
                          <a:noFill/>
                        </a:ln>
                        <a:effectLst/>
                      </wps:spPr>
                      <wps:txbx>
                        <w:txbxContent>
                          <w:p w14:paraId="622D009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p w14:paraId="7D9F8BD2"/>
                        </w:txbxContent>
                      </wps:txbx>
                      <wps:bodyPr wrap="square" upright="1"/>
                    </wps:wsp>
                  </a:graphicData>
                </a:graphic>
              </wp:anchor>
            </w:drawing>
          </mc:Choice>
          <mc:Fallback>
            <w:pict>
              <v:shape id="000223" o:spid="_x0000_s1026" o:spt="202" type="#_x0000_t202" style="position:absolute;left:0pt;margin-left:-9pt;margin-top:1.55pt;height:38.4pt;width:66.35pt;z-index:251953152;mso-width-relative:page;mso-height-relative:page;" filled="f" stroked="f" coordsize="21600,21600" o:gfxdata="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TSbZXWAAAA&#10;CAEAAA8AAAAAAAAAAQAgAAAAIgAAAGRycy9kb3ducmV2LnhtbFBLAQIUABQAAAAIAIdO4kCQjykn&#10;rQEAAGYDAAAOAAAAAAAAAAEAIAAAACUBAABkcnMvZTJvRG9jLnhtbFBLBQYAAAAABgAGAFkBAABE&#10;BQAAAAA=&#10;">
                <v:fill on="f" focussize="0,0"/>
                <v:stroke on="f"/>
                <v:imagedata o:title=""/>
                <o:lock v:ext="edit" aspectratio="f"/>
                <v:textbox>
                  <w:txbxContent>
                    <w:p w14:paraId="622D009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p w14:paraId="7D9F8BD2"/>
                  </w:txbxContent>
                </v:textbox>
              </v:shape>
            </w:pict>
          </mc:Fallback>
        </mc:AlternateContent>
      </w:r>
      <w:r>
        <w:rPr>
          <w:rFonts w:hint="eastAsia" w:ascii="仿宋" w:hAnsi="仿宋" w:eastAsia="仿宋" w:cs="仿宋"/>
          <w:color w:val="auto"/>
          <w:highlight w:val="none"/>
          <w:lang w:eastAsia="zh-CN"/>
        </w:rPr>
        <w:t>发包人未按照第65</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款约定完成合同工程验收，从收到监理人书面提请组织</w:t>
      </w:r>
      <w:r>
        <w:rPr>
          <w:rFonts w:ascii="仿宋" w:hAnsi="仿宋" w:eastAsia="仿宋" w:cs="仿宋"/>
          <w:color w:val="auto"/>
          <w:highlight w:val="none"/>
          <w:lang w:eastAsia="zh-CN"/>
        </w:rPr>
        <w:t>合同工程验收</w:t>
      </w:r>
      <w:r>
        <w:rPr>
          <w:rFonts w:hint="eastAsia" w:ascii="仿宋" w:hAnsi="仿宋" w:eastAsia="仿宋" w:cs="仿宋"/>
          <w:color w:val="auto"/>
          <w:highlight w:val="none"/>
          <w:lang w:eastAsia="zh-CN"/>
        </w:rPr>
        <w:t>后的第</w:t>
      </w:r>
      <w:r>
        <w:rPr>
          <w:rFonts w:ascii="仿宋" w:hAnsi="仿宋" w:eastAsia="仿宋" w:cs="仿宋"/>
          <w:color w:val="auto"/>
          <w:highlight w:val="none"/>
          <w:lang w:eastAsia="zh-CN"/>
        </w:rPr>
        <w:t>29</w:t>
      </w:r>
      <w:r>
        <w:rPr>
          <w:rFonts w:hint="eastAsia" w:ascii="仿宋" w:hAnsi="仿宋" w:eastAsia="仿宋" w:cs="仿宋"/>
          <w:color w:val="auto"/>
          <w:highlight w:val="none"/>
          <w:lang w:eastAsia="zh-CN"/>
        </w:rPr>
        <w:t>天起承担合同工程照管责任和其他一切意外责任。</w:t>
      </w:r>
    </w:p>
    <w:p w14:paraId="667D8139">
      <w:pPr>
        <w:spacing w:line="360" w:lineRule="auto"/>
        <w:rPr>
          <w:rFonts w:ascii="仿宋" w:hAnsi="仿宋" w:eastAsia="仿宋"/>
          <w:color w:val="auto"/>
          <w:highlight w:val="none"/>
          <w:lang w:eastAsia="zh-CN"/>
        </w:rPr>
      </w:pPr>
      <w:bookmarkStart w:id="889" w:name="_Toc11911"/>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.6</w:t>
      </w:r>
      <w:bookmarkEnd w:id="889"/>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4837A63F">
      <w:pPr>
        <w:widowControl w:val="0"/>
        <w:spacing w:line="360" w:lineRule="auto"/>
        <w:ind w:left="1851" w:leftChars="771" w:hanging="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w:t>
      </w:r>
      <w:r>
        <w:rPr>
          <w:color w:val="auto"/>
          <w:highlight w:val="none"/>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4445</wp:posOffset>
                </wp:positionV>
                <wp:extent cx="699770" cy="410210"/>
                <wp:effectExtent l="0" t="0" r="0" b="0"/>
                <wp:wrapNone/>
                <wp:docPr id="289" name="000224"/>
                <wp:cNvGraphicFramePr/>
                <a:graphic xmlns:a="http://schemas.openxmlformats.org/drawingml/2006/main">
                  <a:graphicData uri="http://schemas.microsoft.com/office/word/2010/wordprocessingShape">
                    <wps:wsp>
                      <wps:cNvSpPr txBox="1"/>
                      <wps:spPr>
                        <a:xfrm>
                          <a:off x="0" y="0"/>
                          <a:ext cx="699770" cy="410210"/>
                        </a:xfrm>
                        <a:prstGeom prst="rect">
                          <a:avLst/>
                        </a:prstGeom>
                        <a:noFill/>
                        <a:ln>
                          <a:noFill/>
                        </a:ln>
                        <a:effectLst/>
                      </wps:spPr>
                      <wps:txbx>
                        <w:txbxContent>
                          <w:p w14:paraId="2FD0338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p w14:paraId="3417CC8C"/>
                        </w:txbxContent>
                      </wps:txbx>
                      <wps:bodyPr wrap="square" upright="1"/>
                    </wps:wsp>
                  </a:graphicData>
                </a:graphic>
              </wp:anchor>
            </w:drawing>
          </mc:Choice>
          <mc:Fallback>
            <w:pict>
              <v:shape id="000224" o:spid="_x0000_s1026" o:spt="202" type="#_x0000_t202" style="position:absolute;left:0pt;margin-left:-9pt;margin-top:0.35pt;height:32.3pt;width:55.1pt;z-index:251954176;mso-width-relative:page;mso-height-relative:page;" filled="f" stroked="f" coordsize="21600,21600" o:gfxdata="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bHzFG1QAAAAYB&#10;AAAPAAAAAAAAAAEAIAAAACIAAABkcnMvZG93bnJldi54bWxQSwECFAAUAAAACACHTuJAN5BCV6wB&#10;AABmAwAADgAAAAAAAAABACAAAAAkAQAAZHJzL2Uyb0RvYy54bWxQSwUGAAAAAAYABgBZAQAAQgUA&#10;AAAA&#10;">
                <v:fill on="f" focussize="0,0"/>
                <v:stroke on="f"/>
                <v:imagedata o:title=""/>
                <o:lock v:ext="edit" aspectratio="f"/>
                <v:textbox>
                  <w:txbxContent>
                    <w:p w14:paraId="2FD0338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p w14:paraId="3417CC8C"/>
                  </w:txbxContent>
                </v:textbox>
              </v:shape>
            </w:pict>
          </mc:Fallback>
        </mc:AlternateContent>
      </w:r>
      <w:r>
        <w:rPr>
          <w:rFonts w:hint="eastAsia" w:ascii="仿宋" w:hAnsi="仿宋" w:eastAsia="仿宋" w:cs="仿宋"/>
          <w:color w:val="auto"/>
          <w:highlight w:val="none"/>
          <w:lang w:eastAsia="zh-CN"/>
        </w:rPr>
        <w:t>验收合格的，发包人应接收工程，并在收到承包人提交的竣工验收申请报告后的</w:t>
      </w:r>
      <w:r>
        <w:rPr>
          <w:rFonts w:ascii="仿宋" w:hAnsi="仿宋" w:eastAsia="仿宋" w:cs="仿宋"/>
          <w:color w:val="auto"/>
          <w:highlight w:val="none"/>
          <w:lang w:eastAsia="zh-CN"/>
        </w:rPr>
        <w:t>56</w:t>
      </w:r>
      <w:r>
        <w:rPr>
          <w:rFonts w:hint="eastAsia" w:ascii="仿宋" w:hAnsi="仿宋" w:eastAsia="仿宋" w:cs="仿宋"/>
          <w:color w:val="auto"/>
          <w:highlight w:val="none"/>
          <w:lang w:eastAsia="zh-CN"/>
        </w:rPr>
        <w:t>天内向承包人颁发工程接收证书。</w:t>
      </w:r>
    </w:p>
    <w:p w14:paraId="1F0FC9F6">
      <w:pPr>
        <w:widowControl w:val="0"/>
        <w:spacing w:line="360" w:lineRule="auto"/>
        <w:ind w:left="1851" w:leftChars="771" w:hanging="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竣工验收后，发包人同意接收工程但提出限期整修和完善要求的，发包人应缓发工程接收证书。承包人整修和完善工作完成后，监理人核查达到要求的，发包人应向承包人颁发工程接收证书。</w:t>
      </w:r>
    </w:p>
    <w:p w14:paraId="3F897220">
      <w:pPr>
        <w:widowControl w:val="0"/>
        <w:spacing w:line="360" w:lineRule="auto"/>
        <w:ind w:left="1850" w:leftChars="771" w:firstLine="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后，发包人不同意接收工程的，发包人或监理人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01C21DE3">
      <w:pPr>
        <w:spacing w:line="360" w:lineRule="auto"/>
        <w:rPr>
          <w:rFonts w:ascii="仿宋" w:hAnsi="仿宋" w:eastAsia="仿宋"/>
          <w:b/>
          <w:bCs/>
          <w:color w:val="auto"/>
          <w:highlight w:val="none"/>
          <w:lang w:eastAsia="zh-CN"/>
        </w:rPr>
      </w:pPr>
      <w:bookmarkStart w:id="890" w:name="_Toc2528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.7</w:t>
      </w:r>
      <w:bookmarkEnd w:id="89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CFC64EE">
      <w:pPr>
        <w:widowControl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4445</wp:posOffset>
                </wp:positionV>
                <wp:extent cx="822960" cy="448945"/>
                <wp:effectExtent l="0" t="0" r="0" b="0"/>
                <wp:wrapNone/>
                <wp:docPr id="290" name="000225"/>
                <wp:cNvGraphicFramePr/>
                <a:graphic xmlns:a="http://schemas.openxmlformats.org/drawingml/2006/main">
                  <a:graphicData uri="http://schemas.microsoft.com/office/word/2010/wordprocessingShape">
                    <wps:wsp>
                      <wps:cNvSpPr txBox="1"/>
                      <wps:spPr>
                        <a:xfrm>
                          <a:off x="0" y="0"/>
                          <a:ext cx="822960" cy="448945"/>
                        </a:xfrm>
                        <a:prstGeom prst="rect">
                          <a:avLst/>
                        </a:prstGeom>
                        <a:noFill/>
                        <a:ln>
                          <a:noFill/>
                        </a:ln>
                        <a:effectLst/>
                      </wps:spPr>
                      <wps:txbx>
                        <w:txbxContent>
                          <w:p w14:paraId="690E6D9D">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p w14:paraId="5CDB5E7B"/>
                        </w:txbxContent>
                      </wps:txbx>
                      <wps:bodyPr wrap="square" upright="1"/>
                    </wps:wsp>
                  </a:graphicData>
                </a:graphic>
              </wp:anchor>
            </w:drawing>
          </mc:Choice>
          <mc:Fallback>
            <w:pict>
              <v:shape id="000225" o:spid="_x0000_s1026" o:spt="202" type="#_x0000_t202" style="position:absolute;left:0pt;margin-left:-9pt;margin-top:0.35pt;height:35.35pt;width:64.8pt;z-index:251955200;mso-width-relative:page;mso-height-relative:page;" filled="f" stroked="f" coordsize="21600,21600" o:gfxdata="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F720HtQAAAAHAQAA&#10;DwAAAAAAAAABACAAAAAiAAAAZHJzL2Rvd25yZXYueG1sUEsBAhQAFAAAAAgAh07iQHZbtLerAQAA&#10;ZgMAAA4AAAAAAAAAAQAgAAAAIwEAAGRycy9lMm9Eb2MueG1sUEsFBgAAAAAGAAYAWQEAAEAFAAAA&#10;AA==&#10;">
                <v:fill on="f" focussize="0,0"/>
                <v:stroke on="f"/>
                <v:imagedata o:title=""/>
                <o:lock v:ext="edit" aspectratio="f"/>
                <v:textbox>
                  <w:txbxContent>
                    <w:p w14:paraId="690E6D9D">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p w14:paraId="5CDB5E7B"/>
                  </w:txbxContent>
                </v:textbox>
              </v:shape>
            </w:pict>
          </mc:Fallback>
        </mc:AlternateContent>
      </w:r>
      <w:r>
        <w:rPr>
          <w:rFonts w:hint="eastAsia" w:ascii="仿宋" w:hAnsi="仿宋" w:eastAsia="仿宋" w:cs="仿宋"/>
          <w:color w:val="auto"/>
          <w:highlight w:val="none"/>
          <w:lang w:eastAsia="zh-CN"/>
        </w:rPr>
        <w:t>竣工验收合格的合同工程，发包人应按照第45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款约定在工程接收证书上写明合同工程的实际竣工日期。</w:t>
      </w:r>
    </w:p>
    <w:p w14:paraId="3E6E40C6">
      <w:pPr>
        <w:spacing w:line="360" w:lineRule="auto"/>
        <w:rPr>
          <w:rFonts w:ascii="仿宋" w:hAnsi="仿宋" w:eastAsia="仿宋"/>
          <w:b/>
          <w:bCs/>
          <w:color w:val="auto"/>
          <w:highlight w:val="none"/>
          <w:lang w:eastAsia="zh-CN"/>
        </w:rPr>
      </w:pPr>
      <w:bookmarkStart w:id="891" w:name="_Toc19674"/>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.8</w:t>
      </w:r>
      <w:bookmarkEnd w:id="89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DAA4376">
      <w:pPr>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4445</wp:posOffset>
                </wp:positionV>
                <wp:extent cx="775970" cy="826135"/>
                <wp:effectExtent l="0" t="0" r="0" b="0"/>
                <wp:wrapNone/>
                <wp:docPr id="291" name="000226"/>
                <wp:cNvGraphicFramePr/>
                <a:graphic xmlns:a="http://schemas.openxmlformats.org/drawingml/2006/main">
                  <a:graphicData uri="http://schemas.microsoft.com/office/word/2010/wordprocessingShape">
                    <wps:wsp>
                      <wps:cNvSpPr txBox="1"/>
                      <wps:spPr>
                        <a:xfrm>
                          <a:off x="0" y="0"/>
                          <a:ext cx="775970" cy="826135"/>
                        </a:xfrm>
                        <a:prstGeom prst="rect">
                          <a:avLst/>
                        </a:prstGeom>
                        <a:noFill/>
                        <a:ln>
                          <a:noFill/>
                        </a:ln>
                        <a:effectLst/>
                      </wps:spPr>
                      <wps:txbx>
                        <w:txbxContent>
                          <w:p w14:paraId="1D5B469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p w14:paraId="2353F2F6">
                            <w:pPr>
                              <w:rPr>
                                <w:lang w:eastAsia="zh-CN"/>
                              </w:rPr>
                            </w:pPr>
                          </w:p>
                        </w:txbxContent>
                      </wps:txbx>
                      <wps:bodyPr wrap="square" upright="1"/>
                    </wps:wsp>
                  </a:graphicData>
                </a:graphic>
              </wp:anchor>
            </w:drawing>
          </mc:Choice>
          <mc:Fallback>
            <w:pict>
              <v:shape id="000226" o:spid="_x0000_s1026" o:spt="202" type="#_x0000_t202" style="position:absolute;left:0pt;margin-left:-9pt;margin-top:0.35pt;height:65.05pt;width:61.1pt;z-index:251956224;mso-width-relative:page;mso-height-relative:page;" filled="f" stroked="f" coordsize="21600,21600" o:gfxdata="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UMI1RNYAAAAI&#10;AQAADwAAAAAAAAABACAAAAAiAAAAZHJzL2Rvd25yZXYueG1sUEsBAhQAFAAAAAgAh07iQGFGNf6s&#10;AQAAZgMAAA4AAAAAAAAAAQAgAAAAJQEAAGRycy9lMm9Eb2MueG1sUEsFBgAAAAAGAAYAWQEAAEMF&#10;AAAAAA==&#10;">
                <v:fill on="f" focussize="0,0"/>
                <v:stroke on="f"/>
                <v:imagedata o:title=""/>
                <o:lock v:ext="edit" aspectratio="f"/>
                <v:textbox>
                  <w:txbxContent>
                    <w:p w14:paraId="1D5B469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p w14:paraId="2353F2F6">
                      <w:pPr>
                        <w:rPr>
                          <w:lang w:eastAsia="zh-CN"/>
                        </w:rPr>
                      </w:pPr>
                    </w:p>
                  </w:txbxContent>
                </v:textbox>
              </v:shape>
            </w:pict>
          </mc:Fallback>
        </mc:AlternateContent>
      </w:r>
      <w:r>
        <w:rPr>
          <w:rFonts w:hint="eastAsia" w:ascii="仿宋" w:hAnsi="仿宋" w:eastAsia="仿宋" w:cs="仿宋"/>
          <w:color w:val="auto"/>
          <w:highlight w:val="none"/>
          <w:lang w:eastAsia="zh-CN"/>
        </w:rPr>
        <w:t>发包人要求某一单项工程或任一工程部位提前办理竣工验收的，应与承包人签订单项工程或工程部位竣工验收协议，作为本合同的附件。</w:t>
      </w:r>
    </w:p>
    <w:p w14:paraId="4A02C246">
      <w:pPr>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根据合同工程进度计划安排，在全部工程竣工前需要使用已经竣工的单项工程或工程部位时，或承包人提出经发包人同意时，可进行单项工程或工程部位验收。验收的程序可参照第64条和本条上述相关条款约定进行。验收合格后，发包人应向承包人颁发单项工程或工程部位接收证书，并负责照管。单项工程或工程部位的验收成果和结论，作为全部工程竣工验收申请报告的附件。</w:t>
      </w:r>
    </w:p>
    <w:p w14:paraId="0B2A166B">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）发包人在全部工程竣工前，使用已接收的单项工程或工程部位导致承包人费用增加的，发包人应承担由此增加的费用和（或）延误的工期，并向承包人支付合理利润。</w:t>
      </w:r>
    </w:p>
    <w:p w14:paraId="0372E207">
      <w:pPr>
        <w:spacing w:line="360" w:lineRule="auto"/>
        <w:rPr>
          <w:rFonts w:ascii="仿宋" w:hAnsi="仿宋" w:eastAsia="仿宋"/>
          <w:b/>
          <w:bCs/>
          <w:color w:val="auto"/>
          <w:highlight w:val="none"/>
          <w:lang w:eastAsia="zh-CN"/>
        </w:rPr>
      </w:pPr>
      <w:bookmarkStart w:id="892" w:name="_Toc2439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.9</w:t>
      </w:r>
      <w:bookmarkEnd w:id="89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F211553">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3810</wp:posOffset>
                </wp:positionV>
                <wp:extent cx="775970" cy="428625"/>
                <wp:effectExtent l="0" t="0" r="0" b="0"/>
                <wp:wrapNone/>
                <wp:docPr id="292" name="000227"/>
                <wp:cNvGraphicFramePr/>
                <a:graphic xmlns:a="http://schemas.openxmlformats.org/drawingml/2006/main">
                  <a:graphicData uri="http://schemas.microsoft.com/office/word/2010/wordprocessingShape">
                    <wps:wsp>
                      <wps:cNvSpPr txBox="1"/>
                      <wps:spPr>
                        <a:xfrm>
                          <a:off x="0" y="0"/>
                          <a:ext cx="775970" cy="428625"/>
                        </a:xfrm>
                        <a:prstGeom prst="rect">
                          <a:avLst/>
                        </a:prstGeom>
                        <a:noFill/>
                        <a:ln>
                          <a:noFill/>
                        </a:ln>
                        <a:effectLst/>
                      </wps:spPr>
                      <wps:txbx>
                        <w:txbxContent>
                          <w:p w14:paraId="6A75E4D3">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p w14:paraId="61F81986"/>
                        </w:txbxContent>
                      </wps:txbx>
                      <wps:bodyPr wrap="square" upright="1"/>
                    </wps:wsp>
                  </a:graphicData>
                </a:graphic>
              </wp:anchor>
            </w:drawing>
          </mc:Choice>
          <mc:Fallback>
            <w:pict>
              <v:shape id="000227" o:spid="_x0000_s1026" o:spt="202" type="#_x0000_t202" style="position:absolute;left:0pt;margin-left:-9pt;margin-top:0.3pt;height:33.75pt;width:61.1pt;z-index:251957248;mso-width-relative:page;mso-height-relative:page;" filled="f" stroked="f" coordsize="21600,21600" o:gfxdata="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WjEM19QAAAAHAQAA&#10;DwAAAAAAAAABACAAAAAiAAAAZHJzL2Rvd25yZXYueG1sUEsBAhQAFAAAAAgAh07iQCM1wfSrAQAA&#10;ZgMAAA4AAAAAAAAAAQAgAAAAIwEAAGRycy9lMm9Eb2MueG1sUEsFBgAAAAAGAAYAWQEAAEAFAAAA&#10;AA==&#10;">
                <v:fill on="f" focussize="0,0"/>
                <v:stroke on="f"/>
                <v:imagedata o:title=""/>
                <o:lock v:ext="edit" aspectratio="f"/>
                <v:textbox>
                  <w:txbxContent>
                    <w:p w14:paraId="6A75E4D3">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p w14:paraId="61F81986"/>
                  </w:txbxContent>
                </v:textbox>
              </v:shape>
            </w:pict>
          </mc:Fallback>
        </mc:AlternateContent>
      </w:r>
      <w:r>
        <w:rPr>
          <w:rFonts w:hint="eastAsia" w:ascii="仿宋" w:hAnsi="仿宋" w:eastAsia="仿宋" w:cs="仿宋"/>
          <w:color w:val="auto"/>
          <w:highlight w:val="none"/>
          <w:lang w:eastAsia="zh-CN"/>
        </w:rPr>
        <w:t>合同工程尚未全部竣工（其中某项或某几项单项工程或工程部位已竣工），根据合同约定需要在施工期间运行的，应由发包人按照第65</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款约定验收合格，并确保安全后，才能投入施工期运行。</w:t>
      </w:r>
    </w:p>
    <w:p w14:paraId="7E28A485">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在施工期运行中，发现单项工程或工程部位存在缺陷或损坏的，由承包人按照第66</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款约定进行修复。</w:t>
      </w:r>
    </w:p>
    <w:p w14:paraId="2FFC793A">
      <w:pPr>
        <w:spacing w:line="360" w:lineRule="auto"/>
        <w:rPr>
          <w:rFonts w:ascii="仿宋" w:hAnsi="仿宋" w:eastAsia="仿宋"/>
          <w:b/>
          <w:bCs/>
          <w:color w:val="auto"/>
          <w:highlight w:val="none"/>
          <w:lang w:eastAsia="zh-CN"/>
        </w:rPr>
      </w:pPr>
      <w:bookmarkStart w:id="893" w:name="_Toc18024"/>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.10</w:t>
      </w:r>
      <w:bookmarkEnd w:id="89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AC5AD94">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3810</wp:posOffset>
                </wp:positionV>
                <wp:extent cx="813435" cy="286385"/>
                <wp:effectExtent l="0" t="0" r="0" b="0"/>
                <wp:wrapNone/>
                <wp:docPr id="293" name="000228"/>
                <wp:cNvGraphicFramePr/>
                <a:graphic xmlns:a="http://schemas.openxmlformats.org/drawingml/2006/main">
                  <a:graphicData uri="http://schemas.microsoft.com/office/word/2010/wordprocessingShape">
                    <wps:wsp>
                      <wps:cNvSpPr txBox="1"/>
                      <wps:spPr>
                        <a:xfrm>
                          <a:off x="0" y="0"/>
                          <a:ext cx="813435" cy="286385"/>
                        </a:xfrm>
                        <a:prstGeom prst="rect">
                          <a:avLst/>
                        </a:prstGeom>
                        <a:noFill/>
                        <a:ln>
                          <a:noFill/>
                        </a:ln>
                        <a:effectLst/>
                      </wps:spPr>
                      <wps:txbx>
                        <w:txbxContent>
                          <w:p w14:paraId="5E8E5C6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p w14:paraId="110FB051"/>
                        </w:txbxContent>
                      </wps:txbx>
                      <wps:bodyPr wrap="square" upright="1"/>
                    </wps:wsp>
                  </a:graphicData>
                </a:graphic>
              </wp:anchor>
            </w:drawing>
          </mc:Choice>
          <mc:Fallback>
            <w:pict>
              <v:shape id="000228" o:spid="_x0000_s1026" o:spt="202" type="#_x0000_t202" style="position:absolute;left:0pt;margin-left:-9pt;margin-top:0.3pt;height:22.55pt;width:64.05pt;z-index:251958272;mso-width-relative:page;mso-height-relative:page;" filled="f" stroked="f" coordsize="21600,21600" o:gfxdata="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o9Ac7UAAAABwEA&#10;AA8AAAAAAAAAAQAgAAAAIgAAAGRycy9kb3ducmV2LnhtbFBLAQIUABQAAAAIAIdO4kCD+oPrrAEA&#10;AGYDAAAOAAAAAAAAAAEAIAAAACMBAABkcnMvZTJvRG9jLnhtbFBLBQYAAAAABgAGAFkBAABBBQAA&#10;AAA=&#10;">
                <v:fill on="f" focussize="0,0"/>
                <v:stroke on="f"/>
                <v:imagedata o:title=""/>
                <o:lock v:ext="edit" aspectratio="f"/>
                <v:textbox>
                  <w:txbxContent>
                    <w:p w14:paraId="5E8E5C6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p w14:paraId="110FB051"/>
                  </w:txbxContent>
                </v:textbox>
              </v:shape>
            </w:pict>
          </mc:Fallback>
        </mc:AlternateContent>
      </w:r>
      <w:r>
        <w:rPr>
          <w:rFonts w:hint="eastAsia" w:ascii="仿宋" w:hAnsi="仿宋" w:eastAsia="仿宋" w:cs="仿宋"/>
          <w:color w:val="auto"/>
          <w:highlight w:val="none"/>
          <w:lang w:eastAsia="zh-CN"/>
        </w:rPr>
        <w:t>专用条款没有约定的，工程接收证书颁发后，承包人应按照下列要求对施工场地进行清理，直至监理人检验合格为止。竣工清场费用由承包人承担。</w:t>
      </w:r>
    </w:p>
    <w:p w14:paraId="52CE28C3">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）施工场地内残留的垃圾已全部清除出场；</w:t>
      </w:r>
    </w:p>
    <w:p w14:paraId="4BC5C0A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）临时设施已拆除，场地已按照合同约定进行清理、平整或复原；</w:t>
      </w:r>
    </w:p>
    <w:p w14:paraId="1D79BEE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）按照合同约定应撤离的承包人施工设备和剩余的工程材料，包括废弃的施工设备和工程材料，已按照计划撤离施工场地；</w:t>
      </w:r>
    </w:p>
    <w:p w14:paraId="6A1A3BA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）建筑物周边及其附近道路、河道的施工堆积物，已按照监理人指令全部清理；</w:t>
      </w:r>
    </w:p>
    <w:p w14:paraId="6E8E60F8">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）监理人指令的其他场地清理工作已全部完成。</w:t>
      </w:r>
    </w:p>
    <w:p w14:paraId="1E3FD173">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如承包人未按照监理人的要求恢复临时占地，或者场地清理未达到合同约定的，发包人可自行或委托第三方恢复或清理，所发生的费用从应支付或将支付给承包人的款项中扣除。</w:t>
      </w:r>
    </w:p>
    <w:p w14:paraId="0BFB80E7">
      <w:pPr>
        <w:spacing w:line="360" w:lineRule="auto"/>
        <w:rPr>
          <w:rFonts w:ascii="仿宋" w:hAnsi="仿宋" w:eastAsia="仿宋"/>
          <w:b/>
          <w:bCs/>
          <w:color w:val="auto"/>
          <w:highlight w:val="none"/>
          <w:lang w:eastAsia="zh-CN"/>
        </w:rPr>
      </w:pPr>
      <w:bookmarkStart w:id="894" w:name="_Toc1751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.11</w:t>
      </w:r>
      <w:bookmarkEnd w:id="89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C2DA960">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3810</wp:posOffset>
                </wp:positionV>
                <wp:extent cx="775970" cy="514350"/>
                <wp:effectExtent l="0" t="0" r="0" b="0"/>
                <wp:wrapNone/>
                <wp:docPr id="294" name="000229"/>
                <wp:cNvGraphicFramePr/>
                <a:graphic xmlns:a="http://schemas.openxmlformats.org/drawingml/2006/main">
                  <a:graphicData uri="http://schemas.microsoft.com/office/word/2010/wordprocessingShape">
                    <wps:wsp>
                      <wps:cNvSpPr txBox="1"/>
                      <wps:spPr>
                        <a:xfrm>
                          <a:off x="0" y="0"/>
                          <a:ext cx="775970" cy="514350"/>
                        </a:xfrm>
                        <a:prstGeom prst="rect">
                          <a:avLst/>
                        </a:prstGeom>
                        <a:noFill/>
                        <a:ln>
                          <a:noFill/>
                        </a:ln>
                        <a:effectLst/>
                      </wps:spPr>
                      <wps:txbx>
                        <w:txbxContent>
                          <w:p w14:paraId="5EAEE83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p w14:paraId="63556DCF"/>
                        </w:txbxContent>
                      </wps:txbx>
                      <wps:bodyPr wrap="square" upright="1"/>
                    </wps:wsp>
                  </a:graphicData>
                </a:graphic>
              </wp:anchor>
            </w:drawing>
          </mc:Choice>
          <mc:Fallback>
            <w:pict>
              <v:shape id="000229" o:spid="_x0000_s1026" o:spt="202" type="#_x0000_t202" style="position:absolute;left:0pt;margin-left:-9pt;margin-top:0.3pt;height:40.5pt;width:61.1pt;z-index:251959296;mso-width-relative:page;mso-height-relative:page;" filled="f" stroked="f" coordsize="21600,21600" o:gfxdata="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VtBttUAAAAH&#10;AQAADwAAAAAAAAABACAAAAAiAAAAZHJzL2Rvd25yZXYueG1sUEsBAhQAFAAAAAgAh07iQLs+DS+t&#10;AQAAZgMAAA4AAAAAAAAAAQAgAAAAJAEAAGRycy9lMm9Eb2MueG1sUEsFBgAAAAAGAAYAWQEAAEMF&#10;AAAAAA==&#10;">
                <v:fill on="f" focussize="0,0"/>
                <v:stroke on="f"/>
                <v:imagedata o:title=""/>
                <o:lock v:ext="edit" aspectratio="f"/>
                <v:textbox>
                  <w:txbxContent>
                    <w:p w14:paraId="5EAEE83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p w14:paraId="63556DCF"/>
                  </w:txbxContent>
                </v:textbox>
              </v:shape>
            </w:pict>
          </mc:Fallback>
        </mc:AlternateContent>
      </w:r>
      <w:r>
        <w:rPr>
          <w:rFonts w:hint="eastAsia" w:ascii="仿宋" w:hAnsi="仿宋" w:eastAsia="仿宋" w:cs="仿宋"/>
          <w:color w:val="auto"/>
          <w:highlight w:val="none"/>
          <w:lang w:eastAsia="zh-CN"/>
        </w:rPr>
        <w:t>工程接收证书颁发后的</w:t>
      </w:r>
      <w:r>
        <w:rPr>
          <w:rFonts w:ascii="仿宋" w:hAnsi="仿宋" w:eastAsia="仿宋" w:cs="仿宋"/>
          <w:color w:val="auto"/>
          <w:highlight w:val="none"/>
          <w:lang w:eastAsia="zh-CN"/>
        </w:rPr>
        <w:t>56</w:t>
      </w:r>
      <w:r>
        <w:rPr>
          <w:rFonts w:hint="eastAsia" w:ascii="仿宋" w:hAnsi="仿宋" w:eastAsia="仿宋" w:cs="仿宋"/>
          <w:color w:val="auto"/>
          <w:highlight w:val="none"/>
          <w:lang w:eastAsia="zh-CN"/>
        </w:rPr>
        <w:t>天内，除经监理人同意需在缺陷责任期内继续工作的人员、使用的施工设备和临时设施外，其余的人员、施工设备和临时设施均应撤离施工场地或拆除。除专用条款另有约定外，缺陷责任期满时，承包人的人员和施工设备应全部撤离施工场地。</w:t>
      </w:r>
    </w:p>
    <w:p w14:paraId="136D38B9">
      <w:pPr>
        <w:spacing w:line="360" w:lineRule="auto"/>
        <w:rPr>
          <w:rFonts w:ascii="仿宋" w:hAnsi="仿宋" w:eastAsia="仿宋" w:cs="仿宋"/>
          <w:color w:val="auto"/>
          <w:highlight w:val="none"/>
          <w:lang w:eastAsia="zh-CN"/>
        </w:rPr>
      </w:pPr>
      <w:bookmarkStart w:id="895" w:name="_Toc17486"/>
      <w:r>
        <w:rPr>
          <w:color w:val="auto"/>
          <w:highlight w:val="none"/>
        </w:rPr>
        <mc:AlternateContent>
          <mc:Choice Requires="wps">
            <w:drawing>
              <wp:anchor distT="0" distB="0" distL="114300" distR="114300" simplePos="0" relativeHeight="251960320" behindDoc="0" locked="0" layoutInCell="1" allowOverlap="1">
                <wp:simplePos x="0" y="0"/>
                <wp:positionH relativeFrom="column">
                  <wp:posOffset>-66675</wp:posOffset>
                </wp:positionH>
                <wp:positionV relativeFrom="paragraph">
                  <wp:posOffset>213360</wp:posOffset>
                </wp:positionV>
                <wp:extent cx="775970" cy="676910"/>
                <wp:effectExtent l="0" t="0" r="0" b="0"/>
                <wp:wrapNone/>
                <wp:docPr id="295" name="00022a"/>
                <wp:cNvGraphicFramePr/>
                <a:graphic xmlns:a="http://schemas.openxmlformats.org/drawingml/2006/main">
                  <a:graphicData uri="http://schemas.microsoft.com/office/word/2010/wordprocessingShape">
                    <wps:wsp>
                      <wps:cNvSpPr txBox="1"/>
                      <wps:spPr>
                        <a:xfrm>
                          <a:off x="0" y="0"/>
                          <a:ext cx="775970" cy="676910"/>
                        </a:xfrm>
                        <a:prstGeom prst="rect">
                          <a:avLst/>
                        </a:prstGeom>
                        <a:noFill/>
                        <a:ln>
                          <a:noFill/>
                        </a:ln>
                        <a:effectLst/>
                      </wps:spPr>
                      <wps:txbx>
                        <w:txbxContent>
                          <w:p w14:paraId="06C1A66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p w14:paraId="7F703220">
                            <w:pPr>
                              <w:rPr>
                                <w:lang w:eastAsia="zh-CN"/>
                              </w:rPr>
                            </w:pPr>
                          </w:p>
                        </w:txbxContent>
                      </wps:txbx>
                      <wps:bodyPr wrap="square" upright="1"/>
                    </wps:wsp>
                  </a:graphicData>
                </a:graphic>
              </wp:anchor>
            </w:drawing>
          </mc:Choice>
          <mc:Fallback>
            <w:pict>
              <v:shape id="00022a" o:spid="_x0000_s1026" o:spt="202" type="#_x0000_t202" style="position:absolute;left:0pt;margin-left:-5.25pt;margin-top:16.8pt;height:53.3pt;width:61.1pt;z-index:251960320;mso-width-relative:page;mso-height-relative:page;" filled="f" stroked="f" coordsize="21600,21600" o:gfxdata="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xHLPHXAAAA&#10;CgEAAA8AAAAAAAAAAQAgAAAAIgAAAGRycy9kb3ducmV2LnhtbFBLAQIUABQAAAAIAIdO4kAesU7u&#10;rAEAAGYDAAAOAAAAAAAAAAEAIAAAACYBAABkcnMvZTJvRG9jLnhtbFBLBQYAAAAABgAGAFkBAABE&#10;BQAAAAA=&#10;">
                <v:fill on="f" focussize="0,0"/>
                <v:stroke on="f"/>
                <v:imagedata o:title=""/>
                <o:lock v:ext="edit" aspectratio="f"/>
                <v:textbox>
                  <w:txbxContent>
                    <w:p w14:paraId="06C1A66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p w14:paraId="7F703220">
                      <w:pPr>
                        <w:rPr>
                          <w:lang w:eastAsia="zh-CN"/>
                        </w:rPr>
                      </w:pP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.12</w:t>
      </w:r>
      <w:bookmarkEnd w:id="895"/>
      <w:r>
        <w:rPr>
          <w:rFonts w:ascii="仿宋" w:hAnsi="仿宋" w:eastAsia="仿宋" w:cs="仿宋"/>
          <w:color w:val="auto"/>
          <w:highlight w:val="none"/>
          <w:u w:val="dotted"/>
          <w:lang w:eastAsia="zh-CN"/>
        </w:rPr>
        <w:t xml:space="preserve">                                                                                </w:t>
      </w:r>
    </w:p>
    <w:p w14:paraId="5AF5B8F9">
      <w:pPr>
        <w:pStyle w:val="34"/>
        <w:widowControl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合同工程未经竣工验收或竣工验收不合格的，发包人不得使用。发包人强行使用的，由此发生的质量问题及其他问题，由发包人承担责任。</w:t>
      </w:r>
    </w:p>
    <w:p w14:paraId="2473F142">
      <w:pPr>
        <w:spacing w:line="360" w:lineRule="auto"/>
        <w:rPr>
          <w:rFonts w:ascii="仿宋" w:hAnsi="仿宋" w:eastAsia="仿宋"/>
          <w:b/>
          <w:bCs/>
          <w:color w:val="auto"/>
          <w:highlight w:val="none"/>
          <w:lang w:eastAsia="zh-CN"/>
        </w:rPr>
      </w:pPr>
      <w:bookmarkStart w:id="896" w:name="_Toc23300"/>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.13</w:t>
      </w:r>
      <w:bookmarkEnd w:id="896"/>
      <w:r>
        <w:rPr>
          <w:rFonts w:ascii="仿宋" w:hAnsi="仿宋" w:eastAsia="仿宋" w:cs="仿宋"/>
          <w:b/>
          <w:bCs/>
          <w:color w:val="auto"/>
          <w:highlight w:val="none"/>
          <w:u w:val="dotted"/>
          <w:lang w:eastAsia="zh-CN"/>
        </w:rPr>
        <w:t xml:space="preserve">                                                                                </w:t>
      </w:r>
    </w:p>
    <w:p w14:paraId="7DD32889">
      <w:pPr>
        <w:pStyle w:val="34"/>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1344" behindDoc="0" locked="0" layoutInCell="1" allowOverlap="1">
                <wp:simplePos x="0" y="0"/>
                <wp:positionH relativeFrom="column">
                  <wp:posOffset>-114300</wp:posOffset>
                </wp:positionH>
                <wp:positionV relativeFrom="paragraph">
                  <wp:posOffset>13335</wp:posOffset>
                </wp:positionV>
                <wp:extent cx="756920" cy="588645"/>
                <wp:effectExtent l="0" t="0" r="0" b="0"/>
                <wp:wrapNone/>
                <wp:docPr id="296" name="00022b"/>
                <wp:cNvGraphicFramePr/>
                <a:graphic xmlns:a="http://schemas.openxmlformats.org/drawingml/2006/main">
                  <a:graphicData uri="http://schemas.microsoft.com/office/word/2010/wordprocessingShape">
                    <wps:wsp>
                      <wps:cNvSpPr txBox="1"/>
                      <wps:spPr>
                        <a:xfrm>
                          <a:off x="0" y="0"/>
                          <a:ext cx="756920" cy="588645"/>
                        </a:xfrm>
                        <a:prstGeom prst="rect">
                          <a:avLst/>
                        </a:prstGeom>
                        <a:noFill/>
                        <a:ln>
                          <a:noFill/>
                        </a:ln>
                        <a:effectLst/>
                      </wps:spPr>
                      <wps:txbx>
                        <w:txbxContent>
                          <w:p w14:paraId="44F4EA93">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p w14:paraId="0EB6FD2F">
                            <w:pPr>
                              <w:rPr>
                                <w:lang w:eastAsia="zh-CN"/>
                              </w:rPr>
                            </w:pPr>
                          </w:p>
                        </w:txbxContent>
                      </wps:txbx>
                      <wps:bodyPr wrap="square" upright="1"/>
                    </wps:wsp>
                  </a:graphicData>
                </a:graphic>
              </wp:anchor>
            </w:drawing>
          </mc:Choice>
          <mc:Fallback>
            <w:pict>
              <v:shape id="00022b" o:spid="_x0000_s1026" o:spt="202" type="#_x0000_t202" style="position:absolute;left:0pt;margin-left:-9pt;margin-top:1.05pt;height:46.35pt;width:59.6pt;z-index:251961344;mso-width-relative:page;mso-height-relative:page;" filled="f" stroked="f" coordsize="21600,21600" o:gfxdata="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70nM1QAAAAgB&#10;AAAPAAAAAAAAAAEAIAAAACIAAABkcnMvZG93bnJldi54bWxQSwECFAAUAAAACACHTuJAd3snn6wB&#10;AABmAwAADgAAAAAAAAABACAAAAAkAQAAZHJzL2Uyb0RvYy54bWxQSwUGAAAAAAYABgBZAQAAQgUA&#10;AAAA&#10;">
                <v:fill on="f" focussize="0,0"/>
                <v:stroke on="f"/>
                <v:imagedata o:title=""/>
                <o:lock v:ext="edit" aspectratio="f"/>
                <v:textbox>
                  <w:txbxContent>
                    <w:p w14:paraId="44F4EA93">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p w14:paraId="0EB6FD2F">
                      <w:pPr>
                        <w:rPr>
                          <w:lang w:eastAsia="zh-CN"/>
                        </w:rPr>
                      </w:pPr>
                    </w:p>
                  </w:txbxContent>
                </v:textbox>
              </v:shape>
            </w:pict>
          </mc:Fallback>
        </mc:AlternateContent>
      </w:r>
      <w:r>
        <w:rPr>
          <w:rFonts w:hint="eastAsia" w:ascii="仿宋" w:hAnsi="仿宋" w:eastAsia="仿宋" w:cs="仿宋"/>
          <w:color w:val="auto"/>
          <w:highlight w:val="none"/>
          <w:lang w:eastAsia="zh-CN"/>
        </w:rPr>
        <w:t>合同工程竣工验收时发生工程质量争议，经第91</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款约定调解或认定工程质量符合合同约定的，由发包人承担由此增加的费用和（或）延误的工期。</w:t>
      </w:r>
    </w:p>
    <w:p w14:paraId="0EBF0922">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2DB73FD1">
      <w:pPr>
        <w:pStyle w:val="3"/>
        <w:tabs>
          <w:tab w:val="left" w:pos="420"/>
        </w:tabs>
        <w:spacing w:before="120" w:after="120" w:line="360" w:lineRule="auto"/>
        <w:rPr>
          <w:rFonts w:ascii="仿宋" w:hAnsi="仿宋" w:eastAsia="仿宋" w:cs="仿宋"/>
          <w:bCs w:val="0"/>
          <w:i w:val="0"/>
          <w:iCs w:val="0"/>
          <w:color w:val="auto"/>
          <w:sz w:val="24"/>
          <w:szCs w:val="24"/>
          <w:highlight w:val="none"/>
          <w:lang w:eastAsia="zh-CN"/>
        </w:rPr>
      </w:pPr>
      <w:bookmarkStart w:id="897" w:name="_Toc4027"/>
      <w:bookmarkStart w:id="898" w:name="_Toc14392"/>
      <w:bookmarkStart w:id="899" w:name="_Toc29159"/>
      <w:bookmarkStart w:id="900" w:name="_Toc21705"/>
      <w:bookmarkStart w:id="901" w:name="_Toc13475"/>
      <w:bookmarkStart w:id="902" w:name="_Toc47694341"/>
      <w:bookmarkStart w:id="903" w:name="_Toc25939"/>
      <w:bookmarkStart w:id="904" w:name="_Toc32044"/>
      <w:r>
        <w:rPr>
          <w:rFonts w:hint="eastAsia" w:ascii="仿宋" w:hAnsi="仿宋" w:eastAsia="仿宋" w:cs="仿宋"/>
          <w:bCs w:val="0"/>
          <w:i w:val="0"/>
          <w:iCs w:val="0"/>
          <w:color w:val="auto"/>
          <w:sz w:val="24"/>
          <w:szCs w:val="24"/>
          <w:highlight w:val="none"/>
          <w:lang w:eastAsia="zh-CN"/>
        </w:rPr>
        <w:t>66</w:t>
      </w:r>
      <w:r>
        <w:rPr>
          <w:rFonts w:ascii="仿宋" w:hAnsi="仿宋" w:eastAsia="仿宋" w:cs="仿宋"/>
          <w:bCs w:val="0"/>
          <w:i w:val="0"/>
          <w:iCs w:val="0"/>
          <w:color w:val="auto"/>
          <w:sz w:val="24"/>
          <w:szCs w:val="24"/>
          <w:highlight w:val="none"/>
          <w:lang w:eastAsia="zh-CN"/>
        </w:rPr>
        <w:t xml:space="preserve">  </w:t>
      </w:r>
      <w:r>
        <w:rPr>
          <w:rFonts w:hint="eastAsia" w:ascii="仿宋" w:hAnsi="仿宋" w:eastAsia="仿宋" w:cs="仿宋"/>
          <w:bCs w:val="0"/>
          <w:i w:val="0"/>
          <w:iCs w:val="0"/>
          <w:color w:val="auto"/>
          <w:sz w:val="24"/>
          <w:szCs w:val="24"/>
          <w:highlight w:val="none"/>
          <w:lang w:eastAsia="zh-CN"/>
        </w:rPr>
        <w:t>缺陷责任与质量保修</w:t>
      </w:r>
      <w:bookmarkEnd w:id="897"/>
      <w:bookmarkEnd w:id="898"/>
      <w:bookmarkEnd w:id="899"/>
      <w:bookmarkEnd w:id="900"/>
      <w:bookmarkEnd w:id="901"/>
      <w:bookmarkEnd w:id="902"/>
      <w:bookmarkEnd w:id="903"/>
      <w:bookmarkEnd w:id="904"/>
    </w:p>
    <w:p w14:paraId="337FA55F">
      <w:pPr>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962368" behindDoc="0" locked="0" layoutInCell="1" allowOverlap="1">
                <wp:simplePos x="0" y="0"/>
                <wp:positionH relativeFrom="column">
                  <wp:posOffset>-114300</wp:posOffset>
                </wp:positionH>
                <wp:positionV relativeFrom="paragraph">
                  <wp:posOffset>287020</wp:posOffset>
                </wp:positionV>
                <wp:extent cx="771525" cy="546100"/>
                <wp:effectExtent l="0" t="0" r="0" b="0"/>
                <wp:wrapNone/>
                <wp:docPr id="297" name="00022c"/>
                <wp:cNvGraphicFramePr/>
                <a:graphic xmlns:a="http://schemas.openxmlformats.org/drawingml/2006/main">
                  <a:graphicData uri="http://schemas.microsoft.com/office/word/2010/wordprocessingShape">
                    <wps:wsp>
                      <wps:cNvSpPr txBox="1"/>
                      <wps:spPr>
                        <a:xfrm>
                          <a:off x="0" y="0"/>
                          <a:ext cx="771525" cy="546100"/>
                        </a:xfrm>
                        <a:prstGeom prst="rect">
                          <a:avLst/>
                        </a:prstGeom>
                        <a:noFill/>
                        <a:ln>
                          <a:noFill/>
                        </a:ln>
                        <a:effectLst/>
                      </wps:spPr>
                      <wps:txbx>
                        <w:txbxContent>
                          <w:p w14:paraId="7C8AC5D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4484D8AE">
                            <w:pPr>
                              <w:spacing w:line="240" w:lineRule="exact"/>
                              <w:rPr>
                                <w:rFonts w:ascii="宋体"/>
                                <w:sz w:val="18"/>
                                <w:szCs w:val="18"/>
                              </w:rPr>
                            </w:pPr>
                            <w:r>
                              <w:rPr>
                                <w:rFonts w:hint="eastAsia" w:ascii="楷体_GB2312" w:hAnsi="宋体" w:eastAsia="楷体_GB2312" w:cs="楷体_GB2312"/>
                                <w:b/>
                                <w:bCs/>
                                <w:color w:val="000000"/>
                                <w:sz w:val="18"/>
                                <w:szCs w:val="18"/>
                              </w:rPr>
                              <w:t>计算</w:t>
                            </w:r>
                          </w:p>
                          <w:p w14:paraId="23EBF824"/>
                        </w:txbxContent>
                      </wps:txbx>
                      <wps:bodyPr wrap="square" upright="1"/>
                    </wps:wsp>
                  </a:graphicData>
                </a:graphic>
              </wp:anchor>
            </w:drawing>
          </mc:Choice>
          <mc:Fallback>
            <w:pict>
              <v:shape id="00022c" o:spid="_x0000_s1026" o:spt="202" type="#_x0000_t202" style="position:absolute;left:0pt;margin-left:-9pt;margin-top:22.6pt;height:43pt;width:60.75pt;z-index:251962368;mso-width-relative:page;mso-height-relative:page;" filled="f" stroked="f" coordsize="21600,21600" o:gfxdata="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SYBbL2AAA&#10;AAoBAAAPAAAAAAAAAAEAIAAAACIAAABkcnMvZG93bnJldi54bWxQSwECFAAUAAAACACHTuJAVjT9&#10;SawBAABmAwAADgAAAAAAAAABACAAAAAnAQAAZHJzL2Uyb0RvYy54bWxQSwUGAAAAAAYABgBZAQAA&#10;RQUAAAAA&#10;">
                <v:fill on="f" focussize="0,0"/>
                <v:stroke on="f"/>
                <v:imagedata o:title=""/>
                <o:lock v:ext="edit" aspectratio="f"/>
                <v:textbox>
                  <w:txbxContent>
                    <w:p w14:paraId="7C8AC5D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4484D8AE">
                      <w:pPr>
                        <w:spacing w:line="240" w:lineRule="exact"/>
                        <w:rPr>
                          <w:rFonts w:ascii="宋体"/>
                          <w:sz w:val="18"/>
                          <w:szCs w:val="18"/>
                        </w:rPr>
                      </w:pPr>
                      <w:r>
                        <w:rPr>
                          <w:rFonts w:hint="eastAsia" w:ascii="楷体_GB2312" w:hAnsi="宋体" w:eastAsia="楷体_GB2312" w:cs="楷体_GB2312"/>
                          <w:b/>
                          <w:bCs/>
                          <w:color w:val="000000"/>
                          <w:sz w:val="18"/>
                          <w:szCs w:val="18"/>
                        </w:rPr>
                        <w:t>计算</w:t>
                      </w:r>
                    </w:p>
                    <w:p w14:paraId="23EBF824"/>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.1</w:t>
      </w:r>
    </w:p>
    <w:p w14:paraId="69FAE109">
      <w:pPr>
        <w:pStyle w:val="34"/>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合同双方当事人应在专用条款中约定缺陷责任期。</w:t>
      </w:r>
    </w:p>
    <w:p w14:paraId="12225ECA">
      <w:pPr>
        <w:pStyle w:val="34"/>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缺陷责任期自实际通过竣工验收之日起计算。在全部工程竣工验收前，已经发包人提前验收的单项工程，其缺陷责任期的起算日期相应提前。</w:t>
      </w:r>
    </w:p>
    <w:p w14:paraId="1630EAA4">
      <w:pPr>
        <w:spacing w:line="360" w:lineRule="auto"/>
        <w:rPr>
          <w:rFonts w:ascii="仿宋" w:hAnsi="仿宋" w:eastAsia="仿宋"/>
          <w:b/>
          <w:bCs/>
          <w:color w:val="auto"/>
          <w:highlight w:val="none"/>
          <w:lang w:eastAsia="zh-CN"/>
        </w:rPr>
      </w:pPr>
      <w:bookmarkStart w:id="905" w:name="_Toc22228"/>
      <w:r>
        <w:rPr>
          <w:color w:val="auto"/>
          <w:highlight w:val="none"/>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287020</wp:posOffset>
                </wp:positionV>
                <wp:extent cx="838200" cy="451485"/>
                <wp:effectExtent l="0" t="0" r="0" b="0"/>
                <wp:wrapNone/>
                <wp:docPr id="298" name="00022d"/>
                <wp:cNvGraphicFramePr/>
                <a:graphic xmlns:a="http://schemas.openxmlformats.org/drawingml/2006/main">
                  <a:graphicData uri="http://schemas.microsoft.com/office/word/2010/wordprocessingShape">
                    <wps:wsp>
                      <wps:cNvSpPr txBox="1"/>
                      <wps:spPr>
                        <a:xfrm>
                          <a:off x="0" y="0"/>
                          <a:ext cx="838200" cy="451485"/>
                        </a:xfrm>
                        <a:prstGeom prst="rect">
                          <a:avLst/>
                        </a:prstGeom>
                        <a:noFill/>
                        <a:ln>
                          <a:noFill/>
                        </a:ln>
                        <a:effectLst/>
                      </wps:spPr>
                      <wps:txbx>
                        <w:txbxContent>
                          <w:p w14:paraId="3E32080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550DDC7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p w14:paraId="0DAF3B82"/>
                        </w:txbxContent>
                      </wps:txbx>
                      <wps:bodyPr wrap="square" upright="1"/>
                    </wps:wsp>
                  </a:graphicData>
                </a:graphic>
              </wp:anchor>
            </w:drawing>
          </mc:Choice>
          <mc:Fallback>
            <w:pict>
              <v:shape id="00022d" o:spid="_x0000_s1026" o:spt="202" type="#_x0000_t202" style="position:absolute;left:0pt;margin-left:-9pt;margin-top:22.6pt;height:35.55pt;width:66pt;z-index:251963392;mso-width-relative:page;mso-height-relative:page;" filled="f" stroked="f" coordsize="21600,21600" o:gfxdata="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KQQ0NcAAAAK&#10;AQAADwAAAAAAAAABACAAAAAiAAAAZHJzL2Rvd25yZXYueG1sUEsBAhQAFAAAAAgAh07iQGufesKr&#10;AQAAZgMAAA4AAAAAAAAAAQAgAAAAJgEAAGRycy9lMm9Eb2MueG1sUEsFBgAAAAAGAAYAWQEAAEMF&#10;AAAAAA==&#10;">
                <v:fill on="f" focussize="0,0"/>
                <v:stroke on="f"/>
                <v:imagedata o:title=""/>
                <o:lock v:ext="edit" aspectratio="f"/>
                <v:textbox>
                  <w:txbxContent>
                    <w:p w14:paraId="3E32080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550DDC7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p w14:paraId="0DAF3B82"/>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.2</w:t>
      </w:r>
      <w:bookmarkEnd w:id="90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C14E735">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年。</w:t>
      </w:r>
    </w:p>
    <w:p w14:paraId="32FB02BB">
      <w:pPr>
        <w:spacing w:line="360" w:lineRule="auto"/>
        <w:rPr>
          <w:rFonts w:ascii="仿宋" w:hAnsi="仿宋" w:eastAsia="仿宋"/>
          <w:b/>
          <w:bCs/>
          <w:color w:val="auto"/>
          <w:highlight w:val="none"/>
          <w:lang w:eastAsia="zh-CN"/>
        </w:rPr>
      </w:pPr>
      <w:bookmarkStart w:id="906" w:name="_Toc28278"/>
      <w:r>
        <w:rPr>
          <w:color w:val="auto"/>
          <w:highlight w:val="none"/>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287020</wp:posOffset>
                </wp:positionV>
                <wp:extent cx="742950" cy="441325"/>
                <wp:effectExtent l="0" t="0" r="0" b="0"/>
                <wp:wrapNone/>
                <wp:docPr id="299" name="00022e"/>
                <wp:cNvGraphicFramePr/>
                <a:graphic xmlns:a="http://schemas.openxmlformats.org/drawingml/2006/main">
                  <a:graphicData uri="http://schemas.microsoft.com/office/word/2010/wordprocessingShape">
                    <wps:wsp>
                      <wps:cNvSpPr txBox="1"/>
                      <wps:spPr>
                        <a:xfrm>
                          <a:off x="0" y="0"/>
                          <a:ext cx="742950" cy="441325"/>
                        </a:xfrm>
                        <a:prstGeom prst="rect">
                          <a:avLst/>
                        </a:prstGeom>
                        <a:noFill/>
                        <a:ln>
                          <a:noFill/>
                        </a:ln>
                        <a:effectLst/>
                      </wps:spPr>
                      <wps:txbx>
                        <w:txbxContent>
                          <w:p w14:paraId="6FFD41F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p w14:paraId="7861677F"/>
                        </w:txbxContent>
                      </wps:txbx>
                      <wps:bodyPr wrap="square" upright="1"/>
                    </wps:wsp>
                  </a:graphicData>
                </a:graphic>
              </wp:anchor>
            </w:drawing>
          </mc:Choice>
          <mc:Fallback>
            <w:pict>
              <v:shape id="00022e" o:spid="_x0000_s1026" o:spt="202" type="#_x0000_t202" style="position:absolute;left:0pt;margin-left:-9pt;margin-top:22.6pt;height:34.75pt;width:58.5pt;z-index:251964416;mso-width-relative:page;mso-height-relative:page;" filled="f" stroked="f" coordsize="21600,21600" o:gfxdata="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Yx6b+1gAAAAkB&#10;AAAPAAAAAAAAAAEAIAAAACIAAABkcnMvZG93bnJldi54bWxQSwECFAAUAAAACACHTuJANO0vQKsB&#10;AABmAwAADgAAAAAAAAABACAAAAAlAQAAZHJzL2Uyb0RvYy54bWxQSwUGAAAAAAYABgBZAQAAQgUA&#10;AAAA&#10;">
                <v:fill on="f" focussize="0,0"/>
                <v:stroke on="f"/>
                <v:imagedata o:title=""/>
                <o:lock v:ext="edit" aspectratio="f"/>
                <v:textbox>
                  <w:txbxContent>
                    <w:p w14:paraId="6FFD41F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p w14:paraId="7861677F"/>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.3</w:t>
      </w:r>
      <w:bookmarkEnd w:id="90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49286E5">
      <w:pPr>
        <w:pStyle w:val="34"/>
        <w:widowControl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合同工程存在某项缺陷或损坏的，合同双方当事人应按照下列约定承担缺陷责任以及由此产生的费用。</w:t>
      </w:r>
    </w:p>
    <w:p w14:paraId="3D55BD61">
      <w:pPr>
        <w:pStyle w:val="34"/>
        <w:widowControl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）承包人应在缺陷责任期内对已交付使用的工程承担缺陷责任。</w:t>
      </w:r>
    </w:p>
    <w:p w14:paraId="30087AE1">
      <w:pPr>
        <w:pStyle w:val="34"/>
        <w:widowControl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天内派人修复，直至检验合格为止。承包人未能在约定时间内修复的，发包人可自行或委托第三方修复，所需费用和利润按照本款第（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）点约定办理。</w:t>
      </w:r>
    </w:p>
    <w:p w14:paraId="530830D8">
      <w:pPr>
        <w:pStyle w:val="34"/>
        <w:widowControl w:val="0"/>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监理人应会同承包人共同查清缺陷和（或）损坏的原因，并由造价咨询人提出或核实由此发生的费用。经查明，因承包人原因造成的，由承包人承担修复和查验的费用；因发包人的原因造成的，发包人承担修复和查验的费用，并向承包人支付合理利润。</w:t>
      </w:r>
    </w:p>
    <w:p w14:paraId="5675B9F3">
      <w:pPr>
        <w:spacing w:line="360" w:lineRule="auto"/>
        <w:rPr>
          <w:rFonts w:ascii="仿宋" w:hAnsi="仿宋" w:eastAsia="仿宋"/>
          <w:b/>
          <w:bCs/>
          <w:color w:val="auto"/>
          <w:highlight w:val="none"/>
          <w:lang w:eastAsia="zh-CN"/>
        </w:rPr>
      </w:pPr>
      <w:bookmarkStart w:id="907" w:name="_Toc32142"/>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.4</w:t>
      </w:r>
      <w:bookmarkEnd w:id="90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623DD1E">
      <w:pPr>
        <w:pStyle w:val="34"/>
        <w:widowControl w:val="0"/>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65440" behindDoc="0" locked="0" layoutInCell="1" allowOverlap="1">
                <wp:simplePos x="0" y="0"/>
                <wp:positionH relativeFrom="column">
                  <wp:posOffset>-104775</wp:posOffset>
                </wp:positionH>
                <wp:positionV relativeFrom="paragraph">
                  <wp:posOffset>9525</wp:posOffset>
                </wp:positionV>
                <wp:extent cx="836295" cy="517525"/>
                <wp:effectExtent l="0" t="0" r="0" b="0"/>
                <wp:wrapNone/>
                <wp:docPr id="300" name="00022f"/>
                <wp:cNvGraphicFramePr/>
                <a:graphic xmlns:a="http://schemas.openxmlformats.org/drawingml/2006/main">
                  <a:graphicData uri="http://schemas.microsoft.com/office/word/2010/wordprocessingShape">
                    <wps:wsp>
                      <wps:cNvSpPr txBox="1"/>
                      <wps:spPr>
                        <a:xfrm>
                          <a:off x="0" y="0"/>
                          <a:ext cx="836295" cy="517525"/>
                        </a:xfrm>
                        <a:prstGeom prst="rect">
                          <a:avLst/>
                        </a:prstGeom>
                        <a:noFill/>
                        <a:ln>
                          <a:noFill/>
                        </a:ln>
                        <a:effectLst/>
                      </wps:spPr>
                      <wps:txbx>
                        <w:txbxContent>
                          <w:p w14:paraId="39F4E5F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p w14:paraId="449B3A68"/>
                        </w:txbxContent>
                      </wps:txbx>
                      <wps:bodyPr wrap="square" upright="1"/>
                    </wps:wsp>
                  </a:graphicData>
                </a:graphic>
              </wp:anchor>
            </w:drawing>
          </mc:Choice>
          <mc:Fallback>
            <w:pict>
              <v:shape id="00022f" o:spid="_x0000_s1026" o:spt="202" type="#_x0000_t202" style="position:absolute;left:0pt;margin-left:-8.25pt;margin-top:0.75pt;height:40.75pt;width:65.85pt;z-index:251965440;mso-width-relative:page;mso-height-relative:page;" filled="f" stroked="f" coordsize="21600,21600" o:gfxdata="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PiekrVAAAACAEA&#10;AA8AAAAAAAAAAQAgAAAAIgAAAGRycy9kb3ducmV2LnhtbFBLAQIUABQAAAAIAIdO4kCqvB0XqwEA&#10;AGYDAAAOAAAAAAAAAAEAIAAAACQBAABkcnMvZTJvRG9jLnhtbFBLBQYAAAAABgAGAFkBAABBBQAA&#10;AAA=&#10;">
                <v:fill on="f" focussize="0,0"/>
                <v:stroke on="f"/>
                <v:imagedata o:title=""/>
                <o:lock v:ext="edit" aspectratio="f"/>
                <v:textbox>
                  <w:txbxContent>
                    <w:p w14:paraId="39F4E5F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p w14:paraId="449B3A68"/>
                  </w:txbxContent>
                </v:textbox>
              </v:shape>
            </w:pict>
          </mc:Fallback>
        </mc:AlternateContent>
      </w:r>
      <w:r>
        <w:rPr>
          <w:rFonts w:hint="eastAsia" w:ascii="仿宋" w:hAnsi="仿宋" w:eastAsia="仿宋" w:cs="仿宋"/>
          <w:color w:val="auto"/>
          <w:highlight w:val="none"/>
          <w:lang w:eastAsia="zh-CN"/>
        </w:rPr>
        <w:t>任何一项缺陷或损坏修复后，经检查证明其影响了工程或工程设备的使用性能，承包人应按照第61条约定重新检（试）验，重新检（试）验的费用由责任方承担。</w:t>
      </w:r>
    </w:p>
    <w:p w14:paraId="45EA2B03">
      <w:pPr>
        <w:spacing w:line="360" w:lineRule="auto"/>
        <w:rPr>
          <w:rFonts w:ascii="仿宋" w:hAnsi="仿宋" w:eastAsia="仿宋"/>
          <w:b/>
          <w:bCs/>
          <w:color w:val="auto"/>
          <w:highlight w:val="none"/>
          <w:lang w:eastAsia="zh-CN"/>
        </w:rPr>
      </w:pPr>
      <w:bookmarkStart w:id="908" w:name="_Toc14236"/>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.5</w:t>
      </w:r>
      <w:bookmarkEnd w:id="90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6A1C5A3">
      <w:pPr>
        <w:widowControl w:val="0"/>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40640</wp:posOffset>
                </wp:positionV>
                <wp:extent cx="838200" cy="419735"/>
                <wp:effectExtent l="0" t="0" r="0" b="0"/>
                <wp:wrapNone/>
                <wp:docPr id="301" name="000230"/>
                <wp:cNvGraphicFramePr/>
                <a:graphic xmlns:a="http://schemas.openxmlformats.org/drawingml/2006/main">
                  <a:graphicData uri="http://schemas.microsoft.com/office/word/2010/wordprocessingShape">
                    <wps:wsp>
                      <wps:cNvSpPr txBox="1"/>
                      <wps:spPr>
                        <a:xfrm>
                          <a:off x="0" y="0"/>
                          <a:ext cx="838200" cy="419735"/>
                        </a:xfrm>
                        <a:prstGeom prst="rect">
                          <a:avLst/>
                        </a:prstGeom>
                        <a:noFill/>
                        <a:ln>
                          <a:noFill/>
                        </a:ln>
                        <a:effectLst/>
                      </wps:spPr>
                      <wps:txbx>
                        <w:txbxContent>
                          <w:p w14:paraId="6043838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p w14:paraId="07ADA366"/>
                        </w:txbxContent>
                      </wps:txbx>
                      <wps:bodyPr wrap="square" upright="1"/>
                    </wps:wsp>
                  </a:graphicData>
                </a:graphic>
              </wp:anchor>
            </w:drawing>
          </mc:Choice>
          <mc:Fallback>
            <w:pict>
              <v:shape id="000230" o:spid="_x0000_s1026" o:spt="202" type="#_x0000_t202" style="position:absolute;left:0pt;margin-left:-9pt;margin-top:3.2pt;height:33.05pt;width:66pt;z-index:251966464;mso-width-relative:page;mso-height-relative:page;" filled="f" stroked="f" coordsize="21600,21600" o:gfxdata="UEsDBAoAAAAAAIdO4kAAAAAAAAAAAAAAAAAEAAAAZHJzL1BLAwQUAAAACACHTuJAX9KA1tUAAAAI&#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F/SgNbVAAAACAEA&#10;AA8AAAAAAAAAAQAgAAAAIgAAAGRycy9kb3ducmV2LnhtbFBLAQIUABQAAAAIAIdO4kDRYWXfqwEA&#10;AGYDAAAOAAAAAAAAAAEAIAAAACQBAABkcnMvZTJvRG9jLnhtbFBLBQYAAAAABgAGAFkBAABBBQAA&#10;AAA=&#10;">
                <v:fill on="f" focussize="0,0"/>
                <v:stroke on="f"/>
                <v:imagedata o:title=""/>
                <o:lock v:ext="edit" aspectratio="f"/>
                <v:textbox>
                  <w:txbxContent>
                    <w:p w14:paraId="6043838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p w14:paraId="07ADA366"/>
                  </w:txbxContent>
                </v:textbox>
              </v:shape>
            </w:pict>
          </mc:Fallback>
        </mc:AlternateContent>
      </w:r>
      <w:r>
        <w:rPr>
          <w:rFonts w:hint="eastAsia" w:ascii="仿宋" w:hAnsi="仿宋" w:eastAsia="仿宋" w:cs="仿宋"/>
          <w:color w:val="auto"/>
          <w:highlight w:val="none"/>
          <w:lang w:eastAsia="zh-CN"/>
        </w:rPr>
        <w:t>缺陷责任期内承包人为缺陷修复工作需要，有权进入工程现场，但应遵守发包人的保安和保密等规定。</w:t>
      </w:r>
    </w:p>
    <w:p w14:paraId="0C8A2991">
      <w:pPr>
        <w:spacing w:line="360" w:lineRule="auto"/>
        <w:rPr>
          <w:rFonts w:ascii="仿宋" w:hAnsi="仿宋" w:eastAsia="仿宋"/>
          <w:b/>
          <w:bCs/>
          <w:color w:val="auto"/>
          <w:highlight w:val="none"/>
          <w:lang w:eastAsia="zh-CN"/>
        </w:rPr>
      </w:pPr>
      <w:bookmarkStart w:id="909" w:name="_Toc19809"/>
      <w:r>
        <w:rPr>
          <w:color w:val="auto"/>
          <w:highlight w:val="none"/>
        </w:rPr>
        <mc:AlternateContent>
          <mc:Choice Requires="wps">
            <w:drawing>
              <wp:anchor distT="0" distB="0" distL="114300" distR="114300" simplePos="0" relativeHeight="251967488" behindDoc="0" locked="0" layoutInCell="1" allowOverlap="1">
                <wp:simplePos x="0" y="0"/>
                <wp:positionH relativeFrom="column">
                  <wp:posOffset>-95250</wp:posOffset>
                </wp:positionH>
                <wp:positionV relativeFrom="paragraph">
                  <wp:posOffset>259080</wp:posOffset>
                </wp:positionV>
                <wp:extent cx="790575" cy="546100"/>
                <wp:effectExtent l="0" t="0" r="0" b="0"/>
                <wp:wrapNone/>
                <wp:docPr id="302" name="000231"/>
                <wp:cNvGraphicFramePr/>
                <a:graphic xmlns:a="http://schemas.openxmlformats.org/drawingml/2006/main">
                  <a:graphicData uri="http://schemas.microsoft.com/office/word/2010/wordprocessingShape">
                    <wps:wsp>
                      <wps:cNvSpPr txBox="1"/>
                      <wps:spPr>
                        <a:xfrm>
                          <a:off x="0" y="0"/>
                          <a:ext cx="790575" cy="546100"/>
                        </a:xfrm>
                        <a:prstGeom prst="rect">
                          <a:avLst/>
                        </a:prstGeom>
                        <a:noFill/>
                        <a:ln>
                          <a:noFill/>
                        </a:ln>
                        <a:effectLst/>
                      </wps:spPr>
                      <wps:txbx>
                        <w:txbxContent>
                          <w:p w14:paraId="3420243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p w14:paraId="372E3C33">
                            <w:pPr>
                              <w:rPr>
                                <w:lang w:eastAsia="zh-CN"/>
                              </w:rPr>
                            </w:pPr>
                          </w:p>
                        </w:txbxContent>
                      </wps:txbx>
                      <wps:bodyPr wrap="square" upright="1"/>
                    </wps:wsp>
                  </a:graphicData>
                </a:graphic>
              </wp:anchor>
            </w:drawing>
          </mc:Choice>
          <mc:Fallback>
            <w:pict>
              <v:shape id="000231" o:spid="_x0000_s1026" o:spt="202" type="#_x0000_t202" style="position:absolute;left:0pt;margin-left:-7.5pt;margin-top:20.4pt;height:43pt;width:62.25pt;z-index:251967488;mso-width-relative:page;mso-height-relative:page;" filled="f" stroked="f" coordsize="21600,21600" o:gfxdata="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7Y9xY9cA&#10;AAAKAQAADwAAAAAAAAABACAAAAAiAAAAZHJzL2Rvd25yZXYueG1sUEsBAhQAFAAAAAgAh07iQNz6&#10;GCSuAQAAZgMAAA4AAAAAAAAAAQAgAAAAJgEAAGRycy9lMm9Eb2MueG1sUEsFBgAAAAAGAAYAWQEA&#10;AEYFAAAAAA==&#10;">
                <v:fill on="f" focussize="0,0"/>
                <v:stroke on="f"/>
                <v:imagedata o:title=""/>
                <o:lock v:ext="edit" aspectratio="f"/>
                <v:textbox>
                  <w:txbxContent>
                    <w:p w14:paraId="3420243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p w14:paraId="372E3C33">
                      <w:pPr>
                        <w:rPr>
                          <w:lang w:eastAsia="zh-CN"/>
                        </w:rPr>
                      </w:pP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.6</w:t>
      </w:r>
      <w:bookmarkEnd w:id="90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EE3752F">
      <w:pPr>
        <w:widowControl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在专用条款约定的缺陷责任期（包括第66</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款延长的期限）终止后的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天内，发包人应向承包人颁发缺陷责任期终止证书，并返还相应的质量保证金。</w:t>
      </w:r>
    </w:p>
    <w:p w14:paraId="68505643">
      <w:pPr>
        <w:spacing w:line="360" w:lineRule="auto"/>
        <w:rPr>
          <w:rFonts w:ascii="仿宋" w:hAnsi="仿宋" w:eastAsia="仿宋"/>
          <w:b/>
          <w:bCs/>
          <w:color w:val="auto"/>
          <w:highlight w:val="none"/>
          <w:lang w:eastAsia="zh-CN"/>
        </w:rPr>
      </w:pPr>
      <w:bookmarkStart w:id="910" w:name="_Toc4724"/>
      <w:r>
        <w:rPr>
          <w:color w:val="auto"/>
          <w:highlight w:val="none"/>
        </w:rPr>
        <mc:AlternateContent>
          <mc:Choice Requires="wps">
            <w:drawing>
              <wp:anchor distT="0" distB="0" distL="114300" distR="114300" simplePos="0" relativeHeight="251968512" behindDoc="0" locked="0" layoutInCell="1" allowOverlap="1">
                <wp:simplePos x="0" y="0"/>
                <wp:positionH relativeFrom="column">
                  <wp:posOffset>-114300</wp:posOffset>
                </wp:positionH>
                <wp:positionV relativeFrom="paragraph">
                  <wp:posOffset>287020</wp:posOffset>
                </wp:positionV>
                <wp:extent cx="762000" cy="594360"/>
                <wp:effectExtent l="0" t="0" r="0" b="0"/>
                <wp:wrapNone/>
                <wp:docPr id="303" name="000232"/>
                <wp:cNvGraphicFramePr/>
                <a:graphic xmlns:a="http://schemas.openxmlformats.org/drawingml/2006/main">
                  <a:graphicData uri="http://schemas.microsoft.com/office/word/2010/wordprocessingShape">
                    <wps:wsp>
                      <wps:cNvSpPr txBox="1"/>
                      <wps:spPr>
                        <a:xfrm>
                          <a:off x="0" y="0"/>
                          <a:ext cx="762000" cy="594360"/>
                        </a:xfrm>
                        <a:prstGeom prst="rect">
                          <a:avLst/>
                        </a:prstGeom>
                        <a:noFill/>
                        <a:ln>
                          <a:noFill/>
                        </a:ln>
                        <a:effectLst/>
                      </wps:spPr>
                      <wps:txbx>
                        <w:txbxContent>
                          <w:p w14:paraId="067A096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p w14:paraId="785446DC"/>
                        </w:txbxContent>
                      </wps:txbx>
                      <wps:bodyPr wrap="square" upright="1"/>
                    </wps:wsp>
                  </a:graphicData>
                </a:graphic>
              </wp:anchor>
            </w:drawing>
          </mc:Choice>
          <mc:Fallback>
            <w:pict>
              <v:shape id="000232" o:spid="_x0000_s1026" o:spt="202" type="#_x0000_t202" style="position:absolute;left:0pt;margin-left:-9pt;margin-top:22.6pt;height:46.8pt;width:60pt;z-index:251968512;mso-width-relative:page;mso-height-relative:page;" filled="f" stroked="f" coordsize="21600,21600" o:gfxdata="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fRtoq2AAA&#10;AAoBAAAPAAAAAAAAAAEAIAAAACIAAABkcnMvZG93bnJldi54bWxQSwECFAAUAAAACACHTuJA7VME&#10;kawBAABmAwAADgAAAAAAAAABACAAAAAnAQAAZHJzL2Uyb0RvYy54bWxQSwUGAAAAAAYABgBZAQAA&#10;RQUAAAAA&#10;">
                <v:fill on="f" focussize="0,0"/>
                <v:stroke on="f"/>
                <v:imagedata o:title=""/>
                <o:lock v:ext="edit" aspectratio="f"/>
                <v:textbox>
                  <w:txbxContent>
                    <w:p w14:paraId="067A096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p w14:paraId="785446DC"/>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.7</w:t>
      </w:r>
      <w:bookmarkEnd w:id="91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118B28E">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671BAA7F">
      <w:pPr>
        <w:spacing w:line="360" w:lineRule="auto"/>
        <w:rPr>
          <w:rFonts w:ascii="仿宋" w:hAnsi="仿宋" w:eastAsia="仿宋"/>
          <w:color w:val="auto"/>
          <w:highlight w:val="none"/>
          <w:lang w:eastAsia="zh-CN"/>
        </w:rPr>
      </w:pPr>
      <w:bookmarkStart w:id="911" w:name="_Toc31105"/>
      <w:r>
        <w:rPr>
          <w:color w:val="auto"/>
          <w:highlight w:val="none"/>
        </w:rP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287020</wp:posOffset>
                </wp:positionV>
                <wp:extent cx="781050" cy="641350"/>
                <wp:effectExtent l="0" t="0" r="0" b="0"/>
                <wp:wrapNone/>
                <wp:docPr id="304" name="000233"/>
                <wp:cNvGraphicFramePr/>
                <a:graphic xmlns:a="http://schemas.openxmlformats.org/drawingml/2006/main">
                  <a:graphicData uri="http://schemas.microsoft.com/office/word/2010/wordprocessingShape">
                    <wps:wsp>
                      <wps:cNvSpPr txBox="1"/>
                      <wps:spPr>
                        <a:xfrm>
                          <a:off x="0" y="0"/>
                          <a:ext cx="781050" cy="641350"/>
                        </a:xfrm>
                        <a:prstGeom prst="rect">
                          <a:avLst/>
                        </a:prstGeom>
                        <a:noFill/>
                        <a:ln>
                          <a:noFill/>
                        </a:ln>
                        <a:effectLst/>
                      </wps:spPr>
                      <wps:txbx>
                        <w:txbxContent>
                          <w:p w14:paraId="4CE621C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p w14:paraId="06880273"/>
                        </w:txbxContent>
                      </wps:txbx>
                      <wps:bodyPr wrap="square" upright="1"/>
                    </wps:wsp>
                  </a:graphicData>
                </a:graphic>
              </wp:anchor>
            </w:drawing>
          </mc:Choice>
          <mc:Fallback>
            <w:pict>
              <v:shape id="000233" o:spid="_x0000_s1026" o:spt="202" type="#_x0000_t202" style="position:absolute;left:0pt;margin-left:-9pt;margin-top:22.6pt;height:50.5pt;width:61.5pt;z-index:251969536;mso-width-relative:page;mso-height-relative:page;" filled="f" stroked="f" coordsize="21600,21600" o:gfxdata="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aZm21dcAAAAK&#10;AQAADwAAAAAAAAABACAAAAAiAAAAZHJzL2Rvd25yZXYueG1sUEsBAhQAFAAAAAgAh07iQMNFqnyr&#10;AQAAZgMAAA4AAAAAAAAAAQAgAAAAJgEAAGRycy9lMm9Eb2MueG1sUEsFBgAAAAAGAAYAWQEAAEMF&#10;AAAAAA==&#10;">
                <v:fill on="f" focussize="0,0"/>
                <v:stroke on="f"/>
                <v:imagedata o:title=""/>
                <o:lock v:ext="edit" aspectratio="f"/>
                <v:textbox>
                  <w:txbxContent>
                    <w:p w14:paraId="4CE621C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p w14:paraId="06880273"/>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.8</w:t>
      </w:r>
      <w:bookmarkEnd w:id="911"/>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2EA4BAF3">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合同双方当事人应在专用条款和合同工程质量保修书中约定质量保修期，但不得低于《房屋建筑工程质量保修办法》第七条以及《建设工程质量管理条例》第四十条规定的最低保修期限。</w:t>
      </w:r>
    </w:p>
    <w:p w14:paraId="67B47FD7">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质量保修期自竣工验收</w:t>
      </w:r>
      <w:r>
        <w:rPr>
          <w:rFonts w:ascii="仿宋" w:hAnsi="仿宋" w:eastAsia="仿宋" w:cs="仿宋"/>
          <w:color w:val="auto"/>
          <w:highlight w:val="none"/>
          <w:lang w:eastAsia="zh-CN"/>
        </w:rPr>
        <w:t>合格</w:t>
      </w:r>
      <w:r>
        <w:rPr>
          <w:rFonts w:hint="eastAsia" w:ascii="仿宋" w:hAnsi="仿宋" w:eastAsia="仿宋" w:cs="仿宋"/>
          <w:color w:val="auto"/>
          <w:highlight w:val="none"/>
          <w:lang w:eastAsia="zh-CN"/>
        </w:rPr>
        <w:t>之日起计算。在全部工程竣工验收前，已经发包人提前验收的单项工程，其质量保修期的起算日期相应提前。</w:t>
      </w:r>
    </w:p>
    <w:p w14:paraId="0FA07174">
      <w:pPr>
        <w:spacing w:line="360" w:lineRule="auto"/>
        <w:rPr>
          <w:rFonts w:ascii="仿宋" w:hAnsi="仿宋" w:eastAsia="仿宋" w:cs="仿宋"/>
          <w:b/>
          <w:bCs/>
          <w:color w:val="auto"/>
          <w:highlight w:val="none"/>
          <w:u w:val="dotted"/>
          <w:lang w:eastAsia="zh-CN"/>
        </w:rPr>
      </w:pPr>
      <w:bookmarkStart w:id="912" w:name="_Toc1338"/>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.9</w:t>
      </w:r>
      <w:bookmarkEnd w:id="91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A06E07F">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70560" behindDoc="0" locked="0" layoutInCell="1" allowOverlap="1">
                <wp:simplePos x="0" y="0"/>
                <wp:positionH relativeFrom="column">
                  <wp:posOffset>-73660</wp:posOffset>
                </wp:positionH>
                <wp:positionV relativeFrom="paragraph">
                  <wp:posOffset>15240</wp:posOffset>
                </wp:positionV>
                <wp:extent cx="774700" cy="487045"/>
                <wp:effectExtent l="0" t="0" r="0" b="0"/>
                <wp:wrapNone/>
                <wp:docPr id="305" name="000234"/>
                <wp:cNvGraphicFramePr/>
                <a:graphic xmlns:a="http://schemas.openxmlformats.org/drawingml/2006/main">
                  <a:graphicData uri="http://schemas.microsoft.com/office/word/2010/wordprocessingShape">
                    <wps:wsp>
                      <wps:cNvSpPr txBox="1"/>
                      <wps:spPr>
                        <a:xfrm>
                          <a:off x="0" y="0"/>
                          <a:ext cx="774700" cy="487045"/>
                        </a:xfrm>
                        <a:prstGeom prst="rect">
                          <a:avLst/>
                        </a:prstGeom>
                        <a:noFill/>
                        <a:ln>
                          <a:noFill/>
                        </a:ln>
                        <a:effectLst/>
                      </wps:spPr>
                      <wps:txbx>
                        <w:txbxContent>
                          <w:p w14:paraId="35B46056">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p w14:paraId="54BF7D71"/>
                        </w:txbxContent>
                      </wps:txbx>
                      <wps:bodyPr wrap="square" upright="1"/>
                    </wps:wsp>
                  </a:graphicData>
                </a:graphic>
              </wp:anchor>
            </w:drawing>
          </mc:Choice>
          <mc:Fallback>
            <w:pict>
              <v:shape id="000234" o:spid="_x0000_s1026" o:spt="202" type="#_x0000_t202" style="position:absolute;left:0pt;margin-left:-5.8pt;margin-top:1.2pt;height:38.35pt;width:61pt;z-index:251970560;mso-width-relative:page;mso-height-relative:page;" filled="f" stroked="f" coordsize="21600,21600" o:gfxdata="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CNAXu3VAAAACAEA&#10;AA8AAAAAAAAAAQAgAAAAIgAAAGRycy9kb3ducmV2LnhtbFBLAQIUABQAAAAIAIdO4kCIsAIuqwEA&#10;AGYDAAAOAAAAAAAAAAEAIAAAACQBAABkcnMvZTJvRG9jLnhtbFBLBQYAAAAABgAGAFkBAABBBQAA&#10;AAA=&#10;">
                <v:fill on="f" focussize="0,0"/>
                <v:stroke on="f"/>
                <v:imagedata o:title=""/>
                <o:lock v:ext="edit" aspectratio="f"/>
                <v:textbox>
                  <w:txbxContent>
                    <w:p w14:paraId="35B46056">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p w14:paraId="54BF7D71"/>
                  </w:txbxContent>
                </v:textbox>
              </v:shape>
            </w:pict>
          </mc:Fallback>
        </mc:AlternateContent>
      </w:r>
      <w:r>
        <w:rPr>
          <w:rFonts w:hint="eastAsia" w:ascii="仿宋" w:hAnsi="仿宋" w:eastAsia="仿宋" w:cs="仿宋"/>
          <w:color w:val="auto"/>
          <w:highlight w:val="none"/>
          <w:lang w:eastAsia="zh-CN"/>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58253875">
      <w:pPr>
        <w:spacing w:line="360" w:lineRule="auto"/>
        <w:rPr>
          <w:rFonts w:ascii="仿宋" w:hAnsi="仿宋" w:eastAsia="仿宋" w:cs="仿宋"/>
          <w:color w:val="auto"/>
          <w:highlight w:val="none"/>
          <w:u w:val="dotted"/>
          <w:lang w:eastAsia="zh-CN"/>
        </w:rPr>
      </w:pPr>
      <w:bookmarkStart w:id="913" w:name="_Toc13407"/>
      <w:r>
        <w:rPr>
          <w:color w:val="auto"/>
          <w:highlight w:val="none"/>
        </w:rPr>
        <mc:AlternateContent>
          <mc:Choice Requires="wps">
            <w:drawing>
              <wp:anchor distT="0" distB="0" distL="114300" distR="114300" simplePos="0" relativeHeight="251971584" behindDoc="0" locked="0" layoutInCell="1" allowOverlap="1">
                <wp:simplePos x="0" y="0"/>
                <wp:positionH relativeFrom="column">
                  <wp:posOffset>-66675</wp:posOffset>
                </wp:positionH>
                <wp:positionV relativeFrom="paragraph">
                  <wp:posOffset>208915</wp:posOffset>
                </wp:positionV>
                <wp:extent cx="784860" cy="626745"/>
                <wp:effectExtent l="0" t="0" r="0" b="0"/>
                <wp:wrapNone/>
                <wp:docPr id="306" name="000235"/>
                <wp:cNvGraphicFramePr/>
                <a:graphic xmlns:a="http://schemas.openxmlformats.org/drawingml/2006/main">
                  <a:graphicData uri="http://schemas.microsoft.com/office/word/2010/wordprocessingShape">
                    <wps:wsp>
                      <wps:cNvSpPr txBox="1"/>
                      <wps:spPr>
                        <a:xfrm>
                          <a:off x="0" y="0"/>
                          <a:ext cx="784860" cy="626745"/>
                        </a:xfrm>
                        <a:prstGeom prst="rect">
                          <a:avLst/>
                        </a:prstGeom>
                        <a:noFill/>
                        <a:ln>
                          <a:noFill/>
                        </a:ln>
                        <a:effectLst/>
                      </wps:spPr>
                      <wps:txbx>
                        <w:txbxContent>
                          <w:p w14:paraId="06DF3C8C">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p w14:paraId="04371CD5">
                            <w:pPr>
                              <w:rPr>
                                <w:lang w:eastAsia="zh-CN"/>
                              </w:rPr>
                            </w:pPr>
                          </w:p>
                        </w:txbxContent>
                      </wps:txbx>
                      <wps:bodyPr wrap="square" upright="1"/>
                    </wps:wsp>
                  </a:graphicData>
                </a:graphic>
              </wp:anchor>
            </w:drawing>
          </mc:Choice>
          <mc:Fallback>
            <w:pict>
              <v:shape id="000235" o:spid="_x0000_s1026" o:spt="202" type="#_x0000_t202" style="position:absolute;left:0pt;margin-left:-5.25pt;margin-top:16.45pt;height:49.35pt;width:61.8pt;z-index:251971584;mso-width-relative:page;mso-height-relative:page;" filled="f" stroked="f" coordsize="21600,21600" o:gfxdata="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Vya7LXAAAA&#10;CgEAAA8AAAAAAAAAAQAgAAAAIgAAAGRycy9kb3ducmV2LnhtbFBLAQIUABQAAAAIAIdO4kCzdZRi&#10;rAEAAGYDAAAOAAAAAAAAAAEAIAAAACYBAABkcnMvZTJvRG9jLnhtbFBLBQYAAAAABgAGAFkBAABE&#10;BQAAAAA=&#10;">
                <v:fill on="f" focussize="0,0"/>
                <v:stroke on="f"/>
                <v:imagedata o:title=""/>
                <o:lock v:ext="edit" aspectratio="f"/>
                <v:textbox>
                  <w:txbxContent>
                    <w:p w14:paraId="06DF3C8C">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p w14:paraId="04371CD5">
                      <w:pPr>
                        <w:rPr>
                          <w:lang w:eastAsia="zh-CN"/>
                        </w:rPr>
                      </w:pP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.10</w:t>
      </w:r>
      <w:bookmarkEnd w:id="913"/>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0E296CB6">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承包人修复属于质量缺陷以外的费用，由责任方承担。</w:t>
      </w:r>
    </w:p>
    <w:p w14:paraId="34D2E775">
      <w:pPr>
        <w:spacing w:line="360" w:lineRule="auto"/>
        <w:rPr>
          <w:rFonts w:ascii="仿宋" w:hAnsi="仿宋" w:eastAsia="仿宋" w:cs="仿宋"/>
          <w:color w:val="auto"/>
          <w:highlight w:val="none"/>
          <w:u w:val="singl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52217BB1">
      <w:pPr>
        <w:tabs>
          <w:tab w:val="left" w:pos="1620"/>
        </w:tabs>
        <w:spacing w:line="360" w:lineRule="auto"/>
        <w:jc w:val="center"/>
        <w:outlineLvl w:val="1"/>
        <w:rPr>
          <w:rFonts w:hint="eastAsia"/>
          <w:color w:val="auto"/>
          <w:highlight w:val="none"/>
          <w:lang w:eastAsia="zh-CN"/>
        </w:rPr>
      </w:pPr>
      <w:bookmarkStart w:id="914" w:name="_Toc8847"/>
      <w:bookmarkStart w:id="915" w:name="_Toc47694342"/>
      <w:bookmarkStart w:id="916" w:name="_Toc25544"/>
      <w:bookmarkStart w:id="917" w:name="_Toc21476"/>
      <w:bookmarkStart w:id="918" w:name="_Toc15899"/>
      <w:bookmarkStart w:id="919" w:name="_Toc32651"/>
      <w:bookmarkStart w:id="920" w:name="_Toc12618"/>
      <w:bookmarkStart w:id="921" w:name="_Toc14766"/>
      <w:r>
        <w:rPr>
          <w:rFonts w:hint="eastAsia" w:ascii="仿宋" w:hAnsi="仿宋" w:eastAsia="仿宋" w:cs="仿宋"/>
          <w:b/>
          <w:bCs/>
          <w:color w:val="auto"/>
          <w:highlight w:val="none"/>
          <w:lang w:eastAsia="zh-CN"/>
        </w:rPr>
        <w:t>七、合同价格</w:t>
      </w:r>
      <w:bookmarkEnd w:id="914"/>
      <w:bookmarkEnd w:id="915"/>
      <w:bookmarkEnd w:id="916"/>
      <w:bookmarkEnd w:id="917"/>
      <w:bookmarkEnd w:id="918"/>
      <w:bookmarkEnd w:id="919"/>
      <w:bookmarkEnd w:id="920"/>
      <w:bookmarkEnd w:id="921"/>
    </w:p>
    <w:p w14:paraId="09805998">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922" w:name="_Toc22412"/>
      <w:bookmarkStart w:id="923" w:name="_Toc31525"/>
      <w:bookmarkStart w:id="924" w:name="_Toc47694343"/>
      <w:bookmarkStart w:id="925" w:name="_Toc24095"/>
      <w:bookmarkStart w:id="926" w:name="_Toc28029"/>
      <w:bookmarkStart w:id="927" w:name="_Toc29699"/>
      <w:bookmarkStart w:id="928" w:name="_Toc24450"/>
      <w:bookmarkStart w:id="929" w:name="_Toc31822"/>
      <w:r>
        <w:rPr>
          <w:rFonts w:ascii="仿宋" w:hAnsi="仿宋" w:eastAsia="仿宋" w:cs="仿宋"/>
          <w:bCs w:val="0"/>
          <w:color w:val="auto"/>
          <w:sz w:val="24"/>
          <w:szCs w:val="24"/>
          <w:highlight w:val="none"/>
          <w:lang w:eastAsia="zh-CN"/>
        </w:rPr>
        <w:t>6</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资金计划和安排</w:t>
      </w:r>
      <w:bookmarkEnd w:id="922"/>
      <w:bookmarkEnd w:id="923"/>
      <w:bookmarkEnd w:id="924"/>
      <w:bookmarkEnd w:id="925"/>
      <w:bookmarkEnd w:id="926"/>
      <w:bookmarkEnd w:id="927"/>
      <w:bookmarkEnd w:id="928"/>
      <w:bookmarkEnd w:id="929"/>
    </w:p>
    <w:p w14:paraId="42E4075A">
      <w:pPr>
        <w:pStyle w:val="23"/>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.1</w:t>
      </w:r>
    </w:p>
    <w:p w14:paraId="7E3CF5EC">
      <w:pPr>
        <w:widowControl w:val="0"/>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972608" behindDoc="0" locked="0" layoutInCell="1" allowOverlap="1">
                <wp:simplePos x="0" y="0"/>
                <wp:positionH relativeFrom="column">
                  <wp:posOffset>-133350</wp:posOffset>
                </wp:positionH>
                <wp:positionV relativeFrom="paragraph">
                  <wp:posOffset>68580</wp:posOffset>
                </wp:positionV>
                <wp:extent cx="842645" cy="556895"/>
                <wp:effectExtent l="0" t="0" r="0" b="0"/>
                <wp:wrapNone/>
                <wp:docPr id="307" name="000236"/>
                <wp:cNvGraphicFramePr/>
                <a:graphic xmlns:a="http://schemas.openxmlformats.org/drawingml/2006/main">
                  <a:graphicData uri="http://schemas.microsoft.com/office/word/2010/wordprocessingShape">
                    <wps:wsp>
                      <wps:cNvSpPr txBox="1"/>
                      <wps:spPr>
                        <a:xfrm>
                          <a:off x="0" y="0"/>
                          <a:ext cx="842645" cy="556895"/>
                        </a:xfrm>
                        <a:prstGeom prst="rect">
                          <a:avLst/>
                        </a:prstGeom>
                        <a:noFill/>
                        <a:ln>
                          <a:noFill/>
                        </a:ln>
                        <a:effectLst/>
                      </wps:spPr>
                      <wps:txbx>
                        <w:txbxContent>
                          <w:p w14:paraId="30F27A64">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p w14:paraId="31AB0AC1">
                            <w:pPr>
                              <w:rPr>
                                <w:lang w:eastAsia="zh-CN"/>
                              </w:rPr>
                            </w:pPr>
                          </w:p>
                        </w:txbxContent>
                      </wps:txbx>
                      <wps:bodyPr wrap="square" upright="1"/>
                    </wps:wsp>
                  </a:graphicData>
                </a:graphic>
              </wp:anchor>
            </w:drawing>
          </mc:Choice>
          <mc:Fallback>
            <w:pict>
              <v:shape id="000236" o:spid="_x0000_s1026" o:spt="202" type="#_x0000_t202" style="position:absolute;left:0pt;margin-left:-10.5pt;margin-top:5.4pt;height:43.85pt;width:66.35pt;z-index:251972608;mso-width-relative:page;mso-height-relative:page;" filled="f" stroked="f" coordsize="21600,21600" o:gfxdata="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ZAr1/WAAAA&#10;CQEAAA8AAAAAAAAAAQAgAAAAIgAAAGRycy9kb3ducmV2LnhtbFBLAQIUABQAAAAIAIdO4kBfUaMq&#10;rQEAAGYDAAAOAAAAAAAAAAEAIAAAACUBAABkcnMvZTJvRG9jLnhtbFBLBQYAAAAABgAGAFkBAABE&#10;BQAAAAA=&#10;">
                <v:fill on="f" focussize="0,0"/>
                <v:stroke on="f"/>
                <v:imagedata o:title=""/>
                <o:lock v:ext="edit" aspectratio="f"/>
                <v:textbox>
                  <w:txbxContent>
                    <w:p w14:paraId="30F27A64">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p w14:paraId="31AB0AC1">
                      <w:pPr>
                        <w:rPr>
                          <w:lang w:eastAsia="zh-CN"/>
                        </w:rPr>
                      </w:pPr>
                    </w:p>
                  </w:txbxContent>
                </v:textbox>
              </v:shape>
            </w:pict>
          </mc:Fallback>
        </mc:AlternateContent>
      </w:r>
      <w:r>
        <w:rPr>
          <w:rFonts w:hint="eastAsia" w:ascii="仿宋" w:hAnsi="仿宋" w:eastAsia="仿宋" w:cs="仿宋"/>
          <w:color w:val="auto"/>
          <w:highlight w:val="none"/>
          <w:lang w:eastAsia="zh-CN"/>
        </w:rPr>
        <w:t>勘察、设计等工作进度及工程进度计划被批准后，承包人应向发包人提交一份合同工程资金需求计划书；勘察、设计等工作进度及工程进度计划更新后，承包人应及时向发包人提交一份更新后的工程资金需求计划书。</w:t>
      </w:r>
    </w:p>
    <w:p w14:paraId="1AB21268">
      <w:pPr>
        <w:pStyle w:val="23"/>
        <w:spacing w:line="360" w:lineRule="auto"/>
        <w:ind w:left="1617" w:hanging="1617" w:hangingChars="671"/>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551621DE">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34290</wp:posOffset>
                </wp:positionV>
                <wp:extent cx="756920" cy="587375"/>
                <wp:effectExtent l="0" t="0" r="0" b="0"/>
                <wp:wrapNone/>
                <wp:docPr id="308" name="000237"/>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6DD98596">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p w14:paraId="4C825FC9">
                            <w:pPr>
                              <w:rPr>
                                <w:lang w:eastAsia="zh-CN"/>
                              </w:rPr>
                            </w:pPr>
                          </w:p>
                        </w:txbxContent>
                      </wps:txbx>
                      <wps:bodyPr wrap="square" upright="1"/>
                    </wps:wsp>
                  </a:graphicData>
                </a:graphic>
              </wp:anchor>
            </w:drawing>
          </mc:Choice>
          <mc:Fallback>
            <w:pict>
              <v:shape id="000237" o:spid="_x0000_s1026" o:spt="202" type="#_x0000_t202" style="position:absolute;left:0pt;margin-left:-9pt;margin-top:2.7pt;height:46.25pt;width:59.6pt;z-index:251973632;mso-width-relative:page;mso-height-relative:page;" filled="f" stroked="f" coordsize="21600,21600" o:gfxdata="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4xxAt1gAAAAgB&#10;AAAPAAAAAAAAAAEAIAAAACIAAABkcnMvZG93bnJldi54bWxQSwECFAAUAAAACACHTuJAjbh08asB&#10;AABmAwAADgAAAAAAAAABACAAAAAlAQAAZHJzL2Uyb0RvYy54bWxQSwUGAAAAAAYABgBZAQAAQgUA&#10;AAAA&#10;">
                <v:fill on="f" focussize="0,0"/>
                <v:stroke on="f"/>
                <v:imagedata o:title=""/>
                <o:lock v:ext="edit" aspectratio="f"/>
                <v:textbox>
                  <w:txbxContent>
                    <w:p w14:paraId="6DD98596">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p w14:paraId="4C825FC9">
                      <w:pPr>
                        <w:rPr>
                          <w:lang w:eastAsia="zh-CN"/>
                        </w:rPr>
                      </w:pPr>
                    </w:p>
                  </w:txbxContent>
                </v:textbox>
              </v:shape>
            </w:pict>
          </mc:Fallback>
        </mc:AlternateContent>
      </w:r>
      <w:r>
        <w:rPr>
          <w:rFonts w:hint="eastAsia" w:ascii="仿宋" w:hAnsi="仿宋" w:eastAsia="仿宋" w:cs="仿宋"/>
          <w:color w:val="auto"/>
          <w:highlight w:val="none"/>
          <w:lang w:eastAsia="zh-CN"/>
        </w:rPr>
        <w:t>发包人在收到承包人提交的工程资金需求计划书后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天内，应根据合同约定提供已做出资金安排的合理证据，表明自己有能力按照第83条约定支付合同价款。如果发包人对资金安排作出任何变更时，应及时将变更的详情通知承包人。</w:t>
      </w:r>
    </w:p>
    <w:p w14:paraId="44F27F07">
      <w:pPr>
        <w:spacing w:line="360" w:lineRule="auto"/>
        <w:rPr>
          <w:rFonts w:hint="eastAsia"/>
          <w:color w:val="auto"/>
          <w:highlight w:val="non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66F77E3C">
      <w:pPr>
        <w:pStyle w:val="4"/>
        <w:tabs>
          <w:tab w:val="left" w:pos="360"/>
          <w:tab w:val="left" w:pos="420"/>
        </w:tabs>
        <w:spacing w:before="120" w:after="120" w:line="360" w:lineRule="auto"/>
        <w:rPr>
          <w:rFonts w:hint="eastAsia" w:ascii="仿宋" w:hAnsi="仿宋" w:eastAsia="仿宋" w:cs="仿宋"/>
          <w:bCs w:val="0"/>
          <w:color w:val="auto"/>
          <w:sz w:val="24"/>
          <w:szCs w:val="24"/>
          <w:highlight w:val="none"/>
          <w:lang w:eastAsia="zh-CN"/>
        </w:rPr>
      </w:pPr>
      <w:bookmarkStart w:id="930" w:name="_Toc2416"/>
      <w:bookmarkStart w:id="931" w:name="_Toc17691"/>
      <w:bookmarkStart w:id="932" w:name="_Toc32560"/>
      <w:bookmarkStart w:id="933" w:name="_Toc2817"/>
      <w:bookmarkStart w:id="934" w:name="_Toc25397"/>
      <w:bookmarkStart w:id="935" w:name="_Toc8465"/>
      <w:bookmarkStart w:id="936" w:name="_Toc17060"/>
      <w:bookmarkStart w:id="937" w:name="_Toc47694344"/>
      <w:r>
        <w:rPr>
          <w:rFonts w:hint="eastAsia" w:ascii="仿宋" w:hAnsi="仿宋" w:eastAsia="仿宋" w:cs="仿宋"/>
          <w:bCs w:val="0"/>
          <w:color w:val="auto"/>
          <w:sz w:val="24"/>
          <w:szCs w:val="24"/>
          <w:highlight w:val="none"/>
          <w:lang w:eastAsia="zh-CN"/>
        </w:rPr>
        <w:t>68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联合体牵头人项目管理费</w:t>
      </w:r>
      <w:bookmarkEnd w:id="930"/>
      <w:bookmarkEnd w:id="931"/>
      <w:bookmarkEnd w:id="932"/>
      <w:bookmarkEnd w:id="933"/>
      <w:bookmarkEnd w:id="934"/>
      <w:bookmarkEnd w:id="935"/>
      <w:bookmarkEnd w:id="936"/>
      <w:bookmarkEnd w:id="937"/>
    </w:p>
    <w:p w14:paraId="7E382003">
      <w:pPr>
        <w:widowControl w:val="0"/>
        <w:spacing w:line="360" w:lineRule="auto"/>
        <w:ind w:left="1850" w:leftChars="771"/>
        <w:jc w:val="both"/>
        <w:rPr>
          <w:rFonts w:hint="eastAsia" w:ascii="仿宋" w:hAnsi="仿宋" w:eastAsia="仿宋" w:cs="仿宋"/>
          <w:color w:val="auto"/>
          <w:highlight w:val="none"/>
          <w:lang w:eastAsia="zh-CN"/>
        </w:rPr>
      </w:pPr>
      <w:bookmarkStart w:id="938" w:name="OLE_LINK2"/>
      <w:bookmarkStart w:id="939" w:name="OLE_LINK1"/>
      <w:r>
        <w:rPr>
          <w:rFonts w:ascii="仿宋" w:hAnsi="仿宋" w:eastAsia="仿宋" w:cs="仿宋"/>
          <w:color w:val="auto"/>
          <w:highlight w:val="none"/>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27305</wp:posOffset>
                </wp:positionV>
                <wp:extent cx="785495" cy="1016000"/>
                <wp:effectExtent l="0" t="0" r="0" b="0"/>
                <wp:wrapNone/>
                <wp:docPr id="309" name="000238"/>
                <wp:cNvGraphicFramePr/>
                <a:graphic xmlns:a="http://schemas.openxmlformats.org/drawingml/2006/main">
                  <a:graphicData uri="http://schemas.microsoft.com/office/word/2010/wordprocessingShape">
                    <wps:wsp>
                      <wps:cNvSpPr txBox="1"/>
                      <wps:spPr>
                        <a:xfrm>
                          <a:off x="0" y="0"/>
                          <a:ext cx="785495" cy="1016000"/>
                        </a:xfrm>
                        <a:prstGeom prst="rect">
                          <a:avLst/>
                        </a:prstGeom>
                        <a:noFill/>
                        <a:ln>
                          <a:noFill/>
                        </a:ln>
                        <a:effectLst/>
                      </wps:spPr>
                      <wps:txbx>
                        <w:txbxContent>
                          <w:p w14:paraId="5A122613">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p w14:paraId="5D32E07A">
                            <w:pPr>
                              <w:rPr>
                                <w:lang w:eastAsia="zh-CN"/>
                              </w:rPr>
                            </w:pPr>
                          </w:p>
                        </w:txbxContent>
                      </wps:txbx>
                      <wps:bodyPr wrap="square" upright="1"/>
                    </wps:wsp>
                  </a:graphicData>
                </a:graphic>
              </wp:anchor>
            </w:drawing>
          </mc:Choice>
          <mc:Fallback>
            <w:pict>
              <v:shape id="000238" o:spid="_x0000_s1026" o:spt="202" type="#_x0000_t202" style="position:absolute;left:0pt;margin-left:-9pt;margin-top:2.15pt;height:80pt;width:61.85pt;z-index:251974656;mso-width-relative:page;mso-height-relative:page;" filled="f" stroked="f" coordsize="21600,21600" o:gfxdata="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xIBY6tYAAAAJ&#10;AQAADwAAAAAAAAABACAAAAAiAAAAZHJzL2Rvd25yZXYueG1sUEsBAhQAFAAAAAgAh07iQDO8Saus&#10;AQAAZwMAAA4AAAAAAAAAAQAgAAAAJQEAAGRycy9lMm9Eb2MueG1sUEsFBgAAAAAGAAYAWQEAAEMF&#10;AAAAAA==&#10;">
                <v:fill on="f" focussize="0,0"/>
                <v:stroke on="f"/>
                <v:imagedata o:title=""/>
                <o:lock v:ext="edit" aspectratio="f"/>
                <v:textbox>
                  <w:txbxContent>
                    <w:p w14:paraId="5A122613">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p w14:paraId="5D32E07A">
                      <w:pPr>
                        <w:rPr>
                          <w:lang w:eastAsia="zh-CN"/>
                        </w:rPr>
                      </w:pPr>
                    </w:p>
                  </w:txbxContent>
                </v:textbox>
              </v:shape>
            </w:pict>
          </mc:Fallback>
        </mc:AlternateContent>
      </w:r>
      <w:r>
        <w:rPr>
          <w:rFonts w:hint="eastAsia" w:ascii="仿宋" w:hAnsi="仿宋" w:eastAsia="仿宋" w:cs="仿宋"/>
          <w:color w:val="auto"/>
          <w:highlight w:val="none"/>
          <w:lang w:eastAsia="zh-CN"/>
        </w:rPr>
        <w:t>承包人为联合体时，联合体牵头人对联合体各成员负责组织、管理和协调方面的工作。牵头人项目管理费的金额由合同双方当事人在本合同协议书中约定，该费用已包含在合同总价中，发包人不另行增加该费用。</w:t>
      </w:r>
    </w:p>
    <w:p w14:paraId="511C780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牵头人项目管理费由发包人直接支付给联合体牵头人并从合同总价中扣除，支付时间、支付比例在专用条款中约定。</w:t>
      </w:r>
    </w:p>
    <w:p w14:paraId="2413F1E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合同履行期间，若牵头人及其授权的承包人代表不作为或存在过错，发包人有权部分或全部扣除该费用，并追究相关责任，扣除金额或比例在专用条款中约定。</w:t>
      </w:r>
    </w:p>
    <w:p w14:paraId="0928378C">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牵头人项目管理费由</w:t>
      </w:r>
      <w:r>
        <w:rPr>
          <w:rFonts w:ascii="仿宋" w:hAnsi="仿宋" w:eastAsia="仿宋" w:cs="仿宋"/>
          <w:color w:val="auto"/>
          <w:highlight w:val="none"/>
          <w:lang w:eastAsia="zh-CN"/>
        </w:rPr>
        <w:t>联合体</w:t>
      </w:r>
      <w:r>
        <w:rPr>
          <w:rFonts w:hint="eastAsia" w:ascii="仿宋" w:hAnsi="仿宋" w:eastAsia="仿宋" w:cs="仿宋"/>
          <w:color w:val="auto"/>
          <w:highlight w:val="none"/>
          <w:lang w:eastAsia="zh-CN"/>
        </w:rPr>
        <w:t>各</w:t>
      </w:r>
      <w:r>
        <w:rPr>
          <w:rFonts w:ascii="仿宋" w:hAnsi="仿宋" w:eastAsia="仿宋" w:cs="仿宋"/>
          <w:color w:val="auto"/>
          <w:highlight w:val="none"/>
          <w:lang w:eastAsia="zh-CN"/>
        </w:rPr>
        <w:t>成员</w:t>
      </w:r>
      <w:r>
        <w:rPr>
          <w:rFonts w:hint="eastAsia" w:ascii="仿宋" w:hAnsi="仿宋" w:eastAsia="仿宋" w:cs="仿宋"/>
          <w:color w:val="auto"/>
          <w:highlight w:val="none"/>
          <w:lang w:eastAsia="zh-CN"/>
        </w:rPr>
        <w:t>单位分摊，联合体各成员单位分摊的金额、计费方式、支付方式以及违约处罚方式，由联合体各成员单位在联合体承包协议书中约定。</w:t>
      </w:r>
    </w:p>
    <w:bookmarkEnd w:id="938"/>
    <w:bookmarkEnd w:id="939"/>
    <w:p w14:paraId="11C03B39">
      <w:pPr>
        <w:pStyle w:val="23"/>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221B104F">
      <w:pPr>
        <w:pStyle w:val="4"/>
        <w:tabs>
          <w:tab w:val="left" w:pos="420"/>
        </w:tabs>
        <w:spacing w:before="120" w:after="120" w:line="360" w:lineRule="auto"/>
        <w:rPr>
          <w:rFonts w:hint="eastAsia" w:ascii="仿宋" w:hAnsi="仿宋" w:eastAsia="仿宋" w:cs="仿宋"/>
          <w:bCs w:val="0"/>
          <w:color w:val="auto"/>
          <w:sz w:val="24"/>
          <w:szCs w:val="24"/>
          <w:highlight w:val="none"/>
          <w:lang w:eastAsia="zh-CN"/>
        </w:rPr>
      </w:pPr>
      <w:bookmarkStart w:id="940" w:name="_Toc7322"/>
      <w:bookmarkStart w:id="941" w:name="_Toc3134"/>
      <w:bookmarkStart w:id="942" w:name="_Toc13610"/>
      <w:bookmarkStart w:id="943" w:name="_Toc56"/>
      <w:bookmarkStart w:id="944" w:name="_Toc47694345"/>
      <w:bookmarkStart w:id="945" w:name="_Toc26952"/>
      <w:bookmarkStart w:id="946" w:name="_Toc9851"/>
      <w:bookmarkStart w:id="947" w:name="_Toc21407"/>
      <w:r>
        <w:rPr>
          <w:rFonts w:hint="eastAsia" w:ascii="仿宋" w:hAnsi="仿宋" w:eastAsia="仿宋" w:cs="仿宋"/>
          <w:bCs w:val="0"/>
          <w:color w:val="auto"/>
          <w:sz w:val="24"/>
          <w:szCs w:val="24"/>
          <w:highlight w:val="none"/>
          <w:lang w:eastAsia="zh-CN"/>
        </w:rPr>
        <w:t>★69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合同价格的约定与调整</w:t>
      </w:r>
      <w:bookmarkEnd w:id="940"/>
      <w:bookmarkEnd w:id="941"/>
      <w:bookmarkEnd w:id="942"/>
      <w:bookmarkEnd w:id="943"/>
      <w:bookmarkEnd w:id="944"/>
      <w:bookmarkEnd w:id="945"/>
      <w:bookmarkEnd w:id="946"/>
      <w:bookmarkEnd w:id="947"/>
    </w:p>
    <w:p w14:paraId="3A12D6B4">
      <w:pPr>
        <w:pStyle w:val="23"/>
        <w:spacing w:line="360" w:lineRule="auto"/>
        <w:ind w:left="1446" w:hanging="1446" w:hangingChars="600"/>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.1</w:t>
      </w:r>
    </w:p>
    <w:p w14:paraId="353DC4C2">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57150</wp:posOffset>
                </wp:positionV>
                <wp:extent cx="825500" cy="596265"/>
                <wp:effectExtent l="0" t="0" r="0" b="0"/>
                <wp:wrapNone/>
                <wp:docPr id="310" name="000239"/>
                <wp:cNvGraphicFramePr/>
                <a:graphic xmlns:a="http://schemas.openxmlformats.org/drawingml/2006/main">
                  <a:graphicData uri="http://schemas.microsoft.com/office/word/2010/wordprocessingShape">
                    <wps:wsp>
                      <wps:cNvSpPr txBox="1"/>
                      <wps:spPr>
                        <a:xfrm>
                          <a:off x="0" y="0"/>
                          <a:ext cx="825500" cy="596265"/>
                        </a:xfrm>
                        <a:prstGeom prst="rect">
                          <a:avLst/>
                        </a:prstGeom>
                        <a:noFill/>
                        <a:ln>
                          <a:noFill/>
                        </a:ln>
                        <a:effectLst/>
                      </wps:spPr>
                      <wps:txbx>
                        <w:txbxContent>
                          <w:p w14:paraId="1B6124F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p w14:paraId="06538065"/>
                        </w:txbxContent>
                      </wps:txbx>
                      <wps:bodyPr wrap="square" upright="1"/>
                    </wps:wsp>
                  </a:graphicData>
                </a:graphic>
              </wp:anchor>
            </w:drawing>
          </mc:Choice>
          <mc:Fallback>
            <w:pict>
              <v:shape id="000239" o:spid="_x0000_s1026" o:spt="202" type="#_x0000_t202" style="position:absolute;left:0pt;margin-left:-9pt;margin-top:4.5pt;height:46.95pt;width:65pt;z-index:251975680;mso-width-relative:page;mso-height-relative:page;" filled="f" stroked="f" coordsize="21600,21600" o:gfxdata="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rfZBTVAAAACQEA&#10;AA8AAAAAAAAAAQAgAAAAIgAAAGRycy9kb3ducmV2LnhtbFBLAQIUABQAAAAIAIdO4kCv4HE9qwEA&#10;AGYDAAAOAAAAAAAAAAEAIAAAACQBAABkcnMvZTJvRG9jLnhtbFBLBQYAAAAABgAGAFkBAABBBQAA&#10;AAA=&#10;">
                <v:fill on="f" focussize="0,0"/>
                <v:stroke on="f"/>
                <v:imagedata o:title=""/>
                <o:lock v:ext="edit" aspectratio="f"/>
                <v:textbox>
                  <w:txbxContent>
                    <w:p w14:paraId="1B6124F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p w14:paraId="06538065"/>
                  </w:txbxContent>
                </v:textbox>
              </v:shape>
            </w:pict>
          </mc:Fallback>
        </mc:AlternateContent>
      </w:r>
      <w:r>
        <w:rPr>
          <w:rFonts w:hint="eastAsia" w:ascii="仿宋" w:hAnsi="仿宋" w:eastAsia="仿宋" w:cs="仿宋"/>
          <w:color w:val="auto"/>
          <w:highlight w:val="none"/>
          <w:lang w:eastAsia="zh-CN"/>
        </w:rPr>
        <w:t>合同双方当事人应在本合同协议书中约定合同总价及其中包括的工程勘察费（如果有）、工程设计费、BIM技术应用费、设备及工器具购置费（如果有）、建筑安装工程费及其他服务费用等各分项费用总价。</w:t>
      </w:r>
    </w:p>
    <w:p w14:paraId="24AF9603">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招标发包工程的合同总价由合同双方当事人依据中标通知书的中标价格在本合同协议书中约定。直接发包工程的合同总价由合同双方当事人结合市场行情协商确定，也可参照基准日期前本地造价管理机构发布的价格指导文件协商，在本合同协议书中约定。</w:t>
      </w:r>
    </w:p>
    <w:p w14:paraId="632F1585">
      <w:pPr>
        <w:spacing w:line="360" w:lineRule="auto"/>
        <w:rPr>
          <w:rFonts w:ascii="仿宋" w:hAnsi="仿宋" w:eastAsia="仿宋" w:cs="仿宋"/>
          <w:color w:val="auto"/>
          <w:highlight w:val="none"/>
          <w:u w:val="dotted"/>
          <w:lang w:eastAsia="zh-CN"/>
        </w:rPr>
      </w:pPr>
      <w:bookmarkStart w:id="948" w:name="_Toc10655"/>
      <w:r>
        <w:rPr>
          <w:rFonts w:hint="eastAsia" w:ascii="仿宋" w:hAnsi="仿宋" w:eastAsia="仿宋" w:cs="仿宋"/>
          <w:b/>
          <w:bCs/>
          <w:color w:val="auto"/>
          <w:highlight w:val="none"/>
          <w:lang w:eastAsia="zh-CN"/>
        </w:rPr>
        <w:t>69</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bookmarkEnd w:id="948"/>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217A2384">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76704" behindDoc="0" locked="0" layoutInCell="1" allowOverlap="1">
                <wp:simplePos x="0" y="0"/>
                <wp:positionH relativeFrom="column">
                  <wp:posOffset>-178435</wp:posOffset>
                </wp:positionH>
                <wp:positionV relativeFrom="paragraph">
                  <wp:posOffset>96520</wp:posOffset>
                </wp:positionV>
                <wp:extent cx="836930" cy="798830"/>
                <wp:effectExtent l="0" t="0" r="0" b="0"/>
                <wp:wrapNone/>
                <wp:docPr id="311" name="00023a"/>
                <wp:cNvGraphicFramePr/>
                <a:graphic xmlns:a="http://schemas.openxmlformats.org/drawingml/2006/main">
                  <a:graphicData uri="http://schemas.microsoft.com/office/word/2010/wordprocessingShape">
                    <wps:wsp>
                      <wps:cNvSpPr txBox="1"/>
                      <wps:spPr>
                        <a:xfrm>
                          <a:off x="0" y="0"/>
                          <a:ext cx="836930" cy="798830"/>
                        </a:xfrm>
                        <a:prstGeom prst="rect">
                          <a:avLst/>
                        </a:prstGeom>
                        <a:noFill/>
                        <a:ln>
                          <a:noFill/>
                        </a:ln>
                        <a:effectLst/>
                      </wps:spPr>
                      <wps:txbx>
                        <w:txbxContent>
                          <w:p w14:paraId="29C1105C">
                            <w:pPr>
                              <w:pStyle w:val="16"/>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p w14:paraId="622C9658"/>
                        </w:txbxContent>
                      </wps:txbx>
                      <wps:bodyPr wrap="square" upright="1"/>
                    </wps:wsp>
                  </a:graphicData>
                </a:graphic>
              </wp:anchor>
            </w:drawing>
          </mc:Choice>
          <mc:Fallback>
            <w:pict>
              <v:shape id="00023a" o:spid="_x0000_s1026" o:spt="202" type="#_x0000_t202" style="position:absolute;left:0pt;margin-left:-14.05pt;margin-top:7.6pt;height:62.9pt;width:65.9pt;z-index:251976704;mso-width-relative:page;mso-height-relative:page;" filled="f" stroked="f" coordsize="21600,21600" o:gfxdata="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uDO9i1wAAAAoB&#10;AAAPAAAAAAAAAAEAIAAAACIAAABkcnMvZG93bnJldi54bWxQSwECFAAUAAAACACHTuJAPtt9Z6oB&#10;AABmAwAADgAAAAAAAAABACAAAAAmAQAAZHJzL2Uyb0RvYy54bWxQSwUGAAAAAAYABgBZAQAAQgUA&#10;AAAA&#10;">
                <v:fill on="f" focussize="0,0"/>
                <v:stroke on="f"/>
                <v:imagedata o:title=""/>
                <o:lock v:ext="edit" aspectratio="f"/>
                <v:textbox>
                  <w:txbxContent>
                    <w:p w14:paraId="29C1105C">
                      <w:pPr>
                        <w:pStyle w:val="16"/>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p w14:paraId="622C9658"/>
                  </w:txbxContent>
                </v:textbox>
              </v:shape>
            </w:pict>
          </mc:Fallback>
        </mc:AlternateContent>
      </w:r>
      <w:r>
        <w:rPr>
          <w:rFonts w:hint="eastAsia" w:ascii="仿宋" w:hAnsi="仿宋" w:eastAsia="仿宋"/>
          <w:color w:val="auto"/>
          <w:highlight w:val="none"/>
          <w:lang w:eastAsia="zh-CN"/>
        </w:rPr>
        <w:t>项目工程总承包应当采用总价合同，但特殊专项费用或受后续施工影响较大的可变因素较多的子项工程可采用单价合同或其他合同价格形式。发包</w:t>
      </w:r>
      <w:r>
        <w:rPr>
          <w:rFonts w:ascii="仿宋" w:hAnsi="仿宋" w:eastAsia="仿宋"/>
          <w:color w:val="auto"/>
          <w:highlight w:val="none"/>
          <w:lang w:eastAsia="zh-CN"/>
        </w:rPr>
        <w:t>人、</w:t>
      </w:r>
      <w:r>
        <w:rPr>
          <w:rFonts w:hint="eastAsia" w:ascii="仿宋" w:hAnsi="仿宋" w:eastAsia="仿宋"/>
          <w:color w:val="auto"/>
          <w:highlight w:val="none"/>
          <w:lang w:eastAsia="zh-CN"/>
        </w:rPr>
        <w:t>承</w:t>
      </w:r>
      <w:r>
        <w:rPr>
          <w:rFonts w:ascii="仿宋" w:hAnsi="仿宋" w:eastAsia="仿宋"/>
          <w:color w:val="auto"/>
          <w:highlight w:val="none"/>
          <w:lang w:eastAsia="zh-CN"/>
        </w:rPr>
        <w:t>包人</w:t>
      </w:r>
      <w:r>
        <w:rPr>
          <w:rFonts w:hint="eastAsia" w:ascii="仿宋" w:hAnsi="仿宋" w:eastAsia="仿宋"/>
          <w:color w:val="auto"/>
          <w:highlight w:val="none"/>
          <w:lang w:eastAsia="zh-CN"/>
        </w:rPr>
        <w:t>结合第72条约定的计量和计价规则在专用条款第72条中约定适用范围</w:t>
      </w:r>
      <w:r>
        <w:rPr>
          <w:rFonts w:hint="eastAsia" w:ascii="仿宋" w:hAnsi="仿宋" w:eastAsia="仿宋" w:cs="仿宋"/>
          <w:color w:val="auto"/>
          <w:highlight w:val="none"/>
          <w:lang w:eastAsia="zh-CN"/>
        </w:rPr>
        <w:t>：</w:t>
      </w:r>
    </w:p>
    <w:p w14:paraId="3667253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总价合同</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总价合同是指合同当事人约定以</w:t>
      </w:r>
      <w:r>
        <w:rPr>
          <w:rFonts w:hint="eastAsia" w:ascii="仿宋" w:hAnsi="仿宋" w:eastAsia="仿宋" w:cs="仿宋"/>
          <w:color w:val="auto"/>
          <w:highlight w:val="none"/>
          <w:lang w:eastAsia="zh-CN"/>
        </w:rPr>
        <w:t>发包人提供的项目基础资料、发包人要求、标准规范、合同价格清单</w:t>
      </w:r>
      <w:r>
        <w:rPr>
          <w:rFonts w:ascii="仿宋" w:hAnsi="仿宋" w:eastAsia="仿宋" w:cs="仿宋"/>
          <w:color w:val="auto"/>
          <w:highlight w:val="none"/>
          <w:lang w:eastAsia="zh-CN"/>
        </w:rPr>
        <w:t>及有关条件进行合同价格计算、调整和确认的建设工程</w:t>
      </w:r>
      <w:r>
        <w:rPr>
          <w:rFonts w:hint="eastAsia" w:ascii="仿宋" w:hAnsi="仿宋" w:eastAsia="仿宋" w:cs="仿宋"/>
          <w:color w:val="auto"/>
          <w:highlight w:val="none"/>
          <w:lang w:eastAsia="zh-CN"/>
        </w:rPr>
        <w:t>总承包</w:t>
      </w:r>
      <w:r>
        <w:rPr>
          <w:rFonts w:ascii="仿宋" w:hAnsi="仿宋" w:eastAsia="仿宋" w:cs="仿宋"/>
          <w:color w:val="auto"/>
          <w:highlight w:val="none"/>
          <w:lang w:eastAsia="zh-CN"/>
        </w:rPr>
        <w:t>合同，</w:t>
      </w:r>
      <w:r>
        <w:rPr>
          <w:rFonts w:hint="eastAsia" w:ascii="仿宋" w:hAnsi="仿宋" w:eastAsia="仿宋" w:cs="仿宋"/>
          <w:color w:val="auto"/>
          <w:highlight w:val="none"/>
          <w:lang w:eastAsia="zh-CN"/>
        </w:rPr>
        <w:t>除合同约定允许调整的事项外，合同总价不予调整。</w:t>
      </w:r>
    </w:p>
    <w:p w14:paraId="7F48BCD1">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）总价合同＋部分单价合同。其中</w:t>
      </w:r>
      <w:r>
        <w:rPr>
          <w:rFonts w:ascii="仿宋" w:hAnsi="仿宋" w:eastAsia="仿宋" w:cs="仿宋"/>
          <w:color w:val="auto"/>
          <w:highlight w:val="none"/>
          <w:lang w:eastAsia="zh-CN"/>
        </w:rPr>
        <w:t>单价合同是指合同当事人约定以</w:t>
      </w:r>
      <w:r>
        <w:rPr>
          <w:rFonts w:hint="eastAsia" w:ascii="仿宋" w:hAnsi="仿宋" w:eastAsia="仿宋" w:cs="仿宋"/>
          <w:color w:val="auto"/>
          <w:highlight w:val="none"/>
          <w:lang w:eastAsia="zh-CN"/>
        </w:rPr>
        <w:t>合同价格</w:t>
      </w:r>
      <w:r>
        <w:rPr>
          <w:rFonts w:ascii="仿宋" w:hAnsi="仿宋" w:eastAsia="仿宋" w:cs="仿宋"/>
          <w:color w:val="auto"/>
          <w:highlight w:val="none"/>
          <w:lang w:eastAsia="zh-CN"/>
        </w:rPr>
        <w:t>清单及其综合单价进行合同价格计算、调整和确认的建设工程</w:t>
      </w:r>
      <w:r>
        <w:rPr>
          <w:rFonts w:hint="eastAsia" w:ascii="仿宋" w:hAnsi="仿宋" w:eastAsia="仿宋" w:cs="仿宋"/>
          <w:color w:val="auto"/>
          <w:highlight w:val="none"/>
          <w:lang w:eastAsia="zh-CN"/>
        </w:rPr>
        <w:t>总承包</w:t>
      </w:r>
      <w:r>
        <w:rPr>
          <w:rFonts w:ascii="仿宋" w:hAnsi="仿宋" w:eastAsia="仿宋" w:cs="仿宋"/>
          <w:color w:val="auto"/>
          <w:highlight w:val="none"/>
          <w:lang w:eastAsia="zh-CN"/>
        </w:rPr>
        <w:t>合同，</w:t>
      </w:r>
      <w:r>
        <w:rPr>
          <w:rFonts w:hint="eastAsia" w:ascii="仿宋" w:hAnsi="仿宋" w:eastAsia="仿宋" w:cs="仿宋"/>
          <w:color w:val="auto"/>
          <w:highlight w:val="none"/>
          <w:lang w:eastAsia="zh-CN"/>
        </w:rPr>
        <w:t>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p>
    <w:p w14:paraId="19413E6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（3）其他</w:t>
      </w:r>
      <w:r>
        <w:rPr>
          <w:rFonts w:ascii="仿宋" w:hAnsi="仿宋" w:eastAsia="仿宋" w:cs="仿宋"/>
          <w:color w:val="auto"/>
          <w:highlight w:val="none"/>
          <w:lang w:eastAsia="zh-CN"/>
        </w:rPr>
        <w:t>价格形式</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合同当事人在专用条款中约定其他合同价格形式</w:t>
      </w:r>
      <w:r>
        <w:rPr>
          <w:rFonts w:hint="eastAsia" w:ascii="仿宋" w:hAnsi="仿宋" w:eastAsia="仿宋" w:cs="仿宋"/>
          <w:color w:val="auto"/>
          <w:highlight w:val="none"/>
          <w:lang w:eastAsia="zh-CN"/>
        </w:rPr>
        <w:t>及合同价格的计算依据、计算方法</w:t>
      </w:r>
      <w:r>
        <w:rPr>
          <w:rFonts w:ascii="仿宋" w:hAnsi="仿宋" w:eastAsia="仿宋" w:cs="仿宋"/>
          <w:color w:val="auto"/>
          <w:highlight w:val="none"/>
          <w:lang w:eastAsia="zh-CN"/>
        </w:rPr>
        <w:t>。</w:t>
      </w:r>
    </w:p>
    <w:p w14:paraId="1F3F2E3F">
      <w:pPr>
        <w:spacing w:line="360" w:lineRule="auto"/>
        <w:rPr>
          <w:rFonts w:ascii="仿宋" w:hAnsi="仿宋" w:eastAsia="仿宋"/>
          <w:b/>
          <w:bCs/>
          <w:color w:val="auto"/>
          <w:highlight w:val="none"/>
          <w:lang w:eastAsia="zh-CN"/>
        </w:rPr>
      </w:pPr>
      <w:bookmarkStart w:id="949" w:name="_Toc18982"/>
      <w:r>
        <w:rPr>
          <w:rFonts w:hint="eastAsia" w:ascii="仿宋" w:hAnsi="仿宋" w:eastAsia="仿宋" w:cs="仿宋"/>
          <w:b/>
          <w:bCs/>
          <w:color w:val="auto"/>
          <w:highlight w:val="none"/>
          <w:lang w:eastAsia="zh-CN"/>
        </w:rPr>
        <w:t>69</w:t>
      </w:r>
      <w:r>
        <w:rPr>
          <w:rFonts w:ascii="仿宋" w:hAnsi="仿宋" w:eastAsia="仿宋" w:cs="仿宋"/>
          <w:b/>
          <w:bCs/>
          <w:color w:val="auto"/>
          <w:highlight w:val="none"/>
          <w:lang w:eastAsia="zh-CN"/>
        </w:rPr>
        <w:t>.3</w:t>
      </w:r>
      <w:bookmarkEnd w:id="94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62541EC">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5080</wp:posOffset>
                </wp:positionV>
                <wp:extent cx="822960" cy="652145"/>
                <wp:effectExtent l="0" t="0" r="0" b="0"/>
                <wp:wrapNone/>
                <wp:docPr id="312" name="00023b"/>
                <wp:cNvGraphicFramePr/>
                <a:graphic xmlns:a="http://schemas.openxmlformats.org/drawingml/2006/main">
                  <a:graphicData uri="http://schemas.microsoft.com/office/word/2010/wordprocessingShape">
                    <wps:wsp>
                      <wps:cNvSpPr txBox="1"/>
                      <wps:spPr>
                        <a:xfrm>
                          <a:off x="0" y="0"/>
                          <a:ext cx="822960" cy="652145"/>
                        </a:xfrm>
                        <a:prstGeom prst="rect">
                          <a:avLst/>
                        </a:prstGeom>
                        <a:noFill/>
                        <a:ln>
                          <a:noFill/>
                        </a:ln>
                        <a:effectLst/>
                      </wps:spPr>
                      <wps:txbx>
                        <w:txbxContent>
                          <w:p w14:paraId="117371E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p w14:paraId="3330888A"/>
                        </w:txbxContent>
                      </wps:txbx>
                      <wps:bodyPr wrap="square" upright="1"/>
                    </wps:wsp>
                  </a:graphicData>
                </a:graphic>
              </wp:anchor>
            </w:drawing>
          </mc:Choice>
          <mc:Fallback>
            <w:pict>
              <v:shape id="00023b" o:spid="_x0000_s1026" o:spt="202" type="#_x0000_t202" style="position:absolute;left:0pt;margin-left:-9pt;margin-top:0.4pt;height:51.35pt;width:64.8pt;z-index:251977728;mso-width-relative:page;mso-height-relative:page;" filled="f" stroked="f" coordsize="21600,21600" o:gfxdata="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7140HVAAAACAEA&#10;AA8AAAAAAAAAAQAgAAAAIgAAAGRycy9kb3ducmV2LnhtbFBLAQIUABQAAAAIAIdO4kDUj1QgqwEA&#10;AGYDAAAOAAAAAAAAAAEAIAAAACQBAABkcnMvZTJvRG9jLnhtbFBLBQYAAAAABgAGAFkBAABBBQAA&#10;AAA=&#10;">
                <v:fill on="f" focussize="0,0"/>
                <v:stroke on="f"/>
                <v:imagedata o:title=""/>
                <o:lock v:ext="edit" aspectratio="f"/>
                <v:textbox>
                  <w:txbxContent>
                    <w:p w14:paraId="117371E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p w14:paraId="3330888A"/>
                  </w:txbxContent>
                </v:textbox>
              </v:shape>
            </w:pict>
          </mc:Fallback>
        </mc:AlternateContent>
      </w:r>
      <w:r>
        <w:rPr>
          <w:rFonts w:hint="eastAsia" w:ascii="仿宋" w:hAnsi="仿宋" w:eastAsia="仿宋" w:cs="仿宋"/>
          <w:color w:val="auto"/>
          <w:highlight w:val="none"/>
          <w:lang w:eastAsia="zh-CN"/>
        </w:rPr>
        <w:t>合同双方当事人应明确合同价格的调整事项。除专用条款另有约定外，允许调整事项应包括：</w:t>
      </w:r>
    </w:p>
    <w:p w14:paraId="25338CB7">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（1）因国家法律、法规、政策变化引起的合同价格的变化；</w:t>
      </w:r>
    </w:p>
    <w:p w14:paraId="50A9F7FE">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（2）因下列原因导致的可调价变更：</w:t>
      </w:r>
    </w:p>
    <w:p w14:paraId="7C553B7C">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① 合同执行期间（含勘察期、设计期和施工期）发包人要求或发包时合同基础资料本身缺陷导致的重大调整（包括功能变化、规模调整、主要标准变化等，具体在专用条款中明确可量化的指标），造成的工程费用增减。</w:t>
      </w:r>
    </w:p>
    <w:p w14:paraId="3125431D">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② 合同执行期间（含勘察期、设计期和施工期）承包人不可预见的重大地质变化（相对于发包人提供的地质初勘资料，具体在专用条款中明确可量化的指标），造成的工程费用增减。</w:t>
      </w:r>
    </w:p>
    <w:p w14:paraId="6C739F99">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③ 合同执行期间（含勘察期、设计期和施工期），因不可抗力导致工程费增减的，在扣减保险理赔金额后，按剩余金额调整合同价格。</w:t>
      </w:r>
    </w:p>
    <w:p w14:paraId="625E2A38">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（3）主要工程材料、工程设备、人工价格与基准日期价格相比，波动幅度超过专用条款约定幅度的部分；</w:t>
      </w:r>
    </w:p>
    <w:p w14:paraId="5CCE4046">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（4）非承包人原因产生的费用索赔、现场签证、赶工措施费等有关工程费用；</w:t>
      </w:r>
    </w:p>
    <w:p w14:paraId="7F40A05B">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（5）专用条款约定给予承包人的奖励金额；</w:t>
      </w:r>
    </w:p>
    <w:p w14:paraId="35B2EC61">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（6）专用条款约定的其他调整事项。</w:t>
      </w:r>
    </w:p>
    <w:p w14:paraId="35B005D9">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本款调整事项应分别按照第78条至第82条的约定调整合同价格。</w:t>
      </w:r>
    </w:p>
    <w:p w14:paraId="615853B8">
      <w:pPr>
        <w:pStyle w:val="23"/>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6BE2A97D">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w:t>
      </w:r>
      <w:r>
        <w:rPr>
          <w:color w:val="auto"/>
          <w:highlight w:val="none"/>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5080</wp:posOffset>
                </wp:positionV>
                <wp:extent cx="832485" cy="603885"/>
                <wp:effectExtent l="0" t="0" r="0" b="0"/>
                <wp:wrapNone/>
                <wp:docPr id="313" name="00023c"/>
                <wp:cNvGraphicFramePr/>
                <a:graphic xmlns:a="http://schemas.openxmlformats.org/drawingml/2006/main">
                  <a:graphicData uri="http://schemas.microsoft.com/office/word/2010/wordprocessingShape">
                    <wps:wsp>
                      <wps:cNvSpPr txBox="1"/>
                      <wps:spPr>
                        <a:xfrm>
                          <a:off x="0" y="0"/>
                          <a:ext cx="832485" cy="603885"/>
                        </a:xfrm>
                        <a:prstGeom prst="rect">
                          <a:avLst/>
                        </a:prstGeom>
                        <a:noFill/>
                        <a:ln>
                          <a:noFill/>
                        </a:ln>
                        <a:effectLst/>
                      </wps:spPr>
                      <wps:txbx>
                        <w:txbxContent>
                          <w:p w14:paraId="09222DBE">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p w14:paraId="0596064C"/>
                        </w:txbxContent>
                      </wps:txbx>
                      <wps:bodyPr wrap="square" upright="1"/>
                    </wps:wsp>
                  </a:graphicData>
                </a:graphic>
              </wp:anchor>
            </w:drawing>
          </mc:Choice>
          <mc:Fallback>
            <w:pict>
              <v:shape id="00023c" o:spid="_x0000_s1026" o:spt="202" type="#_x0000_t202" style="position:absolute;left:0pt;margin-left:-9pt;margin-top:0.4pt;height:47.55pt;width:65.55pt;z-index:251978752;mso-width-relative:page;mso-height-relative:page;" filled="f" stroked="f" coordsize="21600,21600" o:gfxdata="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65BNJ1AAAAAcBAAAP&#10;AAAAAAAAAAEAIAAAACIAAABkcnMvZG93bnJldi54bWxQSwECFAAUAAAACACHTuJAx2Cd9KoBAABm&#10;AwAADgAAAAAAAAABACAAAAAjAQAAZHJzL2Uyb0RvYy54bWxQSwUGAAAAAAYABgBZAQAAPwUAAAAA&#10;">
                <v:fill on="f" focussize="0,0"/>
                <v:stroke on="f"/>
                <v:imagedata o:title=""/>
                <o:lock v:ext="edit" aspectratio="f"/>
                <v:textbox>
                  <w:txbxContent>
                    <w:p w14:paraId="09222DBE">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p w14:paraId="0596064C"/>
                  </w:txbxContent>
                </v:textbox>
              </v:shape>
            </w:pict>
          </mc:Fallback>
        </mc:AlternateContent>
      </w:r>
      <w:r>
        <w:rPr>
          <w:rFonts w:hint="eastAsia" w:ascii="仿宋" w:hAnsi="仿宋" w:eastAsia="仿宋" w:cs="仿宋"/>
          <w:color w:val="auto"/>
          <w:sz w:val="24"/>
          <w:szCs w:val="24"/>
          <w:highlight w:val="none"/>
          <w:lang w:eastAsia="zh-CN"/>
        </w:rPr>
        <w:t>出现第69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调整合同价格事项的，合同双方当事人应调整合同价格。除费用索赔、现场签证事项分别按照第80条、第81条约定外，调整合同价格的提出、核实、确认与支付等事项，由合同双方当事人按照第70条约定办理。</w:t>
      </w:r>
    </w:p>
    <w:p w14:paraId="63C282D1">
      <w:pPr>
        <w:spacing w:line="360" w:lineRule="auto"/>
        <w:rPr>
          <w:color w:val="auto"/>
          <w:highlight w:val="none"/>
          <w:lang w:eastAsia="zh-CN" w:bidi="ar-SA"/>
        </w:rPr>
      </w:pPr>
      <w:r>
        <w:rPr>
          <w:rFonts w:ascii="仿宋" w:hAnsi="仿宋" w:eastAsia="仿宋" w:cs="仿宋"/>
          <w:b/>
          <w:bCs/>
          <w:color w:val="auto"/>
          <w:highlight w:val="none"/>
          <w:u w:val="single"/>
          <w:lang w:eastAsia="zh-CN"/>
        </w:rPr>
        <w:t xml:space="preserve">                                                                                     </w:t>
      </w:r>
    </w:p>
    <w:p w14:paraId="5D4E0CC9">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950" w:name="_Toc10678"/>
      <w:bookmarkStart w:id="951" w:name="_Toc22808"/>
      <w:bookmarkStart w:id="952" w:name="_Toc6264"/>
      <w:bookmarkStart w:id="953" w:name="_Toc47694346"/>
      <w:bookmarkStart w:id="954" w:name="_Toc8001"/>
      <w:bookmarkStart w:id="955" w:name="_Toc23377"/>
      <w:bookmarkStart w:id="956" w:name="_Toc15057"/>
      <w:bookmarkStart w:id="957" w:name="_Toc4554"/>
      <w:r>
        <w:rPr>
          <w:rFonts w:hint="eastAsia" w:ascii="仿宋" w:hAnsi="仿宋" w:eastAsia="仿宋" w:cs="仿宋"/>
          <w:bCs w:val="0"/>
          <w:color w:val="auto"/>
          <w:sz w:val="24"/>
          <w:szCs w:val="24"/>
          <w:highlight w:val="none"/>
          <w:lang w:eastAsia="zh-CN"/>
        </w:rPr>
        <w:t>★70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合同价格调整程序</w:t>
      </w:r>
      <w:bookmarkEnd w:id="950"/>
      <w:bookmarkEnd w:id="951"/>
      <w:bookmarkEnd w:id="952"/>
      <w:bookmarkEnd w:id="953"/>
      <w:bookmarkEnd w:id="954"/>
      <w:bookmarkEnd w:id="955"/>
      <w:bookmarkEnd w:id="956"/>
      <w:bookmarkEnd w:id="957"/>
    </w:p>
    <w:p w14:paraId="3668C0B4">
      <w:pPr>
        <w:pStyle w:val="23"/>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70</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1</w:t>
      </w:r>
    </w:p>
    <w:p w14:paraId="2D5CDE7F">
      <w:pPr>
        <w:pStyle w:val="23"/>
        <w:widowControl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79776" behindDoc="0" locked="0" layoutInCell="1" allowOverlap="1">
                <wp:simplePos x="0" y="0"/>
                <wp:positionH relativeFrom="column">
                  <wp:posOffset>-58420</wp:posOffset>
                </wp:positionH>
                <wp:positionV relativeFrom="paragraph">
                  <wp:posOffset>65405</wp:posOffset>
                </wp:positionV>
                <wp:extent cx="794385" cy="598805"/>
                <wp:effectExtent l="0" t="0" r="0" b="0"/>
                <wp:wrapNone/>
                <wp:docPr id="314" name="00023d"/>
                <wp:cNvGraphicFramePr/>
                <a:graphic xmlns:a="http://schemas.openxmlformats.org/drawingml/2006/main">
                  <a:graphicData uri="http://schemas.microsoft.com/office/word/2010/wordprocessingShape">
                    <wps:wsp>
                      <wps:cNvSpPr txBox="1"/>
                      <wps:spPr>
                        <a:xfrm>
                          <a:off x="0" y="0"/>
                          <a:ext cx="794385" cy="598805"/>
                        </a:xfrm>
                        <a:prstGeom prst="rect">
                          <a:avLst/>
                        </a:prstGeom>
                        <a:noFill/>
                        <a:ln>
                          <a:noFill/>
                        </a:ln>
                        <a:effectLst/>
                      </wps:spPr>
                      <wps:txbx>
                        <w:txbxContent>
                          <w:p w14:paraId="133D90E6">
                            <w:pPr>
                              <w:pStyle w:val="37"/>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p w14:paraId="422A9933">
                            <w:pPr>
                              <w:rPr>
                                <w:lang w:eastAsia="zh-CN"/>
                              </w:rPr>
                            </w:pPr>
                          </w:p>
                        </w:txbxContent>
                      </wps:txbx>
                      <wps:bodyPr wrap="square" upright="1"/>
                    </wps:wsp>
                  </a:graphicData>
                </a:graphic>
              </wp:anchor>
            </w:drawing>
          </mc:Choice>
          <mc:Fallback>
            <w:pict>
              <v:shape id="00023d" o:spid="_x0000_s1026" o:spt="202" type="#_x0000_t202" style="position:absolute;left:0pt;margin-left:-4.6pt;margin-top:5.15pt;height:47.15pt;width:62.55pt;z-index:251979776;mso-width-relative:page;mso-height-relative:page;" filled="f" stroked="f" coordsize="21600,21600" o:gfxdata="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suax9UAAAAJ&#10;AQAADwAAAAAAAAABACAAAAAiAAAAZHJzL2Rvd25yZXYueG1sUEsBAhQAFAAAAAgAh07iQDbOxQOt&#10;AQAAZgMAAA4AAAAAAAAAAQAgAAAAJAEAAGRycy9lMm9Eb2MueG1sUEsFBgAAAAAGAAYAWQEAAEMF&#10;AAAAAA==&#10;">
                <v:fill on="f" focussize="0,0"/>
                <v:stroke on="f"/>
                <v:imagedata o:title=""/>
                <o:lock v:ext="edit" aspectratio="f"/>
                <v:textbox>
                  <w:txbxContent>
                    <w:p w14:paraId="133D90E6">
                      <w:pPr>
                        <w:pStyle w:val="37"/>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p w14:paraId="422A9933">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出现合同价格调增事项后的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天内，承包人应向监理人、造价咨询人提交合同价格调增报告，并附上相关资料。如承包人在出现合同价格调增事项后的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天内未提交合同价格调增报告的，则造价咨询人可在报发包人批准后，根据实际情况决定是否调整合同价格以及调整的金额。</w:t>
      </w:r>
    </w:p>
    <w:p w14:paraId="0A7D04FA">
      <w:pPr>
        <w:pStyle w:val="23"/>
        <w:spacing w:line="36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70.2</w:t>
      </w:r>
      <w:r>
        <w:rPr>
          <w:rFonts w:ascii="仿宋" w:hAnsi="仿宋" w:eastAsia="仿宋" w:cs="仿宋"/>
          <w:color w:val="auto"/>
          <w:sz w:val="24"/>
          <w:szCs w:val="24"/>
          <w:highlight w:val="none"/>
          <w:u w:val="dotted"/>
          <w:lang w:eastAsia="zh-CN"/>
        </w:rPr>
        <w:t xml:space="preserve">                                                  </w:t>
      </w:r>
      <w:r>
        <w:rPr>
          <w:rFonts w:hint="eastAsia" w:ascii="仿宋" w:hAnsi="仿宋" w:eastAsia="仿宋" w:cs="仿宋"/>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14:paraId="03A8577C">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34290</wp:posOffset>
                </wp:positionV>
                <wp:extent cx="808990" cy="653415"/>
                <wp:effectExtent l="0" t="0" r="0" b="0"/>
                <wp:wrapNone/>
                <wp:docPr id="315" name="00023e"/>
                <wp:cNvGraphicFramePr/>
                <a:graphic xmlns:a="http://schemas.openxmlformats.org/drawingml/2006/main">
                  <a:graphicData uri="http://schemas.microsoft.com/office/word/2010/wordprocessingShape">
                    <wps:wsp>
                      <wps:cNvSpPr txBox="1"/>
                      <wps:spPr>
                        <a:xfrm>
                          <a:off x="0" y="0"/>
                          <a:ext cx="808990" cy="653415"/>
                        </a:xfrm>
                        <a:prstGeom prst="rect">
                          <a:avLst/>
                        </a:prstGeom>
                        <a:noFill/>
                        <a:ln>
                          <a:noFill/>
                        </a:ln>
                        <a:effectLst/>
                      </wps:spPr>
                      <wps:txbx>
                        <w:txbxContent>
                          <w:p w14:paraId="184CDA34">
                            <w:pPr>
                              <w:pStyle w:val="37"/>
                              <w:spacing w:line="200" w:lineRule="exact"/>
                              <w:rPr>
                                <w:rFonts w:ascii="楷体_GB2312" w:hAnsi="宋体"/>
                                <w:sz w:val="18"/>
                                <w:szCs w:val="18"/>
                              </w:rPr>
                            </w:pPr>
                            <w:r>
                              <w:rPr>
                                <w:rFonts w:hint="eastAsia" w:ascii="楷体_GB2312" w:hAnsi="宋体" w:cs="楷体_GB2312"/>
                                <w:sz w:val="18"/>
                                <w:szCs w:val="18"/>
                              </w:rPr>
                              <w:t>调增价款的核实</w:t>
                            </w:r>
                          </w:p>
                          <w:p w14:paraId="13C3502E"/>
                        </w:txbxContent>
                      </wps:txbx>
                      <wps:bodyPr wrap="square" upright="1"/>
                    </wps:wsp>
                  </a:graphicData>
                </a:graphic>
              </wp:anchor>
            </w:drawing>
          </mc:Choice>
          <mc:Fallback>
            <w:pict>
              <v:shape id="00023e" o:spid="_x0000_s1026" o:spt="202" type="#_x0000_t202" style="position:absolute;left:0pt;margin-left:-9pt;margin-top:2.7pt;height:51.45pt;width:63.7pt;z-index:251980800;mso-width-relative:page;mso-height-relative:page;" filled="f" stroked="f" coordsize="21600,21600" o:gfxdata="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AjIWN1gAAAAkB&#10;AAAPAAAAAAAAAAEAIAAAACIAAABkcnMvZG93bnJldi54bWxQSwECFAAUAAAACACHTuJA02YmFKsB&#10;AABmAwAADgAAAAAAAAABACAAAAAlAQAAZHJzL2Uyb0RvYy54bWxQSwUGAAAAAAYABgBZAQAAQgUA&#10;AAAA&#10;">
                <v:fill on="f" focussize="0,0"/>
                <v:stroke on="f"/>
                <v:imagedata o:title=""/>
                <o:lock v:ext="edit" aspectratio="f"/>
                <v:textbox>
                  <w:txbxContent>
                    <w:p w14:paraId="184CDA34">
                      <w:pPr>
                        <w:pStyle w:val="37"/>
                        <w:spacing w:line="200" w:lineRule="exact"/>
                        <w:rPr>
                          <w:rFonts w:ascii="楷体_GB2312" w:hAnsi="宋体"/>
                          <w:sz w:val="18"/>
                          <w:szCs w:val="18"/>
                        </w:rPr>
                      </w:pPr>
                      <w:r>
                        <w:rPr>
                          <w:rFonts w:hint="eastAsia" w:ascii="楷体_GB2312" w:hAnsi="宋体" w:cs="楷体_GB2312"/>
                          <w:sz w:val="18"/>
                          <w:szCs w:val="18"/>
                        </w:rPr>
                        <w:t>调增价款的核实</w:t>
                      </w:r>
                    </w:p>
                    <w:p w14:paraId="13C3502E"/>
                  </w:txbxContent>
                </v:textbox>
              </v:shape>
            </w:pict>
          </mc:Fallback>
        </mc:AlternateContent>
      </w:r>
      <w:r>
        <w:rPr>
          <w:rFonts w:hint="eastAsia" w:ascii="仿宋" w:hAnsi="仿宋" w:eastAsia="仿宋" w:cs="仿宋"/>
          <w:color w:val="auto"/>
          <w:sz w:val="24"/>
          <w:szCs w:val="24"/>
          <w:highlight w:val="none"/>
          <w:lang w:eastAsia="zh-CN"/>
        </w:rPr>
        <w:t>监理人、造价咨询人应在收到合同价格调增报告及相关资料之日起</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天内对其核实，并予以确认或提出协商意见。造价咨询人在收到合同价格调增报告之日起</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天内未确认也未提出协商意见的，视为承包人提交的合同价格调增报告已被认可。造价咨询人提出协商意见的，合同双方当事人应在承包人收到协商意见后的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进行协商确定；协商未能达成一致的，由造价咨询人暂定调增的合同价格，通知承包人并抄报发包人。出现暂定结果的，只要不实质影响合同双方当事人履约的，合同双方当事人应实施该结果，直到其被改变为止。</w:t>
      </w:r>
    </w:p>
    <w:p w14:paraId="7E59CDBA">
      <w:pPr>
        <w:pStyle w:val="23"/>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70.3</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38C25FC6">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34290</wp:posOffset>
                </wp:positionV>
                <wp:extent cx="762000" cy="463550"/>
                <wp:effectExtent l="0" t="0" r="0" b="0"/>
                <wp:wrapNone/>
                <wp:docPr id="316" name="00023f"/>
                <wp:cNvGraphicFramePr/>
                <a:graphic xmlns:a="http://schemas.openxmlformats.org/drawingml/2006/main">
                  <a:graphicData uri="http://schemas.microsoft.com/office/word/2010/wordprocessingShape">
                    <wps:wsp>
                      <wps:cNvSpPr txBox="1"/>
                      <wps:spPr>
                        <a:xfrm>
                          <a:off x="0" y="0"/>
                          <a:ext cx="762000" cy="463550"/>
                        </a:xfrm>
                        <a:prstGeom prst="rect">
                          <a:avLst/>
                        </a:prstGeom>
                        <a:noFill/>
                        <a:ln>
                          <a:noFill/>
                        </a:ln>
                        <a:effectLst/>
                      </wps:spPr>
                      <wps:txbx>
                        <w:txbxContent>
                          <w:p w14:paraId="5AFD7331">
                            <w:pPr>
                              <w:pStyle w:val="37"/>
                              <w:spacing w:line="200" w:lineRule="exact"/>
                              <w:rPr>
                                <w:rFonts w:ascii="楷体_GB2312" w:hAnsi="宋体"/>
                                <w:sz w:val="18"/>
                                <w:szCs w:val="18"/>
                              </w:rPr>
                            </w:pPr>
                            <w:r>
                              <w:rPr>
                                <w:rFonts w:hint="eastAsia" w:ascii="楷体_GB2312" w:hAnsi="宋体" w:cs="楷体_GB2312"/>
                                <w:sz w:val="18"/>
                                <w:szCs w:val="18"/>
                              </w:rPr>
                              <w:t>调增价款的支付</w:t>
                            </w:r>
                          </w:p>
                          <w:p w14:paraId="2F644B10"/>
                        </w:txbxContent>
                      </wps:txbx>
                      <wps:bodyPr wrap="square" upright="1"/>
                    </wps:wsp>
                  </a:graphicData>
                </a:graphic>
              </wp:anchor>
            </w:drawing>
          </mc:Choice>
          <mc:Fallback>
            <w:pict>
              <v:shape id="00023f" o:spid="_x0000_s1026" o:spt="202" type="#_x0000_t202" style="position:absolute;left:0pt;margin-left:-9pt;margin-top:2.7pt;height:36.5pt;width:60pt;z-index:251981824;mso-width-relative:page;mso-height-relative:page;" filled="f" stroked="f" coordsize="21600,21600" o:gfxdata="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zGq1q1QAAAAgB&#10;AAAPAAAAAAAAAAEAIAAAACIAAABkcnMvZG93bnJldi54bWxQSwECFAAUAAAACACHTuJAMkXq96wB&#10;AABmAwAADgAAAAAAAAABACAAAAAkAQAAZHJzL2Uyb0RvYy54bWxQSwUGAAAAAAYABgBZAQAAQgUA&#10;AAAA&#10;">
                <v:fill on="f" focussize="0,0"/>
                <v:stroke on="f"/>
                <v:imagedata o:title=""/>
                <o:lock v:ext="edit" aspectratio="f"/>
                <v:textbox>
                  <w:txbxContent>
                    <w:p w14:paraId="5AFD7331">
                      <w:pPr>
                        <w:pStyle w:val="37"/>
                        <w:spacing w:line="200" w:lineRule="exact"/>
                        <w:rPr>
                          <w:rFonts w:ascii="楷体_GB2312" w:hAnsi="宋体"/>
                          <w:sz w:val="18"/>
                          <w:szCs w:val="18"/>
                        </w:rPr>
                      </w:pPr>
                      <w:r>
                        <w:rPr>
                          <w:rFonts w:hint="eastAsia" w:ascii="楷体_GB2312" w:hAnsi="宋体" w:cs="楷体_GB2312"/>
                          <w:sz w:val="18"/>
                          <w:szCs w:val="18"/>
                        </w:rPr>
                        <w:t>调增价款的支付</w:t>
                      </w:r>
                    </w:p>
                    <w:p w14:paraId="2F644B10"/>
                  </w:txbxContent>
                </v:textbox>
              </v:shape>
            </w:pict>
          </mc:Fallback>
        </mc:AlternateContent>
      </w:r>
      <w:r>
        <w:rPr>
          <w:rFonts w:hint="eastAsia" w:ascii="仿宋" w:hAnsi="仿宋" w:eastAsia="仿宋" w:cs="仿宋"/>
          <w:color w:val="auto"/>
          <w:sz w:val="24"/>
          <w:szCs w:val="24"/>
          <w:highlight w:val="none"/>
          <w:lang w:eastAsia="zh-CN"/>
        </w:rPr>
        <w:t>经合同双方当事人确认或造价咨询人暂定调增的合同价格，作为追加合同价格，与工程进度款或结算款同期支付。</w:t>
      </w:r>
    </w:p>
    <w:p w14:paraId="1EFE7C36">
      <w:pPr>
        <w:pStyle w:val="23"/>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70.4</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030DA61F">
      <w:pPr>
        <w:spacing w:line="360" w:lineRule="auto"/>
        <w:ind w:left="1850" w:leftChars="771" w:firstLine="2"/>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2848" behindDoc="0" locked="0" layoutInCell="1" allowOverlap="1">
                <wp:simplePos x="0" y="0"/>
                <wp:positionH relativeFrom="column">
                  <wp:posOffset>-66675</wp:posOffset>
                </wp:positionH>
                <wp:positionV relativeFrom="paragraph">
                  <wp:posOffset>5715</wp:posOffset>
                </wp:positionV>
                <wp:extent cx="815340" cy="473075"/>
                <wp:effectExtent l="0" t="0" r="0" b="0"/>
                <wp:wrapNone/>
                <wp:docPr id="317" name="000240"/>
                <wp:cNvGraphicFramePr/>
                <a:graphic xmlns:a="http://schemas.openxmlformats.org/drawingml/2006/main">
                  <a:graphicData uri="http://schemas.microsoft.com/office/word/2010/wordprocessingShape">
                    <wps:wsp>
                      <wps:cNvSpPr txBox="1"/>
                      <wps:spPr>
                        <a:xfrm>
                          <a:off x="0" y="0"/>
                          <a:ext cx="815340" cy="473075"/>
                        </a:xfrm>
                        <a:prstGeom prst="rect">
                          <a:avLst/>
                        </a:prstGeom>
                        <a:noFill/>
                        <a:ln>
                          <a:noFill/>
                        </a:ln>
                        <a:effectLst/>
                      </wps:spPr>
                      <wps:txbx>
                        <w:txbxContent>
                          <w:p w14:paraId="6F25DC4A">
                            <w:pPr>
                              <w:pStyle w:val="37"/>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p w14:paraId="6AF42720">
                            <w:pPr>
                              <w:rPr>
                                <w:lang w:eastAsia="zh-CN"/>
                              </w:rPr>
                            </w:pPr>
                          </w:p>
                        </w:txbxContent>
                      </wps:txbx>
                      <wps:bodyPr wrap="square" upright="1"/>
                    </wps:wsp>
                  </a:graphicData>
                </a:graphic>
              </wp:anchor>
            </w:drawing>
          </mc:Choice>
          <mc:Fallback>
            <w:pict>
              <v:shape id="000240" o:spid="_x0000_s1026" o:spt="202" type="#_x0000_t202" style="position:absolute;left:0pt;margin-left:-5.25pt;margin-top:0.45pt;height:37.25pt;width:64.2pt;z-index:251982848;mso-width-relative:page;mso-height-relative:page;" filled="f" stroked="f" coordsize="21600,21600" o:gfxdata="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QrpLh1AAAAAcBAAAP&#10;AAAAAAAAAAEAIAAAACIAAABkcnMvZG93bnJldi54bWxQSwECFAAUAAAACACHTuJABOlaY6oBAABm&#10;AwAADgAAAAAAAAABACAAAAAjAQAAZHJzL2Uyb0RvYy54bWxQSwUGAAAAAAYABgBZAQAAPwUAAAAA&#10;">
                <v:fill on="f" focussize="0,0"/>
                <v:stroke on="f"/>
                <v:imagedata o:title=""/>
                <o:lock v:ext="edit" aspectratio="f"/>
                <v:textbox>
                  <w:txbxContent>
                    <w:p w14:paraId="6F25DC4A">
                      <w:pPr>
                        <w:pStyle w:val="37"/>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p w14:paraId="6AF42720">
                      <w:pPr>
                        <w:rPr>
                          <w:lang w:eastAsia="zh-CN"/>
                        </w:rPr>
                      </w:pPr>
                    </w:p>
                  </w:txbxContent>
                </v:textbox>
              </v:shape>
            </w:pict>
          </mc:Fallback>
        </mc:AlternateContent>
      </w:r>
      <w:r>
        <w:rPr>
          <w:rFonts w:hint="eastAsia" w:ascii="仿宋" w:hAnsi="仿宋" w:eastAsia="仿宋" w:cs="仿宋"/>
          <w:color w:val="auto"/>
          <w:highlight w:val="none"/>
          <w:lang w:eastAsia="zh-CN"/>
        </w:rPr>
        <w:t>出现合同价格调减事项时，发包人可按照本条约定的时限和要求，向承包人提交合同价格调减报告以及调减的金额，但调减的金额应按照实际确定。</w:t>
      </w:r>
    </w:p>
    <w:p w14:paraId="70485A91">
      <w:pPr>
        <w:pStyle w:val="23"/>
        <w:tabs>
          <w:tab w:val="left" w:pos="1800"/>
        </w:tabs>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6F4118AC">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958" w:name="_Toc20906"/>
      <w:bookmarkStart w:id="959" w:name="_Toc10452"/>
      <w:bookmarkStart w:id="960" w:name="_Toc27417"/>
      <w:bookmarkStart w:id="961" w:name="_Toc10793"/>
      <w:bookmarkStart w:id="962" w:name="_Toc21473"/>
      <w:bookmarkStart w:id="963" w:name="_Toc23610"/>
      <w:bookmarkStart w:id="964" w:name="_Toc17542"/>
      <w:bookmarkStart w:id="965" w:name="_Toc47694347"/>
      <w:r>
        <w:rPr>
          <w:rFonts w:hint="eastAsia" w:ascii="仿宋" w:hAnsi="仿宋" w:eastAsia="仿宋" w:cs="仿宋"/>
          <w:bCs w:val="0"/>
          <w:color w:val="auto"/>
          <w:sz w:val="24"/>
          <w:szCs w:val="24"/>
          <w:highlight w:val="none"/>
          <w:lang w:eastAsia="zh-CN"/>
        </w:rPr>
        <w:t>★71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工作量或工程量</w:t>
      </w:r>
      <w:bookmarkEnd w:id="958"/>
      <w:bookmarkEnd w:id="959"/>
      <w:bookmarkEnd w:id="960"/>
      <w:bookmarkEnd w:id="961"/>
      <w:bookmarkEnd w:id="962"/>
      <w:bookmarkEnd w:id="963"/>
      <w:bookmarkEnd w:id="964"/>
      <w:bookmarkEnd w:id="965"/>
    </w:p>
    <w:p w14:paraId="268BA262">
      <w:pPr>
        <w:pStyle w:val="23"/>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71</w:t>
      </w:r>
      <w:r>
        <w:rPr>
          <w:rFonts w:ascii="仿宋" w:hAnsi="仿宋" w:eastAsia="仿宋" w:cs="仿宋"/>
          <w:b/>
          <w:bCs/>
          <w:color w:val="auto"/>
          <w:sz w:val="24"/>
          <w:szCs w:val="24"/>
          <w:highlight w:val="none"/>
          <w:lang w:eastAsia="zh-CN"/>
        </w:rPr>
        <w:t>.1</w:t>
      </w:r>
    </w:p>
    <w:p w14:paraId="7D350654">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75565</wp:posOffset>
                </wp:positionV>
                <wp:extent cx="832485" cy="537845"/>
                <wp:effectExtent l="0" t="0" r="0" b="0"/>
                <wp:wrapNone/>
                <wp:docPr id="318" name="000241"/>
                <wp:cNvGraphicFramePr/>
                <a:graphic xmlns:a="http://schemas.openxmlformats.org/drawingml/2006/main">
                  <a:graphicData uri="http://schemas.microsoft.com/office/word/2010/wordprocessingShape">
                    <wps:wsp>
                      <wps:cNvSpPr txBox="1"/>
                      <wps:spPr>
                        <a:xfrm>
                          <a:off x="0" y="0"/>
                          <a:ext cx="832485" cy="537845"/>
                        </a:xfrm>
                        <a:prstGeom prst="rect">
                          <a:avLst/>
                        </a:prstGeom>
                        <a:noFill/>
                        <a:ln>
                          <a:noFill/>
                        </a:ln>
                        <a:effectLst/>
                      </wps:spPr>
                      <wps:txbx>
                        <w:txbxContent>
                          <w:p w14:paraId="4FD64422">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p w14:paraId="61881C1D">
                            <w:pPr>
                              <w:rPr>
                                <w:lang w:eastAsia="zh-CN"/>
                              </w:rPr>
                            </w:pPr>
                          </w:p>
                        </w:txbxContent>
                      </wps:txbx>
                      <wps:bodyPr wrap="square" upright="1"/>
                    </wps:wsp>
                  </a:graphicData>
                </a:graphic>
              </wp:anchor>
            </w:drawing>
          </mc:Choice>
          <mc:Fallback>
            <w:pict>
              <v:shape id="000241" o:spid="_x0000_s1026" o:spt="202" type="#_x0000_t202" style="position:absolute;left:0pt;margin-left:-9pt;margin-top:5.95pt;height:42.35pt;width:65.55pt;z-index:251983872;mso-width-relative:page;mso-height-relative:page;" filled="f" stroked="f" coordsize="21600,21600" o:gfxdata="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hPJlw1gAAAAkB&#10;AAAPAAAAAAAAAAEAIAAAACIAAABkcnMvZG93bnJldi54bWxQSwECFAAUAAAACACHTuJARUV7+asB&#10;AABmAwAADgAAAAAAAAABACAAAAAlAQAAZHJzL2Uyb0RvYy54bWxQSwUGAAAAAAYABgBZAQAAQgUA&#10;AAAA&#10;">
                <v:fill on="f" focussize="0,0"/>
                <v:stroke on="f"/>
                <v:imagedata o:title=""/>
                <o:lock v:ext="edit" aspectratio="f"/>
                <v:textbox>
                  <w:txbxContent>
                    <w:p w14:paraId="4FD64422">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p w14:paraId="61881C1D">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合同价格清单包括勘察项目清单（如果有）、设计项目清单、BIM技术应用项目清单、设备及工器具购置项目清单（如果有）、建筑安装工程工程量清单及其它服务项目清单（如果有）。</w:t>
      </w:r>
    </w:p>
    <w:p w14:paraId="44ED7271">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14:paraId="213032CF">
      <w:pPr>
        <w:spacing w:line="360" w:lineRule="auto"/>
        <w:rPr>
          <w:rFonts w:ascii="仿宋" w:hAnsi="仿宋" w:eastAsia="仿宋"/>
          <w:b/>
          <w:bCs/>
          <w:color w:val="auto"/>
          <w:highlight w:val="none"/>
          <w:lang w:eastAsia="zh-CN"/>
        </w:rPr>
      </w:pPr>
      <w:bookmarkStart w:id="966" w:name="_Toc7410"/>
      <w:r>
        <w:rPr>
          <w:rFonts w:hint="eastAsia" w:ascii="仿宋" w:hAnsi="仿宋" w:eastAsia="仿宋" w:cs="仿宋"/>
          <w:b/>
          <w:bCs/>
          <w:color w:val="auto"/>
          <w:highlight w:val="none"/>
          <w:lang w:eastAsia="zh-CN"/>
        </w:rPr>
        <w:t>71</w:t>
      </w:r>
      <w:r>
        <w:rPr>
          <w:rFonts w:ascii="仿宋" w:hAnsi="仿宋" w:eastAsia="仿宋" w:cs="仿宋"/>
          <w:b/>
          <w:bCs/>
          <w:color w:val="auto"/>
          <w:highlight w:val="none"/>
          <w:lang w:eastAsia="zh-CN"/>
        </w:rPr>
        <w:t>.2</w:t>
      </w:r>
      <w:bookmarkEnd w:id="96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1637FF2">
      <w:pPr>
        <w:spacing w:line="360" w:lineRule="auto"/>
        <w:ind w:left="1850" w:leftChars="771"/>
        <w:jc w:val="both"/>
        <w:rPr>
          <w:rFonts w:hint="eastAsia"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11430</wp:posOffset>
                </wp:positionV>
                <wp:extent cx="762635" cy="628015"/>
                <wp:effectExtent l="0" t="0" r="0" b="0"/>
                <wp:wrapNone/>
                <wp:docPr id="319" name="000242"/>
                <wp:cNvGraphicFramePr/>
                <a:graphic xmlns:a="http://schemas.openxmlformats.org/drawingml/2006/main">
                  <a:graphicData uri="http://schemas.microsoft.com/office/word/2010/wordprocessingShape">
                    <wps:wsp>
                      <wps:cNvSpPr txBox="1"/>
                      <wps:spPr>
                        <a:xfrm>
                          <a:off x="0" y="0"/>
                          <a:ext cx="762635" cy="628015"/>
                        </a:xfrm>
                        <a:prstGeom prst="rect">
                          <a:avLst/>
                        </a:prstGeom>
                        <a:noFill/>
                        <a:ln>
                          <a:noFill/>
                        </a:ln>
                        <a:effectLst/>
                      </wps:spPr>
                      <wps:txbx>
                        <w:txbxContent>
                          <w:p w14:paraId="3DA17070">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p w14:paraId="599297CE"/>
                        </w:txbxContent>
                      </wps:txbx>
                      <wps:bodyPr wrap="square" upright="1"/>
                    </wps:wsp>
                  </a:graphicData>
                </a:graphic>
              </wp:anchor>
            </w:drawing>
          </mc:Choice>
          <mc:Fallback>
            <w:pict>
              <v:shape id="000242" o:spid="_x0000_s1026" o:spt="202" type="#_x0000_t202" style="position:absolute;left:0pt;margin-left:-9pt;margin-top:0.9pt;height:49.45pt;width:60.05pt;z-index:251984896;mso-width-relative:page;mso-height-relative:page;" filled="f" stroked="f" coordsize="21600,21600" o:gfxdata="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99sUc1QAAAAkB&#10;AAAPAAAAAAAAAAEAIAAAACIAAABkcnMvZG93bnJldi54bWxQSwECFAAUAAAACACHTuJA5fJKR6wB&#10;AABmAwAADgAAAAAAAAABACAAAAAkAQAAZHJzL2Uyb0RvYy54bWxQSwUGAAAAAAYABgBZAQAAQgUA&#10;AAAA&#10;">
                <v:fill on="f" focussize="0,0"/>
                <v:stroke on="f"/>
                <v:imagedata o:title=""/>
                <o:lock v:ext="edit" aspectratio="f"/>
                <v:textbox>
                  <w:txbxContent>
                    <w:p w14:paraId="3DA17070">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p w14:paraId="599297CE"/>
                  </w:txbxContent>
                </v:textbox>
              </v:shape>
            </w:pict>
          </mc:Fallback>
        </mc:AlternateContent>
      </w:r>
      <w:r>
        <w:rPr>
          <w:rFonts w:hint="eastAsia" w:ascii="仿宋" w:hAnsi="仿宋" w:eastAsia="仿宋" w:cs="仿宋"/>
          <w:color w:val="auto"/>
          <w:highlight w:val="none"/>
          <w:lang w:eastAsia="zh-CN"/>
        </w:rPr>
        <w:t>合同价格清单中开列的工作量或工程量是根据发包人要求、标准与规范、项目基础资料等计列的工程量，不能作为承包人履行合同义务中应予完成合同工程的实际或准确工程量。</w:t>
      </w:r>
      <w:r>
        <w:rPr>
          <w:rFonts w:hint="eastAsia" w:ascii="仿宋" w:hAnsi="仿宋" w:eastAsia="仿宋"/>
          <w:color w:val="auto"/>
          <w:highlight w:val="none"/>
          <w:lang w:eastAsia="zh-CN"/>
        </w:rPr>
        <w:t>合同价格清单中列出的任何工作量和价格数据仅限用于变更和支付的参考资料，而不能用于其他目的。</w:t>
      </w:r>
    </w:p>
    <w:p w14:paraId="5EC67553">
      <w:pPr>
        <w:pStyle w:val="23"/>
        <w:widowControl w:val="0"/>
        <w:spacing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olor w:val="auto"/>
          <w:sz w:val="24"/>
          <w:szCs w:val="24"/>
          <w:highlight w:val="none"/>
          <w:lang w:eastAsia="zh-CN"/>
        </w:rPr>
        <w:t>承包人应按审查批准或备案的设计施工图、发包人要求、标准、规范等实施、完成并保修合同工程，不得以合同价格清单项目特征错误、描述不清、清单漏项、工作量偏差、工程量偏差等原因增减工作内容，也不免除承包人履行工程总承包合同应承担的责任。</w:t>
      </w:r>
    </w:p>
    <w:p w14:paraId="1A67E1CF">
      <w:pPr>
        <w:pStyle w:val="23"/>
        <w:tabs>
          <w:tab w:val="left" w:pos="1800"/>
        </w:tabs>
        <w:spacing w:line="360" w:lineRule="auto"/>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1E310E58">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967" w:name="_Toc32446"/>
      <w:bookmarkStart w:id="968" w:name="_Toc27143"/>
      <w:bookmarkStart w:id="969" w:name="_Toc31491"/>
      <w:bookmarkStart w:id="970" w:name="_Toc19039"/>
      <w:bookmarkStart w:id="971" w:name="_Toc23038"/>
      <w:bookmarkStart w:id="972" w:name="_Toc15351"/>
      <w:bookmarkStart w:id="973" w:name="_Toc32666"/>
      <w:bookmarkStart w:id="974" w:name="_Toc47694348"/>
      <w:r>
        <w:rPr>
          <w:rFonts w:hint="eastAsia" w:ascii="仿宋" w:hAnsi="仿宋" w:eastAsia="仿宋" w:cs="仿宋"/>
          <w:bCs w:val="0"/>
          <w:color w:val="auto"/>
          <w:sz w:val="24"/>
          <w:szCs w:val="24"/>
          <w:highlight w:val="none"/>
          <w:lang w:eastAsia="zh-CN"/>
        </w:rPr>
        <w:t>★72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计量和计价</w:t>
      </w:r>
      <w:bookmarkEnd w:id="967"/>
      <w:bookmarkEnd w:id="968"/>
      <w:bookmarkEnd w:id="969"/>
      <w:bookmarkEnd w:id="970"/>
      <w:bookmarkEnd w:id="971"/>
      <w:bookmarkEnd w:id="972"/>
      <w:bookmarkEnd w:id="973"/>
      <w:bookmarkEnd w:id="974"/>
    </w:p>
    <w:p w14:paraId="615DB141">
      <w:pPr>
        <w:rPr>
          <w:rFonts w:ascii="仿宋" w:hAnsi="仿宋" w:eastAsia="仿宋" w:cs="仿宋"/>
          <w:b/>
          <w:bCs/>
          <w:color w:val="auto"/>
          <w:highlight w:val="none"/>
          <w:lang w:eastAsia="zh-CN"/>
        </w:rPr>
      </w:pPr>
      <w:bookmarkStart w:id="975" w:name="_Toc28023"/>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.1</w:t>
      </w:r>
      <w:bookmarkEnd w:id="975"/>
    </w:p>
    <w:p w14:paraId="2DA30D35">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12700</wp:posOffset>
                </wp:positionV>
                <wp:extent cx="842645" cy="556260"/>
                <wp:effectExtent l="0" t="0" r="0" b="0"/>
                <wp:wrapNone/>
                <wp:docPr id="320" name="000243"/>
                <wp:cNvGraphicFramePr/>
                <a:graphic xmlns:a="http://schemas.openxmlformats.org/drawingml/2006/main">
                  <a:graphicData uri="http://schemas.microsoft.com/office/word/2010/wordprocessingShape">
                    <wps:wsp>
                      <wps:cNvSpPr txBox="1"/>
                      <wps:spPr>
                        <a:xfrm>
                          <a:off x="0" y="0"/>
                          <a:ext cx="842645" cy="556260"/>
                        </a:xfrm>
                        <a:prstGeom prst="rect">
                          <a:avLst/>
                        </a:prstGeom>
                        <a:noFill/>
                        <a:ln>
                          <a:noFill/>
                        </a:ln>
                        <a:effectLst/>
                      </wps:spPr>
                      <wps:txbx>
                        <w:txbxContent>
                          <w:p w14:paraId="349C5F76">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p w14:paraId="0694739A"/>
                        </w:txbxContent>
                      </wps:txbx>
                      <wps:bodyPr wrap="square" upright="1"/>
                    </wps:wsp>
                  </a:graphicData>
                </a:graphic>
              </wp:anchor>
            </w:drawing>
          </mc:Choice>
          <mc:Fallback>
            <w:pict>
              <v:shape id="000243" o:spid="_x0000_s1026" o:spt="202" type="#_x0000_t202" style="position:absolute;left:0pt;margin-left:-9pt;margin-top:1pt;height:43.8pt;width:66.35pt;z-index:251985920;mso-width-relative:page;mso-height-relative:page;" filled="f" stroked="f" coordsize="21600,21600" o:gfxdata="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ghnj9YAAAAI&#10;AQAADwAAAAAAAAABACAAAAAiAAAAZHJzL2Rvd25yZXYueG1sUEsBAhQAFAAAAAgAh07iQOjYFm+s&#10;AQAAZgMAAA4AAAAAAAAAAQAgAAAAJQEAAGRycy9lMm9Eb2MueG1sUEsFBgAAAAAGAAYAWQEAAEMF&#10;AAAAAA==&#10;">
                <v:fill on="f" focussize="0,0"/>
                <v:stroke on="f"/>
                <v:imagedata o:title=""/>
                <o:lock v:ext="edit" aspectratio="f"/>
                <v:textbox>
                  <w:txbxContent>
                    <w:p w14:paraId="349C5F76">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p w14:paraId="0694739A"/>
                  </w:txbxContent>
                </v:textbox>
              </v:shape>
            </w:pict>
          </mc:Fallback>
        </mc:AlternateContent>
      </w:r>
      <w:r>
        <w:rPr>
          <w:rFonts w:hint="eastAsia" w:ascii="仿宋" w:hAnsi="仿宋" w:eastAsia="仿宋" w:cs="仿宋"/>
          <w:color w:val="auto"/>
          <w:sz w:val="24"/>
          <w:szCs w:val="24"/>
          <w:highlight w:val="none"/>
          <w:lang w:eastAsia="zh-CN"/>
        </w:rPr>
        <w:t>72.1.1 工程勘察费（如果有）的计量规则与计价办法，由合同当事人在专用条款中约定。专用条款中没有约定的，应结合市场行情，参照基准日期前相关价格指导文件，由双方协商确定。招标发包工程，按承包人的投标文件及有效澄清文件、招标文件规定的报价要求及相关澄清文件执行。</w:t>
      </w:r>
    </w:p>
    <w:p w14:paraId="6C30FDD7">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72.1.2 工程设计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5920B8ED">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72.1.3 BIM技术应用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21E9D113">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72.1.4 设备及工器具购置费（如果有）的计量规则与计价办法，由合同当事人在专用条款中约定。招标发包工程以承包人的投标文件及有效澄清文件、招标文件规定的报价要求及相关澄清文件执行。</w:t>
      </w:r>
    </w:p>
    <w:p w14:paraId="377AD811">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72.1.5 建筑安装工程费的工程量计算规则和计价办法，由合同当事人在专用条款中约定。专用条款中没有约定的，应结合市场行情，参照基准日期前国家、行业相关规范、标准、定额及当地发布的政府指导价，由双方协商确定。招标发包工程以承包人的投标文件及有效的澄清文件、招标文件规定的报价要求及相关澄清文件执行。</w:t>
      </w:r>
    </w:p>
    <w:p w14:paraId="69A5BC8E">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72.1.6 其他服务项目费用（如果有）的计量规则和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47F21AF5">
      <w:pPr>
        <w:pStyle w:val="23"/>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00B07294">
      <w:pPr>
        <w:pStyle w:val="23"/>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50800</wp:posOffset>
                </wp:positionV>
                <wp:extent cx="823595" cy="489585"/>
                <wp:effectExtent l="0" t="0" r="0" b="0"/>
                <wp:wrapNone/>
                <wp:docPr id="321" name="000244"/>
                <wp:cNvGraphicFramePr/>
                <a:graphic xmlns:a="http://schemas.openxmlformats.org/drawingml/2006/main">
                  <a:graphicData uri="http://schemas.microsoft.com/office/word/2010/wordprocessingShape">
                    <wps:wsp>
                      <wps:cNvSpPr txBox="1"/>
                      <wps:spPr>
                        <a:xfrm>
                          <a:off x="0" y="0"/>
                          <a:ext cx="823595" cy="489585"/>
                        </a:xfrm>
                        <a:prstGeom prst="rect">
                          <a:avLst/>
                        </a:prstGeom>
                        <a:noFill/>
                        <a:ln>
                          <a:noFill/>
                        </a:ln>
                        <a:effectLst/>
                      </wps:spPr>
                      <wps:txbx>
                        <w:txbxContent>
                          <w:p w14:paraId="07CD5800">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p w14:paraId="5DED6D71"/>
                        </w:txbxContent>
                      </wps:txbx>
                      <wps:bodyPr wrap="square" upright="1"/>
                    </wps:wsp>
                  </a:graphicData>
                </a:graphic>
              </wp:anchor>
            </w:drawing>
          </mc:Choice>
          <mc:Fallback>
            <w:pict>
              <v:shape id="000244" o:spid="_x0000_s1026" o:spt="202" type="#_x0000_t202" style="position:absolute;left:0pt;margin-left:-9pt;margin-top:4pt;height:38.55pt;width:64.85pt;z-index:251986944;mso-width-relative:page;mso-height-relative:page;" filled="f" stroked="f" coordsize="21600,21600" o:gfxdata="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GMjoX1AAAAAgB&#10;AAAPAAAAAAAAAAEAIAAAACIAAABkcnMvZG93bnJldi54bWxQSwECFAAUAAAACACHTuJAUhMa9K0B&#10;AABmAwAADgAAAAAAAAABACAAAAAjAQAAZHJzL2Uyb0RvYy54bWxQSwUGAAAAAAYABgBZAQAAQgUA&#10;AAAA&#10;">
                <v:fill on="f" focussize="0,0"/>
                <v:stroke on="f"/>
                <v:imagedata o:title=""/>
                <o:lock v:ext="edit" aspectratio="f"/>
                <v:textbox>
                  <w:txbxContent>
                    <w:p w14:paraId="07CD5800">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p w14:paraId="5DED6D71"/>
                  </w:txbxContent>
                </v:textbox>
              </v:shape>
            </w:pict>
          </mc:Fallback>
        </mc:AlternateContent>
      </w:r>
      <w:r>
        <w:rPr>
          <w:rFonts w:hint="eastAsia" w:ascii="仿宋" w:hAnsi="仿宋" w:eastAsia="仿宋" w:cs="仿宋"/>
          <w:color w:val="auto"/>
          <w:sz w:val="24"/>
          <w:szCs w:val="24"/>
          <w:highlight w:val="none"/>
          <w:lang w:eastAsia="zh-CN"/>
        </w:rPr>
        <w:t>合同双方当事人应按照专用条款约定的计量规则、计价办法、计价依据、允许调整事项及合同价格调整办法，进行工程计量和计价。</w:t>
      </w:r>
    </w:p>
    <w:p w14:paraId="1259504F">
      <w:pPr>
        <w:pStyle w:val="23"/>
        <w:spacing w:line="360" w:lineRule="auto"/>
        <w:ind w:left="1850" w:leftChars="771"/>
        <w:rPr>
          <w:rFonts w:hint="eastAsia"/>
          <w:color w:val="auto"/>
          <w:highlight w:val="none"/>
          <w:lang w:eastAsia="zh-CN"/>
        </w:rPr>
      </w:pPr>
      <w:r>
        <w:rPr>
          <w:rFonts w:hint="eastAsia" w:ascii="仿宋" w:hAnsi="仿宋" w:eastAsia="仿宋" w:cs="仿宋"/>
          <w:color w:val="auto"/>
          <w:sz w:val="24"/>
          <w:szCs w:val="24"/>
          <w:highlight w:val="none"/>
          <w:lang w:eastAsia="zh-CN"/>
        </w:rPr>
        <w:t>监理人、造价咨询人负责工程计量和计价的核实工作。</w:t>
      </w:r>
    </w:p>
    <w:p w14:paraId="0EEB498E">
      <w:pPr>
        <w:spacing w:line="360" w:lineRule="auto"/>
        <w:rPr>
          <w:rFonts w:ascii="仿宋" w:hAnsi="仿宋" w:eastAsia="仿宋"/>
          <w:b/>
          <w:bCs/>
          <w:color w:val="auto"/>
          <w:highlight w:val="none"/>
          <w:lang w:eastAsia="zh-CN"/>
        </w:rPr>
      </w:pPr>
      <w:bookmarkStart w:id="976" w:name="_Toc15382"/>
      <w:r>
        <w:rPr>
          <w:color w:val="auto"/>
          <w:highlight w:val="none"/>
        </w:rPr>
        <mc:AlternateContent>
          <mc:Choice Requires="wps">
            <w:drawing>
              <wp:anchor distT="0" distB="0" distL="114300" distR="114300" simplePos="0" relativeHeight="251987968" behindDoc="0" locked="0" layoutInCell="1" allowOverlap="1">
                <wp:simplePos x="0" y="0"/>
                <wp:positionH relativeFrom="column">
                  <wp:posOffset>-95250</wp:posOffset>
                </wp:positionH>
                <wp:positionV relativeFrom="paragraph">
                  <wp:posOffset>247015</wp:posOffset>
                </wp:positionV>
                <wp:extent cx="851535" cy="650875"/>
                <wp:effectExtent l="0" t="0" r="0" b="0"/>
                <wp:wrapNone/>
                <wp:docPr id="322" name="000245"/>
                <wp:cNvGraphicFramePr/>
                <a:graphic xmlns:a="http://schemas.openxmlformats.org/drawingml/2006/main">
                  <a:graphicData uri="http://schemas.microsoft.com/office/word/2010/wordprocessingShape">
                    <wps:wsp>
                      <wps:cNvSpPr txBox="1"/>
                      <wps:spPr>
                        <a:xfrm>
                          <a:off x="0" y="0"/>
                          <a:ext cx="851535" cy="650875"/>
                        </a:xfrm>
                        <a:prstGeom prst="rect">
                          <a:avLst/>
                        </a:prstGeom>
                        <a:noFill/>
                        <a:ln>
                          <a:noFill/>
                        </a:ln>
                        <a:effectLst/>
                      </wps:spPr>
                      <wps:txbx>
                        <w:txbxContent>
                          <w:p w14:paraId="49259217">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p w14:paraId="291BBB0B">
                            <w:pPr>
                              <w:rPr>
                                <w:lang w:eastAsia="zh-CN"/>
                              </w:rPr>
                            </w:pPr>
                          </w:p>
                        </w:txbxContent>
                      </wps:txbx>
                      <wps:bodyPr wrap="square" upright="1"/>
                    </wps:wsp>
                  </a:graphicData>
                </a:graphic>
              </wp:anchor>
            </w:drawing>
          </mc:Choice>
          <mc:Fallback>
            <w:pict>
              <v:shape id="000245" o:spid="_x0000_s1026" o:spt="202" type="#_x0000_t202" style="position:absolute;left:0pt;margin-left:-7.5pt;margin-top:19.45pt;height:51.25pt;width:67.05pt;z-index:251987968;mso-width-relative:page;mso-height-relative:page;" filled="f" stroked="f" coordsize="21600,21600" o:gfxdata="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08imr1wAA&#10;AAoBAAAPAAAAAAAAAAEAIAAAACIAAABkcnMvZG93bnJldi54bWxQSwECFAAUAAAACACHTuJAYyos&#10;wq0BAABmAwAADgAAAAAAAAABACAAAAAmAQAAZHJzL2Uyb0RvYy54bWxQSwUGAAAAAAYABgBZAQAA&#10;RQUAAAAA&#10;">
                <v:fill on="f" focussize="0,0"/>
                <v:stroke on="f"/>
                <v:imagedata o:title=""/>
                <o:lock v:ext="edit" aspectratio="f"/>
                <v:textbox>
                  <w:txbxContent>
                    <w:p w14:paraId="49259217">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p w14:paraId="291BBB0B">
                      <w:pPr>
                        <w:rPr>
                          <w:lang w:eastAsia="zh-CN"/>
                        </w:rPr>
                      </w:pPr>
                    </w:p>
                  </w:txbxContent>
                </v:textbox>
              </v:shape>
            </w:pict>
          </mc:Fallback>
        </mc:AlternateContent>
      </w: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.3</w:t>
      </w:r>
      <w:bookmarkEnd w:id="97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F38B552">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款约定向造价咨询人提交已完工作或工程款额报告。监理人、造价咨询人应在收到报告后的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天内核实工作量或工程量，并将核实结果通知承包人、抄报发包人，作为计价和支付的依据。</w:t>
      </w:r>
    </w:p>
    <w:p w14:paraId="30F4D5B0">
      <w:pPr>
        <w:pStyle w:val="23"/>
        <w:spacing w:line="360" w:lineRule="auto"/>
        <w:rPr>
          <w:color w:val="auto"/>
          <w:highlight w:val="none"/>
          <w:lang w:eastAsia="zh-CN"/>
        </w:rPr>
      </w:pP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41A3BAB6">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50165</wp:posOffset>
                </wp:positionV>
                <wp:extent cx="827405" cy="527685"/>
                <wp:effectExtent l="0" t="0" r="0" b="0"/>
                <wp:wrapNone/>
                <wp:docPr id="323" name="000246"/>
                <wp:cNvGraphicFramePr/>
                <a:graphic xmlns:a="http://schemas.openxmlformats.org/drawingml/2006/main">
                  <a:graphicData uri="http://schemas.microsoft.com/office/word/2010/wordprocessingShape">
                    <wps:wsp>
                      <wps:cNvSpPr txBox="1"/>
                      <wps:spPr>
                        <a:xfrm>
                          <a:off x="0" y="0"/>
                          <a:ext cx="827405" cy="527685"/>
                        </a:xfrm>
                        <a:prstGeom prst="rect">
                          <a:avLst/>
                        </a:prstGeom>
                        <a:noFill/>
                        <a:ln>
                          <a:noFill/>
                        </a:ln>
                        <a:effectLst/>
                      </wps:spPr>
                      <wps:txbx>
                        <w:txbxContent>
                          <w:p w14:paraId="2B52E54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p w14:paraId="59662032"/>
                        </w:txbxContent>
                      </wps:txbx>
                      <wps:bodyPr wrap="square" upright="1"/>
                    </wps:wsp>
                  </a:graphicData>
                </a:graphic>
              </wp:anchor>
            </w:drawing>
          </mc:Choice>
          <mc:Fallback>
            <w:pict>
              <v:shape id="000246" o:spid="_x0000_s1026" o:spt="202" type="#_x0000_t202" style="position:absolute;left:0pt;margin-left:-9pt;margin-top:3.95pt;height:41.55pt;width:65.15pt;z-index:251988992;mso-width-relative:page;mso-height-relative:page;" filled="f" stroked="f" coordsize="21600,21600" o:gfxdata="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IRc0f9YAAAAI&#10;AQAADwAAAAAAAAABACAAAAAiAAAAZHJzL2Rvd25yZXYueG1sUEsBAhQAFAAAAAgAh07iQCLL1Kys&#10;AQAAZgMAAA4AAAAAAAAAAQAgAAAAJQEAAGRycy9lMm9Eb2MueG1sUEsFBgAAAAAGAAYAWQEAAEMF&#10;AAAAAA==&#10;">
                <v:fill on="f" focussize="0,0"/>
                <v:stroke on="f"/>
                <v:imagedata o:title=""/>
                <o:lock v:ext="edit" aspectratio="f"/>
                <v:textbox>
                  <w:txbxContent>
                    <w:p w14:paraId="2B52E54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p w14:paraId="59662032"/>
                  </w:txbxContent>
                </v:textbox>
              </v:shape>
            </w:pict>
          </mc:Fallback>
        </mc:AlternateContent>
      </w:r>
      <w:r>
        <w:rPr>
          <w:rFonts w:hint="eastAsia" w:ascii="仿宋" w:hAnsi="仿宋" w:eastAsia="仿宋" w:cs="仿宋"/>
          <w:color w:val="auto"/>
          <w:sz w:val="24"/>
          <w:szCs w:val="24"/>
          <w:highlight w:val="none"/>
          <w:lang w:eastAsia="zh-CN"/>
        </w:rPr>
        <w:t>当造价咨询人进行现场计量时，应在计量前</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小时通知承包人，承包人应为计量提供便利条件并派人参加。承包人收到通知后不派人参加计量，视为认可计量结果。造价咨询人不按照约定时间通知承包人，致使承包人未能派人参加计量，计量结果无效。</w:t>
      </w:r>
    </w:p>
    <w:p w14:paraId="648163EC">
      <w:pPr>
        <w:spacing w:line="360" w:lineRule="auto"/>
        <w:rPr>
          <w:rFonts w:ascii="仿宋" w:hAnsi="仿宋" w:eastAsia="仿宋"/>
          <w:b/>
          <w:bCs/>
          <w:color w:val="auto"/>
          <w:highlight w:val="none"/>
          <w:lang w:eastAsia="zh-CN"/>
        </w:rPr>
      </w:pPr>
      <w:bookmarkStart w:id="977" w:name="_Toc14982"/>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.5</w:t>
      </w:r>
      <w:bookmarkEnd w:id="97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38EFF88">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44450</wp:posOffset>
                </wp:positionV>
                <wp:extent cx="775335" cy="598170"/>
                <wp:effectExtent l="0" t="0" r="0" b="0"/>
                <wp:wrapNone/>
                <wp:docPr id="324" name="000247"/>
                <wp:cNvGraphicFramePr/>
                <a:graphic xmlns:a="http://schemas.openxmlformats.org/drawingml/2006/main">
                  <a:graphicData uri="http://schemas.microsoft.com/office/word/2010/wordprocessingShape">
                    <wps:wsp>
                      <wps:cNvSpPr txBox="1"/>
                      <wps:spPr>
                        <a:xfrm>
                          <a:off x="0" y="0"/>
                          <a:ext cx="775335" cy="598170"/>
                        </a:xfrm>
                        <a:prstGeom prst="rect">
                          <a:avLst/>
                        </a:prstGeom>
                        <a:noFill/>
                        <a:ln>
                          <a:noFill/>
                        </a:ln>
                        <a:effectLst/>
                      </wps:spPr>
                      <wps:txbx>
                        <w:txbxContent>
                          <w:p w14:paraId="2427A4BC">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p w14:paraId="13553400">
                            <w:pPr>
                              <w:rPr>
                                <w:lang w:eastAsia="zh-CN"/>
                              </w:rPr>
                            </w:pPr>
                          </w:p>
                        </w:txbxContent>
                      </wps:txbx>
                      <wps:bodyPr wrap="square" upright="1"/>
                    </wps:wsp>
                  </a:graphicData>
                </a:graphic>
              </wp:anchor>
            </w:drawing>
          </mc:Choice>
          <mc:Fallback>
            <w:pict>
              <v:shape id="000247" o:spid="_x0000_s1026" o:spt="202" type="#_x0000_t202" style="position:absolute;left:0pt;margin-left:-9pt;margin-top:3.5pt;height:47.1pt;width:61.05pt;z-index:251990016;mso-width-relative:page;mso-height-relative:page;" filled="f" stroked="f" coordsize="21600,21600" o:gfxdata="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oPT+R1gAA&#10;AAkBAAAPAAAAAAAAAAEAIAAAACIAAABkcnMvZG93bnJldi54bWxQSwECFAAUAAAACACHTuJAa+Rk&#10;Bq4BAABmAwAADgAAAAAAAAABACAAAAAlAQAAZHJzL2Uyb0RvYy54bWxQSwUGAAAAAAYABgBZAQAA&#10;RQUAAAAA&#10;">
                <v:fill on="f" focussize="0,0"/>
                <v:stroke on="f"/>
                <v:imagedata o:title=""/>
                <o:lock v:ext="edit" aspectratio="f"/>
                <v:textbox>
                  <w:txbxContent>
                    <w:p w14:paraId="2427A4BC">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p w14:paraId="13553400">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造价咨询人收到承包人按照第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款约定提交的已完工作或工程款额报告后</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天内，未进行计量或未向承包人通知计量结果的，从第</w:t>
      </w:r>
      <w:r>
        <w:rPr>
          <w:rFonts w:ascii="仿宋" w:hAnsi="仿宋" w:eastAsia="仿宋" w:cs="仿宋"/>
          <w:color w:val="auto"/>
          <w:sz w:val="24"/>
          <w:szCs w:val="24"/>
          <w:highlight w:val="none"/>
          <w:lang w:eastAsia="zh-CN"/>
        </w:rPr>
        <w:t>15</w:t>
      </w:r>
      <w:r>
        <w:rPr>
          <w:rFonts w:hint="eastAsia" w:ascii="仿宋" w:hAnsi="仿宋" w:eastAsia="仿宋" w:cs="仿宋"/>
          <w:color w:val="auto"/>
          <w:sz w:val="24"/>
          <w:szCs w:val="24"/>
          <w:highlight w:val="none"/>
          <w:lang w:eastAsia="zh-CN"/>
        </w:rPr>
        <w:t>天起，承包人报告中开列的工作量或工程量即视为被确认，作为计价和支付的依据。</w:t>
      </w:r>
    </w:p>
    <w:p w14:paraId="68DA19F1">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61A90819">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45720</wp:posOffset>
                </wp:positionV>
                <wp:extent cx="832485" cy="550545"/>
                <wp:effectExtent l="0" t="0" r="0" b="0"/>
                <wp:wrapNone/>
                <wp:docPr id="325" name="000248"/>
                <wp:cNvGraphicFramePr/>
                <a:graphic xmlns:a="http://schemas.openxmlformats.org/drawingml/2006/main">
                  <a:graphicData uri="http://schemas.microsoft.com/office/word/2010/wordprocessingShape">
                    <wps:wsp>
                      <wps:cNvSpPr txBox="1"/>
                      <wps:spPr>
                        <a:xfrm>
                          <a:off x="0" y="0"/>
                          <a:ext cx="832485" cy="550545"/>
                        </a:xfrm>
                        <a:prstGeom prst="rect">
                          <a:avLst/>
                        </a:prstGeom>
                        <a:noFill/>
                        <a:ln>
                          <a:noFill/>
                        </a:ln>
                        <a:effectLst/>
                      </wps:spPr>
                      <wps:txbx>
                        <w:txbxContent>
                          <w:p w14:paraId="33A7AA6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p w14:paraId="6F282631"/>
                        </w:txbxContent>
                      </wps:txbx>
                      <wps:bodyPr wrap="square" upright="1"/>
                    </wps:wsp>
                  </a:graphicData>
                </a:graphic>
              </wp:anchor>
            </w:drawing>
          </mc:Choice>
          <mc:Fallback>
            <w:pict>
              <v:shape id="000248" o:spid="_x0000_s1026" o:spt="202" type="#_x0000_t202" style="position:absolute;left:0pt;margin-left:-9pt;margin-top:3.6pt;height:43.35pt;width:65.55pt;z-index:251991040;mso-width-relative:page;mso-height-relative:page;" filled="f" stroked="f" coordsize="21600,21600" o:gfxdata="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9VKPWAAAACAEA&#10;AA8AAAAAAAAAAQAgAAAAIgAAAGRycy9kb3ducmV2LnhtbFBLAQIUABQAAAAIAIdO4kC2kwXYqgEA&#10;AGYDAAAOAAAAAAAAAAEAIAAAACUBAABkcnMvZTJvRG9jLnhtbFBLBQYAAAAABgAGAFkBAABBBQAA&#10;AAA=&#10;">
                <v:fill on="f" focussize="0,0"/>
                <v:stroke on="f"/>
                <v:imagedata o:title=""/>
                <o:lock v:ext="edit" aspectratio="f"/>
                <v:textbox>
                  <w:txbxContent>
                    <w:p w14:paraId="33A7AA6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p w14:paraId="6F282631"/>
                  </w:txbxContent>
                </v:textbox>
              </v:shape>
            </w:pict>
          </mc:Fallback>
        </mc:AlternateContent>
      </w:r>
      <w:r>
        <w:rPr>
          <w:rFonts w:hint="eastAsia" w:ascii="仿宋" w:hAnsi="仿宋" w:eastAsia="仿宋" w:cs="仿宋"/>
          <w:color w:val="auto"/>
          <w:sz w:val="24"/>
          <w:szCs w:val="24"/>
          <w:highlight w:val="none"/>
          <w:lang w:eastAsia="zh-CN"/>
        </w:rPr>
        <w:t>如果承包人认为造价咨询人的计量结果有误，应在收到计量结果通知后的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出书面意见，并附上其认为正确的计量结果和详细的计算过程等资料。造价咨询人收到书面意见后，应立即会同承包人对计量结果进行复核，并在签发支付证书前确定计量结果，同时通知承包人、抄报发包人。承包人对复核计量结果仍有异议或发包人对计量结果有异议的，按照第91条约定处理。</w:t>
      </w:r>
    </w:p>
    <w:p w14:paraId="05A28FB6">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2D93CB84">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36195</wp:posOffset>
                </wp:positionV>
                <wp:extent cx="788670" cy="433705"/>
                <wp:effectExtent l="0" t="0" r="0" b="0"/>
                <wp:wrapNone/>
                <wp:docPr id="326" name="000249"/>
                <wp:cNvGraphicFramePr/>
                <a:graphic xmlns:a="http://schemas.openxmlformats.org/drawingml/2006/main">
                  <a:graphicData uri="http://schemas.microsoft.com/office/word/2010/wordprocessingShape">
                    <wps:wsp>
                      <wps:cNvSpPr txBox="1"/>
                      <wps:spPr>
                        <a:xfrm>
                          <a:off x="0" y="0"/>
                          <a:ext cx="788670" cy="433705"/>
                        </a:xfrm>
                        <a:prstGeom prst="rect">
                          <a:avLst/>
                        </a:prstGeom>
                        <a:noFill/>
                        <a:ln>
                          <a:noFill/>
                        </a:ln>
                        <a:effectLst/>
                      </wps:spPr>
                      <wps:txbx>
                        <w:txbxContent>
                          <w:p w14:paraId="779EF61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p w14:paraId="5F98E463"/>
                        </w:txbxContent>
                      </wps:txbx>
                      <wps:bodyPr wrap="square" upright="1"/>
                    </wps:wsp>
                  </a:graphicData>
                </a:graphic>
              </wp:anchor>
            </w:drawing>
          </mc:Choice>
          <mc:Fallback>
            <w:pict>
              <v:shape id="000249" o:spid="_x0000_s1026" o:spt="202" type="#_x0000_t202" style="position:absolute;left:0pt;margin-left:-9pt;margin-top:2.85pt;height:34.15pt;width:62.1pt;z-index:251992064;mso-width-relative:page;mso-height-relative:page;" filled="f" stroked="f" coordsize="21600,21600" o:gfxdata="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yk9zv1QAAAAgB&#10;AAAPAAAAAAAAAAEAIAAAACIAAABkcnMvZG93bnJldi54bWxQSwECFAAUAAAACACHTuJA81srK6wB&#10;AABmAwAADgAAAAAAAAABACAAAAAkAQAAZHJzL2Uyb0RvYy54bWxQSwUGAAAAAAYABgBZAQAAQgUA&#10;AAAA&#10;">
                <v:fill on="f" focussize="0,0"/>
                <v:stroke on="f"/>
                <v:imagedata o:title=""/>
                <o:lock v:ext="edit" aspectratio="f"/>
                <v:textbox>
                  <w:txbxContent>
                    <w:p w14:paraId="779EF61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p w14:paraId="5F98E463"/>
                  </w:txbxContent>
                </v:textbox>
              </v:shape>
            </w:pict>
          </mc:Fallback>
        </mc:AlternateContent>
      </w:r>
      <w:r>
        <w:rPr>
          <w:rFonts w:hint="eastAsia" w:ascii="仿宋" w:hAnsi="仿宋" w:eastAsia="仿宋" w:cs="仿宋"/>
          <w:color w:val="auto"/>
          <w:sz w:val="24"/>
          <w:szCs w:val="24"/>
          <w:highlight w:val="none"/>
          <w:lang w:eastAsia="zh-CN"/>
        </w:rPr>
        <w:t>对承包人超出总承包范围的工程内容、服务内容或因承包人的原因造成返工的工作量或工程量，造价工程师均不予计量。</w:t>
      </w:r>
    </w:p>
    <w:p w14:paraId="4DF045CF">
      <w:pPr>
        <w:spacing w:line="360" w:lineRule="auto"/>
        <w:rPr>
          <w:rFonts w:ascii="仿宋" w:hAnsi="仿宋" w:eastAsia="仿宋"/>
          <w:b/>
          <w:bCs/>
          <w:color w:val="auto"/>
          <w:highlight w:val="none"/>
          <w:lang w:eastAsia="zh-CN"/>
        </w:rPr>
      </w:pPr>
      <w:bookmarkStart w:id="978" w:name="_Toc13755"/>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.8</w:t>
      </w:r>
      <w:bookmarkEnd w:id="97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7C4E779">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24130</wp:posOffset>
                </wp:positionV>
                <wp:extent cx="785495" cy="501650"/>
                <wp:effectExtent l="0" t="0" r="0" b="0"/>
                <wp:wrapNone/>
                <wp:docPr id="327" name="00024a"/>
                <wp:cNvGraphicFramePr/>
                <a:graphic xmlns:a="http://schemas.openxmlformats.org/drawingml/2006/main">
                  <a:graphicData uri="http://schemas.microsoft.com/office/word/2010/wordprocessingShape">
                    <wps:wsp>
                      <wps:cNvSpPr txBox="1"/>
                      <wps:spPr>
                        <a:xfrm>
                          <a:off x="0" y="0"/>
                          <a:ext cx="785495" cy="501650"/>
                        </a:xfrm>
                        <a:prstGeom prst="rect">
                          <a:avLst/>
                        </a:prstGeom>
                        <a:noFill/>
                        <a:ln>
                          <a:noFill/>
                        </a:ln>
                        <a:effectLst/>
                      </wps:spPr>
                      <wps:txbx>
                        <w:txbxContent>
                          <w:p w14:paraId="1F37552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p w14:paraId="350C0910"/>
                        </w:txbxContent>
                      </wps:txbx>
                      <wps:bodyPr wrap="square" upright="1"/>
                    </wps:wsp>
                  </a:graphicData>
                </a:graphic>
              </wp:anchor>
            </w:drawing>
          </mc:Choice>
          <mc:Fallback>
            <w:pict>
              <v:shape id="00024a" o:spid="_x0000_s1026" o:spt="202" type="#_x0000_t202" style="position:absolute;left:0pt;margin-left:-9pt;margin-top:1.9pt;height:39.5pt;width:61.85pt;z-index:251993088;mso-width-relative:page;mso-height-relative:page;" filled="f" stroked="f" coordsize="21600,21600" o:gfxdata="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gHirvVAAAA&#10;CAEAAA8AAAAAAAAAAQAgAAAAIgAAAGRycy9kb3ducmV2LnhtbFBLAQIUABQAAAAIAIdO4kAHRU/S&#10;rgEAAGYDAAAOAAAAAAAAAAEAIAAAACQBAABkcnMvZTJvRG9jLnhtbFBLBQYAAAAABgAGAFkBAABE&#10;BQAAAAA=&#10;">
                <v:fill on="f" focussize="0,0"/>
                <v:stroke on="f"/>
                <v:imagedata o:title=""/>
                <o:lock v:ext="edit" aspectratio="f"/>
                <v:textbox>
                  <w:txbxContent>
                    <w:p w14:paraId="1F37552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p w14:paraId="350C0910"/>
                  </w:txbxContent>
                </v:textbox>
              </v:shape>
            </w:pict>
          </mc:Fallback>
        </mc:AlternateContent>
      </w:r>
      <w:r>
        <w:rPr>
          <w:rFonts w:hint="eastAsia" w:ascii="仿宋" w:hAnsi="仿宋" w:eastAsia="仿宋" w:cs="仿宋"/>
          <w:color w:val="auto"/>
          <w:sz w:val="24"/>
          <w:szCs w:val="24"/>
          <w:highlight w:val="none"/>
          <w:lang w:eastAsia="zh-CN"/>
        </w:rPr>
        <w:t>除按照第78条至第82条约定所做的调整外，应按照合同约定的该项工作的单价（费率），并按照本条约定计量得到的工作量或工程量与适用的单价（费率）的乘积确定该项工作的价款。造价咨询人根据各个支付期所有各项工作的价款计算该支付期工程款或服务费，并将各支付期的价款汇总计算合同价格。但专用条款约定总价包干的项目，其各支付期计算的价款及累计金额，不得超过合同约定的资金支付计划相应支付节点的金额及累计金额，且各支付期汇总金额不得超过合同约定的总价及允许调整金额。</w:t>
      </w:r>
    </w:p>
    <w:p w14:paraId="7C101B17">
      <w:pPr>
        <w:pStyle w:val="23"/>
        <w:tabs>
          <w:tab w:val="left" w:pos="1620"/>
        </w:tabs>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3BCC2DEF">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979" w:name="_Toc21487"/>
      <w:bookmarkStart w:id="980" w:name="_Toc22821"/>
      <w:bookmarkStart w:id="981" w:name="_Toc47694349"/>
      <w:bookmarkStart w:id="982" w:name="_Toc19056"/>
      <w:bookmarkStart w:id="983" w:name="_Toc1624"/>
      <w:bookmarkStart w:id="984" w:name="_Toc29469"/>
      <w:bookmarkStart w:id="985" w:name="_Toc11677"/>
      <w:bookmarkStart w:id="986" w:name="_Toc13830"/>
      <w:r>
        <w:rPr>
          <w:rFonts w:hint="eastAsia" w:ascii="仿宋" w:hAnsi="仿宋" w:eastAsia="仿宋" w:cs="仿宋"/>
          <w:bCs w:val="0"/>
          <w:color w:val="auto"/>
          <w:sz w:val="24"/>
          <w:szCs w:val="24"/>
          <w:highlight w:val="none"/>
          <w:lang w:eastAsia="zh-CN"/>
        </w:rPr>
        <w:t>★73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暂列金额</w:t>
      </w:r>
      <w:bookmarkEnd w:id="979"/>
      <w:bookmarkEnd w:id="980"/>
      <w:bookmarkEnd w:id="981"/>
      <w:bookmarkEnd w:id="982"/>
      <w:bookmarkEnd w:id="983"/>
      <w:bookmarkEnd w:id="984"/>
      <w:bookmarkEnd w:id="985"/>
      <w:bookmarkEnd w:id="986"/>
    </w:p>
    <w:p w14:paraId="0F3B8641">
      <w:pPr>
        <w:rPr>
          <w:rFonts w:ascii="仿宋" w:hAnsi="仿宋" w:eastAsia="仿宋" w:cs="仿宋"/>
          <w:b/>
          <w:bCs/>
          <w:color w:val="auto"/>
          <w:highlight w:val="none"/>
          <w:lang w:eastAsia="zh-CN"/>
        </w:rPr>
      </w:pPr>
      <w:bookmarkStart w:id="987" w:name="_Toc19770"/>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.1</w:t>
      </w:r>
      <w:bookmarkEnd w:id="987"/>
    </w:p>
    <w:p w14:paraId="7EDFAA7F">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45720</wp:posOffset>
                </wp:positionV>
                <wp:extent cx="790575" cy="470535"/>
                <wp:effectExtent l="0" t="0" r="0" b="0"/>
                <wp:wrapNone/>
                <wp:docPr id="328" name="00024b"/>
                <wp:cNvGraphicFramePr/>
                <a:graphic xmlns:a="http://schemas.openxmlformats.org/drawingml/2006/main">
                  <a:graphicData uri="http://schemas.microsoft.com/office/word/2010/wordprocessingShape">
                    <wps:wsp>
                      <wps:cNvSpPr txBox="1"/>
                      <wps:spPr>
                        <a:xfrm>
                          <a:off x="0" y="0"/>
                          <a:ext cx="790575" cy="470535"/>
                        </a:xfrm>
                        <a:prstGeom prst="rect">
                          <a:avLst/>
                        </a:prstGeom>
                        <a:noFill/>
                        <a:ln>
                          <a:noFill/>
                        </a:ln>
                        <a:effectLst/>
                      </wps:spPr>
                      <wps:txbx>
                        <w:txbxContent>
                          <w:p w14:paraId="34CFA7B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p w14:paraId="3FB8CE46"/>
                        </w:txbxContent>
                      </wps:txbx>
                      <wps:bodyPr wrap="square" upright="1"/>
                    </wps:wsp>
                  </a:graphicData>
                </a:graphic>
              </wp:anchor>
            </w:drawing>
          </mc:Choice>
          <mc:Fallback>
            <w:pict>
              <v:shape id="00024b" o:spid="_x0000_s1026" o:spt="202" type="#_x0000_t202" style="position:absolute;left:0pt;margin-left:-9pt;margin-top:3.6pt;height:37.05pt;width:62.25pt;z-index:251994112;mso-width-relative:page;mso-height-relative:page;" filled="f" stroked="f" coordsize="21600,21600" o:gfxdata="UEsDBAoAAAAAAIdO4kAAAAAAAAAAAAAAAAAEAAAAZHJzL1BLAwQUAAAACACHTuJAUahxjt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UahxjtYAAAAI&#10;AQAADwAAAAAAAAABACAAAAAiAAAAZHJzL2Rvd25yZXYueG1sUEsBAhQAFAAAAAgAh07iQIYEbWis&#10;AQAAZgMAAA4AAAAAAAAAAQAgAAAAJQEAAGRycy9lMm9Eb2MueG1sUEsFBgAAAAAGAAYAWQEAAEMF&#10;AAAAAA==&#10;">
                <v:fill on="f" focussize="0,0"/>
                <v:stroke on="f"/>
                <v:imagedata o:title=""/>
                <o:lock v:ext="edit" aspectratio="f"/>
                <v:textbox>
                  <w:txbxContent>
                    <w:p w14:paraId="34CFA7B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p w14:paraId="3FB8CE46"/>
                  </w:txbxContent>
                </v:textbox>
              </v:shape>
            </w:pict>
          </mc:Fallback>
        </mc:AlternateContent>
      </w:r>
      <w:r>
        <w:rPr>
          <w:rFonts w:hint="eastAsia" w:ascii="仿宋" w:hAnsi="仿宋" w:eastAsia="仿宋" w:cs="仿宋"/>
          <w:color w:val="auto"/>
          <w:highlight w:val="none"/>
          <w:lang w:eastAsia="zh-CN"/>
        </w:rPr>
        <w:t>合同双方当事人应在专用条款中明确合同价格清单中开列的暂列金额。</w:t>
      </w:r>
    </w:p>
    <w:p w14:paraId="4E9C9001">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暂列金额是用于实施合同工程的任一增加部分，或用于提供不可预见的工程材料和工程设备，或用于工程变更等允许调整事项发生的工程款调增，以及经确认的索赔、现场签证，或用于提供相关服务或意外事项的一笔款项。</w:t>
      </w:r>
    </w:p>
    <w:p w14:paraId="2430C6D1">
      <w:pPr>
        <w:spacing w:line="360" w:lineRule="auto"/>
        <w:rPr>
          <w:rFonts w:ascii="仿宋" w:hAnsi="仿宋" w:eastAsia="仿宋"/>
          <w:b/>
          <w:bCs/>
          <w:color w:val="auto"/>
          <w:highlight w:val="none"/>
          <w:lang w:eastAsia="zh-CN"/>
        </w:rPr>
      </w:pPr>
      <w:bookmarkStart w:id="988" w:name="_Toc32231"/>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.2</w:t>
      </w:r>
      <w:bookmarkEnd w:id="98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F519E1D">
      <w:pPr>
        <w:pStyle w:val="23"/>
        <w:spacing w:line="360" w:lineRule="auto"/>
        <w:ind w:left="1850" w:leftChars="771"/>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95136" behindDoc="0" locked="0" layoutInCell="1" allowOverlap="1">
                <wp:simplePos x="0" y="0"/>
                <wp:positionH relativeFrom="column">
                  <wp:posOffset>-133350</wp:posOffset>
                </wp:positionH>
                <wp:positionV relativeFrom="paragraph">
                  <wp:posOffset>99695</wp:posOffset>
                </wp:positionV>
                <wp:extent cx="857250" cy="537845"/>
                <wp:effectExtent l="0" t="0" r="0" b="0"/>
                <wp:wrapNone/>
                <wp:docPr id="329" name="00024c"/>
                <wp:cNvGraphicFramePr/>
                <a:graphic xmlns:a="http://schemas.openxmlformats.org/drawingml/2006/main">
                  <a:graphicData uri="http://schemas.microsoft.com/office/word/2010/wordprocessingShape">
                    <wps:wsp>
                      <wps:cNvSpPr txBox="1"/>
                      <wps:spPr>
                        <a:xfrm>
                          <a:off x="0" y="0"/>
                          <a:ext cx="857250" cy="537845"/>
                        </a:xfrm>
                        <a:prstGeom prst="rect">
                          <a:avLst/>
                        </a:prstGeom>
                        <a:noFill/>
                        <a:ln>
                          <a:noFill/>
                        </a:ln>
                        <a:effectLst/>
                      </wps:spPr>
                      <wps:txbx>
                        <w:txbxContent>
                          <w:p w14:paraId="74FD77D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p w14:paraId="49B7B4C4"/>
                        </w:txbxContent>
                      </wps:txbx>
                      <wps:bodyPr wrap="square" upright="1"/>
                    </wps:wsp>
                  </a:graphicData>
                </a:graphic>
              </wp:anchor>
            </w:drawing>
          </mc:Choice>
          <mc:Fallback>
            <w:pict>
              <v:shape id="00024c" o:spid="_x0000_s1026" o:spt="202" type="#_x0000_t202" style="position:absolute;left:0pt;margin-left:-10.5pt;margin-top:7.85pt;height:42.35pt;width:67.5pt;z-index:251995136;mso-width-relative:page;mso-height-relative:page;" filled="f" stroked="f" coordsize="21600,21600" o:gfxdata="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8gVETNYAAAAK&#10;AQAADwAAAAAAAAABACAAAAAiAAAAZHJzL2Rvd25yZXYueG1sUEsBAhQAFAAAAAgAh07iQFKRzLqs&#10;AQAAZgMAAA4AAAAAAAAAAQAgAAAAJQEAAGRycy9lMm9Eb2MueG1sUEsFBgAAAAAGAAYAWQEAAEMF&#10;AAAAAA==&#10;">
                <v:fill on="f" focussize="0,0"/>
                <v:stroke on="f"/>
                <v:imagedata o:title=""/>
                <o:lock v:ext="edit" aspectratio="f"/>
                <v:textbox>
                  <w:txbxContent>
                    <w:p w14:paraId="74FD77D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p w14:paraId="49B7B4C4"/>
                  </w:txbxContent>
                </v:textbox>
              </v:shape>
            </w:pict>
          </mc:Fallback>
        </mc:AlternateContent>
      </w:r>
      <w:r>
        <w:rPr>
          <w:rFonts w:hint="eastAsia" w:ascii="仿宋" w:hAnsi="仿宋" w:eastAsia="仿宋" w:cs="仿宋"/>
          <w:color w:val="auto"/>
          <w:sz w:val="24"/>
          <w:szCs w:val="24"/>
          <w:highlight w:val="none"/>
          <w:lang w:eastAsia="zh-CN"/>
        </w:rPr>
        <w:t>经发包人批准后，监理人应就承包人实施第73</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款约定的工作发出书面指令。承包人应就此项指令提出所需价款，经造价咨询人核实并由其报发包人确认后，向承包人支付相关款项。</w:t>
      </w:r>
    </w:p>
    <w:p w14:paraId="06E953D8">
      <w:pPr>
        <w:spacing w:line="360" w:lineRule="auto"/>
        <w:rPr>
          <w:rFonts w:ascii="仿宋" w:hAnsi="仿宋" w:eastAsia="仿宋"/>
          <w:b/>
          <w:bCs/>
          <w:color w:val="auto"/>
          <w:highlight w:val="none"/>
          <w:lang w:eastAsia="zh-CN"/>
        </w:rPr>
      </w:pPr>
      <w:bookmarkStart w:id="989" w:name="_Toc3441"/>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.3</w:t>
      </w:r>
      <w:bookmarkEnd w:id="98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4EBED4E">
      <w:pPr>
        <w:pStyle w:val="23"/>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15875</wp:posOffset>
                </wp:positionV>
                <wp:extent cx="831850" cy="459105"/>
                <wp:effectExtent l="0" t="0" r="0" b="0"/>
                <wp:wrapNone/>
                <wp:docPr id="330" name="00024d"/>
                <wp:cNvGraphicFramePr/>
                <a:graphic xmlns:a="http://schemas.openxmlformats.org/drawingml/2006/main">
                  <a:graphicData uri="http://schemas.microsoft.com/office/word/2010/wordprocessingShape">
                    <wps:wsp>
                      <wps:cNvSpPr txBox="1"/>
                      <wps:spPr>
                        <a:xfrm>
                          <a:off x="0" y="0"/>
                          <a:ext cx="831850" cy="459105"/>
                        </a:xfrm>
                        <a:prstGeom prst="rect">
                          <a:avLst/>
                        </a:prstGeom>
                        <a:noFill/>
                        <a:ln>
                          <a:noFill/>
                        </a:ln>
                        <a:effectLst/>
                      </wps:spPr>
                      <wps:txbx>
                        <w:txbxContent>
                          <w:p w14:paraId="5EDD28F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p w14:paraId="6C685430"/>
                        </w:txbxContent>
                      </wps:txbx>
                      <wps:bodyPr wrap="square" upright="1"/>
                    </wps:wsp>
                  </a:graphicData>
                </a:graphic>
              </wp:anchor>
            </w:drawing>
          </mc:Choice>
          <mc:Fallback>
            <w:pict>
              <v:shape id="00024d" o:spid="_x0000_s1026" o:spt="202" type="#_x0000_t202" style="position:absolute;left:0pt;margin-left:-9pt;margin-top:1.25pt;height:36.15pt;width:65.5pt;z-index:251996160;mso-width-relative:page;mso-height-relative:page;" filled="f" stroked="f" coordsize="21600,21600" o:gfxdata="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K6imtUAAAAIAQAA&#10;DwAAAAAAAAABACAAAAAiAAAAZHJzL2Rvd25yZXYueG1sUEsBAhQAFAAAAAgAh07iQAsMGrGqAQAA&#10;ZgMAAA4AAAAAAAAAAQAgAAAAJAEAAGRycy9lMm9Eb2MueG1sUEsFBgAAAAAGAAYAWQEAAEAFAAAA&#10;AA==&#10;">
                <v:fill on="f" focussize="0,0"/>
                <v:stroke on="f"/>
                <v:imagedata o:title=""/>
                <o:lock v:ext="edit" aspectratio="f"/>
                <v:textbox>
                  <w:txbxContent>
                    <w:p w14:paraId="5EDD28F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p w14:paraId="6C685430"/>
                  </w:txbxContent>
                </v:textbox>
              </v:shape>
            </w:pict>
          </mc:Fallback>
        </mc:AlternateContent>
      </w:r>
      <w:r>
        <w:rPr>
          <w:rFonts w:hint="eastAsia" w:ascii="仿宋" w:hAnsi="仿宋" w:eastAsia="仿宋" w:cs="仿宋"/>
          <w:color w:val="auto"/>
          <w:sz w:val="24"/>
          <w:szCs w:val="24"/>
          <w:highlight w:val="none"/>
          <w:lang w:eastAsia="zh-CN"/>
        </w:rPr>
        <w:t>造价咨询人有要求时，承包人应提供使用暂列金额支付项目的所有报价单、发票、账单或收据。</w:t>
      </w:r>
    </w:p>
    <w:p w14:paraId="72D88D9B">
      <w:pPr>
        <w:pStyle w:val="23"/>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93295A3">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990" w:name="_Toc15257"/>
      <w:bookmarkStart w:id="991" w:name="_Toc21347"/>
      <w:bookmarkStart w:id="992" w:name="_Toc29612"/>
      <w:bookmarkStart w:id="993" w:name="_Toc5086"/>
      <w:bookmarkStart w:id="994" w:name="_Toc31864"/>
      <w:bookmarkStart w:id="995" w:name="_Toc2553"/>
      <w:bookmarkStart w:id="996" w:name="_Toc6941"/>
      <w:bookmarkStart w:id="997" w:name="_Toc47694350"/>
      <w:r>
        <w:rPr>
          <w:rFonts w:hint="eastAsia" w:ascii="仿宋" w:hAnsi="仿宋" w:eastAsia="仿宋" w:cs="仿宋"/>
          <w:bCs w:val="0"/>
          <w:color w:val="auto"/>
          <w:sz w:val="24"/>
          <w:szCs w:val="24"/>
          <w:highlight w:val="none"/>
          <w:lang w:eastAsia="zh-CN"/>
        </w:rPr>
        <w:t>★74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计日工</w:t>
      </w:r>
      <w:bookmarkEnd w:id="990"/>
      <w:bookmarkEnd w:id="991"/>
      <w:bookmarkEnd w:id="992"/>
      <w:bookmarkEnd w:id="993"/>
      <w:bookmarkEnd w:id="994"/>
      <w:bookmarkEnd w:id="995"/>
      <w:bookmarkEnd w:id="996"/>
      <w:bookmarkEnd w:id="997"/>
    </w:p>
    <w:p w14:paraId="3586CEF3">
      <w:pPr>
        <w:pStyle w:val="23"/>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.1</w:t>
      </w:r>
    </w:p>
    <w:p w14:paraId="0F1130A5">
      <w:pPr>
        <w:pStyle w:val="23"/>
        <w:widowControl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15875</wp:posOffset>
                </wp:positionV>
                <wp:extent cx="794385" cy="424815"/>
                <wp:effectExtent l="0" t="0" r="0" b="0"/>
                <wp:wrapNone/>
                <wp:docPr id="331" name="00024e"/>
                <wp:cNvGraphicFramePr/>
                <a:graphic xmlns:a="http://schemas.openxmlformats.org/drawingml/2006/main">
                  <a:graphicData uri="http://schemas.microsoft.com/office/word/2010/wordprocessingShape">
                    <wps:wsp>
                      <wps:cNvSpPr txBox="1"/>
                      <wps:spPr>
                        <a:xfrm>
                          <a:off x="0" y="0"/>
                          <a:ext cx="794385" cy="424815"/>
                        </a:xfrm>
                        <a:prstGeom prst="rect">
                          <a:avLst/>
                        </a:prstGeom>
                        <a:noFill/>
                        <a:ln>
                          <a:noFill/>
                        </a:ln>
                        <a:effectLst/>
                      </wps:spPr>
                      <wps:txbx>
                        <w:txbxContent>
                          <w:p w14:paraId="2AFFC69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p w14:paraId="0B1BAB8C"/>
                        </w:txbxContent>
                      </wps:txbx>
                      <wps:bodyPr wrap="square" upright="1"/>
                    </wps:wsp>
                  </a:graphicData>
                </a:graphic>
              </wp:anchor>
            </w:drawing>
          </mc:Choice>
          <mc:Fallback>
            <w:pict>
              <v:shape id="00024e" o:spid="_x0000_s1026" o:spt="202" type="#_x0000_t202" style="position:absolute;left:0pt;margin-left:-9pt;margin-top:1.25pt;height:33.45pt;width:62.55pt;z-index:251997184;mso-width-relative:page;mso-height-relative:page;" filled="f" stroked="f" coordsize="21600,21600" o:gfxdata="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iQ28WNYAAAAI&#10;AQAADwAAAAAAAAABACAAAAAiAAAAZHJzL2Rvd25yZXYueG1sUEsBAhQAFAAAAAgAh07iQE/3Buys&#10;AQAAZgMAAA4AAAAAAAAAAQAgAAAAJQEAAGRycy9lMm9Eb2MueG1sUEsFBgAAAAAGAAYAWQEAAEMF&#10;AAAAAA==&#10;">
                <v:fill on="f" focussize="0,0"/>
                <v:stroke on="f"/>
                <v:imagedata o:title=""/>
                <o:lock v:ext="edit" aspectratio="f"/>
                <v:textbox>
                  <w:txbxContent>
                    <w:p w14:paraId="2AFFC69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p w14:paraId="0B1BAB8C"/>
                  </w:txbxContent>
                </v:textbox>
              </v:shape>
            </w:pict>
          </mc:Fallback>
        </mc:AlternateContent>
      </w:r>
      <w:r>
        <w:rPr>
          <w:rFonts w:hint="eastAsia" w:ascii="仿宋" w:hAnsi="仿宋" w:eastAsia="仿宋" w:cs="仿宋"/>
          <w:color w:val="auto"/>
          <w:sz w:val="24"/>
          <w:szCs w:val="24"/>
          <w:highlight w:val="none"/>
          <w:lang w:eastAsia="zh-CN"/>
        </w:rPr>
        <w:t>计日工单价是用于承包人实施发包人要求的合同以外零星工作项目所需的人工单价、工程材料单价、工程设备单价和施工设备机械台班单价。</w:t>
      </w:r>
    </w:p>
    <w:p w14:paraId="72F6DAAD">
      <w:pPr>
        <w:pStyle w:val="23"/>
        <w:spacing w:line="48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 xml:space="preserve">.2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6BE5F1E1">
      <w:pPr>
        <w:pStyle w:val="23"/>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经发包人批准后，监理人应就使用计日工项目发出书面指令。</w:t>
      </w:r>
      <w:r>
        <w:rPr>
          <w:color w:val="auto"/>
          <w:highlight w:val="none"/>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14605</wp:posOffset>
                </wp:positionV>
                <wp:extent cx="861060" cy="506730"/>
                <wp:effectExtent l="0" t="0" r="0" b="0"/>
                <wp:wrapNone/>
                <wp:docPr id="332" name="00024f"/>
                <wp:cNvGraphicFramePr/>
                <a:graphic xmlns:a="http://schemas.openxmlformats.org/drawingml/2006/main">
                  <a:graphicData uri="http://schemas.microsoft.com/office/word/2010/wordprocessingShape">
                    <wps:wsp>
                      <wps:cNvSpPr txBox="1"/>
                      <wps:spPr>
                        <a:xfrm>
                          <a:off x="0" y="0"/>
                          <a:ext cx="861060" cy="506730"/>
                        </a:xfrm>
                        <a:prstGeom prst="rect">
                          <a:avLst/>
                        </a:prstGeom>
                        <a:noFill/>
                        <a:ln>
                          <a:noFill/>
                        </a:ln>
                        <a:effectLst/>
                      </wps:spPr>
                      <wps:txbx>
                        <w:txbxContent>
                          <w:p w14:paraId="4F6B42C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p w14:paraId="33CA32F4"/>
                        </w:txbxContent>
                      </wps:txbx>
                      <wps:bodyPr wrap="square" upright="1"/>
                    </wps:wsp>
                  </a:graphicData>
                </a:graphic>
              </wp:anchor>
            </w:drawing>
          </mc:Choice>
          <mc:Fallback>
            <w:pict>
              <v:shape id="00024f" o:spid="_x0000_s1026" o:spt="202" type="#_x0000_t202" style="position:absolute;left:0pt;margin-left:-9pt;margin-top:1.15pt;height:39.9pt;width:67.8pt;z-index:251998208;mso-width-relative:page;mso-height-relative:page;" filled="f" stroked="f" coordsize="21600,21600" o:gfxdata="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lf5n/1QAAAAgB&#10;AAAPAAAAAAAAAAEAIAAAACIAAABkcnMvZG93bnJldi54bWxQSwECFAAUAAAACACHTuJAJO9r5qwB&#10;AABmAwAADgAAAAAAAAABACAAAAAkAQAAZHJzL2Uyb0RvYy54bWxQSwUGAAAAAAYABgBZAQAAQgUA&#10;AAAA&#10;">
                <v:fill on="f" focussize="0,0"/>
                <v:stroke on="f"/>
                <v:imagedata o:title=""/>
                <o:lock v:ext="edit" aspectratio="f"/>
                <v:textbox>
                  <w:txbxContent>
                    <w:p w14:paraId="4F6B42C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p w14:paraId="33CA32F4"/>
                  </w:txbxContent>
                </v:textbox>
              </v:shape>
            </w:pict>
          </mc:Fallback>
        </mc:AlternateContent>
      </w:r>
      <w:r>
        <w:rPr>
          <w:rFonts w:hint="eastAsia" w:ascii="仿宋" w:hAnsi="仿宋" w:eastAsia="仿宋" w:cs="仿宋"/>
          <w:color w:val="auto"/>
          <w:sz w:val="24"/>
          <w:szCs w:val="24"/>
          <w:highlight w:val="none"/>
          <w:lang w:eastAsia="zh-CN"/>
        </w:rPr>
        <w:t>任一按照计日工方式计价的工作，承包人应在该项工作实施结束后的</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小时内，向监理人提交有计日工记录的现场签证报告一式两份。</w:t>
      </w:r>
    </w:p>
    <w:p w14:paraId="51856BE6">
      <w:pPr>
        <w:pStyle w:val="23"/>
        <w:spacing w:line="360" w:lineRule="auto"/>
        <w:ind w:left="1800" w:leftChars="75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当此工作持续进行时，承包人应每天向监理人提交当天计日工记录完毕的现场签证报告。监理人在收到承包人提交现场签证报告后的</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天内予以确认并由其报发包人批准后，将其中一份返还给承包人，作为计日工计价和支付的依据。监理人逾期未确认也未提出修改意见的，视为承包人提交的现场签证报告已被认可。</w:t>
      </w:r>
    </w:p>
    <w:p w14:paraId="0ADE21FB">
      <w:pPr>
        <w:spacing w:line="360" w:lineRule="auto"/>
        <w:rPr>
          <w:rFonts w:ascii="仿宋" w:hAnsi="仿宋" w:eastAsia="仿宋"/>
          <w:b/>
          <w:bCs/>
          <w:color w:val="auto"/>
          <w:highlight w:val="none"/>
          <w:lang w:eastAsia="zh-CN"/>
        </w:rPr>
      </w:pPr>
      <w:bookmarkStart w:id="998" w:name="_Toc27830"/>
      <w:r>
        <w:rPr>
          <w:rFonts w:hint="eastAsia" w:ascii="仿宋" w:hAnsi="仿宋" w:eastAsia="仿宋" w:cs="仿宋"/>
          <w:b/>
          <w:bCs/>
          <w:color w:val="auto"/>
          <w:highlight w:val="none"/>
          <w:lang w:eastAsia="zh-CN"/>
        </w:rPr>
        <w:t>74</w:t>
      </w:r>
      <w:r>
        <w:rPr>
          <w:rFonts w:ascii="仿宋" w:hAnsi="仿宋" w:eastAsia="仿宋" w:cs="仿宋"/>
          <w:b/>
          <w:bCs/>
          <w:color w:val="auto"/>
          <w:highlight w:val="none"/>
          <w:lang w:eastAsia="zh-CN"/>
        </w:rPr>
        <w:t>.3</w:t>
      </w:r>
      <w:bookmarkEnd w:id="99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B696187">
      <w:pPr>
        <w:pStyle w:val="23"/>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5080</wp:posOffset>
                </wp:positionV>
                <wp:extent cx="823595" cy="496570"/>
                <wp:effectExtent l="0" t="0" r="0" b="0"/>
                <wp:wrapNone/>
                <wp:docPr id="333" name="000250"/>
                <wp:cNvGraphicFramePr/>
                <a:graphic xmlns:a="http://schemas.openxmlformats.org/drawingml/2006/main">
                  <a:graphicData uri="http://schemas.microsoft.com/office/word/2010/wordprocessingShape">
                    <wps:wsp>
                      <wps:cNvSpPr txBox="1"/>
                      <wps:spPr>
                        <a:xfrm>
                          <a:off x="0" y="0"/>
                          <a:ext cx="823595" cy="496570"/>
                        </a:xfrm>
                        <a:prstGeom prst="rect">
                          <a:avLst/>
                        </a:prstGeom>
                        <a:noFill/>
                        <a:ln>
                          <a:noFill/>
                        </a:ln>
                        <a:effectLst/>
                      </wps:spPr>
                      <wps:txbx>
                        <w:txbxContent>
                          <w:p w14:paraId="4EB3702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p w14:paraId="43FB44A3"/>
                        </w:txbxContent>
                      </wps:txbx>
                      <wps:bodyPr wrap="square" upright="1"/>
                    </wps:wsp>
                  </a:graphicData>
                </a:graphic>
              </wp:anchor>
            </w:drawing>
          </mc:Choice>
          <mc:Fallback>
            <w:pict>
              <v:shape id="000250" o:spid="_x0000_s1026" o:spt="202" type="#_x0000_t202" style="position:absolute;left:0pt;margin-left:-9pt;margin-top:0.4pt;height:39.1pt;width:64.85pt;z-index:251999232;mso-width-relative:page;mso-height-relative:page;" filled="f" stroked="f" coordsize="21600,21600" o:gfxdata="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EHvmyjUAAAABwEA&#10;AA8AAAAAAAAAAQAgAAAAIgAAAGRycy9kb3ducmV2LnhtbFBLAQIUABQAAAAIAIdO4kCPXAT5rAEA&#10;AGYDAAAOAAAAAAAAAAEAIAAAACMBAABkcnMvZTJvRG9jLnhtbFBLBQYAAAAABgAGAFkBAABBBQAA&#10;AAA=&#10;">
                <v:fill on="f" focussize="0,0"/>
                <v:stroke on="f"/>
                <v:imagedata o:title=""/>
                <o:lock v:ext="edit" aspectratio="f"/>
                <v:textbox>
                  <w:txbxContent>
                    <w:p w14:paraId="4EB3702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p w14:paraId="43FB44A3"/>
                  </w:txbxContent>
                </v:textbox>
              </v:shape>
            </w:pict>
          </mc:Fallback>
        </mc:AlternateContent>
      </w:r>
      <w:r>
        <w:rPr>
          <w:rFonts w:hint="eastAsia" w:ascii="仿宋" w:hAnsi="仿宋" w:eastAsia="仿宋" w:cs="仿宋"/>
          <w:color w:val="auto"/>
          <w:sz w:val="24"/>
          <w:szCs w:val="24"/>
          <w:highlight w:val="none"/>
          <w:lang w:eastAsia="zh-CN"/>
        </w:rPr>
        <w:t>计日工工作，应从暂列金额中支付。造价咨询人应按照监理人确认的现场签证报告核实该类项目的数量，并根据核实的数量和合同价格清单中填报的计日工单价的乘积计算应付价款，经合同双方当事人确认后，与工程进度款同期支付。</w:t>
      </w:r>
    </w:p>
    <w:p w14:paraId="072D93C2">
      <w:pPr>
        <w:pStyle w:val="23"/>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每个支付期末，承包人应按照第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款约定向发包人提交本期间所有计日工记录的签证汇总表，以说明本期间自己认为有权得到的计日工费用。</w:t>
      </w:r>
    </w:p>
    <w:p w14:paraId="594E7908">
      <w:pPr>
        <w:pStyle w:val="23"/>
        <w:tabs>
          <w:tab w:val="left" w:pos="540"/>
        </w:tabs>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75681FFB">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999" w:name="_Toc1544"/>
      <w:bookmarkStart w:id="1000" w:name="_Toc20562"/>
      <w:bookmarkStart w:id="1001" w:name="_Toc5837"/>
      <w:bookmarkStart w:id="1002" w:name="_Toc47694351"/>
      <w:bookmarkStart w:id="1003" w:name="_Toc19891"/>
      <w:bookmarkStart w:id="1004" w:name="_Toc17288"/>
      <w:bookmarkStart w:id="1005" w:name="_Toc24112"/>
      <w:bookmarkStart w:id="1006" w:name="_Toc9774"/>
      <w:r>
        <w:rPr>
          <w:rFonts w:hint="eastAsia" w:ascii="仿宋" w:hAnsi="仿宋" w:eastAsia="仿宋" w:cs="仿宋"/>
          <w:bCs w:val="0"/>
          <w:color w:val="auto"/>
          <w:sz w:val="24"/>
          <w:szCs w:val="24"/>
          <w:highlight w:val="none"/>
          <w:lang w:eastAsia="zh-CN"/>
        </w:rPr>
        <w:t>★75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暂估价</w:t>
      </w:r>
      <w:bookmarkEnd w:id="999"/>
      <w:bookmarkEnd w:id="1000"/>
      <w:bookmarkEnd w:id="1001"/>
      <w:bookmarkEnd w:id="1002"/>
      <w:bookmarkEnd w:id="1003"/>
      <w:bookmarkEnd w:id="1004"/>
      <w:bookmarkEnd w:id="1005"/>
      <w:bookmarkEnd w:id="1006"/>
    </w:p>
    <w:p w14:paraId="6A54B623">
      <w:pPr>
        <w:pStyle w:val="23"/>
        <w:spacing w:line="360" w:lineRule="auto"/>
        <w:rPr>
          <w:rFonts w:hint="eastAsia"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00256" behindDoc="0" locked="0" layoutInCell="1" allowOverlap="1">
                <wp:simplePos x="0" y="0"/>
                <wp:positionH relativeFrom="column">
                  <wp:posOffset>-133350</wp:posOffset>
                </wp:positionH>
                <wp:positionV relativeFrom="paragraph">
                  <wp:posOffset>320040</wp:posOffset>
                </wp:positionV>
                <wp:extent cx="784225" cy="932180"/>
                <wp:effectExtent l="0" t="0" r="0" b="0"/>
                <wp:wrapNone/>
                <wp:docPr id="334" name="000251"/>
                <wp:cNvGraphicFramePr/>
                <a:graphic xmlns:a="http://schemas.openxmlformats.org/drawingml/2006/main">
                  <a:graphicData uri="http://schemas.microsoft.com/office/word/2010/wordprocessingShape">
                    <wps:wsp>
                      <wps:cNvSpPr txBox="1"/>
                      <wps:spPr>
                        <a:xfrm>
                          <a:off x="0" y="0"/>
                          <a:ext cx="784225" cy="932180"/>
                        </a:xfrm>
                        <a:prstGeom prst="rect">
                          <a:avLst/>
                        </a:prstGeom>
                        <a:noFill/>
                        <a:ln>
                          <a:noFill/>
                        </a:ln>
                        <a:effectLst/>
                      </wps:spPr>
                      <wps:txbx>
                        <w:txbxContent>
                          <w:p w14:paraId="12544D3C">
                            <w:pPr>
                              <w:pStyle w:val="16"/>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5EDEE01B">
                            <w:pPr>
                              <w:rPr>
                                <w:rFonts w:ascii="楷体_GB2312" w:hAnsi="宋体" w:eastAsia="楷体_GB2312"/>
                                <w:b/>
                                <w:bCs/>
                                <w:color w:val="000000"/>
                                <w:sz w:val="18"/>
                                <w:szCs w:val="18"/>
                                <w:lang w:eastAsia="zh-CN"/>
                              </w:rPr>
                            </w:pPr>
                          </w:p>
                          <w:p w14:paraId="71D5FAC3">
                            <w:pPr>
                              <w:rPr>
                                <w:sz w:val="18"/>
                                <w:szCs w:val="18"/>
                                <w:lang w:eastAsia="zh-CN"/>
                              </w:rPr>
                            </w:pPr>
                          </w:p>
                          <w:p w14:paraId="149F71B3">
                            <w:pPr>
                              <w:rPr>
                                <w:lang w:eastAsia="zh-CN"/>
                              </w:rPr>
                            </w:pPr>
                          </w:p>
                        </w:txbxContent>
                      </wps:txbx>
                      <wps:bodyPr wrap="square" upright="1"/>
                    </wps:wsp>
                  </a:graphicData>
                </a:graphic>
              </wp:anchor>
            </w:drawing>
          </mc:Choice>
          <mc:Fallback>
            <w:pict>
              <v:shape id="000251" o:spid="_x0000_s1026" o:spt="202" type="#_x0000_t202" style="position:absolute;left:0pt;margin-left:-10.5pt;margin-top:25.2pt;height:73.4pt;width:61.75pt;z-index:252000256;mso-width-relative:page;mso-height-relative:page;" filled="f" stroked="f" coordsize="21600,21600" o:gfxdata="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4Pm03Y&#10;AAAACgEAAA8AAAAAAAAAAQAgAAAAIgAAAGRycy9kb3ducmV2LnhtbFBLAQIUABQAAAAIAIdO4kDH&#10;cdilrgEAAGYDAAAOAAAAAAAAAAEAIAAAACcBAABkcnMvZTJvRG9jLnhtbFBLBQYAAAAABgAGAFkB&#10;AABHBQAAAAA=&#10;">
                <v:fill on="f" focussize="0,0"/>
                <v:stroke on="f"/>
                <v:imagedata o:title=""/>
                <o:lock v:ext="edit" aspectratio="f"/>
                <v:textbox>
                  <w:txbxContent>
                    <w:p w14:paraId="12544D3C">
                      <w:pPr>
                        <w:pStyle w:val="16"/>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5EDEE01B">
                      <w:pPr>
                        <w:rPr>
                          <w:rFonts w:ascii="楷体_GB2312" w:hAnsi="宋体" w:eastAsia="楷体_GB2312"/>
                          <w:b/>
                          <w:bCs/>
                          <w:color w:val="000000"/>
                          <w:sz w:val="18"/>
                          <w:szCs w:val="18"/>
                          <w:lang w:eastAsia="zh-CN"/>
                        </w:rPr>
                      </w:pPr>
                    </w:p>
                    <w:p w14:paraId="71D5FAC3">
                      <w:pPr>
                        <w:rPr>
                          <w:sz w:val="18"/>
                          <w:szCs w:val="18"/>
                          <w:lang w:eastAsia="zh-CN"/>
                        </w:rPr>
                      </w:pPr>
                    </w:p>
                    <w:p w14:paraId="149F71B3">
                      <w:pPr>
                        <w:rPr>
                          <w:lang w:eastAsia="zh-CN"/>
                        </w:rPr>
                      </w:pPr>
                    </w:p>
                  </w:txbxContent>
                </v:textbox>
              </v:shape>
            </w:pict>
          </mc:Fallback>
        </mc:AlternateContent>
      </w: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.1</w:t>
      </w:r>
    </w:p>
    <w:p w14:paraId="4AC295B1">
      <w:pPr>
        <w:pStyle w:val="23"/>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合同价格清单中给定暂估价的工程材料、工程设备或专业工程，达到依法必须招标的规模、标准的，由承包人作为招标主体会同发包人共同选择供应商或分包人。合同双方当事人应在专用条款中约定各自的权利和义务。供应商或分包人的中标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52A88268">
      <w:pPr>
        <w:pStyle w:val="23"/>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6E89914E">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42545</wp:posOffset>
                </wp:positionV>
                <wp:extent cx="857250" cy="982345"/>
                <wp:effectExtent l="0" t="0" r="0" b="0"/>
                <wp:wrapNone/>
                <wp:docPr id="335" name="000252"/>
                <wp:cNvGraphicFramePr/>
                <a:graphic xmlns:a="http://schemas.openxmlformats.org/drawingml/2006/main">
                  <a:graphicData uri="http://schemas.microsoft.com/office/word/2010/wordprocessingShape">
                    <wps:wsp>
                      <wps:cNvSpPr txBox="1"/>
                      <wps:spPr>
                        <a:xfrm>
                          <a:off x="0" y="0"/>
                          <a:ext cx="857250" cy="982345"/>
                        </a:xfrm>
                        <a:prstGeom prst="rect">
                          <a:avLst/>
                        </a:prstGeom>
                        <a:noFill/>
                        <a:ln>
                          <a:noFill/>
                        </a:ln>
                        <a:effectLst/>
                      </wps:spPr>
                      <wps:txbx>
                        <w:txbxContent>
                          <w:p w14:paraId="05BC4A4C">
                            <w:pPr>
                              <w:pStyle w:val="16"/>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p w14:paraId="5CFF8861">
                            <w:pPr>
                              <w:rPr>
                                <w:lang w:eastAsia="zh-CN"/>
                              </w:rPr>
                            </w:pPr>
                          </w:p>
                        </w:txbxContent>
                      </wps:txbx>
                      <wps:bodyPr wrap="square" upright="1"/>
                    </wps:wsp>
                  </a:graphicData>
                </a:graphic>
              </wp:anchor>
            </w:drawing>
          </mc:Choice>
          <mc:Fallback>
            <w:pict>
              <v:shape id="000252" o:spid="_x0000_s1026" o:spt="202" type="#_x0000_t202" style="position:absolute;left:0pt;margin-left:-9pt;margin-top:3.35pt;height:77.35pt;width:67.5pt;z-index:252001280;mso-width-relative:page;mso-height-relative:page;" filled="f" stroked="f" coordsize="21600,21600" o:gfxdata="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udK529YAAAAJ&#10;AQAADwAAAAAAAAABACAAAAAiAAAAZHJzL2Rvd25yZXYueG1sUEsBAhQAFAAAAAgAh07iQGQ6TW2s&#10;AQAAZgMAAA4AAAAAAAAAAQAgAAAAJQEAAGRycy9lMm9Eb2MueG1sUEsFBgAAAAAGAAYAWQEAAEMF&#10;AAAAAA==&#10;">
                <v:fill on="f" focussize="0,0"/>
                <v:stroke on="f"/>
                <v:imagedata o:title=""/>
                <o:lock v:ext="edit" aspectratio="f"/>
                <v:textbox>
                  <w:txbxContent>
                    <w:p w14:paraId="05BC4A4C">
                      <w:pPr>
                        <w:pStyle w:val="16"/>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p w14:paraId="5CFF8861">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发包人在合同价格清单中给定暂估价的工程材料和工程设备，未达到依法必须招标的规模、标准的，由承包人按照第56条约定采购。经监理人、造价咨询人确认的工程材料和工程设备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3A312FBE">
      <w:pPr>
        <w:pStyle w:val="23"/>
        <w:spacing w:line="360" w:lineRule="auto"/>
        <w:rPr>
          <w:rFonts w:ascii="仿宋" w:hAnsi="仿宋" w:eastAsia="仿宋"/>
          <w:b/>
          <w:bCs/>
          <w:color w:val="auto"/>
          <w:sz w:val="24"/>
          <w:szCs w:val="24"/>
          <w:highlight w:val="none"/>
          <w:lang w:eastAsia="zh-CN"/>
        </w:rPr>
      </w:pPr>
      <w:bookmarkStart w:id="1007" w:name="_Toc27828"/>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.3</w:t>
      </w:r>
      <w:bookmarkEnd w:id="1007"/>
      <w:r>
        <w:rPr>
          <w:rFonts w:ascii="仿宋" w:hAnsi="仿宋" w:eastAsia="仿宋" w:cs="仿宋"/>
          <w:b/>
          <w:bCs/>
          <w:color w:val="auto"/>
          <w:sz w:val="24"/>
          <w:szCs w:val="24"/>
          <w:highlight w:val="none"/>
          <w:u w:val="dotted"/>
          <w:lang w:eastAsia="zh-CN"/>
        </w:rPr>
        <w:t xml:space="preserve">                                                                                 </w:t>
      </w:r>
    </w:p>
    <w:p w14:paraId="5AC0E838">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2002304" behindDoc="0" locked="0" layoutInCell="1" allowOverlap="1">
                <wp:simplePos x="0" y="0"/>
                <wp:positionH relativeFrom="column">
                  <wp:posOffset>-66675</wp:posOffset>
                </wp:positionH>
                <wp:positionV relativeFrom="paragraph">
                  <wp:posOffset>71755</wp:posOffset>
                </wp:positionV>
                <wp:extent cx="845820" cy="819785"/>
                <wp:effectExtent l="0" t="0" r="0" b="0"/>
                <wp:wrapNone/>
                <wp:docPr id="336" name="000253"/>
                <wp:cNvGraphicFramePr/>
                <a:graphic xmlns:a="http://schemas.openxmlformats.org/drawingml/2006/main">
                  <a:graphicData uri="http://schemas.microsoft.com/office/word/2010/wordprocessingShape">
                    <wps:wsp>
                      <wps:cNvSpPr txBox="1"/>
                      <wps:spPr>
                        <a:xfrm>
                          <a:off x="0" y="0"/>
                          <a:ext cx="845820" cy="819785"/>
                        </a:xfrm>
                        <a:prstGeom prst="rect">
                          <a:avLst/>
                        </a:prstGeom>
                        <a:noFill/>
                        <a:ln>
                          <a:noFill/>
                        </a:ln>
                        <a:effectLst/>
                      </wps:spPr>
                      <wps:txbx>
                        <w:txbxContent>
                          <w:p w14:paraId="29F1D9F9">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p w14:paraId="7788F8D5">
                            <w:pPr>
                              <w:rPr>
                                <w:lang w:eastAsia="zh-CN"/>
                              </w:rPr>
                            </w:pPr>
                          </w:p>
                        </w:txbxContent>
                      </wps:txbx>
                      <wps:bodyPr wrap="square" upright="1"/>
                    </wps:wsp>
                  </a:graphicData>
                </a:graphic>
              </wp:anchor>
            </w:drawing>
          </mc:Choice>
          <mc:Fallback>
            <w:pict>
              <v:shape id="000253" o:spid="_x0000_s1026" o:spt="202" type="#_x0000_t202" style="position:absolute;left:0pt;margin-left:-5.25pt;margin-top:5.65pt;height:64.55pt;width:66.6pt;z-index:252002304;mso-width-relative:page;mso-height-relative:page;" filled="f" stroked="f" coordsize="21600,21600" o:gfxdata="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ypiD7XAAAA&#10;CgEAAA8AAAAAAAAAAQAgAAAAIgAAAGRycy9kb3ducmV2LnhtbFBLAQIUABQAAAAIAIdO4kAw/3qC&#10;rAEAAGYDAAAOAAAAAAAAAAEAIAAAACYBAABkcnMvZTJvRG9jLnhtbFBLBQYAAAAABgAGAFkBAABE&#10;BQAAAAA=&#10;">
                <v:fill on="f" focussize="0,0"/>
                <v:stroke on="f"/>
                <v:imagedata o:title=""/>
                <o:lock v:ext="edit" aspectratio="f"/>
                <v:textbox>
                  <w:txbxContent>
                    <w:p w14:paraId="29F1D9F9">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p w14:paraId="7788F8D5">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发包人在合同价格清单中给定暂估价的专业工程，未达到依法必须招标的规模及标准的，除专用条款另有约定外，由造价咨询人与承包人按照第79.3款约定确定专业工程价格。经确认的专业工程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68B92F3F">
      <w:pPr>
        <w:pStyle w:val="23"/>
        <w:tabs>
          <w:tab w:val="left" w:pos="3038"/>
        </w:tabs>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626DE592">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1008" w:name="_Toc11236"/>
      <w:bookmarkStart w:id="1009" w:name="_Toc2762"/>
      <w:bookmarkStart w:id="1010" w:name="_Toc7940"/>
      <w:bookmarkStart w:id="1011" w:name="_Toc25519"/>
      <w:bookmarkStart w:id="1012" w:name="_Toc853"/>
      <w:bookmarkStart w:id="1013" w:name="_Toc47694352"/>
      <w:bookmarkStart w:id="1014" w:name="_Toc31065"/>
      <w:bookmarkStart w:id="1015" w:name="_Toc9910"/>
      <w:r>
        <w:rPr>
          <w:rFonts w:hint="eastAsia" w:ascii="仿宋" w:hAnsi="仿宋" w:eastAsia="仿宋" w:cs="仿宋"/>
          <w:bCs w:val="0"/>
          <w:color w:val="auto"/>
          <w:sz w:val="24"/>
          <w:szCs w:val="24"/>
          <w:highlight w:val="none"/>
          <w:lang w:eastAsia="zh-CN"/>
        </w:rPr>
        <w:t>★76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提前竣工奖与误期赔偿费</w:t>
      </w:r>
      <w:bookmarkEnd w:id="1008"/>
      <w:bookmarkEnd w:id="1009"/>
      <w:bookmarkEnd w:id="1010"/>
      <w:bookmarkEnd w:id="1011"/>
      <w:bookmarkEnd w:id="1012"/>
      <w:bookmarkEnd w:id="1013"/>
      <w:bookmarkEnd w:id="1014"/>
      <w:bookmarkEnd w:id="1015"/>
    </w:p>
    <w:p w14:paraId="2F93B100">
      <w:pPr>
        <w:rPr>
          <w:rFonts w:ascii="仿宋" w:hAnsi="仿宋" w:eastAsia="仿宋" w:cs="仿宋"/>
          <w:b/>
          <w:bCs/>
          <w:color w:val="auto"/>
          <w:highlight w:val="none"/>
          <w:lang w:eastAsia="zh-CN"/>
        </w:rPr>
      </w:pPr>
      <w:bookmarkStart w:id="1016" w:name="_Toc23082"/>
      <w:r>
        <w:rPr>
          <w:rFonts w:hint="eastAsia" w:ascii="仿宋" w:hAnsi="仿宋" w:eastAsia="仿宋" w:cs="仿宋"/>
          <w:b/>
          <w:bCs/>
          <w:color w:val="auto"/>
          <w:highlight w:val="none"/>
          <w:lang w:eastAsia="zh-CN"/>
        </w:rPr>
        <w:t>76</w:t>
      </w:r>
      <w:r>
        <w:rPr>
          <w:rFonts w:ascii="仿宋" w:hAnsi="仿宋" w:eastAsia="仿宋" w:cs="仿宋"/>
          <w:b/>
          <w:bCs/>
          <w:color w:val="auto"/>
          <w:highlight w:val="none"/>
          <w:lang w:eastAsia="zh-CN"/>
        </w:rPr>
        <w:t>.1</w:t>
      </w:r>
      <w:bookmarkEnd w:id="1016"/>
    </w:p>
    <w:p w14:paraId="710348F3">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30480</wp:posOffset>
                </wp:positionV>
                <wp:extent cx="800100" cy="415925"/>
                <wp:effectExtent l="0" t="0" r="0" b="0"/>
                <wp:wrapNone/>
                <wp:docPr id="337" name="000254"/>
                <wp:cNvGraphicFramePr/>
                <a:graphic xmlns:a="http://schemas.openxmlformats.org/drawingml/2006/main">
                  <a:graphicData uri="http://schemas.microsoft.com/office/word/2010/wordprocessingShape">
                    <wps:wsp>
                      <wps:cNvSpPr txBox="1"/>
                      <wps:spPr>
                        <a:xfrm>
                          <a:off x="0" y="0"/>
                          <a:ext cx="800100" cy="415925"/>
                        </a:xfrm>
                        <a:prstGeom prst="rect">
                          <a:avLst/>
                        </a:prstGeom>
                        <a:noFill/>
                        <a:ln>
                          <a:noFill/>
                        </a:ln>
                        <a:effectLst/>
                      </wps:spPr>
                      <wps:txbx>
                        <w:txbxContent>
                          <w:p w14:paraId="15833DB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p w14:paraId="3CE2D815"/>
                        </w:txbxContent>
                      </wps:txbx>
                      <wps:bodyPr wrap="square" upright="1"/>
                    </wps:wsp>
                  </a:graphicData>
                </a:graphic>
              </wp:anchor>
            </w:drawing>
          </mc:Choice>
          <mc:Fallback>
            <w:pict>
              <v:shape id="000254" o:spid="_x0000_s1026" o:spt="202" type="#_x0000_t202" style="position:absolute;left:0pt;margin-left:-9pt;margin-top:2.4pt;height:32.75pt;width:63pt;z-index:252003328;mso-width-relative:page;mso-height-relative:page;" filled="f" stroked="f" coordsize="21600,21600" o:gfxdata="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vquMe9QAAAAIAQAA&#10;DwAAAAAAAAABACAAAAAiAAAAZHJzL2Rvd25yZXYueG1sUEsBAhQAFAAAAAgAh07iQBqY37GrAQAA&#10;ZgMAAA4AAAAAAAAAAQAgAAAAIwEAAGRycy9lMm9Eb2MueG1sUEsFBgAAAAAGAAYAWQEAAEAFAAAA&#10;AA==&#10;">
                <v:fill on="f" focussize="0,0"/>
                <v:stroke on="f"/>
                <v:imagedata o:title=""/>
                <o:lock v:ext="edit" aspectratio="f"/>
                <v:textbox>
                  <w:txbxContent>
                    <w:p w14:paraId="15833DB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p w14:paraId="3CE2D815"/>
                  </w:txbxContent>
                </v:textbox>
              </v:shape>
            </w:pict>
          </mc:Fallback>
        </mc:AlternateContent>
      </w:r>
      <w:r>
        <w:rPr>
          <w:rFonts w:hint="eastAsia" w:ascii="仿宋" w:hAnsi="仿宋" w:eastAsia="仿宋" w:cs="仿宋"/>
          <w:color w:val="auto"/>
          <w:sz w:val="24"/>
          <w:szCs w:val="24"/>
          <w:highlight w:val="none"/>
          <w:lang w:eastAsia="zh-CN"/>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格的</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。提前竣工奖列入竣工结算文件中，与结算款一并支付。</w:t>
      </w:r>
    </w:p>
    <w:p w14:paraId="61DB828A">
      <w:pPr>
        <w:rPr>
          <w:rFonts w:ascii="仿宋" w:hAnsi="仿宋" w:eastAsia="仿宋"/>
          <w:b/>
          <w:bCs/>
          <w:color w:val="auto"/>
          <w:highlight w:val="none"/>
          <w:lang w:eastAsia="zh-CN"/>
        </w:rPr>
      </w:pPr>
      <w:bookmarkStart w:id="1017" w:name="_Toc21897"/>
      <w:r>
        <w:rPr>
          <w:rFonts w:hint="eastAsia" w:ascii="仿宋" w:hAnsi="仿宋" w:eastAsia="仿宋" w:cs="仿宋"/>
          <w:b/>
          <w:bCs/>
          <w:color w:val="auto"/>
          <w:highlight w:val="none"/>
          <w:lang w:eastAsia="zh-CN"/>
        </w:rPr>
        <w:t>76</w:t>
      </w:r>
      <w:r>
        <w:rPr>
          <w:rFonts w:ascii="仿宋" w:hAnsi="仿宋" w:eastAsia="仿宋" w:cs="仿宋"/>
          <w:b/>
          <w:bCs/>
          <w:color w:val="auto"/>
          <w:highlight w:val="none"/>
          <w:lang w:eastAsia="zh-CN"/>
        </w:rPr>
        <w:t>.2</w:t>
      </w:r>
      <w:bookmarkEnd w:id="101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5C758AA">
      <w:pPr>
        <w:pStyle w:val="23"/>
        <w:widowControl w:val="0"/>
        <w:spacing w:line="460" w:lineRule="exact"/>
        <w:ind w:left="1850" w:leftChars="771"/>
        <w:jc w:val="both"/>
        <w:rPr>
          <w:rFonts w:hint="eastAsia"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16510</wp:posOffset>
                </wp:positionV>
                <wp:extent cx="785495" cy="466090"/>
                <wp:effectExtent l="0" t="0" r="0" b="0"/>
                <wp:wrapNone/>
                <wp:docPr id="338" name="000255"/>
                <wp:cNvGraphicFramePr/>
                <a:graphic xmlns:a="http://schemas.openxmlformats.org/drawingml/2006/main">
                  <a:graphicData uri="http://schemas.microsoft.com/office/word/2010/wordprocessingShape">
                    <wps:wsp>
                      <wps:cNvSpPr txBox="1"/>
                      <wps:spPr>
                        <a:xfrm>
                          <a:off x="0" y="0"/>
                          <a:ext cx="785495" cy="466090"/>
                        </a:xfrm>
                        <a:prstGeom prst="rect">
                          <a:avLst/>
                        </a:prstGeom>
                        <a:noFill/>
                        <a:ln>
                          <a:noFill/>
                        </a:ln>
                        <a:effectLst/>
                      </wps:spPr>
                      <wps:txbx>
                        <w:txbxContent>
                          <w:p w14:paraId="20E0208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p w14:paraId="16968F5D"/>
                        </w:txbxContent>
                      </wps:txbx>
                      <wps:bodyPr wrap="square" upright="1"/>
                    </wps:wsp>
                  </a:graphicData>
                </a:graphic>
              </wp:anchor>
            </w:drawing>
          </mc:Choice>
          <mc:Fallback>
            <w:pict>
              <v:shape id="000255" o:spid="_x0000_s1026" o:spt="202" type="#_x0000_t202" style="position:absolute;left:0pt;margin-left:-9pt;margin-top:1.3pt;height:36.7pt;width:61.85pt;z-index:252004352;mso-width-relative:page;mso-height-relative:page;" filled="f" stroked="f" coordsize="21600,21600" o:gfxdata="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XL0OJ1gAA&#10;AAgBAAAPAAAAAAAAAAEAIAAAACIAAABkcnMvZG93bnJldi54bWxQSwECFAAUAAAACACHTuJAED0g&#10;Da4BAABmAwAADgAAAAAAAAABACAAAAAlAQAAZHJzL2Uyb0RvYy54bWxQSwUGAAAAAAYABgBZAQAA&#10;RQUAAAAA&#10;">
                <v:fill on="f" focussize="0,0"/>
                <v:stroke on="f"/>
                <v:imagedata o:title=""/>
                <o:lock v:ext="edit" aspectratio="f"/>
                <v:textbox>
                  <w:txbxContent>
                    <w:p w14:paraId="20E0208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p w14:paraId="16968F5D"/>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约定勘察（如果有）、设计、BIM技术应用、设备及工器具购置（如果有）、施工等各阶段工期及合同总工期的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格的</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。误期赔偿费列入进度支付文件或竣工结算文件中，在进度款或结算款中扣除。</w:t>
      </w:r>
    </w:p>
    <w:p w14:paraId="37A567E8">
      <w:pPr>
        <w:pStyle w:val="23"/>
        <w:widowControl w:val="0"/>
        <w:spacing w:line="460" w:lineRule="exact"/>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在工程竣工之前，合同工程内的某单项工程已通过了竣工验收或某项服务已通过合同约定的质量标准或发包人要求，且该单项工程接收证书中表明的竣工日期并未延误或某项服务的书面证明并未延误，而是合同工程的其他部分产生了工期延误，则误期赔偿费应按照已颁发工程接收证书的单位项工程造价或某项服务占合同价格的比例幅度予以扣减。</w:t>
      </w:r>
    </w:p>
    <w:p w14:paraId="4E21301D">
      <w:pPr>
        <w:pStyle w:val="23"/>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C186F3C">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1018" w:name="_Toc25221"/>
      <w:bookmarkStart w:id="1019" w:name="_Toc13900"/>
      <w:bookmarkStart w:id="1020" w:name="_Toc22316"/>
      <w:bookmarkStart w:id="1021" w:name="_Toc47694353"/>
      <w:bookmarkStart w:id="1022" w:name="_Toc10912"/>
      <w:bookmarkStart w:id="1023" w:name="_Toc27252"/>
      <w:bookmarkStart w:id="1024" w:name="_Toc22242"/>
      <w:bookmarkStart w:id="1025" w:name="_Toc14510"/>
      <w:r>
        <w:rPr>
          <w:rFonts w:hint="eastAsia" w:ascii="仿宋" w:hAnsi="仿宋" w:eastAsia="仿宋" w:cs="仿宋"/>
          <w:bCs w:val="0"/>
          <w:color w:val="auto"/>
          <w:sz w:val="24"/>
          <w:szCs w:val="24"/>
          <w:highlight w:val="none"/>
          <w:lang w:eastAsia="zh-CN"/>
        </w:rPr>
        <w:t>★77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优质优价费用</w:t>
      </w:r>
      <w:bookmarkEnd w:id="1018"/>
      <w:bookmarkEnd w:id="1019"/>
      <w:bookmarkEnd w:id="1020"/>
      <w:bookmarkEnd w:id="1021"/>
      <w:bookmarkEnd w:id="1022"/>
      <w:bookmarkEnd w:id="1023"/>
      <w:bookmarkEnd w:id="1024"/>
      <w:bookmarkEnd w:id="1025"/>
    </w:p>
    <w:p w14:paraId="52BAD3C9">
      <w:pPr>
        <w:rPr>
          <w:rFonts w:hint="eastAsia" w:ascii="仿宋" w:hAnsi="仿宋" w:eastAsia="仿宋" w:cs="仿宋"/>
          <w:b/>
          <w:bCs/>
          <w:color w:val="auto"/>
          <w:highlight w:val="none"/>
          <w:lang w:eastAsia="zh-CN"/>
        </w:rPr>
      </w:pPr>
      <w:bookmarkStart w:id="1026" w:name="_Toc3293"/>
      <w:r>
        <w:rPr>
          <w:rFonts w:hint="eastAsia" w:ascii="仿宋" w:hAnsi="仿宋" w:eastAsia="仿宋" w:cs="仿宋"/>
          <w:b/>
          <w:bCs/>
          <w:color w:val="auto"/>
          <w:highlight w:val="none"/>
          <w:lang w:eastAsia="zh-CN"/>
        </w:rPr>
        <w:t>77</w:t>
      </w:r>
      <w:r>
        <w:rPr>
          <w:rFonts w:ascii="仿宋" w:hAnsi="仿宋" w:eastAsia="仿宋" w:cs="仿宋"/>
          <w:b/>
          <w:bCs/>
          <w:color w:val="auto"/>
          <w:highlight w:val="none"/>
          <w:lang w:eastAsia="zh-CN"/>
        </w:rPr>
        <w:t>.1</w:t>
      </w:r>
      <w:bookmarkEnd w:id="1026"/>
    </w:p>
    <w:p w14:paraId="024AAAA2">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30480</wp:posOffset>
                </wp:positionV>
                <wp:extent cx="818515" cy="511175"/>
                <wp:effectExtent l="0" t="0" r="0" b="0"/>
                <wp:wrapNone/>
                <wp:docPr id="339" name="000256"/>
                <wp:cNvGraphicFramePr/>
                <a:graphic xmlns:a="http://schemas.openxmlformats.org/drawingml/2006/main">
                  <a:graphicData uri="http://schemas.microsoft.com/office/word/2010/wordprocessingShape">
                    <wps:wsp>
                      <wps:cNvSpPr txBox="1"/>
                      <wps:spPr>
                        <a:xfrm>
                          <a:off x="0" y="0"/>
                          <a:ext cx="818515" cy="511175"/>
                        </a:xfrm>
                        <a:prstGeom prst="rect">
                          <a:avLst/>
                        </a:prstGeom>
                        <a:noFill/>
                        <a:ln>
                          <a:noFill/>
                        </a:ln>
                        <a:effectLst/>
                      </wps:spPr>
                      <wps:txbx>
                        <w:txbxContent>
                          <w:p w14:paraId="0491C73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p w14:paraId="46C3AEEC"/>
                        </w:txbxContent>
                      </wps:txbx>
                      <wps:bodyPr wrap="square" upright="1"/>
                    </wps:wsp>
                  </a:graphicData>
                </a:graphic>
              </wp:anchor>
            </w:drawing>
          </mc:Choice>
          <mc:Fallback>
            <w:pict>
              <v:shape id="000256" o:spid="_x0000_s1026" o:spt="202" type="#_x0000_t202" style="position:absolute;left:0pt;margin-left:-9pt;margin-top:2.4pt;height:40.25pt;width:64.45pt;z-index:252005376;mso-width-relative:page;mso-height-relative:page;" filled="f" stroked="f" coordsize="21600,21600" o:gfxdata="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ICLXe1QAAAAgB&#10;AAAPAAAAAAAAAAEAIAAAACIAAABkcnMvZG93bnJldi54bWxQSwECFAAUAAAACACHTuJAlnBGc6wB&#10;AABmAwAADgAAAAAAAAABACAAAAAkAQAAZHJzL2Uyb0RvYy54bWxQSwUGAAAAAAYABgBZAQAAQgUA&#10;AAAA&#10;">
                <v:fill on="f" focussize="0,0"/>
                <v:stroke on="f"/>
                <v:imagedata o:title=""/>
                <o:lock v:ext="edit" aspectratio="f"/>
                <v:textbox>
                  <w:txbxContent>
                    <w:p w14:paraId="0491C73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p w14:paraId="46C3AEEC"/>
                  </w:txbxContent>
                </v:textbox>
              </v:shape>
            </w:pict>
          </mc:Fallback>
        </mc:AlternateContent>
      </w:r>
      <w:r>
        <w:rPr>
          <w:rFonts w:hint="eastAsia" w:ascii="仿宋" w:hAnsi="仿宋" w:eastAsia="仿宋" w:cs="仿宋"/>
          <w:color w:val="auto"/>
          <w:sz w:val="24"/>
          <w:szCs w:val="24"/>
          <w:highlight w:val="none"/>
          <w:lang w:eastAsia="zh-CN"/>
        </w:rPr>
        <w:t>合同双方当事人可在专用条款中约定优质优价费用，明确合同优质优价费用的计算方法。约定优质优价费用的，如果承包人实施、完成合同质量高于国家规定或合同约定的质量验收合格标准的，承包人有权向发包人提出并得到专用条款约定的优质优价费用。</w:t>
      </w:r>
    </w:p>
    <w:p w14:paraId="5E36BF04">
      <w:pPr>
        <w:spacing w:line="360" w:lineRule="auto"/>
        <w:rPr>
          <w:rFonts w:ascii="仿宋" w:hAnsi="仿宋" w:eastAsia="仿宋"/>
          <w:b/>
          <w:bCs/>
          <w:color w:val="auto"/>
          <w:highlight w:val="none"/>
          <w:lang w:eastAsia="zh-CN"/>
        </w:rPr>
      </w:pPr>
      <w:bookmarkStart w:id="1027" w:name="_Toc14393"/>
      <w:r>
        <w:rPr>
          <w:rFonts w:hint="eastAsia" w:ascii="仿宋" w:hAnsi="仿宋" w:eastAsia="仿宋" w:cs="仿宋"/>
          <w:b/>
          <w:bCs/>
          <w:color w:val="auto"/>
          <w:highlight w:val="none"/>
          <w:lang w:eastAsia="zh-CN"/>
        </w:rPr>
        <w:t>77</w:t>
      </w:r>
      <w:r>
        <w:rPr>
          <w:rFonts w:ascii="仿宋" w:hAnsi="仿宋" w:eastAsia="仿宋" w:cs="仿宋"/>
          <w:b/>
          <w:bCs/>
          <w:color w:val="auto"/>
          <w:highlight w:val="none"/>
          <w:lang w:eastAsia="zh-CN"/>
        </w:rPr>
        <w:t>.2</w:t>
      </w:r>
      <w:bookmarkEnd w:id="102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FE8D1B4">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12065</wp:posOffset>
                </wp:positionV>
                <wp:extent cx="775335" cy="800100"/>
                <wp:effectExtent l="0" t="0" r="0" b="0"/>
                <wp:wrapNone/>
                <wp:docPr id="340" name="000257"/>
                <wp:cNvGraphicFramePr/>
                <a:graphic xmlns:a="http://schemas.openxmlformats.org/drawingml/2006/main">
                  <a:graphicData uri="http://schemas.microsoft.com/office/word/2010/wordprocessingShape">
                    <wps:wsp>
                      <wps:cNvSpPr txBox="1"/>
                      <wps:spPr>
                        <a:xfrm>
                          <a:off x="0" y="0"/>
                          <a:ext cx="775335" cy="800100"/>
                        </a:xfrm>
                        <a:prstGeom prst="rect">
                          <a:avLst/>
                        </a:prstGeom>
                        <a:noFill/>
                        <a:ln>
                          <a:noFill/>
                        </a:ln>
                        <a:effectLst/>
                      </wps:spPr>
                      <wps:txbx>
                        <w:txbxContent>
                          <w:p w14:paraId="4958A33D">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p w14:paraId="4C96C779">
                            <w:pPr>
                              <w:rPr>
                                <w:lang w:eastAsia="zh-CN"/>
                              </w:rPr>
                            </w:pPr>
                          </w:p>
                        </w:txbxContent>
                      </wps:txbx>
                      <wps:bodyPr wrap="square" upright="1"/>
                    </wps:wsp>
                  </a:graphicData>
                </a:graphic>
              </wp:anchor>
            </w:drawing>
          </mc:Choice>
          <mc:Fallback>
            <w:pict>
              <v:shape id="000257" o:spid="_x0000_s1026" o:spt="202" type="#_x0000_t202" style="position:absolute;left:0pt;margin-left:-9pt;margin-top:0.95pt;height:63pt;width:61.05pt;z-index:252006400;mso-width-relative:page;mso-height-relative:page;" filled="f" stroked="f" coordsize="21600,21600" o:gfxdata="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A4CpnNYAAAAJ&#10;AQAADwAAAAAAAAABACAAAAAiAAAAZHJzL2Rvd25yZXYueG1sUEsBAhQAFAAAAAgAh07iQLi0fOes&#10;AQAAZgMAAA4AAAAAAAAAAQAgAAAAJQEAAGRycy9lMm9Eb2MueG1sUEsFBgAAAAAGAAYAWQEAAEMF&#10;AAAAAA==&#10;">
                <v:fill on="f" focussize="0,0"/>
                <v:stroke on="f"/>
                <v:imagedata o:title=""/>
                <o:lock v:ext="edit" aspectratio="f"/>
                <v:textbox>
                  <w:txbxContent>
                    <w:p w14:paraId="4958A33D">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p w14:paraId="4C96C779">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除专用条款另有约定外，工程质量的国家级质量奖、省级质量奖、市级质量奖、其他质量奖项的优质优价费用，按照招标发包工程的中标通知书日期（直接发包工程按合同签订日期）同时期执行的省、市有关的工程优质费计费标准计算。当合同工程同时获得上述多个奖项的，工程优质费只按最高奖项的额度计算。工程勘察设计及其它优质优价费用的计算标准在专用条款中约定，每一奖项只按最高奖项的额度计算。优质优价费用计入竣工结算文件中，与竣工结算款一并支付。在竣工结算后且在专用条款约定时间内获得优质奖项的，发包人应在获得奖项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天内支付；超过约定时间后获得的，发包人有权不予支付。</w:t>
      </w:r>
    </w:p>
    <w:p w14:paraId="094E5DD9">
      <w:pPr>
        <w:pStyle w:val="23"/>
        <w:tabs>
          <w:tab w:val="left" w:pos="3480"/>
        </w:tabs>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6357DD0">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1028" w:name="_Toc469384053"/>
      <w:bookmarkStart w:id="1029" w:name="_Toc24378"/>
      <w:bookmarkStart w:id="1030" w:name="_Toc14478"/>
      <w:bookmarkStart w:id="1031" w:name="_Toc24661"/>
      <w:bookmarkStart w:id="1032" w:name="_Toc47694354"/>
      <w:bookmarkStart w:id="1033" w:name="_Toc8054"/>
      <w:bookmarkStart w:id="1034" w:name="_Toc19088"/>
      <w:bookmarkStart w:id="1035" w:name="_Toc2771"/>
      <w:bookmarkStart w:id="1036" w:name="_Toc4661"/>
      <w:r>
        <w:rPr>
          <w:rFonts w:hint="eastAsia" w:ascii="仿宋" w:hAnsi="仿宋" w:eastAsia="仿宋" w:cs="仿宋"/>
          <w:bCs w:val="0"/>
          <w:color w:val="auto"/>
          <w:sz w:val="24"/>
          <w:szCs w:val="24"/>
          <w:highlight w:val="none"/>
          <w:lang w:eastAsia="zh-CN"/>
        </w:rPr>
        <w:t>★78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后继法律变化</w:t>
      </w:r>
      <w:bookmarkEnd w:id="1028"/>
      <w:r>
        <w:rPr>
          <w:rFonts w:hint="eastAsia" w:ascii="仿宋" w:hAnsi="仿宋" w:eastAsia="仿宋" w:cs="仿宋"/>
          <w:bCs w:val="0"/>
          <w:color w:val="auto"/>
          <w:sz w:val="24"/>
          <w:szCs w:val="24"/>
          <w:highlight w:val="none"/>
          <w:lang w:eastAsia="zh-CN"/>
        </w:rPr>
        <w:t>引起的价格调整</w:t>
      </w:r>
      <w:bookmarkEnd w:id="1029"/>
      <w:bookmarkEnd w:id="1030"/>
      <w:bookmarkEnd w:id="1031"/>
      <w:bookmarkEnd w:id="1032"/>
      <w:bookmarkEnd w:id="1033"/>
      <w:bookmarkEnd w:id="1034"/>
      <w:bookmarkEnd w:id="1035"/>
      <w:bookmarkEnd w:id="1036"/>
    </w:p>
    <w:p w14:paraId="1B14D05F">
      <w:pPr>
        <w:rPr>
          <w:rFonts w:ascii="仿宋" w:hAnsi="仿宋" w:eastAsia="仿宋" w:cs="仿宋"/>
          <w:b/>
          <w:bCs/>
          <w:color w:val="auto"/>
          <w:highlight w:val="none"/>
          <w:lang w:eastAsia="zh-CN"/>
        </w:rPr>
      </w:pPr>
      <w:bookmarkStart w:id="1037" w:name="_Toc24565"/>
      <w:r>
        <w:rPr>
          <w:color w:val="auto"/>
          <w:highlight w:val="none"/>
        </w:rPr>
        <mc:AlternateContent>
          <mc:Choice Requires="wps">
            <w:drawing>
              <wp:anchor distT="0" distB="0" distL="114300" distR="114300" simplePos="0" relativeHeight="252007424" behindDoc="0" locked="0" layoutInCell="1" allowOverlap="1">
                <wp:simplePos x="0" y="0"/>
                <wp:positionH relativeFrom="column">
                  <wp:posOffset>-133350</wp:posOffset>
                </wp:positionH>
                <wp:positionV relativeFrom="paragraph">
                  <wp:posOffset>273685</wp:posOffset>
                </wp:positionV>
                <wp:extent cx="812800" cy="608330"/>
                <wp:effectExtent l="0" t="0" r="0" b="0"/>
                <wp:wrapNone/>
                <wp:docPr id="341" name="000258"/>
                <wp:cNvGraphicFramePr/>
                <a:graphic xmlns:a="http://schemas.openxmlformats.org/drawingml/2006/main">
                  <a:graphicData uri="http://schemas.microsoft.com/office/word/2010/wordprocessingShape">
                    <wps:wsp>
                      <wps:cNvSpPr txBox="1"/>
                      <wps:spPr>
                        <a:xfrm>
                          <a:off x="0" y="0"/>
                          <a:ext cx="812800" cy="608330"/>
                        </a:xfrm>
                        <a:prstGeom prst="rect">
                          <a:avLst/>
                        </a:prstGeom>
                        <a:noFill/>
                        <a:ln>
                          <a:noFill/>
                        </a:ln>
                        <a:effectLst/>
                      </wps:spPr>
                      <wps:txbx>
                        <w:txbxContent>
                          <w:p w14:paraId="3203EE34">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p w14:paraId="7E14E44F">
                            <w:pPr>
                              <w:rPr>
                                <w:lang w:eastAsia="zh-CN"/>
                              </w:rPr>
                            </w:pPr>
                          </w:p>
                        </w:txbxContent>
                      </wps:txbx>
                      <wps:bodyPr wrap="square" upright="1"/>
                    </wps:wsp>
                  </a:graphicData>
                </a:graphic>
              </wp:anchor>
            </w:drawing>
          </mc:Choice>
          <mc:Fallback>
            <w:pict>
              <v:shape id="000258" o:spid="_x0000_s1026" o:spt="202" type="#_x0000_t202" style="position:absolute;left:0pt;margin-left:-10.5pt;margin-top:21.55pt;height:47.9pt;width:64pt;z-index:252007424;mso-width-relative:page;mso-height-relative:page;" filled="f" stroked="f" coordsize="21600,21600" o:gfxdata="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oUDITXAAAA&#10;CgEAAA8AAAAAAAAAAQAgAAAAIgAAAGRycy9kb3ducmV2LnhtbFBLAQIUABQAAAAIAIdO4kAPaT8y&#10;rAEAAGYDAAAOAAAAAAAAAAEAIAAAACYBAABkcnMvZTJvRG9jLnhtbFBLBQYAAAAABgAGAFkBAABE&#10;BQAAAAA=&#10;">
                <v:fill on="f" focussize="0,0"/>
                <v:stroke on="f"/>
                <v:imagedata o:title=""/>
                <o:lock v:ext="edit" aspectratio="f"/>
                <v:textbox>
                  <w:txbxContent>
                    <w:p w14:paraId="3203EE34">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p w14:paraId="7E14E44F">
                      <w:pPr>
                        <w:rPr>
                          <w:lang w:eastAsia="zh-CN"/>
                        </w:rPr>
                      </w:pPr>
                    </w:p>
                  </w:txbxContent>
                </v:textbox>
              </v:shape>
            </w:pict>
          </mc:Fallback>
        </mc:AlternateContent>
      </w:r>
      <w:r>
        <w:rPr>
          <w:rFonts w:hint="eastAsia" w:ascii="仿宋" w:hAnsi="仿宋" w:eastAsia="仿宋" w:cs="仿宋"/>
          <w:b/>
          <w:bCs/>
          <w:color w:val="auto"/>
          <w:highlight w:val="none"/>
          <w:lang w:eastAsia="zh-CN"/>
        </w:rPr>
        <w:t>78</w:t>
      </w:r>
      <w:r>
        <w:rPr>
          <w:rFonts w:ascii="仿宋" w:hAnsi="仿宋" w:eastAsia="仿宋" w:cs="仿宋"/>
          <w:b/>
          <w:bCs/>
          <w:color w:val="auto"/>
          <w:highlight w:val="none"/>
          <w:lang w:eastAsia="zh-CN"/>
        </w:rPr>
        <w:t>.1</w:t>
      </w:r>
      <w:bookmarkEnd w:id="1037"/>
    </w:p>
    <w:p w14:paraId="52D87507">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合同履行期间，出现国家或省颁布的法律和政策在合同工程基准日期后发生变化，且因执行上述法律和政策引起除第82条约定以外的合同价格增减事项的，合同双方当事人应调整合同价格。</w:t>
      </w:r>
    </w:p>
    <w:p w14:paraId="51BFD703">
      <w:pPr>
        <w:spacing w:line="360" w:lineRule="auto"/>
        <w:rPr>
          <w:rFonts w:ascii="仿宋" w:hAnsi="仿宋" w:eastAsia="仿宋" w:cs="仿宋"/>
          <w:b/>
          <w:bCs/>
          <w:color w:val="auto"/>
          <w:highlight w:val="none"/>
          <w:u w:val="dotted"/>
          <w:lang w:eastAsia="zh-CN"/>
        </w:rPr>
      </w:pPr>
      <w:bookmarkStart w:id="1038" w:name="_Toc8596"/>
      <w:r>
        <w:rPr>
          <w:rFonts w:hint="eastAsia" w:ascii="仿宋" w:hAnsi="仿宋" w:eastAsia="仿宋" w:cs="仿宋"/>
          <w:b/>
          <w:bCs/>
          <w:color w:val="auto"/>
          <w:highlight w:val="none"/>
          <w:lang w:eastAsia="zh-CN"/>
        </w:rPr>
        <w:t>78</w:t>
      </w:r>
      <w:r>
        <w:rPr>
          <w:rFonts w:ascii="仿宋" w:hAnsi="仿宋" w:eastAsia="仿宋" w:cs="仿宋"/>
          <w:b/>
          <w:bCs/>
          <w:color w:val="auto"/>
          <w:highlight w:val="none"/>
          <w:lang w:eastAsia="zh-CN"/>
        </w:rPr>
        <w:t>.2</w:t>
      </w:r>
      <w:bookmarkEnd w:id="103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6754728">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15875</wp:posOffset>
                </wp:positionV>
                <wp:extent cx="775970" cy="417830"/>
                <wp:effectExtent l="0" t="0" r="0" b="0"/>
                <wp:wrapNone/>
                <wp:docPr id="342" name="000259"/>
                <wp:cNvGraphicFramePr/>
                <a:graphic xmlns:a="http://schemas.openxmlformats.org/drawingml/2006/main">
                  <a:graphicData uri="http://schemas.microsoft.com/office/word/2010/wordprocessingShape">
                    <wps:wsp>
                      <wps:cNvSpPr txBox="1"/>
                      <wps:spPr>
                        <a:xfrm>
                          <a:off x="0" y="0"/>
                          <a:ext cx="775970" cy="417830"/>
                        </a:xfrm>
                        <a:prstGeom prst="rect">
                          <a:avLst/>
                        </a:prstGeom>
                        <a:noFill/>
                        <a:ln>
                          <a:noFill/>
                        </a:ln>
                        <a:effectLst/>
                      </wps:spPr>
                      <wps:txbx>
                        <w:txbxContent>
                          <w:p w14:paraId="65BAE4C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p w14:paraId="7A06A217"/>
                        </w:txbxContent>
                      </wps:txbx>
                      <wps:bodyPr wrap="square" upright="1"/>
                    </wps:wsp>
                  </a:graphicData>
                </a:graphic>
              </wp:anchor>
            </w:drawing>
          </mc:Choice>
          <mc:Fallback>
            <w:pict>
              <v:shape id="000259" o:spid="_x0000_s1026" o:spt="202" type="#_x0000_t202" style="position:absolute;left:0pt;margin-left:-9pt;margin-top:1.25pt;height:32.9pt;width:61.1pt;z-index:252008448;mso-width-relative:page;mso-height-relative:page;" filled="f" stroked="f" coordsize="21600,21600" o:gfxdata="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CXr8bWAAAA&#10;CAEAAA8AAAAAAAAAAQAgAAAAIgAAAGRycy9kb3ducmV2LnhtbFBLAQIUABQAAAAIAIdO4kBF40AL&#10;rQEAAGYDAAAOAAAAAAAAAAEAIAAAACUBAABkcnMvZTJvRG9jLnhtbFBLBQYAAAAABgAGAFkBAABE&#10;BQAAAAA=&#10;">
                <v:fill on="f" focussize="0,0"/>
                <v:stroke on="f"/>
                <v:imagedata o:title=""/>
                <o:lock v:ext="edit" aspectratio="f"/>
                <v:textbox>
                  <w:txbxContent>
                    <w:p w14:paraId="65BAE4C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p w14:paraId="7A06A217"/>
                  </w:txbxContent>
                </v:textbox>
              </v:shape>
            </w:pict>
          </mc:Fallback>
        </mc:AlternateContent>
      </w:r>
      <w:r>
        <w:rPr>
          <w:rFonts w:hint="eastAsia" w:ascii="仿宋" w:hAnsi="仿宋" w:eastAsia="仿宋" w:cs="仿宋"/>
          <w:color w:val="auto"/>
          <w:sz w:val="24"/>
          <w:szCs w:val="24"/>
          <w:highlight w:val="none"/>
          <w:lang w:eastAsia="zh-CN"/>
        </w:rPr>
        <w:t>发生第78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款情况的，应根据合同工程实际情况，按照上述法律和政策规定计算调整的合同价格。</w:t>
      </w:r>
    </w:p>
    <w:p w14:paraId="30116EE4">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05161E0">
      <w:pPr>
        <w:pStyle w:val="4"/>
        <w:tabs>
          <w:tab w:val="left" w:pos="420"/>
        </w:tabs>
        <w:spacing w:before="120" w:after="120" w:line="360" w:lineRule="auto"/>
        <w:rPr>
          <w:rFonts w:hint="eastAsia" w:ascii="仿宋" w:hAnsi="仿宋" w:eastAsia="仿宋" w:cs="仿宋"/>
          <w:bCs w:val="0"/>
          <w:color w:val="auto"/>
          <w:sz w:val="24"/>
          <w:szCs w:val="24"/>
          <w:highlight w:val="none"/>
          <w:lang w:eastAsia="zh-CN"/>
        </w:rPr>
      </w:pPr>
      <w:bookmarkStart w:id="1039" w:name="_Toc20013"/>
      <w:bookmarkStart w:id="1040" w:name="_Toc8932"/>
      <w:bookmarkStart w:id="1041" w:name="_Toc47694355"/>
      <w:bookmarkStart w:id="1042" w:name="_Toc13655"/>
      <w:bookmarkStart w:id="1043" w:name="_Toc29484"/>
      <w:bookmarkStart w:id="1044" w:name="_Toc7018"/>
      <w:bookmarkStart w:id="1045" w:name="_Toc12236"/>
      <w:bookmarkStart w:id="1046" w:name="_Toc14593"/>
      <w:r>
        <w:rPr>
          <w:rFonts w:hint="eastAsia" w:ascii="仿宋" w:hAnsi="仿宋" w:eastAsia="仿宋" w:cs="仿宋"/>
          <w:bCs w:val="0"/>
          <w:color w:val="auto"/>
          <w:sz w:val="24"/>
          <w:szCs w:val="24"/>
          <w:highlight w:val="none"/>
          <w:lang w:eastAsia="zh-CN"/>
        </w:rPr>
        <w:t>★79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可调价变更定价</w:t>
      </w:r>
      <w:bookmarkEnd w:id="1039"/>
      <w:bookmarkEnd w:id="1040"/>
      <w:bookmarkEnd w:id="1041"/>
      <w:bookmarkEnd w:id="1042"/>
      <w:bookmarkEnd w:id="1043"/>
      <w:bookmarkEnd w:id="1044"/>
      <w:bookmarkEnd w:id="1045"/>
      <w:bookmarkEnd w:id="1046"/>
    </w:p>
    <w:p w14:paraId="70CD5669">
      <w:pPr>
        <w:pStyle w:val="23"/>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09472" behindDoc="0" locked="0" layoutInCell="1" allowOverlap="1">
                <wp:simplePos x="0" y="0"/>
                <wp:positionH relativeFrom="column">
                  <wp:posOffset>-133350</wp:posOffset>
                </wp:positionH>
                <wp:positionV relativeFrom="paragraph">
                  <wp:posOffset>266065</wp:posOffset>
                </wp:positionV>
                <wp:extent cx="781050" cy="482600"/>
                <wp:effectExtent l="0" t="0" r="0" b="0"/>
                <wp:wrapNone/>
                <wp:docPr id="343" name="00025a"/>
                <wp:cNvGraphicFramePr/>
                <a:graphic xmlns:a="http://schemas.openxmlformats.org/drawingml/2006/main">
                  <a:graphicData uri="http://schemas.microsoft.com/office/word/2010/wordprocessingShape">
                    <wps:wsp>
                      <wps:cNvSpPr txBox="1"/>
                      <wps:spPr>
                        <a:xfrm>
                          <a:off x="0" y="0"/>
                          <a:ext cx="781050" cy="482600"/>
                        </a:xfrm>
                        <a:prstGeom prst="rect">
                          <a:avLst/>
                        </a:prstGeom>
                        <a:noFill/>
                        <a:ln>
                          <a:noFill/>
                        </a:ln>
                        <a:effectLst/>
                      </wps:spPr>
                      <wps:txbx>
                        <w:txbxContent>
                          <w:p w14:paraId="2A03F81B">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p w14:paraId="016C4416">
                            <w:pPr>
                              <w:rPr>
                                <w:lang w:eastAsia="zh-CN"/>
                              </w:rPr>
                            </w:pPr>
                          </w:p>
                        </w:txbxContent>
                      </wps:txbx>
                      <wps:bodyPr wrap="square" upright="1"/>
                    </wps:wsp>
                  </a:graphicData>
                </a:graphic>
              </wp:anchor>
            </w:drawing>
          </mc:Choice>
          <mc:Fallback>
            <w:pict>
              <v:shape id="00025a" o:spid="_x0000_s1026" o:spt="202" type="#_x0000_t202" style="position:absolute;left:0pt;margin-left:-10.5pt;margin-top:20.95pt;height:38pt;width:61.5pt;z-index:252009472;mso-width-relative:page;mso-height-relative:page;" filled="f" stroked="f" coordsize="21600,21600" o:gfxdata="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iO+DTXAAAA&#10;CgEAAA8AAAAAAAAAAQAgAAAAIgAAAGRycy9kb3ducmV2LnhtbFBLAQIUABQAAAAIAIdO4kAC6nbE&#10;rAEAAGYDAAAOAAAAAAAAAAEAIAAAACYBAABkcnMvZTJvRG9jLnhtbFBLBQYAAAAABgAGAFkBAABE&#10;BQAAAAA=&#10;">
                <v:fill on="f" focussize="0,0"/>
                <v:stroke on="f"/>
                <v:imagedata o:title=""/>
                <o:lock v:ext="edit" aspectratio="f"/>
                <v:textbox>
                  <w:txbxContent>
                    <w:p w14:paraId="2A03F81B">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p w14:paraId="016C4416">
                      <w:pPr>
                        <w:rPr>
                          <w:lang w:eastAsia="zh-CN"/>
                        </w:rPr>
                      </w:pPr>
                    </w:p>
                  </w:txbxContent>
                </v:textbox>
              </v:shape>
            </w:pict>
          </mc:Fallback>
        </mc:AlternateContent>
      </w: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.1</w:t>
      </w:r>
    </w:p>
    <w:p w14:paraId="786E7715">
      <w:pPr>
        <w:pStyle w:val="23"/>
        <w:widowControl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合同履行期间，出现第63条工程变更事项且符合第69.3款可调价条件的，合同双方当事人应调整合同价格。</w:t>
      </w:r>
    </w:p>
    <w:p w14:paraId="5D77A80F">
      <w:pPr>
        <w:spacing w:line="360" w:lineRule="auto"/>
        <w:rPr>
          <w:rFonts w:ascii="仿宋" w:hAnsi="仿宋" w:eastAsia="仿宋" w:cs="仿宋"/>
          <w:b/>
          <w:bCs/>
          <w:color w:val="auto"/>
          <w:highlight w:val="none"/>
          <w:lang w:eastAsia="zh-CN"/>
        </w:rPr>
      </w:pPr>
      <w:bookmarkStart w:id="1047" w:name="_Toc18705"/>
      <w:r>
        <w:rPr>
          <w:color w:val="auto"/>
          <w:highlight w:val="none"/>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302895</wp:posOffset>
                </wp:positionV>
                <wp:extent cx="823595" cy="750570"/>
                <wp:effectExtent l="0" t="0" r="0" b="0"/>
                <wp:wrapNone/>
                <wp:docPr id="344" name="00025b"/>
                <wp:cNvGraphicFramePr/>
                <a:graphic xmlns:a="http://schemas.openxmlformats.org/drawingml/2006/main">
                  <a:graphicData uri="http://schemas.microsoft.com/office/word/2010/wordprocessingShape">
                    <wps:wsp>
                      <wps:cNvSpPr txBox="1"/>
                      <wps:spPr>
                        <a:xfrm>
                          <a:off x="0" y="0"/>
                          <a:ext cx="823595" cy="750570"/>
                        </a:xfrm>
                        <a:prstGeom prst="rect">
                          <a:avLst/>
                        </a:prstGeom>
                        <a:noFill/>
                        <a:ln>
                          <a:noFill/>
                        </a:ln>
                        <a:effectLst/>
                      </wps:spPr>
                      <wps:txbx>
                        <w:txbxContent>
                          <w:p w14:paraId="3197E5DD">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p w14:paraId="55263C64">
                            <w:pPr>
                              <w:rPr>
                                <w:lang w:eastAsia="zh-CN"/>
                              </w:rPr>
                            </w:pPr>
                          </w:p>
                        </w:txbxContent>
                      </wps:txbx>
                      <wps:bodyPr wrap="square" upright="1"/>
                    </wps:wsp>
                  </a:graphicData>
                </a:graphic>
              </wp:anchor>
            </w:drawing>
          </mc:Choice>
          <mc:Fallback>
            <w:pict>
              <v:shape id="00025b" o:spid="_x0000_s1026" o:spt="202" type="#_x0000_t202" style="position:absolute;left:0pt;margin-left:-9pt;margin-top:23.85pt;height:59.1pt;width:64.85pt;z-index:252010496;mso-width-relative:page;mso-height-relative:page;" filled="f" stroked="f" coordsize="21600,21600" o:gfxdata="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dgOh11gAA&#10;AAoBAAAPAAAAAAAAAAEAIAAAACIAAABkcnMvZG93bnJldi54bWxQSwECFAAUAAAACACHTuJAzOlr&#10;kq4BAABmAwAADgAAAAAAAAABACAAAAAlAQAAZHJzL2Uyb0RvYy54bWxQSwUGAAAAAAYABgBZAQAA&#10;RQUAAAAA&#10;">
                <v:fill on="f" focussize="0,0"/>
                <v:stroke on="f"/>
                <v:imagedata o:title=""/>
                <o:lock v:ext="edit" aspectratio="f"/>
                <v:textbox>
                  <w:txbxContent>
                    <w:p w14:paraId="3197E5DD">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p w14:paraId="55263C64">
                      <w:pPr>
                        <w:rPr>
                          <w:lang w:eastAsia="zh-CN"/>
                        </w:rPr>
                      </w:pPr>
                    </w:p>
                  </w:txbxContent>
                </v:textbox>
              </v:shape>
            </w:pict>
          </mc:Fallback>
        </mc:AlternateContent>
      </w:r>
      <w:r>
        <w:rPr>
          <w:rFonts w:hint="eastAsia" w:ascii="仿宋" w:hAnsi="仿宋" w:eastAsia="仿宋" w:cs="仿宋"/>
          <w:b/>
          <w:bCs/>
          <w:color w:val="auto"/>
          <w:highlight w:val="none"/>
          <w:lang w:eastAsia="zh-CN"/>
        </w:rPr>
        <w:t>79.2</w:t>
      </w:r>
      <w:bookmarkEnd w:id="104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ED9DFBA">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除专用条款另有约定外，非承包人原因，工程勘察、工程设计、BIM技术应用、设备及工器具购置等总承包工作内容发生变更，其增加或减少的工作项目单价按下列方法确定：</w:t>
      </w:r>
    </w:p>
    <w:p w14:paraId="09DED341">
      <w:pPr>
        <w:pStyle w:val="23"/>
        <w:widowControl w:val="0"/>
        <w:numPr>
          <w:ilvl w:val="1"/>
          <w:numId w:val="14"/>
        </w:numPr>
        <w:tabs>
          <w:tab w:val="clear" w:pos="3285"/>
        </w:tabs>
        <w:spacing w:line="360" w:lineRule="auto"/>
        <w:ind w:left="1850" w:leftChars="771" w:firstLine="0"/>
        <w:jc w:val="both"/>
        <w:rPr>
          <w:rFonts w:ascii="仿宋" w:hAnsi="仿宋" w:eastAsia="仿宋" w:cs="仿宋"/>
          <w:color w:val="auto"/>
          <w:sz w:val="24"/>
          <w:szCs w:val="24"/>
          <w:highlight w:val="none"/>
          <w:lang w:eastAsia="zh-CN"/>
        </w:rPr>
      </w:pPr>
      <w:bookmarkStart w:id="1048" w:name="OLE_LINK10"/>
      <w:bookmarkStart w:id="1049" w:name="OLE_LINK11"/>
      <w:r>
        <w:rPr>
          <w:rFonts w:hint="eastAsia" w:ascii="仿宋" w:hAnsi="仿宋" w:eastAsia="仿宋" w:cs="仿宋"/>
          <w:color w:val="auto"/>
          <w:sz w:val="24"/>
          <w:szCs w:val="24"/>
          <w:highlight w:val="none"/>
          <w:lang w:eastAsia="zh-CN"/>
        </w:rPr>
        <w:t>合同价格清单中已有相同清单项目的，按照相同清单项目的单价确定</w:t>
      </w:r>
      <w:r>
        <w:rPr>
          <w:rFonts w:ascii="仿宋" w:hAnsi="仿宋" w:eastAsia="仿宋" w:cs="仿宋"/>
          <w:color w:val="auto"/>
          <w:sz w:val="24"/>
          <w:szCs w:val="24"/>
          <w:highlight w:val="none"/>
          <w:lang w:eastAsia="zh-CN"/>
        </w:rPr>
        <w:t>;</w:t>
      </w:r>
    </w:p>
    <w:p w14:paraId="32453B24">
      <w:pPr>
        <w:pStyle w:val="23"/>
        <w:widowControl w:val="0"/>
        <w:numPr>
          <w:ilvl w:val="1"/>
          <w:numId w:val="14"/>
        </w:numPr>
        <w:tabs>
          <w:tab w:val="clear" w:pos="3285"/>
        </w:tabs>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合同价格清单中没有相同、只有类似清单项目的，参照类似清单项目的单价调整确定</w:t>
      </w:r>
      <w:r>
        <w:rPr>
          <w:rFonts w:ascii="仿宋" w:hAnsi="仿宋" w:eastAsia="仿宋" w:cs="仿宋"/>
          <w:color w:val="auto"/>
          <w:sz w:val="24"/>
          <w:szCs w:val="24"/>
          <w:highlight w:val="none"/>
          <w:lang w:eastAsia="zh-CN"/>
        </w:rPr>
        <w:t>;</w:t>
      </w:r>
    </w:p>
    <w:p w14:paraId="2C164357">
      <w:pPr>
        <w:pStyle w:val="23"/>
        <w:widowControl w:val="0"/>
        <w:numPr>
          <w:ilvl w:val="1"/>
          <w:numId w:val="14"/>
        </w:numPr>
        <w:tabs>
          <w:tab w:val="clear" w:pos="3285"/>
        </w:tabs>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也没有类似清单项目的，其计价依据、计量规则和计价办法、由合同双方当事人在专用条款中约定。可调价变更工作项目应包含合理的利润，专用条款约定的计价依据、计价办法中不含利润的，可按通用条款约定的利润率计算利润；</w:t>
      </w:r>
    </w:p>
    <w:bookmarkEnd w:id="1048"/>
    <w:bookmarkEnd w:id="1049"/>
    <w:p w14:paraId="08727992">
      <w:pPr>
        <w:pStyle w:val="23"/>
        <w:widowControl w:val="0"/>
        <w:numPr>
          <w:ilvl w:val="1"/>
          <w:numId w:val="14"/>
        </w:numPr>
        <w:tabs>
          <w:tab w:val="clear" w:pos="3285"/>
        </w:tabs>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关于“类似清单项目”的认定原则在合同专用条款中约定。</w:t>
      </w:r>
    </w:p>
    <w:p w14:paraId="76EE9725">
      <w:pPr>
        <w:spacing w:line="360" w:lineRule="auto"/>
        <w:rPr>
          <w:rFonts w:ascii="仿宋" w:hAnsi="仿宋" w:eastAsia="仿宋" w:cs="仿宋"/>
          <w:b/>
          <w:bCs/>
          <w:color w:val="auto"/>
          <w:highlight w:val="none"/>
          <w:lang w:eastAsia="zh-CN"/>
        </w:rPr>
      </w:pPr>
      <w:bookmarkStart w:id="1050" w:name="_Toc11960"/>
      <w:r>
        <w:rPr>
          <w:rFonts w:hint="eastAsia" w:ascii="仿宋" w:hAnsi="仿宋" w:eastAsia="仿宋" w:cs="仿宋"/>
          <w:b/>
          <w:bCs/>
          <w:color w:val="auto"/>
          <w:highlight w:val="none"/>
          <w:lang w:eastAsia="zh-CN"/>
        </w:rPr>
        <w:t>79.3</w:t>
      </w:r>
      <w:bookmarkEnd w:id="105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9C75163">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6350</wp:posOffset>
                </wp:positionV>
                <wp:extent cx="831850" cy="563245"/>
                <wp:effectExtent l="0" t="0" r="0" b="0"/>
                <wp:wrapNone/>
                <wp:docPr id="345" name="00025c"/>
                <wp:cNvGraphicFramePr/>
                <a:graphic xmlns:a="http://schemas.openxmlformats.org/drawingml/2006/main">
                  <a:graphicData uri="http://schemas.microsoft.com/office/word/2010/wordprocessingShape">
                    <wps:wsp>
                      <wps:cNvSpPr txBox="1"/>
                      <wps:spPr>
                        <a:xfrm>
                          <a:off x="0" y="0"/>
                          <a:ext cx="831850" cy="563245"/>
                        </a:xfrm>
                        <a:prstGeom prst="rect">
                          <a:avLst/>
                        </a:prstGeom>
                        <a:noFill/>
                        <a:ln>
                          <a:noFill/>
                        </a:ln>
                        <a:effectLst/>
                      </wps:spPr>
                      <wps:txbx>
                        <w:txbxContent>
                          <w:p w14:paraId="227FDF46">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p w14:paraId="00347675">
                            <w:pPr>
                              <w:rPr>
                                <w:lang w:eastAsia="zh-CN"/>
                              </w:rPr>
                            </w:pPr>
                          </w:p>
                        </w:txbxContent>
                      </wps:txbx>
                      <wps:bodyPr wrap="square" upright="1"/>
                    </wps:wsp>
                  </a:graphicData>
                </a:graphic>
              </wp:anchor>
            </w:drawing>
          </mc:Choice>
          <mc:Fallback>
            <w:pict>
              <v:shape id="00025c" o:spid="_x0000_s1026" o:spt="202" type="#_x0000_t202" style="position:absolute;left:0pt;margin-left:-9pt;margin-top:0.5pt;height:44.35pt;width:65.5pt;z-index:252011520;mso-width-relative:page;mso-height-relative:page;" filled="f" stroked="f" coordsize="21600,21600" o:gfxdata="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OMCONTVAAAACAEA&#10;AA8AAAAAAAAAAQAgAAAAIgAAAGRycy9kb3ducmV2LnhtbFBLAQIUABQAAAAIAIdO4kDYMejcqwEA&#10;AGYDAAAOAAAAAAAAAAEAIAAAACQBAABkcnMvZTJvRG9jLnhtbFBLBQYAAAAABgAGAFkBAABBBQAA&#10;AAA=&#10;">
                <v:fill on="f" focussize="0,0"/>
                <v:stroke on="f"/>
                <v:imagedata o:title=""/>
                <o:lock v:ext="edit" aspectratio="f"/>
                <v:textbox>
                  <w:txbxContent>
                    <w:p w14:paraId="227FDF46">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p w14:paraId="00347675">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除专用条款另有约定外，符合第69.3款约定可调价条件的实体项目变更，其增加或减少的实体项目单价按下列方法确定：</w:t>
      </w:r>
    </w:p>
    <w:p w14:paraId="56737E2C">
      <w:pPr>
        <w:pStyle w:val="23"/>
        <w:widowControl w:val="0"/>
        <w:numPr>
          <w:ilvl w:val="1"/>
          <w:numId w:val="15"/>
        </w:numPr>
        <w:tabs>
          <w:tab w:val="clear" w:pos="3285"/>
        </w:tabs>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合同价格清单中已有相同清单项目的，按照相同清单项目的单价确定</w:t>
      </w:r>
      <w:r>
        <w:rPr>
          <w:rFonts w:ascii="仿宋" w:hAnsi="仿宋" w:eastAsia="仿宋" w:cs="仿宋"/>
          <w:color w:val="auto"/>
          <w:sz w:val="24"/>
          <w:szCs w:val="24"/>
          <w:highlight w:val="none"/>
          <w:lang w:eastAsia="zh-CN"/>
        </w:rPr>
        <w:t>;</w:t>
      </w:r>
    </w:p>
    <w:p w14:paraId="6025C003">
      <w:pPr>
        <w:pStyle w:val="23"/>
        <w:widowControl w:val="0"/>
        <w:numPr>
          <w:ilvl w:val="1"/>
          <w:numId w:val="15"/>
        </w:numPr>
        <w:tabs>
          <w:tab w:val="clear" w:pos="3285"/>
        </w:tabs>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合同价格清单中没有相同、只有类似清单项目的，参照类似清单项目的单价调整确定</w:t>
      </w:r>
      <w:r>
        <w:rPr>
          <w:rFonts w:ascii="仿宋" w:hAnsi="仿宋" w:eastAsia="仿宋" w:cs="仿宋"/>
          <w:color w:val="auto"/>
          <w:sz w:val="24"/>
          <w:szCs w:val="24"/>
          <w:highlight w:val="none"/>
          <w:lang w:eastAsia="zh-CN"/>
        </w:rPr>
        <w:t>;</w:t>
      </w:r>
    </w:p>
    <w:p w14:paraId="2DD553F2">
      <w:pPr>
        <w:pStyle w:val="23"/>
        <w:widowControl w:val="0"/>
        <w:numPr>
          <w:ilvl w:val="1"/>
          <w:numId w:val="15"/>
        </w:numPr>
        <w:tabs>
          <w:tab w:val="clear" w:pos="3285"/>
        </w:tabs>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也没有类似清单项目的，其计价依据、计量规则和计价办法、由合同双方当事人在专用条款中约定。可调价变更实体项目应包含合理的利润，专用条款约定的计价依据、计价办法中不含利润的，可按通用条款约定的利润率计算利润；</w:t>
      </w:r>
    </w:p>
    <w:p w14:paraId="57FB154B">
      <w:pPr>
        <w:pStyle w:val="23"/>
        <w:widowControl w:val="0"/>
        <w:numPr>
          <w:ilvl w:val="1"/>
          <w:numId w:val="15"/>
        </w:numPr>
        <w:tabs>
          <w:tab w:val="clear" w:pos="3285"/>
        </w:tabs>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关于“类似清单项目”的认定原则在合同专用条款中约定。</w:t>
      </w:r>
    </w:p>
    <w:p w14:paraId="4403AC4C">
      <w:pPr>
        <w:pStyle w:val="23"/>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28EF71BA">
      <w:pPr>
        <w:pStyle w:val="23"/>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45720</wp:posOffset>
                </wp:positionV>
                <wp:extent cx="861060" cy="553085"/>
                <wp:effectExtent l="0" t="0" r="0" b="0"/>
                <wp:wrapNone/>
                <wp:docPr id="346" name="00025d"/>
                <wp:cNvGraphicFramePr/>
                <a:graphic xmlns:a="http://schemas.openxmlformats.org/drawingml/2006/main">
                  <a:graphicData uri="http://schemas.microsoft.com/office/word/2010/wordprocessingShape">
                    <wps:wsp>
                      <wps:cNvSpPr txBox="1"/>
                      <wps:spPr>
                        <a:xfrm>
                          <a:off x="0" y="0"/>
                          <a:ext cx="861060" cy="553085"/>
                        </a:xfrm>
                        <a:prstGeom prst="rect">
                          <a:avLst/>
                        </a:prstGeom>
                        <a:noFill/>
                        <a:ln>
                          <a:noFill/>
                        </a:ln>
                        <a:effectLst/>
                      </wps:spPr>
                      <wps:txbx>
                        <w:txbxContent>
                          <w:p w14:paraId="7BE1F619">
                            <w:pPr>
                              <w:pStyle w:val="16"/>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p w14:paraId="09FD9722">
                            <w:pPr>
                              <w:rPr>
                                <w:lang w:eastAsia="zh-CN"/>
                              </w:rPr>
                            </w:pPr>
                          </w:p>
                        </w:txbxContent>
                      </wps:txbx>
                      <wps:bodyPr wrap="square" upright="1"/>
                    </wps:wsp>
                  </a:graphicData>
                </a:graphic>
              </wp:anchor>
            </w:drawing>
          </mc:Choice>
          <mc:Fallback>
            <w:pict>
              <v:shape id="00025d" o:spid="_x0000_s1026" o:spt="202" type="#_x0000_t202" style="position:absolute;left:0pt;margin-left:-9pt;margin-top:3.6pt;height:43.55pt;width:67.8pt;z-index:252012544;mso-width-relative:page;mso-height-relative:page;" filled="f" stroked="f" coordsize="21600,21600" o:gfxdata="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q8gfr1gAAAAgB&#10;AAAPAAAAAAAAAAEAIAAAACIAAABkcnMvZG93bnJldi54bWxQSwECFAAUAAAACACHTuJAsXxmFqsB&#10;AABmAwAADgAAAAAAAAABACAAAAAlAQAAZHJzL2Uyb0RvYy54bWxQSwUGAAAAAAYABgBZAQAAQgUA&#10;AAAA&#10;">
                <v:fill on="f" focussize="0,0"/>
                <v:stroke on="f"/>
                <v:imagedata o:title=""/>
                <o:lock v:ext="edit" aspectratio="f"/>
                <v:textbox>
                  <w:txbxContent>
                    <w:p w14:paraId="7BE1F619">
                      <w:pPr>
                        <w:pStyle w:val="16"/>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p w14:paraId="09FD9722">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除专用条款另有约定外，符合第69.3款约定可调价条件的变更，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14:paraId="1C76256B">
      <w:pPr>
        <w:pStyle w:val="23"/>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 xml:space="preserve">(1) </w:t>
      </w:r>
      <w:r>
        <w:rPr>
          <w:rFonts w:hint="eastAsia" w:ascii="仿宋" w:hAnsi="仿宋" w:eastAsia="仿宋" w:cs="仿宋"/>
          <w:color w:val="auto"/>
          <w:sz w:val="24"/>
          <w:szCs w:val="24"/>
          <w:highlight w:val="none"/>
          <w:lang w:eastAsia="zh-CN"/>
        </w:rPr>
        <w:t>绿色施工安全防护</w:t>
      </w:r>
      <w:r>
        <w:rPr>
          <w:rFonts w:hint="eastAsia" w:ascii="仿宋" w:hAnsi="仿宋" w:eastAsia="仿宋" w:cs="仿宋"/>
          <w:color w:val="auto"/>
          <w:sz w:val="24"/>
          <w:szCs w:val="24"/>
          <w:highlight w:val="none"/>
          <w:lang w:val="en-US" w:eastAsia="zh-CN"/>
        </w:rPr>
        <w:t>措施</w:t>
      </w:r>
      <w:r>
        <w:rPr>
          <w:rFonts w:hint="eastAsia" w:ascii="仿宋" w:hAnsi="仿宋" w:eastAsia="仿宋" w:cs="仿宋"/>
          <w:color w:val="auto"/>
          <w:sz w:val="24"/>
          <w:szCs w:val="24"/>
          <w:highlight w:val="none"/>
          <w:lang w:eastAsia="zh-CN"/>
        </w:rPr>
        <w:t>费，执行政府的相关计费文件规定的单价或费率，按照实际发生变化的措施项目计算确定。</w:t>
      </w:r>
    </w:p>
    <w:p w14:paraId="6044545C">
      <w:pPr>
        <w:pStyle w:val="23"/>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 xml:space="preserve"> 凡可计算工程量的措施项目，其单价按照第79.3款约定确定。</w:t>
      </w:r>
    </w:p>
    <w:p w14:paraId="4E32FC30">
      <w:pPr>
        <w:pStyle w:val="23"/>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 xml:space="preserve"> 凡按系数计算的措施项目费，除本款第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点情形外，执行合同价格清单中标明的计费基础和系数计算确定。</w:t>
      </w:r>
    </w:p>
    <w:p w14:paraId="16386BCC">
      <w:pPr>
        <w:pStyle w:val="23"/>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如果不利一方当事人未按本款约定事先将拟实施的方案提交给另一方当事人，则认为工程变更不引起措施项目费的调整或不利一方当事人放弃调整措施项目费的权利。</w:t>
      </w:r>
    </w:p>
    <w:p w14:paraId="447ED0CB">
      <w:pPr>
        <w:spacing w:line="360" w:lineRule="auto"/>
        <w:rPr>
          <w:rFonts w:ascii="仿宋" w:hAnsi="仿宋" w:eastAsia="仿宋"/>
          <w:b/>
          <w:bCs/>
          <w:color w:val="auto"/>
          <w:highlight w:val="none"/>
          <w:lang w:eastAsia="zh-CN"/>
        </w:rPr>
      </w:pPr>
      <w:bookmarkStart w:id="1051" w:name="_Toc12720"/>
      <w:r>
        <w:rPr>
          <w:rFonts w:hint="eastAsia" w:ascii="仿宋" w:hAnsi="仿宋" w:eastAsia="仿宋" w:cs="仿宋"/>
          <w:b/>
          <w:bCs/>
          <w:color w:val="auto"/>
          <w:highlight w:val="none"/>
          <w:lang w:eastAsia="zh-CN"/>
        </w:rPr>
        <w:t>79</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105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086A58A">
      <w:pPr>
        <w:pStyle w:val="23"/>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45720</wp:posOffset>
                </wp:positionV>
                <wp:extent cx="775970" cy="393065"/>
                <wp:effectExtent l="0" t="0" r="0" b="0"/>
                <wp:wrapNone/>
                <wp:docPr id="347" name="00025e"/>
                <wp:cNvGraphicFramePr/>
                <a:graphic xmlns:a="http://schemas.openxmlformats.org/drawingml/2006/main">
                  <a:graphicData uri="http://schemas.microsoft.com/office/word/2010/wordprocessingShape">
                    <wps:wsp>
                      <wps:cNvSpPr txBox="1"/>
                      <wps:spPr>
                        <a:xfrm>
                          <a:off x="0" y="0"/>
                          <a:ext cx="775970" cy="393065"/>
                        </a:xfrm>
                        <a:prstGeom prst="rect">
                          <a:avLst/>
                        </a:prstGeom>
                        <a:noFill/>
                        <a:ln>
                          <a:noFill/>
                        </a:ln>
                        <a:effectLst/>
                      </wps:spPr>
                      <wps:txbx>
                        <w:txbxContent>
                          <w:p w14:paraId="74C7785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p w14:paraId="456771D4"/>
                        </w:txbxContent>
                      </wps:txbx>
                      <wps:bodyPr wrap="square" upright="1"/>
                    </wps:wsp>
                  </a:graphicData>
                </a:graphic>
              </wp:anchor>
            </w:drawing>
          </mc:Choice>
          <mc:Fallback>
            <w:pict>
              <v:shape id="00025e" o:spid="_x0000_s1026" o:spt="202" type="#_x0000_t202" style="position:absolute;left:0pt;margin-left:-9pt;margin-top:3.6pt;height:30.95pt;width:61.1pt;z-index:252013568;mso-width-relative:page;mso-height-relative:page;" filled="f" stroked="f" coordsize="21600,21600" o:gfxdata="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eyG9l1gAAAAgB&#10;AAAPAAAAAAAAAAEAIAAAACIAAABkcnMvZG93bnJldi54bWxQSwECFAAUAAAACACHTuJANRsplasB&#10;AABmAwAADgAAAAAAAAABACAAAAAlAQAAZHJzL2Uyb0RvYy54bWxQSwUGAAAAAAYABgBZAQAAQgUA&#10;AAAA&#10;">
                <v:fill on="f" focussize="0,0"/>
                <v:stroke on="f"/>
                <v:imagedata o:title=""/>
                <o:lock v:ext="edit" aspectratio="f"/>
                <v:textbox>
                  <w:txbxContent>
                    <w:p w14:paraId="74C7785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p w14:paraId="456771D4"/>
                  </w:txbxContent>
                </v:textbox>
              </v:shape>
            </w:pict>
          </mc:Fallback>
        </mc:AlternateContent>
      </w:r>
      <w:r>
        <w:rPr>
          <w:rFonts w:hint="eastAsia" w:ascii="仿宋" w:hAnsi="仿宋" w:eastAsia="仿宋" w:cs="仿宋"/>
          <w:color w:val="auto"/>
          <w:sz w:val="24"/>
          <w:szCs w:val="24"/>
          <w:highlight w:val="none"/>
          <w:lang w:eastAsia="zh-CN"/>
        </w:rPr>
        <w:t>如果因为非承包人原因删减了合同中的某项原定工作或工程，致使承包人发生的费用或</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和</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得到的收益不能被包括在其他已支付或应支付的项目中，也未被包含在任何替代的工作或工程中，则承包人有权按照本条约定提出并得到补偿。</w:t>
      </w:r>
    </w:p>
    <w:p w14:paraId="4E348E60">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048ACA46">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1052" w:name="_Toc31554"/>
      <w:bookmarkStart w:id="1053" w:name="_Toc8150"/>
      <w:bookmarkStart w:id="1054" w:name="_Toc11370"/>
      <w:bookmarkStart w:id="1055" w:name="_Toc26451"/>
      <w:bookmarkStart w:id="1056" w:name="_Toc32197"/>
      <w:bookmarkStart w:id="1057" w:name="_Toc28879"/>
      <w:bookmarkStart w:id="1058" w:name="_Toc4495"/>
      <w:bookmarkStart w:id="1059" w:name="_Toc47694356"/>
      <w:r>
        <w:rPr>
          <w:rFonts w:hint="eastAsia" w:ascii="仿宋" w:hAnsi="仿宋" w:eastAsia="仿宋" w:cs="仿宋"/>
          <w:bCs w:val="0"/>
          <w:color w:val="auto"/>
          <w:sz w:val="24"/>
          <w:szCs w:val="24"/>
          <w:highlight w:val="none"/>
          <w:lang w:eastAsia="zh-CN"/>
        </w:rPr>
        <w:t>★80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费用索赔</w:t>
      </w:r>
      <w:bookmarkEnd w:id="1052"/>
      <w:bookmarkEnd w:id="1053"/>
      <w:bookmarkEnd w:id="1054"/>
      <w:bookmarkEnd w:id="1055"/>
      <w:bookmarkEnd w:id="1056"/>
      <w:bookmarkEnd w:id="1057"/>
      <w:bookmarkEnd w:id="1058"/>
      <w:bookmarkEnd w:id="1059"/>
    </w:p>
    <w:p w14:paraId="2086D85E">
      <w:pPr>
        <w:pStyle w:val="23"/>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207010</wp:posOffset>
                </wp:positionV>
                <wp:extent cx="813435" cy="391795"/>
                <wp:effectExtent l="0" t="0" r="0" b="0"/>
                <wp:wrapNone/>
                <wp:docPr id="348" name="00025f"/>
                <wp:cNvGraphicFramePr/>
                <a:graphic xmlns:a="http://schemas.openxmlformats.org/drawingml/2006/main">
                  <a:graphicData uri="http://schemas.microsoft.com/office/word/2010/wordprocessingShape">
                    <wps:wsp>
                      <wps:cNvSpPr txBox="1"/>
                      <wps:spPr>
                        <a:xfrm>
                          <a:off x="0" y="0"/>
                          <a:ext cx="813435" cy="391795"/>
                        </a:xfrm>
                        <a:prstGeom prst="rect">
                          <a:avLst/>
                        </a:prstGeom>
                        <a:noFill/>
                        <a:ln>
                          <a:noFill/>
                        </a:ln>
                        <a:effectLst/>
                      </wps:spPr>
                      <wps:txbx>
                        <w:txbxContent>
                          <w:p w14:paraId="5106888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p w14:paraId="52843018"/>
                        </w:txbxContent>
                      </wps:txbx>
                      <wps:bodyPr wrap="square" upright="1"/>
                    </wps:wsp>
                  </a:graphicData>
                </a:graphic>
              </wp:anchor>
            </w:drawing>
          </mc:Choice>
          <mc:Fallback>
            <w:pict>
              <v:shape id="00025f" o:spid="_x0000_s1026" o:spt="202" type="#_x0000_t202" style="position:absolute;left:0pt;margin-left:-9pt;margin-top:16.3pt;height:30.85pt;width:64.05pt;z-index:252014592;mso-width-relative:page;mso-height-relative:page;" filled="f" stroked="f" coordsize="21600,21600" o:gfxdata="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SkBIw1wAA&#10;AAkBAAAPAAAAAAAAAAEAIAAAACIAAABkcnMvZG93bnJldi54bWxQSwECFAAUAAAACACHTuJAHzRV&#10;NK0BAABmAwAADgAAAAAAAAABACAAAAAmAQAAZHJzL2Uyb0RvYy54bWxQSwUGAAAAAAYABgBZAQAA&#10;RQUAAAAA&#10;">
                <v:fill on="f" focussize="0,0"/>
                <v:stroke on="f"/>
                <v:imagedata o:title=""/>
                <o:lock v:ext="edit" aspectratio="f"/>
                <v:textbox>
                  <w:txbxContent>
                    <w:p w14:paraId="5106888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p w14:paraId="52843018"/>
                  </w:txbxContent>
                </v:textbox>
              </v:shape>
            </w:pict>
          </mc:Fallback>
        </mc:AlternateContent>
      </w:r>
      <w:r>
        <w:rPr>
          <w:rFonts w:hint="eastAsia" w:ascii="仿宋" w:hAnsi="仿宋" w:eastAsia="仿宋" w:cs="仿宋"/>
          <w:b/>
          <w:bCs/>
          <w:color w:val="auto"/>
          <w:sz w:val="24"/>
          <w:szCs w:val="24"/>
          <w:highlight w:val="none"/>
          <w:lang w:eastAsia="zh-CN"/>
        </w:rPr>
        <w:t>80</w:t>
      </w:r>
      <w:r>
        <w:rPr>
          <w:rFonts w:ascii="仿宋" w:hAnsi="仿宋" w:eastAsia="仿宋" w:cs="仿宋"/>
          <w:b/>
          <w:bCs/>
          <w:color w:val="auto"/>
          <w:sz w:val="24"/>
          <w:szCs w:val="24"/>
          <w:highlight w:val="none"/>
          <w:lang w:eastAsia="zh-CN"/>
        </w:rPr>
        <w:t>.1</w:t>
      </w:r>
    </w:p>
    <w:p w14:paraId="110DB306">
      <w:pPr>
        <w:pStyle w:val="23"/>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合同履行期间，出现费用索赔事项的，合同双方当事人应调整合同价格。</w:t>
      </w:r>
    </w:p>
    <w:p w14:paraId="308CEAFA">
      <w:pPr>
        <w:spacing w:line="360" w:lineRule="auto"/>
        <w:rPr>
          <w:rFonts w:ascii="仿宋" w:hAnsi="仿宋" w:eastAsia="仿宋" w:cs="仿宋"/>
          <w:b/>
          <w:bCs/>
          <w:color w:val="auto"/>
          <w:highlight w:val="none"/>
          <w:lang w:eastAsia="zh-CN"/>
        </w:rPr>
      </w:pPr>
      <w:bookmarkStart w:id="1060" w:name="_Toc20195"/>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.2</w:t>
      </w:r>
      <w:bookmarkEnd w:id="106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652A8B7">
      <w:pPr>
        <w:pStyle w:val="23"/>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15875</wp:posOffset>
                </wp:positionV>
                <wp:extent cx="775970" cy="363220"/>
                <wp:effectExtent l="0" t="0" r="0" b="0"/>
                <wp:wrapNone/>
                <wp:docPr id="349" name="000260"/>
                <wp:cNvGraphicFramePr/>
                <a:graphic xmlns:a="http://schemas.openxmlformats.org/drawingml/2006/main">
                  <a:graphicData uri="http://schemas.microsoft.com/office/word/2010/wordprocessingShape">
                    <wps:wsp>
                      <wps:cNvSpPr txBox="1"/>
                      <wps:spPr>
                        <a:xfrm>
                          <a:off x="0" y="0"/>
                          <a:ext cx="775970" cy="363220"/>
                        </a:xfrm>
                        <a:prstGeom prst="rect">
                          <a:avLst/>
                        </a:prstGeom>
                        <a:noFill/>
                        <a:ln>
                          <a:noFill/>
                        </a:ln>
                        <a:effectLst/>
                      </wps:spPr>
                      <wps:txbx>
                        <w:txbxContent>
                          <w:p w14:paraId="3382474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p w14:paraId="7D83813F"/>
                        </w:txbxContent>
                      </wps:txbx>
                      <wps:bodyPr wrap="square" upright="1"/>
                    </wps:wsp>
                  </a:graphicData>
                </a:graphic>
              </wp:anchor>
            </w:drawing>
          </mc:Choice>
          <mc:Fallback>
            <w:pict>
              <v:shape id="000260" o:spid="_x0000_s1026" o:spt="202" type="#_x0000_t202" style="position:absolute;left:0pt;margin-left:-9pt;margin-top:1.25pt;height:28.6pt;width:61.1pt;z-index:252015616;mso-width-relative:page;mso-height-relative:page;" filled="f" stroked="f" coordsize="21600,21600" o:gfxdata="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yO+MdYAAAAI&#10;AQAADwAAAAAAAAABACAAAAAiAAAAZHJzL2Rvd25yZXYueG1sUEsBAhQAFAAAAAgAh07iQMmV9q6s&#10;AQAAZgMAAA4AAAAAAAAAAQAgAAAAJQEAAGRycy9lMm9Eb2MueG1sUEsFBgAAAAAGAAYAWQEAAEMF&#10;AAAAAA==&#10;">
                <v:fill on="f" focussize="0,0"/>
                <v:stroke on="f"/>
                <v:imagedata o:title=""/>
                <o:lock v:ext="edit" aspectratio="f"/>
                <v:textbox>
                  <w:txbxContent>
                    <w:p w14:paraId="3382474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p w14:paraId="7D83813F"/>
                  </w:txbxContent>
                </v:textbox>
              </v:shape>
            </w:pict>
          </mc:Fallback>
        </mc:AlternateContent>
      </w:r>
      <w:r>
        <w:rPr>
          <w:rFonts w:hint="eastAsia" w:ascii="仿宋" w:hAnsi="仿宋" w:eastAsia="仿宋" w:cs="仿宋"/>
          <w:color w:val="auto"/>
          <w:sz w:val="24"/>
          <w:szCs w:val="24"/>
          <w:highlight w:val="none"/>
          <w:lang w:eastAsia="zh-CN"/>
        </w:rPr>
        <w:t>如果承包人根据合同约定提出任何费用或其它形式的损失索赔时，应在该索赔事项发生之后的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天内向监理人、造价咨询人发出索赔意向书，并抄送发包人。</w:t>
      </w:r>
    </w:p>
    <w:p w14:paraId="392FE997">
      <w:pPr>
        <w:spacing w:line="360" w:lineRule="auto"/>
        <w:rPr>
          <w:rFonts w:ascii="仿宋" w:hAnsi="仿宋" w:eastAsia="仿宋"/>
          <w:b/>
          <w:bCs/>
          <w:color w:val="auto"/>
          <w:highlight w:val="none"/>
          <w:lang w:eastAsia="zh-CN"/>
        </w:rPr>
      </w:pPr>
      <w:bookmarkStart w:id="1061" w:name="_Toc23897"/>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.3</w:t>
      </w:r>
      <w:bookmarkEnd w:id="106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B566162">
      <w:pPr>
        <w:pStyle w:val="23"/>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635</wp:posOffset>
                </wp:positionV>
                <wp:extent cx="823595" cy="490220"/>
                <wp:effectExtent l="0" t="0" r="0" b="0"/>
                <wp:wrapNone/>
                <wp:docPr id="350" name="000261"/>
                <wp:cNvGraphicFramePr/>
                <a:graphic xmlns:a="http://schemas.openxmlformats.org/drawingml/2006/main">
                  <a:graphicData uri="http://schemas.microsoft.com/office/word/2010/wordprocessingShape">
                    <wps:wsp>
                      <wps:cNvSpPr txBox="1"/>
                      <wps:spPr>
                        <a:xfrm>
                          <a:off x="0" y="0"/>
                          <a:ext cx="823595" cy="490220"/>
                        </a:xfrm>
                        <a:prstGeom prst="rect">
                          <a:avLst/>
                        </a:prstGeom>
                        <a:noFill/>
                        <a:ln>
                          <a:noFill/>
                        </a:ln>
                        <a:effectLst/>
                      </wps:spPr>
                      <wps:txbx>
                        <w:txbxContent>
                          <w:p w14:paraId="79A1A94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p w14:paraId="1748BFEB"/>
                        </w:txbxContent>
                      </wps:txbx>
                      <wps:bodyPr wrap="square" upright="1"/>
                    </wps:wsp>
                  </a:graphicData>
                </a:graphic>
              </wp:anchor>
            </w:drawing>
          </mc:Choice>
          <mc:Fallback>
            <w:pict>
              <v:shape id="000261" o:spid="_x0000_s1026" o:spt="202" type="#_x0000_t202" style="position:absolute;left:0pt;margin-left:-9pt;margin-top:0.05pt;height:38.6pt;width:64.85pt;z-index:252016640;mso-width-relative:page;mso-height-relative:page;" filled="f" stroked="f" coordsize="21600,21600" o:gfxdata="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RH5XfUAAAABwEA&#10;AA8AAAAAAAAAAQAgAAAAIgAAAGRycy9kb3ducmV2LnhtbFBLAQIUABQAAAAIAIdO4kArPRzfrAEA&#10;AGYDAAAOAAAAAAAAAAEAIAAAACMBAABkcnMvZTJvRG9jLnhtbFBLBQYAAAAABgAGAFkBAABBBQAA&#10;AAA=&#10;">
                <v:fill on="f" focussize="0,0"/>
                <v:stroke on="f"/>
                <v:imagedata o:title=""/>
                <o:lock v:ext="edit" aspectratio="f"/>
                <v:textbox>
                  <w:txbxContent>
                    <w:p w14:paraId="79A1A94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p w14:paraId="1748BFEB"/>
                  </w:txbxContent>
                </v:textbox>
              </v:shape>
            </w:pict>
          </mc:Fallback>
        </mc:AlternateContent>
      </w:r>
      <w:r>
        <w:rPr>
          <w:rFonts w:hint="eastAsia" w:ascii="仿宋" w:hAnsi="仿宋" w:eastAsia="仿宋" w:cs="仿宋"/>
          <w:color w:val="auto"/>
          <w:sz w:val="24"/>
          <w:szCs w:val="24"/>
          <w:highlight w:val="none"/>
          <w:lang w:eastAsia="zh-CN"/>
        </w:rPr>
        <w:t>在索赔事项发生时，承包人应保存当时的记录，作为申请索赔的凭证。造价咨询人在接到索赔意向书时，无需确认是否属于发包人责任，应先审查记录并可要求承包人进一步作好补充记录。承包人应配合造价咨询人审查其记录，在造价咨询人有要求时，应当向造价咨询人提供记录的复印件。</w:t>
      </w:r>
    </w:p>
    <w:p w14:paraId="1397B7D3">
      <w:pPr>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.4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645753FC">
      <w:pPr>
        <w:pStyle w:val="23"/>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5080</wp:posOffset>
                </wp:positionV>
                <wp:extent cx="800100" cy="501650"/>
                <wp:effectExtent l="0" t="0" r="0" b="0"/>
                <wp:wrapNone/>
                <wp:docPr id="351" name="000262"/>
                <wp:cNvGraphicFramePr/>
                <a:graphic xmlns:a="http://schemas.openxmlformats.org/drawingml/2006/main">
                  <a:graphicData uri="http://schemas.microsoft.com/office/word/2010/wordprocessingShape">
                    <wps:wsp>
                      <wps:cNvSpPr txBox="1"/>
                      <wps:spPr>
                        <a:xfrm>
                          <a:off x="0" y="0"/>
                          <a:ext cx="800100" cy="501650"/>
                        </a:xfrm>
                        <a:prstGeom prst="rect">
                          <a:avLst/>
                        </a:prstGeom>
                        <a:noFill/>
                        <a:ln>
                          <a:noFill/>
                        </a:ln>
                        <a:effectLst/>
                      </wps:spPr>
                      <wps:txbx>
                        <w:txbxContent>
                          <w:p w14:paraId="7479FEB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p w14:paraId="6E771A92"/>
                        </w:txbxContent>
                      </wps:txbx>
                      <wps:bodyPr wrap="square" upright="1"/>
                    </wps:wsp>
                  </a:graphicData>
                </a:graphic>
              </wp:anchor>
            </w:drawing>
          </mc:Choice>
          <mc:Fallback>
            <w:pict>
              <v:shape id="000262" o:spid="_x0000_s1026" o:spt="202" type="#_x0000_t202" style="position:absolute;left:0pt;margin-left:-9pt;margin-top:0.4pt;height:39.5pt;width:63pt;z-index:252017664;mso-width-relative:page;mso-height-relative:page;" filled="f" stroked="f" coordsize="21600,21600" o:gfxdata="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TePKc0wAAAAcBAAAP&#10;AAAAAAAAAAEAIAAAACIAAABkcnMvZG93bnJldi54bWxQSwECFAAUAAAACACHTuJAw4So/asBAABm&#10;AwAADgAAAAAAAAABACAAAAAiAQAAZHJzL2Uyb0RvYy54bWxQSwUGAAAAAAYABgBZAQAAPwUAAAAA&#10;">
                <v:fill on="f" focussize="0,0"/>
                <v:stroke on="f"/>
                <v:imagedata o:title=""/>
                <o:lock v:ext="edit" aspectratio="f"/>
                <v:textbox>
                  <w:txbxContent>
                    <w:p w14:paraId="7479FEB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p w14:paraId="6E771A92"/>
                  </w:txbxContent>
                </v:textbox>
              </v:shape>
            </w:pict>
          </mc:Fallback>
        </mc:AlternateContent>
      </w:r>
      <w:r>
        <w:rPr>
          <w:rFonts w:hint="eastAsia" w:ascii="仿宋" w:hAnsi="仿宋" w:eastAsia="仿宋" w:cs="仿宋"/>
          <w:color w:val="auto"/>
          <w:sz w:val="24"/>
          <w:szCs w:val="24"/>
          <w:highlight w:val="none"/>
          <w:lang w:eastAsia="zh-CN"/>
        </w:rPr>
        <w:t>在发出索赔意向书后的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天内，承包人应向造价咨询人提交费用索赔报告和有关资料。如果索赔事项持续进行，承包人应每隔</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天向造价咨询人发出索赔意向书，在索赔事项终结后的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天内，提交最终费用索赔报告和有关资料。</w:t>
      </w:r>
    </w:p>
    <w:p w14:paraId="43CAED9C">
      <w:pPr>
        <w:spacing w:line="360" w:lineRule="auto"/>
        <w:rPr>
          <w:rFonts w:ascii="仿宋" w:hAnsi="仿宋" w:eastAsia="仿宋"/>
          <w:b/>
          <w:bCs/>
          <w:color w:val="auto"/>
          <w:highlight w:val="none"/>
          <w:lang w:eastAsia="zh-CN"/>
        </w:rPr>
      </w:pPr>
      <w:bookmarkStart w:id="1062" w:name="_Toc1734"/>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.5</w:t>
      </w:r>
      <w:bookmarkEnd w:id="106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D97984F">
      <w:pPr>
        <w:pStyle w:val="23"/>
        <w:widowControl w:val="0"/>
        <w:spacing w:line="360" w:lineRule="auto"/>
        <w:ind w:left="1850" w:leftChars="771"/>
        <w:jc w:val="both"/>
        <w:rPr>
          <w:rFonts w:ascii="仿宋" w:hAnsi="仿宋" w:eastAsia="仿宋"/>
          <w:b/>
          <w:bCs/>
          <w:color w:val="auto"/>
          <w:sz w:val="24"/>
          <w:szCs w:val="24"/>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18688" behindDoc="0" locked="0" layoutInCell="1" allowOverlap="1">
                <wp:simplePos x="0" y="0"/>
                <wp:positionH relativeFrom="column">
                  <wp:posOffset>-47625</wp:posOffset>
                </wp:positionH>
                <wp:positionV relativeFrom="paragraph">
                  <wp:posOffset>15875</wp:posOffset>
                </wp:positionV>
                <wp:extent cx="845820" cy="327025"/>
                <wp:effectExtent l="0" t="0" r="0" b="0"/>
                <wp:wrapNone/>
                <wp:docPr id="352" name="000263"/>
                <wp:cNvGraphicFramePr/>
                <a:graphic xmlns:a="http://schemas.openxmlformats.org/drawingml/2006/main">
                  <a:graphicData uri="http://schemas.microsoft.com/office/word/2010/wordprocessingShape">
                    <wps:wsp>
                      <wps:cNvSpPr txBox="1"/>
                      <wps:spPr>
                        <a:xfrm>
                          <a:off x="0" y="0"/>
                          <a:ext cx="845820" cy="327025"/>
                        </a:xfrm>
                        <a:prstGeom prst="rect">
                          <a:avLst/>
                        </a:prstGeom>
                        <a:noFill/>
                        <a:ln>
                          <a:noFill/>
                        </a:ln>
                        <a:effectLst/>
                      </wps:spPr>
                      <wps:txbx>
                        <w:txbxContent>
                          <w:p w14:paraId="7E2611F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p w14:paraId="38145E12"/>
                        </w:txbxContent>
                      </wps:txbx>
                      <wps:bodyPr wrap="square" upright="1"/>
                    </wps:wsp>
                  </a:graphicData>
                </a:graphic>
              </wp:anchor>
            </w:drawing>
          </mc:Choice>
          <mc:Fallback>
            <w:pict>
              <v:shape id="000263" o:spid="_x0000_s1026" o:spt="202" type="#_x0000_t202" style="position:absolute;left:0pt;margin-left:-3.75pt;margin-top:1.25pt;height:25.75pt;width:66.6pt;z-index:252018688;mso-width-relative:page;mso-height-relative:page;" filled="f" stroked="f" coordsize="21600,21600" o:gfxdata="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HwfNAtQAAAAHAQAA&#10;DwAAAAAAAAABACAAAAAiAAAAZHJzL2Rvd25yZXYueG1sUEsBAhQAFAAAAAgAh07iQGSnLW6rAQAA&#10;ZgMAAA4AAAAAAAAAAQAgAAAAIwEAAGRycy9lMm9Eb2MueG1sUEsFBgAAAAAGAAYAWQEAAEAFAAAA&#10;AA==&#10;">
                <v:fill on="f" focussize="0,0"/>
                <v:stroke on="f"/>
                <v:imagedata o:title=""/>
                <o:lock v:ext="edit" aspectratio="f"/>
                <v:textbox>
                  <w:txbxContent>
                    <w:p w14:paraId="7E2611F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p w14:paraId="38145E12"/>
                  </w:txbxContent>
                </v:textbox>
              </v:shape>
            </w:pict>
          </mc:Fallback>
        </mc:AlternateContent>
      </w:r>
      <w:r>
        <w:rPr>
          <w:rFonts w:hint="eastAsia" w:ascii="仿宋" w:hAnsi="仿宋" w:eastAsia="仿宋" w:cs="仿宋"/>
          <w:color w:val="auto"/>
          <w:sz w:val="24"/>
          <w:szCs w:val="24"/>
          <w:highlight w:val="none"/>
          <w:lang w:eastAsia="zh-CN"/>
        </w:rPr>
        <w:t>如果承包人提出的索赔未能遵守第80</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款至第80</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款约定，则承包人无权获得索赔或只限于获得由造价咨询人按照提供记录予以核实的部分款额。</w:t>
      </w:r>
    </w:p>
    <w:p w14:paraId="1479F9F9">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1E778E0B">
      <w:pPr>
        <w:pStyle w:val="23"/>
        <w:widowControl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8255</wp:posOffset>
                </wp:positionV>
                <wp:extent cx="823595" cy="494665"/>
                <wp:effectExtent l="0" t="0" r="0" b="0"/>
                <wp:wrapNone/>
                <wp:docPr id="353" name="000264"/>
                <wp:cNvGraphicFramePr/>
                <a:graphic xmlns:a="http://schemas.openxmlformats.org/drawingml/2006/main">
                  <a:graphicData uri="http://schemas.microsoft.com/office/word/2010/wordprocessingShape">
                    <wps:wsp>
                      <wps:cNvSpPr txBox="1"/>
                      <wps:spPr>
                        <a:xfrm>
                          <a:off x="0" y="0"/>
                          <a:ext cx="823595" cy="494665"/>
                        </a:xfrm>
                        <a:prstGeom prst="rect">
                          <a:avLst/>
                        </a:prstGeom>
                        <a:noFill/>
                        <a:ln>
                          <a:noFill/>
                        </a:ln>
                        <a:effectLst/>
                      </wps:spPr>
                      <wps:txbx>
                        <w:txbxContent>
                          <w:p w14:paraId="37A44DC7">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p w14:paraId="6690E7BF">
                            <w:pPr>
                              <w:rPr>
                                <w:lang w:eastAsia="zh-CN"/>
                              </w:rPr>
                            </w:pPr>
                          </w:p>
                        </w:txbxContent>
                      </wps:txbx>
                      <wps:bodyPr wrap="square" upright="1"/>
                    </wps:wsp>
                  </a:graphicData>
                </a:graphic>
              </wp:anchor>
            </w:drawing>
          </mc:Choice>
          <mc:Fallback>
            <w:pict>
              <v:shape id="000264" o:spid="_x0000_s1026" o:spt="202" type="#_x0000_t202" style="position:absolute;left:0pt;margin-left:-9pt;margin-top:0.65pt;height:38.95pt;width:64.85pt;z-index:252019712;mso-width-relative:page;mso-height-relative:page;" filled="f" stroked="f" coordsize="21600,21600" o:gfxdata="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Ncf5E9YAAAAI&#10;AQAADwAAAAAAAAABACAAAAAiAAAAZHJzL2Rvd25yZXYueG1sUEsBAhQAFAAAAAgAh07iQMKQ+7Ws&#10;AQAAZgMAAA4AAAAAAAAAAQAgAAAAJQEAAGRycy9lMm9Eb2MueG1sUEsFBgAAAAAGAAYAWQEAAEMF&#10;AAAAAA==&#10;">
                <v:fill on="f" focussize="0,0"/>
                <v:stroke on="f"/>
                <v:imagedata o:title=""/>
                <o:lock v:ext="edit" aspectratio="f"/>
                <v:textbox>
                  <w:txbxContent>
                    <w:p w14:paraId="37A44DC7">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p w14:paraId="6690E7BF">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造价咨询人应在收到承包人提交的费用索赔报告和有关资料后的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核实或要求承包人进一步补充索赔理由和证据，并与合同双方当事人协商确定承包人有权获得的全部或部分的索赔款额；协商不能达成一致的，由造价咨询人暂定，通知承包人并抄报发包人。如果造价咨询人在约定期限内未予答复也未对承包人作出进一步要求，视为该费用索赔报告已经被认可。</w:t>
      </w:r>
    </w:p>
    <w:p w14:paraId="5BEFB773">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01717227">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38735</wp:posOffset>
                </wp:positionV>
                <wp:extent cx="589915" cy="325755"/>
                <wp:effectExtent l="0" t="0" r="0" b="0"/>
                <wp:wrapNone/>
                <wp:docPr id="354" name="000265"/>
                <wp:cNvGraphicFramePr/>
                <a:graphic xmlns:a="http://schemas.openxmlformats.org/drawingml/2006/main">
                  <a:graphicData uri="http://schemas.microsoft.com/office/word/2010/wordprocessingShape">
                    <wps:wsp>
                      <wps:cNvSpPr txBox="1"/>
                      <wps:spPr>
                        <a:xfrm>
                          <a:off x="0" y="0"/>
                          <a:ext cx="589915" cy="325755"/>
                        </a:xfrm>
                        <a:prstGeom prst="rect">
                          <a:avLst/>
                        </a:prstGeom>
                        <a:noFill/>
                        <a:ln>
                          <a:noFill/>
                        </a:ln>
                        <a:effectLst/>
                      </wps:spPr>
                      <wps:txbx>
                        <w:txbxContent>
                          <w:p w14:paraId="7945633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p w14:paraId="5594CF5A"/>
                        </w:txbxContent>
                      </wps:txbx>
                      <wps:bodyPr wrap="square" upright="1"/>
                    </wps:wsp>
                  </a:graphicData>
                </a:graphic>
              </wp:anchor>
            </w:drawing>
          </mc:Choice>
          <mc:Fallback>
            <w:pict>
              <v:shape id="000265" o:spid="_x0000_s1026" o:spt="202" type="#_x0000_t202" style="position:absolute;left:0pt;margin-left:-9pt;margin-top:3.05pt;height:25.65pt;width:46.45pt;z-index:252020736;mso-width-relative:page;mso-height-relative:page;" filled="f" stroked="f" coordsize="21600,21600" o:gfxdata="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mkeUu1gAA&#10;AAcBAAAPAAAAAAAAAAEAIAAAACIAAABkcnMvZG93bnJldi54bWxQSwECFAAUAAAACACHTuJAICbS&#10;Ea4BAABmAwAADgAAAAAAAAABACAAAAAlAQAAZHJzL2Uyb0RvYy54bWxQSwUGAAAAAAYABgBZAQAA&#10;RQUAAAAA&#10;">
                <v:fill on="f" focussize="0,0"/>
                <v:stroke on="f"/>
                <v:imagedata o:title=""/>
                <o:lock v:ext="edit" aspectratio="f"/>
                <v:textbox>
                  <w:txbxContent>
                    <w:p w14:paraId="7945633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p w14:paraId="5594CF5A"/>
                  </w:txbxContent>
                </v:textbox>
              </v:shape>
            </w:pict>
          </mc:Fallback>
        </mc:AlternateContent>
      </w:r>
      <w:r>
        <w:rPr>
          <w:rFonts w:hint="eastAsia" w:ascii="仿宋" w:hAnsi="仿宋" w:eastAsia="仿宋" w:cs="仿宋"/>
          <w:color w:val="auto"/>
          <w:sz w:val="24"/>
          <w:szCs w:val="24"/>
          <w:highlight w:val="none"/>
          <w:lang w:eastAsia="zh-CN"/>
        </w:rPr>
        <w:t>承包人未能按照合同约定履行各项义务或发生错误，给发包人造成损失，发包人可按照本条约定的时限和要求向承包人提出索赔。</w:t>
      </w:r>
    </w:p>
    <w:p w14:paraId="3DAC7AFE">
      <w:pPr>
        <w:spacing w:line="360" w:lineRule="auto"/>
        <w:rPr>
          <w:rFonts w:ascii="仿宋" w:hAnsi="仿宋" w:eastAsia="仿宋"/>
          <w:b/>
          <w:bCs/>
          <w:color w:val="auto"/>
          <w:highlight w:val="none"/>
          <w:lang w:eastAsia="zh-CN"/>
        </w:rPr>
      </w:pPr>
      <w:bookmarkStart w:id="1063" w:name="_Toc16129"/>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.8</w:t>
      </w:r>
      <w:bookmarkEnd w:id="106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99FFEA2">
      <w:pPr>
        <w:pStyle w:val="23"/>
        <w:widowControl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18415</wp:posOffset>
                </wp:positionV>
                <wp:extent cx="775970" cy="487045"/>
                <wp:effectExtent l="0" t="0" r="0" b="0"/>
                <wp:wrapNone/>
                <wp:docPr id="355" name="000266"/>
                <wp:cNvGraphicFramePr/>
                <a:graphic xmlns:a="http://schemas.openxmlformats.org/drawingml/2006/main">
                  <a:graphicData uri="http://schemas.microsoft.com/office/word/2010/wordprocessingShape">
                    <wps:wsp>
                      <wps:cNvSpPr txBox="1"/>
                      <wps:spPr>
                        <a:xfrm>
                          <a:off x="0" y="0"/>
                          <a:ext cx="775970" cy="487045"/>
                        </a:xfrm>
                        <a:prstGeom prst="rect">
                          <a:avLst/>
                        </a:prstGeom>
                        <a:noFill/>
                        <a:ln>
                          <a:noFill/>
                        </a:ln>
                        <a:effectLst/>
                      </wps:spPr>
                      <wps:txbx>
                        <w:txbxContent>
                          <w:p w14:paraId="1CF36B9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p w14:paraId="050A2EE0"/>
                        </w:txbxContent>
                      </wps:txbx>
                      <wps:bodyPr wrap="square" upright="1"/>
                    </wps:wsp>
                  </a:graphicData>
                </a:graphic>
              </wp:anchor>
            </w:drawing>
          </mc:Choice>
          <mc:Fallback>
            <w:pict>
              <v:shape id="000266" o:spid="_x0000_s1026" o:spt="202" type="#_x0000_t202" style="position:absolute;left:0pt;margin-left:-9pt;margin-top:1.45pt;height:38.35pt;width:61.1pt;z-index:252021760;mso-width-relative:page;mso-height-relative:page;" filled="f" stroked="f" coordsize="21600,21600" o:gfxdata="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u0toStYAAAAI&#10;AQAADwAAAAAAAAABACAAAAAiAAAAZHJzL2Rvd25yZXYueG1sUEsBAhQAFAAAAAgAh07iQCXGaqKs&#10;AQAAZgMAAA4AAAAAAAAAAQAgAAAAJQEAAGRycy9lMm9Eb2MueG1sUEsFBgAAAAAGAAYAWQEAAEMF&#10;AAAAAA==&#10;">
                <v:fill on="f" focussize="0,0"/>
                <v:stroke on="f"/>
                <v:imagedata o:title=""/>
                <o:lock v:ext="edit" aspectratio="f"/>
                <v:textbox>
                  <w:txbxContent>
                    <w:p w14:paraId="1CF36B9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p w14:paraId="050A2EE0"/>
                  </w:txbxContent>
                </v:textbox>
              </v:shape>
            </w:pict>
          </mc:Fallback>
        </mc:AlternateContent>
      </w:r>
      <w:r>
        <w:rPr>
          <w:rFonts w:hint="eastAsia" w:ascii="仿宋" w:hAnsi="仿宋" w:eastAsia="仿宋" w:cs="仿宋"/>
          <w:color w:val="auto"/>
          <w:sz w:val="24"/>
          <w:szCs w:val="24"/>
          <w:highlight w:val="none"/>
          <w:lang w:eastAsia="zh-CN"/>
        </w:rPr>
        <w:t>费用索赔报告被认可，则表明该事项已索赔成功，合同双方当事人应确认由此引起调整的合同价格，并作为追加（减）合同价格，与工程进度款或结算款同期支付。</w:t>
      </w:r>
    </w:p>
    <w:p w14:paraId="7877769E">
      <w:pPr>
        <w:pStyle w:val="23"/>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0B01D1E0">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1064" w:name="_Toc31744"/>
      <w:bookmarkStart w:id="1065" w:name="_Toc14727"/>
      <w:bookmarkStart w:id="1066" w:name="_Toc14242"/>
      <w:bookmarkStart w:id="1067" w:name="_Toc610"/>
      <w:bookmarkStart w:id="1068" w:name="_Toc47694357"/>
      <w:bookmarkStart w:id="1069" w:name="_Toc15012"/>
      <w:bookmarkStart w:id="1070" w:name="_Toc9021"/>
      <w:bookmarkStart w:id="1071" w:name="_Toc11256"/>
      <w:r>
        <w:rPr>
          <w:rFonts w:hint="eastAsia" w:ascii="仿宋" w:hAnsi="仿宋" w:eastAsia="仿宋" w:cs="仿宋"/>
          <w:bCs w:val="0"/>
          <w:color w:val="auto"/>
          <w:sz w:val="24"/>
          <w:szCs w:val="24"/>
          <w:highlight w:val="none"/>
          <w:lang w:eastAsia="zh-CN"/>
        </w:rPr>
        <w:t>★81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现场签证价格的确定</w:t>
      </w:r>
      <w:bookmarkEnd w:id="1064"/>
      <w:bookmarkEnd w:id="1065"/>
      <w:bookmarkEnd w:id="1066"/>
      <w:bookmarkEnd w:id="1067"/>
      <w:bookmarkEnd w:id="1068"/>
      <w:bookmarkEnd w:id="1069"/>
      <w:bookmarkEnd w:id="1070"/>
      <w:bookmarkEnd w:id="1071"/>
    </w:p>
    <w:p w14:paraId="2DB38A9A">
      <w:pPr>
        <w:widowControl w:val="0"/>
        <w:rPr>
          <w:rFonts w:ascii="仿宋" w:hAnsi="仿宋" w:eastAsia="仿宋"/>
          <w:b/>
          <w:bCs/>
          <w:color w:val="auto"/>
          <w:highlight w:val="none"/>
          <w:u w:val="dotted"/>
          <w:lang w:eastAsia="zh-CN"/>
        </w:rPr>
      </w:pPr>
      <w:bookmarkStart w:id="1072" w:name="_Toc10855"/>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.1</w:t>
      </w:r>
      <w:bookmarkEnd w:id="1072"/>
    </w:p>
    <w:p w14:paraId="4EAC9540">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69850</wp:posOffset>
                </wp:positionV>
                <wp:extent cx="785495" cy="389255"/>
                <wp:effectExtent l="0" t="0" r="0" b="0"/>
                <wp:wrapNone/>
                <wp:docPr id="356" name="000267"/>
                <wp:cNvGraphicFramePr/>
                <a:graphic xmlns:a="http://schemas.openxmlformats.org/drawingml/2006/main">
                  <a:graphicData uri="http://schemas.microsoft.com/office/word/2010/wordprocessingShape">
                    <wps:wsp>
                      <wps:cNvSpPr txBox="1"/>
                      <wps:spPr>
                        <a:xfrm>
                          <a:off x="0" y="0"/>
                          <a:ext cx="785495" cy="389255"/>
                        </a:xfrm>
                        <a:prstGeom prst="rect">
                          <a:avLst/>
                        </a:prstGeom>
                        <a:noFill/>
                        <a:ln>
                          <a:noFill/>
                        </a:ln>
                        <a:effectLst/>
                      </wps:spPr>
                      <wps:txbx>
                        <w:txbxContent>
                          <w:p w14:paraId="134E479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141A5E28"/>
                          <w:p w14:paraId="7C903ECF"/>
                        </w:txbxContent>
                      </wps:txbx>
                      <wps:bodyPr wrap="square" upright="1"/>
                    </wps:wsp>
                  </a:graphicData>
                </a:graphic>
              </wp:anchor>
            </w:drawing>
          </mc:Choice>
          <mc:Fallback>
            <w:pict>
              <v:shape id="000267" o:spid="_x0000_s1026" o:spt="202" type="#_x0000_t202" style="position:absolute;left:0pt;margin-left:-9pt;margin-top:5.5pt;height:30.65pt;width:61.85pt;z-index:252022784;mso-width-relative:page;mso-height-relative:page;" filled="f" stroked="f" coordsize="21600,21600" o:gfxdata="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kuQPs1wAA&#10;AAkBAAAPAAAAAAAAAAEAIAAAACIAAABkcnMvZG93bnJldi54bWxQSwECFAAUAAAACACHTuJAtodJ&#10;MK0BAABmAwAADgAAAAAAAAABACAAAAAmAQAAZHJzL2Uyb0RvYy54bWxQSwUGAAAAAAYABgBZAQAA&#10;RQUAAAAA&#10;">
                <v:fill on="f" focussize="0,0"/>
                <v:stroke on="f"/>
                <v:imagedata o:title=""/>
                <o:lock v:ext="edit" aspectratio="f"/>
                <v:textbox>
                  <w:txbxContent>
                    <w:p w14:paraId="134E479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141A5E28"/>
                    <w:p w14:paraId="7C903ECF"/>
                  </w:txbxContent>
                </v:textbox>
              </v:shape>
            </w:pict>
          </mc:Fallback>
        </mc:AlternateContent>
      </w:r>
      <w:r>
        <w:rPr>
          <w:rFonts w:hint="eastAsia" w:ascii="仿宋" w:hAnsi="仿宋" w:eastAsia="仿宋" w:cs="仿宋"/>
          <w:color w:val="auto"/>
          <w:sz w:val="24"/>
          <w:szCs w:val="24"/>
          <w:highlight w:val="none"/>
          <w:lang w:eastAsia="zh-CN"/>
        </w:rPr>
        <w:t>合同履行期间，由于非承包人责任产生的现场签证费用，合同双方当事人应调整合同价格。</w:t>
      </w:r>
    </w:p>
    <w:p w14:paraId="30177741">
      <w:pPr>
        <w:spacing w:line="360" w:lineRule="auto"/>
        <w:rPr>
          <w:rFonts w:ascii="仿宋" w:hAnsi="仿宋" w:eastAsia="仿宋"/>
          <w:b/>
          <w:bCs/>
          <w:color w:val="auto"/>
          <w:highlight w:val="none"/>
          <w:lang w:eastAsia="zh-CN"/>
        </w:rPr>
      </w:pPr>
      <w:bookmarkStart w:id="1073" w:name="_Toc25531"/>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.2</w:t>
      </w:r>
      <w:bookmarkEnd w:id="107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4139E70">
      <w:pPr>
        <w:pStyle w:val="23"/>
        <w:spacing w:line="360" w:lineRule="auto"/>
        <w:ind w:left="1848" w:leftChars="770" w:firstLine="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18415</wp:posOffset>
                </wp:positionV>
                <wp:extent cx="850900" cy="615315"/>
                <wp:effectExtent l="0" t="0" r="0" b="0"/>
                <wp:wrapNone/>
                <wp:docPr id="357" name="000268"/>
                <wp:cNvGraphicFramePr/>
                <a:graphic xmlns:a="http://schemas.openxmlformats.org/drawingml/2006/main">
                  <a:graphicData uri="http://schemas.microsoft.com/office/word/2010/wordprocessingShape">
                    <wps:wsp>
                      <wps:cNvSpPr txBox="1"/>
                      <wps:spPr>
                        <a:xfrm>
                          <a:off x="0" y="0"/>
                          <a:ext cx="850900" cy="615315"/>
                        </a:xfrm>
                        <a:prstGeom prst="rect">
                          <a:avLst/>
                        </a:prstGeom>
                        <a:noFill/>
                        <a:ln>
                          <a:noFill/>
                        </a:ln>
                        <a:effectLst/>
                      </wps:spPr>
                      <wps:txbx>
                        <w:txbxContent>
                          <w:p w14:paraId="745E88E1">
                            <w:pPr>
                              <w:pStyle w:val="16"/>
                              <w:spacing w:line="200" w:lineRule="exact"/>
                            </w:pPr>
                            <w:r>
                              <w:rPr>
                                <w:rFonts w:hint="eastAsia" w:ascii="楷体_GB2312" w:hAnsi="宋体" w:eastAsia="楷体_GB2312" w:cs="楷体_GB2312"/>
                                <w:b/>
                                <w:bCs/>
                                <w:color w:val="000000"/>
                                <w:sz w:val="18"/>
                                <w:szCs w:val="18"/>
                              </w:rPr>
                              <w:t>现场签证的提出</w:t>
                            </w:r>
                          </w:p>
                          <w:p w14:paraId="24A8C962"/>
                        </w:txbxContent>
                      </wps:txbx>
                      <wps:bodyPr wrap="square" upright="1"/>
                    </wps:wsp>
                  </a:graphicData>
                </a:graphic>
              </wp:anchor>
            </w:drawing>
          </mc:Choice>
          <mc:Fallback>
            <w:pict>
              <v:shape id="000268" o:spid="_x0000_s1026" o:spt="202" type="#_x0000_t202" style="position:absolute;left:0pt;margin-left:-9pt;margin-top:1.45pt;height:48.45pt;width:67pt;z-index:252023808;mso-width-relative:page;mso-height-relative:page;" filled="f" stroked="f" coordsize="21600,21600" o:gfxdata="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FErrDVAAAACAEA&#10;AA8AAAAAAAAAAQAgAAAAIgAAAGRycy9kb3ducmV2LnhtbFBLAQIUABQAAAAIAIdO4kCNUhtzqwEA&#10;AGYDAAAOAAAAAAAAAAEAIAAAACQBAABkcnMvZTJvRG9jLnhtbFBLBQYAAAAABgAGAFkBAABBBQAA&#10;AAA=&#10;">
                <v:fill on="f" focussize="0,0"/>
                <v:stroke on="f"/>
                <v:imagedata o:title=""/>
                <o:lock v:ext="edit" aspectratio="f"/>
                <v:textbox>
                  <w:txbxContent>
                    <w:p w14:paraId="745E88E1">
                      <w:pPr>
                        <w:pStyle w:val="16"/>
                        <w:spacing w:line="200" w:lineRule="exact"/>
                      </w:pPr>
                      <w:r>
                        <w:rPr>
                          <w:rFonts w:hint="eastAsia" w:ascii="楷体_GB2312" w:hAnsi="宋体" w:eastAsia="楷体_GB2312" w:cs="楷体_GB2312"/>
                          <w:b/>
                          <w:bCs/>
                          <w:color w:val="000000"/>
                          <w:sz w:val="18"/>
                          <w:szCs w:val="18"/>
                        </w:rPr>
                        <w:t>现场签证的提出</w:t>
                      </w:r>
                    </w:p>
                    <w:p w14:paraId="24A8C962"/>
                  </w:txbxContent>
                </v:textbox>
              </v:shape>
            </w:pict>
          </mc:Fallback>
        </mc:AlternateContent>
      </w:r>
      <w:r>
        <w:rPr>
          <w:rFonts w:hint="eastAsia" w:ascii="仿宋" w:hAnsi="仿宋" w:eastAsia="仿宋" w:cs="仿宋"/>
          <w:color w:val="auto"/>
          <w:sz w:val="24"/>
          <w:szCs w:val="24"/>
          <w:highlight w:val="none"/>
          <w:lang w:eastAsia="zh-CN"/>
        </w:rPr>
        <w:t>承包人应发包人要求完成合同以外的零星项目、非承包人责任事项等工作的，发包人应通知监理人及时以书面形式向承包人发出工作指令，提供所需的相关资料；承包人在收到监理人书面通知后，应及时向发包人提出现场签证要求。</w:t>
      </w:r>
    </w:p>
    <w:p w14:paraId="62400BEA">
      <w:pPr>
        <w:spacing w:line="360" w:lineRule="auto"/>
        <w:rPr>
          <w:rFonts w:ascii="仿宋" w:hAnsi="仿宋" w:eastAsia="仿宋"/>
          <w:b/>
          <w:bCs/>
          <w:color w:val="auto"/>
          <w:highlight w:val="none"/>
          <w:lang w:eastAsia="zh-CN"/>
        </w:rPr>
      </w:pPr>
      <w:bookmarkStart w:id="1074" w:name="_Toc19460"/>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.3</w:t>
      </w:r>
      <w:bookmarkEnd w:id="107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C34CF84">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5080</wp:posOffset>
                </wp:positionV>
                <wp:extent cx="804545" cy="530860"/>
                <wp:effectExtent l="0" t="0" r="0" b="0"/>
                <wp:wrapNone/>
                <wp:docPr id="358" name="000269"/>
                <wp:cNvGraphicFramePr/>
                <a:graphic xmlns:a="http://schemas.openxmlformats.org/drawingml/2006/main">
                  <a:graphicData uri="http://schemas.microsoft.com/office/word/2010/wordprocessingShape">
                    <wps:wsp>
                      <wps:cNvSpPr txBox="1"/>
                      <wps:spPr>
                        <a:xfrm>
                          <a:off x="0" y="0"/>
                          <a:ext cx="804545" cy="530860"/>
                        </a:xfrm>
                        <a:prstGeom prst="rect">
                          <a:avLst/>
                        </a:prstGeom>
                        <a:noFill/>
                        <a:ln>
                          <a:noFill/>
                        </a:ln>
                        <a:effectLst/>
                      </wps:spPr>
                      <wps:txbx>
                        <w:txbxContent>
                          <w:p w14:paraId="23DA7F4B">
                            <w:pPr>
                              <w:pStyle w:val="16"/>
                              <w:spacing w:line="200" w:lineRule="exact"/>
                            </w:pPr>
                            <w:r>
                              <w:rPr>
                                <w:rFonts w:hint="eastAsia" w:ascii="楷体_GB2312" w:hAnsi="宋体" w:eastAsia="楷体_GB2312" w:cs="楷体_GB2312"/>
                                <w:b/>
                                <w:bCs/>
                                <w:color w:val="000000"/>
                                <w:sz w:val="18"/>
                                <w:szCs w:val="18"/>
                              </w:rPr>
                              <w:t>现场签证报告的确认</w:t>
                            </w:r>
                          </w:p>
                          <w:p w14:paraId="51DA0383"/>
                        </w:txbxContent>
                      </wps:txbx>
                      <wps:bodyPr wrap="square" upright="1"/>
                    </wps:wsp>
                  </a:graphicData>
                </a:graphic>
              </wp:anchor>
            </w:drawing>
          </mc:Choice>
          <mc:Fallback>
            <w:pict>
              <v:shape id="000269" o:spid="_x0000_s1026" o:spt="202" type="#_x0000_t202" style="position:absolute;left:0pt;margin-left:-9pt;margin-top:0.4pt;height:41.8pt;width:63.35pt;z-index:252024832;mso-width-relative:page;mso-height-relative:page;" filled="f" stroked="f" coordsize="21600,21600" o:gfxdata="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PGnqlTTAAAABwEA&#10;AA8AAAAAAAAAAQAgAAAAIgAAAGRycy9kb3ducmV2LnhtbFBLAQIUABQAAAAIAIdO4kBgN+EOrQEA&#10;AGYDAAAOAAAAAAAAAAEAIAAAACIBAABkcnMvZTJvRG9jLnhtbFBLBQYAAAAABgAGAFkBAABBBQAA&#10;AAA=&#10;">
                <v:fill on="f" focussize="0,0"/>
                <v:stroke on="f"/>
                <v:imagedata o:title=""/>
                <o:lock v:ext="edit" aspectratio="f"/>
                <v:textbox>
                  <w:txbxContent>
                    <w:p w14:paraId="23DA7F4B">
                      <w:pPr>
                        <w:pStyle w:val="16"/>
                        <w:spacing w:line="200" w:lineRule="exact"/>
                      </w:pPr>
                      <w:r>
                        <w:rPr>
                          <w:rFonts w:hint="eastAsia" w:ascii="楷体_GB2312" w:hAnsi="宋体" w:eastAsia="楷体_GB2312" w:cs="楷体_GB2312"/>
                          <w:b/>
                          <w:bCs/>
                          <w:color w:val="000000"/>
                          <w:sz w:val="18"/>
                          <w:szCs w:val="18"/>
                        </w:rPr>
                        <w:t>现场签证报告的确认</w:t>
                      </w:r>
                    </w:p>
                    <w:p w14:paraId="51DA0383"/>
                  </w:txbxContent>
                </v:textbox>
              </v:shape>
            </w:pict>
          </mc:Fallback>
        </mc:AlternateContent>
      </w:r>
      <w:r>
        <w:rPr>
          <w:rFonts w:hint="eastAsia" w:ascii="仿宋" w:hAnsi="仿宋" w:eastAsia="仿宋" w:cs="仿宋"/>
          <w:color w:val="auto"/>
          <w:sz w:val="24"/>
          <w:szCs w:val="24"/>
          <w:highlight w:val="none"/>
          <w:lang w:eastAsia="zh-CN"/>
        </w:rPr>
        <w:t>除专用条款另有约定外，承包人应在收到监理人书面通知后的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天内，向发包人提交现场签证报告，并抄送监理人、造价咨询人。发包人在收到承包人的现场签证报告后，应通知监理人、造价咨询人对报告内容予以核实，并在收到现场签证报告后的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小时内予以确认或提出修改意见。发包人在收到承包人现场签证报告后的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小时内未确认也未提出修改意见的，视为承包人提交的现场签证报告已被认可。</w:t>
      </w:r>
    </w:p>
    <w:p w14:paraId="45DA0B2A">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CEA99AD">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34290</wp:posOffset>
                </wp:positionV>
                <wp:extent cx="813435" cy="530860"/>
                <wp:effectExtent l="0" t="0" r="0" b="0"/>
                <wp:wrapNone/>
                <wp:docPr id="359" name="00026a"/>
                <wp:cNvGraphicFramePr/>
                <a:graphic xmlns:a="http://schemas.openxmlformats.org/drawingml/2006/main">
                  <a:graphicData uri="http://schemas.microsoft.com/office/word/2010/wordprocessingShape">
                    <wps:wsp>
                      <wps:cNvSpPr txBox="1"/>
                      <wps:spPr>
                        <a:xfrm>
                          <a:off x="0" y="0"/>
                          <a:ext cx="813435" cy="530860"/>
                        </a:xfrm>
                        <a:prstGeom prst="rect">
                          <a:avLst/>
                        </a:prstGeom>
                        <a:noFill/>
                        <a:ln>
                          <a:noFill/>
                        </a:ln>
                        <a:effectLst/>
                      </wps:spPr>
                      <wps:txbx>
                        <w:txbxContent>
                          <w:p w14:paraId="60B49979">
                            <w:pPr>
                              <w:pStyle w:val="16"/>
                              <w:spacing w:line="200" w:lineRule="exact"/>
                            </w:pPr>
                            <w:r>
                              <w:rPr>
                                <w:rFonts w:hint="eastAsia" w:ascii="楷体_GB2312" w:hAnsi="宋体" w:eastAsia="楷体_GB2312" w:cs="楷体_GB2312"/>
                                <w:b/>
                                <w:bCs/>
                                <w:color w:val="000000"/>
                                <w:sz w:val="18"/>
                                <w:szCs w:val="18"/>
                              </w:rPr>
                              <w:t>现场签证的要求</w:t>
                            </w:r>
                          </w:p>
                          <w:p w14:paraId="7AB5C46D"/>
                          <w:p w14:paraId="75064502"/>
                        </w:txbxContent>
                      </wps:txbx>
                      <wps:bodyPr wrap="square" upright="1"/>
                    </wps:wsp>
                  </a:graphicData>
                </a:graphic>
              </wp:anchor>
            </w:drawing>
          </mc:Choice>
          <mc:Fallback>
            <w:pict>
              <v:shape id="00026a" o:spid="_x0000_s1026" o:spt="202" type="#_x0000_t202" style="position:absolute;left:0pt;margin-left:-9pt;margin-top:2.7pt;height:41.8pt;width:64.05pt;z-index:252025856;mso-width-relative:page;mso-height-relative:page;" filled="f" stroked="f" coordsize="21600,21600" o:gfxdata="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5ptXpNUAAAAI&#10;AQAADwAAAAAAAAABACAAAAAiAAAAZHJzL2Rvd25yZXYueG1sUEsBAhQAFAAAAAgAh07iQIyuTHmt&#10;AQAAZgMAAA4AAAAAAAAAAQAgAAAAJAEAAGRycy9lMm9Eb2MueG1sUEsFBgAAAAAGAAYAWQEAAEMF&#10;AAAAAA==&#10;">
                <v:fill on="f" focussize="0,0"/>
                <v:stroke on="f"/>
                <v:imagedata o:title=""/>
                <o:lock v:ext="edit" aspectratio="f"/>
                <v:textbox>
                  <w:txbxContent>
                    <w:p w14:paraId="60B49979">
                      <w:pPr>
                        <w:pStyle w:val="16"/>
                        <w:spacing w:line="200" w:lineRule="exact"/>
                      </w:pPr>
                      <w:r>
                        <w:rPr>
                          <w:rFonts w:hint="eastAsia" w:ascii="楷体_GB2312" w:hAnsi="宋体" w:eastAsia="楷体_GB2312" w:cs="楷体_GB2312"/>
                          <w:b/>
                          <w:bCs/>
                          <w:color w:val="000000"/>
                          <w:sz w:val="18"/>
                          <w:szCs w:val="18"/>
                        </w:rPr>
                        <w:t>现场签证的要求</w:t>
                      </w:r>
                    </w:p>
                    <w:p w14:paraId="7AB5C46D"/>
                    <w:p w14:paraId="75064502"/>
                  </w:txbxContent>
                </v:textbox>
              </v:shape>
            </w:pict>
          </mc:Fallback>
        </mc:AlternateContent>
      </w:r>
      <w:r>
        <w:rPr>
          <w:rFonts w:hint="eastAsia" w:ascii="仿宋" w:hAnsi="仿宋" w:eastAsia="仿宋" w:cs="仿宋"/>
          <w:color w:val="auto"/>
          <w:sz w:val="24"/>
          <w:szCs w:val="24"/>
          <w:highlight w:val="none"/>
          <w:lang w:eastAsia="zh-CN"/>
        </w:rPr>
        <w:t>计日工有相应单价或合同中有适用单价的项目，合同双方当事人仅在现场签证报告中列明完成该类项目所需的人工、工程材料、工程设备和施工设备机械台班的数量。</w:t>
      </w:r>
    </w:p>
    <w:p w14:paraId="33C06923">
      <w:pPr>
        <w:pStyle w:val="23"/>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计日工没有相应单价或合同中没有适用单价的项目，合同双方当事人应在现场签证报告中列明完成这类项目所需的人工、工程材料、工程设备和施工设备机械台班的数量和单价。</w:t>
      </w:r>
    </w:p>
    <w:p w14:paraId="2D63C1DE">
      <w:pPr>
        <w:spacing w:line="360" w:lineRule="auto"/>
        <w:rPr>
          <w:rFonts w:ascii="仿宋" w:hAnsi="仿宋" w:eastAsia="仿宋"/>
          <w:b/>
          <w:bCs/>
          <w:color w:val="auto"/>
          <w:highlight w:val="none"/>
          <w:lang w:eastAsia="zh-CN"/>
        </w:rPr>
      </w:pPr>
      <w:bookmarkStart w:id="1075" w:name="_Toc15503"/>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.5</w:t>
      </w:r>
      <w:bookmarkEnd w:id="107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2BD588B">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77470</wp:posOffset>
                </wp:positionV>
                <wp:extent cx="823595" cy="492760"/>
                <wp:effectExtent l="0" t="0" r="0" b="0"/>
                <wp:wrapNone/>
                <wp:docPr id="360" name="00026b"/>
                <wp:cNvGraphicFramePr/>
                <a:graphic xmlns:a="http://schemas.openxmlformats.org/drawingml/2006/main">
                  <a:graphicData uri="http://schemas.microsoft.com/office/word/2010/wordprocessingShape">
                    <wps:wsp>
                      <wps:cNvSpPr txBox="1"/>
                      <wps:spPr>
                        <a:xfrm>
                          <a:off x="0" y="0"/>
                          <a:ext cx="823595" cy="492760"/>
                        </a:xfrm>
                        <a:prstGeom prst="rect">
                          <a:avLst/>
                        </a:prstGeom>
                        <a:noFill/>
                        <a:ln>
                          <a:noFill/>
                        </a:ln>
                        <a:effectLst/>
                      </wps:spPr>
                      <wps:txbx>
                        <w:txbxContent>
                          <w:p w14:paraId="3FCCCDD0">
                            <w:pPr>
                              <w:pStyle w:val="16"/>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54E18032"/>
                          <w:p w14:paraId="3A346ACA"/>
                        </w:txbxContent>
                      </wps:txbx>
                      <wps:bodyPr wrap="square" upright="1"/>
                    </wps:wsp>
                  </a:graphicData>
                </a:graphic>
              </wp:anchor>
            </w:drawing>
          </mc:Choice>
          <mc:Fallback>
            <w:pict>
              <v:shape id="00026b" o:spid="_x0000_s1026" o:spt="202" type="#_x0000_t202" style="position:absolute;left:0pt;margin-left:-9pt;margin-top:6.1pt;height:38.8pt;width:64.85pt;z-index:252026880;mso-width-relative:page;mso-height-relative:page;" filled="f" stroked="f" coordsize="21600,21600" o:gfxdata="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BYuy9tYAAAAJ&#10;AQAADwAAAAAAAAABACAAAAAiAAAAZHJzL2Rvd25yZXYueG1sUEsBAhQAFAAAAAgAh07iQEhVz3Ss&#10;AQAAZgMAAA4AAAAAAAAAAQAgAAAAJQEAAGRycy9lMm9Eb2MueG1sUEsFBgAAAAAGAAYAWQEAAEMF&#10;AAAAAA==&#10;">
                <v:fill on="f" focussize="0,0"/>
                <v:stroke on="f"/>
                <v:imagedata o:title=""/>
                <o:lock v:ext="edit" aspectratio="f"/>
                <v:textbox>
                  <w:txbxContent>
                    <w:p w14:paraId="3FCCCDD0">
                      <w:pPr>
                        <w:pStyle w:val="16"/>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54E18032"/>
                    <w:p w14:paraId="3A346ACA"/>
                  </w:txbxContent>
                </v:textbox>
              </v:shape>
            </w:pict>
          </mc:Fallback>
        </mc:AlternateContent>
      </w:r>
      <w:r>
        <w:rPr>
          <w:rFonts w:hint="eastAsia" w:ascii="仿宋" w:hAnsi="仿宋" w:eastAsia="仿宋" w:cs="仿宋"/>
          <w:color w:val="auto"/>
          <w:sz w:val="24"/>
          <w:szCs w:val="24"/>
          <w:highlight w:val="none"/>
          <w:lang w:eastAsia="zh-CN"/>
        </w:rPr>
        <w:t>承包人应在发包人确认现场签证报告后的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小时内，按照监理人发出的工作指令及时组织实施相关工作。否则，由此引起的损失和（或）延误的工期由承包人承担。</w:t>
      </w:r>
    </w:p>
    <w:p w14:paraId="259BA831">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5B0759A">
      <w:pPr>
        <w:pStyle w:val="23"/>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77470</wp:posOffset>
                </wp:positionV>
                <wp:extent cx="785495" cy="425450"/>
                <wp:effectExtent l="0" t="0" r="0" b="0"/>
                <wp:wrapNone/>
                <wp:docPr id="361" name="00026c"/>
                <wp:cNvGraphicFramePr/>
                <a:graphic xmlns:a="http://schemas.openxmlformats.org/drawingml/2006/main">
                  <a:graphicData uri="http://schemas.microsoft.com/office/word/2010/wordprocessingShape">
                    <wps:wsp>
                      <wps:cNvSpPr txBox="1"/>
                      <wps:spPr>
                        <a:xfrm>
                          <a:off x="0" y="0"/>
                          <a:ext cx="785495" cy="425450"/>
                        </a:xfrm>
                        <a:prstGeom prst="rect">
                          <a:avLst/>
                        </a:prstGeom>
                        <a:noFill/>
                        <a:ln>
                          <a:noFill/>
                        </a:ln>
                        <a:effectLst/>
                      </wps:spPr>
                      <wps:txbx>
                        <w:txbxContent>
                          <w:p w14:paraId="20A6B0F2">
                            <w:r>
                              <w:rPr>
                                <w:rFonts w:hint="eastAsia" w:ascii="楷体_GB2312" w:hAnsi="宋体" w:eastAsia="楷体_GB2312" w:cs="楷体_GB2312"/>
                                <w:b/>
                                <w:bCs/>
                                <w:color w:val="000000"/>
                                <w:sz w:val="18"/>
                                <w:szCs w:val="18"/>
                              </w:rPr>
                              <w:t>现场签证的限制</w:t>
                            </w:r>
                          </w:p>
                          <w:p w14:paraId="07052E80"/>
                        </w:txbxContent>
                      </wps:txbx>
                      <wps:bodyPr wrap="square" upright="1"/>
                    </wps:wsp>
                  </a:graphicData>
                </a:graphic>
              </wp:anchor>
            </w:drawing>
          </mc:Choice>
          <mc:Fallback>
            <w:pict>
              <v:shape id="00026c" o:spid="_x0000_s1026" o:spt="202" type="#_x0000_t202" style="position:absolute;left:0pt;margin-left:-9pt;margin-top:6.1pt;height:33.5pt;width:61.85pt;z-index:252027904;mso-width-relative:page;mso-height-relative:page;" filled="f" stroked="f" coordsize="21600,21600" o:gfxdata="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8yYqLWAAAA&#10;CQEAAA8AAAAAAAAAAQAgAAAAIgAAAGRycy9kb3ducmV2LnhtbFBLAQIUABQAAAAIAIdO4kAIh2JP&#10;rQEAAGYDAAAOAAAAAAAAAAEAIAAAACUBAABkcnMvZTJvRG9jLnhtbFBLBQYAAAAABgAGAFkBAABE&#10;BQAAAAA=&#10;">
                <v:fill on="f" focussize="0,0"/>
                <v:stroke on="f"/>
                <v:imagedata o:title=""/>
                <o:lock v:ext="edit" aspectratio="f"/>
                <v:textbox>
                  <w:txbxContent>
                    <w:p w14:paraId="20A6B0F2">
                      <w:r>
                        <w:rPr>
                          <w:rFonts w:hint="eastAsia" w:ascii="楷体_GB2312" w:hAnsi="宋体" w:eastAsia="楷体_GB2312" w:cs="楷体_GB2312"/>
                          <w:b/>
                          <w:bCs/>
                          <w:color w:val="000000"/>
                          <w:sz w:val="18"/>
                          <w:szCs w:val="18"/>
                        </w:rPr>
                        <w:t>现场签证的限制</w:t>
                      </w:r>
                    </w:p>
                    <w:p w14:paraId="07052E80"/>
                  </w:txbxContent>
                </v:textbox>
              </v:shape>
            </w:pict>
          </mc:Fallback>
        </mc:AlternateContent>
      </w:r>
      <w:r>
        <w:rPr>
          <w:rFonts w:hint="eastAsia" w:ascii="仿宋" w:hAnsi="仿宋" w:eastAsia="仿宋" w:cs="仿宋"/>
          <w:color w:val="auto"/>
          <w:sz w:val="24"/>
          <w:szCs w:val="24"/>
          <w:highlight w:val="none"/>
          <w:lang w:eastAsia="zh-CN"/>
        </w:rPr>
        <w:t>合同工程发生现场签证事项，未经发包人签证、确认，承包人便擅自实施相关工作的，除非征得发包人同意，否则发生的费用由承包人承担。</w:t>
      </w:r>
    </w:p>
    <w:p w14:paraId="76367B9B">
      <w:pPr>
        <w:spacing w:line="360" w:lineRule="auto"/>
        <w:rPr>
          <w:rFonts w:ascii="仿宋" w:hAnsi="仿宋" w:eastAsia="仿宋" w:cs="仿宋"/>
          <w:b/>
          <w:bCs/>
          <w:color w:val="auto"/>
          <w:highlight w:val="none"/>
          <w:u w:val="dotted"/>
          <w:lang w:eastAsia="zh-CN"/>
        </w:rPr>
      </w:pPr>
      <w:bookmarkStart w:id="1076" w:name="_Toc31791"/>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.7</w:t>
      </w:r>
      <w:bookmarkEnd w:id="107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A5FBBE5">
      <w:pPr>
        <w:pStyle w:val="23"/>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77470</wp:posOffset>
                </wp:positionV>
                <wp:extent cx="861695" cy="463550"/>
                <wp:effectExtent l="0" t="0" r="0" b="0"/>
                <wp:wrapNone/>
                <wp:docPr id="362" name="00026d"/>
                <wp:cNvGraphicFramePr/>
                <a:graphic xmlns:a="http://schemas.openxmlformats.org/drawingml/2006/main">
                  <a:graphicData uri="http://schemas.microsoft.com/office/word/2010/wordprocessingShape">
                    <wps:wsp>
                      <wps:cNvSpPr txBox="1"/>
                      <wps:spPr>
                        <a:xfrm>
                          <a:off x="0" y="0"/>
                          <a:ext cx="861695" cy="463550"/>
                        </a:xfrm>
                        <a:prstGeom prst="rect">
                          <a:avLst/>
                        </a:prstGeom>
                        <a:noFill/>
                        <a:ln>
                          <a:noFill/>
                        </a:ln>
                        <a:effectLst/>
                      </wps:spPr>
                      <wps:txbx>
                        <w:txbxContent>
                          <w:p w14:paraId="2551098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63F8B30F">
                            <w:pPr>
                              <w:pStyle w:val="23"/>
                              <w:rPr>
                                <w:rFonts w:ascii="Times New Roman" w:hAnsi="Times New Roman" w:eastAsia="楷体_GB2312"/>
                                <w:b/>
                                <w:bCs/>
                                <w:sz w:val="18"/>
                                <w:szCs w:val="18"/>
                              </w:rPr>
                            </w:pPr>
                          </w:p>
                          <w:p w14:paraId="329D6850">
                            <w:pPr>
                              <w:pStyle w:val="23"/>
                              <w:spacing w:line="360" w:lineRule="auto"/>
                              <w:rPr>
                                <w:rFonts w:ascii="Times New Roman" w:hAnsi="Times New Roman" w:eastAsia="楷体_GB2312"/>
                                <w:b/>
                                <w:bCs/>
                                <w:sz w:val="18"/>
                                <w:szCs w:val="18"/>
                              </w:rPr>
                            </w:pPr>
                          </w:p>
                          <w:p w14:paraId="64C8E1B8"/>
                          <w:p w14:paraId="30F9DE0D"/>
                        </w:txbxContent>
                      </wps:txbx>
                      <wps:bodyPr wrap="square" upright="1"/>
                    </wps:wsp>
                  </a:graphicData>
                </a:graphic>
              </wp:anchor>
            </w:drawing>
          </mc:Choice>
          <mc:Fallback>
            <w:pict>
              <v:shape id="00026d" o:spid="_x0000_s1026" o:spt="202" type="#_x0000_t202" style="position:absolute;left:0pt;margin-left:-9pt;margin-top:6.1pt;height:36.5pt;width:67.85pt;z-index:252028928;mso-width-relative:page;mso-height-relative:page;" filled="f" stroked="f" coordsize="21600,21600" o:gfxdata="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Uoy1d1wAA&#10;AAkBAAAPAAAAAAAAAAEAIAAAACIAAABkcnMvZG93bnJldi54bWxQSwECFAAUAAAACACHTuJAlrXV&#10;PK0BAABmAwAADgAAAAAAAAABACAAAAAmAQAAZHJzL2Uyb0RvYy54bWxQSwUGAAAAAAYABgBZAQAA&#10;RQUAAAAA&#10;">
                <v:fill on="f" focussize="0,0"/>
                <v:stroke on="f"/>
                <v:imagedata o:title=""/>
                <o:lock v:ext="edit" aspectratio="f"/>
                <v:textbox>
                  <w:txbxContent>
                    <w:p w14:paraId="2551098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63F8B30F">
                      <w:pPr>
                        <w:pStyle w:val="23"/>
                        <w:rPr>
                          <w:rFonts w:ascii="Times New Roman" w:hAnsi="Times New Roman" w:eastAsia="楷体_GB2312"/>
                          <w:b/>
                          <w:bCs/>
                          <w:sz w:val="18"/>
                          <w:szCs w:val="18"/>
                        </w:rPr>
                      </w:pPr>
                    </w:p>
                    <w:p w14:paraId="329D6850">
                      <w:pPr>
                        <w:pStyle w:val="23"/>
                        <w:spacing w:line="360" w:lineRule="auto"/>
                        <w:rPr>
                          <w:rFonts w:ascii="Times New Roman" w:hAnsi="Times New Roman" w:eastAsia="楷体_GB2312"/>
                          <w:b/>
                          <w:bCs/>
                          <w:sz w:val="18"/>
                          <w:szCs w:val="18"/>
                        </w:rPr>
                      </w:pPr>
                    </w:p>
                    <w:p w14:paraId="64C8E1B8"/>
                    <w:p w14:paraId="30F9DE0D"/>
                  </w:txbxContent>
                </v:textbox>
              </v:shape>
            </w:pict>
          </mc:Fallback>
        </mc:AlternateContent>
      </w:r>
      <w:r>
        <w:rPr>
          <w:rFonts w:hint="eastAsia" w:ascii="仿宋" w:hAnsi="仿宋" w:eastAsia="仿宋" w:cs="仿宋"/>
          <w:color w:val="auto"/>
          <w:sz w:val="24"/>
          <w:szCs w:val="24"/>
          <w:highlight w:val="none"/>
          <w:lang w:eastAsia="zh-CN"/>
        </w:rPr>
        <w:t>现场签证工作完成后的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小时内，合同双方当事人应确认由此引起调整的合同价格，并作为追加合同价格，与工程进度款同期支付。</w:t>
      </w:r>
    </w:p>
    <w:p w14:paraId="640A742E">
      <w:pPr>
        <w:pStyle w:val="23"/>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7E33B8BB">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1077" w:name="_Toc2112"/>
      <w:bookmarkStart w:id="1078" w:name="_Toc8995"/>
      <w:bookmarkStart w:id="1079" w:name="_Toc47694358"/>
      <w:bookmarkStart w:id="1080" w:name="_Toc16499"/>
      <w:bookmarkStart w:id="1081" w:name="_Toc7399"/>
      <w:bookmarkStart w:id="1082" w:name="_Toc16856"/>
      <w:bookmarkStart w:id="1083" w:name="_Toc24354"/>
      <w:bookmarkStart w:id="1084" w:name="_Toc11408"/>
      <w:r>
        <w:rPr>
          <w:rFonts w:hint="eastAsia" w:ascii="仿宋" w:hAnsi="仿宋" w:eastAsia="仿宋" w:cs="仿宋"/>
          <w:bCs w:val="0"/>
          <w:color w:val="auto"/>
          <w:sz w:val="24"/>
          <w:szCs w:val="24"/>
          <w:highlight w:val="none"/>
          <w:lang w:eastAsia="zh-CN"/>
        </w:rPr>
        <w:t>★82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物价涨落的价格调整</w:t>
      </w:r>
      <w:bookmarkEnd w:id="1077"/>
      <w:bookmarkEnd w:id="1078"/>
      <w:bookmarkEnd w:id="1079"/>
      <w:bookmarkEnd w:id="1080"/>
      <w:bookmarkEnd w:id="1081"/>
      <w:bookmarkEnd w:id="1082"/>
      <w:bookmarkEnd w:id="1083"/>
      <w:bookmarkEnd w:id="1084"/>
    </w:p>
    <w:p w14:paraId="7BBE4385">
      <w:pPr>
        <w:pStyle w:val="23"/>
        <w:widowControl w:val="0"/>
        <w:spacing w:line="360" w:lineRule="auto"/>
        <w:rPr>
          <w:rFonts w:ascii="仿宋" w:hAnsi="仿宋" w:eastAsia="仿宋" w:cs="仿宋"/>
          <w:b/>
          <w:bCs/>
          <w:color w:val="auto"/>
          <w:sz w:val="24"/>
          <w:szCs w:val="24"/>
          <w:highlight w:val="none"/>
          <w:lang w:eastAsia="zh-CN"/>
        </w:rPr>
      </w:pPr>
      <w:r>
        <w:rPr>
          <w:b/>
          <w:color w:val="auto"/>
          <w:highlight w:val="none"/>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274320</wp:posOffset>
                </wp:positionV>
                <wp:extent cx="850900" cy="551815"/>
                <wp:effectExtent l="0" t="0" r="0" b="0"/>
                <wp:wrapNone/>
                <wp:docPr id="363" name="00026e"/>
                <wp:cNvGraphicFramePr/>
                <a:graphic xmlns:a="http://schemas.openxmlformats.org/drawingml/2006/main">
                  <a:graphicData uri="http://schemas.microsoft.com/office/word/2010/wordprocessingShape">
                    <wps:wsp>
                      <wps:cNvSpPr txBox="1"/>
                      <wps:spPr>
                        <a:xfrm>
                          <a:off x="0" y="0"/>
                          <a:ext cx="850900" cy="551815"/>
                        </a:xfrm>
                        <a:prstGeom prst="rect">
                          <a:avLst/>
                        </a:prstGeom>
                        <a:noFill/>
                        <a:ln>
                          <a:noFill/>
                        </a:ln>
                        <a:effectLst/>
                      </wps:spPr>
                      <wps:txbx>
                        <w:txbxContent>
                          <w:p w14:paraId="63F74F5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p w14:paraId="1D1BAA25"/>
                        </w:txbxContent>
                      </wps:txbx>
                      <wps:bodyPr wrap="square" upright="1"/>
                    </wps:wsp>
                  </a:graphicData>
                </a:graphic>
              </wp:anchor>
            </w:drawing>
          </mc:Choice>
          <mc:Fallback>
            <w:pict>
              <v:shape id="00026e" o:spid="_x0000_s1026" o:spt="202" type="#_x0000_t202" style="position:absolute;left:0pt;margin-left:-9pt;margin-top:21.6pt;height:43.45pt;width:67pt;z-index:252029952;mso-width-relative:page;mso-height-relative:page;" filled="f" stroked="f" coordsize="21600,21600" o:gfxdata="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54ycmdcAAAAK&#10;AQAADwAAAAAAAAABACAAAAAiAAAAZHJzL2Rvd25yZXYueG1sUEsBAhQAFAAAAAgAh07iQK423p2r&#10;AQAAZgMAAA4AAAAAAAAAAQAgAAAAJgEAAGRycy9lMm9Eb2MueG1sUEsFBgAAAAAGAAYAWQEAAEMF&#10;AAAAAA==&#10;">
                <v:fill on="f" focussize="0,0"/>
                <v:stroke on="f"/>
                <v:imagedata o:title=""/>
                <o:lock v:ext="edit" aspectratio="f"/>
                <v:textbox>
                  <w:txbxContent>
                    <w:p w14:paraId="63F74F5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p w14:paraId="1D1BAA25"/>
                  </w:txbxContent>
                </v:textbox>
              </v:shape>
            </w:pict>
          </mc:Fallback>
        </mc:AlternateConten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.1</w:t>
      </w:r>
    </w:p>
    <w:p w14:paraId="3F2896AD">
      <w:pPr>
        <w:pStyle w:val="23"/>
        <w:widowControl w:val="0"/>
        <w:spacing w:line="420" w:lineRule="exact"/>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除专用合同条款另有约定外，市场价格波动超过合同当事人约定的涨跌幅度，合同价格应当调整。因承包人责任造成的工期延误期间的价格上涨，其差价不予调整，价格下跌的价差相应扣减。合同当事人可以在专用条款中约定按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款选择一种方式对合同价格进行调整。</w:t>
      </w:r>
    </w:p>
    <w:p w14:paraId="5F2E0424">
      <w:pPr>
        <w:pStyle w:val="23"/>
        <w:widowControl w:val="0"/>
        <w:tabs>
          <w:tab w:val="left" w:pos="540"/>
        </w:tabs>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2030976" behindDoc="0" locked="0" layoutInCell="1" allowOverlap="1">
                <wp:simplePos x="0" y="0"/>
                <wp:positionH relativeFrom="column">
                  <wp:posOffset>-66675</wp:posOffset>
                </wp:positionH>
                <wp:positionV relativeFrom="paragraph">
                  <wp:posOffset>295275</wp:posOffset>
                </wp:positionV>
                <wp:extent cx="813435" cy="647065"/>
                <wp:effectExtent l="0" t="0" r="0" b="0"/>
                <wp:wrapNone/>
                <wp:docPr id="364" name="00026f"/>
                <wp:cNvGraphicFramePr/>
                <a:graphic xmlns:a="http://schemas.openxmlformats.org/drawingml/2006/main">
                  <a:graphicData uri="http://schemas.microsoft.com/office/word/2010/wordprocessingShape">
                    <wps:wsp>
                      <wps:cNvSpPr txBox="1"/>
                      <wps:spPr>
                        <a:xfrm>
                          <a:off x="0" y="0"/>
                          <a:ext cx="813435" cy="647065"/>
                        </a:xfrm>
                        <a:prstGeom prst="rect">
                          <a:avLst/>
                        </a:prstGeom>
                        <a:noFill/>
                        <a:ln>
                          <a:noFill/>
                        </a:ln>
                        <a:effectLst/>
                      </wps:spPr>
                      <wps:txbx>
                        <w:txbxContent>
                          <w:p w14:paraId="73960AD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p w14:paraId="57E85288"/>
                        </w:txbxContent>
                      </wps:txbx>
                      <wps:bodyPr wrap="square" upright="1"/>
                    </wps:wsp>
                  </a:graphicData>
                </a:graphic>
              </wp:anchor>
            </w:drawing>
          </mc:Choice>
          <mc:Fallback>
            <w:pict>
              <v:shape id="00026f" o:spid="_x0000_s1026" o:spt="202" type="#_x0000_t202" style="position:absolute;left:0pt;margin-left:-5.25pt;margin-top:23.25pt;height:50.95pt;width:64.05pt;z-index:252030976;mso-width-relative:page;mso-height-relative:page;" filled="f" stroked="f" coordsize="21600,21600" o:gfxdata="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68aN/XAAAA&#10;CgEAAA8AAAAAAAAAAQAgAAAAIgAAAGRycy9kb3ducmV2LnhtbFBLAQIUABQAAAAIAIdO4kCC85Sf&#10;rAEAAGYDAAAOAAAAAAAAAAEAIAAAACYBAABkcnMvZTJvRG9jLnhtbFBLBQYAAAAABgAGAFkBAABE&#10;BQAAAAA=&#10;">
                <v:fill on="f" focussize="0,0"/>
                <v:stroke on="f"/>
                <v:imagedata o:title=""/>
                <o:lock v:ext="edit" aspectratio="f"/>
                <v:textbox>
                  <w:txbxContent>
                    <w:p w14:paraId="73960AD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p w14:paraId="57E85288"/>
                  </w:txbxContent>
                </v:textbox>
              </v:shape>
            </w:pict>
          </mc:Fallback>
        </mc:AlternateConten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0D109E4">
      <w:pPr>
        <w:pStyle w:val="23"/>
        <w:widowControl w:val="0"/>
        <w:spacing w:line="420" w:lineRule="exact"/>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执行第82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种方式：采用本地造价管理机构发布的价格指导文件进行价格调整”约定的</w:t>
      </w:r>
      <w:r>
        <w:rPr>
          <w:rFonts w:hint="eastAsia"/>
          <w:color w:val="auto"/>
          <w:highlight w:val="none"/>
          <w:lang w:eastAsia="zh-CN"/>
        </w:rPr>
        <w:t>，</w:t>
      </w:r>
      <w:r>
        <w:rPr>
          <w:rFonts w:hint="eastAsia" w:ascii="仿宋" w:hAnsi="仿宋" w:eastAsia="仿宋" w:cs="仿宋"/>
          <w:color w:val="auto"/>
          <w:sz w:val="24"/>
          <w:szCs w:val="24"/>
          <w:highlight w:val="none"/>
          <w:lang w:eastAsia="zh-CN"/>
        </w:rPr>
        <w:t>合同当事人应按文件规定调整合同价格，但承包人对人工费或人工单价的报价高于发布价格的除外；或由合同当事人在专用条款中约定人工费、人工单价调整条件。</w:t>
      </w:r>
    </w:p>
    <w:p w14:paraId="6A64C6CA">
      <w:pPr>
        <w:pStyle w:val="23"/>
        <w:widowControl w:val="0"/>
        <w:tabs>
          <w:tab w:val="left" w:pos="540"/>
        </w:tabs>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49276FDD">
      <w:pPr>
        <w:widowControl w:val="0"/>
        <w:spacing w:line="360" w:lineRule="auto"/>
        <w:ind w:left="1850" w:leftChars="771"/>
        <w:jc w:val="both"/>
        <w:rPr>
          <w:rFonts w:eastAsia="仿宋_GB2312"/>
          <w:color w:val="auto"/>
          <w:sz w:val="30"/>
          <w:szCs w:val="30"/>
          <w:highlight w:val="none"/>
          <w:lang w:eastAsia="zh-CN"/>
        </w:rPr>
      </w:pPr>
      <w:r>
        <w:rPr>
          <w:rFonts w:hint="eastAsia" w:ascii="仿宋" w:hAnsi="仿宋" w:eastAsia="仿宋" w:cs="仿宋"/>
          <w:color w:val="auto"/>
          <w:highlight w:val="none"/>
          <w:lang w:eastAsia="zh-CN"/>
        </w:rPr>
        <w:t>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种方式：采用本地造价管理机构发布的价格指导文件进行价格调整。</w:t>
      </w:r>
    </w:p>
    <w:p w14:paraId="72F53A27">
      <w:pPr>
        <w:widowControl w:val="0"/>
        <w:spacing w:line="360" w:lineRule="auto"/>
        <w:ind w:left="1850" w:leftChars="771"/>
        <w:jc w:val="both"/>
        <w:rPr>
          <w:rFonts w:hint="eastAsia"/>
          <w:color w:val="auto"/>
          <w:highlight w:val="none"/>
          <w:lang w:eastAsia="zh-CN"/>
        </w:rPr>
      </w:pPr>
      <w:r>
        <w:rPr>
          <w:rFonts w:hint="eastAsia" w:ascii="仿宋" w:hAnsi="仿宋" w:eastAsia="仿宋" w:cs="仿宋"/>
          <w:color w:val="auto"/>
          <w:highlight w:val="none"/>
          <w:lang w:eastAsia="zh-CN"/>
        </w:rPr>
        <w:t>合同履行期间，因人工、工程材料、工程设备和施工机具台班价格波动影响合同</w:t>
      </w:r>
      <w:r>
        <w:rPr>
          <w:color w:val="auto"/>
          <w:highlight w:val="none"/>
        </w:rPr>
        <mc:AlternateContent>
          <mc:Choice Requires="wps">
            <w:drawing>
              <wp:anchor distT="0" distB="0" distL="114300" distR="114300" simplePos="0" relativeHeight="252032000" behindDoc="0" locked="0" layoutInCell="1" allowOverlap="1">
                <wp:simplePos x="0" y="0"/>
                <wp:positionH relativeFrom="column">
                  <wp:posOffset>-47625</wp:posOffset>
                </wp:positionH>
                <wp:positionV relativeFrom="paragraph">
                  <wp:posOffset>66675</wp:posOffset>
                </wp:positionV>
                <wp:extent cx="785495" cy="1030605"/>
                <wp:effectExtent l="0" t="0" r="0" b="0"/>
                <wp:wrapNone/>
                <wp:docPr id="365" name="000270"/>
                <wp:cNvGraphicFramePr/>
                <a:graphic xmlns:a="http://schemas.openxmlformats.org/drawingml/2006/main">
                  <a:graphicData uri="http://schemas.microsoft.com/office/word/2010/wordprocessingShape">
                    <wps:wsp>
                      <wps:cNvSpPr txBox="1"/>
                      <wps:spPr>
                        <a:xfrm>
                          <a:off x="0" y="0"/>
                          <a:ext cx="785495" cy="1030605"/>
                        </a:xfrm>
                        <a:prstGeom prst="rect">
                          <a:avLst/>
                        </a:prstGeom>
                        <a:noFill/>
                        <a:ln>
                          <a:noFill/>
                        </a:ln>
                        <a:effectLst/>
                      </wps:spPr>
                      <wps:txbx>
                        <w:txbxContent>
                          <w:p w14:paraId="3BC16EE1">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p w14:paraId="6CB99DB3">
                            <w:pPr>
                              <w:rPr>
                                <w:lang w:eastAsia="zh-CN"/>
                              </w:rPr>
                            </w:pPr>
                          </w:p>
                        </w:txbxContent>
                      </wps:txbx>
                      <wps:bodyPr wrap="square" upright="1"/>
                    </wps:wsp>
                  </a:graphicData>
                </a:graphic>
              </wp:anchor>
            </w:drawing>
          </mc:Choice>
          <mc:Fallback>
            <w:pict>
              <v:shape id="000270" o:spid="_x0000_s1026" o:spt="202" type="#_x0000_t202" style="position:absolute;left:0pt;margin-left:-3.75pt;margin-top:5.25pt;height:81.15pt;width:61.85pt;z-index:252032000;mso-width-relative:page;mso-height-relative:page;" filled="f" stroked="f" coordsize="21600,21600" o:gfxdata="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XWby79YAAAAJ&#10;AQAADwAAAAAAAAABACAAAAAiAAAAZHJzL2Rvd25yZXYueG1sUEsBAhQAFAAAAAgAh07iQN16GmKs&#10;AQAAZwMAAA4AAAAAAAAAAQAgAAAAJQEAAGRycy9lMm9Eb2MueG1sUEsFBgAAAAAGAAYAWQEAAEMF&#10;AAAAAA==&#10;">
                <v:fill on="f" focussize="0,0"/>
                <v:stroke on="f"/>
                <v:imagedata o:title=""/>
                <o:lock v:ext="edit" aspectratio="f"/>
                <v:textbox>
                  <w:txbxContent>
                    <w:p w14:paraId="3BC16EE1">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p w14:paraId="6CB99DB3">
                      <w:pPr>
                        <w:rPr>
                          <w:lang w:eastAsia="zh-CN"/>
                        </w:rPr>
                      </w:pPr>
                    </w:p>
                  </w:txbxContent>
                </v:textbox>
              </v:shape>
            </w:pict>
          </mc:Fallback>
        </mc:AlternateContent>
      </w:r>
      <w:r>
        <w:rPr>
          <w:rFonts w:hint="eastAsia" w:ascii="仿宋" w:hAnsi="仿宋" w:eastAsia="仿宋" w:cs="仿宋"/>
          <w:color w:val="auto"/>
          <w:highlight w:val="none"/>
          <w:lang w:eastAsia="zh-CN"/>
        </w:rPr>
        <w:t>价格时，人工、施工机具使用费按照文件规定进行调整；需要进行价格调整的工程材料、工程设备，其单价和采购数量应由发包人审批，审批</w:t>
      </w:r>
      <w:r>
        <w:rPr>
          <w:rFonts w:ascii="仿宋" w:hAnsi="仿宋" w:eastAsia="仿宋" w:cs="仿宋"/>
          <w:color w:val="auto"/>
          <w:highlight w:val="none"/>
          <w:lang w:eastAsia="zh-CN"/>
        </w:rPr>
        <w:t>文件</w:t>
      </w:r>
      <w:r>
        <w:rPr>
          <w:rFonts w:hint="eastAsia" w:ascii="仿宋" w:hAnsi="仿宋" w:eastAsia="仿宋" w:cs="仿宋"/>
          <w:color w:val="auto"/>
          <w:highlight w:val="none"/>
          <w:lang w:eastAsia="zh-CN"/>
        </w:rPr>
        <w:t>作为调整合同价格的依据。</w:t>
      </w:r>
    </w:p>
    <w:p w14:paraId="0081C17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）工程材料、工程设备价格调整按照发包人提供的基准价格，按以下约定</w:t>
      </w:r>
      <w:r>
        <w:rPr>
          <w:rFonts w:ascii="仿宋" w:hAnsi="仿宋" w:eastAsia="仿宋" w:cs="仿宋"/>
          <w:color w:val="auto"/>
          <w:highlight w:val="none"/>
          <w:lang w:eastAsia="zh-CN"/>
        </w:rPr>
        <w:t>:</w:t>
      </w:r>
    </w:p>
    <w:p w14:paraId="2E188CF8">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①承包人在合同价格清单中载明工程材料、工程设备单价低于基准价格的：除专用合同条款另有约定外，合同履行期间工程材料、工程设备单价涨幅以基准价格为基础超</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时，或工程材料、工程设备单价跌幅以在合同价格清单中载明工程材料单价、工程设备为基础超过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时，其超过5%以上的部分据实调整（示例：涨跌幅为6%的，据实调整的部分为1%，下同）。</w:t>
      </w:r>
    </w:p>
    <w:p w14:paraId="6588CB31">
      <w:pPr>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②承包人在合同价格清单中载明工程材料、工程设备单价高于基准价格的：除专用合同条款另有约定外，合同履行期间工程材料、工程设备单价跌幅以基准价格为基础超过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时，或工程材料、工程设备单价涨幅以在合同价格清单中载明工程材料单价、工程设备为基础超过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时，其超过5%以上的部分据实调整。</w:t>
      </w:r>
    </w:p>
    <w:p w14:paraId="751DF571">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③承包人在合同价格清单中载明工程材料、工程设备单价等于基准价格的：除专用合同条款另有约定外，合同履行期间工程材料、工程设备单价涨跌幅以基准价格为基础超过±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时，其超过±5%以上的部分据实调整。</w:t>
      </w:r>
    </w:p>
    <w:p w14:paraId="19C5B115">
      <w:pPr>
        <w:spacing w:line="360" w:lineRule="auto"/>
        <w:ind w:left="1850" w:leftChars="771"/>
        <w:jc w:val="both"/>
        <w:rPr>
          <w:rFonts w:eastAsia="仿宋"/>
          <w:color w:val="auto"/>
          <w:sz w:val="30"/>
          <w:szCs w:val="30"/>
          <w:highlight w:val="none"/>
          <w:lang w:eastAsia="zh"/>
        </w:rPr>
      </w:pPr>
      <w:r>
        <w:rPr>
          <w:rFonts w:hint="eastAsia" w:ascii="仿宋" w:hAnsi="仿宋" w:eastAsia="仿宋" w:cs="仿宋"/>
          <w:color w:val="auto"/>
          <w:highlight w:val="none"/>
          <w:lang w:eastAsia="zh-CN"/>
        </w:rPr>
        <w:t>前述基准价格是指由发包人在招标文件或专用合同条款中给定的工程材料、工程设备的价格，该价格原则上应当按照本地造价管理机构发布的价格指导文件编制。如本地造价管理机构价格指导文件没有发布的工程材料、工程设备，由发包人在招标文件或专用合同条款中给定基准价，并明确该基准价格的计算依据、计算方式以及工程材料单价涨跌幅的确定方法。</w:t>
      </w:r>
    </w:p>
    <w:p w14:paraId="51F6CD7B">
      <w:pPr>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施工机具台班单价发生变化超过本地造价管理机构发布的价格指导文件规定的幅度时，按规定调整合同价格。如本地造价管理机构价格指导文件没有发布施工机具台班单价变化幅度的，由发包人在招标文件或专用合同条款中明确可以调整合同价格的变化幅度，以及变化幅度、施工机具台班单价的计算依据、计算方式。</w:t>
      </w:r>
    </w:p>
    <w:p w14:paraId="1D621C71">
      <w:pPr>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种方式：专用合同条款约定的其他方式。</w:t>
      </w:r>
    </w:p>
    <w:p w14:paraId="00AF770D">
      <w:pPr>
        <w:pStyle w:val="23"/>
        <w:widowControl w:val="0"/>
        <w:tabs>
          <w:tab w:val="left" w:pos="540"/>
        </w:tabs>
        <w:spacing w:line="36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.4</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599312C5">
      <w:pPr>
        <w:pStyle w:val="23"/>
        <w:widowControl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rPr>
        <mc:AlternateContent>
          <mc:Choice Requires="wps">
            <w:drawing>
              <wp:anchor distT="0" distB="0" distL="114300" distR="114300" simplePos="0" relativeHeight="252033024" behindDoc="0" locked="0" layoutInCell="1" allowOverlap="1">
                <wp:simplePos x="0" y="0"/>
                <wp:positionH relativeFrom="column">
                  <wp:posOffset>-102235</wp:posOffset>
                </wp:positionH>
                <wp:positionV relativeFrom="paragraph">
                  <wp:posOffset>79375</wp:posOffset>
                </wp:positionV>
                <wp:extent cx="776605" cy="972820"/>
                <wp:effectExtent l="0" t="0" r="0" b="0"/>
                <wp:wrapNone/>
                <wp:docPr id="366" name="000271"/>
                <wp:cNvGraphicFramePr/>
                <a:graphic xmlns:a="http://schemas.openxmlformats.org/drawingml/2006/main">
                  <a:graphicData uri="http://schemas.microsoft.com/office/word/2010/wordprocessingShape">
                    <wps:wsp>
                      <wps:cNvSpPr txBox="1"/>
                      <wps:spPr>
                        <a:xfrm>
                          <a:off x="0" y="0"/>
                          <a:ext cx="776605" cy="972820"/>
                        </a:xfrm>
                        <a:prstGeom prst="rect">
                          <a:avLst/>
                        </a:prstGeom>
                        <a:noFill/>
                        <a:ln>
                          <a:noFill/>
                        </a:ln>
                        <a:effectLst/>
                      </wps:spPr>
                      <wps:txbx>
                        <w:txbxContent>
                          <w:p w14:paraId="1155BF06">
                            <w:pPr>
                              <w:pStyle w:val="37"/>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p w14:paraId="7E7F5B59">
                            <w:pPr>
                              <w:rPr>
                                <w:lang w:eastAsia="zh-CN"/>
                              </w:rPr>
                            </w:pPr>
                          </w:p>
                        </w:txbxContent>
                      </wps:txbx>
                      <wps:bodyPr wrap="square" upright="1"/>
                    </wps:wsp>
                  </a:graphicData>
                </a:graphic>
              </wp:anchor>
            </w:drawing>
          </mc:Choice>
          <mc:Fallback>
            <w:pict>
              <v:shape id="000271" o:spid="_x0000_s1026" o:spt="202" type="#_x0000_t202" style="position:absolute;left:0pt;margin-left:-8.05pt;margin-top:6.25pt;height:76.6pt;width:61.15pt;z-index:252033024;mso-width-relative:page;mso-height-relative:page;" filled="f" stroked="f" coordsize="21600,21600" o:gfxdata="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DZeLvWAAAA&#10;CgEAAA8AAAAAAAAAAQAgAAAAIgAAAGRycy9kb3ducmV2LnhtbFBLAQIUABQAAAAIAIdO4kDWIfi4&#10;rQEAAGYDAAAOAAAAAAAAAAEAIAAAACUBAABkcnMvZTJvRG9jLnhtbFBLBQYAAAAABgAGAFkBAABE&#10;BQAAAAA=&#10;">
                <v:fill on="f" focussize="0,0"/>
                <v:stroke on="f"/>
                <v:imagedata o:title=""/>
                <o:lock v:ext="edit" aspectratio="f"/>
                <v:textbox>
                  <w:txbxContent>
                    <w:p w14:paraId="1155BF06">
                      <w:pPr>
                        <w:pStyle w:val="37"/>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p w14:paraId="7E7F5B59">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执行第82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种方式：采用</w:t>
      </w:r>
      <w:r>
        <w:rPr>
          <w:rFonts w:hint="eastAsia" w:ascii="仿宋" w:hAnsi="仿宋" w:eastAsia="仿宋" w:cs="仿宋"/>
          <w:color w:val="auto"/>
          <w:sz w:val="24"/>
          <w:szCs w:val="24"/>
          <w:highlight w:val="none"/>
          <w:lang w:eastAsia="zh-CN" w:bidi="en-US"/>
        </w:rPr>
        <w:t>工本地造价管理机构发布的价格指导文件</w:t>
      </w:r>
      <w:r>
        <w:rPr>
          <w:rFonts w:hint="eastAsia" w:ascii="仿宋" w:hAnsi="仿宋" w:eastAsia="仿宋" w:cs="仿宋"/>
          <w:color w:val="auto"/>
          <w:sz w:val="24"/>
          <w:szCs w:val="24"/>
          <w:highlight w:val="none"/>
          <w:lang w:eastAsia="zh-CN"/>
        </w:rPr>
        <w:t>进行价格调整”约定的，承包人应在采购工程材料前将采购数量和新的工程材料单价报发包人核对，发包人确认用于工程时，发包人应确认采购工程材料的数量和单价。发包人在收到承包人报送的确认资料后7天内不予答复的视为认可，作为调整合同价格的依据。未经发包人事先核对，承包人自行采购工程材料的，发包人有权不予调整合同价格。</w:t>
      </w:r>
    </w:p>
    <w:p w14:paraId="4BAB4BDA">
      <w:pPr>
        <w:pStyle w:val="23"/>
        <w:widowControl w:val="0"/>
        <w:tabs>
          <w:tab w:val="left" w:pos="540"/>
        </w:tabs>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13A361D0">
      <w:pPr>
        <w:pStyle w:val="23"/>
        <w:widowControl w:val="0"/>
        <w:spacing w:line="420" w:lineRule="exact"/>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15875</wp:posOffset>
                </wp:positionV>
                <wp:extent cx="804545" cy="532130"/>
                <wp:effectExtent l="0" t="0" r="0" b="0"/>
                <wp:wrapNone/>
                <wp:docPr id="367" name="000272"/>
                <wp:cNvGraphicFramePr/>
                <a:graphic xmlns:a="http://schemas.openxmlformats.org/drawingml/2006/main">
                  <a:graphicData uri="http://schemas.microsoft.com/office/word/2010/wordprocessingShape">
                    <wps:wsp>
                      <wps:cNvSpPr txBox="1"/>
                      <wps:spPr>
                        <a:xfrm>
                          <a:off x="0" y="0"/>
                          <a:ext cx="804545" cy="532130"/>
                        </a:xfrm>
                        <a:prstGeom prst="rect">
                          <a:avLst/>
                        </a:prstGeom>
                        <a:noFill/>
                        <a:ln>
                          <a:noFill/>
                        </a:ln>
                        <a:effectLst/>
                      </wps:spPr>
                      <wps:txbx>
                        <w:txbxContent>
                          <w:p w14:paraId="1FFFA084">
                            <w:pPr>
                              <w:pStyle w:val="37"/>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p w14:paraId="49899CE0">
                            <w:pPr>
                              <w:rPr>
                                <w:lang w:eastAsia="zh-CN"/>
                              </w:rPr>
                            </w:pPr>
                          </w:p>
                        </w:txbxContent>
                      </wps:txbx>
                      <wps:bodyPr wrap="square" upright="1"/>
                    </wps:wsp>
                  </a:graphicData>
                </a:graphic>
              </wp:anchor>
            </w:drawing>
          </mc:Choice>
          <mc:Fallback>
            <w:pict>
              <v:shape id="000272" o:spid="_x0000_s1026" o:spt="202" type="#_x0000_t202" style="position:absolute;left:0pt;margin-left:-9pt;margin-top:1.25pt;height:41.9pt;width:63.35pt;z-index:252034048;mso-width-relative:page;mso-height-relative:page;" filled="f" stroked="f" coordsize="21600,21600" o:gfxdata="UEsDBAoAAAAAAIdO4kAAAAAAAAAAAAAAAAAEAAAAZHJzL1BLAwQUAAAACACHTuJAL7wtCN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8LQjWAAAA&#10;CAEAAA8AAAAAAAAAAQAgAAAAIgAAAGRycy9kb3ducmV2LnhtbFBLAQIUABQAAAAIAIdO4kC4VyLY&#10;rQEAAGYDAAAOAAAAAAAAAAEAIAAAACUBAABkcnMvZTJvRG9jLnhtbFBLBQYAAAAABgAGAFkBAABE&#10;BQAAAAA=&#10;">
                <v:fill on="f" focussize="0,0"/>
                <v:stroke on="f"/>
                <v:imagedata o:title=""/>
                <o:lock v:ext="edit" aspectratio="f"/>
                <v:textbox>
                  <w:txbxContent>
                    <w:p w14:paraId="1FFFA084">
                      <w:pPr>
                        <w:pStyle w:val="37"/>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p w14:paraId="49899CE0">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发包人供应工程材料和工程设备的，由发包人按照实际变化调整，列入合同工程的建筑安装工程费内。</w:t>
      </w:r>
    </w:p>
    <w:p w14:paraId="2E000DC0">
      <w:pPr>
        <w:pStyle w:val="23"/>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6D596D44">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1085" w:name="_Toc14903"/>
      <w:bookmarkStart w:id="1086" w:name="_Toc47694359"/>
      <w:bookmarkStart w:id="1087" w:name="_Toc19668"/>
      <w:bookmarkStart w:id="1088" w:name="_Toc29197"/>
      <w:bookmarkStart w:id="1089" w:name="_Toc10478"/>
      <w:bookmarkStart w:id="1090" w:name="_Toc17335"/>
      <w:bookmarkStart w:id="1091" w:name="_Toc26777"/>
      <w:bookmarkStart w:id="1092" w:name="_Toc18326"/>
      <w:r>
        <w:rPr>
          <w:rFonts w:hint="eastAsia" w:ascii="仿宋" w:hAnsi="仿宋" w:eastAsia="仿宋" w:cs="仿宋"/>
          <w:bCs w:val="0"/>
          <w:color w:val="auto"/>
          <w:sz w:val="24"/>
          <w:szCs w:val="24"/>
          <w:highlight w:val="none"/>
          <w:lang w:eastAsia="zh-CN"/>
        </w:rPr>
        <w:t>★83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支付事项</w:t>
      </w:r>
      <w:bookmarkEnd w:id="1085"/>
      <w:bookmarkEnd w:id="1086"/>
      <w:bookmarkEnd w:id="1087"/>
      <w:bookmarkEnd w:id="1088"/>
      <w:bookmarkEnd w:id="1089"/>
      <w:bookmarkEnd w:id="1090"/>
      <w:bookmarkEnd w:id="1091"/>
      <w:bookmarkEnd w:id="1092"/>
    </w:p>
    <w:p w14:paraId="0E318D80">
      <w:pPr>
        <w:pStyle w:val="23"/>
        <w:widowControl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.1</w:t>
      </w:r>
    </w:p>
    <w:p w14:paraId="7C333D04">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21590</wp:posOffset>
                </wp:positionV>
                <wp:extent cx="843280" cy="558800"/>
                <wp:effectExtent l="0" t="0" r="0" b="0"/>
                <wp:wrapNone/>
                <wp:docPr id="368" name="000273"/>
                <wp:cNvGraphicFramePr/>
                <a:graphic xmlns:a="http://schemas.openxmlformats.org/drawingml/2006/main">
                  <a:graphicData uri="http://schemas.microsoft.com/office/word/2010/wordprocessingShape">
                    <wps:wsp>
                      <wps:cNvSpPr txBox="1"/>
                      <wps:spPr>
                        <a:xfrm>
                          <a:off x="0" y="0"/>
                          <a:ext cx="843280" cy="558800"/>
                        </a:xfrm>
                        <a:prstGeom prst="rect">
                          <a:avLst/>
                        </a:prstGeom>
                        <a:noFill/>
                        <a:ln>
                          <a:noFill/>
                        </a:ln>
                        <a:effectLst/>
                      </wps:spPr>
                      <wps:txbx>
                        <w:txbxContent>
                          <w:p w14:paraId="0724EBC2">
                            <w:pPr>
                              <w:pStyle w:val="37"/>
                              <w:spacing w:line="200" w:lineRule="exact"/>
                              <w:rPr>
                                <w:rFonts w:ascii="楷体_GB2312" w:hAnsi="宋体"/>
                                <w:sz w:val="18"/>
                                <w:szCs w:val="18"/>
                              </w:rPr>
                            </w:pPr>
                            <w:r>
                              <w:rPr>
                                <w:rFonts w:hint="eastAsia" w:ascii="楷体_GB2312" w:hAnsi="宋体" w:cs="楷体_GB2312"/>
                                <w:sz w:val="18"/>
                                <w:szCs w:val="18"/>
                              </w:rPr>
                              <w:t>支付合同价款</w:t>
                            </w:r>
                          </w:p>
                          <w:p w14:paraId="5F9A3221"/>
                        </w:txbxContent>
                      </wps:txbx>
                      <wps:bodyPr wrap="square" upright="1"/>
                    </wps:wsp>
                  </a:graphicData>
                </a:graphic>
              </wp:anchor>
            </w:drawing>
          </mc:Choice>
          <mc:Fallback>
            <w:pict>
              <v:shape id="000273" o:spid="_x0000_s1026" o:spt="202" type="#_x0000_t202" style="position:absolute;left:0pt;margin-left:-9pt;margin-top:1.7pt;height:44pt;width:66.4pt;z-index:252035072;mso-width-relative:page;mso-height-relative:page;" filled="f" stroked="f" coordsize="21600,21600" o:gfxdata="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XhCVR1QAAAAgB&#10;AAAPAAAAAAAAAAEAIAAAACIAAABkcnMvZG93bnJldi54bWxQSwECFAAUAAAACACHTuJA2nAWm6wB&#10;AABmAwAADgAAAAAAAAABACAAAAAkAQAAZHJzL2Uyb0RvYy54bWxQSwUGAAAAAAYABgBZAQAAQgUA&#10;AAAA&#10;">
                <v:fill on="f" focussize="0,0"/>
                <v:stroke on="f"/>
                <v:imagedata o:title=""/>
                <o:lock v:ext="edit" aspectratio="f"/>
                <v:textbox>
                  <w:txbxContent>
                    <w:p w14:paraId="0724EBC2">
                      <w:pPr>
                        <w:pStyle w:val="37"/>
                        <w:spacing w:line="200" w:lineRule="exact"/>
                        <w:rPr>
                          <w:rFonts w:ascii="楷体_GB2312" w:hAnsi="宋体"/>
                          <w:sz w:val="18"/>
                          <w:szCs w:val="18"/>
                        </w:rPr>
                      </w:pPr>
                      <w:r>
                        <w:rPr>
                          <w:rFonts w:hint="eastAsia" w:ascii="楷体_GB2312" w:hAnsi="宋体" w:cs="楷体_GB2312"/>
                          <w:sz w:val="18"/>
                          <w:szCs w:val="18"/>
                        </w:rPr>
                        <w:t>支付合同价款</w:t>
                      </w:r>
                    </w:p>
                    <w:p w14:paraId="5F9A3221"/>
                  </w:txbxContent>
                </v:textbox>
              </v:shape>
            </w:pict>
          </mc:Fallback>
        </mc:AlternateContent>
      </w:r>
      <w:r>
        <w:rPr>
          <w:rFonts w:hint="eastAsia" w:ascii="仿宋" w:hAnsi="仿宋" w:eastAsia="仿宋" w:cs="仿宋"/>
          <w:color w:val="auto"/>
          <w:highlight w:val="none"/>
          <w:lang w:eastAsia="zh-CN"/>
        </w:rPr>
        <w:t>发包人应按照下列约定向承包人支付工程勘察费、工程设计费、BIM技术应用费、设备及工器具购置费、建筑安装工程费及其他各种款项：</w:t>
      </w:r>
    </w:p>
    <w:p w14:paraId="5B40F51C">
      <w:pPr>
        <w:widowControl w:val="0"/>
        <w:numPr>
          <w:ilvl w:val="1"/>
          <w:numId w:val="16"/>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预付款按照第84条的约定支付；</w:t>
      </w:r>
    </w:p>
    <w:p w14:paraId="1247748F">
      <w:pPr>
        <w:widowControl w:val="0"/>
        <w:numPr>
          <w:ilvl w:val="1"/>
          <w:numId w:val="16"/>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绿色施工安全防护</w:t>
      </w:r>
      <w:r>
        <w:rPr>
          <w:rFonts w:hint="eastAsia" w:ascii="仿宋" w:hAnsi="仿宋" w:eastAsia="仿宋" w:cs="仿宋"/>
          <w:color w:val="auto"/>
          <w:highlight w:val="none"/>
          <w:lang w:val="en-US" w:eastAsia="zh-CN"/>
        </w:rPr>
        <w:t>措施</w:t>
      </w:r>
      <w:r>
        <w:rPr>
          <w:rFonts w:hint="eastAsia" w:ascii="仿宋" w:hAnsi="仿宋" w:eastAsia="仿宋" w:cs="仿宋"/>
          <w:color w:val="auto"/>
          <w:highlight w:val="none"/>
          <w:lang w:eastAsia="zh-CN"/>
        </w:rPr>
        <w:t>费按照第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5条约定支付；</w:t>
      </w:r>
    </w:p>
    <w:p w14:paraId="166B95AD">
      <w:pPr>
        <w:widowControl w:val="0"/>
        <w:numPr>
          <w:ilvl w:val="1"/>
          <w:numId w:val="16"/>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进度款按照第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6条的约定支付；</w:t>
      </w:r>
    </w:p>
    <w:p w14:paraId="73E7EC36">
      <w:pPr>
        <w:widowControl w:val="0"/>
        <w:numPr>
          <w:ilvl w:val="1"/>
          <w:numId w:val="16"/>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结算款按照第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8条的约定支付；</w:t>
      </w:r>
      <w:r>
        <w:rPr>
          <w:rFonts w:ascii="仿宋" w:hAnsi="仿宋" w:eastAsia="仿宋" w:cs="仿宋"/>
          <w:color w:val="auto"/>
          <w:highlight w:val="none"/>
          <w:lang w:eastAsia="zh-CN"/>
        </w:rPr>
        <w:t xml:space="preserve"> </w:t>
      </w:r>
    </w:p>
    <w:p w14:paraId="654D1678">
      <w:pPr>
        <w:widowControl w:val="0"/>
        <w:numPr>
          <w:ilvl w:val="1"/>
          <w:numId w:val="16"/>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质量保证金按照第89条的约定支付；</w:t>
      </w:r>
    </w:p>
    <w:p w14:paraId="39D5E7A9">
      <w:pPr>
        <w:widowControl w:val="0"/>
        <w:numPr>
          <w:ilvl w:val="1"/>
          <w:numId w:val="16"/>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最终清算款按照第90条的约定支付。</w:t>
      </w:r>
    </w:p>
    <w:p w14:paraId="2AD38FC4">
      <w:pPr>
        <w:spacing w:line="360" w:lineRule="auto"/>
        <w:rPr>
          <w:rFonts w:ascii="仿宋" w:hAnsi="仿宋" w:eastAsia="仿宋"/>
          <w:b/>
          <w:bCs/>
          <w:color w:val="auto"/>
          <w:highlight w:val="none"/>
          <w:lang w:eastAsia="zh-CN"/>
        </w:rPr>
      </w:pPr>
      <w:bookmarkStart w:id="1093" w:name="_Toc21140"/>
      <w:r>
        <w:rPr>
          <w:rFonts w:hint="eastAsia" w:ascii="仿宋" w:hAnsi="仿宋" w:eastAsia="仿宋" w:cs="仿宋"/>
          <w:b/>
          <w:bCs/>
          <w:color w:val="auto"/>
          <w:highlight w:val="none"/>
          <w:lang w:eastAsia="zh-CN"/>
        </w:rPr>
        <w:t>83</w:t>
      </w:r>
      <w:r>
        <w:rPr>
          <w:rFonts w:ascii="仿宋" w:hAnsi="仿宋" w:eastAsia="仿宋" w:cs="仿宋"/>
          <w:b/>
          <w:bCs/>
          <w:color w:val="auto"/>
          <w:highlight w:val="none"/>
          <w:lang w:eastAsia="zh-CN"/>
        </w:rPr>
        <w:t>.2</w:t>
      </w:r>
      <w:bookmarkEnd w:id="109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0C787D6">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43815</wp:posOffset>
                </wp:positionV>
                <wp:extent cx="785495" cy="517525"/>
                <wp:effectExtent l="0" t="0" r="0" b="0"/>
                <wp:wrapNone/>
                <wp:docPr id="369" name="000274"/>
                <wp:cNvGraphicFramePr/>
                <a:graphic xmlns:a="http://schemas.openxmlformats.org/drawingml/2006/main">
                  <a:graphicData uri="http://schemas.microsoft.com/office/word/2010/wordprocessingShape">
                    <wps:wsp>
                      <wps:cNvSpPr txBox="1"/>
                      <wps:spPr>
                        <a:xfrm>
                          <a:off x="0" y="0"/>
                          <a:ext cx="785495" cy="517525"/>
                        </a:xfrm>
                        <a:prstGeom prst="rect">
                          <a:avLst/>
                        </a:prstGeom>
                        <a:noFill/>
                        <a:ln>
                          <a:noFill/>
                        </a:ln>
                        <a:effectLst/>
                      </wps:spPr>
                      <wps:txbx>
                        <w:txbxContent>
                          <w:p w14:paraId="31585EFF">
                            <w:pPr>
                              <w:pStyle w:val="37"/>
                              <w:spacing w:line="200" w:lineRule="exact"/>
                              <w:rPr>
                                <w:rFonts w:ascii="楷体_GB2312" w:hAnsi="宋体"/>
                                <w:sz w:val="18"/>
                                <w:szCs w:val="18"/>
                              </w:rPr>
                            </w:pPr>
                            <w:r>
                              <w:rPr>
                                <w:rFonts w:hint="eastAsia" w:ascii="楷体_GB2312" w:hAnsi="宋体" w:cs="楷体_GB2312"/>
                                <w:sz w:val="18"/>
                                <w:szCs w:val="18"/>
                              </w:rPr>
                              <w:t>延迟支付的利息计算</w:t>
                            </w:r>
                          </w:p>
                          <w:p w14:paraId="3D8FF7FD"/>
                        </w:txbxContent>
                      </wps:txbx>
                      <wps:bodyPr wrap="square" upright="1"/>
                    </wps:wsp>
                  </a:graphicData>
                </a:graphic>
              </wp:anchor>
            </w:drawing>
          </mc:Choice>
          <mc:Fallback>
            <w:pict>
              <v:shape id="000274" o:spid="_x0000_s1026" o:spt="202" type="#_x0000_t202" style="position:absolute;left:0pt;margin-left:-9pt;margin-top:3.45pt;height:40.75pt;width:61.85pt;z-index:252036096;mso-width-relative:page;mso-height-relative:page;" filled="f" stroked="f" coordsize="21600,21600" o:gfxdata="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QihXfWAAAA&#10;CAEAAA8AAAAAAAAAAQAgAAAAIgAAAGRycy9kb3ducmV2LnhtbFBLAQIUABQAAAAIAIdO4kAQa1x+&#10;rQEAAGYDAAAOAAAAAAAAAAEAIAAAACUBAABkcnMvZTJvRG9jLnhtbFBLBQYAAAAABgAGAFkBAABE&#10;BQAAAAA=&#10;">
                <v:fill on="f" focussize="0,0"/>
                <v:stroke on="f"/>
                <v:imagedata o:title=""/>
                <o:lock v:ext="edit" aspectratio="f"/>
                <v:textbox>
                  <w:txbxContent>
                    <w:p w14:paraId="31585EFF">
                      <w:pPr>
                        <w:pStyle w:val="37"/>
                        <w:spacing w:line="200" w:lineRule="exact"/>
                        <w:rPr>
                          <w:rFonts w:ascii="楷体_GB2312" w:hAnsi="宋体"/>
                          <w:sz w:val="18"/>
                          <w:szCs w:val="18"/>
                        </w:rPr>
                      </w:pPr>
                      <w:r>
                        <w:rPr>
                          <w:rFonts w:hint="eastAsia" w:ascii="楷体_GB2312" w:hAnsi="宋体" w:cs="楷体_GB2312"/>
                          <w:sz w:val="18"/>
                          <w:szCs w:val="18"/>
                        </w:rPr>
                        <w:t>延迟支付的利息计算</w:t>
                      </w:r>
                    </w:p>
                    <w:p w14:paraId="3D8FF7FD"/>
                  </w:txbxContent>
                </v:textbox>
              </v:shape>
            </w:pict>
          </mc:Fallback>
        </mc:AlternateContent>
      </w:r>
      <w:r>
        <w:rPr>
          <w:rFonts w:hint="eastAsia" w:ascii="仿宋" w:hAnsi="仿宋" w:eastAsia="仿宋" w:cs="仿宋"/>
          <w:color w:val="auto"/>
          <w:sz w:val="24"/>
          <w:szCs w:val="24"/>
          <w:highlight w:val="none"/>
          <w:lang w:eastAsia="zh-CN"/>
        </w:rPr>
        <w:t>如果发包人延迟支付款项，则承包人有权按照专用条款约定的利率计算和得到利息。计息时间从应支付之日起直到该笔延迟款额支付之日止。除专用条款另有约定外，利息的利率按照全国银行间同业拆借中心公布的贷款市场报价利率（LPR）计算。</w:t>
      </w:r>
    </w:p>
    <w:p w14:paraId="0E28D491">
      <w:pPr>
        <w:widowControl w:val="0"/>
        <w:spacing w:line="360" w:lineRule="auto"/>
        <w:rPr>
          <w:rFonts w:ascii="仿宋" w:hAnsi="仿宋" w:eastAsia="仿宋"/>
          <w:b/>
          <w:bCs/>
          <w:color w:val="auto"/>
          <w:highlight w:val="none"/>
          <w:lang w:eastAsia="zh-CN"/>
        </w:rPr>
      </w:pPr>
      <w:bookmarkStart w:id="1094" w:name="_Toc20610"/>
      <w:r>
        <w:rPr>
          <w:rFonts w:hint="eastAsia" w:ascii="仿宋" w:hAnsi="仿宋" w:eastAsia="仿宋" w:cs="仿宋"/>
          <w:b/>
          <w:bCs/>
          <w:color w:val="auto"/>
          <w:highlight w:val="none"/>
          <w:lang w:eastAsia="zh-CN"/>
        </w:rPr>
        <w:t>83</w:t>
      </w:r>
      <w:r>
        <w:rPr>
          <w:rFonts w:ascii="仿宋" w:hAnsi="仿宋" w:eastAsia="仿宋" w:cs="仿宋"/>
          <w:b/>
          <w:bCs/>
          <w:color w:val="auto"/>
          <w:highlight w:val="none"/>
          <w:lang w:eastAsia="zh-CN"/>
        </w:rPr>
        <w:t>.3</w:t>
      </w:r>
      <w:bookmarkEnd w:id="109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74D6436">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4445</wp:posOffset>
                </wp:positionV>
                <wp:extent cx="785495" cy="532765"/>
                <wp:effectExtent l="0" t="0" r="0" b="0"/>
                <wp:wrapNone/>
                <wp:docPr id="370" name="000275"/>
                <wp:cNvGraphicFramePr/>
                <a:graphic xmlns:a="http://schemas.openxmlformats.org/drawingml/2006/main">
                  <a:graphicData uri="http://schemas.microsoft.com/office/word/2010/wordprocessingShape">
                    <wps:wsp>
                      <wps:cNvSpPr txBox="1"/>
                      <wps:spPr>
                        <a:xfrm>
                          <a:off x="0" y="0"/>
                          <a:ext cx="785495" cy="532765"/>
                        </a:xfrm>
                        <a:prstGeom prst="rect">
                          <a:avLst/>
                        </a:prstGeom>
                        <a:noFill/>
                        <a:ln>
                          <a:noFill/>
                        </a:ln>
                        <a:effectLst/>
                      </wps:spPr>
                      <wps:txbx>
                        <w:txbxContent>
                          <w:p w14:paraId="484694C2">
                            <w:pPr>
                              <w:pStyle w:val="37"/>
                              <w:spacing w:line="200" w:lineRule="exact"/>
                              <w:rPr>
                                <w:rFonts w:ascii="楷体_GB2312" w:hAnsi="宋体"/>
                                <w:sz w:val="18"/>
                                <w:szCs w:val="18"/>
                              </w:rPr>
                            </w:pPr>
                            <w:r>
                              <w:rPr>
                                <w:rFonts w:hint="eastAsia" w:ascii="楷体_GB2312" w:hAnsi="宋体" w:cs="楷体_GB2312"/>
                                <w:sz w:val="18"/>
                                <w:szCs w:val="18"/>
                              </w:rPr>
                              <w:t>承包人提供支付凭证</w:t>
                            </w:r>
                          </w:p>
                          <w:p w14:paraId="7E8C1CB6"/>
                        </w:txbxContent>
                      </wps:txbx>
                      <wps:bodyPr wrap="square" upright="1"/>
                    </wps:wsp>
                  </a:graphicData>
                </a:graphic>
              </wp:anchor>
            </w:drawing>
          </mc:Choice>
          <mc:Fallback>
            <w:pict>
              <v:shape id="000275" o:spid="_x0000_s1026" o:spt="202" type="#_x0000_t202" style="position:absolute;left:0pt;margin-left:-9pt;margin-top:0.35pt;height:41.95pt;width:61.85pt;z-index:252037120;mso-width-relative:page;mso-height-relative:page;" filled="f" stroked="f" coordsize="21600,21600" o:gfxdata="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xtLDBtUAAAAH&#10;AQAADwAAAAAAAAABACAAAAAiAAAAZHJzL2Rvd25yZXYueG1sUEsBAhQAFAAAAAgAh07iQCpPzdGt&#10;AQAAZgMAAA4AAAAAAAAAAQAgAAAAJAEAAGRycy9lMm9Eb2MueG1sUEsFBgAAAAAGAAYAWQEAAEMF&#10;AAAAAA==&#10;">
                <v:fill on="f" focussize="0,0"/>
                <v:stroke on="f"/>
                <v:imagedata o:title=""/>
                <o:lock v:ext="edit" aspectratio="f"/>
                <v:textbox>
                  <w:txbxContent>
                    <w:p w14:paraId="484694C2">
                      <w:pPr>
                        <w:pStyle w:val="37"/>
                        <w:spacing w:line="200" w:lineRule="exact"/>
                        <w:rPr>
                          <w:rFonts w:ascii="楷体_GB2312" w:hAnsi="宋体"/>
                          <w:sz w:val="18"/>
                          <w:szCs w:val="18"/>
                        </w:rPr>
                      </w:pPr>
                      <w:r>
                        <w:rPr>
                          <w:rFonts w:hint="eastAsia" w:ascii="楷体_GB2312" w:hAnsi="宋体" w:cs="楷体_GB2312"/>
                          <w:sz w:val="18"/>
                          <w:szCs w:val="18"/>
                        </w:rPr>
                        <w:t>承包人提供支付凭证</w:t>
                      </w:r>
                    </w:p>
                    <w:p w14:paraId="7E8C1CB6"/>
                  </w:txbxContent>
                </v:textbox>
              </v:shape>
            </w:pict>
          </mc:Fallback>
        </mc:AlternateContent>
      </w:r>
      <w:r>
        <w:rPr>
          <w:rFonts w:hint="eastAsia" w:ascii="仿宋" w:hAnsi="仿宋" w:eastAsia="仿宋" w:cs="仿宋"/>
          <w:color w:val="auto"/>
          <w:sz w:val="24"/>
          <w:szCs w:val="24"/>
          <w:highlight w:val="none"/>
          <w:lang w:eastAsia="zh-CN"/>
        </w:rPr>
        <w:t>发包人或受其委托的造价咨询人有权要求，承包人向发包人或造价咨询人提供其对雇员劳务工资、分包人已完工程款以及工程材料和工程设备供应商货款的支付凭证。如果承包人未能提供上述凭证，视为承包人未向雇员、分包人、供应商支付相关款项。</w:t>
      </w:r>
    </w:p>
    <w:p w14:paraId="4DC14921">
      <w:pPr>
        <w:pStyle w:val="23"/>
        <w:widowControl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66F09446">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22225</wp:posOffset>
                </wp:positionV>
                <wp:extent cx="823595" cy="631825"/>
                <wp:effectExtent l="0" t="0" r="0" b="0"/>
                <wp:wrapNone/>
                <wp:docPr id="371" name="000276"/>
                <wp:cNvGraphicFramePr/>
                <a:graphic xmlns:a="http://schemas.openxmlformats.org/drawingml/2006/main">
                  <a:graphicData uri="http://schemas.microsoft.com/office/word/2010/wordprocessingShape">
                    <wps:wsp>
                      <wps:cNvSpPr txBox="1"/>
                      <wps:spPr>
                        <a:xfrm>
                          <a:off x="0" y="0"/>
                          <a:ext cx="823595" cy="631825"/>
                        </a:xfrm>
                        <a:prstGeom prst="rect">
                          <a:avLst/>
                        </a:prstGeom>
                        <a:noFill/>
                        <a:ln>
                          <a:noFill/>
                        </a:ln>
                        <a:effectLst/>
                      </wps:spPr>
                      <wps:txbx>
                        <w:txbxContent>
                          <w:p w14:paraId="5959EC70">
                            <w:pPr>
                              <w:pStyle w:val="37"/>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p w14:paraId="5D733E35">
                            <w:pPr>
                              <w:rPr>
                                <w:lang w:eastAsia="zh-CN"/>
                              </w:rPr>
                            </w:pPr>
                          </w:p>
                        </w:txbxContent>
                      </wps:txbx>
                      <wps:bodyPr wrap="square" upright="1"/>
                    </wps:wsp>
                  </a:graphicData>
                </a:graphic>
              </wp:anchor>
            </w:drawing>
          </mc:Choice>
          <mc:Fallback>
            <w:pict>
              <v:shape id="000276" o:spid="_x0000_s1026" o:spt="202" type="#_x0000_t202" style="position:absolute;left:0pt;margin-left:-9pt;margin-top:1.75pt;height:49.75pt;width:64.85pt;z-index:252038144;mso-width-relative:page;mso-height-relative:page;" filled="f" stroked="f" coordsize="21600,21600" o:gfxdata="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2n45fXAAAA&#10;CQEAAA8AAAAAAAAAAQAgAAAAIgAAAGRycy9kb3ducmV2LnhtbFBLAQIUABQAAAAIAIdO4kBJir5f&#10;rAEAAGYDAAAOAAAAAAAAAAEAIAAAACYBAABkcnMvZTJvRG9jLnhtbFBLBQYAAAAABgAGAFkBAABE&#10;BQAAAAA=&#10;">
                <v:fill on="f" focussize="0,0"/>
                <v:stroke on="f"/>
                <v:imagedata o:title=""/>
                <o:lock v:ext="edit" aspectratio="f"/>
                <v:textbox>
                  <w:txbxContent>
                    <w:p w14:paraId="5959EC70">
                      <w:pPr>
                        <w:pStyle w:val="37"/>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p w14:paraId="5D733E35">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如果承包人未按照雇员劳务合同和政府有关规定支付雇员劳务工资，或未按照分包合同支付分包人工程款，或未按照购销合同支付工程材料和工程设备供应商货款，均视为承包人违约。若在造价咨询人书面通知改正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天内，承包人仍未采取措施补救的，发包人可在不损害承包人其他权利的前提下，实施下列工作：</w:t>
      </w:r>
    </w:p>
    <w:p w14:paraId="66889194">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立即停止向承包人支付应付的款项；</w:t>
      </w:r>
    </w:p>
    <w:p w14:paraId="41C7B06D">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在相应支付期应付的工程款范围内，直接向雇员、分包人和工程材料供应商、工程设备供应商支付承包人应付的款项。</w:t>
      </w:r>
    </w:p>
    <w:p w14:paraId="57EAAFBB">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发包人在实施上述工作后的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天内应以书面形式通知承包人，抄送造价咨询人。造价咨询人在签发下期支付证书时，应扣除已由发包人直接支付的款项。由于上述工作原因发生的费用由承包人承担；给发包人造成损失的，承包人应予赔偿。</w:t>
      </w:r>
    </w:p>
    <w:p w14:paraId="20F45916">
      <w:pPr>
        <w:pStyle w:val="23"/>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0B1EAFDE">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1095" w:name="_Toc13055"/>
      <w:bookmarkStart w:id="1096" w:name="_Toc4948"/>
      <w:bookmarkStart w:id="1097" w:name="_Toc7565"/>
      <w:bookmarkStart w:id="1098" w:name="_Toc18120"/>
      <w:bookmarkStart w:id="1099" w:name="_Toc47694360"/>
      <w:bookmarkStart w:id="1100" w:name="_Toc22741"/>
      <w:bookmarkStart w:id="1101" w:name="_Toc3448"/>
      <w:bookmarkStart w:id="1102" w:name="_Toc18732"/>
      <w:r>
        <w:rPr>
          <w:rFonts w:hint="eastAsia" w:ascii="仿宋" w:hAnsi="仿宋" w:eastAsia="仿宋" w:cs="仿宋"/>
          <w:bCs w:val="0"/>
          <w:color w:val="auto"/>
          <w:sz w:val="24"/>
          <w:szCs w:val="24"/>
          <w:highlight w:val="none"/>
          <w:lang w:eastAsia="zh-CN"/>
        </w:rPr>
        <w:t>★84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预付款</w:t>
      </w:r>
      <w:bookmarkEnd w:id="1095"/>
      <w:bookmarkEnd w:id="1096"/>
      <w:bookmarkEnd w:id="1097"/>
      <w:bookmarkEnd w:id="1098"/>
      <w:bookmarkEnd w:id="1099"/>
      <w:bookmarkEnd w:id="1100"/>
      <w:bookmarkEnd w:id="1101"/>
      <w:bookmarkEnd w:id="1102"/>
    </w:p>
    <w:p w14:paraId="65FB4BD6">
      <w:pPr>
        <w:pStyle w:val="23"/>
        <w:widowControl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226695</wp:posOffset>
                </wp:positionV>
                <wp:extent cx="863600" cy="353060"/>
                <wp:effectExtent l="0" t="0" r="0" b="0"/>
                <wp:wrapNone/>
                <wp:docPr id="372" name="000277"/>
                <wp:cNvGraphicFramePr/>
                <a:graphic xmlns:a="http://schemas.openxmlformats.org/drawingml/2006/main">
                  <a:graphicData uri="http://schemas.microsoft.com/office/word/2010/wordprocessingShape">
                    <wps:wsp>
                      <wps:cNvSpPr txBox="1"/>
                      <wps:spPr>
                        <a:xfrm>
                          <a:off x="0" y="0"/>
                          <a:ext cx="863600" cy="353060"/>
                        </a:xfrm>
                        <a:prstGeom prst="rect">
                          <a:avLst/>
                        </a:prstGeom>
                        <a:noFill/>
                        <a:ln>
                          <a:noFill/>
                        </a:ln>
                        <a:effectLst/>
                      </wps:spPr>
                      <wps:txbx>
                        <w:txbxContent>
                          <w:p w14:paraId="054B40C8">
                            <w:pPr>
                              <w:pStyle w:val="37"/>
                              <w:spacing w:line="200" w:lineRule="exact"/>
                              <w:rPr>
                                <w:rFonts w:ascii="楷体_GB2312" w:hAnsi="宋体"/>
                                <w:sz w:val="18"/>
                                <w:szCs w:val="18"/>
                              </w:rPr>
                            </w:pPr>
                            <w:r>
                              <w:rPr>
                                <w:rFonts w:hint="eastAsia" w:ascii="楷体_GB2312" w:hAnsi="宋体" w:cs="楷体_GB2312"/>
                                <w:sz w:val="18"/>
                                <w:szCs w:val="18"/>
                              </w:rPr>
                              <w:t>预付款的约定</w:t>
                            </w:r>
                          </w:p>
                          <w:p w14:paraId="461BE645">
                            <w:pPr>
                              <w:pStyle w:val="37"/>
                              <w:spacing w:line="200" w:lineRule="exact"/>
                              <w:rPr>
                                <w:rFonts w:ascii="楷体_GB2312" w:hAnsi="宋体"/>
                                <w:sz w:val="18"/>
                                <w:szCs w:val="18"/>
                              </w:rPr>
                            </w:pPr>
                            <w:r>
                              <w:rPr>
                                <w:rFonts w:hint="eastAsia" w:ascii="楷体_GB2312" w:hAnsi="宋体" w:cs="楷体_GB2312"/>
                                <w:sz w:val="18"/>
                                <w:szCs w:val="18"/>
                              </w:rPr>
                              <w:t>及管理</w:t>
                            </w:r>
                          </w:p>
                          <w:p w14:paraId="43262B18"/>
                        </w:txbxContent>
                      </wps:txbx>
                      <wps:bodyPr wrap="square" upright="1"/>
                    </wps:wsp>
                  </a:graphicData>
                </a:graphic>
              </wp:anchor>
            </w:drawing>
          </mc:Choice>
          <mc:Fallback>
            <w:pict>
              <v:shape id="000277" o:spid="_x0000_s1026" o:spt="202" type="#_x0000_t202" style="position:absolute;left:0pt;margin-left:-9pt;margin-top:17.85pt;height:27.8pt;width:68pt;z-index:252039168;mso-width-relative:page;mso-height-relative:page;" filled="f" stroked="f" coordsize="21600,21600" o:gfxdata="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g752dYAAAAJ&#10;AQAADwAAAAAAAAABACAAAAAiAAAAZHJzL2Rvd25yZXYueG1sUEsBAhQAFAAAAAgAh07iQGOCEcSs&#10;AQAAZgMAAA4AAAAAAAAAAQAgAAAAJQEAAGRycy9lMm9Eb2MueG1sUEsFBgAAAAAGAAYAWQEAAEMF&#10;AAAAAA==&#10;">
                <v:fill on="f" focussize="0,0"/>
                <v:stroke on="f"/>
                <v:imagedata o:title=""/>
                <o:lock v:ext="edit" aspectratio="f"/>
                <v:textbox>
                  <w:txbxContent>
                    <w:p w14:paraId="054B40C8">
                      <w:pPr>
                        <w:pStyle w:val="37"/>
                        <w:spacing w:line="200" w:lineRule="exact"/>
                        <w:rPr>
                          <w:rFonts w:ascii="楷体_GB2312" w:hAnsi="宋体"/>
                          <w:sz w:val="18"/>
                          <w:szCs w:val="18"/>
                        </w:rPr>
                      </w:pPr>
                      <w:r>
                        <w:rPr>
                          <w:rFonts w:hint="eastAsia" w:ascii="楷体_GB2312" w:hAnsi="宋体" w:cs="楷体_GB2312"/>
                          <w:sz w:val="18"/>
                          <w:szCs w:val="18"/>
                        </w:rPr>
                        <w:t>预付款的约定</w:t>
                      </w:r>
                    </w:p>
                    <w:p w14:paraId="461BE645">
                      <w:pPr>
                        <w:pStyle w:val="37"/>
                        <w:spacing w:line="200" w:lineRule="exact"/>
                        <w:rPr>
                          <w:rFonts w:ascii="楷体_GB2312" w:hAnsi="宋体"/>
                          <w:sz w:val="18"/>
                          <w:szCs w:val="18"/>
                        </w:rPr>
                      </w:pPr>
                      <w:r>
                        <w:rPr>
                          <w:rFonts w:hint="eastAsia" w:ascii="楷体_GB2312" w:hAnsi="宋体" w:cs="楷体_GB2312"/>
                          <w:sz w:val="18"/>
                          <w:szCs w:val="18"/>
                        </w:rPr>
                        <w:t>及管理</w:t>
                      </w:r>
                    </w:p>
                    <w:p w14:paraId="43262B18"/>
                  </w:txbxContent>
                </v:textbox>
              </v:shape>
            </w:pict>
          </mc:Fallback>
        </mc:AlternateContent>
      </w: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.1</w:t>
      </w:r>
    </w:p>
    <w:p w14:paraId="6CCE5C0B">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除专用条款另有约定外，合同双方当事人应约定预付款，并在专用条款中明确预付款金额、支付办法和抵扣方式。</w:t>
      </w:r>
    </w:p>
    <w:p w14:paraId="28DCCC72">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预付款专款专用，承包人应在财务账目中表明专用于合同工程勘察（如果有）、设计、BIM技术应用、设备及工器具购置（如果有），以及采购工程材料、工程设备、施工设备、修建临时设施以及组织施工队伍进场等所需的款项，不得挪作他用。除专用条款另有约定外，预付款的预付比例不低于（含本数）合同价格（扣除暂列金额、暂估价、绿色安全防护措施费等）的</w:t>
      </w:r>
      <w:r>
        <w:rPr>
          <w:rFonts w:ascii="仿宋" w:hAnsi="仿宋" w:eastAsia="仿宋" w:cs="仿宋"/>
          <w:color w:val="auto"/>
          <w:sz w:val="24"/>
          <w:szCs w:val="24"/>
          <w:highlight w:val="none"/>
          <w:lang w:eastAsia="zh-CN"/>
        </w:rPr>
        <w:t>10%</w:t>
      </w:r>
      <w:r>
        <w:rPr>
          <w:rFonts w:hint="eastAsia" w:ascii="仿宋" w:hAnsi="仿宋" w:eastAsia="仿宋" w:cs="仿宋"/>
          <w:color w:val="auto"/>
          <w:sz w:val="24"/>
          <w:szCs w:val="24"/>
          <w:highlight w:val="none"/>
          <w:lang w:eastAsia="zh-CN"/>
        </w:rPr>
        <w:t>，不高于（含本数）合同价格（扣除暂列金额、暂估价、绿色安全防护措施费等）的</w:t>
      </w:r>
      <w:r>
        <w:rPr>
          <w:rFonts w:ascii="仿宋" w:hAnsi="仿宋" w:eastAsia="仿宋" w:cs="仿宋"/>
          <w:color w:val="auto"/>
          <w:sz w:val="24"/>
          <w:szCs w:val="24"/>
          <w:highlight w:val="none"/>
          <w:lang w:eastAsia="zh-CN"/>
        </w:rPr>
        <w:t>30%</w:t>
      </w:r>
      <w:r>
        <w:rPr>
          <w:rFonts w:hint="eastAsia" w:ascii="仿宋" w:hAnsi="仿宋" w:eastAsia="仿宋" w:cs="仿宋"/>
          <w:color w:val="auto"/>
          <w:sz w:val="24"/>
          <w:szCs w:val="24"/>
          <w:highlight w:val="none"/>
          <w:lang w:eastAsia="zh-CN"/>
        </w:rPr>
        <w:t>。</w:t>
      </w:r>
    </w:p>
    <w:p w14:paraId="40036FF2">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701E4AA4">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19685</wp:posOffset>
                </wp:positionV>
                <wp:extent cx="765810" cy="629285"/>
                <wp:effectExtent l="0" t="0" r="0" b="0"/>
                <wp:wrapNone/>
                <wp:docPr id="373" name="000278"/>
                <wp:cNvGraphicFramePr/>
                <a:graphic xmlns:a="http://schemas.openxmlformats.org/drawingml/2006/main">
                  <a:graphicData uri="http://schemas.microsoft.com/office/word/2010/wordprocessingShape">
                    <wps:wsp>
                      <wps:cNvSpPr txBox="1"/>
                      <wps:spPr>
                        <a:xfrm>
                          <a:off x="0" y="0"/>
                          <a:ext cx="765810" cy="629285"/>
                        </a:xfrm>
                        <a:prstGeom prst="rect">
                          <a:avLst/>
                        </a:prstGeom>
                        <a:noFill/>
                        <a:ln>
                          <a:noFill/>
                        </a:ln>
                        <a:effectLst/>
                      </wps:spPr>
                      <wps:txbx>
                        <w:txbxContent>
                          <w:p w14:paraId="48B066E2">
                            <w:pPr>
                              <w:pStyle w:val="37"/>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p w14:paraId="1F927A4B">
                            <w:pPr>
                              <w:rPr>
                                <w:lang w:eastAsia="zh-CN"/>
                              </w:rPr>
                            </w:pPr>
                          </w:p>
                        </w:txbxContent>
                      </wps:txbx>
                      <wps:bodyPr wrap="square" upright="1"/>
                    </wps:wsp>
                  </a:graphicData>
                </a:graphic>
              </wp:anchor>
            </w:drawing>
          </mc:Choice>
          <mc:Fallback>
            <w:pict>
              <v:shape id="000278" o:spid="_x0000_s1026" o:spt="202" type="#_x0000_t202" style="position:absolute;left:0pt;margin-left:-9pt;margin-top:1.55pt;height:49.55pt;width:60.3pt;z-index:252040192;mso-width-relative:page;mso-height-relative:page;" filled="f" stroked="f" coordsize="21600,21600" o:gfxdata="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8ub5w1QAAAAkB&#10;AAAPAAAAAAAAAAEAIAAAACIAAABkcnMvZG93bnJldi54bWxQSwECFAAUAAAACACHTuJATkGi5qwB&#10;AABmAwAADgAAAAAAAAABACAAAAAkAQAAZHJzL2Uyb0RvYy54bWxQSwUGAAAAAAYABgBZAQAAQgUA&#10;AAAA&#10;">
                <v:fill on="f" focussize="0,0"/>
                <v:stroke on="f"/>
                <v:imagedata o:title=""/>
                <o:lock v:ext="edit" aspectratio="f"/>
                <v:textbox>
                  <w:txbxContent>
                    <w:p w14:paraId="48B066E2">
                      <w:pPr>
                        <w:pStyle w:val="37"/>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p w14:paraId="1F927A4B">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承包人在完成下列工作后，应在专用条款约定的期限内向造价咨询人提交预付款支付申请，并抄送发包人。</w:t>
      </w:r>
    </w:p>
    <w:p w14:paraId="100F2030">
      <w:pPr>
        <w:pStyle w:val="23"/>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）签订本合同；</w:t>
      </w:r>
    </w:p>
    <w:p w14:paraId="6FE7306A">
      <w:pPr>
        <w:pStyle w:val="23"/>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）按照第32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款约定提供履约担保；</w:t>
      </w:r>
    </w:p>
    <w:p w14:paraId="664FFAF3">
      <w:pPr>
        <w:pStyle w:val="23"/>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）向发包人提供与预付款等额的预付款保函的正本。</w:t>
      </w:r>
    </w:p>
    <w:p w14:paraId="5114B709">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造价咨询人应对支付申请进行核实，并在收到支付申请后的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天内报发包人确认后向发包人发出支付证书，同时抄送承包人。</w:t>
      </w:r>
    </w:p>
    <w:p w14:paraId="25FB30F9">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发包人在造价咨询人签发支付证书后的28天内向承包人支付预付款，并通知造价咨询人。</w:t>
      </w:r>
    </w:p>
    <w:p w14:paraId="3384F7CB">
      <w:pPr>
        <w:spacing w:line="360" w:lineRule="auto"/>
        <w:rPr>
          <w:rFonts w:ascii="仿宋" w:hAnsi="仿宋" w:eastAsia="仿宋"/>
          <w:b/>
          <w:bCs/>
          <w:color w:val="auto"/>
          <w:highlight w:val="none"/>
          <w:lang w:eastAsia="zh-CN"/>
        </w:rPr>
      </w:pPr>
      <w:bookmarkStart w:id="1103" w:name="_Toc4585"/>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.3</w:t>
      </w:r>
      <w:bookmarkEnd w:id="110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31EAF07">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10795</wp:posOffset>
                </wp:positionV>
                <wp:extent cx="794385" cy="662305"/>
                <wp:effectExtent l="0" t="0" r="0" b="0"/>
                <wp:wrapNone/>
                <wp:docPr id="374" name="000279"/>
                <wp:cNvGraphicFramePr/>
                <a:graphic xmlns:a="http://schemas.openxmlformats.org/drawingml/2006/main">
                  <a:graphicData uri="http://schemas.microsoft.com/office/word/2010/wordprocessingShape">
                    <wps:wsp>
                      <wps:cNvSpPr txBox="1"/>
                      <wps:spPr>
                        <a:xfrm>
                          <a:off x="0" y="0"/>
                          <a:ext cx="794385" cy="662305"/>
                        </a:xfrm>
                        <a:prstGeom prst="rect">
                          <a:avLst/>
                        </a:prstGeom>
                        <a:noFill/>
                        <a:ln>
                          <a:noFill/>
                        </a:ln>
                        <a:effectLst/>
                      </wps:spPr>
                      <wps:txbx>
                        <w:txbxContent>
                          <w:p w14:paraId="72F26B02">
                            <w:pPr>
                              <w:pStyle w:val="37"/>
                              <w:spacing w:line="200" w:lineRule="exact"/>
                              <w:rPr>
                                <w:rFonts w:ascii="楷体_GB2312" w:hAnsi="宋体"/>
                                <w:sz w:val="18"/>
                                <w:szCs w:val="18"/>
                              </w:rPr>
                            </w:pPr>
                            <w:r>
                              <w:rPr>
                                <w:rFonts w:hint="eastAsia" w:ascii="楷体_GB2312" w:hAnsi="宋体" w:cs="楷体_GB2312"/>
                                <w:sz w:val="18"/>
                                <w:szCs w:val="18"/>
                              </w:rPr>
                              <w:t>预付款支付的限制</w:t>
                            </w:r>
                          </w:p>
                          <w:p w14:paraId="50AB5861"/>
                        </w:txbxContent>
                      </wps:txbx>
                      <wps:bodyPr wrap="square" upright="1"/>
                    </wps:wsp>
                  </a:graphicData>
                </a:graphic>
              </wp:anchor>
            </w:drawing>
          </mc:Choice>
          <mc:Fallback>
            <w:pict>
              <v:shape id="000279" o:spid="_x0000_s1026" o:spt="202" type="#_x0000_t202" style="position:absolute;left:0pt;margin-left:-9pt;margin-top:0.85pt;height:52.15pt;width:62.55pt;z-index:252041216;mso-width-relative:page;mso-height-relative:page;" filled="f" stroked="f" coordsize="21600,21600" o:gfxdata="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3nyUO1AAAAAkB&#10;AAAPAAAAAAAAAAEAIAAAACIAAABkcnMvZG93bnJldi54bWxQSwECFAAUAAAACACHTuJAGEz7n60B&#10;AABmAwAADgAAAAAAAAABACAAAAAjAQAAZHJzL2Uyb0RvYy54bWxQSwUGAAAAAAYABgBZAQAAQgUA&#10;AAAA&#10;">
                <v:fill on="f" focussize="0,0"/>
                <v:stroke on="f"/>
                <v:imagedata o:title=""/>
                <o:lock v:ext="edit" aspectratio="f"/>
                <v:textbox>
                  <w:txbxContent>
                    <w:p w14:paraId="72F26B02">
                      <w:pPr>
                        <w:pStyle w:val="37"/>
                        <w:spacing w:line="200" w:lineRule="exact"/>
                        <w:rPr>
                          <w:rFonts w:ascii="楷体_GB2312" w:hAnsi="宋体"/>
                          <w:sz w:val="18"/>
                          <w:szCs w:val="18"/>
                        </w:rPr>
                      </w:pPr>
                      <w:r>
                        <w:rPr>
                          <w:rFonts w:hint="eastAsia" w:ascii="楷体_GB2312" w:hAnsi="宋体" w:cs="楷体_GB2312"/>
                          <w:sz w:val="18"/>
                          <w:szCs w:val="18"/>
                        </w:rPr>
                        <w:t>预付款支付的限制</w:t>
                      </w:r>
                    </w:p>
                    <w:p w14:paraId="50AB5861"/>
                  </w:txbxContent>
                </v:textbox>
              </v:shape>
            </w:pict>
          </mc:Fallback>
        </mc:AlternateContent>
      </w:r>
      <w:r>
        <w:rPr>
          <w:rFonts w:hint="eastAsia" w:ascii="仿宋" w:hAnsi="仿宋" w:eastAsia="仿宋" w:cs="仿宋"/>
          <w:color w:val="auto"/>
          <w:sz w:val="24"/>
          <w:szCs w:val="24"/>
          <w:highlight w:val="none"/>
          <w:lang w:eastAsia="zh-CN"/>
        </w:rPr>
        <w:t>发包人没有按时支付预付款的，承包人应在付款期满后的7天内向发包人发出要求支付的通知；发包人收到通知后仍不按要求支付，承包人可在发出通知</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天后暂停勘察（如果有）、设计、BIM技术应用、设备及工器具购置（如果有）或施工。发包人可与承包人协商签订延期支付协议，经承包人同意后可延期支付，承包人有权按照第83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款约定获得延期支付的利息。发包人承担由此增加的费用和（或）延误的工期，并向承包人支付合理利润。</w:t>
      </w:r>
    </w:p>
    <w:p w14:paraId="3A3663DC">
      <w:pPr>
        <w:pStyle w:val="23"/>
        <w:tabs>
          <w:tab w:val="left" w:pos="1320"/>
        </w:tabs>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 xml:space="preserve">.4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7D5C55B8">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46355</wp:posOffset>
                </wp:positionV>
                <wp:extent cx="866140" cy="457200"/>
                <wp:effectExtent l="0" t="0" r="0" b="0"/>
                <wp:wrapNone/>
                <wp:docPr id="375" name="00027a"/>
                <wp:cNvGraphicFramePr/>
                <a:graphic xmlns:a="http://schemas.openxmlformats.org/drawingml/2006/main">
                  <a:graphicData uri="http://schemas.microsoft.com/office/word/2010/wordprocessingShape">
                    <wps:wsp>
                      <wps:cNvSpPr txBox="1"/>
                      <wps:spPr>
                        <a:xfrm>
                          <a:off x="0" y="0"/>
                          <a:ext cx="866140" cy="457200"/>
                        </a:xfrm>
                        <a:prstGeom prst="rect">
                          <a:avLst/>
                        </a:prstGeom>
                        <a:noFill/>
                        <a:ln>
                          <a:noFill/>
                        </a:ln>
                        <a:effectLst/>
                      </wps:spPr>
                      <wps:txbx>
                        <w:txbxContent>
                          <w:p w14:paraId="30D5CF7D">
                            <w:pPr>
                              <w:pStyle w:val="37"/>
                              <w:spacing w:line="200" w:lineRule="exact"/>
                              <w:rPr>
                                <w:rFonts w:ascii="楷体_GB2312" w:hAnsi="宋体"/>
                                <w:sz w:val="18"/>
                                <w:szCs w:val="18"/>
                              </w:rPr>
                            </w:pPr>
                            <w:r>
                              <w:rPr>
                                <w:rFonts w:hint="eastAsia" w:ascii="楷体_GB2312" w:hAnsi="宋体" w:cs="楷体_GB2312"/>
                                <w:sz w:val="18"/>
                                <w:szCs w:val="18"/>
                              </w:rPr>
                              <w:t>预付款的扣回</w:t>
                            </w:r>
                          </w:p>
                          <w:p w14:paraId="4A24390A"/>
                        </w:txbxContent>
                      </wps:txbx>
                      <wps:bodyPr wrap="square" upright="1"/>
                    </wps:wsp>
                  </a:graphicData>
                </a:graphic>
              </wp:anchor>
            </w:drawing>
          </mc:Choice>
          <mc:Fallback>
            <w:pict>
              <v:shape id="00027a" o:spid="_x0000_s1026" o:spt="202" type="#_x0000_t202" style="position:absolute;left:0pt;margin-left:-9pt;margin-top:3.65pt;height:36pt;width:68.2pt;z-index:252042240;mso-width-relative:page;mso-height-relative:page;" filled="f" stroked="f" coordsize="21600,21600" o:gfxdata="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bAVfP1gAAAAgB&#10;AAAPAAAAAAAAAAEAIAAAACIAAABkcnMvZG93bnJldi54bWxQSwECFAAUAAAACACHTuJAUBqH/qsB&#10;AABmAwAADgAAAAAAAAABACAAAAAlAQAAZHJzL2Uyb0RvYy54bWxQSwUGAAAAAAYABgBZAQAAQgUA&#10;AAAA&#10;">
                <v:fill on="f" focussize="0,0"/>
                <v:stroke on="f"/>
                <v:imagedata o:title=""/>
                <o:lock v:ext="edit" aspectratio="f"/>
                <v:textbox>
                  <w:txbxContent>
                    <w:p w14:paraId="30D5CF7D">
                      <w:pPr>
                        <w:pStyle w:val="37"/>
                        <w:spacing w:line="200" w:lineRule="exact"/>
                        <w:rPr>
                          <w:rFonts w:ascii="楷体_GB2312" w:hAnsi="宋体"/>
                          <w:sz w:val="18"/>
                          <w:szCs w:val="18"/>
                        </w:rPr>
                      </w:pPr>
                      <w:r>
                        <w:rPr>
                          <w:rFonts w:hint="eastAsia" w:ascii="楷体_GB2312" w:hAnsi="宋体" w:cs="楷体_GB2312"/>
                          <w:sz w:val="18"/>
                          <w:szCs w:val="18"/>
                        </w:rPr>
                        <w:t>预付款的扣回</w:t>
                      </w:r>
                    </w:p>
                    <w:p w14:paraId="4A24390A"/>
                  </w:txbxContent>
                </v:textbox>
              </v:shape>
            </w:pict>
          </mc:Fallback>
        </mc:AlternateContent>
      </w:r>
      <w:r>
        <w:rPr>
          <w:rFonts w:hint="eastAsia" w:ascii="仿宋" w:hAnsi="仿宋" w:eastAsia="仿宋" w:cs="仿宋"/>
          <w:color w:val="auto"/>
          <w:sz w:val="24"/>
          <w:szCs w:val="24"/>
          <w:highlight w:val="none"/>
          <w:lang w:eastAsia="zh-CN"/>
        </w:rPr>
        <w:t>预付款应从每支付期应支付给承包人的进度款中扣回，直到扣回的金额达到专用条款约定的预付款金额为止。造价咨询人应依据专用条款约定的抵扣方式，在签发支付证书时从应支付给承包人的款项中扣回。</w:t>
      </w:r>
    </w:p>
    <w:p w14:paraId="47F3EB1F">
      <w:pPr>
        <w:spacing w:line="360" w:lineRule="auto"/>
        <w:rPr>
          <w:rFonts w:ascii="仿宋" w:hAnsi="仿宋" w:eastAsia="仿宋"/>
          <w:b/>
          <w:bCs/>
          <w:color w:val="auto"/>
          <w:highlight w:val="none"/>
          <w:lang w:eastAsia="zh-CN"/>
        </w:rPr>
      </w:pPr>
      <w:bookmarkStart w:id="1104" w:name="_Toc9269"/>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.5</w:t>
      </w:r>
      <w:bookmarkEnd w:id="110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E0D7755">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13335</wp:posOffset>
                </wp:positionV>
                <wp:extent cx="832485" cy="627380"/>
                <wp:effectExtent l="0" t="0" r="0" b="0"/>
                <wp:wrapNone/>
                <wp:docPr id="376" name="00027b"/>
                <wp:cNvGraphicFramePr/>
                <a:graphic xmlns:a="http://schemas.openxmlformats.org/drawingml/2006/main">
                  <a:graphicData uri="http://schemas.microsoft.com/office/word/2010/wordprocessingShape">
                    <wps:wsp>
                      <wps:cNvSpPr txBox="1"/>
                      <wps:spPr>
                        <a:xfrm>
                          <a:off x="0" y="0"/>
                          <a:ext cx="832485" cy="627380"/>
                        </a:xfrm>
                        <a:prstGeom prst="rect">
                          <a:avLst/>
                        </a:prstGeom>
                        <a:noFill/>
                        <a:ln>
                          <a:noFill/>
                        </a:ln>
                        <a:effectLst/>
                      </wps:spPr>
                      <wps:txbx>
                        <w:txbxContent>
                          <w:p w14:paraId="07D40DF9">
                            <w:pPr>
                              <w:pStyle w:val="37"/>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p w14:paraId="6A11C819">
                            <w:pPr>
                              <w:rPr>
                                <w:lang w:eastAsia="zh-CN"/>
                              </w:rPr>
                            </w:pPr>
                          </w:p>
                        </w:txbxContent>
                      </wps:txbx>
                      <wps:bodyPr wrap="square" upright="1"/>
                    </wps:wsp>
                  </a:graphicData>
                </a:graphic>
              </wp:anchor>
            </w:drawing>
          </mc:Choice>
          <mc:Fallback>
            <w:pict>
              <v:shape id="00027b" o:spid="_x0000_s1026" o:spt="202" type="#_x0000_t202" style="position:absolute;left:0pt;margin-left:-9pt;margin-top:1.05pt;height:49.4pt;width:65.55pt;z-index:252043264;mso-width-relative:page;mso-height-relative:page;" filled="f" stroked="f" coordsize="21600,21600" o:gfxdata="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FgYcbWAAAA&#10;CQEAAA8AAAAAAAAAAQAgAAAAIgAAAGRycy9kb3ducmV2LnhtbFBLAQIUABQAAAAIAIdO4kBQZJVf&#10;rQEAAGYDAAAOAAAAAAAAAAEAIAAAACUBAABkcnMvZTJvRG9jLnhtbFBLBQYAAAAABgAGAFkBAABE&#10;BQAAAAA=&#10;">
                <v:fill on="f" focussize="0,0"/>
                <v:stroke on="f"/>
                <v:imagedata o:title=""/>
                <o:lock v:ext="edit" aspectratio="f"/>
                <v:textbox>
                  <w:txbxContent>
                    <w:p w14:paraId="07D40DF9">
                      <w:pPr>
                        <w:pStyle w:val="37"/>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p w14:paraId="6A11C819">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承包人应保持预付款保函在预付款全部扣回之前一直有效。发包人应在预付款扣完后的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天内将预付款保函退还承包人，并不得向承包人收取预付款的任何利息。</w:t>
      </w:r>
    </w:p>
    <w:p w14:paraId="1CCAF0B3">
      <w:pPr>
        <w:pStyle w:val="23"/>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48A11C7">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1105" w:name="_Toc23111"/>
      <w:bookmarkStart w:id="1106" w:name="_Toc47694361"/>
      <w:bookmarkStart w:id="1107" w:name="_Toc6600"/>
      <w:bookmarkStart w:id="1108" w:name="_Toc22654"/>
      <w:bookmarkStart w:id="1109" w:name="_Toc8952"/>
      <w:bookmarkStart w:id="1110" w:name="_Toc29315"/>
      <w:bookmarkStart w:id="1111" w:name="_Toc25359"/>
      <w:bookmarkStart w:id="1112" w:name="_Toc12935"/>
      <w:r>
        <w:rPr>
          <w:rFonts w:hint="eastAsia" w:ascii="仿宋" w:hAnsi="仿宋" w:eastAsia="仿宋" w:cs="仿宋"/>
          <w:bCs w:val="0"/>
          <w:color w:val="auto"/>
          <w:sz w:val="24"/>
          <w:szCs w:val="24"/>
          <w:highlight w:val="none"/>
          <w:lang w:eastAsia="zh-CN"/>
        </w:rPr>
        <w:t>★85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绿色施工安全防护</w:t>
      </w:r>
      <w:r>
        <w:rPr>
          <w:rFonts w:hint="eastAsia" w:ascii="仿宋" w:hAnsi="仿宋" w:eastAsia="仿宋" w:cs="仿宋"/>
          <w:bCs w:val="0"/>
          <w:color w:val="auto"/>
          <w:sz w:val="24"/>
          <w:szCs w:val="24"/>
          <w:highlight w:val="none"/>
          <w:lang w:val="en-US" w:eastAsia="zh-CN"/>
        </w:rPr>
        <w:t>措施</w:t>
      </w:r>
      <w:r>
        <w:rPr>
          <w:rFonts w:hint="eastAsia" w:ascii="仿宋" w:hAnsi="仿宋" w:eastAsia="仿宋" w:cs="仿宋"/>
          <w:bCs w:val="0"/>
          <w:color w:val="auto"/>
          <w:sz w:val="24"/>
          <w:szCs w:val="24"/>
          <w:highlight w:val="none"/>
          <w:lang w:eastAsia="zh-CN"/>
        </w:rPr>
        <w:t>费</w:t>
      </w:r>
      <w:bookmarkEnd w:id="1105"/>
      <w:bookmarkEnd w:id="1106"/>
      <w:bookmarkEnd w:id="1107"/>
      <w:bookmarkEnd w:id="1108"/>
      <w:bookmarkEnd w:id="1109"/>
      <w:bookmarkEnd w:id="1110"/>
      <w:bookmarkEnd w:id="1111"/>
      <w:bookmarkEnd w:id="1112"/>
    </w:p>
    <w:p w14:paraId="405DDC1E">
      <w:pPr>
        <w:widowControl w:val="0"/>
        <w:rPr>
          <w:rFonts w:ascii="仿宋" w:hAnsi="仿宋" w:eastAsia="仿宋" w:cs="仿宋"/>
          <w:b/>
          <w:bCs/>
          <w:color w:val="auto"/>
          <w:highlight w:val="none"/>
          <w:lang w:eastAsia="zh-CN"/>
        </w:rPr>
      </w:pPr>
      <w:bookmarkStart w:id="1113" w:name="_Toc2466"/>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.1</w:t>
      </w:r>
      <w:bookmarkEnd w:id="1113"/>
    </w:p>
    <w:p w14:paraId="0A5A47DF">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17780</wp:posOffset>
                </wp:positionV>
                <wp:extent cx="809625" cy="495300"/>
                <wp:effectExtent l="0" t="0" r="0" b="0"/>
                <wp:wrapNone/>
                <wp:docPr id="377" name="00027c"/>
                <wp:cNvGraphicFramePr/>
                <a:graphic xmlns:a="http://schemas.openxmlformats.org/drawingml/2006/main">
                  <a:graphicData uri="http://schemas.microsoft.com/office/word/2010/wordprocessingShape">
                    <wps:wsp>
                      <wps:cNvSpPr txBox="1"/>
                      <wps:spPr>
                        <a:xfrm>
                          <a:off x="0" y="0"/>
                          <a:ext cx="809625" cy="495300"/>
                        </a:xfrm>
                        <a:prstGeom prst="rect">
                          <a:avLst/>
                        </a:prstGeom>
                        <a:noFill/>
                        <a:ln>
                          <a:noFill/>
                        </a:ln>
                        <a:effectLst/>
                      </wps:spPr>
                      <wps:txbx>
                        <w:txbxContent>
                          <w:p w14:paraId="2C2B83FD">
                            <w:pPr>
                              <w:pStyle w:val="37"/>
                              <w:spacing w:line="200" w:lineRule="exact"/>
                              <w:rPr>
                                <w:rFonts w:ascii="楷体_GB2312" w:hAnsi="宋体"/>
                                <w:sz w:val="18"/>
                                <w:szCs w:val="18"/>
                              </w:rPr>
                            </w:pPr>
                            <w:r>
                              <w:rPr>
                                <w:rFonts w:hint="eastAsia" w:ascii="楷体_GB2312" w:hAnsi="宋体" w:cs="楷体_GB2312"/>
                                <w:sz w:val="18"/>
                                <w:szCs w:val="18"/>
                              </w:rPr>
                              <w:t>内容、范围和金额</w:t>
                            </w:r>
                          </w:p>
                          <w:p w14:paraId="47E685C4"/>
                        </w:txbxContent>
                      </wps:txbx>
                      <wps:bodyPr wrap="square" upright="1"/>
                    </wps:wsp>
                  </a:graphicData>
                </a:graphic>
              </wp:anchor>
            </w:drawing>
          </mc:Choice>
          <mc:Fallback>
            <w:pict>
              <v:shape id="00027c" o:spid="_x0000_s1026" o:spt="202" type="#_x0000_t202" style="position:absolute;left:0pt;margin-left:-9pt;margin-top:1.4pt;height:39pt;width:63.75pt;z-index:252044288;mso-width-relative:page;mso-height-relative:page;" filled="f" stroked="f" coordsize="21600,21600" o:gfxdata="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VM1CfVAAAA&#10;CAEAAA8AAAAAAAAAAQAgAAAAIgAAAGRycy9kb3ducmV2LnhtbFBLAQIUABQAAAAIAIdO4kB9btew&#10;rgEAAGYDAAAOAAAAAAAAAAEAIAAAACQBAABkcnMvZTJvRG9jLnhtbFBLBQYAAAAABgAGAFkBAABE&#10;BQAAAAA=&#10;">
                <v:fill on="f" focussize="0,0"/>
                <v:stroke on="f"/>
                <v:imagedata o:title=""/>
                <o:lock v:ext="edit" aspectratio="f"/>
                <v:textbox>
                  <w:txbxContent>
                    <w:p w14:paraId="2C2B83FD">
                      <w:pPr>
                        <w:pStyle w:val="37"/>
                        <w:spacing w:line="200" w:lineRule="exact"/>
                        <w:rPr>
                          <w:rFonts w:ascii="楷体_GB2312" w:hAnsi="宋体"/>
                          <w:sz w:val="18"/>
                          <w:szCs w:val="18"/>
                        </w:rPr>
                      </w:pPr>
                      <w:r>
                        <w:rPr>
                          <w:rFonts w:hint="eastAsia" w:ascii="楷体_GB2312" w:hAnsi="宋体" w:cs="楷体_GB2312"/>
                          <w:sz w:val="18"/>
                          <w:szCs w:val="18"/>
                        </w:rPr>
                        <w:t>内容、范围和金额</w:t>
                      </w:r>
                    </w:p>
                    <w:p w14:paraId="47E685C4"/>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合同双方当事人应在专用条款中约定绿色施工安全防护</w:t>
      </w:r>
      <w:r>
        <w:rPr>
          <w:rFonts w:hint="eastAsia" w:ascii="仿宋" w:hAnsi="仿宋" w:eastAsia="仿宋" w:cs="仿宋"/>
          <w:color w:val="auto"/>
          <w:sz w:val="24"/>
          <w:szCs w:val="24"/>
          <w:highlight w:val="none"/>
          <w:lang w:val="en-US" w:eastAsia="zh-CN"/>
        </w:rPr>
        <w:t>措施</w:t>
      </w:r>
      <w:r>
        <w:rPr>
          <w:rFonts w:hint="eastAsia" w:ascii="仿宋" w:hAnsi="仿宋" w:eastAsia="仿宋" w:cs="仿宋"/>
          <w:color w:val="auto"/>
          <w:sz w:val="24"/>
          <w:szCs w:val="24"/>
          <w:highlight w:val="none"/>
          <w:lang w:eastAsia="zh-CN"/>
        </w:rPr>
        <w:t>费的内容、范围和金额，并按照第52条约定实施绿色施工安全防护。除专用条款另有约定外，绿色施工安全防护</w:t>
      </w:r>
      <w:r>
        <w:rPr>
          <w:rFonts w:hint="eastAsia" w:ascii="仿宋" w:hAnsi="仿宋" w:eastAsia="仿宋" w:cs="仿宋"/>
          <w:color w:val="auto"/>
          <w:sz w:val="24"/>
          <w:szCs w:val="24"/>
          <w:highlight w:val="none"/>
          <w:lang w:val="en-US" w:eastAsia="zh-CN"/>
        </w:rPr>
        <w:t>措施</w:t>
      </w:r>
      <w:r>
        <w:rPr>
          <w:rFonts w:hint="eastAsia" w:ascii="仿宋" w:hAnsi="仿宋" w:eastAsia="仿宋" w:cs="仿宋"/>
          <w:color w:val="auto"/>
          <w:sz w:val="24"/>
          <w:szCs w:val="24"/>
          <w:highlight w:val="none"/>
          <w:lang w:eastAsia="zh-CN"/>
        </w:rPr>
        <w:t>费的内容和范围，应以省、市</w:t>
      </w:r>
      <w:r>
        <w:rPr>
          <w:rFonts w:ascii="仿宋" w:hAnsi="仿宋" w:eastAsia="仿宋" w:cs="仿宋"/>
          <w:color w:val="auto"/>
          <w:sz w:val="24"/>
          <w:szCs w:val="24"/>
          <w:highlight w:val="none"/>
          <w:lang w:eastAsia="zh-CN"/>
        </w:rPr>
        <w:t>建设</w:t>
      </w:r>
      <w:r>
        <w:rPr>
          <w:rFonts w:hint="eastAsia" w:ascii="仿宋" w:hAnsi="仿宋" w:eastAsia="仿宋" w:cs="仿宋"/>
          <w:color w:val="auto"/>
          <w:sz w:val="24"/>
          <w:szCs w:val="24"/>
          <w:highlight w:val="none"/>
          <w:lang w:eastAsia="zh-CN"/>
        </w:rPr>
        <w:t>行政主管</w:t>
      </w:r>
      <w:r>
        <w:rPr>
          <w:rFonts w:ascii="仿宋" w:hAnsi="仿宋" w:eastAsia="仿宋" w:cs="仿宋"/>
          <w:color w:val="auto"/>
          <w:sz w:val="24"/>
          <w:szCs w:val="24"/>
          <w:highlight w:val="none"/>
          <w:lang w:eastAsia="zh-CN"/>
        </w:rPr>
        <w:t>部门</w:t>
      </w:r>
      <w:r>
        <w:rPr>
          <w:rFonts w:hint="eastAsia" w:ascii="仿宋" w:hAnsi="仿宋" w:eastAsia="仿宋" w:cs="仿宋"/>
          <w:color w:val="auto"/>
          <w:sz w:val="24"/>
          <w:szCs w:val="24"/>
          <w:highlight w:val="none"/>
          <w:lang w:eastAsia="zh-CN"/>
        </w:rPr>
        <w:t>的相关文件规定为准。</w:t>
      </w:r>
    </w:p>
    <w:p w14:paraId="7B0EEC87">
      <w:pPr>
        <w:spacing w:line="360" w:lineRule="auto"/>
        <w:rPr>
          <w:rFonts w:ascii="仿宋" w:hAnsi="仿宋" w:eastAsia="仿宋" w:cs="仿宋"/>
          <w:color w:val="auto"/>
          <w:highlight w:val="none"/>
          <w:u w:val="dotted"/>
          <w:lang w:eastAsia="zh-CN"/>
        </w:rPr>
      </w:pPr>
      <w:bookmarkStart w:id="1114" w:name="_Toc1917"/>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.2</w:t>
      </w:r>
      <w:bookmarkEnd w:id="1114"/>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50B6B687">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34290</wp:posOffset>
                </wp:positionV>
                <wp:extent cx="870585" cy="648970"/>
                <wp:effectExtent l="0" t="0" r="0" b="0"/>
                <wp:wrapNone/>
                <wp:docPr id="378" name="00027d"/>
                <wp:cNvGraphicFramePr/>
                <a:graphic xmlns:a="http://schemas.openxmlformats.org/drawingml/2006/main">
                  <a:graphicData uri="http://schemas.microsoft.com/office/word/2010/wordprocessingShape">
                    <wps:wsp>
                      <wps:cNvSpPr txBox="1"/>
                      <wps:spPr>
                        <a:xfrm>
                          <a:off x="0" y="0"/>
                          <a:ext cx="870585" cy="648970"/>
                        </a:xfrm>
                        <a:prstGeom prst="rect">
                          <a:avLst/>
                        </a:prstGeom>
                        <a:noFill/>
                        <a:ln>
                          <a:noFill/>
                        </a:ln>
                        <a:effectLst/>
                      </wps:spPr>
                      <wps:txbx>
                        <w:txbxContent>
                          <w:p w14:paraId="372275CD">
                            <w:pPr>
                              <w:pStyle w:val="37"/>
                              <w:spacing w:line="200" w:lineRule="exact"/>
                              <w:rPr>
                                <w:rFonts w:ascii="楷体_GB2312" w:hAnsi="宋体"/>
                                <w:sz w:val="18"/>
                                <w:szCs w:val="18"/>
                              </w:rPr>
                            </w:pPr>
                            <w:r>
                              <w:rPr>
                                <w:rFonts w:hint="eastAsia" w:ascii="楷体_GB2312" w:hAnsi="宋体" w:cs="楷体_GB2312"/>
                                <w:sz w:val="18"/>
                                <w:szCs w:val="18"/>
                              </w:rPr>
                              <w:t>支付申请的提交与核实</w:t>
                            </w:r>
                          </w:p>
                          <w:p w14:paraId="105A189E"/>
                        </w:txbxContent>
                      </wps:txbx>
                      <wps:bodyPr wrap="square" upright="1"/>
                    </wps:wsp>
                  </a:graphicData>
                </a:graphic>
              </wp:anchor>
            </w:drawing>
          </mc:Choice>
          <mc:Fallback>
            <w:pict>
              <v:shape id="00027d" o:spid="_x0000_s1026" o:spt="202" type="#_x0000_t202" style="position:absolute;left:0pt;margin-left:-9pt;margin-top:2.7pt;height:51.1pt;width:68.55pt;z-index:252045312;mso-width-relative:page;mso-height-relative:page;" filled="f" stroked="f" coordsize="21600,21600" o:gfxdata="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puS9NcA&#10;AAAJAQAADwAAAAAAAAABACAAAAAiAAAAZHJzL2Rvd25yZXYueG1sUEsBAhQAFAAAAAgAh07iQD8I&#10;ZlmuAQAAZgMAAA4AAAAAAAAAAQAgAAAAJgEAAGRycy9lMm9Eb2MueG1sUEsFBgAAAAAGAAYAWQEA&#10;AEYFAAAAAA==&#10;">
                <v:fill on="f" focussize="0,0"/>
                <v:stroke on="f"/>
                <v:imagedata o:title=""/>
                <o:lock v:ext="edit" aspectratio="f"/>
                <v:textbox>
                  <w:txbxContent>
                    <w:p w14:paraId="372275CD">
                      <w:pPr>
                        <w:pStyle w:val="37"/>
                        <w:spacing w:line="200" w:lineRule="exact"/>
                        <w:rPr>
                          <w:rFonts w:ascii="楷体_GB2312" w:hAnsi="宋体"/>
                          <w:sz w:val="18"/>
                          <w:szCs w:val="18"/>
                        </w:rPr>
                      </w:pPr>
                      <w:r>
                        <w:rPr>
                          <w:rFonts w:hint="eastAsia" w:ascii="楷体_GB2312" w:hAnsi="宋体" w:cs="楷体_GB2312"/>
                          <w:sz w:val="18"/>
                          <w:szCs w:val="18"/>
                        </w:rPr>
                        <w:t>支付申请的提交与核实</w:t>
                      </w:r>
                    </w:p>
                    <w:p w14:paraId="105A189E"/>
                  </w:txbxContent>
                </v:textbox>
              </v:shape>
            </w:pict>
          </mc:Fallback>
        </mc:AlternateContent>
      </w:r>
      <w:r>
        <w:rPr>
          <w:rFonts w:hint="eastAsia" w:ascii="仿宋" w:hAnsi="仿宋" w:eastAsia="仿宋" w:cs="仿宋"/>
          <w:color w:val="auto"/>
          <w:sz w:val="24"/>
          <w:szCs w:val="24"/>
          <w:highlight w:val="none"/>
          <w:lang w:eastAsia="zh-CN"/>
        </w:rPr>
        <w:t>专用条款没有约定的，承包人应在接到监理人按照第41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款约定发出开工令后的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天内向造价咨询人提交绿色施工安全防护</w:t>
      </w:r>
      <w:r>
        <w:rPr>
          <w:rFonts w:hint="eastAsia" w:ascii="仿宋" w:hAnsi="仿宋" w:eastAsia="仿宋" w:cs="仿宋"/>
          <w:color w:val="auto"/>
          <w:sz w:val="24"/>
          <w:szCs w:val="24"/>
          <w:highlight w:val="none"/>
          <w:lang w:val="en-US" w:eastAsia="zh-CN"/>
        </w:rPr>
        <w:t>措施</w:t>
      </w:r>
      <w:r>
        <w:rPr>
          <w:rFonts w:hint="eastAsia" w:ascii="仿宋" w:hAnsi="仿宋" w:eastAsia="仿宋" w:cs="仿宋"/>
          <w:color w:val="auto"/>
          <w:sz w:val="24"/>
          <w:szCs w:val="24"/>
          <w:highlight w:val="none"/>
          <w:lang w:eastAsia="zh-CN"/>
        </w:rPr>
        <w:t>费支付申请，并抄送发包人。造价咨询人应对支付申请进行核实，并在收到支付申请后的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天内报发包人确认后向发包人发出支付证书，同时抄送承包人。</w:t>
      </w:r>
    </w:p>
    <w:p w14:paraId="2E9AB5A7">
      <w:pPr>
        <w:spacing w:line="360" w:lineRule="auto"/>
        <w:rPr>
          <w:rFonts w:ascii="仿宋" w:hAnsi="仿宋" w:eastAsia="仿宋"/>
          <w:b/>
          <w:bCs/>
          <w:color w:val="auto"/>
          <w:highlight w:val="none"/>
          <w:lang w:eastAsia="zh-CN"/>
        </w:rPr>
      </w:pPr>
      <w:bookmarkStart w:id="1115" w:name="_Toc10328"/>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.3</w:t>
      </w:r>
      <w:bookmarkEnd w:id="111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055DDFC">
      <w:pPr>
        <w:pStyle w:val="23"/>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合同双方当事人应按照建设行政主管部门的规定，在专用条款中约定绿色施工安全防护</w:t>
      </w:r>
      <w:r>
        <w:rPr>
          <w:rFonts w:hint="eastAsia" w:ascii="仿宋" w:hAnsi="仿宋" w:eastAsia="仿宋" w:cs="仿宋"/>
          <w:color w:val="auto"/>
          <w:sz w:val="24"/>
          <w:szCs w:val="24"/>
          <w:highlight w:val="none"/>
          <w:lang w:val="en-US" w:eastAsia="zh-CN"/>
        </w:rPr>
        <w:t>措施</w:t>
      </w:r>
      <w:r>
        <w:rPr>
          <w:rFonts w:hint="eastAsia" w:ascii="仿宋" w:hAnsi="仿宋" w:eastAsia="仿宋" w:cs="仿宋"/>
          <w:color w:val="auto"/>
          <w:sz w:val="24"/>
          <w:szCs w:val="24"/>
          <w:highlight w:val="none"/>
          <w:lang w:eastAsia="zh-CN"/>
        </w:rPr>
        <w:t>费的支付办法和抵扣方式。除专用条款另有约定外，</w: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71755</wp:posOffset>
                </wp:positionV>
                <wp:extent cx="790575" cy="421005"/>
                <wp:effectExtent l="0" t="0" r="0" b="0"/>
                <wp:wrapNone/>
                <wp:docPr id="379" name="00027e"/>
                <wp:cNvGraphicFramePr/>
                <a:graphic xmlns:a="http://schemas.openxmlformats.org/drawingml/2006/main">
                  <a:graphicData uri="http://schemas.microsoft.com/office/word/2010/wordprocessingShape">
                    <wps:wsp>
                      <wps:cNvSpPr txBox="1"/>
                      <wps:spPr>
                        <a:xfrm>
                          <a:off x="0" y="0"/>
                          <a:ext cx="790575" cy="421005"/>
                        </a:xfrm>
                        <a:prstGeom prst="rect">
                          <a:avLst/>
                        </a:prstGeom>
                        <a:noFill/>
                        <a:ln>
                          <a:noFill/>
                        </a:ln>
                        <a:effectLst/>
                      </wps:spPr>
                      <wps:txbx>
                        <w:txbxContent>
                          <w:p w14:paraId="5441DF07">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p w14:paraId="2B28A018"/>
                        </w:txbxContent>
                      </wps:txbx>
                      <wps:bodyPr wrap="square" upright="1"/>
                    </wps:wsp>
                  </a:graphicData>
                </a:graphic>
              </wp:anchor>
            </w:drawing>
          </mc:Choice>
          <mc:Fallback>
            <w:pict>
              <v:shape id="00027e" o:spid="_x0000_s1026" o:spt="202" type="#_x0000_t202" style="position:absolute;left:0pt;margin-left:-9pt;margin-top:5.65pt;height:33.15pt;width:62.25pt;z-index:252046336;mso-width-relative:page;mso-height-relative:page;" filled="f" stroked="f" coordsize="21600,21600" o:gfxdata="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quJULXAAAA&#10;CQEAAA8AAAAAAAAAAQAgAAAAIgAAAGRycy9kb3ducmV2LnhtbFBLAQIUABQAAAAIAIdO4kD6IRD7&#10;rAEAAGYDAAAOAAAAAAAAAAEAIAAAACYBAABkcnMvZTJvRG9jLnhtbFBLBQYAAAAABgAGAFkBAABE&#10;BQAAAAA=&#10;">
                <v:fill on="f" focussize="0,0"/>
                <v:stroke on="f"/>
                <v:imagedata o:title=""/>
                <o:lock v:ext="edit" aspectratio="f"/>
                <v:textbox>
                  <w:txbxContent>
                    <w:p w14:paraId="5441DF07">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p w14:paraId="2B28A018"/>
                  </w:txbxContent>
                </v:textbox>
              </v:shape>
            </w:pict>
          </mc:Fallback>
        </mc:AlternateContent>
      </w:r>
      <w:r>
        <w:rPr>
          <w:rFonts w:hint="eastAsia" w:ascii="仿宋" w:hAnsi="仿宋" w:eastAsia="仿宋" w:cs="仿宋"/>
          <w:color w:val="auto"/>
          <w:sz w:val="24"/>
          <w:szCs w:val="24"/>
          <w:highlight w:val="none"/>
          <w:lang w:eastAsia="zh-CN"/>
        </w:rPr>
        <w:t>发包人应在造价咨询人签发支付证书后的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天内向承包人支付绿色施工安全防护</w:t>
      </w:r>
      <w:r>
        <w:rPr>
          <w:rFonts w:hint="eastAsia" w:ascii="仿宋" w:hAnsi="仿宋" w:eastAsia="仿宋" w:cs="仿宋"/>
          <w:color w:val="auto"/>
          <w:sz w:val="24"/>
          <w:szCs w:val="24"/>
          <w:highlight w:val="none"/>
          <w:lang w:val="en-US" w:eastAsia="zh-CN"/>
        </w:rPr>
        <w:t>措施</w:t>
      </w:r>
      <w:r>
        <w:rPr>
          <w:rFonts w:hint="eastAsia" w:ascii="仿宋" w:hAnsi="仿宋" w:eastAsia="仿宋" w:cs="仿宋"/>
          <w:color w:val="auto"/>
          <w:sz w:val="24"/>
          <w:szCs w:val="24"/>
          <w:highlight w:val="none"/>
          <w:lang w:eastAsia="zh-CN"/>
        </w:rPr>
        <w:t>费，并保证在工程开工后的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天内支付工程</w:t>
      </w:r>
      <w:r>
        <w:rPr>
          <w:rFonts w:hint="eastAsia" w:ascii="仿宋" w:hAnsi="仿宋" w:eastAsia="仿宋" w:cs="仿宋"/>
          <w:color w:val="auto"/>
          <w:sz w:val="24"/>
          <w:szCs w:val="24"/>
          <w:highlight w:val="none"/>
          <w:lang w:val="en-US" w:eastAsia="zh-CN"/>
        </w:rPr>
        <w:t>安全生产措施费</w:t>
      </w:r>
      <w:r>
        <w:rPr>
          <w:rFonts w:hint="eastAsia" w:ascii="仿宋" w:hAnsi="仿宋" w:eastAsia="仿宋" w:cs="仿宋"/>
          <w:color w:val="auto"/>
          <w:sz w:val="24"/>
          <w:szCs w:val="24"/>
          <w:highlight w:val="none"/>
          <w:lang w:eastAsia="zh-CN"/>
        </w:rPr>
        <w:t>的</w:t>
      </w:r>
      <w:r>
        <w:rPr>
          <w:rFonts w:ascii="仿宋" w:hAnsi="仿宋" w:eastAsia="仿宋" w:cs="仿宋"/>
          <w:color w:val="auto"/>
          <w:sz w:val="24"/>
          <w:szCs w:val="24"/>
          <w:highlight w:val="none"/>
          <w:lang w:eastAsia="zh-CN"/>
        </w:rPr>
        <w:t>50%</w:t>
      </w:r>
      <w:r>
        <w:rPr>
          <w:rFonts w:hint="eastAsia" w:ascii="仿宋" w:hAnsi="仿宋" w:eastAsia="仿宋" w:cs="仿宋"/>
          <w:color w:val="auto"/>
          <w:sz w:val="24"/>
          <w:szCs w:val="24"/>
          <w:highlight w:val="none"/>
          <w:lang w:eastAsia="zh-CN"/>
        </w:rPr>
        <w:t>，同时通知造价咨询人。其余部分与进度款同期支付。</w:t>
      </w:r>
    </w:p>
    <w:p w14:paraId="49317C3C">
      <w:pPr>
        <w:spacing w:line="360" w:lineRule="auto"/>
        <w:rPr>
          <w:rFonts w:ascii="仿宋" w:hAnsi="仿宋" w:eastAsia="仿宋"/>
          <w:b/>
          <w:bCs/>
          <w:color w:val="auto"/>
          <w:highlight w:val="none"/>
          <w:lang w:eastAsia="zh-CN"/>
        </w:rPr>
      </w:pPr>
      <w:bookmarkStart w:id="1116" w:name="_Toc27893"/>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.4</w:t>
      </w:r>
      <w:bookmarkEnd w:id="111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D5FDDAC">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10795</wp:posOffset>
                </wp:positionV>
                <wp:extent cx="727710" cy="480060"/>
                <wp:effectExtent l="0" t="0" r="0" b="0"/>
                <wp:wrapNone/>
                <wp:docPr id="380" name="00027f"/>
                <wp:cNvGraphicFramePr/>
                <a:graphic xmlns:a="http://schemas.openxmlformats.org/drawingml/2006/main">
                  <a:graphicData uri="http://schemas.microsoft.com/office/word/2010/wordprocessingShape">
                    <wps:wsp>
                      <wps:cNvSpPr txBox="1"/>
                      <wps:spPr>
                        <a:xfrm>
                          <a:off x="0" y="0"/>
                          <a:ext cx="727710" cy="480060"/>
                        </a:xfrm>
                        <a:prstGeom prst="rect">
                          <a:avLst/>
                        </a:prstGeom>
                        <a:noFill/>
                        <a:ln>
                          <a:noFill/>
                        </a:ln>
                        <a:effectLst/>
                      </wps:spPr>
                      <wps:txbx>
                        <w:txbxContent>
                          <w:p w14:paraId="04F3D7DD">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p w14:paraId="362AD891"/>
                        </w:txbxContent>
                      </wps:txbx>
                      <wps:bodyPr wrap="square" upright="1"/>
                    </wps:wsp>
                  </a:graphicData>
                </a:graphic>
              </wp:anchor>
            </w:drawing>
          </mc:Choice>
          <mc:Fallback>
            <w:pict>
              <v:shape id="00027f" o:spid="_x0000_s1026" o:spt="202" type="#_x0000_t202" style="position:absolute;left:0pt;margin-left:-9pt;margin-top:0.85pt;height:37.8pt;width:57.3pt;z-index:252047360;mso-width-relative:page;mso-height-relative:page;" filled="f" stroked="f" coordsize="21600,21600" o:gfxdata="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c9+TzWAAAABwEA&#10;AA8AAAAAAAAAAQAgAAAAIgAAAGRycy9kb3ducmV2LnhtbFBLAQIUABQAAAAIAIdO4kB0QisAqgEA&#10;AGYDAAAOAAAAAAAAAAEAIAAAACUBAABkcnMvZTJvRG9jLnhtbFBLBQYAAAAABgAGAFkBAABBBQAA&#10;AAA=&#10;">
                <v:fill on="f" focussize="0,0"/>
                <v:stroke on="f"/>
                <v:imagedata o:title=""/>
                <o:lock v:ext="edit" aspectratio="f"/>
                <v:textbox>
                  <w:txbxContent>
                    <w:p w14:paraId="04F3D7DD">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p w14:paraId="362AD891"/>
                  </w:txbxContent>
                </v:textbox>
              </v:shape>
            </w:pict>
          </mc:Fallback>
        </mc:AlternateContent>
      </w:r>
      <w:r>
        <w:rPr>
          <w:rFonts w:hint="eastAsia" w:ascii="仿宋" w:hAnsi="仿宋" w:eastAsia="仿宋" w:cs="仿宋"/>
          <w:color w:val="auto"/>
          <w:sz w:val="24"/>
          <w:szCs w:val="24"/>
          <w:highlight w:val="none"/>
          <w:lang w:eastAsia="zh-CN"/>
        </w:rPr>
        <w:t>发包人没有按时支付绿色施工安全防护</w:t>
      </w:r>
      <w:r>
        <w:rPr>
          <w:rFonts w:hint="eastAsia" w:ascii="仿宋" w:hAnsi="仿宋" w:eastAsia="仿宋" w:cs="仿宋"/>
          <w:color w:val="auto"/>
          <w:sz w:val="24"/>
          <w:szCs w:val="24"/>
          <w:highlight w:val="none"/>
          <w:lang w:val="en-US" w:eastAsia="zh-CN"/>
        </w:rPr>
        <w:t>措施</w:t>
      </w:r>
      <w:r>
        <w:rPr>
          <w:rFonts w:hint="eastAsia" w:ascii="仿宋" w:hAnsi="仿宋" w:eastAsia="仿宋" w:cs="仿宋"/>
          <w:color w:val="auto"/>
          <w:sz w:val="24"/>
          <w:szCs w:val="24"/>
          <w:highlight w:val="none"/>
          <w:lang w:eastAsia="zh-CN"/>
        </w:rPr>
        <w:t>费的，承包人应在付款期满后的7天内向发包人发出要求支付的通知；发包人收到通知后仍不按要求支付，承包人可在发出通知</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天后暂停施工。发包人应承担由此增加的费用和（或）延误的工期，并向承包人支付合理利润。</w:t>
      </w:r>
    </w:p>
    <w:p w14:paraId="0AD1EDAF">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34769D9B">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安全生产措施费</w: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1905</wp:posOffset>
                </wp:positionV>
                <wp:extent cx="718820" cy="400685"/>
                <wp:effectExtent l="0" t="0" r="0" b="0"/>
                <wp:wrapNone/>
                <wp:docPr id="381" name="000280"/>
                <wp:cNvGraphicFramePr/>
                <a:graphic xmlns:a="http://schemas.openxmlformats.org/drawingml/2006/main">
                  <a:graphicData uri="http://schemas.microsoft.com/office/word/2010/wordprocessingShape">
                    <wps:wsp>
                      <wps:cNvSpPr txBox="1"/>
                      <wps:spPr>
                        <a:xfrm>
                          <a:off x="0" y="0"/>
                          <a:ext cx="718820" cy="400685"/>
                        </a:xfrm>
                        <a:prstGeom prst="rect">
                          <a:avLst/>
                        </a:prstGeom>
                        <a:noFill/>
                        <a:ln>
                          <a:noFill/>
                        </a:ln>
                        <a:effectLst/>
                      </wps:spPr>
                      <wps:txbx>
                        <w:txbxContent>
                          <w:p w14:paraId="147ADB44">
                            <w:pPr>
                              <w:spacing w:line="240" w:lineRule="exact"/>
                              <w:rPr>
                                <w:rFonts w:ascii="宋体"/>
                              </w:rPr>
                            </w:pPr>
                            <w:r>
                              <w:rPr>
                                <w:rFonts w:hint="eastAsia" w:ascii="楷体_GB2312" w:hAnsi="宋体" w:eastAsia="楷体_GB2312" w:cs="楷体_GB2312"/>
                                <w:b/>
                                <w:bCs/>
                                <w:sz w:val="18"/>
                                <w:szCs w:val="18"/>
                              </w:rPr>
                              <w:t>管理要求</w:t>
                            </w:r>
                          </w:p>
                          <w:p w14:paraId="2FFFD9BF"/>
                        </w:txbxContent>
                      </wps:txbx>
                      <wps:bodyPr wrap="square" upright="1"/>
                    </wps:wsp>
                  </a:graphicData>
                </a:graphic>
              </wp:anchor>
            </w:drawing>
          </mc:Choice>
          <mc:Fallback>
            <w:pict>
              <v:shape id="000280" o:spid="_x0000_s1026" o:spt="202" type="#_x0000_t202" style="position:absolute;left:0pt;margin-left:-9pt;margin-top:0.15pt;height:31.55pt;width:56.6pt;z-index:252048384;mso-width-relative:page;mso-height-relative:page;" filled="f" stroked="f" coordsize="21600,21600" o:gfxdata="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0qb8E1QAAAAYBAAAP&#10;AAAAAAAAAAEAIAAAACIAAABkcnMvZG93bnJldi54bWxQSwECFAAUAAAACACHTuJA3krjDKkBAABm&#10;AwAADgAAAAAAAAABACAAAAAkAQAAZHJzL2Uyb0RvYy54bWxQSwUGAAAAAAYABgBZAQAAPwUAAAAA&#10;">
                <v:fill on="f" focussize="0,0"/>
                <v:stroke on="f"/>
                <v:imagedata o:title=""/>
                <o:lock v:ext="edit" aspectratio="f"/>
                <v:textbox>
                  <w:txbxContent>
                    <w:p w14:paraId="147ADB44">
                      <w:pPr>
                        <w:spacing w:line="240" w:lineRule="exact"/>
                        <w:rPr>
                          <w:rFonts w:ascii="宋体"/>
                        </w:rPr>
                      </w:pPr>
                      <w:r>
                        <w:rPr>
                          <w:rFonts w:hint="eastAsia" w:ascii="楷体_GB2312" w:hAnsi="宋体" w:eastAsia="楷体_GB2312" w:cs="楷体_GB2312"/>
                          <w:b/>
                          <w:bCs/>
                          <w:sz w:val="18"/>
                          <w:szCs w:val="18"/>
                        </w:rPr>
                        <w:t>管理要求</w:t>
                      </w:r>
                    </w:p>
                    <w:p w14:paraId="2FFFD9BF"/>
                  </w:txbxContent>
                </v:textbox>
              </v:shape>
            </w:pict>
          </mc:Fallback>
        </mc:AlternateContent>
      </w:r>
      <w:r>
        <w:rPr>
          <w:rFonts w:hint="eastAsia" w:ascii="仿宋" w:hAnsi="仿宋" w:eastAsia="仿宋" w:cs="仿宋"/>
          <w:color w:val="auto"/>
          <w:sz w:val="24"/>
          <w:szCs w:val="24"/>
          <w:highlight w:val="none"/>
          <w:lang w:eastAsia="zh-CN"/>
        </w:rPr>
        <w:t>专款专用，承包人应在财务账目中单独列项备查，不得挪作他用，否则造价咨询人有权责令其限期改正；逾期未改正的，可以责令其暂停施工，由此造成的损失和延误的工期由承包人承担。</w:t>
      </w:r>
    </w:p>
    <w:p w14:paraId="214D8C91">
      <w:pPr>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24CB1D49">
      <w:pPr>
        <w:pStyle w:val="23"/>
        <w:widowControl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2049408" behindDoc="0" locked="0" layoutInCell="1" allowOverlap="1">
                <wp:simplePos x="0" y="0"/>
                <wp:positionH relativeFrom="column">
                  <wp:posOffset>-95250</wp:posOffset>
                </wp:positionH>
                <wp:positionV relativeFrom="paragraph">
                  <wp:posOffset>11430</wp:posOffset>
                </wp:positionV>
                <wp:extent cx="813435" cy="630555"/>
                <wp:effectExtent l="0" t="0" r="0" b="0"/>
                <wp:wrapNone/>
                <wp:docPr id="382" name="000281"/>
                <wp:cNvGraphicFramePr/>
                <a:graphic xmlns:a="http://schemas.openxmlformats.org/drawingml/2006/main">
                  <a:graphicData uri="http://schemas.microsoft.com/office/word/2010/wordprocessingShape">
                    <wps:wsp>
                      <wps:cNvSpPr txBox="1"/>
                      <wps:spPr>
                        <a:xfrm>
                          <a:off x="0" y="0"/>
                          <a:ext cx="813435" cy="630555"/>
                        </a:xfrm>
                        <a:prstGeom prst="rect">
                          <a:avLst/>
                        </a:prstGeom>
                        <a:noFill/>
                        <a:ln>
                          <a:noFill/>
                        </a:ln>
                        <a:effectLst/>
                      </wps:spPr>
                      <wps:txbx>
                        <w:txbxContent>
                          <w:p w14:paraId="07392E26">
                            <w:pPr>
                              <w:pStyle w:val="16"/>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p w14:paraId="01FDBCF3">
                            <w:pPr>
                              <w:rPr>
                                <w:lang w:eastAsia="zh-CN"/>
                              </w:rPr>
                            </w:pPr>
                          </w:p>
                        </w:txbxContent>
                      </wps:txbx>
                      <wps:bodyPr wrap="square" upright="1"/>
                    </wps:wsp>
                  </a:graphicData>
                </a:graphic>
              </wp:anchor>
            </w:drawing>
          </mc:Choice>
          <mc:Fallback>
            <w:pict>
              <v:shape id="000281" o:spid="_x0000_s1026" o:spt="202" type="#_x0000_t202" style="position:absolute;left:0pt;margin-left:-7.5pt;margin-top:0.9pt;height:49.65pt;width:64.05pt;z-index:252049408;mso-width-relative:page;mso-height-relative:page;" filled="f" stroked="f" coordsize="21600,21600" o:gfxdata="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wuoufUAAAACQEA&#10;AA8AAAAAAAAAAQAgAAAAIgAAAGRycy9kb3ducmV2LnhtbFBLAQIUABQAAAAIAIdO4kDF8JZYrAEA&#10;AGYDAAAOAAAAAAAAAAEAIAAAACMBAABkcnMvZTJvRG9jLnhtbFBLBQYAAAAABgAGAFkBAABBBQAA&#10;AAA=&#10;">
                <v:fill on="f" focussize="0,0"/>
                <v:stroke on="f"/>
                <v:imagedata o:title=""/>
                <o:lock v:ext="edit" aspectratio="f"/>
                <v:textbox>
                  <w:txbxContent>
                    <w:p w14:paraId="07392E26">
                      <w:pPr>
                        <w:pStyle w:val="16"/>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p w14:paraId="01FDBCF3">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除专用条款另有约定外，获得省、市级或其它级别文明工地的文明工地增加费，招标发包工程按照中标通知书日期（直接发包工程按照合同签订日期）的同时期省、市</w:t>
      </w:r>
      <w:r>
        <w:rPr>
          <w:rFonts w:ascii="仿宋" w:hAnsi="仿宋" w:eastAsia="仿宋" w:cs="仿宋"/>
          <w:color w:val="auto"/>
          <w:sz w:val="24"/>
          <w:szCs w:val="24"/>
          <w:highlight w:val="none"/>
          <w:lang w:eastAsia="zh-CN"/>
        </w:rPr>
        <w:t>建设</w:t>
      </w:r>
      <w:r>
        <w:rPr>
          <w:rFonts w:hint="eastAsia" w:ascii="仿宋" w:hAnsi="仿宋" w:eastAsia="仿宋" w:cs="仿宋"/>
          <w:color w:val="auto"/>
          <w:sz w:val="24"/>
          <w:szCs w:val="24"/>
          <w:highlight w:val="none"/>
          <w:lang w:eastAsia="zh-CN"/>
        </w:rPr>
        <w:t>行政主管</w:t>
      </w:r>
      <w:r>
        <w:rPr>
          <w:rFonts w:ascii="仿宋" w:hAnsi="仿宋" w:eastAsia="仿宋" w:cs="仿宋"/>
          <w:color w:val="auto"/>
          <w:sz w:val="24"/>
          <w:szCs w:val="24"/>
          <w:highlight w:val="none"/>
          <w:lang w:eastAsia="zh-CN"/>
        </w:rPr>
        <w:t>部门</w:t>
      </w:r>
      <w:r>
        <w:rPr>
          <w:rFonts w:hint="eastAsia" w:ascii="仿宋" w:hAnsi="仿宋" w:eastAsia="仿宋" w:cs="仿宋"/>
          <w:color w:val="auto"/>
          <w:sz w:val="24"/>
          <w:szCs w:val="24"/>
          <w:highlight w:val="none"/>
          <w:lang w:eastAsia="zh-CN"/>
        </w:rPr>
        <w:t>的相关文件规定计算。当合同工程同时获得上述多个奖项的，文明工地增加费只按最高奖项的额度计算。文明工地增加费计入竣工结算中，与竣工结算款一并支付。在竣工结算后获得奖项的，发包人应在获得奖项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w:t>
      </w:r>
    </w:p>
    <w:p w14:paraId="153F4471">
      <w:pPr>
        <w:pStyle w:val="23"/>
        <w:tabs>
          <w:tab w:val="left" w:pos="1620"/>
        </w:tabs>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90CAAB1">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1117" w:name="_Toc10342"/>
      <w:bookmarkStart w:id="1118" w:name="_Toc15505"/>
      <w:bookmarkStart w:id="1119" w:name="_Toc22491"/>
      <w:bookmarkStart w:id="1120" w:name="_Toc27827"/>
      <w:bookmarkStart w:id="1121" w:name="_Toc3795"/>
      <w:bookmarkStart w:id="1122" w:name="_Toc21726"/>
      <w:bookmarkStart w:id="1123" w:name="_Toc14578"/>
      <w:bookmarkStart w:id="1124" w:name="_Toc47694362"/>
      <w:r>
        <w:rPr>
          <w:rFonts w:hint="eastAsia" w:ascii="仿宋" w:hAnsi="仿宋" w:eastAsia="仿宋" w:cs="仿宋"/>
          <w:bCs w:val="0"/>
          <w:color w:val="auto"/>
          <w:sz w:val="24"/>
          <w:szCs w:val="24"/>
          <w:highlight w:val="none"/>
          <w:lang w:eastAsia="zh-CN"/>
        </w:rPr>
        <w:t>★86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进度款</w:t>
      </w:r>
      <w:bookmarkEnd w:id="1117"/>
      <w:bookmarkEnd w:id="1118"/>
      <w:bookmarkEnd w:id="1119"/>
      <w:bookmarkEnd w:id="1120"/>
      <w:bookmarkEnd w:id="1121"/>
      <w:bookmarkEnd w:id="1122"/>
      <w:bookmarkEnd w:id="1123"/>
      <w:bookmarkEnd w:id="1124"/>
    </w:p>
    <w:p w14:paraId="18B664B5">
      <w:pPr>
        <w:pStyle w:val="23"/>
        <w:widowControl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86</w:t>
      </w:r>
      <w:r>
        <w:rPr>
          <w:rFonts w:ascii="仿宋" w:hAnsi="仿宋" w:eastAsia="仿宋" w:cs="仿宋"/>
          <w:b/>
          <w:bCs/>
          <w:color w:val="auto"/>
          <w:sz w:val="24"/>
          <w:szCs w:val="24"/>
          <w:highlight w:val="none"/>
          <w:lang w:eastAsia="zh-CN"/>
        </w:rPr>
        <w:t>.1</w:t>
      </w:r>
    </w:p>
    <w:p w14:paraId="210D49AD">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8255</wp:posOffset>
                </wp:positionV>
                <wp:extent cx="775970" cy="680085"/>
                <wp:effectExtent l="0" t="0" r="0" b="0"/>
                <wp:wrapNone/>
                <wp:docPr id="383" name="000282"/>
                <wp:cNvGraphicFramePr/>
                <a:graphic xmlns:a="http://schemas.openxmlformats.org/drawingml/2006/main">
                  <a:graphicData uri="http://schemas.microsoft.com/office/word/2010/wordprocessingShape">
                    <wps:wsp>
                      <wps:cNvSpPr txBox="1"/>
                      <wps:spPr>
                        <a:xfrm>
                          <a:off x="0" y="0"/>
                          <a:ext cx="775970" cy="680085"/>
                        </a:xfrm>
                        <a:prstGeom prst="rect">
                          <a:avLst/>
                        </a:prstGeom>
                        <a:noFill/>
                        <a:ln>
                          <a:noFill/>
                        </a:ln>
                        <a:effectLst/>
                      </wps:spPr>
                      <wps:txbx>
                        <w:txbxContent>
                          <w:p w14:paraId="1E32D899">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p w14:paraId="2569148E">
                            <w:pPr>
                              <w:rPr>
                                <w:lang w:eastAsia="zh-CN"/>
                              </w:rPr>
                            </w:pPr>
                          </w:p>
                        </w:txbxContent>
                      </wps:txbx>
                      <wps:bodyPr wrap="square" upright="1"/>
                    </wps:wsp>
                  </a:graphicData>
                </a:graphic>
              </wp:anchor>
            </w:drawing>
          </mc:Choice>
          <mc:Fallback>
            <w:pict>
              <v:shape id="000282" o:spid="_x0000_s1026" o:spt="202" type="#_x0000_t202" style="position:absolute;left:0pt;margin-left:-9pt;margin-top:0.65pt;height:53.55pt;width:61.1pt;z-index:252050432;mso-width-relative:page;mso-height-relative:page;" filled="f" stroked="f" coordsize="21600,21600" o:gfxdata="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G4zA31QAAAAkB&#10;AAAPAAAAAAAAAAEAIAAAACIAAABkcnMvZG93bnJldi54bWxQSwECFAAUAAAACACHTuJAnHWEVqwB&#10;AABmAwAADgAAAAAAAAABACAAAAAkAQAAZHJzL2Uyb0RvYy54bWxQSwUGAAAAAAYABgBZAQAAQgUA&#10;AAAA&#10;">
                <v:fill on="f" focussize="0,0"/>
                <v:stroke on="f"/>
                <v:imagedata o:title=""/>
                <o:lock v:ext="edit" aspectratio="f"/>
                <v:textbox>
                  <w:txbxContent>
                    <w:p w14:paraId="1E32D899">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p w14:paraId="2569148E">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合同双方当事人应在专用条款中明确进度款的支付期限及比例。专用条款没有约定期限的，支付期限以月为单位。涉及政府投资资金的工程，支付期限、支付方法等需调整的，应在专用条款中约定。</w:t>
      </w:r>
    </w:p>
    <w:p w14:paraId="34E4E474">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承包人应在每个支付期结束后的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天内向造价咨询人提交由承包人代表签署的支付申请和已完工作或工程款额报告一式四份，详细说明此支付期间自己认为有权得到的款项，包括分包人已完工程款，同时抄送发包人。该支付申请的内容包括：</w:t>
      </w:r>
    </w:p>
    <w:p w14:paraId="11BB4178">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（1）已完工作或工程款；</w:t>
      </w:r>
    </w:p>
    <w:p w14:paraId="65710460">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（2）已实际支付的工作或工程款；</w:t>
      </w:r>
    </w:p>
    <w:p w14:paraId="64BA9A9C">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（3）本期间完成的工作或工程款；</w:t>
      </w:r>
    </w:p>
    <w:p w14:paraId="165A6097">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（4）本期间完成的计日工费用；</w:t>
      </w:r>
    </w:p>
    <w:p w14:paraId="4F03C47B">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（5）根据第78条至第82条约定本期间已确认的调整价款；</w:t>
      </w:r>
    </w:p>
    <w:p w14:paraId="51558873">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（6）本期间暂列金额的使用情况；</w:t>
      </w:r>
    </w:p>
    <w:p w14:paraId="09EFCF3A">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（7）根据第76条约定本期间应扣除的误期赔偿费；</w:t>
      </w:r>
    </w:p>
    <w:p w14:paraId="600948EB">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（8）根据第84条本期间应扣回的预付款；</w:t>
      </w:r>
    </w:p>
    <w:p w14:paraId="024D8CAD">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（9）根据第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5条约定本期间应支付或扣回的绿色施工安全防护</w:t>
      </w:r>
      <w:r>
        <w:rPr>
          <w:rFonts w:hint="eastAsia" w:ascii="仿宋" w:hAnsi="仿宋" w:eastAsia="仿宋" w:cs="仿宋"/>
          <w:color w:val="auto"/>
          <w:sz w:val="24"/>
          <w:szCs w:val="24"/>
          <w:highlight w:val="none"/>
          <w:lang w:val="en-US" w:eastAsia="zh-CN"/>
        </w:rPr>
        <w:t>措施</w:t>
      </w:r>
      <w:r>
        <w:rPr>
          <w:rFonts w:hint="eastAsia" w:ascii="仿宋" w:hAnsi="仿宋" w:eastAsia="仿宋" w:cs="仿宋"/>
          <w:color w:val="auto"/>
          <w:sz w:val="24"/>
          <w:szCs w:val="24"/>
          <w:highlight w:val="none"/>
          <w:lang w:eastAsia="zh-CN"/>
        </w:rPr>
        <w:t>费；</w:t>
      </w:r>
    </w:p>
    <w:p w14:paraId="2B8237B8">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（10）根据第89条本期间应扣留的质量保证金；</w:t>
      </w:r>
    </w:p>
    <w:p w14:paraId="2CCF1013">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（11）根据合同约定，本期间应支付或扣留（回）的其他款项；</w:t>
      </w:r>
    </w:p>
    <w:p w14:paraId="1A73D1BC">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（12）本期间应支付的进度款。</w:t>
      </w:r>
    </w:p>
    <w:p w14:paraId="66D5330D">
      <w:pPr>
        <w:pStyle w:val="23"/>
        <w:tabs>
          <w:tab w:val="left" w:pos="1320"/>
        </w:tabs>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86</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2B537842">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0</wp:posOffset>
                </wp:positionV>
                <wp:extent cx="756920" cy="584200"/>
                <wp:effectExtent l="0" t="0" r="0" b="0"/>
                <wp:wrapNone/>
                <wp:docPr id="384" name="000283"/>
                <wp:cNvGraphicFramePr/>
                <a:graphic xmlns:a="http://schemas.openxmlformats.org/drawingml/2006/main">
                  <a:graphicData uri="http://schemas.microsoft.com/office/word/2010/wordprocessingShape">
                    <wps:wsp>
                      <wps:cNvSpPr txBox="1"/>
                      <wps:spPr>
                        <a:xfrm>
                          <a:off x="0" y="0"/>
                          <a:ext cx="756920" cy="584200"/>
                        </a:xfrm>
                        <a:prstGeom prst="rect">
                          <a:avLst/>
                        </a:prstGeom>
                        <a:noFill/>
                        <a:ln>
                          <a:noFill/>
                        </a:ln>
                        <a:effectLst/>
                      </wps:spPr>
                      <wps:txbx>
                        <w:txbxContent>
                          <w:p w14:paraId="399758E5">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p w14:paraId="642575D4"/>
                        </w:txbxContent>
                      </wps:txbx>
                      <wps:bodyPr wrap="square" upright="1"/>
                    </wps:wsp>
                  </a:graphicData>
                </a:graphic>
              </wp:anchor>
            </w:drawing>
          </mc:Choice>
          <mc:Fallback>
            <w:pict>
              <v:shape id="000283" o:spid="_x0000_s1026" o:spt="202" type="#_x0000_t202" style="position:absolute;left:0pt;margin-left:-9pt;margin-top:0pt;height:46pt;width:59.6pt;z-index:252051456;mso-width-relative:page;mso-height-relative:page;" filled="f" stroked="f" coordsize="21600,21600" o:gfxdata="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dgTNXVAAAABwEA&#10;AA8AAAAAAAAAAQAgAAAAIgAAAGRycy9kb3ducmV2LnhtbFBLAQIUABQAAAAIAIdO4kDlwR5dqwEA&#10;AGYDAAAOAAAAAAAAAAEAIAAAACQBAABkcnMvZTJvRG9jLnhtbFBLBQYAAAAABgAGAFkBAABBBQAA&#10;AAA=&#10;">
                <v:fill on="f" focussize="0,0"/>
                <v:stroke on="f"/>
                <v:imagedata o:title=""/>
                <o:lock v:ext="edit" aspectratio="f"/>
                <v:textbox>
                  <w:txbxContent>
                    <w:p w14:paraId="399758E5">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p w14:paraId="642575D4"/>
                  </w:txbxContent>
                </v:textbox>
              </v:shape>
            </w:pict>
          </mc:Fallback>
        </mc:AlternateContent>
      </w:r>
      <w:r>
        <w:rPr>
          <w:rFonts w:hint="eastAsia" w:ascii="仿宋" w:hAnsi="仿宋" w:eastAsia="仿宋" w:cs="仿宋"/>
          <w:color w:val="auto"/>
          <w:sz w:val="24"/>
          <w:szCs w:val="24"/>
          <w:highlight w:val="none"/>
          <w:lang w:eastAsia="zh-CN"/>
        </w:rPr>
        <w:t>造价咨询人在收到第86.1款所述资料后，应按照第72条约定进行计量，并根据计量结果和合同约定对资料内容予以核实。在收到上述资料后的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天内报发包人确认后向发包人签发期中支付证书，同时抄送承包人。</w:t>
      </w:r>
    </w:p>
    <w:p w14:paraId="5F6CD79C">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如果该支付期间应支付金额少于专用条款约定的期中支付证书的最低限额时，造价咨询人不必按照本款开具任何支付证书，但应通知发包人和承包人。上述款额转期结算，直到应支付的款额累计达到专用条款约定的期中支付证书的最低限额为止。</w:t>
      </w:r>
    </w:p>
    <w:p w14:paraId="79983045">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造价咨询人签发期中支付证书，不应视为发包人已同意、批准或接受了承包人完成该部分工作。</w:t>
      </w:r>
    </w:p>
    <w:p w14:paraId="024270CE">
      <w:pPr>
        <w:widowControl w:val="0"/>
        <w:spacing w:line="360" w:lineRule="auto"/>
        <w:rPr>
          <w:rFonts w:ascii="仿宋" w:hAnsi="仿宋" w:eastAsia="仿宋"/>
          <w:b/>
          <w:bCs/>
          <w:color w:val="auto"/>
          <w:highlight w:val="none"/>
          <w:lang w:eastAsia="zh-CN"/>
        </w:rPr>
      </w:pPr>
      <w:bookmarkStart w:id="1125" w:name="_Toc12014"/>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.3</w:t>
      </w:r>
      <w:bookmarkEnd w:id="112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56E9601">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6350</wp:posOffset>
                </wp:positionV>
                <wp:extent cx="819150" cy="406400"/>
                <wp:effectExtent l="0" t="0" r="0" b="0"/>
                <wp:wrapNone/>
                <wp:docPr id="385" name="000284"/>
                <wp:cNvGraphicFramePr/>
                <a:graphic xmlns:a="http://schemas.openxmlformats.org/drawingml/2006/main">
                  <a:graphicData uri="http://schemas.microsoft.com/office/word/2010/wordprocessingShape">
                    <wps:wsp>
                      <wps:cNvSpPr txBox="1"/>
                      <wps:spPr>
                        <a:xfrm>
                          <a:off x="0" y="0"/>
                          <a:ext cx="819150" cy="406400"/>
                        </a:xfrm>
                        <a:prstGeom prst="rect">
                          <a:avLst/>
                        </a:prstGeom>
                        <a:noFill/>
                        <a:ln>
                          <a:noFill/>
                        </a:ln>
                        <a:effectLst/>
                      </wps:spPr>
                      <wps:txbx>
                        <w:txbxContent>
                          <w:p w14:paraId="01AE9106">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p w14:paraId="46E7453F"/>
                        </w:txbxContent>
                      </wps:txbx>
                      <wps:bodyPr wrap="square" upright="1"/>
                    </wps:wsp>
                  </a:graphicData>
                </a:graphic>
              </wp:anchor>
            </w:drawing>
          </mc:Choice>
          <mc:Fallback>
            <w:pict>
              <v:shape id="000284" o:spid="_x0000_s1026" o:spt="202" type="#_x0000_t202" style="position:absolute;left:0pt;margin-left:-9pt;margin-top:0.5pt;height:32pt;width:64.5pt;z-index:252052480;mso-width-relative:page;mso-height-relative:page;" filled="f" stroked="f" coordsize="21600,21600" o:gfxdata="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JQpSd1AAAAAgB&#10;AAAPAAAAAAAAAAEAIAAAACIAAABkcnMvZG93bnJldi54bWxQSwECFAAUAAAACACHTuJAeVRUu60B&#10;AABmAwAADgAAAAAAAAABACAAAAAjAQAAZHJzL2Uyb0RvYy54bWxQSwUGAAAAAAYABgBZAQAAQgUA&#10;AAAA&#10;">
                <v:fill on="f" focussize="0,0"/>
                <v:stroke on="f"/>
                <v:imagedata o:title=""/>
                <o:lock v:ext="edit" aspectratio="f"/>
                <v:textbox>
                  <w:txbxContent>
                    <w:p w14:paraId="01AE9106">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p w14:paraId="46E7453F"/>
                  </w:txbxContent>
                </v:textbox>
              </v:shape>
            </w:pict>
          </mc:Fallback>
        </mc:AlternateContent>
      </w:r>
      <w:r>
        <w:rPr>
          <w:rFonts w:hint="eastAsia" w:ascii="仿宋" w:hAnsi="仿宋" w:eastAsia="仿宋" w:cs="仿宋"/>
          <w:color w:val="auto"/>
          <w:sz w:val="24"/>
          <w:szCs w:val="24"/>
          <w:highlight w:val="none"/>
          <w:lang w:eastAsia="zh-CN"/>
        </w:rPr>
        <w:t>发包人应在造价咨询人签发期中支付证书后的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天内，按照期中支付证书列明的金额向承包人支付进度款，并通知造价咨询人。</w:t>
      </w:r>
    </w:p>
    <w:p w14:paraId="312F5540">
      <w:pPr>
        <w:widowControl w:val="0"/>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.4</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486A99F2">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8255</wp:posOffset>
                </wp:positionV>
                <wp:extent cx="842645" cy="693420"/>
                <wp:effectExtent l="0" t="0" r="0" b="0"/>
                <wp:wrapNone/>
                <wp:docPr id="386" name="000285"/>
                <wp:cNvGraphicFramePr/>
                <a:graphic xmlns:a="http://schemas.openxmlformats.org/drawingml/2006/main">
                  <a:graphicData uri="http://schemas.microsoft.com/office/word/2010/wordprocessingShape">
                    <wps:wsp>
                      <wps:cNvSpPr txBox="1"/>
                      <wps:spPr>
                        <a:xfrm>
                          <a:off x="0" y="0"/>
                          <a:ext cx="842645" cy="693420"/>
                        </a:xfrm>
                        <a:prstGeom prst="rect">
                          <a:avLst/>
                        </a:prstGeom>
                        <a:noFill/>
                        <a:ln>
                          <a:noFill/>
                        </a:ln>
                        <a:effectLst/>
                      </wps:spPr>
                      <wps:txbx>
                        <w:txbxContent>
                          <w:p w14:paraId="2DE85862">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p w14:paraId="732A2243">
                            <w:pPr>
                              <w:rPr>
                                <w:lang w:eastAsia="zh-CN"/>
                              </w:rPr>
                            </w:pPr>
                          </w:p>
                        </w:txbxContent>
                      </wps:txbx>
                      <wps:bodyPr wrap="square" upright="1"/>
                    </wps:wsp>
                  </a:graphicData>
                </a:graphic>
              </wp:anchor>
            </w:drawing>
          </mc:Choice>
          <mc:Fallback>
            <w:pict>
              <v:shape id="000285" o:spid="_x0000_s1026" o:spt="202" type="#_x0000_t202" style="position:absolute;left:0pt;margin-left:-9pt;margin-top:0.65pt;height:54.6pt;width:66.35pt;z-index:252053504;mso-width-relative:page;mso-height-relative:page;" filled="f" stroked="f" coordsize="21600,21600" o:gfxdata="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U9zR2dUAAAAJ&#10;AQAADwAAAAAAAAABACAAAAAiAAAAZHJzL2Rvd25yZXYueG1sUEsBAhQAFAAAAAgAh07iQKYgH4St&#10;AQAAZgMAAA4AAAAAAAAAAQAgAAAAJAEAAGRycy9lMm9Eb2MueG1sUEsFBgAAAAAGAAYAWQEAAEMF&#10;AAAAAA==&#10;">
                <v:fill on="f" focussize="0,0"/>
                <v:stroke on="f"/>
                <v:imagedata o:title=""/>
                <o:lock v:ext="edit" aspectratio="f"/>
                <v:textbox>
                  <w:txbxContent>
                    <w:p w14:paraId="2DE85862">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p w14:paraId="732A2243">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如果造价咨询人未在第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款约定的期限内签发期中支付证书的，则视为承包人提交的支付申请已被认可，承包人应及时向发包人发出要求支付的通知。发包人应在收到通知后的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天内，按照承包人支付申请列明的金额向承包人支付进度款。</w:t>
      </w:r>
    </w:p>
    <w:p w14:paraId="215D21A1">
      <w:pPr>
        <w:widowControl w:val="0"/>
        <w:spacing w:line="360" w:lineRule="auto"/>
        <w:rPr>
          <w:rFonts w:ascii="仿宋" w:hAnsi="仿宋" w:eastAsia="仿宋"/>
          <w:b/>
          <w:bCs/>
          <w:color w:val="auto"/>
          <w:highlight w:val="none"/>
          <w:lang w:eastAsia="zh-CN"/>
        </w:rPr>
      </w:pPr>
      <w:bookmarkStart w:id="1126" w:name="_Toc6512"/>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.5</w:t>
      </w:r>
      <w:bookmarkEnd w:id="112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CCECB3C">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12065</wp:posOffset>
                </wp:positionV>
                <wp:extent cx="823595" cy="635000"/>
                <wp:effectExtent l="0" t="0" r="0" b="0"/>
                <wp:wrapNone/>
                <wp:docPr id="387" name="000286"/>
                <wp:cNvGraphicFramePr/>
                <a:graphic xmlns:a="http://schemas.openxmlformats.org/drawingml/2006/main">
                  <a:graphicData uri="http://schemas.microsoft.com/office/word/2010/wordprocessingShape">
                    <wps:wsp>
                      <wps:cNvSpPr txBox="1"/>
                      <wps:spPr>
                        <a:xfrm>
                          <a:off x="0" y="0"/>
                          <a:ext cx="823595" cy="635000"/>
                        </a:xfrm>
                        <a:prstGeom prst="rect">
                          <a:avLst/>
                        </a:prstGeom>
                        <a:noFill/>
                        <a:ln>
                          <a:noFill/>
                        </a:ln>
                        <a:effectLst/>
                      </wps:spPr>
                      <wps:txbx>
                        <w:txbxContent>
                          <w:p w14:paraId="35AB1771">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p w14:paraId="4417D18F"/>
                        </w:txbxContent>
                      </wps:txbx>
                      <wps:bodyPr wrap="square" upright="1"/>
                    </wps:wsp>
                  </a:graphicData>
                </a:graphic>
              </wp:anchor>
            </w:drawing>
          </mc:Choice>
          <mc:Fallback>
            <w:pict>
              <v:shape id="000286" o:spid="_x0000_s1026" o:spt="202" type="#_x0000_t202" style="position:absolute;left:0pt;margin-left:-9pt;margin-top:0.95pt;height:50pt;width:64.85pt;z-index:252054528;mso-width-relative:page;mso-height-relative:page;" filled="f" stroked="f" coordsize="21600,21600" o:gfxdata="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hK+/HVAAAACQEA&#10;AA8AAAAAAAAAAQAgAAAAIgAAAGRycy9kb3ducmV2LnhtbFBLAQIUABQAAAAIAIdO4kDbJeinqwEA&#10;AGYDAAAOAAAAAAAAAAEAIAAAACQBAABkcnMvZTJvRG9jLnhtbFBLBQYAAAAABgAGAFkBAABBBQAA&#10;AAA=&#10;">
                <v:fill on="f" focussize="0,0"/>
                <v:stroke on="f"/>
                <v:imagedata o:title=""/>
                <o:lock v:ext="edit" aspectratio="f"/>
                <v:textbox>
                  <w:txbxContent>
                    <w:p w14:paraId="35AB1771">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p w14:paraId="4417D18F"/>
                  </w:txbxContent>
                </v:textbox>
              </v:shape>
            </w:pict>
          </mc:Fallback>
        </mc:AlternateContent>
      </w:r>
      <w:r>
        <w:rPr>
          <w:rFonts w:hint="eastAsia" w:ascii="仿宋" w:hAnsi="仿宋" w:eastAsia="仿宋" w:cs="仿宋"/>
          <w:color w:val="auto"/>
          <w:sz w:val="24"/>
          <w:szCs w:val="24"/>
          <w:highlight w:val="none"/>
          <w:lang w:eastAsia="zh-CN"/>
        </w:rPr>
        <w:t>发包人未按照第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款约定支付进度款的，承包人应及时向发包人发出要求支付的通知；发包人收到通知后仍不按要求支付的，可与承包人协商签订延期支付协议，经承包人同意后可延期支付，承包人有权按照第83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w:t>
      </w:r>
    </w:p>
    <w:p w14:paraId="678FF958">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包人未按照合同约定支付进度款，合同双方当事人又未达成延期支付协议，导致无法继续工作或施工的，承包人可停止工作或施工。发包人应承担由此增加的费用和（或）延误的工期，并向承包人支付合理利润。</w:t>
      </w:r>
    </w:p>
    <w:p w14:paraId="03754403">
      <w:pPr>
        <w:widowControl w:val="0"/>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.6</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2C4E0E6B">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15875</wp:posOffset>
                </wp:positionV>
                <wp:extent cx="789940" cy="424815"/>
                <wp:effectExtent l="0" t="0" r="0" b="0"/>
                <wp:wrapNone/>
                <wp:docPr id="388" name="000287"/>
                <wp:cNvGraphicFramePr/>
                <a:graphic xmlns:a="http://schemas.openxmlformats.org/drawingml/2006/main">
                  <a:graphicData uri="http://schemas.microsoft.com/office/word/2010/wordprocessingShape">
                    <wps:wsp>
                      <wps:cNvSpPr txBox="1"/>
                      <wps:spPr>
                        <a:xfrm>
                          <a:off x="0" y="0"/>
                          <a:ext cx="789940" cy="424815"/>
                        </a:xfrm>
                        <a:prstGeom prst="rect">
                          <a:avLst/>
                        </a:prstGeom>
                        <a:noFill/>
                        <a:ln>
                          <a:noFill/>
                        </a:ln>
                        <a:effectLst/>
                      </wps:spPr>
                      <wps:txbx>
                        <w:txbxContent>
                          <w:p w14:paraId="6A69DBC2">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p w14:paraId="6915E515"/>
                        </w:txbxContent>
                      </wps:txbx>
                      <wps:bodyPr wrap="square" upright="1"/>
                    </wps:wsp>
                  </a:graphicData>
                </a:graphic>
              </wp:anchor>
            </w:drawing>
          </mc:Choice>
          <mc:Fallback>
            <w:pict>
              <v:shape id="000287" o:spid="_x0000_s1026" o:spt="202" type="#_x0000_t202" style="position:absolute;left:0pt;margin-left:-9pt;margin-top:1.25pt;height:33.45pt;width:62.2pt;z-index:252055552;mso-width-relative:page;mso-height-relative:page;" filled="f" stroked="f" coordsize="21600,21600" o:gfxdata="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kIDEVtYAAAAI&#10;AQAADwAAAAAAAAABACAAAAAiAAAAZHJzL2Rvd25yZXYueG1sUEsBAhQAFAAAAAgAh07iQB0Dnsqs&#10;AQAAZgMAAA4AAAAAAAAAAQAgAAAAJQEAAGRycy9lMm9Eb2MueG1sUEsFBgAAAAAGAAYAWQEAAEMF&#10;AAAAAA==&#10;">
                <v:fill on="f" focussize="0,0"/>
                <v:stroke on="f"/>
                <v:imagedata o:title=""/>
                <o:lock v:ext="edit" aspectratio="f"/>
                <v:textbox>
                  <w:txbxContent>
                    <w:p w14:paraId="6A69DBC2">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p w14:paraId="6915E515"/>
                  </w:txbxContent>
                </v:textbox>
              </v:shape>
            </w:pict>
          </mc:Fallback>
        </mc:AlternateContent>
      </w:r>
      <w:r>
        <w:rPr>
          <w:rFonts w:hint="eastAsia" w:ascii="仿宋" w:hAnsi="仿宋" w:eastAsia="仿宋" w:cs="仿宋"/>
          <w:color w:val="auto"/>
          <w:sz w:val="24"/>
          <w:szCs w:val="24"/>
          <w:highlight w:val="none"/>
          <w:lang w:eastAsia="zh-CN"/>
        </w:rPr>
        <w:t>发现以前签发的任何支付证书有错、漏或重复的，造价咨询人有权在期中支付证书中修正以前签发的任何支付证书，承包人也有权提出修正申请。经合同双方当事人复核同意修正的，应在该支付期的进度款中支付或扣除。如果总承包范围内的工作、工程或其任何部分没有达到质量要求，造价咨询人有权按照合同约定处理，并在任何期中支付证书中扣除相应价款。</w:t>
      </w:r>
    </w:p>
    <w:p w14:paraId="1F048EFD">
      <w:pPr>
        <w:pStyle w:val="23"/>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3326D00F">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1127" w:name="_Toc12393"/>
      <w:bookmarkStart w:id="1128" w:name="_Toc25123"/>
      <w:bookmarkStart w:id="1129" w:name="_Toc30380"/>
      <w:bookmarkStart w:id="1130" w:name="_Toc6503"/>
      <w:bookmarkStart w:id="1131" w:name="_Toc1158"/>
      <w:bookmarkStart w:id="1132" w:name="_Toc12090"/>
      <w:bookmarkStart w:id="1133" w:name="_Toc15905"/>
      <w:bookmarkStart w:id="1134" w:name="_Toc47694363"/>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8</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竣工结算</w:t>
      </w:r>
      <w:bookmarkEnd w:id="1127"/>
      <w:bookmarkEnd w:id="1128"/>
      <w:bookmarkEnd w:id="1129"/>
      <w:bookmarkEnd w:id="1130"/>
      <w:bookmarkEnd w:id="1131"/>
      <w:bookmarkEnd w:id="1132"/>
      <w:bookmarkEnd w:id="1133"/>
      <w:bookmarkEnd w:id="1134"/>
    </w:p>
    <w:p w14:paraId="1F43D1E6">
      <w:pPr>
        <w:widowControl w:val="0"/>
        <w:rPr>
          <w:rFonts w:ascii="仿宋" w:hAnsi="仿宋" w:eastAsia="仿宋" w:cs="仿宋"/>
          <w:b/>
          <w:bCs/>
          <w:color w:val="auto"/>
          <w:highlight w:val="none"/>
          <w:lang w:eastAsia="zh-CN"/>
        </w:rPr>
      </w:pPr>
      <w:bookmarkStart w:id="1135" w:name="_Toc29029"/>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bookmarkEnd w:id="1135"/>
    </w:p>
    <w:p w14:paraId="3B5CF63C">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38735</wp:posOffset>
                </wp:positionV>
                <wp:extent cx="756920" cy="467995"/>
                <wp:effectExtent l="0" t="0" r="0" b="0"/>
                <wp:wrapNone/>
                <wp:docPr id="389" name="000288"/>
                <wp:cNvGraphicFramePr/>
                <a:graphic xmlns:a="http://schemas.openxmlformats.org/drawingml/2006/main">
                  <a:graphicData uri="http://schemas.microsoft.com/office/word/2010/wordprocessingShape">
                    <wps:wsp>
                      <wps:cNvSpPr txBox="1"/>
                      <wps:spPr>
                        <a:xfrm>
                          <a:off x="0" y="0"/>
                          <a:ext cx="756920" cy="467995"/>
                        </a:xfrm>
                        <a:prstGeom prst="rect">
                          <a:avLst/>
                        </a:prstGeom>
                        <a:noFill/>
                        <a:ln>
                          <a:noFill/>
                        </a:ln>
                        <a:effectLst/>
                      </wps:spPr>
                      <wps:txbx>
                        <w:txbxContent>
                          <w:p w14:paraId="3B61918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p w14:paraId="549F1BB6"/>
                        </w:txbxContent>
                      </wps:txbx>
                      <wps:bodyPr wrap="square" upright="1"/>
                    </wps:wsp>
                  </a:graphicData>
                </a:graphic>
              </wp:anchor>
            </w:drawing>
          </mc:Choice>
          <mc:Fallback>
            <w:pict>
              <v:shape id="000288" o:spid="_x0000_s1026" o:spt="202" type="#_x0000_t202" style="position:absolute;left:0pt;margin-left:-9pt;margin-top:3.05pt;height:36.85pt;width:59.6pt;z-index:252056576;mso-width-relative:page;mso-height-relative:page;" filled="f" stroked="f" coordsize="21600,21600" o:gfxdata="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Vs4TH1QAAAAgB&#10;AAAPAAAAAAAAAAEAIAAAACIAAABkcnMvZG93bnJldi54bWxQSwECFAAUAAAACACHTuJAoKuSUKwB&#10;AABmAwAADgAAAAAAAAABACAAAAAkAQAAZHJzL2Uyb0RvYy54bWxQSwUGAAAAAAYABgBZAQAAQgUA&#10;AAAA&#10;">
                <v:fill on="f" focussize="0,0"/>
                <v:stroke on="f"/>
                <v:imagedata o:title=""/>
                <o:lock v:ext="edit" aspectratio="f"/>
                <v:textbox>
                  <w:txbxContent>
                    <w:p w14:paraId="3B61918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p w14:paraId="549F1BB6"/>
                  </w:txbxContent>
                </v:textbox>
              </v:shape>
            </w:pict>
          </mc:Fallback>
        </mc:AlternateContent>
      </w:r>
      <w:r>
        <w:rPr>
          <w:rFonts w:hint="eastAsia" w:ascii="仿宋" w:hAnsi="仿宋" w:eastAsia="仿宋" w:cs="仿宋"/>
          <w:color w:val="auto"/>
          <w:sz w:val="24"/>
          <w:szCs w:val="24"/>
          <w:highlight w:val="none"/>
          <w:lang w:eastAsia="zh-CN"/>
        </w:rPr>
        <w:t>合同双方当事人应遵守法律或规范在专用条款中明确办理竣工结算的程序和时限。专用条款没有约定的，竣工结算按照第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款约定办理。</w:t>
      </w:r>
    </w:p>
    <w:p w14:paraId="50F7DA60">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过程结算是指在建设工程总承包合同范围内，合同双方当事人结合项目实际，依据合同约定的支付周期或工程进度节点，对已完成的勘察（如果有）、设计、BIM技术应用、设备及工器具购置（如果有）和施工阶段的主要工作、分部工程或标志性节点形象工程的价款进行的计算、调整、确认和支付等活动。实施过程结算的，合同双方当事人应在合同专用</w:t>
      </w:r>
      <w:r>
        <w:rPr>
          <w:rFonts w:ascii="仿宋" w:hAnsi="仿宋" w:eastAsia="仿宋" w:cs="仿宋"/>
          <w:color w:val="auto"/>
          <w:sz w:val="24"/>
          <w:szCs w:val="24"/>
          <w:highlight w:val="none"/>
          <w:lang w:eastAsia="zh-CN"/>
        </w:rPr>
        <w:t>条款</w:t>
      </w:r>
      <w:r>
        <w:rPr>
          <w:rFonts w:hint="eastAsia" w:ascii="仿宋" w:hAnsi="仿宋" w:eastAsia="仿宋" w:cs="仿宋"/>
          <w:color w:val="auto"/>
          <w:sz w:val="24"/>
          <w:szCs w:val="24"/>
          <w:highlight w:val="none"/>
          <w:lang w:eastAsia="zh-CN"/>
        </w:rPr>
        <w:t>中约定过程结算的支付周期或完成进度节点，进行工作或工程价款结算和支付的依据、程序和方法，明确合同履行过程工作或工程价款的计量、计价、支付等事项。过程结算节点可根据总承包范围、工作内容、工程特点、工作界面、工程界面、工期及分部（工程）验收需要等由发承包双方在合同专用</w:t>
      </w:r>
      <w:r>
        <w:rPr>
          <w:rFonts w:ascii="仿宋" w:hAnsi="仿宋" w:eastAsia="仿宋" w:cs="仿宋"/>
          <w:color w:val="auto"/>
          <w:sz w:val="24"/>
          <w:szCs w:val="24"/>
          <w:highlight w:val="none"/>
          <w:lang w:eastAsia="zh-CN"/>
        </w:rPr>
        <w:t>条款</w:t>
      </w:r>
      <w:r>
        <w:rPr>
          <w:rFonts w:hint="eastAsia" w:ascii="仿宋" w:hAnsi="仿宋" w:eastAsia="仿宋" w:cs="仿宋"/>
          <w:color w:val="auto"/>
          <w:sz w:val="24"/>
          <w:szCs w:val="24"/>
          <w:highlight w:val="none"/>
          <w:lang w:eastAsia="zh-CN"/>
        </w:rPr>
        <w:t>中约定。过程结算文件是工程竣工结算文件的重要内容与组成部分。</w:t>
      </w:r>
    </w:p>
    <w:p w14:paraId="75A818C2">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在办理竣工结算期间，发包人按照第83条约定应向承包人支付的工程款及其他款项不停止。</w:t>
      </w:r>
    </w:p>
    <w:p w14:paraId="31BB10F8">
      <w:pPr>
        <w:pStyle w:val="23"/>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0E667303">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23495</wp:posOffset>
                </wp:positionV>
                <wp:extent cx="776605" cy="584200"/>
                <wp:effectExtent l="0" t="0" r="0" b="0"/>
                <wp:wrapNone/>
                <wp:docPr id="390" name="000289"/>
                <wp:cNvGraphicFramePr/>
                <a:graphic xmlns:a="http://schemas.openxmlformats.org/drawingml/2006/main">
                  <a:graphicData uri="http://schemas.microsoft.com/office/word/2010/wordprocessingShape">
                    <wps:wsp>
                      <wps:cNvSpPr txBox="1"/>
                      <wps:spPr>
                        <a:xfrm>
                          <a:off x="0" y="0"/>
                          <a:ext cx="776605" cy="584200"/>
                        </a:xfrm>
                        <a:prstGeom prst="rect">
                          <a:avLst/>
                        </a:prstGeom>
                        <a:noFill/>
                        <a:ln>
                          <a:noFill/>
                        </a:ln>
                        <a:effectLst/>
                      </wps:spPr>
                      <wps:txbx>
                        <w:txbxContent>
                          <w:p w14:paraId="53A05C3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p w14:paraId="64AE3CA0"/>
                        </w:txbxContent>
                      </wps:txbx>
                      <wps:bodyPr wrap="square" upright="1"/>
                    </wps:wsp>
                  </a:graphicData>
                </a:graphic>
              </wp:anchor>
            </w:drawing>
          </mc:Choice>
          <mc:Fallback>
            <w:pict>
              <v:shape id="000289" o:spid="_x0000_s1026" o:spt="202" type="#_x0000_t202" style="position:absolute;left:0pt;margin-left:-9pt;margin-top:1.85pt;height:46pt;width:61.15pt;z-index:252057600;mso-width-relative:page;mso-height-relative:page;" filled="f" stroked="f" coordsize="21600,21600" o:gfxdata="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0sG/K1gAAAAgB&#10;AAAPAAAAAAAAAAEAIAAAACIAAABkcnMvZG93bnJldi54bWxQSwECFAAUAAAACACHTuJAlqudp6sB&#10;AABmAwAADgAAAAAAAAABACAAAAAlAQAAZHJzL2Uyb0RvYy54bWxQSwUGAAAAAAYABgBZAQAAQgUA&#10;AAAA&#10;">
                <v:fill on="f" focussize="0,0"/>
                <v:stroke on="f"/>
                <v:imagedata o:title=""/>
                <o:lock v:ext="edit" aspectratio="f"/>
                <v:textbox>
                  <w:txbxContent>
                    <w:p w14:paraId="53A05C3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p w14:paraId="64AE3CA0"/>
                  </w:txbxContent>
                </v:textbox>
              </v:shape>
            </w:pict>
          </mc:Fallback>
        </mc:AlternateContent>
      </w:r>
      <w:r>
        <w:rPr>
          <w:rFonts w:hint="eastAsia" w:ascii="仿宋" w:hAnsi="仿宋" w:eastAsia="仿宋" w:cs="仿宋"/>
          <w:color w:val="auto"/>
          <w:sz w:val="24"/>
          <w:szCs w:val="24"/>
          <w:highlight w:val="none"/>
          <w:lang w:eastAsia="zh-CN"/>
        </w:rPr>
        <w:t>承包人应在提交竣工验收申请报告前编制完成竣工结算文件，并在提交竣工验收申请报告的同时向造价咨询人递交竣工结算文件。竣工结算文件清单由双方在专用条款中约定。</w:t>
      </w:r>
    </w:p>
    <w:p w14:paraId="2E7C7FA3">
      <w:pPr>
        <w:pStyle w:val="23"/>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在本款约定的时间内递交竣工结算文件，经发包人催促后仍未递交或没有明确答复的，造价咨询人可根据自己掌握的资料编制竣工结算文件，在报经发包人批准后，作为办理竣工结算和支付结算款的依据，承包人应予以认可。</w:t>
      </w:r>
    </w:p>
    <w:p w14:paraId="67B5240B">
      <w:pPr>
        <w:pStyle w:val="23"/>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4D9D7A7">
      <w:pPr>
        <w:pStyle w:val="23"/>
        <w:widowControl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38735</wp:posOffset>
                </wp:positionV>
                <wp:extent cx="794385" cy="491490"/>
                <wp:effectExtent l="0" t="0" r="0" b="0"/>
                <wp:wrapNone/>
                <wp:docPr id="391" name="00028a"/>
                <wp:cNvGraphicFramePr/>
                <a:graphic xmlns:a="http://schemas.openxmlformats.org/drawingml/2006/main">
                  <a:graphicData uri="http://schemas.microsoft.com/office/word/2010/wordprocessingShape">
                    <wps:wsp>
                      <wps:cNvSpPr txBox="1"/>
                      <wps:spPr>
                        <a:xfrm>
                          <a:off x="0" y="0"/>
                          <a:ext cx="794385" cy="491490"/>
                        </a:xfrm>
                        <a:prstGeom prst="rect">
                          <a:avLst/>
                        </a:prstGeom>
                        <a:noFill/>
                        <a:ln>
                          <a:noFill/>
                        </a:ln>
                        <a:effectLst/>
                      </wps:spPr>
                      <wps:txbx>
                        <w:txbxContent>
                          <w:p w14:paraId="10FAB72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p w14:paraId="6E83FCE9"/>
                        </w:txbxContent>
                      </wps:txbx>
                      <wps:bodyPr wrap="square" upright="1"/>
                    </wps:wsp>
                  </a:graphicData>
                </a:graphic>
              </wp:anchor>
            </w:drawing>
          </mc:Choice>
          <mc:Fallback>
            <w:pict>
              <v:shape id="00028a" o:spid="_x0000_s1026" o:spt="202" type="#_x0000_t202" style="position:absolute;left:0pt;margin-left:-9pt;margin-top:3.05pt;height:38.7pt;width:62.55pt;z-index:252058624;mso-width-relative:page;mso-height-relative:page;" filled="f" stroked="f" coordsize="21600,21600" o:gfxdata="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cvh13WAAAA&#10;CAEAAA8AAAAAAAAAAQAgAAAAIgAAAGRycy9kb3ducmV2LnhtbFBLAQIUABQAAAAIAIdO4kBtDroz&#10;rQEAAGYDAAAOAAAAAAAAAAEAIAAAACUBAABkcnMvZTJvRG9jLnhtbFBLBQYAAAAABgAGAFkBAABE&#10;BQAAAAA=&#10;">
                <v:fill on="f" focussize="0,0"/>
                <v:stroke on="f"/>
                <v:imagedata o:title=""/>
                <o:lock v:ext="edit" aspectratio="f"/>
                <v:textbox>
                  <w:txbxContent>
                    <w:p w14:paraId="10FAB72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p w14:paraId="6E83FCE9"/>
                  </w:txbxContent>
                </v:textbox>
              </v:shape>
            </w:pict>
          </mc:Fallback>
        </mc:AlternateContent>
      </w:r>
      <w:r>
        <w:rPr>
          <w:rFonts w:hint="eastAsia" w:ascii="仿宋" w:hAnsi="仿宋" w:eastAsia="仿宋" w:cs="仿宋"/>
          <w:color w:val="auto"/>
          <w:sz w:val="24"/>
          <w:szCs w:val="24"/>
          <w:highlight w:val="none"/>
          <w:lang w:eastAsia="zh-CN"/>
        </w:rPr>
        <w:t>造价咨询人应在收到承包人按照第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款约定递交的竣工结算文件后的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天内予以核实，并向承包人提出完整的核实意见（包括进一步补充资料和修改结算文件），同时抄报发包人。承包人在收到核实意见后的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天内按照造价咨询人提出的合理要求补充资料，修改竣工结算文件，并再次递交给造价咨询人。</w:t>
      </w:r>
    </w:p>
    <w:p w14:paraId="6E14B3A0">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造价咨询人在收到竣工结算文件后的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天内，不核实竣工结算或未提出核实意见的，视为承包人递交的竣工结算已被认可。</w:t>
      </w:r>
    </w:p>
    <w:p w14:paraId="026B3FD5">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承包人在收到造价咨询人提出的核实意见后的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天内，不确认也未提出异议的，视为造价咨询人提出的核实意见已被认可，竣工结算办理完毕。</w:t>
      </w:r>
    </w:p>
    <w:p w14:paraId="02385FB8">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对组成合同价格任一部分的过程结算计量计价有争议的，争议部分按第91.4款约定进行调解或认定，若合同双方或一方当事人在收到争议调解或认定机构的书面结果后明确表示不同意，或在28天内没有书面确认，任何一方均可向广州建设工程仲裁院提出仲裁申请。仲裁机构对争议部分裁决的价款与无争议部分的过程结算价款之和，即作为该合同价格组成部分的阶段结算价款。</w:t>
      </w:r>
    </w:p>
    <w:p w14:paraId="7E0C068E">
      <w:pPr>
        <w:pStyle w:val="23"/>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40C8D998">
      <w:pPr>
        <w:pStyle w:val="23"/>
        <w:widowControl w:val="0"/>
        <w:spacing w:line="360" w:lineRule="auto"/>
        <w:ind w:left="1850" w:leftChars="771"/>
        <w:jc w:val="both"/>
        <w:rPr>
          <w:rFonts w:ascii="仿宋" w:hAnsi="仿宋" w:eastAsia="仿宋"/>
          <w:color w:val="auto"/>
          <w:sz w:val="24"/>
          <w:szCs w:val="24"/>
          <w:highlight w:val="none"/>
          <w:u w:val="single"/>
          <w:lang w:eastAsia="zh-CN"/>
        </w:rPr>
      </w:pPr>
      <w:r>
        <w:rPr>
          <w:color w:val="auto"/>
          <w:highlight w:val="none"/>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15875</wp:posOffset>
                </wp:positionV>
                <wp:extent cx="832485" cy="822325"/>
                <wp:effectExtent l="0" t="0" r="0" b="0"/>
                <wp:wrapNone/>
                <wp:docPr id="392" name="00028b"/>
                <wp:cNvGraphicFramePr/>
                <a:graphic xmlns:a="http://schemas.openxmlformats.org/drawingml/2006/main">
                  <a:graphicData uri="http://schemas.microsoft.com/office/word/2010/wordprocessingShape">
                    <wps:wsp>
                      <wps:cNvSpPr txBox="1"/>
                      <wps:spPr>
                        <a:xfrm>
                          <a:off x="0" y="0"/>
                          <a:ext cx="832485" cy="822325"/>
                        </a:xfrm>
                        <a:prstGeom prst="rect">
                          <a:avLst/>
                        </a:prstGeom>
                        <a:noFill/>
                        <a:ln>
                          <a:noFill/>
                        </a:ln>
                        <a:effectLst/>
                      </wps:spPr>
                      <wps:txbx>
                        <w:txbxContent>
                          <w:p w14:paraId="65D6C78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p w14:paraId="2D0A8844"/>
                        </w:txbxContent>
                      </wps:txbx>
                      <wps:bodyPr wrap="square" upright="1"/>
                    </wps:wsp>
                  </a:graphicData>
                </a:graphic>
              </wp:anchor>
            </w:drawing>
          </mc:Choice>
          <mc:Fallback>
            <w:pict>
              <v:shape id="00028b" o:spid="_x0000_s1026" o:spt="202" type="#_x0000_t202" style="position:absolute;left:0pt;margin-left:-9pt;margin-top:1.25pt;height:64.75pt;width:65.55pt;z-index:252059648;mso-width-relative:page;mso-height-relative:page;" filled="f" stroked="f" coordsize="21600,21600" o:gfxdata="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F+hx9YAAAAJ&#10;AQAADwAAAAAAAAABACAAAAAiAAAAZHJzL2Rvd25yZXYueG1sUEsBAhQAFAAAAAgAh07iQFTJcJSs&#10;AQAAZgMAAA4AAAAAAAAAAQAgAAAAJQEAAGRycy9lMm9Eb2MueG1sUEsFBgAAAAAGAAYAWQEAAEMF&#10;AAAAAA==&#10;">
                <v:fill on="f" focussize="0,0"/>
                <v:stroke on="f"/>
                <v:imagedata o:title=""/>
                <o:lock v:ext="edit" aspectratio="f"/>
                <v:textbox>
                  <w:txbxContent>
                    <w:p w14:paraId="65D6C78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p w14:paraId="2D0A8844"/>
                  </w:txbxContent>
                </v:textbox>
              </v:shape>
            </w:pict>
          </mc:Fallback>
        </mc:AlternateContent>
      </w:r>
      <w:r>
        <w:rPr>
          <w:rFonts w:hint="eastAsia" w:ascii="仿宋" w:hAnsi="仿宋" w:eastAsia="仿宋" w:cs="仿宋"/>
          <w:color w:val="auto"/>
          <w:sz w:val="24"/>
          <w:szCs w:val="24"/>
          <w:highlight w:val="none"/>
          <w:lang w:eastAsia="zh-CN"/>
        </w:rPr>
        <w:t>造价咨询人应在收到承包人按照第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款约定再次递交的竣工结算文件后的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天内予以复核，并将复核结果通知承包人、抄报发包人。</w:t>
      </w:r>
    </w:p>
    <w:p w14:paraId="2D4D6405">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）经复核无误的，除属于第91条约定的争议外，发包人应在</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天内在竣工结算文件上签字确认，竣工结算办理完毕。</w:t>
      </w:r>
    </w:p>
    <w:p w14:paraId="42695196">
      <w:pPr>
        <w:pStyle w:val="23"/>
        <w:widowControl w:val="0"/>
        <w:spacing w:line="360" w:lineRule="auto"/>
        <w:ind w:left="1850" w:leftChars="771"/>
        <w:jc w:val="both"/>
        <w:rPr>
          <w:rFonts w:ascii="仿宋" w:hAnsi="仿宋" w:eastAsia="仿宋"/>
          <w:color w:val="auto"/>
          <w:sz w:val="24"/>
          <w:szCs w:val="24"/>
          <w:highlight w:val="none"/>
          <w:u w:val="singl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）经复核认为有误的：无误部分按照本款第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点约定办理不完全竣工结算；有误部分由造价咨询人与合同双方当事人协商解决，或按照第91条约定处理。</w:t>
      </w:r>
    </w:p>
    <w:p w14:paraId="060F6144">
      <w:pPr>
        <w:pStyle w:val="23"/>
        <w:spacing w:line="360" w:lineRule="auto"/>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.5</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5A066419">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5715</wp:posOffset>
                </wp:positionV>
                <wp:extent cx="737235" cy="354330"/>
                <wp:effectExtent l="0" t="0" r="0" b="0"/>
                <wp:wrapNone/>
                <wp:docPr id="393" name="00028c"/>
                <wp:cNvGraphicFramePr/>
                <a:graphic xmlns:a="http://schemas.openxmlformats.org/drawingml/2006/main">
                  <a:graphicData uri="http://schemas.microsoft.com/office/word/2010/wordprocessingShape">
                    <wps:wsp>
                      <wps:cNvSpPr txBox="1"/>
                      <wps:spPr>
                        <a:xfrm>
                          <a:off x="0" y="0"/>
                          <a:ext cx="737235" cy="354330"/>
                        </a:xfrm>
                        <a:prstGeom prst="rect">
                          <a:avLst/>
                        </a:prstGeom>
                        <a:noFill/>
                        <a:ln>
                          <a:noFill/>
                        </a:ln>
                        <a:effectLst/>
                      </wps:spPr>
                      <wps:txbx>
                        <w:txbxContent>
                          <w:p w14:paraId="6F29171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p w14:paraId="6AC85F59"/>
                        </w:txbxContent>
                      </wps:txbx>
                      <wps:bodyPr wrap="square" upright="1"/>
                    </wps:wsp>
                  </a:graphicData>
                </a:graphic>
              </wp:anchor>
            </w:drawing>
          </mc:Choice>
          <mc:Fallback>
            <w:pict>
              <v:shape id="00028c" o:spid="_x0000_s1026" o:spt="202" type="#_x0000_t202" style="position:absolute;left:0pt;margin-left:-9pt;margin-top:0.45pt;height:27.9pt;width:58.05pt;z-index:252060672;mso-width-relative:page;mso-height-relative:page;" filled="f" stroked="f" coordsize="21600,21600" o:gfxdata="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NzkswNUAAAAG&#10;AQAADwAAAAAAAAABACAAAAAiAAAAZHJzL2Rvd25yZXYueG1sUEsBAhQAFAAAAAgAh07iQAKdmUet&#10;AQAAZgMAAA4AAAAAAAAAAQAgAAAAJAEAAGRycy9lMm9Eb2MueG1sUEsFBgAAAAAGAAYAWQEAAEMF&#10;AAAAAA==&#10;">
                <v:fill on="f" focussize="0,0"/>
                <v:stroke on="f"/>
                <v:imagedata o:title=""/>
                <o:lock v:ext="edit" aspectratio="f"/>
                <v:textbox>
                  <w:txbxContent>
                    <w:p w14:paraId="6F29171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p w14:paraId="6AC85F59"/>
                  </w:txbxContent>
                </v:textbox>
              </v:shape>
            </w:pict>
          </mc:Fallback>
        </mc:AlternateContent>
      </w:r>
      <w:r>
        <w:rPr>
          <w:rFonts w:hint="eastAsia" w:ascii="仿宋" w:hAnsi="仿宋" w:eastAsia="仿宋" w:cs="仿宋"/>
          <w:color w:val="auto"/>
          <w:sz w:val="24"/>
          <w:szCs w:val="24"/>
          <w:highlight w:val="none"/>
          <w:lang w:eastAsia="zh-CN"/>
        </w:rPr>
        <w:t>发包人应在已核实无误的竣工结算文件上签名确认，拒不签认的，承包人可不交付竣工工程。</w:t>
      </w:r>
    </w:p>
    <w:p w14:paraId="23FB93B3">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承包人未及时递交竣工结算文件的，发包人要求交付竣工工程，承包人应当交付；发包人不要求交付竣工工程，承包人承担照管永久工程责任。</w:t>
      </w:r>
    </w:p>
    <w:p w14:paraId="70DC0D10">
      <w:pPr>
        <w:pStyle w:val="23"/>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3CA37F6C">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1136" w:name="_Toc8677"/>
      <w:bookmarkStart w:id="1137" w:name="_Toc20226"/>
      <w:bookmarkStart w:id="1138" w:name="_Toc28380"/>
      <w:bookmarkStart w:id="1139" w:name="_Toc22522"/>
      <w:bookmarkStart w:id="1140" w:name="_Toc47694364"/>
      <w:bookmarkStart w:id="1141" w:name="_Toc20411"/>
      <w:bookmarkStart w:id="1142" w:name="_Toc10316"/>
      <w:bookmarkStart w:id="1143" w:name="_Toc14184"/>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8</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结算款</w:t>
      </w:r>
      <w:bookmarkEnd w:id="1136"/>
      <w:bookmarkEnd w:id="1137"/>
      <w:bookmarkEnd w:id="1138"/>
      <w:bookmarkEnd w:id="1139"/>
      <w:bookmarkEnd w:id="1140"/>
      <w:bookmarkEnd w:id="1141"/>
      <w:bookmarkEnd w:id="1142"/>
      <w:bookmarkEnd w:id="1143"/>
    </w:p>
    <w:p w14:paraId="3C5748B8">
      <w:pPr>
        <w:rPr>
          <w:rFonts w:ascii="仿宋" w:hAnsi="仿宋" w:eastAsia="仿宋" w:cs="仿宋"/>
          <w:color w:val="auto"/>
          <w:highlight w:val="none"/>
          <w:lang w:eastAsia="zh-CN"/>
        </w:rPr>
      </w:pPr>
      <w:bookmarkStart w:id="1144" w:name="_Toc26261"/>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bookmarkEnd w:id="1144"/>
    </w:p>
    <w:p w14:paraId="126F72C6">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36195</wp:posOffset>
                </wp:positionV>
                <wp:extent cx="861060" cy="612140"/>
                <wp:effectExtent l="0" t="0" r="0" b="0"/>
                <wp:wrapNone/>
                <wp:docPr id="394" name="00028d"/>
                <wp:cNvGraphicFramePr/>
                <a:graphic xmlns:a="http://schemas.openxmlformats.org/drawingml/2006/main">
                  <a:graphicData uri="http://schemas.microsoft.com/office/word/2010/wordprocessingShape">
                    <wps:wsp>
                      <wps:cNvSpPr txBox="1"/>
                      <wps:spPr>
                        <a:xfrm>
                          <a:off x="0" y="0"/>
                          <a:ext cx="861060" cy="612140"/>
                        </a:xfrm>
                        <a:prstGeom prst="rect">
                          <a:avLst/>
                        </a:prstGeom>
                        <a:noFill/>
                        <a:ln>
                          <a:noFill/>
                        </a:ln>
                        <a:effectLst/>
                      </wps:spPr>
                      <wps:txbx>
                        <w:txbxContent>
                          <w:p w14:paraId="3F2E82C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p w14:paraId="4808F9BA"/>
                        </w:txbxContent>
                      </wps:txbx>
                      <wps:bodyPr wrap="square" upright="1"/>
                    </wps:wsp>
                  </a:graphicData>
                </a:graphic>
              </wp:anchor>
            </w:drawing>
          </mc:Choice>
          <mc:Fallback>
            <w:pict>
              <v:shape id="00028d" o:spid="_x0000_s1026" o:spt="202" type="#_x0000_t202" style="position:absolute;left:0pt;margin-left:-9pt;margin-top:2.85pt;height:48.2pt;width:67.8pt;z-index:252061696;mso-width-relative:page;mso-height-relative:page;" filled="f" stroked="f" coordsize="21600,21600" o:gfxdata="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YZ8/TXAAAA&#10;CQEAAA8AAAAAAAAAAQAgAAAAIgAAAGRycy9kb3ducmV2LnhtbFBLAQIUABQAAAAIAIdO4kDm0gwD&#10;rAEAAGYDAAAOAAAAAAAAAAEAIAAAACYBAABkcnMvZTJvRG9jLnhtbFBLBQYAAAAABgAGAFkBAABE&#10;BQAAAAA=&#10;">
                <v:fill on="f" focussize="0,0"/>
                <v:stroke on="f"/>
                <v:imagedata o:title=""/>
                <o:lock v:ext="edit" aspectratio="f"/>
                <v:textbox>
                  <w:txbxContent>
                    <w:p w14:paraId="3F2E82C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p w14:paraId="4808F9BA"/>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合同双方当事人应在专用条款中明确结算款的支付时限。专用条款没有约定的，结算款支付按照第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款约定办理。涉及政府投资资金的工程</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支付期、支付方法等需调整的，应在专用条款中约定。</w:t>
      </w:r>
    </w:p>
    <w:p w14:paraId="352B1AFC">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在向造价咨询人递交竣工结算文件时，根据国家、省规定的格式向造价咨询人递交由承包人代表签认的竣工结算支付申请和竣工结算款额报告一式四份，并附上完整的结算资料，详细列出下列内容，同时抄送发包人、监理人各一份。</w:t>
      </w:r>
    </w:p>
    <w:p w14:paraId="04ED548E">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）根据合同完成总承包范围内所有工作和全部工程的竣工结算总价；</w:t>
      </w:r>
    </w:p>
    <w:p w14:paraId="56F1C098">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）根据合同约定发包人应付的剩余所有款项，包括工程勘察费、工程设计费、BIM技术应用费、设备及工器具购置费（如果有）和建筑安装工程费等应付未付金额。</w:t>
      </w:r>
    </w:p>
    <w:p w14:paraId="1E2545EF">
      <w:pPr>
        <w:spacing w:line="360" w:lineRule="auto"/>
        <w:rPr>
          <w:rFonts w:ascii="仿宋" w:hAnsi="仿宋" w:eastAsia="仿宋"/>
          <w:b/>
          <w:bCs/>
          <w:color w:val="auto"/>
          <w:highlight w:val="none"/>
          <w:u w:val="single"/>
          <w:lang w:eastAsia="zh-CN"/>
        </w:rPr>
      </w:pPr>
      <w:bookmarkStart w:id="1145" w:name="_Toc25185"/>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114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31069E7">
      <w:pPr>
        <w:pStyle w:val="23"/>
        <w:widowControl w:val="0"/>
        <w:spacing w:line="360" w:lineRule="auto"/>
        <w:ind w:left="1850" w:leftChars="771"/>
        <w:jc w:val="both"/>
        <w:rPr>
          <w:rFonts w:ascii="仿宋" w:hAnsi="仿宋" w:eastAsia="仿宋"/>
          <w:color w:val="auto"/>
          <w:sz w:val="24"/>
          <w:szCs w:val="24"/>
          <w:highlight w:val="none"/>
          <w:u w:val="single"/>
          <w:lang w:eastAsia="zh-CN"/>
        </w:rPr>
      </w:pPr>
      <w:r>
        <w:rPr>
          <w:color w:val="auto"/>
          <w:highlight w:val="none"/>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15875</wp:posOffset>
                </wp:positionV>
                <wp:extent cx="842645" cy="622935"/>
                <wp:effectExtent l="0" t="0" r="0" b="0"/>
                <wp:wrapNone/>
                <wp:docPr id="395" name="00028e"/>
                <wp:cNvGraphicFramePr/>
                <a:graphic xmlns:a="http://schemas.openxmlformats.org/drawingml/2006/main">
                  <a:graphicData uri="http://schemas.microsoft.com/office/word/2010/wordprocessingShape">
                    <wps:wsp>
                      <wps:cNvSpPr txBox="1"/>
                      <wps:spPr>
                        <a:xfrm>
                          <a:off x="0" y="0"/>
                          <a:ext cx="842645" cy="622935"/>
                        </a:xfrm>
                        <a:prstGeom prst="rect">
                          <a:avLst/>
                        </a:prstGeom>
                        <a:noFill/>
                        <a:ln>
                          <a:noFill/>
                        </a:ln>
                        <a:effectLst/>
                      </wps:spPr>
                      <wps:txbx>
                        <w:txbxContent>
                          <w:p w14:paraId="07AC41D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p w14:paraId="7CA88055"/>
                        </w:txbxContent>
                      </wps:txbx>
                      <wps:bodyPr wrap="square" upright="1"/>
                    </wps:wsp>
                  </a:graphicData>
                </a:graphic>
              </wp:anchor>
            </w:drawing>
          </mc:Choice>
          <mc:Fallback>
            <w:pict>
              <v:shape id="00028e" o:spid="_x0000_s1026" o:spt="202" type="#_x0000_t202" style="position:absolute;left:0pt;margin-left:-9pt;margin-top:1.25pt;height:49.05pt;width:66.35pt;z-index:252062720;mso-width-relative:page;mso-height-relative:page;" filled="f" stroked="f" coordsize="21600,21600" o:gfxdata="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p3cc1gAAAAkB&#10;AAAPAAAAAAAAAAEAIAAAACIAAABkcnMvZG93bnJldi54bWxQSwECFAAUAAAACACHTuJAaya6QasB&#10;AABmAwAADgAAAAAAAAABACAAAAAlAQAAZHJzL2Uyb0RvYy54bWxQSwUGAAAAAAYABgBZAQAAQgUA&#10;AAAA&#10;">
                <v:fill on="f" focussize="0,0"/>
                <v:stroke on="f"/>
                <v:imagedata o:title=""/>
                <o:lock v:ext="edit" aspectratio="f"/>
                <v:textbox>
                  <w:txbxContent>
                    <w:p w14:paraId="07AC41D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p w14:paraId="7CA88055"/>
                  </w:txbxContent>
                </v:textbox>
              </v:shape>
            </w:pict>
          </mc:Fallback>
        </mc:AlternateContent>
      </w:r>
      <w:r>
        <w:rPr>
          <w:rFonts w:hint="eastAsia" w:ascii="仿宋" w:hAnsi="仿宋" w:eastAsia="仿宋" w:cs="仿宋"/>
          <w:color w:val="auto"/>
          <w:sz w:val="24"/>
          <w:szCs w:val="24"/>
          <w:highlight w:val="none"/>
          <w:lang w:eastAsia="zh-CN"/>
        </w:rPr>
        <w:t>造价咨询人在收到第89.1款所述资料后，应按照第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款约定核实竣工结算文件，并在发包人签字确认竣工结算文件后的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天内，向发包人签发竣工结算支付证书，同时抄送承包人。</w:t>
      </w:r>
    </w:p>
    <w:p w14:paraId="18F29205">
      <w:pPr>
        <w:spacing w:line="360" w:lineRule="auto"/>
        <w:rPr>
          <w:rFonts w:ascii="仿宋" w:hAnsi="仿宋" w:eastAsia="仿宋"/>
          <w:color w:val="auto"/>
          <w:highlight w:val="none"/>
          <w:lang w:eastAsia="zh-CN"/>
        </w:rPr>
      </w:pPr>
      <w:bookmarkStart w:id="1146" w:name="_Toc27666"/>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1146"/>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7F2FCA3">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5715</wp:posOffset>
                </wp:positionV>
                <wp:extent cx="832485" cy="459105"/>
                <wp:effectExtent l="0" t="0" r="0" b="0"/>
                <wp:wrapNone/>
                <wp:docPr id="396" name="00028f"/>
                <wp:cNvGraphicFramePr/>
                <a:graphic xmlns:a="http://schemas.openxmlformats.org/drawingml/2006/main">
                  <a:graphicData uri="http://schemas.microsoft.com/office/word/2010/wordprocessingShape">
                    <wps:wsp>
                      <wps:cNvSpPr txBox="1"/>
                      <wps:spPr>
                        <a:xfrm>
                          <a:off x="0" y="0"/>
                          <a:ext cx="832485" cy="459105"/>
                        </a:xfrm>
                        <a:prstGeom prst="rect">
                          <a:avLst/>
                        </a:prstGeom>
                        <a:noFill/>
                        <a:ln>
                          <a:noFill/>
                        </a:ln>
                        <a:effectLst/>
                      </wps:spPr>
                      <wps:txbx>
                        <w:txbxContent>
                          <w:p w14:paraId="5B89409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p w14:paraId="54F9B3FC"/>
                        </w:txbxContent>
                      </wps:txbx>
                      <wps:bodyPr wrap="square" upright="1"/>
                    </wps:wsp>
                  </a:graphicData>
                </a:graphic>
              </wp:anchor>
            </w:drawing>
          </mc:Choice>
          <mc:Fallback>
            <w:pict>
              <v:shape id="00028f" o:spid="_x0000_s1026" o:spt="202" type="#_x0000_t202" style="position:absolute;left:0pt;margin-left:-9pt;margin-top:0.45pt;height:36.15pt;width:65.55pt;z-index:252063744;mso-width-relative:page;mso-height-relative:page;" filled="f" stroked="f" coordsize="21600,21600" o:gfxdata="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mOngh1QAAAAcB&#10;AAAPAAAAAAAAAAEAIAAAACIAAABkcnMvZG93bnJldi54bWxQSwECFAAUAAAACACHTuJAsKEyQ6wB&#10;AABmAwAADgAAAAAAAAABACAAAAAkAQAAZHJzL2Uyb0RvYy54bWxQSwUGAAAAAAYABgBZAQAAQgUA&#10;AAAA&#10;">
                <v:fill on="f" focussize="0,0"/>
                <v:stroke on="f"/>
                <v:imagedata o:title=""/>
                <o:lock v:ext="edit" aspectratio="f"/>
                <v:textbox>
                  <w:txbxContent>
                    <w:p w14:paraId="5B89409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p w14:paraId="54F9B3FC"/>
                  </w:txbxContent>
                </v:textbox>
              </v:shape>
            </w:pict>
          </mc:Fallback>
        </mc:AlternateContent>
      </w:r>
      <w:r>
        <w:rPr>
          <w:rFonts w:hint="eastAsia" w:ascii="仿宋" w:hAnsi="仿宋" w:eastAsia="仿宋" w:cs="仿宋"/>
          <w:color w:val="auto"/>
          <w:sz w:val="24"/>
          <w:szCs w:val="24"/>
          <w:highlight w:val="none"/>
          <w:lang w:eastAsia="zh-CN"/>
        </w:rPr>
        <w:t>发包人应在造价咨询人签发竣工结算支付证书后的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天内，按照竣工结算支付证书列明的金额向承包人支付结算款，并通知造价咨询人。</w:t>
      </w:r>
    </w:p>
    <w:p w14:paraId="625BE379">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5B7D2558">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4768" behindDoc="0" locked="0" layoutInCell="1" allowOverlap="1">
                <wp:simplePos x="0" y="0"/>
                <wp:positionH relativeFrom="column">
                  <wp:posOffset>-66675</wp:posOffset>
                </wp:positionH>
                <wp:positionV relativeFrom="paragraph">
                  <wp:posOffset>12065</wp:posOffset>
                </wp:positionV>
                <wp:extent cx="764540" cy="579120"/>
                <wp:effectExtent l="0" t="0" r="0" b="0"/>
                <wp:wrapNone/>
                <wp:docPr id="397" name="000290"/>
                <wp:cNvGraphicFramePr/>
                <a:graphic xmlns:a="http://schemas.openxmlformats.org/drawingml/2006/main">
                  <a:graphicData uri="http://schemas.microsoft.com/office/word/2010/wordprocessingShape">
                    <wps:wsp>
                      <wps:cNvSpPr txBox="1"/>
                      <wps:spPr>
                        <a:xfrm>
                          <a:off x="0" y="0"/>
                          <a:ext cx="764540" cy="579120"/>
                        </a:xfrm>
                        <a:prstGeom prst="rect">
                          <a:avLst/>
                        </a:prstGeom>
                        <a:noFill/>
                        <a:ln>
                          <a:noFill/>
                        </a:ln>
                        <a:effectLst/>
                      </wps:spPr>
                      <wps:txbx>
                        <w:txbxContent>
                          <w:p w14:paraId="14A26B7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p w14:paraId="6F826E8D">
                            <w:pPr>
                              <w:rPr>
                                <w:lang w:eastAsia="zh-CN"/>
                              </w:rPr>
                            </w:pPr>
                          </w:p>
                        </w:txbxContent>
                      </wps:txbx>
                      <wps:bodyPr wrap="square" upright="1"/>
                    </wps:wsp>
                  </a:graphicData>
                </a:graphic>
              </wp:anchor>
            </w:drawing>
          </mc:Choice>
          <mc:Fallback>
            <w:pict>
              <v:shape id="000290" o:spid="_x0000_s1026" o:spt="202" type="#_x0000_t202" style="position:absolute;left:0pt;margin-left:-5.25pt;margin-top:0.95pt;height:45.6pt;width:60.2pt;z-index:252064768;mso-width-relative:page;mso-height-relative:page;" filled="f" stroked="f" coordsize="21600,21600" o:gfxdata="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0acrr9QAAAAIAQAA&#10;DwAAAAAAAAABACAAAAAiAAAAZHJzL2Rvd25yZXYueG1sUEsBAhQAFAAAAAgAh07iQJu2egWrAQAA&#10;ZgMAAA4AAAAAAAAAAQAgAAAAIwEAAGRycy9lMm9Eb2MueG1sUEsFBgAAAAAGAAYAWQEAAEAFAAAA&#10;AA==&#10;">
                <v:fill on="f" focussize="0,0"/>
                <v:stroke on="f"/>
                <v:imagedata o:title=""/>
                <o:lock v:ext="edit" aspectratio="f"/>
                <v:textbox>
                  <w:txbxContent>
                    <w:p w14:paraId="14A26B7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p w14:paraId="6F826E8D">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如果造价咨询人未在第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款约定的期限内签发竣工结算支付证书的，则视为承包人提交的竣工支付申请已被认可，承包人应及时向发包人发出要求支付竣工结算款的通知。发包人应在收到通知后的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天内，按照承包人支付申请列明的金额向承包人支付竣工结算款。</w:t>
      </w:r>
    </w:p>
    <w:p w14:paraId="2852B69A">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593106F5">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58420</wp:posOffset>
                </wp:positionV>
                <wp:extent cx="756920" cy="580390"/>
                <wp:effectExtent l="0" t="0" r="0" b="0"/>
                <wp:wrapNone/>
                <wp:docPr id="398" name="000291"/>
                <wp:cNvGraphicFramePr/>
                <a:graphic xmlns:a="http://schemas.openxmlformats.org/drawingml/2006/main">
                  <a:graphicData uri="http://schemas.microsoft.com/office/word/2010/wordprocessingShape">
                    <wps:wsp>
                      <wps:cNvSpPr txBox="1"/>
                      <wps:spPr>
                        <a:xfrm>
                          <a:off x="0" y="0"/>
                          <a:ext cx="756920" cy="580390"/>
                        </a:xfrm>
                        <a:prstGeom prst="rect">
                          <a:avLst/>
                        </a:prstGeom>
                        <a:noFill/>
                        <a:ln>
                          <a:noFill/>
                        </a:ln>
                        <a:effectLst/>
                      </wps:spPr>
                      <wps:txbx>
                        <w:txbxContent>
                          <w:p w14:paraId="70D3A94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p w14:paraId="22C511D3"/>
                        </w:txbxContent>
                      </wps:txbx>
                      <wps:bodyPr wrap="square" upright="1"/>
                    </wps:wsp>
                  </a:graphicData>
                </a:graphic>
              </wp:anchor>
            </w:drawing>
          </mc:Choice>
          <mc:Fallback>
            <w:pict>
              <v:shape id="000291" o:spid="_x0000_s1026" o:spt="202" type="#_x0000_t202" style="position:absolute;left:0pt;margin-left:-9pt;margin-top:4.6pt;height:45.7pt;width:59.6pt;z-index:252065792;mso-width-relative:page;mso-height-relative:page;" filled="f" stroked="f" coordsize="21600,21600" o:gfxdata="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5Zafd1QAAAAkB&#10;AAAPAAAAAAAAAAEAIAAAACIAAABkcnMvZG93bnJldi54bWxQSwECFAAUAAAACACHTuJAQvxsKqwB&#10;AABmAwAADgAAAAAAAAABACAAAAAkAQAAZHJzL2Uyb0RvYy54bWxQSwUGAAAAAAYABgBZAQAAQgUA&#10;AAAA&#10;">
                <v:fill on="f" focussize="0,0"/>
                <v:stroke on="f"/>
                <v:imagedata o:title=""/>
                <o:lock v:ext="edit" aspectratio="f"/>
                <v:textbox>
                  <w:txbxContent>
                    <w:p w14:paraId="70D3A94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p w14:paraId="22C511D3"/>
                  </w:txbxContent>
                </v:textbox>
              </v:shape>
            </w:pict>
          </mc:Fallback>
        </mc:AlternateContent>
      </w:r>
      <w:r>
        <w:rPr>
          <w:rFonts w:hint="eastAsia" w:ascii="仿宋" w:hAnsi="仿宋" w:eastAsia="仿宋" w:cs="仿宋"/>
          <w:color w:val="auto"/>
          <w:sz w:val="24"/>
          <w:szCs w:val="24"/>
          <w:highlight w:val="none"/>
          <w:lang w:eastAsia="zh-CN"/>
        </w:rPr>
        <w:t>发包人未按照第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款约定支付竣工结算款的，承包人可催告发包人支付竣工结算款，如双方达成延期支付协议，承包人有权按照第83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w:t>
      </w:r>
    </w:p>
    <w:p w14:paraId="357C4D59">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发包人在收到竣工结算支付证书后的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528D5D34">
      <w:pPr>
        <w:pStyle w:val="23"/>
        <w:spacing w:line="360" w:lineRule="auto"/>
        <w:rPr>
          <w:rFonts w:hint="eastAsia"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766E3B10">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1147" w:name="_Toc4279"/>
      <w:bookmarkStart w:id="1148" w:name="_Toc12354"/>
      <w:bookmarkStart w:id="1149" w:name="_Toc28760"/>
      <w:bookmarkStart w:id="1150" w:name="_Toc47694365"/>
      <w:bookmarkStart w:id="1151" w:name="_Toc21145"/>
      <w:bookmarkStart w:id="1152" w:name="_Toc2479"/>
      <w:bookmarkStart w:id="1153" w:name="_Toc5856"/>
      <w:bookmarkStart w:id="1154" w:name="_Toc8010"/>
      <w:r>
        <w:rPr>
          <w:rFonts w:hint="eastAsia" w:ascii="仿宋" w:hAnsi="仿宋" w:eastAsia="仿宋" w:cs="仿宋"/>
          <w:bCs w:val="0"/>
          <w:color w:val="auto"/>
          <w:sz w:val="24"/>
          <w:szCs w:val="24"/>
          <w:highlight w:val="none"/>
          <w:lang w:eastAsia="zh-CN"/>
        </w:rPr>
        <w:t>★89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质量保证金</w:t>
      </w:r>
      <w:bookmarkEnd w:id="1147"/>
      <w:bookmarkEnd w:id="1148"/>
      <w:bookmarkEnd w:id="1149"/>
      <w:bookmarkEnd w:id="1150"/>
      <w:bookmarkEnd w:id="1151"/>
      <w:bookmarkEnd w:id="1152"/>
      <w:bookmarkEnd w:id="1153"/>
      <w:bookmarkEnd w:id="1154"/>
    </w:p>
    <w:p w14:paraId="56B80AC1">
      <w:pPr>
        <w:rPr>
          <w:rFonts w:ascii="仿宋" w:hAnsi="仿宋" w:eastAsia="仿宋" w:cs="仿宋"/>
          <w:b/>
          <w:bCs/>
          <w:color w:val="auto"/>
          <w:highlight w:val="none"/>
          <w:lang w:eastAsia="zh-CN"/>
        </w:rPr>
      </w:pPr>
      <w:bookmarkStart w:id="1155" w:name="_Toc32434"/>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.1</w:t>
      </w:r>
      <w:bookmarkEnd w:id="1155"/>
    </w:p>
    <w:p w14:paraId="0BE910F2">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8255</wp:posOffset>
                </wp:positionV>
                <wp:extent cx="756920" cy="610235"/>
                <wp:effectExtent l="0" t="0" r="0" b="0"/>
                <wp:wrapNone/>
                <wp:docPr id="399" name="000292"/>
                <wp:cNvGraphicFramePr/>
                <a:graphic xmlns:a="http://schemas.openxmlformats.org/drawingml/2006/main">
                  <a:graphicData uri="http://schemas.microsoft.com/office/word/2010/wordprocessingShape">
                    <wps:wsp>
                      <wps:cNvSpPr txBox="1"/>
                      <wps:spPr>
                        <a:xfrm>
                          <a:off x="0" y="0"/>
                          <a:ext cx="756920" cy="610235"/>
                        </a:xfrm>
                        <a:prstGeom prst="rect">
                          <a:avLst/>
                        </a:prstGeom>
                        <a:noFill/>
                        <a:ln>
                          <a:noFill/>
                        </a:ln>
                        <a:effectLst/>
                      </wps:spPr>
                      <wps:txbx>
                        <w:txbxContent>
                          <w:p w14:paraId="386455AA">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p w14:paraId="5AACF05E">
                            <w:pPr>
                              <w:rPr>
                                <w:lang w:eastAsia="zh-CN"/>
                              </w:rPr>
                            </w:pPr>
                          </w:p>
                        </w:txbxContent>
                      </wps:txbx>
                      <wps:bodyPr wrap="square" upright="1"/>
                    </wps:wsp>
                  </a:graphicData>
                </a:graphic>
              </wp:anchor>
            </w:drawing>
          </mc:Choice>
          <mc:Fallback>
            <w:pict>
              <v:shape id="000292" o:spid="_x0000_s1026" o:spt="202" type="#_x0000_t202" style="position:absolute;left:0pt;margin-left:-9pt;margin-top:0.65pt;height:48.05pt;width:59.6pt;z-index:252066816;mso-width-relative:page;mso-height-relative:page;" filled="f" stroked="f" coordsize="21600,21600" o:gfxdata="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RItgo1gAAAAgB&#10;AAAPAAAAAAAAAAEAIAAAACIAAABkcnMvZG93bnJldi54bWxQSwECFAAUAAAACACHTuJAj6AFjqsB&#10;AABmAwAADgAAAAAAAAABACAAAAAlAQAAZHJzL2Uyb0RvYy54bWxQSwUGAAAAAAYABgBZAQAAQgUA&#10;AAAA&#10;">
                <v:fill on="f" focussize="0,0"/>
                <v:stroke on="f"/>
                <v:imagedata o:title=""/>
                <o:lock v:ext="edit" aspectratio="f"/>
                <v:textbox>
                  <w:txbxContent>
                    <w:p w14:paraId="386455AA">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p w14:paraId="5AACF05E">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质量保证金用于承包人对合同工程质量的担保。承包人未按照法律有关规定和合同约定履行质量保修义务的，发包人有权从质量保证金中扣留用于质量保修的各项支出。</w:t>
      </w:r>
    </w:p>
    <w:p w14:paraId="23BC6260">
      <w:pPr>
        <w:spacing w:line="360" w:lineRule="auto"/>
        <w:rPr>
          <w:rFonts w:ascii="仿宋" w:hAnsi="仿宋" w:eastAsia="仿宋"/>
          <w:b/>
          <w:bCs/>
          <w:color w:val="auto"/>
          <w:highlight w:val="none"/>
          <w:lang w:eastAsia="zh-CN"/>
        </w:rPr>
      </w:pPr>
      <w:bookmarkStart w:id="1156" w:name="_Toc3328"/>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.2</w:t>
      </w:r>
      <w:bookmarkEnd w:id="115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AA66628">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2067840" behindDoc="0" locked="0" layoutInCell="1" allowOverlap="1">
                <wp:simplePos x="0" y="0"/>
                <wp:positionH relativeFrom="column">
                  <wp:posOffset>-66675</wp:posOffset>
                </wp:positionH>
                <wp:positionV relativeFrom="paragraph">
                  <wp:posOffset>8255</wp:posOffset>
                </wp:positionV>
                <wp:extent cx="804545" cy="612140"/>
                <wp:effectExtent l="0" t="0" r="0" b="0"/>
                <wp:wrapNone/>
                <wp:docPr id="400" name="000293"/>
                <wp:cNvGraphicFramePr/>
                <a:graphic xmlns:a="http://schemas.openxmlformats.org/drawingml/2006/main">
                  <a:graphicData uri="http://schemas.microsoft.com/office/word/2010/wordprocessingShape">
                    <wps:wsp>
                      <wps:cNvSpPr txBox="1"/>
                      <wps:spPr>
                        <a:xfrm>
                          <a:off x="0" y="0"/>
                          <a:ext cx="804545" cy="612140"/>
                        </a:xfrm>
                        <a:prstGeom prst="rect">
                          <a:avLst/>
                        </a:prstGeom>
                        <a:noFill/>
                        <a:ln>
                          <a:noFill/>
                        </a:ln>
                        <a:effectLst/>
                      </wps:spPr>
                      <wps:txbx>
                        <w:txbxContent>
                          <w:p w14:paraId="4C3C12BE">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p w14:paraId="653F4B1B">
                            <w:pPr>
                              <w:rPr>
                                <w:lang w:eastAsia="zh-CN"/>
                              </w:rPr>
                            </w:pPr>
                          </w:p>
                        </w:txbxContent>
                      </wps:txbx>
                      <wps:bodyPr wrap="square" upright="1"/>
                    </wps:wsp>
                  </a:graphicData>
                </a:graphic>
              </wp:anchor>
            </w:drawing>
          </mc:Choice>
          <mc:Fallback>
            <w:pict>
              <v:shape id="000293" o:spid="_x0000_s1026" o:spt="202" type="#_x0000_t202" style="position:absolute;left:0pt;margin-left:-5.25pt;margin-top:0.65pt;height:48.2pt;width:63.35pt;z-index:252067840;mso-width-relative:page;mso-height-relative:page;" filled="f" stroked="f" coordsize="21600,21600" o:gfxdata="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GCd5tYAAAAI&#10;AQAADwAAAAAAAAABACAAAAAiAAAAZHJzL2Rvd25yZXYueG1sUEsBAhQAFAAAAAgAh07iQGrSNF+s&#10;AQAAZgMAAA4AAAAAAAAAAQAgAAAAJQEAAGRycy9lMm9Eb2MueG1sUEsFBgAAAAAGAAYAWQEAAEMF&#10;AAAAAA==&#10;">
                <v:fill on="f" focussize="0,0"/>
                <v:stroke on="f"/>
                <v:imagedata o:title=""/>
                <o:lock v:ext="edit" aspectratio="f"/>
                <v:textbox>
                  <w:txbxContent>
                    <w:p w14:paraId="4C3C12BE">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p w14:paraId="653F4B1B">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89.2.1质量保证金预留方式</w:t>
      </w:r>
    </w:p>
    <w:p w14:paraId="7C2A3197">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除专用合同条款另有约定外，质量保证金的预留方式原则上采用银行保函、担保、保险等方式。</w:t>
      </w:r>
    </w:p>
    <w:p w14:paraId="79786E5B">
      <w:pPr>
        <w:pStyle w:val="23"/>
        <w:widowControl w:val="0"/>
        <w:spacing w:line="360" w:lineRule="auto"/>
        <w:ind w:left="1850" w:leftChars="771"/>
        <w:jc w:val="both"/>
        <w:rPr>
          <w:rFonts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89.2.2质量保证金预留比例</w:t>
      </w:r>
    </w:p>
    <w:p w14:paraId="7C85BC84">
      <w:pPr>
        <w:pStyle w:val="23"/>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highlight w:val="none"/>
          <w:lang w:eastAsia="zh-CN"/>
        </w:rPr>
        <w:t>发包人累计预留的质量保证金不得超过合同价格中建筑安装工程费、设备及工器具购置费（如果有）部分结算总额的3％。如承包人在发包人签发竣工付款证书后28天内提交质量保证金保函、担保或保险，发包人应同时退还扣留的作为质量保证金的工程价款；保函、担保或保险金额不得超过合同价格中建筑安装工程费、设备及工器具购置费（如果有）部分结算总额的3%。</w:t>
      </w:r>
    </w:p>
    <w:p w14:paraId="4330B9C3">
      <w:pPr>
        <w:spacing w:line="360" w:lineRule="auto"/>
        <w:rPr>
          <w:rFonts w:ascii="仿宋" w:hAnsi="仿宋" w:eastAsia="仿宋"/>
          <w:b/>
          <w:bCs/>
          <w:color w:val="auto"/>
          <w:highlight w:val="none"/>
          <w:lang w:eastAsia="zh-CN"/>
        </w:rPr>
      </w:pPr>
      <w:bookmarkStart w:id="1157" w:name="_Toc8069"/>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.3</w:t>
      </w:r>
      <w:bookmarkEnd w:id="115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F1BD665">
      <w:pPr>
        <w:pStyle w:val="23"/>
        <w:widowControl w:val="0"/>
        <w:spacing w:line="360" w:lineRule="auto"/>
        <w:ind w:left="1850" w:leftChars="771"/>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45720</wp:posOffset>
                </wp:positionV>
                <wp:extent cx="765810" cy="624205"/>
                <wp:effectExtent l="0" t="0" r="0" b="0"/>
                <wp:wrapNone/>
                <wp:docPr id="401" name="000294"/>
                <wp:cNvGraphicFramePr/>
                <a:graphic xmlns:a="http://schemas.openxmlformats.org/drawingml/2006/main">
                  <a:graphicData uri="http://schemas.microsoft.com/office/word/2010/wordprocessingShape">
                    <wps:wsp>
                      <wps:cNvSpPr txBox="1"/>
                      <wps:spPr>
                        <a:xfrm>
                          <a:off x="0" y="0"/>
                          <a:ext cx="765810" cy="624205"/>
                        </a:xfrm>
                        <a:prstGeom prst="rect">
                          <a:avLst/>
                        </a:prstGeom>
                        <a:noFill/>
                        <a:ln>
                          <a:noFill/>
                        </a:ln>
                        <a:effectLst/>
                      </wps:spPr>
                      <wps:txbx>
                        <w:txbxContent>
                          <w:p w14:paraId="3A450CC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p w14:paraId="1A5B1ADD"/>
                        </w:txbxContent>
                      </wps:txbx>
                      <wps:bodyPr wrap="square" upright="1"/>
                    </wps:wsp>
                  </a:graphicData>
                </a:graphic>
              </wp:anchor>
            </w:drawing>
          </mc:Choice>
          <mc:Fallback>
            <w:pict>
              <v:shape id="000294" o:spid="_x0000_s1026" o:spt="202" type="#_x0000_t202" style="position:absolute;left:0pt;margin-left:-9pt;margin-top:3.6pt;height:49.15pt;width:60.3pt;z-index:252068864;mso-width-relative:page;mso-height-relative:page;" filled="f" stroked="f" coordsize="21600,21600" o:gfxdata="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PVhXa1gAAAAkB&#10;AAAPAAAAAAAAAAEAIAAAACIAAABkcnMvZG93bnJldi54bWxQSwECFAAUAAAACACHTuJAKE2WlqsB&#10;AABmAwAADgAAAAAAAAABACAAAAAlAQAAZHJzL2Uyb0RvYy54bWxQSwUGAAAAAAYABgBZAQAAQgUA&#10;AAAA&#10;">
                <v:fill on="f" focussize="0,0"/>
                <v:stroke on="f"/>
                <v:imagedata o:title=""/>
                <o:lock v:ext="edit" aspectratio="f"/>
                <v:textbox>
                  <w:txbxContent>
                    <w:p w14:paraId="3A450CC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p w14:paraId="1A5B1ADD"/>
                  </w:txbxContent>
                </v:textbox>
              </v:shape>
            </w:pict>
          </mc:Fallback>
        </mc:AlternateContent>
      </w:r>
      <w:r>
        <w:rPr>
          <w:rFonts w:hint="eastAsia" w:ascii="仿宋" w:hAnsi="仿宋" w:eastAsia="仿宋" w:cs="仿宋"/>
          <w:color w:val="auto"/>
          <w:sz w:val="24"/>
          <w:szCs w:val="24"/>
          <w:highlight w:val="none"/>
          <w:lang w:eastAsia="zh-CN"/>
        </w:rPr>
        <w:t>缺陷责任期（包括第67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款延长的期限）满时，承包人应向发包人申请到期应返还的剩余质量保证金金额。发包人如无异议，应在缺陷责任期满后的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将剩余的质量保证金返还给承包人。逾期返还的，除专用条款另有约定外，从逾期之日起，按照全国银行间同业拆借中心公布的贷款市场报价利率（LPR）计付利息，并承担违约责任。剩余质量保证金的返还，并不能免除承包人按照合同约定应承担的质量保修责任和应履行的质量保修义务。</w:t>
      </w:r>
    </w:p>
    <w:p w14:paraId="294FCF06">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68BE6EE5">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45720</wp:posOffset>
                </wp:positionV>
                <wp:extent cx="775970" cy="548640"/>
                <wp:effectExtent l="0" t="0" r="0" b="0"/>
                <wp:wrapNone/>
                <wp:docPr id="402" name="000295"/>
                <wp:cNvGraphicFramePr/>
                <a:graphic xmlns:a="http://schemas.openxmlformats.org/drawingml/2006/main">
                  <a:graphicData uri="http://schemas.microsoft.com/office/word/2010/wordprocessingShape">
                    <wps:wsp>
                      <wps:cNvSpPr txBox="1"/>
                      <wps:spPr>
                        <a:xfrm>
                          <a:off x="0" y="0"/>
                          <a:ext cx="775970" cy="548640"/>
                        </a:xfrm>
                        <a:prstGeom prst="rect">
                          <a:avLst/>
                        </a:prstGeom>
                        <a:noFill/>
                        <a:ln>
                          <a:noFill/>
                        </a:ln>
                        <a:effectLst/>
                      </wps:spPr>
                      <wps:txbx>
                        <w:txbxContent>
                          <w:p w14:paraId="7B35321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p w14:paraId="537C9DCB"/>
                        </w:txbxContent>
                      </wps:txbx>
                      <wps:bodyPr wrap="square" upright="1"/>
                    </wps:wsp>
                  </a:graphicData>
                </a:graphic>
              </wp:anchor>
            </w:drawing>
          </mc:Choice>
          <mc:Fallback>
            <w:pict>
              <v:shape id="000295" o:spid="_x0000_s1026" o:spt="202" type="#_x0000_t202" style="position:absolute;left:0pt;margin-left:-9pt;margin-top:3.6pt;height:43.2pt;width:61.1pt;z-index:252069888;mso-width-relative:page;mso-height-relative:page;" filled="f" stroked="f" coordsize="21600,21600" o:gfxdata="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VsUTTWAAAA&#10;CAEAAA8AAAAAAAAAAQAgAAAAIgAAAGRycy9kb3ducmV2LnhtbFBLAQIUABQAAAAIAIdO4kD1i4yf&#10;rQEAAGYDAAAOAAAAAAAAAAEAIAAAACUBAABkcnMvZTJvRG9jLnhtbFBLBQYAAAAABgAGAFkBAABE&#10;BQAAAAA=&#10;">
                <v:fill on="f" focussize="0,0"/>
                <v:stroke on="f"/>
                <v:imagedata o:title=""/>
                <o:lock v:ext="edit" aspectratio="f"/>
                <v:textbox>
                  <w:txbxContent>
                    <w:p w14:paraId="7B35321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p w14:paraId="537C9DCB"/>
                  </w:txbxContent>
                </v:textbox>
              </v:shape>
            </w:pict>
          </mc:Fallback>
        </mc:AlternateContent>
      </w:r>
      <w:r>
        <w:rPr>
          <w:rFonts w:hint="eastAsia" w:ascii="仿宋" w:hAnsi="仿宋" w:eastAsia="仿宋" w:cs="仿宋"/>
          <w:color w:val="auto"/>
          <w:sz w:val="24"/>
          <w:szCs w:val="24"/>
          <w:highlight w:val="none"/>
          <w:lang w:eastAsia="zh-CN"/>
        </w:rPr>
        <w:t>缺陷责任期（包括第66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款延长的期限）届满时，承包人没有全面</w:t>
      </w:r>
      <w:r>
        <w:rPr>
          <w:rFonts w:ascii="仿宋" w:hAnsi="仿宋" w:eastAsia="仿宋" w:cs="仿宋"/>
          <w:color w:val="auto"/>
          <w:sz w:val="24"/>
          <w:szCs w:val="24"/>
          <w:highlight w:val="none"/>
          <w:lang w:eastAsia="zh-CN"/>
        </w:rPr>
        <w:t>履行</w:t>
      </w:r>
      <w:r>
        <w:rPr>
          <w:rFonts w:hint="eastAsia" w:ascii="仿宋" w:hAnsi="仿宋" w:eastAsia="仿宋" w:cs="仿宋"/>
          <w:color w:val="auto"/>
          <w:sz w:val="24"/>
          <w:szCs w:val="24"/>
          <w:highlight w:val="none"/>
          <w:lang w:eastAsia="zh-CN"/>
        </w:rPr>
        <w:t>缺陷修复责任的，发包人有权扣留承包人未履行</w:t>
      </w:r>
      <w:r>
        <w:rPr>
          <w:rFonts w:ascii="仿宋" w:hAnsi="仿宋" w:eastAsia="仿宋" w:cs="仿宋"/>
          <w:color w:val="auto"/>
          <w:sz w:val="24"/>
          <w:szCs w:val="24"/>
          <w:highlight w:val="none"/>
          <w:lang w:eastAsia="zh-CN"/>
        </w:rPr>
        <w:t>部分相应质量保证金</w:t>
      </w:r>
      <w:r>
        <w:rPr>
          <w:rFonts w:hint="eastAsia" w:ascii="仿宋" w:hAnsi="仿宋" w:eastAsia="仿宋" w:cs="仿宋"/>
          <w:color w:val="auto"/>
          <w:sz w:val="24"/>
          <w:szCs w:val="24"/>
          <w:highlight w:val="none"/>
          <w:lang w:eastAsia="zh-CN"/>
        </w:rPr>
        <w:t>，并有权根据第66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款约定要求延长缺陷责任期，直到完成剩余工作为止。</w:t>
      </w:r>
    </w:p>
    <w:p w14:paraId="61067F21">
      <w:pPr>
        <w:pStyle w:val="23"/>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53A70F08">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1158" w:name="_Toc12910"/>
      <w:bookmarkStart w:id="1159" w:name="_Toc2601"/>
      <w:bookmarkStart w:id="1160" w:name="_Toc47694366"/>
      <w:bookmarkStart w:id="1161" w:name="_Toc28812"/>
      <w:bookmarkStart w:id="1162" w:name="_Toc13451"/>
      <w:bookmarkStart w:id="1163" w:name="_Toc8072"/>
      <w:bookmarkStart w:id="1164" w:name="_Toc31867"/>
      <w:bookmarkStart w:id="1165" w:name="_Toc24899"/>
      <w:r>
        <w:rPr>
          <w:rFonts w:hint="eastAsia" w:ascii="仿宋" w:hAnsi="仿宋" w:eastAsia="仿宋" w:cs="仿宋"/>
          <w:bCs w:val="0"/>
          <w:color w:val="auto"/>
          <w:sz w:val="24"/>
          <w:szCs w:val="24"/>
          <w:highlight w:val="none"/>
          <w:lang w:eastAsia="zh-CN"/>
        </w:rPr>
        <w:t>90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最终清算款</w:t>
      </w:r>
      <w:bookmarkEnd w:id="1158"/>
      <w:bookmarkEnd w:id="1159"/>
      <w:bookmarkEnd w:id="1160"/>
      <w:bookmarkEnd w:id="1161"/>
      <w:bookmarkEnd w:id="1162"/>
      <w:bookmarkEnd w:id="1163"/>
      <w:bookmarkEnd w:id="1164"/>
      <w:bookmarkEnd w:id="1165"/>
    </w:p>
    <w:p w14:paraId="781CC522">
      <w:pPr>
        <w:rPr>
          <w:rFonts w:ascii="仿宋" w:hAnsi="仿宋" w:eastAsia="仿宋" w:cs="仿宋"/>
          <w:b/>
          <w:bCs/>
          <w:color w:val="auto"/>
          <w:highlight w:val="none"/>
          <w:lang w:eastAsia="zh-CN"/>
        </w:rPr>
      </w:pPr>
      <w:bookmarkStart w:id="1166" w:name="_Toc28312"/>
      <w:r>
        <w:rPr>
          <w:rFonts w:hint="eastAsia" w:ascii="仿宋" w:hAnsi="仿宋" w:eastAsia="仿宋" w:cs="仿宋"/>
          <w:b/>
          <w:bCs/>
          <w:color w:val="auto"/>
          <w:highlight w:val="none"/>
          <w:lang w:eastAsia="zh-CN"/>
        </w:rPr>
        <w:t>90</w:t>
      </w:r>
      <w:r>
        <w:rPr>
          <w:rFonts w:ascii="仿宋" w:hAnsi="仿宋" w:eastAsia="仿宋" w:cs="仿宋"/>
          <w:b/>
          <w:bCs/>
          <w:color w:val="auto"/>
          <w:highlight w:val="none"/>
          <w:lang w:eastAsia="zh-CN"/>
        </w:rPr>
        <w:t>.1</w:t>
      </w:r>
      <w:bookmarkEnd w:id="1166"/>
    </w:p>
    <w:p w14:paraId="63FB11DA">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74295</wp:posOffset>
                </wp:positionV>
                <wp:extent cx="756920" cy="659130"/>
                <wp:effectExtent l="0" t="0" r="0" b="0"/>
                <wp:wrapNone/>
                <wp:docPr id="403" name="000296"/>
                <wp:cNvGraphicFramePr/>
                <a:graphic xmlns:a="http://schemas.openxmlformats.org/drawingml/2006/main">
                  <a:graphicData uri="http://schemas.microsoft.com/office/word/2010/wordprocessingShape">
                    <wps:wsp>
                      <wps:cNvSpPr txBox="1"/>
                      <wps:spPr>
                        <a:xfrm>
                          <a:off x="0" y="0"/>
                          <a:ext cx="756920" cy="659130"/>
                        </a:xfrm>
                        <a:prstGeom prst="rect">
                          <a:avLst/>
                        </a:prstGeom>
                        <a:noFill/>
                        <a:ln>
                          <a:noFill/>
                        </a:ln>
                        <a:effectLst/>
                      </wps:spPr>
                      <wps:txbx>
                        <w:txbxContent>
                          <w:p w14:paraId="2B58AE1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p w14:paraId="4DD58910"/>
                        </w:txbxContent>
                      </wps:txbx>
                      <wps:bodyPr wrap="square" upright="1"/>
                    </wps:wsp>
                  </a:graphicData>
                </a:graphic>
              </wp:anchor>
            </w:drawing>
          </mc:Choice>
          <mc:Fallback>
            <w:pict>
              <v:shape id="000296" o:spid="_x0000_s1026" o:spt="202" type="#_x0000_t202" style="position:absolute;left:0pt;margin-left:-9pt;margin-top:5.85pt;height:51.9pt;width:59.6pt;z-index:252070912;mso-width-relative:page;mso-height-relative:page;" filled="f" stroked="f" coordsize="21600,21600" o:gfxdata="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HfyPPWAAAA&#10;CgEAAA8AAAAAAAAAAQAgAAAAIgAAAGRycy9kb3ducmV2LnhtbFBLAQIUABQAAAAIAIdO4kAIZqa9&#10;rQEAAGYDAAAOAAAAAAAAAAEAIAAAACUBAABkcnMvZTJvRG9jLnhtbFBLBQYAAAAABgAGAFkBAABE&#10;BQAAAAA=&#10;">
                <v:fill on="f" focussize="0,0"/>
                <v:stroke on="f"/>
                <v:imagedata o:title=""/>
                <o:lock v:ext="edit" aspectratio="f"/>
                <v:textbox>
                  <w:txbxContent>
                    <w:p w14:paraId="2B58AE1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p w14:paraId="4DD58910"/>
                  </w:txbxContent>
                </v:textbox>
              </v:shape>
            </w:pict>
          </mc:Fallback>
        </mc:AlternateContent>
      </w:r>
      <w:r>
        <w:rPr>
          <w:rFonts w:hint="eastAsia" w:ascii="仿宋" w:hAnsi="仿宋" w:eastAsia="仿宋" w:cs="仿宋"/>
          <w:color w:val="auto"/>
          <w:highlight w:val="none"/>
          <w:lang w:eastAsia="zh-CN"/>
        </w:rPr>
        <w:t>合同双方当事人应在专用条款中明确最终清算款的支付时限。专用条款没有约定的</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最终清算款按照第90</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款至第90</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款约定办理。涉及政府投资资金的工程，支付期、支付方法等需调整的，应在专用条款中约定。</w:t>
      </w:r>
    </w:p>
    <w:p w14:paraId="0B66D77A">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缺陷责任期终止证书签发后，承包人应按照专用条款约定的份数和期限向造价咨询人提交最终清算支付申请，并提供相关证明材料。发包人对最终清算支付申请有异议的，有权要求承包人进一步修正和提供补充资料。承包人修正后，应再次向造价咨询人提交修正后的最终清算支付申请。</w:t>
      </w:r>
    </w:p>
    <w:p w14:paraId="0F2087E1">
      <w:pPr>
        <w:pStyle w:val="23"/>
        <w:tabs>
          <w:tab w:val="left" w:pos="900"/>
        </w:tabs>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.2</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4FD5B934">
      <w:pPr>
        <w:pStyle w:val="23"/>
        <w:widowControl w:val="0"/>
        <w:spacing w:line="360" w:lineRule="auto"/>
        <w:ind w:left="1850" w:leftChars="771"/>
        <w:jc w:val="both"/>
        <w:rPr>
          <w:rFonts w:ascii="仿宋" w:hAnsi="仿宋" w:eastAsia="仿宋"/>
          <w:color w:val="auto"/>
          <w:sz w:val="24"/>
          <w:szCs w:val="24"/>
          <w:highlight w:val="none"/>
          <w:u w:val="single"/>
          <w:lang w:eastAsia="zh-CN"/>
        </w:rPr>
      </w:pPr>
      <w:r>
        <w:rPr>
          <w:color w:val="auto"/>
          <w:highlight w:val="none"/>
        </w:rP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8890</wp:posOffset>
                </wp:positionV>
                <wp:extent cx="762635" cy="577215"/>
                <wp:effectExtent l="0" t="0" r="0" b="0"/>
                <wp:wrapNone/>
                <wp:docPr id="404" name="000297"/>
                <wp:cNvGraphicFramePr/>
                <a:graphic xmlns:a="http://schemas.openxmlformats.org/drawingml/2006/main">
                  <a:graphicData uri="http://schemas.microsoft.com/office/word/2010/wordprocessingShape">
                    <wps:wsp>
                      <wps:cNvSpPr txBox="1"/>
                      <wps:spPr>
                        <a:xfrm>
                          <a:off x="0" y="0"/>
                          <a:ext cx="762635" cy="577215"/>
                        </a:xfrm>
                        <a:prstGeom prst="rect">
                          <a:avLst/>
                        </a:prstGeom>
                        <a:noFill/>
                        <a:ln>
                          <a:noFill/>
                        </a:ln>
                        <a:effectLst/>
                      </wps:spPr>
                      <wps:txbx>
                        <w:txbxContent>
                          <w:p w14:paraId="5CEBBA68">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p w14:paraId="17BE4901"/>
                        </w:txbxContent>
                      </wps:txbx>
                      <wps:bodyPr wrap="square" upright="1"/>
                    </wps:wsp>
                  </a:graphicData>
                </a:graphic>
              </wp:anchor>
            </w:drawing>
          </mc:Choice>
          <mc:Fallback>
            <w:pict>
              <v:shape id="000297" o:spid="_x0000_s1026" o:spt="202" type="#_x0000_t202" style="position:absolute;left:0pt;margin-left:-9pt;margin-top:0.7pt;height:45.45pt;width:60.05pt;z-index:252071936;mso-width-relative:page;mso-height-relative:page;" filled="f" stroked="f" coordsize="21600,21600" o:gfxdata="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IcJak1QAAAAgB&#10;AAAPAAAAAAAAAAEAIAAAACIAAABkcnMvZG93bnJldi54bWxQSwECFAAUAAAACACHTuJAdXw9YKwB&#10;AABmAwAADgAAAAAAAAABACAAAAAkAQAAZHJzL2Uyb0RvYy54bWxQSwUGAAAAAAYABgBZAQAAQgUA&#10;AAAA&#10;">
                <v:fill on="f" focussize="0,0"/>
                <v:stroke on="f"/>
                <v:imagedata o:title=""/>
                <o:lock v:ext="edit" aspectratio="f"/>
                <v:textbox>
                  <w:txbxContent>
                    <w:p w14:paraId="5CEBBA68">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p w14:paraId="17BE4901"/>
                  </w:txbxContent>
                </v:textbox>
              </v:shape>
            </w:pict>
          </mc:Fallback>
        </mc:AlternateContent>
      </w:r>
      <w:r>
        <w:rPr>
          <w:rFonts w:hint="eastAsia" w:ascii="仿宋" w:hAnsi="仿宋" w:eastAsia="仿宋" w:cs="仿宋"/>
          <w:color w:val="auto"/>
          <w:sz w:val="24"/>
          <w:szCs w:val="24"/>
          <w:highlight w:val="none"/>
          <w:lang w:eastAsia="zh-CN"/>
        </w:rPr>
        <w:t>造价咨询人应在收到最终清算支付申请后的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天内予以计量、核实，并将核实结果通知承包人、抄报发包人。发包人应在收到核实结果后的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天内在最终清算文件上签字确认。造价咨询人应在发包人签字确认最终清算文件后的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天内，向发包人签发最终清算支付证书，同时抄送承包人。</w:t>
      </w:r>
    </w:p>
    <w:p w14:paraId="0EF438F3">
      <w:pPr>
        <w:pStyle w:val="23"/>
        <w:tabs>
          <w:tab w:val="left" w:pos="900"/>
        </w:tabs>
        <w:spacing w:line="360" w:lineRule="auto"/>
        <w:rPr>
          <w:rFonts w:ascii="仿宋" w:hAnsi="仿宋" w:eastAsia="仿宋"/>
          <w:color w:val="auto"/>
          <w:sz w:val="24"/>
          <w:szCs w:val="24"/>
          <w:highlight w:val="none"/>
          <w:lang w:eastAsia="zh-CN"/>
        </w:rPr>
      </w:pPr>
      <w:bookmarkStart w:id="1167" w:name="_Toc7893"/>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.3</w:t>
      </w:r>
      <w:bookmarkEnd w:id="1167"/>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6A5623CF">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2072960" behindDoc="0" locked="0" layoutInCell="1" allowOverlap="1">
                <wp:simplePos x="0" y="0"/>
                <wp:positionH relativeFrom="column">
                  <wp:posOffset>-114300</wp:posOffset>
                </wp:positionH>
                <wp:positionV relativeFrom="paragraph">
                  <wp:posOffset>39370</wp:posOffset>
                </wp:positionV>
                <wp:extent cx="775970" cy="453390"/>
                <wp:effectExtent l="0" t="0" r="0" b="0"/>
                <wp:wrapNone/>
                <wp:docPr id="405" name="000298"/>
                <wp:cNvGraphicFramePr/>
                <a:graphic xmlns:a="http://schemas.openxmlformats.org/drawingml/2006/main">
                  <a:graphicData uri="http://schemas.microsoft.com/office/word/2010/wordprocessingShape">
                    <wps:wsp>
                      <wps:cNvSpPr txBox="1"/>
                      <wps:spPr>
                        <a:xfrm>
                          <a:off x="0" y="0"/>
                          <a:ext cx="775970" cy="453390"/>
                        </a:xfrm>
                        <a:prstGeom prst="rect">
                          <a:avLst/>
                        </a:prstGeom>
                        <a:noFill/>
                        <a:ln>
                          <a:noFill/>
                        </a:ln>
                        <a:effectLst/>
                      </wps:spPr>
                      <wps:txbx>
                        <w:txbxContent>
                          <w:p w14:paraId="338D49BA">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p w14:paraId="34A1DACC"/>
                        </w:txbxContent>
                      </wps:txbx>
                      <wps:bodyPr wrap="square" upright="1"/>
                    </wps:wsp>
                  </a:graphicData>
                </a:graphic>
              </wp:anchor>
            </w:drawing>
          </mc:Choice>
          <mc:Fallback>
            <w:pict>
              <v:shape id="000298" o:spid="_x0000_s1026" o:spt="202" type="#_x0000_t202" style="position:absolute;left:0pt;margin-left:-9pt;margin-top:3.1pt;height:35.7pt;width:61.1pt;z-index:252072960;mso-width-relative:page;mso-height-relative:page;" filled="f" stroked="f" coordsize="21600,21600" o:gfxdata="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OcgynWAAAA&#10;CAEAAA8AAAAAAAAAAQAgAAAAIgAAAGRycy9kb3ducmV2LnhtbFBLAQIUABQAAAAIAIdO4kByDqkd&#10;rQEAAGYDAAAOAAAAAAAAAAEAIAAAACUBAABkcnMvZTJvRG9jLnhtbFBLBQYAAAAABgAGAFkBAABE&#10;BQAAAAA=&#10;">
                <v:fill on="f" focussize="0,0"/>
                <v:stroke on="f"/>
                <v:imagedata o:title=""/>
                <o:lock v:ext="edit" aspectratio="f"/>
                <v:textbox>
                  <w:txbxContent>
                    <w:p w14:paraId="338D49BA">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p w14:paraId="34A1DACC"/>
                  </w:txbxContent>
                </v:textbox>
              </v:shape>
            </w:pict>
          </mc:Fallback>
        </mc:AlternateContent>
      </w:r>
      <w:r>
        <w:rPr>
          <w:rFonts w:hint="eastAsia" w:ascii="仿宋" w:hAnsi="仿宋" w:eastAsia="仿宋" w:cs="仿宋"/>
          <w:color w:val="auto"/>
          <w:sz w:val="24"/>
          <w:szCs w:val="24"/>
          <w:highlight w:val="none"/>
          <w:lang w:eastAsia="zh-CN"/>
        </w:rPr>
        <w:t>发包人应在造价咨询人签发最终清算支付证书后的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天内，按照最终清算支付证书列明的金额向承包人支付最终清算款，并通知造价咨询人。</w:t>
      </w:r>
    </w:p>
    <w:p w14:paraId="60C55FD8">
      <w:pPr>
        <w:pStyle w:val="23"/>
        <w:spacing w:line="48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.4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22484FFD">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53340</wp:posOffset>
                </wp:positionV>
                <wp:extent cx="756920" cy="539115"/>
                <wp:effectExtent l="0" t="0" r="0" b="0"/>
                <wp:wrapNone/>
                <wp:docPr id="406" name="000299"/>
                <wp:cNvGraphicFramePr/>
                <a:graphic xmlns:a="http://schemas.openxmlformats.org/drawingml/2006/main">
                  <a:graphicData uri="http://schemas.microsoft.com/office/word/2010/wordprocessingShape">
                    <wps:wsp>
                      <wps:cNvSpPr txBox="1"/>
                      <wps:spPr>
                        <a:xfrm>
                          <a:off x="0" y="0"/>
                          <a:ext cx="756920" cy="539115"/>
                        </a:xfrm>
                        <a:prstGeom prst="rect">
                          <a:avLst/>
                        </a:prstGeom>
                        <a:noFill/>
                        <a:ln>
                          <a:noFill/>
                        </a:ln>
                        <a:effectLst/>
                      </wps:spPr>
                      <wps:txbx>
                        <w:txbxContent>
                          <w:p w14:paraId="235D536F">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p w14:paraId="6C3E559E">
                            <w:pPr>
                              <w:rPr>
                                <w:lang w:eastAsia="zh-CN"/>
                              </w:rPr>
                            </w:pPr>
                          </w:p>
                        </w:txbxContent>
                      </wps:txbx>
                      <wps:bodyPr wrap="square" upright="1"/>
                    </wps:wsp>
                  </a:graphicData>
                </a:graphic>
              </wp:anchor>
            </w:drawing>
          </mc:Choice>
          <mc:Fallback>
            <w:pict>
              <v:shape id="000299" o:spid="_x0000_s1026" o:spt="202" type="#_x0000_t202" style="position:absolute;left:0pt;margin-left:-9pt;margin-top:4.2pt;height:42.45pt;width:59.6pt;z-index:252073984;mso-width-relative:page;mso-height-relative:page;" filled="f" stroked="f" coordsize="21600,21600" o:gfxdata="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L2+0s1gAAAAgB&#10;AAAPAAAAAAAAAAEAIAAAACIAAABkcnMvZG93bnJldi54bWxQSwECFAAUAAAACACHTuJA/npxPasB&#10;AABmAwAADgAAAAAAAAABACAAAAAlAQAAZHJzL2Uyb0RvYy54bWxQSwUGAAAAAAYABgBZAQAAQgUA&#10;AAAA&#10;">
                <v:fill on="f" focussize="0,0"/>
                <v:stroke on="f"/>
                <v:imagedata o:title=""/>
                <o:lock v:ext="edit" aspectratio="f"/>
                <v:textbox>
                  <w:txbxContent>
                    <w:p w14:paraId="235D536F">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p w14:paraId="6C3E559E">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如果造价咨询人未在第90</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款约定的期限内签发最终清算支付证书的，则视为承包人提交的最终清算支付申请已被认可，承包人应及时向发包人发出要求支付最终清算款的通知。发包人应在收到通知后的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天内，按照承包人提交最终清算支付申请列明的金额向承包人支付最终清算款。</w:t>
      </w:r>
    </w:p>
    <w:p w14:paraId="29A38E75">
      <w:pPr>
        <w:pStyle w:val="23"/>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.5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EE6A0AD">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75008" behindDoc="0" locked="0" layoutInCell="1" allowOverlap="1">
                <wp:simplePos x="0" y="0"/>
                <wp:positionH relativeFrom="column">
                  <wp:posOffset>-114300</wp:posOffset>
                </wp:positionH>
                <wp:positionV relativeFrom="paragraph">
                  <wp:posOffset>8255</wp:posOffset>
                </wp:positionV>
                <wp:extent cx="790575" cy="628015"/>
                <wp:effectExtent l="0" t="0" r="0" b="0"/>
                <wp:wrapNone/>
                <wp:docPr id="407" name="00029a"/>
                <wp:cNvGraphicFramePr/>
                <a:graphic xmlns:a="http://schemas.openxmlformats.org/drawingml/2006/main">
                  <a:graphicData uri="http://schemas.microsoft.com/office/word/2010/wordprocessingShape">
                    <wps:wsp>
                      <wps:cNvSpPr txBox="1"/>
                      <wps:spPr>
                        <a:xfrm>
                          <a:off x="0" y="0"/>
                          <a:ext cx="790575" cy="628015"/>
                        </a:xfrm>
                        <a:prstGeom prst="rect">
                          <a:avLst/>
                        </a:prstGeom>
                        <a:noFill/>
                        <a:ln>
                          <a:noFill/>
                        </a:ln>
                        <a:effectLst/>
                      </wps:spPr>
                      <wps:txbx>
                        <w:txbxContent>
                          <w:p w14:paraId="021BB14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p w14:paraId="12F6F797"/>
                        </w:txbxContent>
                      </wps:txbx>
                      <wps:bodyPr wrap="square" upright="1"/>
                    </wps:wsp>
                  </a:graphicData>
                </a:graphic>
              </wp:anchor>
            </w:drawing>
          </mc:Choice>
          <mc:Fallback>
            <w:pict>
              <v:shape id="00029a" o:spid="_x0000_s1026" o:spt="202" type="#_x0000_t202" style="position:absolute;left:0pt;margin-left:-9pt;margin-top:0.65pt;height:49.45pt;width:62.25pt;z-index:252075008;mso-width-relative:page;mso-height-relative:page;" filled="f" stroked="f" coordsize="21600,21600" o:gfxdata="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8fzH11QAAAAkB&#10;AAAPAAAAAAAAAAEAIAAAACIAAABkcnMvZG93bnJldi54bWxQSwECFAAUAAAACACHTuJA0hPVL6wB&#10;AABmAwAADgAAAAAAAAABACAAAAAkAQAAZHJzL2Uyb0RvYy54bWxQSwUGAAAAAAYABgBZAQAAQgUA&#10;AAAA&#10;">
                <v:fill on="f" focussize="0,0"/>
                <v:stroke on="f"/>
                <v:imagedata o:title=""/>
                <o:lock v:ext="edit" aspectratio="f"/>
                <v:textbox>
                  <w:txbxContent>
                    <w:p w14:paraId="021BB14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p w14:paraId="12F6F797"/>
                  </w:txbxContent>
                </v:textbox>
              </v:shape>
            </w:pict>
          </mc:Fallback>
        </mc:AlternateContent>
      </w:r>
      <w:r>
        <w:rPr>
          <w:rFonts w:hint="eastAsia" w:ascii="仿宋" w:hAnsi="仿宋" w:eastAsia="仿宋" w:cs="仿宋"/>
          <w:color w:val="auto"/>
          <w:highlight w:val="none"/>
          <w:lang w:eastAsia="zh-CN"/>
        </w:rPr>
        <w:t>发包人未按照第90</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款和第90</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款约定支付最终清算款的，承包人可催告发包人支付最终清算款，如双方达成延期支付协议，承包人有权按照第83</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款约定获得延期支付的利息。若该永久工程按照第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款约定进行折价或依法拍卖的，承包人就该工程折价或拍卖的价款优先受偿。</w:t>
      </w:r>
    </w:p>
    <w:p w14:paraId="6AB983AD">
      <w:pPr>
        <w:pStyle w:val="23"/>
        <w:spacing w:line="36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259715</wp:posOffset>
                </wp:positionV>
                <wp:extent cx="775970" cy="500380"/>
                <wp:effectExtent l="0" t="0" r="0" b="0"/>
                <wp:wrapNone/>
                <wp:docPr id="408" name="00029b"/>
                <wp:cNvGraphicFramePr/>
                <a:graphic xmlns:a="http://schemas.openxmlformats.org/drawingml/2006/main">
                  <a:graphicData uri="http://schemas.microsoft.com/office/word/2010/wordprocessingShape">
                    <wps:wsp>
                      <wps:cNvSpPr txBox="1"/>
                      <wps:spPr>
                        <a:xfrm>
                          <a:off x="0" y="0"/>
                          <a:ext cx="775970" cy="500380"/>
                        </a:xfrm>
                        <a:prstGeom prst="rect">
                          <a:avLst/>
                        </a:prstGeom>
                        <a:noFill/>
                        <a:ln>
                          <a:noFill/>
                        </a:ln>
                        <a:effectLst/>
                      </wps:spPr>
                      <wps:txbx>
                        <w:txbxContent>
                          <w:p w14:paraId="0DE8148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p w14:paraId="55E0E9B0"/>
                        </w:txbxContent>
                      </wps:txbx>
                      <wps:bodyPr wrap="square" upright="1"/>
                    </wps:wsp>
                  </a:graphicData>
                </a:graphic>
              </wp:anchor>
            </w:drawing>
          </mc:Choice>
          <mc:Fallback>
            <w:pict>
              <v:shape id="00029b" o:spid="_x0000_s1026" o:spt="202" type="#_x0000_t202" style="position:absolute;left:0pt;margin-left:-9pt;margin-top:20.45pt;height:39.4pt;width:61.1pt;z-index:252076032;mso-width-relative:page;mso-height-relative:page;" filled="f" stroked="f" coordsize="21600,21600" o:gfxdata="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lITKtgA&#10;AAAKAQAADwAAAAAAAAABACAAAAAiAAAAZHJzL2Rvd25yZXYueG1sUEsBAhQAFAAAAAgAh07iQAMx&#10;3TatAQAAZgMAAA4AAAAAAAAAAQAgAAAAJwEAAGRycy9lMm9Eb2MueG1sUEsFBgAAAAAGAAYAWQEA&#10;AEYFAAAAAA==&#10;">
                <v:fill on="f" focussize="0,0"/>
                <v:stroke on="f"/>
                <v:imagedata o:title=""/>
                <o:lock v:ext="edit" aspectratio="f"/>
                <v:textbox>
                  <w:txbxContent>
                    <w:p w14:paraId="0DE8148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p w14:paraId="55E0E9B0"/>
                  </w:txbxContent>
                </v:textbox>
              </v:shape>
            </w:pict>
          </mc:Fallback>
        </mc:AlternateContent>
      </w: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.6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435B7EC">
      <w:pPr>
        <w:widowControl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承包人对发包人支付的最终清算款有异议的，按照第91条约定的争议处理。</w:t>
      </w:r>
    </w:p>
    <w:p w14:paraId="44F16C57">
      <w:pPr>
        <w:spacing w:line="360" w:lineRule="auto"/>
        <w:rPr>
          <w:rFonts w:hint="eastAsia"/>
          <w:color w:val="auto"/>
          <w:highlight w:val="none"/>
          <w:lang w:eastAsia="zh-CN"/>
        </w:rPr>
      </w:pPr>
      <w:r>
        <w:rPr>
          <w:rFonts w:ascii="仿宋" w:hAnsi="仿宋" w:eastAsia="仿宋" w:cs="仿宋"/>
          <w:b/>
          <w:bCs/>
          <w:color w:val="auto"/>
          <w:highlight w:val="none"/>
          <w:u w:val="single"/>
          <w:lang w:eastAsia="zh-CN"/>
        </w:rPr>
        <w:t xml:space="preserve">                                                                                     </w:t>
      </w:r>
    </w:p>
    <w:p w14:paraId="0ABF364A">
      <w:pPr>
        <w:pStyle w:val="23"/>
        <w:spacing w:line="360" w:lineRule="auto"/>
        <w:jc w:val="center"/>
        <w:outlineLvl w:val="1"/>
        <w:rPr>
          <w:rFonts w:ascii="仿宋" w:hAnsi="仿宋" w:eastAsia="仿宋"/>
          <w:b/>
          <w:bCs/>
          <w:color w:val="auto"/>
          <w:sz w:val="24"/>
          <w:szCs w:val="24"/>
          <w:highlight w:val="none"/>
          <w:lang w:eastAsia="zh-CN"/>
        </w:rPr>
      </w:pPr>
      <w:bookmarkStart w:id="1168" w:name="_Toc26386"/>
      <w:bookmarkStart w:id="1169" w:name="_Toc12791"/>
      <w:bookmarkStart w:id="1170" w:name="_Toc47694367"/>
      <w:bookmarkStart w:id="1171" w:name="_Toc16910"/>
      <w:bookmarkStart w:id="1172" w:name="_Toc17130"/>
      <w:bookmarkStart w:id="1173" w:name="_Toc13694"/>
      <w:bookmarkStart w:id="1174" w:name="_Toc3199"/>
      <w:bookmarkStart w:id="1175" w:name="_Toc19984"/>
      <w:bookmarkStart w:id="1176" w:name="_Toc469384069"/>
      <w:r>
        <w:rPr>
          <w:rFonts w:hint="eastAsia" w:ascii="仿宋" w:hAnsi="仿宋" w:eastAsia="仿宋" w:cs="仿宋"/>
          <w:b/>
          <w:bCs/>
          <w:color w:val="auto"/>
          <w:sz w:val="24"/>
          <w:szCs w:val="24"/>
          <w:highlight w:val="none"/>
          <w:lang w:eastAsia="zh-CN"/>
        </w:rPr>
        <w:t>八、合同争议、解除与终止</w:t>
      </w:r>
      <w:bookmarkEnd w:id="1168"/>
      <w:bookmarkEnd w:id="1169"/>
      <w:bookmarkEnd w:id="1170"/>
      <w:bookmarkEnd w:id="1171"/>
      <w:bookmarkEnd w:id="1172"/>
      <w:bookmarkEnd w:id="1173"/>
      <w:bookmarkEnd w:id="1174"/>
      <w:bookmarkEnd w:id="1175"/>
      <w:bookmarkEnd w:id="1176"/>
    </w:p>
    <w:p w14:paraId="074CDFE2">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1177" w:name="_Toc27444"/>
      <w:bookmarkStart w:id="1178" w:name="_Toc11209"/>
      <w:bookmarkStart w:id="1179" w:name="_Toc19953"/>
      <w:bookmarkStart w:id="1180" w:name="_Toc469384070"/>
      <w:bookmarkStart w:id="1181" w:name="_Toc32088"/>
      <w:bookmarkStart w:id="1182" w:name="_Toc47694368"/>
      <w:bookmarkStart w:id="1183" w:name="_Toc12170"/>
      <w:bookmarkStart w:id="1184" w:name="_Toc10264"/>
      <w:bookmarkStart w:id="1185" w:name="_Toc18989"/>
      <w:r>
        <w:rPr>
          <w:rFonts w:hint="eastAsia" w:ascii="仿宋" w:hAnsi="仿宋" w:eastAsia="仿宋" w:cs="仿宋"/>
          <w:bCs w:val="0"/>
          <w:color w:val="auto"/>
          <w:sz w:val="24"/>
          <w:szCs w:val="24"/>
          <w:highlight w:val="none"/>
          <w:lang w:eastAsia="zh-CN"/>
        </w:rPr>
        <w:t>91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合同争议</w:t>
      </w:r>
      <w:bookmarkEnd w:id="1177"/>
      <w:bookmarkEnd w:id="1178"/>
      <w:bookmarkEnd w:id="1179"/>
      <w:bookmarkEnd w:id="1180"/>
      <w:bookmarkEnd w:id="1181"/>
      <w:bookmarkEnd w:id="1182"/>
      <w:bookmarkEnd w:id="1183"/>
      <w:bookmarkEnd w:id="1184"/>
      <w:bookmarkEnd w:id="1185"/>
    </w:p>
    <w:p w14:paraId="230B458E">
      <w:pPr>
        <w:pStyle w:val="23"/>
        <w:rPr>
          <w:rFonts w:ascii="仿宋" w:hAnsi="仿宋" w:eastAsia="仿宋" w:cs="仿宋"/>
          <w:b/>
          <w:bCs/>
          <w:color w:val="auto"/>
          <w:sz w:val="24"/>
          <w:szCs w:val="24"/>
          <w:highlight w:val="none"/>
          <w:lang w:eastAsia="zh-CN"/>
        </w:rPr>
      </w:pPr>
      <w:r>
        <w:rPr>
          <w:b/>
          <w:color w:val="auto"/>
          <w:highlight w:val="none"/>
        </w:rPr>
        <mc:AlternateContent>
          <mc:Choice Requires="wps">
            <w:drawing>
              <wp:anchor distT="0" distB="0" distL="114300" distR="114300" simplePos="0" relativeHeight="252077056" behindDoc="0" locked="0" layoutInCell="1" allowOverlap="1">
                <wp:simplePos x="0" y="0"/>
                <wp:positionH relativeFrom="column">
                  <wp:posOffset>-114300</wp:posOffset>
                </wp:positionH>
                <wp:positionV relativeFrom="paragraph">
                  <wp:posOffset>284480</wp:posOffset>
                </wp:positionV>
                <wp:extent cx="804545" cy="723265"/>
                <wp:effectExtent l="0" t="0" r="0" b="0"/>
                <wp:wrapNone/>
                <wp:docPr id="409" name="00029c"/>
                <wp:cNvGraphicFramePr/>
                <a:graphic xmlns:a="http://schemas.openxmlformats.org/drawingml/2006/main">
                  <a:graphicData uri="http://schemas.microsoft.com/office/word/2010/wordprocessingShape">
                    <wps:wsp>
                      <wps:cNvSpPr txBox="1"/>
                      <wps:spPr>
                        <a:xfrm>
                          <a:off x="0" y="0"/>
                          <a:ext cx="804545" cy="723265"/>
                        </a:xfrm>
                        <a:prstGeom prst="rect">
                          <a:avLst/>
                        </a:prstGeom>
                        <a:noFill/>
                        <a:ln>
                          <a:noFill/>
                        </a:ln>
                        <a:effectLst/>
                      </wps:spPr>
                      <wps:txbx>
                        <w:txbxContent>
                          <w:p w14:paraId="3E96B7AF">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p w14:paraId="0E50288B">
                            <w:pPr>
                              <w:rPr>
                                <w:lang w:eastAsia="zh-CN"/>
                              </w:rPr>
                            </w:pPr>
                          </w:p>
                        </w:txbxContent>
                      </wps:txbx>
                      <wps:bodyPr wrap="square" upright="1"/>
                    </wps:wsp>
                  </a:graphicData>
                </a:graphic>
              </wp:anchor>
            </w:drawing>
          </mc:Choice>
          <mc:Fallback>
            <w:pict>
              <v:shape id="00029c" o:spid="_x0000_s1026" o:spt="202" type="#_x0000_t202" style="position:absolute;left:0pt;margin-left:-9pt;margin-top:22.4pt;height:56.95pt;width:63.35pt;z-index:252077056;mso-width-relative:page;mso-height-relative:page;" filled="f" stroked="f" coordsize="21600,21600" o:gfxdata="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SkdeNYAAAAK&#10;AQAADwAAAAAAAAABACAAAAAiAAAAZHJzL2Rvd25yZXYueG1sUEsBAhQAFAAAAAgAh07iQJItUjCs&#10;AQAAZgMAAA4AAAAAAAAAAQAgAAAAJQEAAGRycy9lMm9Eb2MueG1sUEsFBgAAAAAGAAYAWQEAAEMF&#10;AAAAAA==&#10;">
                <v:fill on="f" focussize="0,0"/>
                <v:stroke on="f"/>
                <v:imagedata o:title=""/>
                <o:lock v:ext="edit" aspectratio="f"/>
                <v:textbox>
                  <w:txbxContent>
                    <w:p w14:paraId="3E96B7AF">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p w14:paraId="0E50288B">
                      <w:pPr>
                        <w:rPr>
                          <w:lang w:eastAsia="zh-CN"/>
                        </w:rPr>
                      </w:pPr>
                    </w:p>
                  </w:txbxContent>
                </v:textbox>
              </v:shape>
            </w:pict>
          </mc:Fallback>
        </mc:AlternateContent>
      </w: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.1</w:t>
      </w:r>
    </w:p>
    <w:p w14:paraId="3907708C">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本合同履行期间，合同双方当事人应在收到监理人或造价咨询人依据合同约定作出暂定结果之后的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对暂定结果予以确认或提出意见。合同双方对暂定结果认可的，应以书面形式予以确认，暂定结果成为最终决定，对合同双方当事人都有约束力；合同双方或一方当事人不同意暂定结果的，应以书面形式向监理人或造价咨询人提出，说明自己认为正确的结果，同时抄送另一方当事人，此时该暂定结果成为争议。除非本合同已解除，在暂定结果不实质影响合同双方当事人履约的前提下，合同双方当事人应实施该结果，直到其被改变为止。</w:t>
      </w:r>
    </w:p>
    <w:p w14:paraId="6F9813BB">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合同双方当事人在收到监理人或造价咨询人的暂定结果之日起，超过</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天，未对暂定结果予以确认也未提出意见的，视为合同双方当事人已认可暂定结果。</w:t>
      </w:r>
    </w:p>
    <w:p w14:paraId="47841BB2">
      <w:pPr>
        <w:spacing w:line="360" w:lineRule="auto"/>
        <w:rPr>
          <w:rFonts w:ascii="仿宋" w:hAnsi="仿宋" w:eastAsia="仿宋"/>
          <w:b/>
          <w:bCs/>
          <w:color w:val="auto"/>
          <w:highlight w:val="none"/>
          <w:lang w:eastAsia="zh-CN"/>
        </w:rPr>
      </w:pPr>
      <w:bookmarkStart w:id="1186" w:name="_Toc7915"/>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.2</w:t>
      </w:r>
      <w:bookmarkEnd w:id="118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110F666">
      <w:pPr>
        <w:pStyle w:val="23"/>
        <w:tabs>
          <w:tab w:val="left" w:pos="1320"/>
        </w:tabs>
        <w:spacing w:line="360" w:lineRule="auto"/>
        <w:ind w:left="1920" w:leftChars="800"/>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26670</wp:posOffset>
                </wp:positionV>
                <wp:extent cx="788035" cy="338455"/>
                <wp:effectExtent l="0" t="0" r="0" b="0"/>
                <wp:wrapNone/>
                <wp:docPr id="410" name="00029d"/>
                <wp:cNvGraphicFramePr/>
                <a:graphic xmlns:a="http://schemas.openxmlformats.org/drawingml/2006/main">
                  <a:graphicData uri="http://schemas.microsoft.com/office/word/2010/wordprocessingShape">
                    <wps:wsp>
                      <wps:cNvSpPr txBox="1"/>
                      <wps:spPr>
                        <a:xfrm>
                          <a:off x="0" y="0"/>
                          <a:ext cx="788035" cy="338455"/>
                        </a:xfrm>
                        <a:prstGeom prst="rect">
                          <a:avLst/>
                        </a:prstGeom>
                        <a:noFill/>
                        <a:ln>
                          <a:noFill/>
                        </a:ln>
                        <a:effectLst/>
                      </wps:spPr>
                      <wps:txbx>
                        <w:txbxContent>
                          <w:p w14:paraId="6E1CA00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p w14:paraId="67DD79C6"/>
                        </w:txbxContent>
                      </wps:txbx>
                      <wps:bodyPr wrap="square" upright="1"/>
                    </wps:wsp>
                  </a:graphicData>
                </a:graphic>
              </wp:anchor>
            </w:drawing>
          </mc:Choice>
          <mc:Fallback>
            <w:pict>
              <v:shape id="00029d" o:spid="_x0000_s1026" o:spt="202" type="#_x0000_t202" style="position:absolute;left:0pt;margin-left:-9pt;margin-top:2.1pt;height:26.65pt;width:62.05pt;z-index:252078080;mso-width-relative:page;mso-height-relative:page;" filled="f" stroked="f" coordsize="21600,21600" o:gfxdata="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4eR/BNYAAAAI&#10;AQAADwAAAAAAAAABACAAAAAiAAAAZHJzL2Rvd25yZXYueG1sUEsBAhQAFAAAAAgAh07iQO0pYLOs&#10;AQAAZgMAAA4AAAAAAAAAAQAgAAAAJQEAAGRycy9lMm9Eb2MueG1sUEsFBgAAAAAGAAYAWQEAAEMF&#10;AAAAAA==&#10;">
                <v:fill on="f" focussize="0,0"/>
                <v:stroke on="f"/>
                <v:imagedata o:title=""/>
                <o:lock v:ext="edit" aspectratio="f"/>
                <v:textbox>
                  <w:txbxContent>
                    <w:p w14:paraId="6E1CA00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p w14:paraId="67DD79C6"/>
                  </w:txbxContent>
                </v:textbox>
              </v:shape>
            </w:pict>
          </mc:Fallback>
        </mc:AlternateContent>
      </w:r>
      <w:r>
        <w:rPr>
          <w:rFonts w:hint="eastAsia" w:ascii="仿宋" w:hAnsi="仿宋" w:eastAsia="仿宋" w:cs="仿宋"/>
          <w:color w:val="auto"/>
          <w:sz w:val="24"/>
          <w:szCs w:val="24"/>
          <w:highlight w:val="none"/>
          <w:lang w:eastAsia="zh-CN"/>
        </w:rPr>
        <w:t>争议发生后的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合同双方当事人可进一步进行协商。协商达成一致的，合同双方当事人应签订书面协议，经双方签字并盖章后作为合同补充文件，双方均应遵照执行，并将结果抄送监理人或造价咨询人；协商仍不能达成一致的，按照第91</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款至第91</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款约定进行调解或认定、仲裁或诉讼。</w:t>
      </w:r>
    </w:p>
    <w:p w14:paraId="3A673A93">
      <w:pPr>
        <w:pStyle w:val="23"/>
        <w:tabs>
          <w:tab w:val="left" w:pos="1320"/>
        </w:tabs>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6E326922">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11430</wp:posOffset>
                </wp:positionV>
                <wp:extent cx="781050" cy="450850"/>
                <wp:effectExtent l="0" t="0" r="0" b="0"/>
                <wp:wrapNone/>
                <wp:docPr id="411" name="00029e"/>
                <wp:cNvGraphicFramePr/>
                <a:graphic xmlns:a="http://schemas.openxmlformats.org/drawingml/2006/main">
                  <a:graphicData uri="http://schemas.microsoft.com/office/word/2010/wordprocessingShape">
                    <wps:wsp>
                      <wps:cNvSpPr txBox="1"/>
                      <wps:spPr>
                        <a:xfrm>
                          <a:off x="0" y="0"/>
                          <a:ext cx="781050" cy="450850"/>
                        </a:xfrm>
                        <a:prstGeom prst="rect">
                          <a:avLst/>
                        </a:prstGeom>
                        <a:noFill/>
                        <a:ln>
                          <a:noFill/>
                        </a:ln>
                        <a:effectLst/>
                      </wps:spPr>
                      <wps:txbx>
                        <w:txbxContent>
                          <w:p w14:paraId="34BF21A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p w14:paraId="3032C2F6"/>
                        </w:txbxContent>
                      </wps:txbx>
                      <wps:bodyPr wrap="square" upright="1"/>
                    </wps:wsp>
                  </a:graphicData>
                </a:graphic>
              </wp:anchor>
            </w:drawing>
          </mc:Choice>
          <mc:Fallback>
            <w:pict>
              <v:shape id="00029e" o:spid="_x0000_s1026" o:spt="202" type="#_x0000_t202" style="position:absolute;left:0pt;margin-left:-9pt;margin-top:0.9pt;height:35.5pt;width:61.5pt;z-index:252079104;mso-width-relative:page;mso-height-relative:page;" filled="f" stroked="f" coordsize="21600,21600" o:gfxdata="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5tv/1AAAAAgBAAAP&#10;AAAAAAAAAAEAIAAAACIAAABkcnMvZG93bnJldi54bWxQSwECFAAUAAAACACHTuJAflIT8qoBAABm&#10;AwAADgAAAAAAAAABACAAAAAjAQAAZHJzL2Uyb0RvYy54bWxQSwUGAAAAAAYABgBZAQAAPwUAAAAA&#10;">
                <v:fill on="f" focussize="0,0"/>
                <v:stroke on="f"/>
                <v:imagedata o:title=""/>
                <o:lock v:ext="edit" aspectratio="f"/>
                <v:textbox>
                  <w:txbxContent>
                    <w:p w14:paraId="34BF21A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p w14:paraId="3032C2F6"/>
                  </w:txbxContent>
                </v:textbox>
              </v:shape>
            </w:pict>
          </mc:Fallback>
        </mc:AlternateContent>
      </w:r>
      <w:r>
        <w:rPr>
          <w:rFonts w:hint="eastAsia" w:ascii="仿宋" w:hAnsi="仿宋" w:eastAsia="仿宋" w:cs="仿宋"/>
          <w:color w:val="auto"/>
          <w:sz w:val="24"/>
          <w:szCs w:val="24"/>
          <w:highlight w:val="none"/>
          <w:lang w:eastAsia="zh-CN"/>
        </w:rPr>
        <w:t>合同双方当事人没有按照第91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款约定进一步协商的，或虽然协商但未在约定期限内达成一致的，合同双方或一方当事人可在争议发生后的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天内，将争议提交争议调解或认定机构处理，或直接按照专用条款第91</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款约定提请仲裁或诉讼。</w:t>
      </w:r>
    </w:p>
    <w:p w14:paraId="7C686909">
      <w:pPr>
        <w:spacing w:line="360" w:lineRule="auto"/>
        <w:rPr>
          <w:rFonts w:ascii="仿宋" w:hAnsi="仿宋" w:eastAsia="仿宋"/>
          <w:color w:val="auto"/>
          <w:highlight w:val="none"/>
          <w:lang w:eastAsia="zh-CN"/>
        </w:rPr>
      </w:pPr>
      <w:bookmarkStart w:id="1187" w:name="_Toc3737"/>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.4</w:t>
      </w:r>
      <w:bookmarkEnd w:id="1187"/>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20157C09">
      <w:pPr>
        <w:pStyle w:val="23"/>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80128" behindDoc="0" locked="0" layoutInCell="1" allowOverlap="1">
                <wp:simplePos x="0" y="0"/>
                <wp:positionH relativeFrom="column">
                  <wp:posOffset>-114300</wp:posOffset>
                </wp:positionH>
                <wp:positionV relativeFrom="paragraph">
                  <wp:posOffset>59690</wp:posOffset>
                </wp:positionV>
                <wp:extent cx="894715" cy="370840"/>
                <wp:effectExtent l="0" t="0" r="0" b="0"/>
                <wp:wrapNone/>
                <wp:docPr id="412" name="00029f"/>
                <wp:cNvGraphicFramePr/>
                <a:graphic xmlns:a="http://schemas.openxmlformats.org/drawingml/2006/main">
                  <a:graphicData uri="http://schemas.microsoft.com/office/word/2010/wordprocessingShape">
                    <wps:wsp>
                      <wps:cNvSpPr txBox="1"/>
                      <wps:spPr>
                        <a:xfrm>
                          <a:off x="0" y="0"/>
                          <a:ext cx="894715" cy="370840"/>
                        </a:xfrm>
                        <a:prstGeom prst="rect">
                          <a:avLst/>
                        </a:prstGeom>
                        <a:noFill/>
                        <a:ln>
                          <a:noFill/>
                        </a:ln>
                        <a:effectLst/>
                      </wps:spPr>
                      <wps:txbx>
                        <w:txbxContent>
                          <w:p w14:paraId="549717F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p w14:paraId="2A035898"/>
                        </w:txbxContent>
                      </wps:txbx>
                      <wps:bodyPr wrap="square" upright="1"/>
                    </wps:wsp>
                  </a:graphicData>
                </a:graphic>
              </wp:anchor>
            </w:drawing>
          </mc:Choice>
          <mc:Fallback>
            <w:pict>
              <v:shape id="00029f" o:spid="_x0000_s1026" o:spt="202" type="#_x0000_t202" style="position:absolute;left:0pt;margin-left:-9pt;margin-top:4.7pt;height:29.2pt;width:70.45pt;z-index:252080128;mso-width-relative:page;mso-height-relative:page;" filled="f" stroked="f" coordsize="21600,21600" o:gfxdata="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pfdWx1gAA&#10;AAgBAAAPAAAAAAAAAAEAIAAAACIAAABkcnMvZG93bnJldi54bWxQSwECFAAUAAAACACHTuJA1Hqi&#10;ha4BAABmAwAADgAAAAAAAAABACAAAAAlAQAAZHJzL2Uyb0RvYy54bWxQSwUGAAAAAAYABgBZAQAA&#10;RQUAAAAA&#10;">
                <v:fill on="f" focussize="0,0"/>
                <v:stroke on="f"/>
                <v:imagedata o:title=""/>
                <o:lock v:ext="edit" aspectratio="f"/>
                <v:textbox>
                  <w:txbxContent>
                    <w:p w14:paraId="549717F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p w14:paraId="2A035898"/>
                  </w:txbxContent>
                </v:textbox>
              </v:shape>
            </w:pict>
          </mc:Fallback>
        </mc:AlternateContent>
      </w:r>
      <w:r>
        <w:rPr>
          <w:rFonts w:hint="eastAsia" w:ascii="仿宋" w:hAnsi="仿宋" w:eastAsia="仿宋" w:cs="仿宋"/>
          <w:color w:val="auto"/>
          <w:sz w:val="24"/>
          <w:szCs w:val="24"/>
          <w:highlight w:val="none"/>
          <w:lang w:eastAsia="zh-CN"/>
        </w:rPr>
        <w:t>争议调解或认定机构在收到争议调解或认定请求后，可组织调查、勘查、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5462166F">
      <w:pPr>
        <w:pStyle w:val="23"/>
        <w:widowControl w:val="0"/>
        <w:numPr>
          <w:ilvl w:val="1"/>
          <w:numId w:val="17"/>
        </w:numPr>
        <w:tabs>
          <w:tab w:val="clear" w:pos="3285"/>
        </w:tabs>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建设工程安全监督机构、行业协会或其他第三方调解机构，负责有关工程安全方面争议的调解或认定；</w:t>
      </w:r>
    </w:p>
    <w:p w14:paraId="4E0E03E7">
      <w:pPr>
        <w:pStyle w:val="23"/>
        <w:widowControl w:val="0"/>
        <w:numPr>
          <w:ilvl w:val="1"/>
          <w:numId w:val="17"/>
        </w:numPr>
        <w:tabs>
          <w:tab w:val="clear" w:pos="3285"/>
        </w:tabs>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建设工程质量监督机构、行业协会或其他第三方调解机构，负责有关工程质量方面争议的调解或认定；</w:t>
      </w:r>
    </w:p>
    <w:p w14:paraId="7C97314C">
      <w:pPr>
        <w:pStyle w:val="23"/>
        <w:widowControl w:val="0"/>
        <w:numPr>
          <w:ilvl w:val="1"/>
          <w:numId w:val="17"/>
        </w:numPr>
        <w:tabs>
          <w:tab w:val="clear" w:pos="3285"/>
        </w:tabs>
        <w:spacing w:line="360" w:lineRule="auto"/>
        <w:ind w:left="1850" w:leftChars="771" w:firstLine="0"/>
        <w:jc w:val="both"/>
        <w:rPr>
          <w:rFonts w:ascii="仿宋" w:hAnsi="仿宋" w:eastAsia="仿宋"/>
          <w:b/>
          <w:bCs/>
          <w:color w:val="auto"/>
          <w:sz w:val="24"/>
          <w:szCs w:val="24"/>
          <w:highlight w:val="none"/>
          <w:lang w:eastAsia="zh-CN"/>
        </w:rPr>
      </w:pPr>
      <w:r>
        <w:rPr>
          <w:rFonts w:hint="eastAsia" w:ascii="仿宋" w:hAnsi="仿宋" w:eastAsia="仿宋" w:cs="仿宋"/>
          <w:color w:val="auto"/>
          <w:sz w:val="24"/>
          <w:szCs w:val="24"/>
          <w:highlight w:val="none"/>
          <w:lang w:eastAsia="zh-CN"/>
        </w:rPr>
        <w:t>建设工程造价管理机构、行业协会或其他第三方调解机构，负责有关工程造价方面争议的调解或认定。</w:t>
      </w:r>
    </w:p>
    <w:p w14:paraId="3E68FA5B">
      <w:pPr>
        <w:spacing w:line="360" w:lineRule="auto"/>
        <w:rPr>
          <w:rFonts w:ascii="仿宋" w:hAnsi="仿宋" w:eastAsia="仿宋"/>
          <w:b/>
          <w:bCs/>
          <w:color w:val="auto"/>
          <w:highlight w:val="none"/>
          <w:lang w:eastAsia="zh-CN"/>
        </w:rPr>
      </w:pPr>
      <w:bookmarkStart w:id="1188" w:name="_Toc10351"/>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.5</w:t>
      </w:r>
      <w:bookmarkEnd w:id="118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B5DC529">
      <w:pPr>
        <w:pStyle w:val="23"/>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81152" behindDoc="0" locked="0" layoutInCell="1" allowOverlap="1">
                <wp:simplePos x="0" y="0"/>
                <wp:positionH relativeFrom="column">
                  <wp:posOffset>-114300</wp:posOffset>
                </wp:positionH>
                <wp:positionV relativeFrom="paragraph">
                  <wp:posOffset>32385</wp:posOffset>
                </wp:positionV>
                <wp:extent cx="861060" cy="521335"/>
                <wp:effectExtent l="0" t="0" r="0" b="0"/>
                <wp:wrapNone/>
                <wp:docPr id="413" name="0002a0"/>
                <wp:cNvGraphicFramePr/>
                <a:graphic xmlns:a="http://schemas.openxmlformats.org/drawingml/2006/main">
                  <a:graphicData uri="http://schemas.microsoft.com/office/word/2010/wordprocessingShape">
                    <wps:wsp>
                      <wps:cNvSpPr txBox="1"/>
                      <wps:spPr>
                        <a:xfrm>
                          <a:off x="0" y="0"/>
                          <a:ext cx="861060" cy="521335"/>
                        </a:xfrm>
                        <a:prstGeom prst="rect">
                          <a:avLst/>
                        </a:prstGeom>
                        <a:noFill/>
                        <a:ln>
                          <a:noFill/>
                        </a:ln>
                        <a:effectLst/>
                      </wps:spPr>
                      <wps:txbx>
                        <w:txbxContent>
                          <w:p w14:paraId="2BB6524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p w14:paraId="75CA7FDD"/>
                        </w:txbxContent>
                      </wps:txbx>
                      <wps:bodyPr wrap="square" upright="1"/>
                    </wps:wsp>
                  </a:graphicData>
                </a:graphic>
              </wp:anchor>
            </w:drawing>
          </mc:Choice>
          <mc:Fallback>
            <w:pict>
              <v:shape id="0002a0" o:spid="_x0000_s1026" o:spt="202" type="#_x0000_t202" style="position:absolute;left:0pt;margin-left:-9pt;margin-top:2.55pt;height:41.05pt;width:67.8pt;z-index:252081152;mso-width-relative:page;mso-height-relative:page;" filled="f" stroked="f" coordsize="21600,21600" o:gfxdata="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fv57LWAAAACAEA&#10;AA8AAAAAAAAAAQAgAAAAIgAAAGRycy9kb3ducmV2LnhtbFBLAQIUABQAAAAIAIdO4kDhxaRzqgEA&#10;AGYDAAAOAAAAAAAAAAEAIAAAACUBAABkcnMvZTJvRG9jLnhtbFBLBQYAAAAABgAGAFkBAABBBQAA&#10;AAA=&#10;">
                <v:fill on="f" focussize="0,0"/>
                <v:stroke on="f"/>
                <v:imagedata o:title=""/>
                <o:lock v:ext="edit" aspectratio="f"/>
                <v:textbox>
                  <w:txbxContent>
                    <w:p w14:paraId="2BB6524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p w14:paraId="75CA7FDD"/>
                  </w:txbxContent>
                </v:textbox>
              </v:shape>
            </w:pict>
          </mc:Fallback>
        </mc:AlternateContent>
      </w:r>
      <w:r>
        <w:rPr>
          <w:rFonts w:hint="eastAsia" w:ascii="仿宋" w:hAnsi="仿宋" w:eastAsia="仿宋" w:cs="仿宋"/>
          <w:color w:val="auto"/>
          <w:sz w:val="24"/>
          <w:szCs w:val="24"/>
          <w:highlight w:val="none"/>
          <w:lang w:eastAsia="zh-CN"/>
        </w:rPr>
        <w:t>合同双方当事人应在收到争议调解或认定机构书面结果后的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天内，对调解或认定结果以书面形式予以确认。调解或认定结果经双方签字盖章后作为合同补充文件，双方均应遵照执行。</w:t>
      </w:r>
    </w:p>
    <w:p w14:paraId="6B4B9441">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36DD585F">
      <w:pPr>
        <w:pStyle w:val="23"/>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82176" behindDoc="0" locked="0" layoutInCell="1" allowOverlap="1">
                <wp:simplePos x="0" y="0"/>
                <wp:positionH relativeFrom="column">
                  <wp:posOffset>-114300</wp:posOffset>
                </wp:positionH>
                <wp:positionV relativeFrom="paragraph">
                  <wp:posOffset>12065</wp:posOffset>
                </wp:positionV>
                <wp:extent cx="828040" cy="391795"/>
                <wp:effectExtent l="0" t="0" r="0" b="0"/>
                <wp:wrapNone/>
                <wp:docPr id="414" name="0002a1"/>
                <wp:cNvGraphicFramePr/>
                <a:graphic xmlns:a="http://schemas.openxmlformats.org/drawingml/2006/main">
                  <a:graphicData uri="http://schemas.microsoft.com/office/word/2010/wordprocessingShape">
                    <wps:wsp>
                      <wps:cNvSpPr txBox="1"/>
                      <wps:spPr>
                        <a:xfrm>
                          <a:off x="0" y="0"/>
                          <a:ext cx="828040" cy="391795"/>
                        </a:xfrm>
                        <a:prstGeom prst="rect">
                          <a:avLst/>
                        </a:prstGeom>
                        <a:noFill/>
                        <a:ln>
                          <a:noFill/>
                        </a:ln>
                        <a:effectLst/>
                      </wps:spPr>
                      <wps:txbx>
                        <w:txbxContent>
                          <w:p w14:paraId="0C0FF5C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p w14:paraId="04397C00"/>
                        </w:txbxContent>
                      </wps:txbx>
                      <wps:bodyPr wrap="square" upright="1"/>
                    </wps:wsp>
                  </a:graphicData>
                </a:graphic>
              </wp:anchor>
            </w:drawing>
          </mc:Choice>
          <mc:Fallback>
            <w:pict>
              <v:shape id="0002a1" o:spid="_x0000_s1026" o:spt="202" type="#_x0000_t202" style="position:absolute;left:0pt;margin-left:-9pt;margin-top:0.95pt;height:30.85pt;width:65.2pt;z-index:252082176;mso-width-relative:page;mso-height-relative:page;" filled="f" stroked="f" coordsize="21600,21600" o:gfxdata="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W3SQC1QAAAAgB&#10;AAAPAAAAAAAAAAEAIAAAACIAAABkcnMvZG93bnJldi54bWxQSwECFAAUAAAACACHTuJApeeycKwB&#10;AABmAwAADgAAAAAAAAABACAAAAAkAQAAZHJzL2Uyb0RvYy54bWxQSwUGAAAAAAYABgBZAQAAQgUA&#10;AAAA&#10;">
                <v:fill on="f" focussize="0,0"/>
                <v:stroke on="f"/>
                <v:imagedata o:title=""/>
                <o:lock v:ext="edit" aspectratio="f"/>
                <v:textbox>
                  <w:txbxContent>
                    <w:p w14:paraId="0C0FF5C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p w14:paraId="04397C00"/>
                  </w:txbxContent>
                </v:textbox>
              </v:shape>
            </w:pict>
          </mc:Fallback>
        </mc:AlternateContent>
      </w:r>
      <w:r>
        <w:rPr>
          <w:rFonts w:hint="eastAsia" w:ascii="仿宋" w:hAnsi="仿宋" w:eastAsia="仿宋" w:cs="仿宋"/>
          <w:color w:val="auto"/>
          <w:sz w:val="24"/>
          <w:szCs w:val="24"/>
          <w:highlight w:val="none"/>
          <w:lang w:eastAsia="zh-CN"/>
        </w:rPr>
        <w:t>若合同双方或一方当事人在收到争议调解或认定机构的书面结果后明确表示不同意，或在</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天内没有书面确认，任何一方均可按照专用条款约定的下列任一种方式解决争议：</w:t>
      </w:r>
    </w:p>
    <w:p w14:paraId="202610B9">
      <w:pPr>
        <w:pStyle w:val="23"/>
        <w:widowControl w:val="0"/>
        <w:numPr>
          <w:ilvl w:val="1"/>
          <w:numId w:val="18"/>
        </w:numPr>
        <w:tabs>
          <w:tab w:val="clear" w:pos="3285"/>
        </w:tabs>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向约定的仲裁委员会申请仲裁；</w:t>
      </w:r>
    </w:p>
    <w:p w14:paraId="26D9FD69">
      <w:pPr>
        <w:pStyle w:val="23"/>
        <w:widowControl w:val="0"/>
        <w:numPr>
          <w:ilvl w:val="1"/>
          <w:numId w:val="18"/>
        </w:numPr>
        <w:tabs>
          <w:tab w:val="clear" w:pos="3285"/>
        </w:tabs>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向有管辖权的人民法院提起诉讼。</w:t>
      </w:r>
    </w:p>
    <w:p w14:paraId="0C1369FA">
      <w:pPr>
        <w:pStyle w:val="23"/>
        <w:tabs>
          <w:tab w:val="left" w:pos="1320"/>
        </w:tabs>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 xml:space="preserve">.7  </w:t>
      </w:r>
      <w:r>
        <w:rPr>
          <w:rFonts w:ascii="仿宋" w:hAnsi="仿宋" w:eastAsia="仿宋" w:cs="仿宋"/>
          <w:b/>
          <w:bCs/>
          <w:color w:val="auto"/>
          <w:sz w:val="24"/>
          <w:szCs w:val="24"/>
          <w:highlight w:val="none"/>
          <w:u w:val="dotted"/>
          <w:lang w:eastAsia="zh-CN"/>
        </w:rPr>
        <w:t xml:space="preserve">                                                                               </w:t>
      </w:r>
    </w:p>
    <w:p w14:paraId="4D57B07D">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83200" behindDoc="0" locked="0" layoutInCell="1" allowOverlap="1">
                <wp:simplePos x="0" y="0"/>
                <wp:positionH relativeFrom="column">
                  <wp:posOffset>-114300</wp:posOffset>
                </wp:positionH>
                <wp:positionV relativeFrom="paragraph">
                  <wp:posOffset>15875</wp:posOffset>
                </wp:positionV>
                <wp:extent cx="832485" cy="536575"/>
                <wp:effectExtent l="0" t="0" r="0" b="0"/>
                <wp:wrapNone/>
                <wp:docPr id="415" name="0002a2"/>
                <wp:cNvGraphicFramePr/>
                <a:graphic xmlns:a="http://schemas.openxmlformats.org/drawingml/2006/main">
                  <a:graphicData uri="http://schemas.microsoft.com/office/word/2010/wordprocessingShape">
                    <wps:wsp>
                      <wps:cNvSpPr txBox="1"/>
                      <wps:spPr>
                        <a:xfrm>
                          <a:off x="0" y="0"/>
                          <a:ext cx="832485" cy="536575"/>
                        </a:xfrm>
                        <a:prstGeom prst="rect">
                          <a:avLst/>
                        </a:prstGeom>
                        <a:noFill/>
                        <a:ln>
                          <a:noFill/>
                        </a:ln>
                        <a:effectLst/>
                      </wps:spPr>
                      <wps:txbx>
                        <w:txbxContent>
                          <w:p w14:paraId="35E6DE8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p w14:paraId="1E762121"/>
                        </w:txbxContent>
                      </wps:txbx>
                      <wps:bodyPr wrap="square" upright="1"/>
                    </wps:wsp>
                  </a:graphicData>
                </a:graphic>
              </wp:anchor>
            </w:drawing>
          </mc:Choice>
          <mc:Fallback>
            <w:pict>
              <v:shape id="0002a2" o:spid="_x0000_s1026" o:spt="202" type="#_x0000_t202" style="position:absolute;left:0pt;margin-left:-9pt;margin-top:1.25pt;height:42.25pt;width:65.55pt;z-index:252083200;mso-width-relative:page;mso-height-relative:page;" filled="f" stroked="f" coordsize="21600,21600" o:gfxdata="UEsDBAoAAAAAAIdO4kAAAAAAAAAAAAAAAAAEAAAAZHJzL1BLAwQUAAAACACHTuJA7GozHt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7GozHtYAAAAI&#10;AQAADwAAAAAAAAABACAAAAAiAAAAZHJzL2Rvd25yZXYueG1sUEsBAhQAFAAAAAgAh07iQF8HnG6s&#10;AQAAZgMAAA4AAAAAAAAAAQAgAAAAJQEAAGRycy9lMm9Eb2MueG1sUEsFBgAAAAAGAAYAWQEAAEMF&#10;AAAAAA==&#10;">
                <v:fill on="f" focussize="0,0"/>
                <v:stroke on="f"/>
                <v:imagedata o:title=""/>
                <o:lock v:ext="edit" aspectratio="f"/>
                <v:textbox>
                  <w:txbxContent>
                    <w:p w14:paraId="35E6DE8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p w14:paraId="1E762121"/>
                  </w:txbxContent>
                </v:textbox>
              </v:shape>
            </w:pict>
          </mc:Fallback>
        </mc:AlternateContent>
      </w:r>
      <w:r>
        <w:rPr>
          <w:rFonts w:hint="eastAsia" w:ascii="仿宋" w:hAnsi="仿宋" w:eastAsia="仿宋" w:cs="仿宋"/>
          <w:color w:val="auto"/>
          <w:sz w:val="24"/>
          <w:szCs w:val="24"/>
          <w:highlight w:val="none"/>
          <w:lang w:eastAsia="zh-CN"/>
        </w:rPr>
        <w:t>争议期间，除下列情况停止施工外，合同双方当事人应继续履行合同，保持工程连续施工，保护好已完工程：</w:t>
      </w:r>
    </w:p>
    <w:p w14:paraId="451AA8E8">
      <w:pPr>
        <w:pStyle w:val="23"/>
        <w:widowControl w:val="0"/>
        <w:numPr>
          <w:ilvl w:val="1"/>
          <w:numId w:val="19"/>
        </w:numPr>
        <w:tabs>
          <w:tab w:val="clear" w:pos="3285"/>
        </w:tabs>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合同双方当事人协商同意；</w:t>
      </w:r>
    </w:p>
    <w:p w14:paraId="2DC1F529">
      <w:pPr>
        <w:pStyle w:val="23"/>
        <w:widowControl w:val="0"/>
        <w:numPr>
          <w:ilvl w:val="1"/>
          <w:numId w:val="19"/>
        </w:numPr>
        <w:tabs>
          <w:tab w:val="clear" w:pos="3285"/>
        </w:tabs>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合同一方当事人违约导致合同无法履行；</w:t>
      </w:r>
    </w:p>
    <w:p w14:paraId="5486E69E">
      <w:pPr>
        <w:pStyle w:val="23"/>
        <w:widowControl w:val="0"/>
        <w:numPr>
          <w:ilvl w:val="1"/>
          <w:numId w:val="19"/>
        </w:numPr>
        <w:tabs>
          <w:tab w:val="clear" w:pos="3285"/>
        </w:tabs>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工程造价调解机构调解需要，且合同双方当事人同意；</w:t>
      </w:r>
    </w:p>
    <w:p w14:paraId="5A03CB8D">
      <w:pPr>
        <w:pStyle w:val="23"/>
        <w:widowControl w:val="0"/>
        <w:numPr>
          <w:ilvl w:val="1"/>
          <w:numId w:val="19"/>
        </w:numPr>
        <w:tabs>
          <w:tab w:val="clear" w:pos="3285"/>
        </w:tabs>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仲裁委员会仲裁需要，且合同双方当事人同意；</w:t>
      </w:r>
    </w:p>
    <w:p w14:paraId="113100F1">
      <w:pPr>
        <w:pStyle w:val="23"/>
        <w:widowControl w:val="0"/>
        <w:numPr>
          <w:ilvl w:val="1"/>
          <w:numId w:val="19"/>
        </w:numPr>
        <w:tabs>
          <w:tab w:val="clear" w:pos="3285"/>
        </w:tabs>
        <w:spacing w:line="360" w:lineRule="auto"/>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人民法院诉讼需要。</w:t>
      </w:r>
    </w:p>
    <w:p w14:paraId="6982A540">
      <w:pPr>
        <w:pStyle w:val="23"/>
        <w:tabs>
          <w:tab w:val="left" w:pos="1620"/>
        </w:tabs>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26B4ED71">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1189" w:name="_Toc23167"/>
      <w:bookmarkStart w:id="1190" w:name="_Toc469384071"/>
      <w:bookmarkStart w:id="1191" w:name="_Toc4191"/>
      <w:bookmarkStart w:id="1192" w:name="_Toc29481"/>
      <w:bookmarkStart w:id="1193" w:name="_Toc15000"/>
      <w:bookmarkStart w:id="1194" w:name="_Toc47694369"/>
      <w:bookmarkStart w:id="1195" w:name="_Toc22629"/>
      <w:bookmarkStart w:id="1196" w:name="_Toc20037"/>
      <w:bookmarkStart w:id="1197" w:name="_Toc9242"/>
      <w:r>
        <w:rPr>
          <w:rFonts w:hint="eastAsia" w:ascii="仿宋" w:hAnsi="仿宋" w:eastAsia="仿宋" w:cs="仿宋"/>
          <w:bCs w:val="0"/>
          <w:color w:val="auto"/>
          <w:sz w:val="24"/>
          <w:szCs w:val="24"/>
          <w:highlight w:val="none"/>
          <w:lang w:eastAsia="zh-CN"/>
        </w:rPr>
        <w:t>92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合同解除</w:t>
      </w:r>
      <w:bookmarkEnd w:id="1189"/>
      <w:bookmarkEnd w:id="1190"/>
      <w:bookmarkEnd w:id="1191"/>
      <w:bookmarkEnd w:id="1192"/>
      <w:bookmarkEnd w:id="1193"/>
      <w:bookmarkEnd w:id="1194"/>
      <w:bookmarkEnd w:id="1195"/>
      <w:bookmarkEnd w:id="1196"/>
      <w:bookmarkEnd w:id="1197"/>
    </w:p>
    <w:p w14:paraId="44472C71">
      <w:pPr>
        <w:rPr>
          <w:rFonts w:ascii="仿宋" w:hAnsi="仿宋" w:eastAsia="仿宋" w:cs="仿宋"/>
          <w:b/>
          <w:bCs/>
          <w:color w:val="auto"/>
          <w:highlight w:val="none"/>
          <w:lang w:eastAsia="zh-CN"/>
        </w:rPr>
      </w:pPr>
      <w:bookmarkStart w:id="1198" w:name="_Toc16164"/>
      <w:r>
        <w:rPr>
          <w:color w:val="auto"/>
          <w:highlight w:val="none"/>
        </w:rPr>
        <mc:AlternateContent>
          <mc:Choice Requires="wps">
            <w:drawing>
              <wp:anchor distT="0" distB="0" distL="114300" distR="114300" simplePos="0" relativeHeight="252084224" behindDoc="0" locked="0" layoutInCell="1" allowOverlap="1">
                <wp:simplePos x="0" y="0"/>
                <wp:positionH relativeFrom="column">
                  <wp:posOffset>-114300</wp:posOffset>
                </wp:positionH>
                <wp:positionV relativeFrom="paragraph">
                  <wp:posOffset>165100</wp:posOffset>
                </wp:positionV>
                <wp:extent cx="790575" cy="450215"/>
                <wp:effectExtent l="0" t="0" r="0" b="0"/>
                <wp:wrapNone/>
                <wp:docPr id="416" name="0002a3"/>
                <wp:cNvGraphicFramePr/>
                <a:graphic xmlns:a="http://schemas.openxmlformats.org/drawingml/2006/main">
                  <a:graphicData uri="http://schemas.microsoft.com/office/word/2010/wordprocessingShape">
                    <wps:wsp>
                      <wps:cNvSpPr txBox="1"/>
                      <wps:spPr>
                        <a:xfrm>
                          <a:off x="0" y="0"/>
                          <a:ext cx="790575" cy="450215"/>
                        </a:xfrm>
                        <a:prstGeom prst="rect">
                          <a:avLst/>
                        </a:prstGeom>
                        <a:noFill/>
                        <a:ln>
                          <a:noFill/>
                        </a:ln>
                        <a:effectLst/>
                      </wps:spPr>
                      <wps:txbx>
                        <w:txbxContent>
                          <w:p w14:paraId="4957620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p w14:paraId="4516E764"/>
                        </w:txbxContent>
                      </wps:txbx>
                      <wps:bodyPr wrap="square" upright="1"/>
                    </wps:wsp>
                  </a:graphicData>
                </a:graphic>
              </wp:anchor>
            </w:drawing>
          </mc:Choice>
          <mc:Fallback>
            <w:pict>
              <v:shape id="0002a3" o:spid="_x0000_s1026" o:spt="202" type="#_x0000_t202" style="position:absolute;left:0pt;margin-left:-9pt;margin-top:13pt;height:35.45pt;width:62.25pt;z-index:252084224;mso-width-relative:page;mso-height-relative:page;" filled="f" stroked="f" coordsize="21600,21600" o:gfxdata="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QdKKrXAAAA&#10;CQEAAA8AAAAAAAAAAQAgAAAAIgAAAGRycy9kb3ducmV2LnhtbFBLAQIUABQAAAAIAIdO4kBZVoGt&#10;rAEAAGYDAAAOAAAAAAAAAAEAIAAAACYBAABkcnMvZTJvRG9jLnhtbFBLBQYAAAAABgAGAFkBAABE&#10;BQAAAAA=&#10;">
                <v:fill on="f" focussize="0,0"/>
                <v:stroke on="f"/>
                <v:imagedata o:title=""/>
                <o:lock v:ext="edit" aspectratio="f"/>
                <v:textbox>
                  <w:txbxContent>
                    <w:p w14:paraId="4957620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p w14:paraId="4516E764"/>
                  </w:txbxContent>
                </v:textbox>
              </v:shape>
            </w:pict>
          </mc:Fallback>
        </mc:AlternateContent>
      </w:r>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.1</w:t>
      </w:r>
      <w:bookmarkEnd w:id="1198"/>
    </w:p>
    <w:p w14:paraId="0A4762BD">
      <w:pPr>
        <w:pStyle w:val="23"/>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合同双方当事人协商一致，可以解除合同。</w:t>
      </w:r>
    </w:p>
    <w:p w14:paraId="4E0D5F59">
      <w:pPr>
        <w:pStyle w:val="23"/>
        <w:tabs>
          <w:tab w:val="left" w:pos="1320"/>
        </w:tabs>
        <w:spacing w:line="36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85248" behindDoc="0" locked="0" layoutInCell="1" allowOverlap="1">
                <wp:simplePos x="0" y="0"/>
                <wp:positionH relativeFrom="column">
                  <wp:posOffset>-89535</wp:posOffset>
                </wp:positionH>
                <wp:positionV relativeFrom="paragraph">
                  <wp:posOffset>217170</wp:posOffset>
                </wp:positionV>
                <wp:extent cx="795020" cy="578485"/>
                <wp:effectExtent l="0" t="0" r="0" b="0"/>
                <wp:wrapNone/>
                <wp:docPr id="417" name="0002a4"/>
                <wp:cNvGraphicFramePr/>
                <a:graphic xmlns:a="http://schemas.openxmlformats.org/drawingml/2006/main">
                  <a:graphicData uri="http://schemas.microsoft.com/office/word/2010/wordprocessingShape">
                    <wps:wsp>
                      <wps:cNvSpPr txBox="1"/>
                      <wps:spPr>
                        <a:xfrm>
                          <a:off x="0" y="0"/>
                          <a:ext cx="795020" cy="578485"/>
                        </a:xfrm>
                        <a:prstGeom prst="rect">
                          <a:avLst/>
                        </a:prstGeom>
                        <a:noFill/>
                        <a:ln>
                          <a:noFill/>
                        </a:ln>
                        <a:effectLst/>
                      </wps:spPr>
                      <wps:txbx>
                        <w:txbxContent>
                          <w:p w14:paraId="00DF1C8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p w14:paraId="382445D3"/>
                        </w:txbxContent>
                      </wps:txbx>
                      <wps:bodyPr wrap="square" upright="1"/>
                    </wps:wsp>
                  </a:graphicData>
                </a:graphic>
              </wp:anchor>
            </w:drawing>
          </mc:Choice>
          <mc:Fallback>
            <w:pict>
              <v:shape id="0002a4" o:spid="_x0000_s1026" o:spt="202" type="#_x0000_t202" style="position:absolute;left:0pt;margin-left:-7.05pt;margin-top:17.1pt;height:45.55pt;width:62.6pt;z-index:252085248;mso-width-relative:page;mso-height-relative:page;" filled="f" stroked="f" coordsize="21600,21600" o:gfxdata="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XnRSQdcAAAAK&#10;AQAADwAAAAAAAAABACAAAAAiAAAAZHJzL2Rvd25yZXYueG1sUEsBAhQAFAAAAAgAh07iQI8zbGyr&#10;AQAAZgMAAA4AAAAAAAAAAQAgAAAAJgEAAGRycy9lMm9Eb2MueG1sUEsFBgAAAAAGAAYAWQEAAEMF&#10;AAAAAA==&#10;">
                <v:fill on="f" focussize="0,0"/>
                <v:stroke on="f"/>
                <v:imagedata o:title=""/>
                <o:lock v:ext="edit" aspectratio="f"/>
                <v:textbox>
                  <w:txbxContent>
                    <w:p w14:paraId="00DF1C8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p w14:paraId="382445D3"/>
                  </w:txbxContent>
                </v:textbox>
              </v:shape>
            </w:pict>
          </mc:Fallback>
        </mc:AlternateContent>
      </w:r>
      <w:r>
        <w:rPr>
          <w:rFonts w:hint="eastAsia" w:ascii="仿宋" w:hAnsi="仿宋" w:eastAsia="仿宋" w:cs="仿宋"/>
          <w:b/>
          <w:bCs/>
          <w:color w:val="auto"/>
          <w:sz w:val="24"/>
          <w:szCs w:val="24"/>
          <w:highlight w:val="none"/>
          <w:lang w:eastAsia="zh-CN"/>
        </w:rPr>
        <w:t>92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14:paraId="74C7C388">
      <w:pPr>
        <w:pStyle w:val="23"/>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因单次不可抗力导致合同无法履行连续超过84天或累计超过140天的，合同双方当事人有权解除合同。</w:t>
      </w:r>
    </w:p>
    <w:p w14:paraId="6D53A405">
      <w:pPr>
        <w:widowControl w:val="0"/>
        <w:spacing w:line="360" w:lineRule="auto"/>
        <w:rPr>
          <w:rFonts w:ascii="仿宋" w:hAnsi="仿宋" w:eastAsia="仿宋"/>
          <w:color w:val="auto"/>
          <w:highlight w:val="none"/>
          <w:lang w:eastAsia="zh-CN"/>
        </w:rPr>
      </w:pPr>
      <w:bookmarkStart w:id="1199" w:name="_Toc7790"/>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.3</w:t>
      </w:r>
      <w:bookmarkEnd w:id="1199"/>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28893553">
      <w:pPr>
        <w:pStyle w:val="23"/>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86272" behindDoc="0" locked="0" layoutInCell="1" allowOverlap="1">
                <wp:simplePos x="0" y="0"/>
                <wp:positionH relativeFrom="column">
                  <wp:posOffset>-114300</wp:posOffset>
                </wp:positionH>
                <wp:positionV relativeFrom="paragraph">
                  <wp:posOffset>37465</wp:posOffset>
                </wp:positionV>
                <wp:extent cx="803275" cy="749300"/>
                <wp:effectExtent l="0" t="0" r="0" b="0"/>
                <wp:wrapNone/>
                <wp:docPr id="418" name="0002a5"/>
                <wp:cNvGraphicFramePr/>
                <a:graphic xmlns:a="http://schemas.openxmlformats.org/drawingml/2006/main">
                  <a:graphicData uri="http://schemas.microsoft.com/office/word/2010/wordprocessingShape">
                    <wps:wsp>
                      <wps:cNvSpPr txBox="1"/>
                      <wps:spPr>
                        <a:xfrm>
                          <a:off x="0" y="0"/>
                          <a:ext cx="803275" cy="749300"/>
                        </a:xfrm>
                        <a:prstGeom prst="rect">
                          <a:avLst/>
                        </a:prstGeom>
                        <a:noFill/>
                        <a:ln>
                          <a:noFill/>
                        </a:ln>
                        <a:effectLst/>
                      </wps:spPr>
                      <wps:txbx>
                        <w:txbxContent>
                          <w:p w14:paraId="20980E6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p w14:paraId="25951BE1"/>
                        </w:txbxContent>
                      </wps:txbx>
                      <wps:bodyPr wrap="square" upright="1"/>
                    </wps:wsp>
                  </a:graphicData>
                </a:graphic>
              </wp:anchor>
            </w:drawing>
          </mc:Choice>
          <mc:Fallback>
            <w:pict>
              <v:shape id="0002a5" o:spid="_x0000_s1026" o:spt="202" type="#_x0000_t202" style="position:absolute;left:0pt;margin-left:-9pt;margin-top:2.95pt;height:59pt;width:63.25pt;z-index:252086272;mso-width-relative:page;mso-height-relative:page;" filled="f" stroked="f" coordsize="21600,21600" o:gfxdata="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WxZF21wAA&#10;AAkBAAAPAAAAAAAAAAEAIAAAACIAAABkcnMvZG93bnJldi54bWxQSwECFAAUAAAACACHTuJArpTB&#10;l60BAABmAwAADgAAAAAAAAABACAAAAAmAQAAZHJzL2Uyb0RvYy54bWxQSwUGAAAAAAYABgBZAQAA&#10;RQUAAAAA&#10;">
                <v:fill on="f" focussize="0,0"/>
                <v:stroke on="f"/>
                <v:imagedata o:title=""/>
                <o:lock v:ext="edit" aspectratio="f"/>
                <v:textbox>
                  <w:txbxContent>
                    <w:p w14:paraId="20980E6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p w14:paraId="25951BE1"/>
                  </w:txbxContent>
                </v:textbox>
              </v:shape>
            </w:pict>
          </mc:Fallback>
        </mc:AlternateContent>
      </w:r>
      <w:r>
        <w:rPr>
          <w:rFonts w:hint="eastAsia" w:ascii="仿宋" w:hAnsi="仿宋" w:eastAsia="仿宋" w:cs="仿宋"/>
          <w:color w:val="auto"/>
          <w:sz w:val="24"/>
          <w:szCs w:val="24"/>
          <w:highlight w:val="none"/>
          <w:lang w:eastAsia="zh-CN"/>
        </w:rPr>
        <w:t>承包人有下列情形之一的，发包人可以解除合同：</w:t>
      </w:r>
    </w:p>
    <w:p w14:paraId="0A5111A1">
      <w:pPr>
        <w:pStyle w:val="23"/>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（1）承包人未能按照第41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款约定的开工期限内开展勘察（如果有）、设计、BIM技术应用、设备及工器具购置（如果有）和施工等阶段的总承包范围内工作，经设计顾问人或监理人催告后的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天内仍未开工的；</w:t>
      </w:r>
    </w:p>
    <w:p w14:paraId="759A0C2C">
      <w:pPr>
        <w:pStyle w:val="23"/>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（2）按照第40条约定的进度计划未表明有停工且监理人也未按照第42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款约定发出暂停施工令，但承包人停止施工时间持续达</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天或累计停止施工时间达</w:t>
      </w:r>
      <w:r>
        <w:rPr>
          <w:rFonts w:ascii="仿宋" w:hAnsi="仿宋" w:eastAsia="仿宋" w:cs="仿宋"/>
          <w:color w:val="auto"/>
          <w:sz w:val="24"/>
          <w:szCs w:val="24"/>
          <w:highlight w:val="none"/>
          <w:lang w:eastAsia="zh-CN"/>
        </w:rPr>
        <w:t>70</w:t>
      </w:r>
      <w:r>
        <w:rPr>
          <w:rFonts w:hint="eastAsia" w:ascii="仿宋" w:hAnsi="仿宋" w:eastAsia="仿宋" w:cs="仿宋"/>
          <w:color w:val="auto"/>
          <w:sz w:val="24"/>
          <w:szCs w:val="24"/>
          <w:highlight w:val="none"/>
          <w:lang w:eastAsia="zh-CN"/>
        </w:rPr>
        <w:t>天的；</w:t>
      </w:r>
    </w:p>
    <w:p w14:paraId="487D9D6E">
      <w:pPr>
        <w:pStyle w:val="23"/>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（3）承包人违反第21</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款或第58</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款约定未经监理人批准，擅自将已按照合同约定进入施工现场的施工设备、临时设施、工程材料、工程设备运出施工现场的；</w:t>
      </w:r>
    </w:p>
    <w:p w14:paraId="4B215D6F">
      <w:pPr>
        <w:pStyle w:val="23"/>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（4）承包人拖延完工且能偿付的误期赔偿费已达到专用条款约定最高限额的；</w:t>
      </w:r>
    </w:p>
    <w:p w14:paraId="1DB7D672">
      <w:pPr>
        <w:pStyle w:val="23"/>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（5）承包人转包工程、违法分包或未经发</w:t>
      </w:r>
      <w:r>
        <w:rPr>
          <w:rFonts w:ascii="仿宋" w:hAnsi="仿宋" w:eastAsia="仿宋" w:cs="仿宋"/>
          <w:color w:val="auto"/>
          <w:sz w:val="24"/>
          <w:szCs w:val="24"/>
          <w:highlight w:val="none"/>
          <w:lang w:eastAsia="zh-CN"/>
        </w:rPr>
        <w:t>包人同意</w:t>
      </w:r>
      <w:r>
        <w:rPr>
          <w:rFonts w:hint="eastAsia" w:ascii="仿宋" w:hAnsi="仿宋" w:eastAsia="仿宋" w:cs="仿宋"/>
          <w:color w:val="auto"/>
          <w:sz w:val="24"/>
          <w:szCs w:val="24"/>
          <w:highlight w:val="none"/>
          <w:lang w:eastAsia="zh-CN"/>
        </w:rPr>
        <w:t>擅自分包工程的；</w:t>
      </w:r>
    </w:p>
    <w:p w14:paraId="64A4DC77">
      <w:pPr>
        <w:pStyle w:val="23"/>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（6）承包人未按照合同约定或设计顾问人、监理人的指令，经监理人、设计顾问人书面指出后仍未按要求改正的；</w:t>
      </w:r>
    </w:p>
    <w:p w14:paraId="7BB21619">
      <w:pPr>
        <w:pStyle w:val="23"/>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（7）承包人履行合同期间有欺诈行为的；</w:t>
      </w:r>
    </w:p>
    <w:p w14:paraId="272C0FED">
      <w:pPr>
        <w:pStyle w:val="23"/>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（8）承包人向任何人给付或企图给付任何贿赂、礼品、赏金、回扣或其他贵重物品，以引诱或报偿他人，但给付承包人雇员的奖励则属例外；</w:t>
      </w:r>
    </w:p>
    <w:p w14:paraId="520209C9">
      <w:pPr>
        <w:pStyle w:val="23"/>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（9）承包人在缺陷责任期内未能对发生的缺陷进行修复，且又拒绝按照监理人指令再进行修补的；</w:t>
      </w:r>
    </w:p>
    <w:p w14:paraId="74D6B542">
      <w:pPr>
        <w:pStyle w:val="23"/>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（10）承包人明确表示或以行为表明不履行合同约定主要义务的；</w:t>
      </w:r>
    </w:p>
    <w:p w14:paraId="456CA27C">
      <w:pPr>
        <w:pStyle w:val="23"/>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（11）承包人延迟履行合同约定主要义务，经催告后在合理期限内仍未履行的；</w:t>
      </w:r>
    </w:p>
    <w:p w14:paraId="245DDC55">
      <w:pPr>
        <w:pStyle w:val="23"/>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（12）承包人破产或清算的，但以机构重组或联合为目的的除外；</w:t>
      </w:r>
    </w:p>
    <w:p w14:paraId="60D97B69">
      <w:pPr>
        <w:pStyle w:val="23"/>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（13）承包人被认为有严重违反合同的其他违约行为；</w:t>
      </w:r>
    </w:p>
    <w:p w14:paraId="6E7449FA">
      <w:pPr>
        <w:pStyle w:val="23"/>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（14）承包人不配合发包人对本合同工程进行检查。</w:t>
      </w:r>
    </w:p>
    <w:p w14:paraId="68AEDD26">
      <w:pPr>
        <w:pStyle w:val="23"/>
        <w:widowControl w:val="0"/>
        <w:spacing w:line="360" w:lineRule="auto"/>
        <w:ind w:left="1850" w:leftChars="771"/>
        <w:jc w:val="both"/>
        <w:rPr>
          <w:rFonts w:ascii="仿宋" w:hAnsi="仿宋" w:eastAsia="仿宋"/>
          <w:b/>
          <w:bCs/>
          <w:color w:val="auto"/>
          <w:sz w:val="24"/>
          <w:szCs w:val="24"/>
          <w:highlight w:val="none"/>
          <w:lang w:eastAsia="zh-CN"/>
        </w:rPr>
      </w:pPr>
      <w:r>
        <w:rPr>
          <w:rFonts w:hint="eastAsia" w:ascii="仿宋" w:hAnsi="仿宋" w:eastAsia="仿宋" w:cs="仿宋"/>
          <w:color w:val="auto"/>
          <w:sz w:val="24"/>
          <w:szCs w:val="24"/>
          <w:highlight w:val="none"/>
          <w:lang w:eastAsia="zh-CN"/>
        </w:rPr>
        <w:t>在这种情况下，发包人可自行或委托第三方实施、完成合同工程或其任何部分，并可使用根据第21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款留下的承包人临时工程，直至永久工程完工为止。</w:t>
      </w:r>
    </w:p>
    <w:p w14:paraId="09C641E7">
      <w:pPr>
        <w:widowControl w:val="0"/>
        <w:spacing w:line="360" w:lineRule="auto"/>
        <w:rPr>
          <w:rFonts w:ascii="仿宋" w:hAnsi="仿宋" w:eastAsia="仿宋"/>
          <w:b/>
          <w:bCs/>
          <w:color w:val="auto"/>
          <w:highlight w:val="none"/>
          <w:lang w:eastAsia="zh-CN"/>
        </w:rPr>
      </w:pPr>
      <w:bookmarkStart w:id="1200" w:name="_Toc8110"/>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.4</w:t>
      </w:r>
      <w:bookmarkEnd w:id="120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5F07D73">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87296" behindDoc="0" locked="0" layoutInCell="1" allowOverlap="1">
                <wp:simplePos x="0" y="0"/>
                <wp:positionH relativeFrom="column">
                  <wp:posOffset>-114300</wp:posOffset>
                </wp:positionH>
                <wp:positionV relativeFrom="paragraph">
                  <wp:posOffset>29845</wp:posOffset>
                </wp:positionV>
                <wp:extent cx="813435" cy="725805"/>
                <wp:effectExtent l="0" t="0" r="0" b="0"/>
                <wp:wrapNone/>
                <wp:docPr id="419" name="0002a6"/>
                <wp:cNvGraphicFramePr/>
                <a:graphic xmlns:a="http://schemas.openxmlformats.org/drawingml/2006/main">
                  <a:graphicData uri="http://schemas.microsoft.com/office/word/2010/wordprocessingShape">
                    <wps:wsp>
                      <wps:cNvSpPr txBox="1"/>
                      <wps:spPr>
                        <a:xfrm>
                          <a:off x="0" y="0"/>
                          <a:ext cx="813435" cy="725805"/>
                        </a:xfrm>
                        <a:prstGeom prst="rect">
                          <a:avLst/>
                        </a:prstGeom>
                        <a:noFill/>
                        <a:ln>
                          <a:noFill/>
                        </a:ln>
                        <a:effectLst/>
                      </wps:spPr>
                      <wps:txbx>
                        <w:txbxContent>
                          <w:p w14:paraId="721EFDC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p w14:paraId="3AD142C5"/>
                        </w:txbxContent>
                      </wps:txbx>
                      <wps:bodyPr wrap="square" upright="1"/>
                    </wps:wsp>
                  </a:graphicData>
                </a:graphic>
              </wp:anchor>
            </w:drawing>
          </mc:Choice>
          <mc:Fallback>
            <w:pict>
              <v:shape id="0002a6" o:spid="_x0000_s1026" o:spt="202" type="#_x0000_t202" style="position:absolute;left:0pt;margin-left:-9pt;margin-top:2.35pt;height:57.15pt;width:64.05pt;z-index:252087296;mso-width-relative:page;mso-height-relative:page;" filled="f" stroked="f" coordsize="21600,21600" o:gfxdata="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IZe9dYAAAAJ&#10;AQAADwAAAAAAAAABACAAAAAiAAAAZHJzL2Rvd25yZXYueG1sUEsBAhQAFAAAAAgAh07iQJzptnys&#10;AQAAZgMAAA4AAAAAAAAAAQAgAAAAJQEAAGRycy9lMm9Eb2MueG1sUEsFBgAAAAAGAAYAWQEAAEMF&#10;AAAAAA==&#10;">
                <v:fill on="f" focussize="0,0"/>
                <v:stroke on="f"/>
                <v:imagedata o:title=""/>
                <o:lock v:ext="edit" aspectratio="f"/>
                <v:textbox>
                  <w:txbxContent>
                    <w:p w14:paraId="721EFDC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p w14:paraId="3AD142C5"/>
                  </w:txbxContent>
                </v:textbox>
              </v:shape>
            </w:pict>
          </mc:Fallback>
        </mc:AlternateContent>
      </w:r>
      <w:r>
        <w:rPr>
          <w:rFonts w:hint="eastAsia" w:ascii="仿宋" w:hAnsi="仿宋" w:eastAsia="仿宋" w:cs="仿宋"/>
          <w:color w:val="auto"/>
          <w:sz w:val="24"/>
          <w:szCs w:val="24"/>
          <w:highlight w:val="none"/>
          <w:lang w:eastAsia="zh-CN"/>
        </w:rPr>
        <w:t>发包人有下列情形之一的，承包人可以解除合同：</w:t>
      </w:r>
    </w:p>
    <w:p w14:paraId="734D6CE4">
      <w:pPr>
        <w:pStyle w:val="23"/>
        <w:widowControl w:val="0"/>
        <w:numPr>
          <w:ilvl w:val="0"/>
          <w:numId w:val="20"/>
        </w:numPr>
        <w:tabs>
          <w:tab w:val="clear" w:pos="1560"/>
        </w:tabs>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非承包人原因未按照第41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款约定期限内发出开工令，经承包人催告后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天内仍未发出开工令的；</w:t>
      </w:r>
    </w:p>
    <w:p w14:paraId="437081A8">
      <w:pPr>
        <w:pStyle w:val="23"/>
        <w:widowControl w:val="0"/>
        <w:numPr>
          <w:ilvl w:val="0"/>
          <w:numId w:val="20"/>
        </w:numPr>
        <w:tabs>
          <w:tab w:val="clear" w:pos="1560"/>
        </w:tabs>
        <w:spacing w:line="360" w:lineRule="auto"/>
        <w:ind w:left="1850" w:leftChars="771" w:firstLine="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按照第42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款约定非承包人原因造成暂停施工持续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天以上或累计停工时间超过了</w:t>
      </w:r>
      <w:r>
        <w:rPr>
          <w:rFonts w:ascii="仿宋" w:hAnsi="仿宋" w:eastAsia="仿宋" w:cs="仿宋"/>
          <w:color w:val="auto"/>
          <w:sz w:val="24"/>
          <w:szCs w:val="24"/>
          <w:highlight w:val="none"/>
          <w:lang w:eastAsia="zh-CN"/>
        </w:rPr>
        <w:t>70</w:t>
      </w:r>
      <w:r>
        <w:rPr>
          <w:rFonts w:hint="eastAsia" w:ascii="仿宋" w:hAnsi="仿宋" w:eastAsia="仿宋" w:cs="仿宋"/>
          <w:color w:val="auto"/>
          <w:sz w:val="24"/>
          <w:szCs w:val="24"/>
          <w:highlight w:val="none"/>
          <w:lang w:eastAsia="zh-CN"/>
        </w:rPr>
        <w:t>天的；</w:t>
      </w:r>
    </w:p>
    <w:p w14:paraId="422286AF">
      <w:pPr>
        <w:pStyle w:val="23"/>
        <w:widowControl w:val="0"/>
        <w:numPr>
          <w:ilvl w:val="0"/>
          <w:numId w:val="20"/>
        </w:numPr>
        <w:tabs>
          <w:tab w:val="clear" w:pos="1560"/>
        </w:tabs>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发包人按照第55条约定供应的工程材料和工程设备不符合强制性标准，致使承包人无法施工，经承包人催告后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天内仍未更换的；</w:t>
      </w:r>
    </w:p>
    <w:p w14:paraId="6DBDF5EC">
      <w:pPr>
        <w:pStyle w:val="23"/>
        <w:widowControl w:val="0"/>
        <w:numPr>
          <w:ilvl w:val="0"/>
          <w:numId w:val="20"/>
        </w:numPr>
        <w:tabs>
          <w:tab w:val="clear" w:pos="1560"/>
        </w:tabs>
        <w:spacing w:line="360" w:lineRule="auto"/>
        <w:ind w:left="1850" w:leftChars="771" w:firstLine="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设计顾问人或监理人未按照合同约定及时发出工作指令，导致承包人无法继续工作或施工的；</w:t>
      </w:r>
      <w:r>
        <w:rPr>
          <w:rFonts w:ascii="仿宋" w:hAnsi="仿宋" w:eastAsia="仿宋" w:cs="仿宋"/>
          <w:color w:val="auto"/>
          <w:sz w:val="24"/>
          <w:szCs w:val="24"/>
          <w:highlight w:val="none"/>
          <w:lang w:eastAsia="zh-CN"/>
        </w:rPr>
        <w:t xml:space="preserve"> </w:t>
      </w:r>
    </w:p>
    <w:p w14:paraId="268DE35C">
      <w:pPr>
        <w:pStyle w:val="23"/>
        <w:widowControl w:val="0"/>
        <w:numPr>
          <w:ilvl w:val="0"/>
          <w:numId w:val="20"/>
        </w:numPr>
        <w:tabs>
          <w:tab w:val="clear" w:pos="1560"/>
        </w:tabs>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发包人未按照第83</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款约定向承包人支付工程款，经承包人催告后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天内仍未支付的；</w:t>
      </w:r>
    </w:p>
    <w:p w14:paraId="2B2E4804">
      <w:pPr>
        <w:pStyle w:val="23"/>
        <w:widowControl w:val="0"/>
        <w:numPr>
          <w:ilvl w:val="0"/>
          <w:numId w:val="20"/>
        </w:numPr>
        <w:tabs>
          <w:tab w:val="clear" w:pos="1560"/>
        </w:tabs>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发包人无法继续履行、明确表示或以行为表明不履行合同约定主要义务的；</w:t>
      </w:r>
    </w:p>
    <w:p w14:paraId="29628D28">
      <w:pPr>
        <w:pStyle w:val="23"/>
        <w:widowControl w:val="0"/>
        <w:numPr>
          <w:ilvl w:val="0"/>
          <w:numId w:val="20"/>
        </w:numPr>
        <w:tabs>
          <w:tab w:val="clear" w:pos="1560"/>
        </w:tabs>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发包人延迟履行合同约定主要义务，经催告后在合理期限内仍未履行的；</w:t>
      </w:r>
    </w:p>
    <w:p w14:paraId="5776B828">
      <w:pPr>
        <w:pStyle w:val="23"/>
        <w:widowControl w:val="0"/>
        <w:numPr>
          <w:ilvl w:val="0"/>
          <w:numId w:val="20"/>
        </w:numPr>
        <w:tabs>
          <w:tab w:val="clear" w:pos="1560"/>
        </w:tabs>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发包人破产或清算的，但以机构重组或联合为目的的除外；</w:t>
      </w:r>
    </w:p>
    <w:p w14:paraId="3702A55C">
      <w:pPr>
        <w:pStyle w:val="23"/>
        <w:widowControl w:val="0"/>
        <w:numPr>
          <w:ilvl w:val="0"/>
          <w:numId w:val="20"/>
        </w:numPr>
        <w:tabs>
          <w:tab w:val="clear" w:pos="1560"/>
        </w:tabs>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发包人被认为有严重违反合同的其他违约行为。</w:t>
      </w:r>
    </w:p>
    <w:p w14:paraId="2674B324">
      <w:pPr>
        <w:pStyle w:val="23"/>
        <w:tabs>
          <w:tab w:val="left" w:pos="1320"/>
        </w:tabs>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88320" behindDoc="0" locked="0" layoutInCell="1" allowOverlap="1">
                <wp:simplePos x="0" y="0"/>
                <wp:positionH relativeFrom="column">
                  <wp:posOffset>-114300</wp:posOffset>
                </wp:positionH>
                <wp:positionV relativeFrom="paragraph">
                  <wp:posOffset>202565</wp:posOffset>
                </wp:positionV>
                <wp:extent cx="803910" cy="534035"/>
                <wp:effectExtent l="0" t="0" r="0" b="0"/>
                <wp:wrapNone/>
                <wp:docPr id="420" name="0002a7"/>
                <wp:cNvGraphicFramePr/>
                <a:graphic xmlns:a="http://schemas.openxmlformats.org/drawingml/2006/main">
                  <a:graphicData uri="http://schemas.microsoft.com/office/word/2010/wordprocessingShape">
                    <wps:wsp>
                      <wps:cNvSpPr txBox="1"/>
                      <wps:spPr>
                        <a:xfrm>
                          <a:off x="0" y="0"/>
                          <a:ext cx="803910" cy="534035"/>
                        </a:xfrm>
                        <a:prstGeom prst="rect">
                          <a:avLst/>
                        </a:prstGeom>
                        <a:noFill/>
                        <a:ln>
                          <a:noFill/>
                        </a:ln>
                        <a:effectLst/>
                      </wps:spPr>
                      <wps:txbx>
                        <w:txbxContent>
                          <w:p w14:paraId="072918E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p w14:paraId="20968D6E"/>
                        </w:txbxContent>
                      </wps:txbx>
                      <wps:bodyPr wrap="square" upright="1"/>
                    </wps:wsp>
                  </a:graphicData>
                </a:graphic>
              </wp:anchor>
            </w:drawing>
          </mc:Choice>
          <mc:Fallback>
            <w:pict>
              <v:shape id="0002a7" o:spid="_x0000_s1026" o:spt="202" type="#_x0000_t202" style="position:absolute;left:0pt;margin-left:-9pt;margin-top:15.95pt;height:42.05pt;width:63.3pt;z-index:252088320;mso-width-relative:page;mso-height-relative:page;" filled="f" stroked="f" coordsize="21600,21600" o:gfxdata="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7zORXNcAAAAK&#10;AQAADwAAAAAAAAABACAAAAAiAAAAZHJzL2Rvd25yZXYueG1sUEsBAhQAFAAAAAgAh07iQA9dOFir&#10;AQAAZgMAAA4AAAAAAAAAAQAgAAAAJgEAAGRycy9lMm9Eb2MueG1sUEsFBgAAAAAGAAYAWQEAAEMF&#10;AAAAAA==&#10;">
                <v:fill on="f" focussize="0,0"/>
                <v:stroke on="f"/>
                <v:imagedata o:title=""/>
                <o:lock v:ext="edit" aspectratio="f"/>
                <v:textbox>
                  <w:txbxContent>
                    <w:p w14:paraId="072918E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p w14:paraId="20968D6E"/>
                  </w:txbxContent>
                </v:textbox>
              </v:shape>
            </w:pict>
          </mc:Fallback>
        </mc:AlternateContent>
      </w:r>
      <w:r>
        <w:rPr>
          <w:rFonts w:hint="eastAsia" w:ascii="仿宋" w:hAnsi="仿宋" w:eastAsia="仿宋" w:cs="仿宋"/>
          <w:b/>
          <w:bCs/>
          <w:color w:val="auto"/>
          <w:sz w:val="24"/>
          <w:szCs w:val="24"/>
          <w:highlight w:val="none"/>
          <w:lang w:eastAsia="zh-CN"/>
        </w:rPr>
        <w:t>92</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02B64D6E">
      <w:pPr>
        <w:pStyle w:val="23"/>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款约定要求解除合同的，解除方应以书面形式向另一方当事人发出解除合同的通知，自通知到达对方时合同解除。对解除合同有争议的，应按照第91条约定处理。</w:t>
      </w:r>
    </w:p>
    <w:p w14:paraId="096C4B58">
      <w:pPr>
        <w:spacing w:line="360" w:lineRule="auto"/>
        <w:rPr>
          <w:rFonts w:ascii="仿宋" w:hAnsi="仿宋" w:eastAsia="仿宋"/>
          <w:b/>
          <w:bCs/>
          <w:color w:val="auto"/>
          <w:highlight w:val="none"/>
          <w:lang w:eastAsia="zh-CN"/>
        </w:rPr>
      </w:pPr>
      <w:bookmarkStart w:id="1201" w:name="_Toc27334"/>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.6</w:t>
      </w:r>
      <w:bookmarkEnd w:id="120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00A8377">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89344" behindDoc="0" locked="0" layoutInCell="1" allowOverlap="1">
                <wp:simplePos x="0" y="0"/>
                <wp:positionH relativeFrom="column">
                  <wp:posOffset>-114300</wp:posOffset>
                </wp:positionH>
                <wp:positionV relativeFrom="paragraph">
                  <wp:posOffset>6985</wp:posOffset>
                </wp:positionV>
                <wp:extent cx="794385" cy="582930"/>
                <wp:effectExtent l="0" t="0" r="0" b="0"/>
                <wp:wrapNone/>
                <wp:docPr id="421" name="0002a8"/>
                <wp:cNvGraphicFramePr/>
                <a:graphic xmlns:a="http://schemas.openxmlformats.org/drawingml/2006/main">
                  <a:graphicData uri="http://schemas.microsoft.com/office/word/2010/wordprocessingShape">
                    <wps:wsp>
                      <wps:cNvSpPr txBox="1"/>
                      <wps:spPr>
                        <a:xfrm>
                          <a:off x="0" y="0"/>
                          <a:ext cx="794385" cy="582930"/>
                        </a:xfrm>
                        <a:prstGeom prst="rect">
                          <a:avLst/>
                        </a:prstGeom>
                        <a:noFill/>
                        <a:ln>
                          <a:noFill/>
                        </a:ln>
                        <a:effectLst/>
                      </wps:spPr>
                      <wps:txbx>
                        <w:txbxContent>
                          <w:p w14:paraId="15CD3B7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p w14:paraId="44703408">
                            <w:pPr>
                              <w:rPr>
                                <w:lang w:eastAsia="zh-CN"/>
                              </w:rPr>
                            </w:pPr>
                          </w:p>
                        </w:txbxContent>
                      </wps:txbx>
                      <wps:bodyPr wrap="square" upright="1"/>
                    </wps:wsp>
                  </a:graphicData>
                </a:graphic>
              </wp:anchor>
            </w:drawing>
          </mc:Choice>
          <mc:Fallback>
            <w:pict>
              <v:shape id="0002a8" o:spid="_x0000_s1026" o:spt="202" type="#_x0000_t202" style="position:absolute;left:0pt;margin-left:-9pt;margin-top:0.55pt;height:45.9pt;width:62.55pt;z-index:252089344;mso-width-relative:page;mso-height-relative:page;" filled="f" stroked="f" coordsize="21600,21600" o:gfxdata="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fuwXPVAAAA&#10;CAEAAA8AAAAAAAAAAQAgAAAAIgAAAGRycy9kb3ducmV2LnhtbFBLAQIUABQAAAAIAIdO4kDHqnf9&#10;rgEAAGYDAAAOAAAAAAAAAAEAIAAAACQBAABkcnMvZTJvRG9jLnhtbFBLBQYAAAAABgAGAFkBAABE&#10;BQAAAAA=&#10;">
                <v:fill on="f" focussize="0,0"/>
                <v:stroke on="f"/>
                <v:imagedata o:title=""/>
                <o:lock v:ext="edit" aspectratio="f"/>
                <v:textbox>
                  <w:txbxContent>
                    <w:p w14:paraId="15CD3B7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p w14:paraId="44703408">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合同一旦解除，承包人应立即停止施工，保证现场安全，保护已完工程和已购工程材料、工程设备，尽快撤离现场，并将所有与本合同有关的勘察资料、施工文件、设计文件移交给监理人。发包人应为承包人的撤离提供便利和协助。</w:t>
      </w:r>
    </w:p>
    <w:p w14:paraId="2552BF3F">
      <w:pPr>
        <w:pStyle w:val="23"/>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749A4DCA">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1202" w:name="_Toc47694370"/>
      <w:bookmarkStart w:id="1203" w:name="_Toc469384072"/>
      <w:bookmarkStart w:id="1204" w:name="_Toc5031"/>
      <w:bookmarkStart w:id="1205" w:name="_Toc13433"/>
      <w:bookmarkStart w:id="1206" w:name="_Toc19463"/>
      <w:bookmarkStart w:id="1207" w:name="_Toc5486"/>
      <w:bookmarkStart w:id="1208" w:name="_Toc7673"/>
      <w:bookmarkStart w:id="1209" w:name="_Toc22563"/>
      <w:bookmarkStart w:id="1210" w:name="_Toc17626"/>
      <w:r>
        <w:rPr>
          <w:rFonts w:hint="eastAsia" w:ascii="仿宋" w:hAnsi="仿宋" w:eastAsia="仿宋" w:cs="仿宋"/>
          <w:bCs w:val="0"/>
          <w:color w:val="auto"/>
          <w:sz w:val="24"/>
          <w:szCs w:val="24"/>
          <w:highlight w:val="none"/>
          <w:lang w:eastAsia="zh-CN"/>
        </w:rPr>
        <w:t>93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合同解除的支付</w:t>
      </w:r>
      <w:bookmarkEnd w:id="1202"/>
      <w:bookmarkEnd w:id="1203"/>
      <w:bookmarkEnd w:id="1204"/>
      <w:bookmarkEnd w:id="1205"/>
      <w:bookmarkEnd w:id="1206"/>
      <w:bookmarkEnd w:id="1207"/>
      <w:bookmarkEnd w:id="1208"/>
      <w:bookmarkEnd w:id="1209"/>
      <w:bookmarkEnd w:id="1210"/>
    </w:p>
    <w:p w14:paraId="3C381AA8">
      <w:pPr>
        <w:pStyle w:val="23"/>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90368" behindDoc="0" locked="0" layoutInCell="1" allowOverlap="1">
                <wp:simplePos x="0" y="0"/>
                <wp:positionH relativeFrom="column">
                  <wp:posOffset>-66675</wp:posOffset>
                </wp:positionH>
                <wp:positionV relativeFrom="paragraph">
                  <wp:posOffset>188595</wp:posOffset>
                </wp:positionV>
                <wp:extent cx="765810" cy="429895"/>
                <wp:effectExtent l="0" t="0" r="0" b="0"/>
                <wp:wrapNone/>
                <wp:docPr id="422" name="0002a9"/>
                <wp:cNvGraphicFramePr/>
                <a:graphic xmlns:a="http://schemas.openxmlformats.org/drawingml/2006/main">
                  <a:graphicData uri="http://schemas.microsoft.com/office/word/2010/wordprocessingShape">
                    <wps:wsp>
                      <wps:cNvSpPr txBox="1"/>
                      <wps:spPr>
                        <a:xfrm>
                          <a:off x="0" y="0"/>
                          <a:ext cx="765810" cy="429895"/>
                        </a:xfrm>
                        <a:prstGeom prst="rect">
                          <a:avLst/>
                        </a:prstGeom>
                        <a:noFill/>
                        <a:ln>
                          <a:noFill/>
                        </a:ln>
                        <a:effectLst/>
                      </wps:spPr>
                      <wps:txbx>
                        <w:txbxContent>
                          <w:p w14:paraId="2ACC988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p w14:paraId="4FECC1CF"/>
                        </w:txbxContent>
                      </wps:txbx>
                      <wps:bodyPr wrap="square" upright="1"/>
                    </wps:wsp>
                  </a:graphicData>
                </a:graphic>
              </wp:anchor>
            </w:drawing>
          </mc:Choice>
          <mc:Fallback>
            <w:pict>
              <v:shape id="0002a9" o:spid="_x0000_s1026" o:spt="202" type="#_x0000_t202" style="position:absolute;left:0pt;margin-left:-5.25pt;margin-top:14.85pt;height:33.85pt;width:60.3pt;z-index:252090368;mso-width-relative:page;mso-height-relative:page;" filled="f" stroked="f" coordsize="21600,21600" o:gfxdata="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2XU1dYAAAAJ&#10;AQAADwAAAAAAAAABACAAAAAiAAAAZHJzL2Rvd25yZXYueG1sUEsBAhQAFAAAAAgAh07iQBB3/CKs&#10;AQAAZgMAAA4AAAAAAAAAAQAgAAAAJQEAAGRycy9lMm9Eb2MueG1sUEsFBgAAAAAGAAYAWQEAAEMF&#10;AAAAAA==&#10;">
                <v:fill on="f" focussize="0,0"/>
                <v:stroke on="f"/>
                <v:imagedata o:title=""/>
                <o:lock v:ext="edit" aspectratio="f"/>
                <v:textbox>
                  <w:txbxContent>
                    <w:p w14:paraId="2ACC988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p w14:paraId="4FECC1CF"/>
                  </w:txbxContent>
                </v:textbox>
              </v:shape>
            </w:pict>
          </mc:Fallback>
        </mc:AlternateContent>
      </w:r>
      <w:r>
        <w:rPr>
          <w:rFonts w:hint="eastAsia" w:ascii="仿宋" w:hAnsi="仿宋" w:eastAsia="仿宋" w:cs="仿宋"/>
          <w:b/>
          <w:bCs/>
          <w:color w:val="auto"/>
          <w:sz w:val="24"/>
          <w:szCs w:val="24"/>
          <w:highlight w:val="none"/>
          <w:lang w:eastAsia="zh-CN"/>
        </w:rPr>
        <w:t>93</w:t>
      </w:r>
      <w:r>
        <w:rPr>
          <w:rFonts w:ascii="仿宋" w:hAnsi="仿宋" w:eastAsia="仿宋" w:cs="仿宋"/>
          <w:b/>
          <w:bCs/>
          <w:color w:val="auto"/>
          <w:sz w:val="24"/>
          <w:szCs w:val="24"/>
          <w:highlight w:val="none"/>
          <w:lang w:eastAsia="zh-CN"/>
        </w:rPr>
        <w:t>.1</w:t>
      </w:r>
    </w:p>
    <w:p w14:paraId="5602A259">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款约定解除合同的，按照达成的协议办理结算和支付工程款。</w:t>
      </w:r>
    </w:p>
    <w:p w14:paraId="688F0123">
      <w:pPr>
        <w:spacing w:line="360" w:lineRule="auto"/>
        <w:rPr>
          <w:rFonts w:ascii="仿宋" w:hAnsi="仿宋" w:eastAsia="仿宋"/>
          <w:b/>
          <w:bCs/>
          <w:color w:val="auto"/>
          <w:highlight w:val="none"/>
          <w:lang w:eastAsia="zh-CN"/>
        </w:rPr>
      </w:pPr>
      <w:bookmarkStart w:id="1211" w:name="_Toc12411"/>
      <w:r>
        <w:rPr>
          <w:rFonts w:hint="eastAsia" w:ascii="仿宋" w:hAnsi="仿宋" w:eastAsia="仿宋" w:cs="仿宋"/>
          <w:b/>
          <w:bCs/>
          <w:color w:val="auto"/>
          <w:highlight w:val="none"/>
          <w:lang w:eastAsia="zh-CN"/>
        </w:rPr>
        <w:t>93</w:t>
      </w:r>
      <w:r>
        <w:rPr>
          <w:rFonts w:ascii="仿宋" w:hAnsi="仿宋" w:eastAsia="仿宋" w:cs="仿宋"/>
          <w:b/>
          <w:bCs/>
          <w:color w:val="auto"/>
          <w:highlight w:val="none"/>
          <w:lang w:eastAsia="zh-CN"/>
        </w:rPr>
        <w:t>.2</w:t>
      </w:r>
      <w:bookmarkEnd w:id="121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60A3D84">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91392" behindDoc="0" locked="0" layoutInCell="1" allowOverlap="1">
                <wp:simplePos x="0" y="0"/>
                <wp:positionH relativeFrom="column">
                  <wp:posOffset>-114300</wp:posOffset>
                </wp:positionH>
                <wp:positionV relativeFrom="paragraph">
                  <wp:posOffset>15875</wp:posOffset>
                </wp:positionV>
                <wp:extent cx="775970" cy="607060"/>
                <wp:effectExtent l="0" t="0" r="0" b="0"/>
                <wp:wrapNone/>
                <wp:docPr id="423" name="0002aa"/>
                <wp:cNvGraphicFramePr/>
                <a:graphic xmlns:a="http://schemas.openxmlformats.org/drawingml/2006/main">
                  <a:graphicData uri="http://schemas.microsoft.com/office/word/2010/wordprocessingShape">
                    <wps:wsp>
                      <wps:cNvSpPr txBox="1"/>
                      <wps:spPr>
                        <a:xfrm>
                          <a:off x="0" y="0"/>
                          <a:ext cx="775970" cy="607060"/>
                        </a:xfrm>
                        <a:prstGeom prst="rect">
                          <a:avLst/>
                        </a:prstGeom>
                        <a:noFill/>
                        <a:ln>
                          <a:noFill/>
                        </a:ln>
                        <a:effectLst/>
                      </wps:spPr>
                      <wps:txbx>
                        <w:txbxContent>
                          <w:p w14:paraId="62DFBB0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p w14:paraId="53E069BD"/>
                        </w:txbxContent>
                      </wps:txbx>
                      <wps:bodyPr wrap="square" upright="1"/>
                    </wps:wsp>
                  </a:graphicData>
                </a:graphic>
              </wp:anchor>
            </w:drawing>
          </mc:Choice>
          <mc:Fallback>
            <w:pict>
              <v:shape id="0002aa" o:spid="_x0000_s1026" o:spt="202" type="#_x0000_t202" style="position:absolute;left:0pt;margin-left:-9pt;margin-top:1.25pt;height:47.8pt;width:61.1pt;z-index:252091392;mso-width-relative:page;mso-height-relative:page;" filled="f" stroked="f" coordsize="21600,21600" o:gfxdata="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x4O/tYAAAAI&#10;AQAADwAAAAAAAAABACAAAAAiAAAAZHJzL2Rvd25yZXYueG1sUEsBAhQAFAAAAAgAh07iQPCsQzOs&#10;AQAAZgMAAA4AAAAAAAAAAQAgAAAAJQEAAGRycy9lMm9Eb2MueG1sUEsFBgAAAAAGAAYAWQEAAEMF&#10;AAAAAA==&#10;">
                <v:fill on="f" focussize="0,0"/>
                <v:stroke on="f"/>
                <v:imagedata o:title=""/>
                <o:lock v:ext="edit" aspectratio="f"/>
                <v:textbox>
                  <w:txbxContent>
                    <w:p w14:paraId="62DFBB0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p w14:paraId="53E069BD"/>
                  </w:txbxContent>
                </v:textbox>
              </v:shape>
            </w:pict>
          </mc:Fallback>
        </mc:AlternateContent>
      </w: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款约定解除合同的，发包人应向承包人支付合同解除之日前已完成工程但尚未支付的工程款。此外，发包人还应支付下列款项：</w:t>
      </w:r>
    </w:p>
    <w:p w14:paraId="57497261">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已实施或部分实施的措施项目应付款项；</w:t>
      </w:r>
    </w:p>
    <w:p w14:paraId="7D67510F">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承包人为合同工程合理订购且已交付的工程材料和工程设备货款。发包人一经支付此项货款，该工程材料和工程设备即成为发包人的财产；</w:t>
      </w:r>
    </w:p>
    <w:p w14:paraId="780B2F36">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承包人为完成合同工程而预期开支的任何合理款项，且该项款项未包括在本款其他各项支付之内；</w:t>
      </w:r>
    </w:p>
    <w:p w14:paraId="7272ECDD">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款约定的任何工作应支付的款项；</w:t>
      </w:r>
    </w:p>
    <w:p w14:paraId="2F7263BE">
      <w:pPr>
        <w:pStyle w:val="23"/>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款约定承包人撤离现场所需的合理款项，包括雇员遣散费和临时工程拆除、施工设备运离现场的款项。</w:t>
      </w:r>
    </w:p>
    <w:p w14:paraId="68575BEC">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7条、第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8条约定办理结算工程款，但应扣除合同解除之日前发包人向承包人收回的任何款项。如果发包人应扣除的款项超过了应支付的款项，则承包人应在合同解除后的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天内将其差额退还给发包人。</w:t>
      </w:r>
    </w:p>
    <w:p w14:paraId="41012A75">
      <w:pPr>
        <w:pStyle w:val="23"/>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37C19526">
      <w:pPr>
        <w:pStyle w:val="23"/>
        <w:widowControl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92416" behindDoc="0" locked="0" layoutInCell="1" allowOverlap="1">
                <wp:simplePos x="0" y="0"/>
                <wp:positionH relativeFrom="column">
                  <wp:posOffset>-114300</wp:posOffset>
                </wp:positionH>
                <wp:positionV relativeFrom="paragraph">
                  <wp:posOffset>49530</wp:posOffset>
                </wp:positionV>
                <wp:extent cx="765810" cy="560070"/>
                <wp:effectExtent l="0" t="0" r="0" b="0"/>
                <wp:wrapNone/>
                <wp:docPr id="424" name="0002ab"/>
                <wp:cNvGraphicFramePr/>
                <a:graphic xmlns:a="http://schemas.openxmlformats.org/drawingml/2006/main">
                  <a:graphicData uri="http://schemas.microsoft.com/office/word/2010/wordprocessingShape">
                    <wps:wsp>
                      <wps:cNvSpPr txBox="1"/>
                      <wps:spPr>
                        <a:xfrm>
                          <a:off x="0" y="0"/>
                          <a:ext cx="765810" cy="560070"/>
                        </a:xfrm>
                        <a:prstGeom prst="rect">
                          <a:avLst/>
                        </a:prstGeom>
                        <a:noFill/>
                        <a:ln>
                          <a:noFill/>
                        </a:ln>
                        <a:effectLst/>
                      </wps:spPr>
                      <wps:txbx>
                        <w:txbxContent>
                          <w:p w14:paraId="3B659CB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p w14:paraId="54639746"/>
                        </w:txbxContent>
                      </wps:txbx>
                      <wps:bodyPr wrap="square" upright="1"/>
                    </wps:wsp>
                  </a:graphicData>
                </a:graphic>
              </wp:anchor>
            </w:drawing>
          </mc:Choice>
          <mc:Fallback>
            <w:pict>
              <v:shape id="0002ab" o:spid="_x0000_s1026" o:spt="202" type="#_x0000_t202" style="position:absolute;left:0pt;margin-left:-9pt;margin-top:3.9pt;height:44.1pt;width:60.3pt;z-index:252092416;mso-width-relative:page;mso-height-relative:page;" filled="f" stroked="f" coordsize="21600,21600" o:gfxdata="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HzMpn1QAAAAgB&#10;AAAPAAAAAAAAAAEAIAAAACIAAABkcnMvZG93bnJldi54bWxQSwECFAAUAAAACACHTuJAkCLdo6wB&#10;AABmAwAADgAAAAAAAAABACAAAAAkAQAAZHJzL2Uyb0RvYy54bWxQSwUGAAAAAAYABgBZAQAAQgUA&#10;AAAA&#10;">
                <v:fill on="f" focussize="0,0"/>
                <v:stroke on="f"/>
                <v:imagedata o:title=""/>
                <o:lock v:ext="edit" aspectratio="f"/>
                <v:textbox>
                  <w:txbxContent>
                    <w:p w14:paraId="3B659CB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p w14:paraId="54639746"/>
                  </w:txbxContent>
                </v:textbox>
              </v:shape>
            </w:pict>
          </mc:Fallback>
        </mc:AlternateContent>
      </w: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款约定解除合同的，发包人暂停向承包人支付任何款项，造价咨询人应在合同解除后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核实合同解除时承包人已完成的全部工程款以及已运至现场的工程材料和工程设备货款，并扣除误期赔偿费（如果有）和发包人已支付给承包人的各项款项，同时将结果通知承包人并抄报发包人。合同双方当事人应在收到核实结果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天内予以确认或提出意见，并按照第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款约定办理工程款结算。如果发包人应扣除的款项超过了应支付的款项，则承包人应在合同解除后的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天内将其差额退还给发包人。</w:t>
      </w:r>
    </w:p>
    <w:p w14:paraId="628EA55F">
      <w:pPr>
        <w:spacing w:line="360" w:lineRule="auto"/>
        <w:rPr>
          <w:rFonts w:ascii="仿宋" w:hAnsi="仿宋" w:eastAsia="仿宋"/>
          <w:b/>
          <w:bCs/>
          <w:color w:val="auto"/>
          <w:highlight w:val="none"/>
          <w:lang w:eastAsia="zh-CN"/>
        </w:rPr>
      </w:pPr>
      <w:bookmarkStart w:id="1212" w:name="_Toc23620"/>
      <w:r>
        <w:rPr>
          <w:color w:val="auto"/>
          <w:highlight w:val="none"/>
        </w:rPr>
        <mc:AlternateContent>
          <mc:Choice Requires="wps">
            <w:drawing>
              <wp:anchor distT="0" distB="0" distL="114300" distR="114300" simplePos="0" relativeHeight="252093440" behindDoc="0" locked="0" layoutInCell="1" allowOverlap="1">
                <wp:simplePos x="0" y="0"/>
                <wp:positionH relativeFrom="column">
                  <wp:posOffset>-114300</wp:posOffset>
                </wp:positionH>
                <wp:positionV relativeFrom="paragraph">
                  <wp:posOffset>259715</wp:posOffset>
                </wp:positionV>
                <wp:extent cx="775970" cy="569595"/>
                <wp:effectExtent l="0" t="0" r="0" b="0"/>
                <wp:wrapNone/>
                <wp:docPr id="425" name="0002ac"/>
                <wp:cNvGraphicFramePr/>
                <a:graphic xmlns:a="http://schemas.openxmlformats.org/drawingml/2006/main">
                  <a:graphicData uri="http://schemas.microsoft.com/office/word/2010/wordprocessingShape">
                    <wps:wsp>
                      <wps:cNvSpPr txBox="1"/>
                      <wps:spPr>
                        <a:xfrm>
                          <a:off x="0" y="0"/>
                          <a:ext cx="775970" cy="569595"/>
                        </a:xfrm>
                        <a:prstGeom prst="rect">
                          <a:avLst/>
                        </a:prstGeom>
                        <a:noFill/>
                        <a:ln>
                          <a:noFill/>
                        </a:ln>
                        <a:effectLst/>
                      </wps:spPr>
                      <wps:txbx>
                        <w:txbxContent>
                          <w:p w14:paraId="745FAFF0">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p w14:paraId="7288F321">
                            <w:pPr>
                              <w:rPr>
                                <w:lang w:eastAsia="zh-CN"/>
                              </w:rPr>
                            </w:pPr>
                          </w:p>
                        </w:txbxContent>
                      </wps:txbx>
                      <wps:bodyPr wrap="square" upright="1"/>
                    </wps:wsp>
                  </a:graphicData>
                </a:graphic>
              </wp:anchor>
            </w:drawing>
          </mc:Choice>
          <mc:Fallback>
            <w:pict>
              <v:shape id="0002ac" o:spid="_x0000_s1026" o:spt="202" type="#_x0000_t202" style="position:absolute;left:0pt;margin-left:-9pt;margin-top:20.45pt;height:44.85pt;width:61.1pt;z-index:252093440;mso-width-relative:page;mso-height-relative:page;" filled="f" stroked="f" coordsize="21600,21600" o:gfxdata="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rz6J4dcAAAAK&#10;AQAADwAAAAAAAAABACAAAAAiAAAAZHJzL2Rvd25yZXYueG1sUEsBAhQAFAAAAAgAh07iQObNUkOr&#10;AQAAZgMAAA4AAAAAAAAAAQAgAAAAJgEAAGRycy9lMm9Eb2MueG1sUEsFBgAAAAAGAAYAWQEAAEMF&#10;AAAAAA==&#10;">
                <v:fill on="f" focussize="0,0"/>
                <v:stroke on="f"/>
                <v:imagedata o:title=""/>
                <o:lock v:ext="edit" aspectratio="f"/>
                <v:textbox>
                  <w:txbxContent>
                    <w:p w14:paraId="745FAFF0">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p w14:paraId="7288F321">
                      <w:pPr>
                        <w:rPr>
                          <w:lang w:eastAsia="zh-CN"/>
                        </w:rPr>
                      </w:pPr>
                    </w:p>
                  </w:txbxContent>
                </v:textbox>
              </v:shape>
            </w:pict>
          </mc:Fallback>
        </mc:AlternateContent>
      </w:r>
      <w:r>
        <w:rPr>
          <w:rFonts w:hint="eastAsia" w:ascii="仿宋" w:hAnsi="仿宋" w:eastAsia="仿宋" w:cs="仿宋"/>
          <w:b/>
          <w:bCs/>
          <w:color w:val="auto"/>
          <w:highlight w:val="none"/>
          <w:lang w:eastAsia="zh-CN"/>
        </w:rPr>
        <w:t>93</w:t>
      </w:r>
      <w:r>
        <w:rPr>
          <w:rFonts w:ascii="仿宋" w:hAnsi="仿宋" w:eastAsia="仿宋" w:cs="仿宋"/>
          <w:b/>
          <w:bCs/>
          <w:color w:val="auto"/>
          <w:highlight w:val="none"/>
          <w:lang w:eastAsia="zh-CN"/>
        </w:rPr>
        <w:t>.4</w:t>
      </w:r>
      <w:bookmarkEnd w:id="121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0145943">
      <w:pPr>
        <w:pStyle w:val="23"/>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款约定解除合同的，发包人除应按照第93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款约定向承包人支付各项款项外，还应支付给承包人由于解除合同而引起的损失或损害的款项。该笔款项由承包人提出，造价咨询人核实后与合同双方当事人协商确定，并在确定后的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天内由造价咨询人向发包人签发支付证书，抄送承包人。协商不能达成一致的，按照第91条约定处理。</w:t>
      </w:r>
    </w:p>
    <w:p w14:paraId="41D0BE22">
      <w:pPr>
        <w:pStyle w:val="23"/>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3AD5D2EF">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1213" w:name="_Toc13032"/>
      <w:bookmarkStart w:id="1214" w:name="_Toc469384073"/>
      <w:bookmarkStart w:id="1215" w:name="_Toc28579"/>
      <w:bookmarkStart w:id="1216" w:name="_Toc5959"/>
      <w:bookmarkStart w:id="1217" w:name="_Toc969"/>
      <w:bookmarkStart w:id="1218" w:name="_Toc6795"/>
      <w:bookmarkStart w:id="1219" w:name="_Toc23655"/>
      <w:bookmarkStart w:id="1220" w:name="_Toc22931"/>
      <w:bookmarkStart w:id="1221" w:name="_Toc47694371"/>
      <w:r>
        <w:rPr>
          <w:rFonts w:hint="eastAsia" w:ascii="仿宋" w:hAnsi="仿宋" w:eastAsia="仿宋" w:cs="仿宋"/>
          <w:bCs w:val="0"/>
          <w:color w:val="auto"/>
          <w:sz w:val="24"/>
          <w:szCs w:val="24"/>
          <w:highlight w:val="none"/>
          <w:lang w:eastAsia="zh-CN"/>
        </w:rPr>
        <w:t>94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合同终止</w:t>
      </w:r>
      <w:bookmarkEnd w:id="1213"/>
      <w:bookmarkEnd w:id="1214"/>
      <w:bookmarkEnd w:id="1215"/>
      <w:bookmarkEnd w:id="1216"/>
      <w:bookmarkEnd w:id="1217"/>
      <w:bookmarkEnd w:id="1218"/>
      <w:bookmarkEnd w:id="1219"/>
      <w:bookmarkEnd w:id="1220"/>
      <w:bookmarkEnd w:id="1221"/>
    </w:p>
    <w:p w14:paraId="5BD333F7">
      <w:pPr>
        <w:rPr>
          <w:rFonts w:ascii="仿宋" w:hAnsi="仿宋" w:eastAsia="仿宋" w:cs="仿宋"/>
          <w:b/>
          <w:bCs/>
          <w:color w:val="auto"/>
          <w:highlight w:val="none"/>
          <w:lang w:eastAsia="zh-CN"/>
        </w:rPr>
      </w:pPr>
      <w:bookmarkStart w:id="1222" w:name="_Toc21953"/>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.1</w:t>
      </w:r>
      <w:bookmarkEnd w:id="1222"/>
    </w:p>
    <w:p w14:paraId="701B16C4">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94464" behindDoc="0" locked="0" layoutInCell="1" allowOverlap="1">
                <wp:simplePos x="0" y="0"/>
                <wp:positionH relativeFrom="column">
                  <wp:posOffset>-114300</wp:posOffset>
                </wp:positionH>
                <wp:positionV relativeFrom="paragraph">
                  <wp:posOffset>15875</wp:posOffset>
                </wp:positionV>
                <wp:extent cx="832485" cy="440055"/>
                <wp:effectExtent l="0" t="0" r="0" b="0"/>
                <wp:wrapNone/>
                <wp:docPr id="426" name="0002ad"/>
                <wp:cNvGraphicFramePr/>
                <a:graphic xmlns:a="http://schemas.openxmlformats.org/drawingml/2006/main">
                  <a:graphicData uri="http://schemas.microsoft.com/office/word/2010/wordprocessingShape">
                    <wps:wsp>
                      <wps:cNvSpPr txBox="1"/>
                      <wps:spPr>
                        <a:xfrm>
                          <a:off x="0" y="0"/>
                          <a:ext cx="832485" cy="440055"/>
                        </a:xfrm>
                        <a:prstGeom prst="rect">
                          <a:avLst/>
                        </a:prstGeom>
                        <a:noFill/>
                        <a:ln>
                          <a:noFill/>
                        </a:ln>
                        <a:effectLst/>
                      </wps:spPr>
                      <wps:txbx>
                        <w:txbxContent>
                          <w:p w14:paraId="068DC38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p w14:paraId="22D5BCF6"/>
                        </w:txbxContent>
                      </wps:txbx>
                      <wps:bodyPr wrap="square" upright="1"/>
                    </wps:wsp>
                  </a:graphicData>
                </a:graphic>
              </wp:anchor>
            </w:drawing>
          </mc:Choice>
          <mc:Fallback>
            <w:pict>
              <v:shape id="0002ad" o:spid="_x0000_s1026" o:spt="202" type="#_x0000_t202" style="position:absolute;left:0pt;margin-left:-9pt;margin-top:1.25pt;height:34.65pt;width:65.55pt;z-index:252094464;mso-width-relative:page;mso-height-relative:page;" filled="f" stroked="f" coordsize="21600,21600" o:gfxdata="UEsDBAoAAAAAAIdO4kAAAAAAAAAAAAAAAAAEAAAAZHJzL1BLAwQUAAAACACHTuJAkmWk39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SZaTf1gAAAAgB&#10;AAAPAAAAAAAAAAEAIAAAACIAAABkcnMvZG93bnJldi54bWxQSwECFAAUAAAACACHTuJAWz6BQ6sB&#10;AABmAwAADgAAAAAAAAABACAAAAAlAQAAZHJzL2Uyb0RvYy54bWxQSwUGAAAAAAYABgBZAQAAQgUA&#10;AAAA&#10;">
                <v:fill on="f" focussize="0,0"/>
                <v:stroke on="f"/>
                <v:imagedata o:title=""/>
                <o:lock v:ext="edit" aspectratio="f"/>
                <v:textbox>
                  <w:txbxContent>
                    <w:p w14:paraId="068DC38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p w14:paraId="22D5BCF6"/>
                  </w:txbxContent>
                </v:textbox>
              </v:shape>
            </w:pict>
          </mc:Fallback>
        </mc:AlternateContent>
      </w:r>
      <w:r>
        <w:rPr>
          <w:rFonts w:hint="eastAsia" w:ascii="仿宋" w:hAnsi="仿宋" w:eastAsia="仿宋" w:cs="仿宋"/>
          <w:color w:val="auto"/>
          <w:sz w:val="24"/>
          <w:szCs w:val="24"/>
          <w:highlight w:val="none"/>
          <w:lang w:eastAsia="zh-CN"/>
        </w:rPr>
        <w:t>合同解除后，除合同双方当事人享有第91条至第93条约定的权利外，本合同的权利</w:t>
      </w:r>
      <w:r>
        <w:rPr>
          <w:rFonts w:ascii="仿宋" w:hAnsi="仿宋" w:eastAsia="仿宋" w:cs="仿宋"/>
          <w:color w:val="auto"/>
          <w:sz w:val="24"/>
          <w:szCs w:val="24"/>
          <w:highlight w:val="none"/>
          <w:lang w:eastAsia="zh-CN"/>
        </w:rPr>
        <w:t>义务</w:t>
      </w:r>
      <w:r>
        <w:rPr>
          <w:rFonts w:hint="eastAsia" w:ascii="仿宋" w:hAnsi="仿宋" w:eastAsia="仿宋" w:cs="仿宋"/>
          <w:color w:val="auto"/>
          <w:sz w:val="24"/>
          <w:szCs w:val="24"/>
          <w:highlight w:val="none"/>
          <w:lang w:eastAsia="zh-CN"/>
        </w:rPr>
        <w:t>关系</w:t>
      </w:r>
      <w:r>
        <w:rPr>
          <w:rFonts w:ascii="仿宋" w:hAnsi="仿宋" w:eastAsia="仿宋" w:cs="仿宋"/>
          <w:color w:val="auto"/>
          <w:sz w:val="24"/>
          <w:szCs w:val="24"/>
          <w:highlight w:val="none"/>
          <w:lang w:eastAsia="zh-CN"/>
        </w:rPr>
        <w:t>终止</w:t>
      </w:r>
      <w:r>
        <w:rPr>
          <w:rFonts w:hint="eastAsia" w:ascii="仿宋" w:hAnsi="仿宋" w:eastAsia="仿宋" w:cs="仿宋"/>
          <w:color w:val="auto"/>
          <w:sz w:val="24"/>
          <w:szCs w:val="24"/>
          <w:highlight w:val="none"/>
          <w:lang w:eastAsia="zh-CN"/>
        </w:rPr>
        <w:t>，但不影响一方当事人在此以前的任何违约而损害另一方当事人应享有的权利，也不影响合同双方当事人履行本合同结算和清算条款的效力。</w:t>
      </w:r>
    </w:p>
    <w:p w14:paraId="2833DAB8">
      <w:pPr>
        <w:spacing w:line="360" w:lineRule="auto"/>
        <w:rPr>
          <w:rFonts w:ascii="仿宋" w:hAnsi="仿宋" w:eastAsia="仿宋"/>
          <w:b/>
          <w:bCs/>
          <w:color w:val="auto"/>
          <w:highlight w:val="none"/>
          <w:lang w:eastAsia="zh-CN"/>
        </w:rPr>
      </w:pPr>
      <w:bookmarkStart w:id="1223" w:name="_Toc15914"/>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.2</w:t>
      </w:r>
      <w:bookmarkEnd w:id="122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F9273B8">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95488" behindDoc="0" locked="0" layoutInCell="1" allowOverlap="1">
                <wp:simplePos x="0" y="0"/>
                <wp:positionH relativeFrom="column">
                  <wp:posOffset>-114300</wp:posOffset>
                </wp:positionH>
                <wp:positionV relativeFrom="paragraph">
                  <wp:posOffset>635</wp:posOffset>
                </wp:positionV>
                <wp:extent cx="765810" cy="707390"/>
                <wp:effectExtent l="0" t="0" r="0" b="0"/>
                <wp:wrapNone/>
                <wp:docPr id="427" name="0002ae"/>
                <wp:cNvGraphicFramePr/>
                <a:graphic xmlns:a="http://schemas.openxmlformats.org/drawingml/2006/main">
                  <a:graphicData uri="http://schemas.microsoft.com/office/word/2010/wordprocessingShape">
                    <wps:wsp>
                      <wps:cNvSpPr txBox="1"/>
                      <wps:spPr>
                        <a:xfrm>
                          <a:off x="0" y="0"/>
                          <a:ext cx="765810" cy="707390"/>
                        </a:xfrm>
                        <a:prstGeom prst="rect">
                          <a:avLst/>
                        </a:prstGeom>
                        <a:noFill/>
                        <a:ln>
                          <a:noFill/>
                        </a:ln>
                        <a:effectLst/>
                      </wps:spPr>
                      <wps:txbx>
                        <w:txbxContent>
                          <w:p w14:paraId="2DEA65FC">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p w14:paraId="7CF8FCB9">
                            <w:pPr>
                              <w:rPr>
                                <w:lang w:eastAsia="zh-CN"/>
                              </w:rPr>
                            </w:pPr>
                          </w:p>
                        </w:txbxContent>
                      </wps:txbx>
                      <wps:bodyPr wrap="square" upright="1"/>
                    </wps:wsp>
                  </a:graphicData>
                </a:graphic>
              </wp:anchor>
            </w:drawing>
          </mc:Choice>
          <mc:Fallback>
            <w:pict>
              <v:shape id="0002ae" o:spid="_x0000_s1026" o:spt="202" type="#_x0000_t202" style="position:absolute;left:0pt;margin-left:-9pt;margin-top:0.05pt;height:55.7pt;width:60.3pt;z-index:252095488;mso-width-relative:page;mso-height-relative:page;" filled="f" stroked="f" coordsize="21600,21600" o:gfxdata="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kyydHUAAAACAEA&#10;AA8AAAAAAAAAAQAgAAAAIgAAAGRycy9kb3ducmV2LnhtbFBLAQIUABQAAAAIAIdO4kAZzjo9rAEA&#10;AGYDAAAOAAAAAAAAAAEAIAAAACMBAABkcnMvZTJvRG9jLnhtbFBLBQYAAAAABgAGAFkBAABBBQAA&#10;AAA=&#10;">
                <v:fill on="f" focussize="0,0"/>
                <v:stroke on="f"/>
                <v:imagedata o:title=""/>
                <o:lock v:ext="edit" aspectratio="f"/>
                <v:textbox>
                  <w:txbxContent>
                    <w:p w14:paraId="2DEA65FC">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p w14:paraId="7CF8FCB9">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除第66条和第89条约定的质量保修条款外，合同双方当事人履行完本合同全部义务，发包人向承包人支付完竣工结算款，承包人向发包人交付竣工工程后，本合同即告终止。</w:t>
      </w:r>
    </w:p>
    <w:p w14:paraId="1848B2BA">
      <w:pPr>
        <w:spacing w:line="360" w:lineRule="auto"/>
        <w:rPr>
          <w:rFonts w:ascii="仿宋" w:hAnsi="仿宋" w:eastAsia="仿宋"/>
          <w:b/>
          <w:bCs/>
          <w:color w:val="auto"/>
          <w:highlight w:val="none"/>
          <w:lang w:eastAsia="zh-CN"/>
        </w:rPr>
      </w:pPr>
      <w:bookmarkStart w:id="1224" w:name="_Toc583"/>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.3</w:t>
      </w:r>
      <w:bookmarkEnd w:id="122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9C8A87D">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96512" behindDoc="0" locked="0" layoutInCell="1" allowOverlap="1">
                <wp:simplePos x="0" y="0"/>
                <wp:positionH relativeFrom="column">
                  <wp:posOffset>-114300</wp:posOffset>
                </wp:positionH>
                <wp:positionV relativeFrom="paragraph">
                  <wp:posOffset>13335</wp:posOffset>
                </wp:positionV>
                <wp:extent cx="832485" cy="565785"/>
                <wp:effectExtent l="0" t="0" r="0" b="0"/>
                <wp:wrapNone/>
                <wp:docPr id="428" name="0002af"/>
                <wp:cNvGraphicFramePr/>
                <a:graphic xmlns:a="http://schemas.openxmlformats.org/drawingml/2006/main">
                  <a:graphicData uri="http://schemas.microsoft.com/office/word/2010/wordprocessingShape">
                    <wps:wsp>
                      <wps:cNvSpPr txBox="1"/>
                      <wps:spPr>
                        <a:xfrm>
                          <a:off x="0" y="0"/>
                          <a:ext cx="832485" cy="565785"/>
                        </a:xfrm>
                        <a:prstGeom prst="rect">
                          <a:avLst/>
                        </a:prstGeom>
                        <a:noFill/>
                        <a:ln>
                          <a:noFill/>
                        </a:ln>
                        <a:effectLst/>
                      </wps:spPr>
                      <wps:txbx>
                        <w:txbxContent>
                          <w:p w14:paraId="5F77EE2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p w14:paraId="519B1272"/>
                        </w:txbxContent>
                      </wps:txbx>
                      <wps:bodyPr wrap="square" upright="1"/>
                    </wps:wsp>
                  </a:graphicData>
                </a:graphic>
              </wp:anchor>
            </w:drawing>
          </mc:Choice>
          <mc:Fallback>
            <w:pict>
              <v:shape id="0002af" o:spid="_x0000_s1026" o:spt="202" type="#_x0000_t202" style="position:absolute;left:0pt;margin-left:-9pt;margin-top:1.05pt;height:44.55pt;width:65.55pt;z-index:252096512;mso-width-relative:page;mso-height-relative:page;" filled="f" stroked="f" coordsize="21600,21600" o:gfxdata="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EqLknVAAAACAEA&#10;AA8AAAAAAAAAAQAgAAAAIgAAAGRycy9kb3ducmV2LnhtbFBLAQIUABQAAAAIAIdO4kALhFrBqwEA&#10;AGYDAAAOAAAAAAAAAAEAIAAAACQBAABkcnMvZTJvRG9jLnhtbFBLBQYAAAAABgAGAFkBAABBBQAA&#10;AAA=&#10;">
                <v:fill on="f" focussize="0,0"/>
                <v:stroke on="f"/>
                <v:imagedata o:title=""/>
                <o:lock v:ext="edit" aspectratio="f"/>
                <v:textbox>
                  <w:txbxContent>
                    <w:p w14:paraId="5F77EE2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p w14:paraId="519B1272"/>
                  </w:txbxContent>
                </v:textbox>
              </v:shape>
            </w:pict>
          </mc:Fallback>
        </mc:AlternateContent>
      </w:r>
      <w:r>
        <w:rPr>
          <w:rFonts w:hint="eastAsia" w:ascii="仿宋" w:hAnsi="仿宋" w:eastAsia="仿宋" w:cs="仿宋"/>
          <w:color w:val="auto"/>
          <w:sz w:val="24"/>
          <w:szCs w:val="24"/>
          <w:highlight w:val="none"/>
          <w:lang w:eastAsia="zh-CN"/>
        </w:rPr>
        <w:t>本合同的权利义务终止后，合同双方当事人仍应遵循诚实信用原则，继续履行合同约定的通知、协助、保密等义务。</w:t>
      </w:r>
    </w:p>
    <w:p w14:paraId="5049A372">
      <w:pPr>
        <w:pStyle w:val="23"/>
        <w:spacing w:line="480" w:lineRule="auto"/>
        <w:ind w:right="-238"/>
        <w:rPr>
          <w:rFonts w:ascii="仿宋" w:hAnsi="仿宋" w:eastAsia="仿宋" w:cs="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41719303">
      <w:pPr>
        <w:pStyle w:val="23"/>
        <w:spacing w:line="360" w:lineRule="auto"/>
        <w:jc w:val="center"/>
        <w:outlineLvl w:val="1"/>
        <w:rPr>
          <w:rFonts w:ascii="仿宋" w:hAnsi="仿宋" w:eastAsia="仿宋" w:cs="仿宋"/>
          <w:b/>
          <w:bCs/>
          <w:color w:val="auto"/>
          <w:sz w:val="24"/>
          <w:szCs w:val="24"/>
          <w:highlight w:val="none"/>
          <w:lang w:eastAsia="zh-CN"/>
        </w:rPr>
      </w:pPr>
      <w:bookmarkStart w:id="1225" w:name="_Toc11015"/>
      <w:bookmarkStart w:id="1226" w:name="_Toc27277"/>
      <w:bookmarkStart w:id="1227" w:name="_Toc47694372"/>
      <w:bookmarkStart w:id="1228" w:name="_Toc10689"/>
      <w:bookmarkStart w:id="1229" w:name="_Toc30409"/>
      <w:bookmarkStart w:id="1230" w:name="_Toc12247"/>
      <w:bookmarkStart w:id="1231" w:name="_Toc24440"/>
      <w:bookmarkStart w:id="1232" w:name="_Toc12623"/>
      <w:r>
        <w:rPr>
          <w:rFonts w:hint="eastAsia" w:ascii="仿宋" w:hAnsi="仿宋" w:eastAsia="仿宋" w:cs="仿宋"/>
          <w:b/>
          <w:bCs/>
          <w:color w:val="auto"/>
          <w:sz w:val="24"/>
          <w:szCs w:val="24"/>
          <w:highlight w:val="none"/>
          <w:lang w:eastAsia="zh-CN"/>
        </w:rPr>
        <w:t>九、违约</w:t>
      </w:r>
      <w:bookmarkEnd w:id="1225"/>
      <w:bookmarkEnd w:id="1226"/>
      <w:bookmarkEnd w:id="1227"/>
      <w:bookmarkEnd w:id="1228"/>
      <w:bookmarkEnd w:id="1229"/>
      <w:bookmarkEnd w:id="1230"/>
      <w:bookmarkEnd w:id="1231"/>
      <w:bookmarkEnd w:id="1232"/>
    </w:p>
    <w:p w14:paraId="3E10DD1A">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1233" w:name="_Toc28685"/>
      <w:bookmarkStart w:id="1234" w:name="_Toc6403"/>
      <w:bookmarkStart w:id="1235" w:name="_Toc29148"/>
      <w:bookmarkStart w:id="1236" w:name="_Toc29199"/>
      <w:bookmarkStart w:id="1237" w:name="_Toc27135"/>
      <w:bookmarkStart w:id="1238" w:name="_Toc47694373"/>
      <w:bookmarkStart w:id="1239" w:name="_Toc13219"/>
      <w:bookmarkStart w:id="1240" w:name="_Toc31885"/>
      <w:r>
        <w:rPr>
          <w:rFonts w:hint="eastAsia" w:ascii="仿宋" w:hAnsi="仿宋" w:eastAsia="仿宋" w:cs="仿宋"/>
          <w:bCs w:val="0"/>
          <w:color w:val="auto"/>
          <w:sz w:val="24"/>
          <w:szCs w:val="24"/>
          <w:highlight w:val="none"/>
          <w:lang w:eastAsia="zh-CN"/>
        </w:rPr>
        <w:t>★95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承包人违约</w:t>
      </w:r>
      <w:bookmarkEnd w:id="1233"/>
      <w:bookmarkEnd w:id="1234"/>
      <w:bookmarkEnd w:id="1235"/>
      <w:bookmarkEnd w:id="1236"/>
      <w:bookmarkEnd w:id="1237"/>
      <w:bookmarkEnd w:id="1238"/>
      <w:bookmarkEnd w:id="1239"/>
      <w:bookmarkEnd w:id="1240"/>
    </w:p>
    <w:p w14:paraId="3736326E">
      <w:pPr>
        <w:rPr>
          <w:rFonts w:ascii="仿宋" w:hAnsi="仿宋" w:eastAsia="仿宋" w:cs="仿宋"/>
          <w:b/>
          <w:bCs/>
          <w:color w:val="auto"/>
          <w:highlight w:val="none"/>
          <w:lang w:eastAsia="zh-CN"/>
        </w:rPr>
      </w:pPr>
      <w:bookmarkStart w:id="1241" w:name="_Toc20371"/>
      <w:r>
        <w:rPr>
          <w:color w:val="auto"/>
          <w:highlight w:val="none"/>
        </w:rPr>
        <mc:AlternateContent>
          <mc:Choice Requires="wps">
            <w:drawing>
              <wp:anchor distT="0" distB="0" distL="114300" distR="114300" simplePos="0" relativeHeight="252097536" behindDoc="0" locked="0" layoutInCell="1" allowOverlap="1">
                <wp:simplePos x="0" y="0"/>
                <wp:positionH relativeFrom="column">
                  <wp:posOffset>-114300</wp:posOffset>
                </wp:positionH>
                <wp:positionV relativeFrom="paragraph">
                  <wp:posOffset>187960</wp:posOffset>
                </wp:positionV>
                <wp:extent cx="775970" cy="459105"/>
                <wp:effectExtent l="0" t="0" r="0" b="0"/>
                <wp:wrapNone/>
                <wp:docPr id="429" name="0002b0"/>
                <wp:cNvGraphicFramePr/>
                <a:graphic xmlns:a="http://schemas.openxmlformats.org/drawingml/2006/main">
                  <a:graphicData uri="http://schemas.microsoft.com/office/word/2010/wordprocessingShape">
                    <wps:wsp>
                      <wps:cNvSpPr txBox="1"/>
                      <wps:spPr>
                        <a:xfrm>
                          <a:off x="0" y="0"/>
                          <a:ext cx="775970" cy="459105"/>
                        </a:xfrm>
                        <a:prstGeom prst="rect">
                          <a:avLst/>
                        </a:prstGeom>
                        <a:noFill/>
                        <a:ln>
                          <a:noFill/>
                        </a:ln>
                        <a:effectLst/>
                      </wps:spPr>
                      <wps:txbx>
                        <w:txbxContent>
                          <w:p w14:paraId="77B53AAE">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p w14:paraId="140BD73D"/>
                        </w:txbxContent>
                      </wps:txbx>
                      <wps:bodyPr wrap="square" upright="1"/>
                    </wps:wsp>
                  </a:graphicData>
                </a:graphic>
              </wp:anchor>
            </w:drawing>
          </mc:Choice>
          <mc:Fallback>
            <w:pict>
              <v:shape id="0002b0" o:spid="_x0000_s1026" o:spt="202" type="#_x0000_t202" style="position:absolute;left:0pt;margin-left:-9pt;margin-top:14.8pt;height:36.15pt;width:61.1pt;z-index:252097536;mso-width-relative:page;mso-height-relative:page;" filled="f" stroked="f" coordsize="21600,21600" o:gfxdata="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m7VUS1wAAAAoB&#10;AAAPAAAAAAAAAAEAIAAAACIAAABkcnMvZG93bnJldi54bWxQSwECFAAUAAAACACHTuJAzQfO9KoB&#10;AABmAwAADgAAAAAAAAABACAAAAAmAQAAZHJzL2Uyb0RvYy54bWxQSwUGAAAAAAYABgBZAQAAQgUA&#10;AAAA&#10;">
                <v:fill on="f" focussize="0,0"/>
                <v:stroke on="f"/>
                <v:imagedata o:title=""/>
                <o:lock v:ext="edit" aspectratio="f"/>
                <v:textbox>
                  <w:txbxContent>
                    <w:p w14:paraId="77B53AAE">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p w14:paraId="140BD73D"/>
                  </w:txbxContent>
                </v:textbox>
              </v:shape>
            </w:pict>
          </mc:Fallback>
        </mc:AlternateContent>
      </w: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.1</w:t>
      </w:r>
      <w:bookmarkEnd w:id="1241"/>
    </w:p>
    <w:p w14:paraId="2AD15769">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在合同履行过程中发生的下列情形，属于承包人违约：</w:t>
      </w:r>
    </w:p>
    <w:p w14:paraId="17048ADF">
      <w:pPr>
        <w:widowControl w:val="0"/>
        <w:numPr>
          <w:ilvl w:val="1"/>
          <w:numId w:val="21"/>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承包人的设计、承包人文件、实施和竣工的工程不符合法律以及合同约定；</w:t>
      </w:r>
    </w:p>
    <w:p w14:paraId="5327FDE1">
      <w:pPr>
        <w:widowControl w:val="0"/>
        <w:numPr>
          <w:ilvl w:val="1"/>
          <w:numId w:val="21"/>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承包人违反合同约定进行转包或违法分包的；</w:t>
      </w:r>
    </w:p>
    <w:p w14:paraId="1281D8A3">
      <w:pPr>
        <w:widowControl w:val="0"/>
        <w:numPr>
          <w:ilvl w:val="1"/>
          <w:numId w:val="21"/>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承包人违反约定采购和使用不合格工程材料或工程设备；</w:t>
      </w:r>
    </w:p>
    <w:p w14:paraId="557CD840">
      <w:pPr>
        <w:widowControl w:val="0"/>
        <w:numPr>
          <w:ilvl w:val="1"/>
          <w:numId w:val="21"/>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因承包人原因导致工程质量不符合合同约定的；</w:t>
      </w:r>
    </w:p>
    <w:p w14:paraId="5FF09022">
      <w:pPr>
        <w:widowControl w:val="0"/>
        <w:numPr>
          <w:ilvl w:val="1"/>
          <w:numId w:val="21"/>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承包人未经工程师批准，擅自将已按合同约定进入施工现场的施工设备、临时设施、工程材料、工程设备撤离施工现场；</w:t>
      </w:r>
    </w:p>
    <w:p w14:paraId="13724FE7">
      <w:pPr>
        <w:widowControl w:val="0"/>
        <w:numPr>
          <w:ilvl w:val="1"/>
          <w:numId w:val="21"/>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承包人未能按项目进度计划及时完成合同约定的工作，造成工期延误；</w:t>
      </w:r>
    </w:p>
    <w:p w14:paraId="557AC994">
      <w:pPr>
        <w:widowControl w:val="0"/>
        <w:numPr>
          <w:ilvl w:val="1"/>
          <w:numId w:val="21"/>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由于承包人原因未能通过竣工试验或竣工后试验的；</w:t>
      </w:r>
    </w:p>
    <w:p w14:paraId="268F7AB3">
      <w:pPr>
        <w:widowControl w:val="0"/>
        <w:numPr>
          <w:ilvl w:val="1"/>
          <w:numId w:val="21"/>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承包人在缺陷责任期及保修期内，未能在合理期限对工程缺陷进行修复，或拒绝按发包人指示进行修复的；</w:t>
      </w:r>
    </w:p>
    <w:p w14:paraId="2FCC7D1C">
      <w:pPr>
        <w:widowControl w:val="0"/>
        <w:numPr>
          <w:ilvl w:val="1"/>
          <w:numId w:val="21"/>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承包人明确表示或者以其行为表明不履行合同主要义务的；</w:t>
      </w:r>
    </w:p>
    <w:p w14:paraId="65C3F85F">
      <w:pPr>
        <w:widowControl w:val="0"/>
        <w:numPr>
          <w:ilvl w:val="1"/>
          <w:numId w:val="21"/>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承包人未能按照合同约定履行其他义务的。</w:t>
      </w:r>
    </w:p>
    <w:p w14:paraId="73E40D38">
      <w:pPr>
        <w:spacing w:line="360" w:lineRule="auto"/>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32B24494">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bidi="ar-SA"/>
        </w:rPr>
        <mc:AlternateContent>
          <mc:Choice Requires="wps">
            <w:drawing>
              <wp:anchor distT="0" distB="0" distL="114300" distR="114300" simplePos="0" relativeHeight="252098560" behindDoc="0" locked="0" layoutInCell="1" allowOverlap="1">
                <wp:simplePos x="0" y="0"/>
                <wp:positionH relativeFrom="column">
                  <wp:posOffset>-77470</wp:posOffset>
                </wp:positionH>
                <wp:positionV relativeFrom="paragraph">
                  <wp:posOffset>62230</wp:posOffset>
                </wp:positionV>
                <wp:extent cx="746760" cy="432435"/>
                <wp:effectExtent l="0" t="0" r="0" b="0"/>
                <wp:wrapNone/>
                <wp:docPr id="430" name="0002b1"/>
                <wp:cNvGraphicFramePr/>
                <a:graphic xmlns:a="http://schemas.openxmlformats.org/drawingml/2006/main">
                  <a:graphicData uri="http://schemas.microsoft.com/office/word/2010/wordprocessingShape">
                    <wps:wsp>
                      <wps:cNvSpPr txBox="1"/>
                      <wps:spPr>
                        <a:xfrm>
                          <a:off x="0" y="0"/>
                          <a:ext cx="746760" cy="432435"/>
                        </a:xfrm>
                        <a:prstGeom prst="rect">
                          <a:avLst/>
                        </a:prstGeom>
                        <a:noFill/>
                        <a:ln>
                          <a:noFill/>
                        </a:ln>
                        <a:effectLst/>
                      </wps:spPr>
                      <wps:txbx>
                        <w:txbxContent>
                          <w:p w14:paraId="0AA5472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p w14:paraId="68BB8DFA"/>
                        </w:txbxContent>
                      </wps:txbx>
                      <wps:bodyPr wrap="square" upright="1"/>
                    </wps:wsp>
                  </a:graphicData>
                </a:graphic>
              </wp:anchor>
            </w:drawing>
          </mc:Choice>
          <mc:Fallback>
            <w:pict>
              <v:shape id="0002b1" o:spid="_x0000_s1026" o:spt="202" type="#_x0000_t202" style="position:absolute;left:0pt;margin-left:-6.1pt;margin-top:4.9pt;height:34.05pt;width:58.8pt;z-index:252098560;mso-width-relative:page;mso-height-relative:page;" filled="f" stroked="f" coordsize="21600,21600" o:gfxdata="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gKBPu1gAAAAgB&#10;AAAPAAAAAAAAAAEAIAAAACIAAABkcnMvZG93bnJldi54bWxQSwECFAAUAAAACACHTuJA8R2CpasB&#10;AABmAwAADgAAAAAAAAABACAAAAAlAQAAZHJzL2Uyb0RvYy54bWxQSwUGAAAAAAYABgBZAQAAQgUA&#10;AAAA&#10;">
                <v:fill on="f" focussize="0,0"/>
                <v:stroke on="f"/>
                <v:imagedata o:title=""/>
                <o:lock v:ext="edit" aspectratio="f"/>
                <v:textbox>
                  <w:txbxContent>
                    <w:p w14:paraId="0AA5472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p w14:paraId="68BB8DFA"/>
                  </w:txbxContent>
                </v:textbox>
              </v:shape>
            </w:pict>
          </mc:Fallback>
        </mc:AlternateContent>
      </w:r>
      <w:r>
        <w:rPr>
          <w:rFonts w:hint="eastAsia" w:ascii="仿宋" w:hAnsi="仿宋" w:eastAsia="仿宋" w:cs="仿宋"/>
          <w:color w:val="auto"/>
          <w:highlight w:val="none"/>
          <w:lang w:eastAsia="zh-CN"/>
        </w:rPr>
        <w:t>承包人发生除第95.1款第（7）目、第（9）目约定以外的其他违约情况时，设计顾问人、监理人和造价咨询人可向承包人发出整改通知，要求其在指定的期限内改正。</w:t>
      </w:r>
    </w:p>
    <w:p w14:paraId="243246F7">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u w:val="dotted"/>
          <w:lang w:eastAsia="zh-CN" w:bidi="ar-SA"/>
        </w:rPr>
        <mc:AlternateContent>
          <mc:Choice Requires="wps">
            <w:drawing>
              <wp:anchor distT="0" distB="0" distL="114300" distR="114300" simplePos="0" relativeHeight="252099584" behindDoc="0" locked="0" layoutInCell="1" allowOverlap="1">
                <wp:simplePos x="0" y="0"/>
                <wp:positionH relativeFrom="column">
                  <wp:posOffset>-81915</wp:posOffset>
                </wp:positionH>
                <wp:positionV relativeFrom="paragraph">
                  <wp:posOffset>282575</wp:posOffset>
                </wp:positionV>
                <wp:extent cx="794385" cy="518160"/>
                <wp:effectExtent l="0" t="0" r="0" b="0"/>
                <wp:wrapNone/>
                <wp:docPr id="431" name="0002b2"/>
                <wp:cNvGraphicFramePr/>
                <a:graphic xmlns:a="http://schemas.openxmlformats.org/drawingml/2006/main">
                  <a:graphicData uri="http://schemas.microsoft.com/office/word/2010/wordprocessingShape">
                    <wps:wsp>
                      <wps:cNvSpPr txBox="1"/>
                      <wps:spPr>
                        <a:xfrm>
                          <a:off x="0" y="0"/>
                          <a:ext cx="794385" cy="518160"/>
                        </a:xfrm>
                        <a:prstGeom prst="rect">
                          <a:avLst/>
                        </a:prstGeom>
                        <a:noFill/>
                        <a:ln>
                          <a:noFill/>
                        </a:ln>
                        <a:effectLst/>
                      </wps:spPr>
                      <wps:txbx>
                        <w:txbxContent>
                          <w:p w14:paraId="6A750B56">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6E3763E4">
                            <w:pPr>
                              <w:spacing w:line="240" w:lineRule="exact"/>
                              <w:rPr>
                                <w:rFonts w:ascii="楷体_GB2312" w:hAnsi="宋体" w:eastAsia="楷体_GB2312"/>
                                <w:b/>
                                <w:bCs/>
                                <w:sz w:val="18"/>
                                <w:szCs w:val="18"/>
                                <w:lang w:eastAsia="zh-CN"/>
                              </w:rPr>
                            </w:pPr>
                          </w:p>
                          <w:p w14:paraId="0E4BB18E"/>
                        </w:txbxContent>
                      </wps:txbx>
                      <wps:bodyPr wrap="square" upright="1"/>
                    </wps:wsp>
                  </a:graphicData>
                </a:graphic>
              </wp:anchor>
            </w:drawing>
          </mc:Choice>
          <mc:Fallback>
            <w:pict>
              <v:shape id="0002b2" o:spid="_x0000_s1026" o:spt="202" type="#_x0000_t202" style="position:absolute;left:0pt;margin-left:-6.45pt;margin-top:22.25pt;height:40.8pt;width:62.55pt;z-index:252099584;mso-width-relative:page;mso-height-relative:page;" filled="f" stroked="f" coordsize="21600,21600" o:gfxdata="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wBH/NcA&#10;AAAKAQAADwAAAAAAAAABACAAAAAiAAAAZHJzL2Rvd25yZXYueG1sUEsBAhQAFAAAAAgAh07iQE8C&#10;f8uuAQAAZgMAAA4AAAAAAAAAAQAgAAAAJgEAAGRycy9lMm9Eb2MueG1sUEsFBgAAAAAGAAYAWQEA&#10;AEYFAAAAAA==&#10;">
                <v:fill on="f" focussize="0,0"/>
                <v:stroke on="f"/>
                <v:imagedata o:title=""/>
                <o:lock v:ext="edit" aspectratio="f"/>
                <v:textbox>
                  <w:txbxContent>
                    <w:p w14:paraId="6A750B56">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6E3763E4">
                      <w:pPr>
                        <w:spacing w:line="240" w:lineRule="exact"/>
                        <w:rPr>
                          <w:rFonts w:ascii="楷体_GB2312" w:hAnsi="宋体" w:eastAsia="楷体_GB2312"/>
                          <w:b/>
                          <w:bCs/>
                          <w:sz w:val="18"/>
                          <w:szCs w:val="18"/>
                          <w:lang w:eastAsia="zh-CN"/>
                        </w:rPr>
                      </w:pPr>
                    </w:p>
                    <w:p w14:paraId="0E4BB18E"/>
                  </w:txbxContent>
                </v:textbox>
              </v:shape>
            </w:pict>
          </mc:Fallback>
        </mc:AlternateContent>
      </w: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72A761F">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bidi="ar-SA"/>
        </w:rPr>
        <w:t>承包人应承担因其违约行为而增加的费用和（或）延误的工期。此外，合同当事人可在合同专用条款中另行约定承包人违约责任的承担方式和计算方法。</w:t>
      </w:r>
    </w:p>
    <w:p w14:paraId="5185F123">
      <w:pPr>
        <w:spacing w:line="360" w:lineRule="auto"/>
        <w:rPr>
          <w:rFonts w:ascii="仿宋" w:hAnsi="仿宋" w:eastAsia="仿宋" w:cs="仿宋"/>
          <w:b/>
          <w:bCs/>
          <w:color w:val="auto"/>
          <w:highlight w:val="none"/>
          <w:u w:val="dotted"/>
          <w:lang w:eastAsia="zh-CN"/>
        </w:rPr>
      </w:pPr>
      <w:bookmarkStart w:id="1242" w:name="_Toc8891"/>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w:t>
      </w:r>
      <w:bookmarkEnd w:id="1242"/>
      <w:r>
        <w:rPr>
          <w:rFonts w:hint="eastAsia" w:ascii="仿宋" w:hAnsi="仿宋" w:eastAsia="仿宋" w:cs="仿宋"/>
          <w:b/>
          <w:bCs/>
          <w:color w:val="auto"/>
          <w:highlight w:val="none"/>
          <w:lang w:eastAsia="zh-CN"/>
        </w:rPr>
        <w:t>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C42556E">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100608" behindDoc="0" locked="0" layoutInCell="1" allowOverlap="1">
                <wp:simplePos x="0" y="0"/>
                <wp:positionH relativeFrom="column">
                  <wp:posOffset>-114300</wp:posOffset>
                </wp:positionH>
                <wp:positionV relativeFrom="paragraph">
                  <wp:posOffset>20955</wp:posOffset>
                </wp:positionV>
                <wp:extent cx="794385" cy="632460"/>
                <wp:effectExtent l="0" t="0" r="0" b="0"/>
                <wp:wrapNone/>
                <wp:docPr id="432" name="0002b3"/>
                <wp:cNvGraphicFramePr/>
                <a:graphic xmlns:a="http://schemas.openxmlformats.org/drawingml/2006/main">
                  <a:graphicData uri="http://schemas.microsoft.com/office/word/2010/wordprocessingShape">
                    <wps:wsp>
                      <wps:cNvSpPr txBox="1"/>
                      <wps:spPr>
                        <a:xfrm>
                          <a:off x="0" y="0"/>
                          <a:ext cx="794385" cy="632460"/>
                        </a:xfrm>
                        <a:prstGeom prst="rect">
                          <a:avLst/>
                        </a:prstGeom>
                        <a:noFill/>
                        <a:ln>
                          <a:noFill/>
                        </a:ln>
                        <a:effectLst/>
                      </wps:spPr>
                      <wps:txbx>
                        <w:txbxContent>
                          <w:p w14:paraId="4C234AB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723378E8">
                            <w:pPr>
                              <w:spacing w:line="240" w:lineRule="exact"/>
                              <w:rPr>
                                <w:rFonts w:ascii="楷体_GB2312" w:hAnsi="宋体" w:eastAsia="楷体_GB2312"/>
                                <w:b/>
                                <w:bCs/>
                                <w:sz w:val="18"/>
                                <w:szCs w:val="18"/>
                              </w:rPr>
                            </w:pPr>
                          </w:p>
                          <w:p w14:paraId="4FD621D0"/>
                        </w:txbxContent>
                      </wps:txbx>
                      <wps:bodyPr wrap="square" upright="1"/>
                    </wps:wsp>
                  </a:graphicData>
                </a:graphic>
              </wp:anchor>
            </w:drawing>
          </mc:Choice>
          <mc:Fallback>
            <w:pict>
              <v:shape id="0002b3" o:spid="_x0000_s1026" o:spt="202" type="#_x0000_t202" style="position:absolute;left:0pt;margin-left:-9pt;margin-top:1.65pt;height:49.8pt;width:62.55pt;z-index:252100608;mso-width-relative:page;mso-height-relative:page;" filled="f" stroked="f" coordsize="21600,21600" o:gfxdata="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JQrgw1gAA&#10;AAkBAAAPAAAAAAAAAAEAIAAAACIAAABkcnMvZG93bnJldi54bWxQSwECFAAUAAAACACHTuJADGaJ&#10;eK4BAABmAwAADgAAAAAAAAABACAAAAAlAQAAZHJzL2Uyb0RvYy54bWxQSwUGAAAAAAYABgBZAQAA&#10;RQUAAAAA&#10;">
                <v:fill on="f" focussize="0,0"/>
                <v:stroke on="f"/>
                <v:imagedata o:title=""/>
                <o:lock v:ext="edit" aspectratio="f"/>
                <v:textbox>
                  <w:txbxContent>
                    <w:p w14:paraId="4C234AB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723378E8">
                      <w:pPr>
                        <w:spacing w:line="240" w:lineRule="exact"/>
                        <w:rPr>
                          <w:rFonts w:ascii="楷体_GB2312" w:hAnsi="宋体" w:eastAsia="楷体_GB2312"/>
                          <w:b/>
                          <w:bCs/>
                          <w:sz w:val="18"/>
                          <w:szCs w:val="18"/>
                        </w:rPr>
                      </w:pPr>
                    </w:p>
                    <w:p w14:paraId="4FD621D0"/>
                  </w:txbxContent>
                </v:textbox>
              </v:shape>
            </w:pict>
          </mc:Fallback>
        </mc:AlternateContent>
      </w:r>
      <w:r>
        <w:rPr>
          <w:rFonts w:hint="eastAsia" w:ascii="仿宋" w:hAnsi="仿宋" w:eastAsia="仿宋" w:cs="仿宋"/>
          <w:color w:val="auto"/>
          <w:highlight w:val="none"/>
          <w:lang w:eastAsia="zh-CN"/>
        </w:rPr>
        <w:t>因承包人违约解除合同的，发包人有权要求承包人将其为实施合同而签订的工程材料和工程设备的采购合同的权益转让给发包人，承包人应在收到解除合同通知后14天内，协助发包人与采购合同的供应商达成相关的转让协议。</w:t>
      </w:r>
    </w:p>
    <w:p w14:paraId="24B869DA">
      <w:pPr>
        <w:pStyle w:val="23"/>
        <w:spacing w:line="360" w:lineRule="auto"/>
        <w:ind w:right="-238"/>
        <w:rPr>
          <w:rFonts w:ascii="仿宋" w:hAnsi="仿宋" w:eastAsia="仿宋"/>
          <w:color w:val="auto"/>
          <w:highlight w:val="non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7DC2B585">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1243" w:name="_Toc47694374"/>
      <w:bookmarkStart w:id="1244" w:name="_Toc30246"/>
      <w:bookmarkStart w:id="1245" w:name="_Toc31799"/>
      <w:bookmarkStart w:id="1246" w:name="_Toc489260630"/>
      <w:bookmarkStart w:id="1247" w:name="_Toc27469"/>
      <w:bookmarkStart w:id="1248" w:name="_Toc14269"/>
      <w:bookmarkStart w:id="1249" w:name="_Toc1303"/>
      <w:bookmarkStart w:id="1250" w:name="_Toc26636"/>
      <w:bookmarkStart w:id="1251" w:name="_Toc17829"/>
      <w:r>
        <w:rPr>
          <w:rFonts w:hint="eastAsia" w:ascii="仿宋" w:hAnsi="仿宋" w:eastAsia="仿宋" w:cs="仿宋"/>
          <w:bCs w:val="0"/>
          <w:color w:val="auto"/>
          <w:sz w:val="24"/>
          <w:szCs w:val="24"/>
          <w:highlight w:val="none"/>
          <w:lang w:eastAsia="zh-CN"/>
        </w:rPr>
        <w:t>★96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发包人违约</w:t>
      </w:r>
      <w:bookmarkEnd w:id="1243"/>
      <w:bookmarkEnd w:id="1244"/>
      <w:bookmarkEnd w:id="1245"/>
      <w:bookmarkEnd w:id="1246"/>
      <w:bookmarkEnd w:id="1247"/>
      <w:bookmarkEnd w:id="1248"/>
      <w:bookmarkEnd w:id="1249"/>
      <w:bookmarkEnd w:id="1250"/>
      <w:bookmarkEnd w:id="1251"/>
    </w:p>
    <w:p w14:paraId="2A89DA59">
      <w:pPr>
        <w:pStyle w:val="23"/>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101632" behindDoc="0" locked="0" layoutInCell="1" allowOverlap="1">
                <wp:simplePos x="0" y="0"/>
                <wp:positionH relativeFrom="column">
                  <wp:posOffset>-81280</wp:posOffset>
                </wp:positionH>
                <wp:positionV relativeFrom="paragraph">
                  <wp:posOffset>254000</wp:posOffset>
                </wp:positionV>
                <wp:extent cx="813435" cy="629285"/>
                <wp:effectExtent l="0" t="0" r="0" b="0"/>
                <wp:wrapNone/>
                <wp:docPr id="433" name="0002b4"/>
                <wp:cNvGraphicFramePr/>
                <a:graphic xmlns:a="http://schemas.openxmlformats.org/drawingml/2006/main">
                  <a:graphicData uri="http://schemas.microsoft.com/office/word/2010/wordprocessingShape">
                    <wps:wsp>
                      <wps:cNvSpPr txBox="1"/>
                      <wps:spPr>
                        <a:xfrm>
                          <a:off x="0" y="0"/>
                          <a:ext cx="813435" cy="629285"/>
                        </a:xfrm>
                        <a:prstGeom prst="rect">
                          <a:avLst/>
                        </a:prstGeom>
                        <a:noFill/>
                        <a:ln>
                          <a:noFill/>
                        </a:ln>
                        <a:effectLst/>
                      </wps:spPr>
                      <wps:txbx>
                        <w:txbxContent>
                          <w:p w14:paraId="5203DA5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p w14:paraId="58D69A57"/>
                        </w:txbxContent>
                      </wps:txbx>
                      <wps:bodyPr wrap="square" upright="1"/>
                    </wps:wsp>
                  </a:graphicData>
                </a:graphic>
              </wp:anchor>
            </w:drawing>
          </mc:Choice>
          <mc:Fallback>
            <w:pict>
              <v:shape id="0002b4" o:spid="_x0000_s1026" o:spt="202" type="#_x0000_t202" style="position:absolute;left:0pt;margin-left:-6.4pt;margin-top:20pt;height:49.55pt;width:64.05pt;z-index:252101632;mso-width-relative:page;mso-height-relative:page;" filled="f" stroked="f" coordsize="21600,21600" o:gfxdata="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uTVPrXAAAA&#10;CgEAAA8AAAAAAAAAAQAgAAAAIgAAAGRycy9kb3ducmV2LnhtbFBLAQIUABQAAAAIAIdO4kAxTdjm&#10;rAEAAGYDAAAOAAAAAAAAAAEAIAAAACYBAABkcnMvZTJvRG9jLnhtbFBLBQYAAAAABgAGAFkBAABE&#10;BQAAAAA=&#10;">
                <v:fill on="f" focussize="0,0"/>
                <v:stroke on="f"/>
                <v:imagedata o:title=""/>
                <o:lock v:ext="edit" aspectratio="f"/>
                <v:textbox>
                  <w:txbxContent>
                    <w:p w14:paraId="5203DA5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p w14:paraId="58D69A57"/>
                  </w:txbxContent>
                </v:textbox>
              </v:shape>
            </w:pict>
          </mc:Fallback>
        </mc:AlternateContent>
      </w:r>
      <w:r>
        <w:rPr>
          <w:rFonts w:hint="eastAsia" w:ascii="仿宋" w:hAnsi="仿宋" w:eastAsia="仿宋" w:cs="仿宋"/>
          <w:b/>
          <w:bCs/>
          <w:color w:val="auto"/>
          <w:sz w:val="24"/>
          <w:szCs w:val="24"/>
          <w:highlight w:val="none"/>
          <w:lang w:eastAsia="zh-CN"/>
        </w:rPr>
        <w:t>96</w:t>
      </w:r>
      <w:r>
        <w:rPr>
          <w:rFonts w:ascii="仿宋" w:hAnsi="仿宋" w:eastAsia="仿宋" w:cs="仿宋"/>
          <w:b/>
          <w:bCs/>
          <w:color w:val="auto"/>
          <w:sz w:val="24"/>
          <w:szCs w:val="24"/>
          <w:highlight w:val="none"/>
          <w:lang w:eastAsia="zh-CN"/>
        </w:rPr>
        <w:t>.1</w:t>
      </w:r>
    </w:p>
    <w:p w14:paraId="475799A9">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除合同专用条款另有约定外，在合同履行过程中发生的下列情形，属于发包人违约：</w:t>
      </w:r>
    </w:p>
    <w:p w14:paraId="41147FD0">
      <w:pPr>
        <w:widowControl w:val="0"/>
        <w:numPr>
          <w:ilvl w:val="1"/>
          <w:numId w:val="22"/>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因发包人原因导致开始工作日期延误的； </w:t>
      </w:r>
    </w:p>
    <w:p w14:paraId="2A537D77">
      <w:pPr>
        <w:widowControl w:val="0"/>
        <w:numPr>
          <w:ilvl w:val="1"/>
          <w:numId w:val="22"/>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因发包人原因未能按合同约定支付合同价款的；</w:t>
      </w:r>
    </w:p>
    <w:p w14:paraId="42F0387A">
      <w:pPr>
        <w:widowControl w:val="0"/>
        <w:numPr>
          <w:ilvl w:val="1"/>
          <w:numId w:val="22"/>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发包人违反第13.1.1项约定，自行实施被取消的工作或转由他人实施的；</w:t>
      </w:r>
    </w:p>
    <w:p w14:paraId="0388A1D0">
      <w:pPr>
        <w:widowControl w:val="0"/>
        <w:numPr>
          <w:ilvl w:val="1"/>
          <w:numId w:val="22"/>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因发包人违反合同约定造成工程暂停施工的；</w:t>
      </w:r>
    </w:p>
    <w:p w14:paraId="74590120">
      <w:pPr>
        <w:widowControl w:val="0"/>
        <w:numPr>
          <w:ilvl w:val="1"/>
          <w:numId w:val="22"/>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监理人无正当理由没有在约定期限内发出复工指示，导致承包人无法复工的；</w:t>
      </w:r>
    </w:p>
    <w:p w14:paraId="1946AA4F">
      <w:pPr>
        <w:widowControl w:val="0"/>
        <w:numPr>
          <w:ilvl w:val="1"/>
          <w:numId w:val="22"/>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发包人明确表示或者以其行为表明不履行合同主要义务的；</w:t>
      </w:r>
    </w:p>
    <w:p w14:paraId="62B7B627">
      <w:pPr>
        <w:widowControl w:val="0"/>
        <w:numPr>
          <w:ilvl w:val="1"/>
          <w:numId w:val="22"/>
        </w:numPr>
        <w:tabs>
          <w:tab w:val="clear" w:pos="3285"/>
        </w:tabs>
        <w:spacing w:line="360" w:lineRule="auto"/>
        <w:ind w:left="1850" w:leftChars="771" w:firstLine="0"/>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发包人未能按照合同约定履行其他义务的。</w:t>
      </w:r>
    </w:p>
    <w:p w14:paraId="04631B43">
      <w:pPr>
        <w:spacing w:line="360" w:lineRule="auto"/>
        <w:rPr>
          <w:rFonts w:ascii="仿宋" w:hAnsi="仿宋" w:eastAsia="仿宋" w:cs="仿宋"/>
          <w:b/>
          <w:bCs/>
          <w:color w:val="auto"/>
          <w:highlight w:val="none"/>
          <w:u w:val="dotted"/>
          <w:lang w:eastAsia="zh-CN"/>
        </w:rPr>
      </w:pPr>
      <w:bookmarkStart w:id="1252" w:name="_Toc15582"/>
      <w:r>
        <w:rPr>
          <w:color w:val="auto"/>
          <w:highlight w:val="none"/>
        </w:rPr>
        <mc:AlternateContent>
          <mc:Choice Requires="wps">
            <w:drawing>
              <wp:anchor distT="0" distB="0" distL="114300" distR="114300" simplePos="0" relativeHeight="252102656" behindDoc="0" locked="0" layoutInCell="1" allowOverlap="1">
                <wp:simplePos x="0" y="0"/>
                <wp:positionH relativeFrom="column">
                  <wp:posOffset>-114300</wp:posOffset>
                </wp:positionH>
                <wp:positionV relativeFrom="paragraph">
                  <wp:posOffset>235585</wp:posOffset>
                </wp:positionV>
                <wp:extent cx="775970" cy="547370"/>
                <wp:effectExtent l="0" t="0" r="0" b="0"/>
                <wp:wrapNone/>
                <wp:docPr id="434" name="0002b5"/>
                <wp:cNvGraphicFramePr/>
                <a:graphic xmlns:a="http://schemas.openxmlformats.org/drawingml/2006/main">
                  <a:graphicData uri="http://schemas.microsoft.com/office/word/2010/wordprocessingShape">
                    <wps:wsp>
                      <wps:cNvSpPr txBox="1"/>
                      <wps:spPr>
                        <a:xfrm>
                          <a:off x="0" y="0"/>
                          <a:ext cx="775970" cy="547370"/>
                        </a:xfrm>
                        <a:prstGeom prst="rect">
                          <a:avLst/>
                        </a:prstGeom>
                        <a:noFill/>
                        <a:ln>
                          <a:noFill/>
                        </a:ln>
                        <a:effectLst/>
                      </wps:spPr>
                      <wps:txbx>
                        <w:txbxContent>
                          <w:p w14:paraId="7E6ADC9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p w14:paraId="0A1D2805"/>
                        </w:txbxContent>
                      </wps:txbx>
                      <wps:bodyPr wrap="square" upright="1"/>
                    </wps:wsp>
                  </a:graphicData>
                </a:graphic>
              </wp:anchor>
            </w:drawing>
          </mc:Choice>
          <mc:Fallback>
            <w:pict>
              <v:shape id="0002b5" o:spid="_x0000_s1026" o:spt="202" type="#_x0000_t202" style="position:absolute;left:0pt;margin-left:-9pt;margin-top:18.55pt;height:43.1pt;width:61.1pt;z-index:252102656;mso-width-relative:page;mso-height-relative:page;" filled="f" stroked="f" coordsize="21600,21600" o:gfxdata="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0ZQBfYAAAA&#10;CgEAAA8AAAAAAAAAAQAgAAAAIgAAAGRycy9kb3ducmV2LnhtbFBLAQIUABQAAAAIAIdO4kC4vX14&#10;qwEAAGYDAAAOAAAAAAAAAAEAIAAAACcBAABkcnMvZTJvRG9jLnhtbFBLBQYAAAAABgAGAFkBAABE&#10;BQAAAAA=&#10;">
                <v:fill on="f" focussize="0,0"/>
                <v:stroke on="f"/>
                <v:imagedata o:title=""/>
                <o:lock v:ext="edit" aspectratio="f"/>
                <v:textbox>
                  <w:txbxContent>
                    <w:p w14:paraId="7E6ADC9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p w14:paraId="0A1D2805"/>
                  </w:txbxContent>
                </v:textbox>
              </v:shape>
            </w:pict>
          </mc:Fallback>
        </mc:AlternateContent>
      </w:r>
      <w:r>
        <w:rPr>
          <w:rFonts w:hint="eastAsia" w:ascii="仿宋" w:hAnsi="仿宋" w:eastAsia="仿宋" w:cs="仿宋"/>
          <w:b/>
          <w:bCs/>
          <w:color w:val="auto"/>
          <w:highlight w:val="none"/>
          <w:lang w:eastAsia="zh-CN"/>
        </w:rPr>
        <w:t>96</w:t>
      </w:r>
      <w:r>
        <w:rPr>
          <w:rFonts w:ascii="仿宋" w:hAnsi="仿宋" w:eastAsia="仿宋" w:cs="仿宋"/>
          <w:b/>
          <w:bCs/>
          <w:color w:val="auto"/>
          <w:highlight w:val="none"/>
          <w:lang w:eastAsia="zh-CN"/>
        </w:rPr>
        <w:t>.2</w:t>
      </w:r>
      <w:bookmarkEnd w:id="125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13C86BA">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发生除第96.2款第（6）项以外的违约情况时，承包人可向发包人发出通知，要求发包人采取有效措施纠正违约行为。发包人收到承包人通知后28天内仍不纠正违约行为的，承包人有权暂停相应部位工程实施，并通知设计顾问人、监理人和造价咨询人。</w:t>
      </w:r>
    </w:p>
    <w:p w14:paraId="79843788">
      <w:pPr>
        <w:spacing w:line="360" w:lineRule="auto"/>
        <w:rPr>
          <w:rFonts w:ascii="仿宋" w:hAnsi="仿宋" w:eastAsia="仿宋" w:cs="仿宋"/>
          <w:b/>
          <w:bCs/>
          <w:color w:val="auto"/>
          <w:highlight w:val="none"/>
          <w:u w:val="dotted"/>
          <w:lang w:eastAsia="zh-CN"/>
        </w:rPr>
      </w:pPr>
      <w:r>
        <w:rPr>
          <w:color w:val="auto"/>
          <w:highlight w:val="none"/>
        </w:rPr>
        <mc:AlternateContent>
          <mc:Choice Requires="wps">
            <w:drawing>
              <wp:anchor distT="0" distB="0" distL="114300" distR="114300" simplePos="0" relativeHeight="252103680" behindDoc="0" locked="0" layoutInCell="1" allowOverlap="1">
                <wp:simplePos x="0" y="0"/>
                <wp:positionH relativeFrom="column">
                  <wp:posOffset>-114300</wp:posOffset>
                </wp:positionH>
                <wp:positionV relativeFrom="paragraph">
                  <wp:posOffset>235585</wp:posOffset>
                </wp:positionV>
                <wp:extent cx="803910" cy="536575"/>
                <wp:effectExtent l="0" t="0" r="0" b="0"/>
                <wp:wrapNone/>
                <wp:docPr id="435" name="0002b6"/>
                <wp:cNvGraphicFramePr/>
                <a:graphic xmlns:a="http://schemas.openxmlformats.org/drawingml/2006/main">
                  <a:graphicData uri="http://schemas.microsoft.com/office/word/2010/wordprocessingShape">
                    <wps:wsp>
                      <wps:cNvSpPr txBox="1"/>
                      <wps:spPr>
                        <a:xfrm>
                          <a:off x="0" y="0"/>
                          <a:ext cx="803910" cy="536575"/>
                        </a:xfrm>
                        <a:prstGeom prst="rect">
                          <a:avLst/>
                        </a:prstGeom>
                        <a:noFill/>
                        <a:ln>
                          <a:noFill/>
                        </a:ln>
                        <a:effectLst/>
                      </wps:spPr>
                      <wps:txbx>
                        <w:txbxContent>
                          <w:p w14:paraId="5683583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p w14:paraId="3A2FC45C"/>
                        </w:txbxContent>
                      </wps:txbx>
                      <wps:bodyPr wrap="square" upright="1"/>
                    </wps:wsp>
                  </a:graphicData>
                </a:graphic>
              </wp:anchor>
            </w:drawing>
          </mc:Choice>
          <mc:Fallback>
            <w:pict>
              <v:shape id="0002b6" o:spid="_x0000_s1026" o:spt="202" type="#_x0000_t202" style="position:absolute;left:0pt;margin-left:-9pt;margin-top:18.55pt;height:42.25pt;width:63.3pt;z-index:252103680;mso-width-relative:page;mso-height-relative:page;" filled="f" stroked="f" coordsize="21600,21600" o:gfxdata="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LFhHNcAAAAK&#10;AQAADwAAAAAAAAABACAAAAAiAAAAZHJzL2Rvd25yZXYueG1sUEsBAhQAFAAAAAgAh07iQP5PjEGr&#10;AQAAZgMAAA4AAAAAAAAAAQAgAAAAJgEAAGRycy9lMm9Eb2MueG1sUEsFBgAAAAAGAAYAWQEAAEMF&#10;AAAAAA==&#10;">
                <v:fill on="f" focussize="0,0"/>
                <v:stroke on="f"/>
                <v:imagedata o:title=""/>
                <o:lock v:ext="edit" aspectratio="f"/>
                <v:textbox>
                  <w:txbxContent>
                    <w:p w14:paraId="5683583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p w14:paraId="3A2FC45C"/>
                  </w:txbxContent>
                </v:textbox>
              </v:shape>
            </w:pict>
          </mc:Fallback>
        </mc:AlternateContent>
      </w:r>
      <w:r>
        <w:rPr>
          <w:rFonts w:hint="eastAsia" w:ascii="仿宋" w:hAnsi="仿宋" w:eastAsia="仿宋" w:cs="仿宋"/>
          <w:b/>
          <w:bCs/>
          <w:color w:val="auto"/>
          <w:highlight w:val="none"/>
          <w:lang w:eastAsia="zh-CN"/>
        </w:rPr>
        <w:t>96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C922821">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发包人应承担因其违约给承包人增加的费用和（或）延误的工期，并支付承包人合理的利润。此外，合同当事人可在合同专用条款中另行约定发包人违约责任的承担方式和计算方法。</w:t>
      </w:r>
    </w:p>
    <w:p w14:paraId="579E04EB">
      <w:pPr>
        <w:pStyle w:val="23"/>
        <w:spacing w:line="360" w:lineRule="auto"/>
        <w:ind w:right="-238"/>
        <w:rPr>
          <w:rFonts w:ascii="仿宋" w:hAnsi="仿宋" w:eastAsia="仿宋"/>
          <w:color w:val="auto"/>
          <w:highlight w:val="non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6DAFF433">
      <w:pPr>
        <w:pStyle w:val="4"/>
        <w:tabs>
          <w:tab w:val="left" w:pos="420"/>
        </w:tabs>
        <w:spacing w:before="120" w:after="120" w:line="360" w:lineRule="auto"/>
        <w:rPr>
          <w:rFonts w:hint="eastAsia" w:ascii="仿宋" w:hAnsi="仿宋" w:eastAsia="仿宋" w:cs="仿宋"/>
          <w:bCs w:val="0"/>
          <w:color w:val="auto"/>
          <w:sz w:val="24"/>
          <w:szCs w:val="24"/>
          <w:highlight w:val="none"/>
          <w:lang w:eastAsia="zh-CN"/>
        </w:rPr>
      </w:pPr>
      <w:bookmarkStart w:id="1253" w:name="_Toc14226"/>
      <w:bookmarkStart w:id="1254" w:name="_Toc8636"/>
      <w:bookmarkStart w:id="1255" w:name="_Toc47694375"/>
      <w:bookmarkStart w:id="1256" w:name="_Toc489260631"/>
      <w:bookmarkStart w:id="1257" w:name="_Toc32722"/>
      <w:bookmarkStart w:id="1258" w:name="_Toc17297"/>
      <w:bookmarkStart w:id="1259" w:name="_Toc20257"/>
      <w:bookmarkStart w:id="1260" w:name="_Toc28445"/>
      <w:bookmarkStart w:id="1261" w:name="_Toc9831"/>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9</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第三方违约与除外责任</w:t>
      </w:r>
      <w:bookmarkEnd w:id="1253"/>
      <w:bookmarkEnd w:id="1254"/>
      <w:bookmarkEnd w:id="1255"/>
      <w:bookmarkEnd w:id="1256"/>
      <w:bookmarkEnd w:id="1257"/>
      <w:bookmarkEnd w:id="1258"/>
      <w:bookmarkEnd w:id="1259"/>
      <w:bookmarkEnd w:id="1260"/>
      <w:bookmarkEnd w:id="1261"/>
    </w:p>
    <w:p w14:paraId="2695927E">
      <w:pPr>
        <w:spacing w:line="360" w:lineRule="auto"/>
        <w:rPr>
          <w:rFonts w:ascii="仿宋" w:hAnsi="仿宋" w:eastAsia="仿宋" w:cs="仿宋"/>
          <w:b/>
          <w:bCs/>
          <w:color w:val="auto"/>
          <w:highlight w:val="none"/>
          <w:u w:val="dotted"/>
          <w:lang w:eastAsia="zh-CN"/>
        </w:rPr>
      </w:pPr>
      <w:r>
        <w:rPr>
          <w:color w:val="auto"/>
          <w:highlight w:val="none"/>
        </w:rPr>
        <mc:AlternateContent>
          <mc:Choice Requires="wps">
            <w:drawing>
              <wp:anchor distT="0" distB="0" distL="114300" distR="114300" simplePos="0" relativeHeight="252104704" behindDoc="0" locked="0" layoutInCell="1" allowOverlap="1">
                <wp:simplePos x="0" y="0"/>
                <wp:positionH relativeFrom="column">
                  <wp:posOffset>-114300</wp:posOffset>
                </wp:positionH>
                <wp:positionV relativeFrom="paragraph">
                  <wp:posOffset>235585</wp:posOffset>
                </wp:positionV>
                <wp:extent cx="833120" cy="584835"/>
                <wp:effectExtent l="0" t="0" r="0" b="0"/>
                <wp:wrapNone/>
                <wp:docPr id="436" name="0002b7"/>
                <wp:cNvGraphicFramePr/>
                <a:graphic xmlns:a="http://schemas.openxmlformats.org/drawingml/2006/main">
                  <a:graphicData uri="http://schemas.microsoft.com/office/word/2010/wordprocessingShape">
                    <wps:wsp>
                      <wps:cNvSpPr txBox="1"/>
                      <wps:spPr>
                        <a:xfrm>
                          <a:off x="0" y="0"/>
                          <a:ext cx="833120" cy="584835"/>
                        </a:xfrm>
                        <a:prstGeom prst="rect">
                          <a:avLst/>
                        </a:prstGeom>
                        <a:noFill/>
                        <a:ln>
                          <a:noFill/>
                        </a:ln>
                        <a:effectLst/>
                      </wps:spPr>
                      <wps:txbx>
                        <w:txbxContent>
                          <w:p w14:paraId="160E765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p w14:paraId="40DACE93"/>
                        </w:txbxContent>
                      </wps:txbx>
                      <wps:bodyPr wrap="square" upright="1"/>
                    </wps:wsp>
                  </a:graphicData>
                </a:graphic>
              </wp:anchor>
            </w:drawing>
          </mc:Choice>
          <mc:Fallback>
            <w:pict>
              <v:shape id="0002b7" o:spid="_x0000_s1026" o:spt="202" type="#_x0000_t202" style="position:absolute;left:0pt;margin-left:-9pt;margin-top:18.55pt;height:46.05pt;width:65.6pt;z-index:252104704;mso-width-relative:page;mso-height-relative:page;" filled="f" stroked="f" coordsize="21600,21600" o:gfxdata="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e07FZ2AAA&#10;AAoBAAAPAAAAAAAAAAEAIAAAACIAAABkcnMvZG93bnJldi54bWxQSwECFAAUAAAACACHTuJA/ioi&#10;o6wBAABmAwAADgAAAAAAAAABACAAAAAnAQAAZHJzL2Uyb0RvYy54bWxQSwUGAAAAAAYABgBZAQAA&#10;RQUAAAAA&#10;">
                <v:fill on="f" focussize="0,0"/>
                <v:stroke on="f"/>
                <v:imagedata o:title=""/>
                <o:lock v:ext="edit" aspectratio="f"/>
                <v:textbox>
                  <w:txbxContent>
                    <w:p w14:paraId="160E765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p w14:paraId="40DACE93"/>
                  </w:txbxContent>
                </v:textbox>
              </v:shape>
            </w:pict>
          </mc:Fallback>
        </mc:AlternateContent>
      </w:r>
      <w:r>
        <w:rPr>
          <w:rFonts w:hint="eastAsia" w:ascii="仿宋" w:hAnsi="仿宋" w:eastAsia="仿宋" w:cs="仿宋"/>
          <w:b/>
          <w:bCs/>
          <w:color w:val="auto"/>
          <w:highlight w:val="none"/>
          <w:lang w:eastAsia="zh-CN"/>
        </w:rPr>
        <w:t>97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1</w:t>
      </w:r>
    </w:p>
    <w:p w14:paraId="14E2BD20">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在履行合同过程中，一方当事人因第三人的原因造成违约的，应当向对方当事人承担违约责任。一方当事人和第三人之间的纠纷，依照法律规定或者按照约定解决。</w:t>
      </w:r>
    </w:p>
    <w:p w14:paraId="213DCDC2">
      <w:pPr>
        <w:spacing w:line="360" w:lineRule="auto"/>
        <w:rPr>
          <w:color w:val="auto"/>
          <w:highlight w:val="none"/>
          <w:lang w:eastAsia="zh-CN" w:bidi="ar-SA"/>
        </w:rPr>
      </w:pPr>
      <w:r>
        <w:rPr>
          <w:rFonts w:hint="eastAsia" w:ascii="仿宋" w:hAnsi="仿宋" w:eastAsia="仿宋" w:cs="仿宋"/>
          <w:b/>
          <w:bCs/>
          <w:color w:val="auto"/>
          <w:highlight w:val="none"/>
          <w:lang w:eastAsia="zh-CN"/>
        </w:rPr>
        <w:t>97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A06CAB6">
      <w:pPr>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05728" behindDoc="0" locked="0" layoutInCell="1" allowOverlap="1">
                <wp:simplePos x="0" y="0"/>
                <wp:positionH relativeFrom="column">
                  <wp:posOffset>-114300</wp:posOffset>
                </wp:positionH>
                <wp:positionV relativeFrom="paragraph">
                  <wp:posOffset>15875</wp:posOffset>
                </wp:positionV>
                <wp:extent cx="736600" cy="506095"/>
                <wp:effectExtent l="0" t="0" r="0" b="0"/>
                <wp:wrapNone/>
                <wp:docPr id="437" name="0002b8"/>
                <wp:cNvGraphicFramePr/>
                <a:graphic xmlns:a="http://schemas.openxmlformats.org/drawingml/2006/main">
                  <a:graphicData uri="http://schemas.microsoft.com/office/word/2010/wordprocessingShape">
                    <wps:wsp>
                      <wps:cNvSpPr txBox="1"/>
                      <wps:spPr>
                        <a:xfrm>
                          <a:off x="0" y="0"/>
                          <a:ext cx="736600" cy="506095"/>
                        </a:xfrm>
                        <a:prstGeom prst="rect">
                          <a:avLst/>
                        </a:prstGeom>
                        <a:noFill/>
                        <a:ln>
                          <a:noFill/>
                        </a:ln>
                        <a:effectLst/>
                      </wps:spPr>
                      <wps:txbx>
                        <w:txbxContent>
                          <w:p w14:paraId="5353C7A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p w14:paraId="5CA26F43"/>
                        </w:txbxContent>
                      </wps:txbx>
                      <wps:bodyPr wrap="square" upright="1"/>
                    </wps:wsp>
                  </a:graphicData>
                </a:graphic>
              </wp:anchor>
            </w:drawing>
          </mc:Choice>
          <mc:Fallback>
            <w:pict>
              <v:shape id="0002b8" o:spid="_x0000_s1026" o:spt="202" type="#_x0000_t202" style="position:absolute;left:0pt;margin-left:-9pt;margin-top:1.25pt;height:39.85pt;width:58pt;z-index:252105728;mso-width-relative:page;mso-height-relative:page;" filled="f" stroked="f" coordsize="21600,21600" o:gfxdata="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CALYxjUAAAABwEA&#10;AA8AAAAAAAAAAQAgAAAAIgAAAGRycy9kb3ducmV2LnhtbFBLAQIUABQAAAAIAIdO4kCtkDytrAEA&#10;AGYDAAAOAAAAAAAAAAEAIAAAACMBAABkcnMvZTJvRG9jLnhtbFBLBQYAAAAABgAGAFkBAABBBQAA&#10;AAA=&#10;">
                <v:fill on="f" focussize="0,0"/>
                <v:stroke on="f"/>
                <v:imagedata o:title=""/>
                <o:lock v:ext="edit" aspectratio="f"/>
                <v:textbox>
                  <w:txbxContent>
                    <w:p w14:paraId="5353C7A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p w14:paraId="5CA26F43"/>
                  </w:txbxContent>
                </v:textbox>
              </v:shape>
            </w:pict>
          </mc:Fallback>
        </mc:AlternateContent>
      </w:r>
      <w:r>
        <w:rPr>
          <w:rFonts w:hint="eastAsia" w:ascii="仿宋" w:hAnsi="仿宋" w:eastAsia="仿宋" w:cs="仿宋"/>
          <w:color w:val="auto"/>
          <w:highlight w:val="none"/>
          <w:lang w:eastAsia="zh-CN"/>
        </w:rPr>
        <w:t>非承包人的原因，且承包人无过错，而产生的各类损失，承包人不承担赔偿责任。</w:t>
      </w:r>
    </w:p>
    <w:p w14:paraId="77D7F430">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因不可抗力导致本合同全部或部分不能履行时，双方各自承担损失。</w:t>
      </w:r>
    </w:p>
    <w:p w14:paraId="13613544">
      <w:pPr>
        <w:pStyle w:val="23"/>
        <w:spacing w:line="360" w:lineRule="auto"/>
        <w:ind w:right="-238"/>
        <w:rPr>
          <w:rFonts w:ascii="仿宋" w:hAnsi="仿宋" w:eastAsia="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58FBA373">
      <w:pPr>
        <w:pStyle w:val="23"/>
        <w:spacing w:line="360" w:lineRule="auto"/>
        <w:jc w:val="center"/>
        <w:outlineLvl w:val="1"/>
        <w:rPr>
          <w:rFonts w:ascii="仿宋" w:hAnsi="仿宋" w:eastAsia="仿宋"/>
          <w:b/>
          <w:bCs/>
          <w:color w:val="auto"/>
          <w:sz w:val="24"/>
          <w:szCs w:val="24"/>
          <w:highlight w:val="none"/>
          <w:lang w:eastAsia="zh-CN"/>
        </w:rPr>
      </w:pPr>
      <w:bookmarkStart w:id="1262" w:name="_Toc22019"/>
      <w:bookmarkStart w:id="1263" w:name="_Toc9127"/>
      <w:bookmarkStart w:id="1264" w:name="_Toc469384074"/>
      <w:bookmarkStart w:id="1265" w:name="_Toc47694376"/>
      <w:bookmarkStart w:id="1266" w:name="_Toc10144"/>
      <w:bookmarkStart w:id="1267" w:name="_Toc32129"/>
      <w:bookmarkStart w:id="1268" w:name="_Toc12195"/>
      <w:bookmarkStart w:id="1269" w:name="_Toc2281"/>
      <w:bookmarkStart w:id="1270" w:name="_Toc2525"/>
      <w:r>
        <w:rPr>
          <w:rFonts w:hint="eastAsia" w:ascii="仿宋" w:hAnsi="仿宋" w:eastAsia="仿宋" w:cs="仿宋"/>
          <w:b/>
          <w:bCs/>
          <w:color w:val="auto"/>
          <w:sz w:val="24"/>
          <w:szCs w:val="24"/>
          <w:highlight w:val="none"/>
          <w:lang w:eastAsia="zh-CN"/>
        </w:rPr>
        <w:t>十、其</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他</w:t>
      </w:r>
      <w:bookmarkEnd w:id="1262"/>
      <w:bookmarkEnd w:id="1263"/>
      <w:bookmarkEnd w:id="1264"/>
      <w:bookmarkEnd w:id="1265"/>
      <w:bookmarkEnd w:id="1266"/>
      <w:bookmarkEnd w:id="1267"/>
      <w:bookmarkEnd w:id="1268"/>
      <w:bookmarkEnd w:id="1269"/>
      <w:bookmarkEnd w:id="1270"/>
    </w:p>
    <w:p w14:paraId="61712476">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1271" w:name="_Toc3304"/>
      <w:bookmarkStart w:id="1272" w:name="_Toc26702"/>
      <w:bookmarkStart w:id="1273" w:name="_Toc2939"/>
      <w:bookmarkStart w:id="1274" w:name="_Toc13299"/>
      <w:bookmarkStart w:id="1275" w:name="_Toc6508"/>
      <w:bookmarkStart w:id="1276" w:name="_Toc47694377"/>
      <w:bookmarkStart w:id="1277" w:name="_Toc469384075"/>
      <w:bookmarkStart w:id="1278" w:name="_Toc13628"/>
      <w:bookmarkStart w:id="1279" w:name="_Toc18531"/>
      <w:r>
        <w:rPr>
          <w:rFonts w:ascii="仿宋" w:hAnsi="仿宋" w:eastAsia="仿宋" w:cs="仿宋"/>
          <w:bCs w:val="0"/>
          <w:color w:val="auto"/>
          <w:sz w:val="24"/>
          <w:szCs w:val="24"/>
          <w:highlight w:val="none"/>
          <w:lang w:eastAsia="zh-CN"/>
        </w:rPr>
        <w:t>9</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缴纳税费</w:t>
      </w:r>
      <w:bookmarkEnd w:id="1271"/>
      <w:bookmarkEnd w:id="1272"/>
      <w:bookmarkEnd w:id="1273"/>
      <w:bookmarkEnd w:id="1274"/>
      <w:bookmarkEnd w:id="1275"/>
      <w:bookmarkEnd w:id="1276"/>
      <w:bookmarkEnd w:id="1277"/>
      <w:bookmarkEnd w:id="1278"/>
      <w:bookmarkEnd w:id="1279"/>
    </w:p>
    <w:p w14:paraId="5EE9B516">
      <w:pPr>
        <w:pStyle w:val="23"/>
        <w:tabs>
          <w:tab w:val="left" w:pos="1320"/>
        </w:tabs>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9</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.1</w:t>
      </w:r>
    </w:p>
    <w:p w14:paraId="6037443E">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w:t>
      </w:r>
      <w:r>
        <w:rPr>
          <w:color w:val="auto"/>
          <w:highlight w:val="none"/>
        </w:rPr>
        <mc:AlternateContent>
          <mc:Choice Requires="wps">
            <w:drawing>
              <wp:anchor distT="0" distB="0" distL="114300" distR="114300" simplePos="0" relativeHeight="252106752" behindDoc="0" locked="0" layoutInCell="1" allowOverlap="1">
                <wp:simplePos x="0" y="0"/>
                <wp:positionH relativeFrom="column">
                  <wp:posOffset>-114300</wp:posOffset>
                </wp:positionH>
                <wp:positionV relativeFrom="paragraph">
                  <wp:posOffset>635</wp:posOffset>
                </wp:positionV>
                <wp:extent cx="813435" cy="466725"/>
                <wp:effectExtent l="0" t="0" r="0" b="0"/>
                <wp:wrapNone/>
                <wp:docPr id="438" name="0002b9"/>
                <wp:cNvGraphicFramePr/>
                <a:graphic xmlns:a="http://schemas.openxmlformats.org/drawingml/2006/main">
                  <a:graphicData uri="http://schemas.microsoft.com/office/word/2010/wordprocessingShape">
                    <wps:wsp>
                      <wps:cNvSpPr txBox="1"/>
                      <wps:spPr>
                        <a:xfrm>
                          <a:off x="0" y="0"/>
                          <a:ext cx="813435" cy="466725"/>
                        </a:xfrm>
                        <a:prstGeom prst="rect">
                          <a:avLst/>
                        </a:prstGeom>
                        <a:noFill/>
                        <a:ln>
                          <a:noFill/>
                        </a:ln>
                        <a:effectLst/>
                      </wps:spPr>
                      <wps:txbx>
                        <w:txbxContent>
                          <w:p w14:paraId="2B084D7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p w14:paraId="20247A0F"/>
                        </w:txbxContent>
                      </wps:txbx>
                      <wps:bodyPr wrap="square" upright="1"/>
                    </wps:wsp>
                  </a:graphicData>
                </a:graphic>
              </wp:anchor>
            </w:drawing>
          </mc:Choice>
          <mc:Fallback>
            <w:pict>
              <v:shape id="0002b9" o:spid="_x0000_s1026" o:spt="202" type="#_x0000_t202" style="position:absolute;left:0pt;margin-left:-9pt;margin-top:0.05pt;height:36.75pt;width:64.05pt;z-index:252106752;mso-width-relative:page;mso-height-relative:page;" filled="f" stroked="f" coordsize="21600,21600" o:gfxdata="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2BbrrUAAAABwEA&#10;AA8AAAAAAAAAAQAgAAAAIgAAAGRycy9kb3ducmV2LnhtbFBLAQIUABQAAAAIAIdO4kBEJDXbrAEA&#10;AGYDAAAOAAAAAAAAAAEAIAAAACMBAABkcnMvZTJvRG9jLnhtbFBLBQYAAAAABgAGAFkBAABBBQAA&#10;AAA=&#10;">
                <v:fill on="f" focussize="0,0"/>
                <v:stroke on="f"/>
                <v:imagedata o:title=""/>
                <o:lock v:ext="edit" aspectratio="f"/>
                <v:textbox>
                  <w:txbxContent>
                    <w:p w14:paraId="2B084D7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p w14:paraId="20247A0F"/>
                  </w:txbxContent>
                </v:textbox>
              </v:shape>
            </w:pict>
          </mc:Fallback>
        </mc:AlternateContent>
      </w:r>
      <w:r>
        <w:rPr>
          <w:rFonts w:hint="eastAsia" w:ascii="仿宋" w:hAnsi="仿宋" w:eastAsia="仿宋" w:cs="仿宋"/>
          <w:color w:val="auto"/>
          <w:highlight w:val="none"/>
          <w:lang w:eastAsia="zh-CN"/>
        </w:rPr>
        <w:t>应按照国家现行税法和有关部门现行规定缴纳合同工程需缴的一切税费。</w:t>
      </w:r>
    </w:p>
    <w:p w14:paraId="3D07BD67">
      <w:pPr>
        <w:spacing w:line="360" w:lineRule="auto"/>
        <w:rPr>
          <w:rFonts w:ascii="仿宋" w:hAnsi="仿宋" w:eastAsia="仿宋"/>
          <w:b/>
          <w:bCs/>
          <w:color w:val="auto"/>
          <w:highlight w:val="none"/>
          <w:lang w:eastAsia="zh-CN"/>
        </w:rPr>
      </w:pPr>
      <w:bookmarkStart w:id="1280" w:name="_Toc29240"/>
      <w:r>
        <w:rPr>
          <w:rFonts w:ascii="仿宋" w:hAnsi="仿宋" w:eastAsia="仿宋" w:cs="仿宋"/>
          <w:b/>
          <w:bCs/>
          <w:color w:val="auto"/>
          <w:highlight w:val="none"/>
          <w:lang w:eastAsia="zh-CN"/>
        </w:rPr>
        <w:t>9</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128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C6B94CA">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07776" behindDoc="0" locked="0" layoutInCell="1" allowOverlap="1">
                <wp:simplePos x="0" y="0"/>
                <wp:positionH relativeFrom="column">
                  <wp:posOffset>-114300</wp:posOffset>
                </wp:positionH>
                <wp:positionV relativeFrom="paragraph">
                  <wp:posOffset>32385</wp:posOffset>
                </wp:positionV>
                <wp:extent cx="842645" cy="535305"/>
                <wp:effectExtent l="0" t="0" r="0" b="0"/>
                <wp:wrapNone/>
                <wp:docPr id="439" name="0002ba"/>
                <wp:cNvGraphicFramePr/>
                <a:graphic xmlns:a="http://schemas.openxmlformats.org/drawingml/2006/main">
                  <a:graphicData uri="http://schemas.microsoft.com/office/word/2010/wordprocessingShape">
                    <wps:wsp>
                      <wps:cNvSpPr txBox="1"/>
                      <wps:spPr>
                        <a:xfrm>
                          <a:off x="0" y="0"/>
                          <a:ext cx="842645" cy="535305"/>
                        </a:xfrm>
                        <a:prstGeom prst="rect">
                          <a:avLst/>
                        </a:prstGeom>
                        <a:noFill/>
                        <a:ln>
                          <a:noFill/>
                        </a:ln>
                        <a:effectLst/>
                      </wps:spPr>
                      <wps:txbx>
                        <w:txbxContent>
                          <w:p w14:paraId="13B8E27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p w14:paraId="4FD2DD1A"/>
                        </w:txbxContent>
                      </wps:txbx>
                      <wps:bodyPr wrap="square" upright="1"/>
                    </wps:wsp>
                  </a:graphicData>
                </a:graphic>
              </wp:anchor>
            </w:drawing>
          </mc:Choice>
          <mc:Fallback>
            <w:pict>
              <v:shape id="0002ba" o:spid="_x0000_s1026" o:spt="202" type="#_x0000_t202" style="position:absolute;left:0pt;margin-left:-9pt;margin-top:2.55pt;height:42.15pt;width:66.35pt;z-index:252107776;mso-width-relative:page;mso-height-relative:page;" filled="f" stroked="f" coordsize="21600,21600" o:gfxdata="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bORWtYAAAAI&#10;AQAADwAAAAAAAAABACAAAAAiAAAAZHJzL2Rvd25yZXYueG1sUEsBAhQAFAAAAAgAh07iQLHSTvms&#10;AQAAZgMAAA4AAAAAAAAAAQAgAAAAJQEAAGRycy9lMm9Eb2MueG1sUEsFBgAAAAAGAAYAWQEAAEMF&#10;AAAAAA==&#10;">
                <v:fill on="f" focussize="0,0"/>
                <v:stroke on="f"/>
                <v:imagedata o:title=""/>
                <o:lock v:ext="edit" aspectratio="f"/>
                <v:textbox>
                  <w:txbxContent>
                    <w:p w14:paraId="13B8E27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p w14:paraId="4FD2DD1A"/>
                  </w:txbxContent>
                </v:textbox>
              </v:shape>
            </w:pict>
          </mc:Fallback>
        </mc:AlternateContent>
      </w:r>
      <w:r>
        <w:rPr>
          <w:rFonts w:hint="eastAsia" w:ascii="仿宋" w:hAnsi="仿宋" w:eastAsia="仿宋" w:cs="仿宋"/>
          <w:color w:val="auto"/>
          <w:highlight w:val="none"/>
          <w:lang w:eastAsia="zh-CN"/>
        </w:rPr>
        <w:t>合同任何一方当事人没交或少交合同工程需缴税费的，违法方应足额补交，并承担相应的法律责任；给另一方当事人造成损失的，违法方应赔偿损失。</w:t>
      </w:r>
    </w:p>
    <w:p w14:paraId="75D35698">
      <w:pPr>
        <w:pStyle w:val="23"/>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3184794E">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1281" w:name="_Toc47694378"/>
      <w:bookmarkStart w:id="1282" w:name="_Toc28164"/>
      <w:bookmarkStart w:id="1283" w:name="_Toc15889"/>
      <w:bookmarkStart w:id="1284" w:name="_Toc5810"/>
      <w:bookmarkStart w:id="1285" w:name="_Toc2633"/>
      <w:bookmarkStart w:id="1286" w:name="_Toc26605"/>
      <w:bookmarkStart w:id="1287" w:name="_Toc469384076"/>
      <w:bookmarkStart w:id="1288" w:name="_Toc6520"/>
      <w:bookmarkStart w:id="1289" w:name="_Toc28632"/>
      <w:r>
        <w:rPr>
          <w:rFonts w:hint="eastAsia" w:ascii="仿宋" w:hAnsi="仿宋" w:eastAsia="仿宋" w:cs="仿宋"/>
          <w:bCs w:val="0"/>
          <w:color w:val="auto"/>
          <w:sz w:val="24"/>
          <w:szCs w:val="24"/>
          <w:highlight w:val="none"/>
          <w:lang w:eastAsia="zh-CN"/>
        </w:rPr>
        <w:t>99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保密要求</w:t>
      </w:r>
      <w:bookmarkEnd w:id="1281"/>
      <w:bookmarkEnd w:id="1282"/>
      <w:bookmarkEnd w:id="1283"/>
      <w:bookmarkEnd w:id="1284"/>
      <w:bookmarkEnd w:id="1285"/>
      <w:bookmarkEnd w:id="1286"/>
      <w:bookmarkEnd w:id="1287"/>
      <w:bookmarkEnd w:id="1288"/>
      <w:bookmarkEnd w:id="1289"/>
    </w:p>
    <w:p w14:paraId="4A4F3B79">
      <w:pPr>
        <w:pStyle w:val="23"/>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.1</w:t>
      </w:r>
    </w:p>
    <w:p w14:paraId="2753FF18">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08800" behindDoc="0" locked="0" layoutInCell="1" allowOverlap="1">
                <wp:simplePos x="0" y="0"/>
                <wp:positionH relativeFrom="column">
                  <wp:posOffset>-114300</wp:posOffset>
                </wp:positionH>
                <wp:positionV relativeFrom="paragraph">
                  <wp:posOffset>34290</wp:posOffset>
                </wp:positionV>
                <wp:extent cx="813435" cy="592455"/>
                <wp:effectExtent l="0" t="0" r="0" b="0"/>
                <wp:wrapNone/>
                <wp:docPr id="440" name="0002bb"/>
                <wp:cNvGraphicFramePr/>
                <a:graphic xmlns:a="http://schemas.openxmlformats.org/drawingml/2006/main">
                  <a:graphicData uri="http://schemas.microsoft.com/office/word/2010/wordprocessingShape">
                    <wps:wsp>
                      <wps:cNvSpPr txBox="1"/>
                      <wps:spPr>
                        <a:xfrm>
                          <a:off x="0" y="0"/>
                          <a:ext cx="813435" cy="592455"/>
                        </a:xfrm>
                        <a:prstGeom prst="rect">
                          <a:avLst/>
                        </a:prstGeom>
                        <a:noFill/>
                        <a:ln>
                          <a:noFill/>
                        </a:ln>
                        <a:effectLst/>
                      </wps:spPr>
                      <wps:txbx>
                        <w:txbxContent>
                          <w:p w14:paraId="32C4EB3D">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p w14:paraId="3D575AB0">
                            <w:pPr>
                              <w:rPr>
                                <w:lang w:eastAsia="zh-CN"/>
                              </w:rPr>
                            </w:pPr>
                          </w:p>
                        </w:txbxContent>
                      </wps:txbx>
                      <wps:bodyPr wrap="square" upright="1"/>
                    </wps:wsp>
                  </a:graphicData>
                </a:graphic>
              </wp:anchor>
            </w:drawing>
          </mc:Choice>
          <mc:Fallback>
            <w:pict>
              <v:shape id="0002bb" o:spid="_x0000_s1026" o:spt="202" type="#_x0000_t202" style="position:absolute;left:0pt;margin-left:-9pt;margin-top:2.7pt;height:46.65pt;width:64.05pt;z-index:252108800;mso-width-relative:page;mso-height-relative:page;" filled="f" stroked="f" coordsize="21600,21600" o:gfxdata="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ajUFNYAAAAI&#10;AQAADwAAAAAAAAABACAAAAAiAAAAZHJzL2Rvd25yZXYueG1sUEsBAhQAFAAAAAgAh07iQK1wmg+s&#10;AQAAZgMAAA4AAAAAAAAAAQAgAAAAJQEAAGRycy9lMm9Eb2MueG1sUEsFBgAAAAAGAAYAWQEAAEMF&#10;AAAAAA==&#10;">
                <v:fill on="f" focussize="0,0"/>
                <v:stroke on="f"/>
                <v:imagedata o:title=""/>
                <o:lock v:ext="edit" aspectratio="f"/>
                <v:textbox>
                  <w:txbxContent>
                    <w:p w14:paraId="32C4EB3D">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p w14:paraId="3D575AB0">
                      <w:pPr>
                        <w:rPr>
                          <w:lang w:eastAsia="zh-CN"/>
                        </w:rPr>
                      </w:pPr>
                    </w:p>
                  </w:txbxContent>
                </v:textbox>
              </v:shape>
            </w:pict>
          </mc:Fallback>
        </mc:AlternateContent>
      </w:r>
      <w:r>
        <w:rPr>
          <w:rFonts w:hint="eastAsia" w:ascii="仿宋" w:hAnsi="仿宋" w:eastAsia="仿宋" w:cs="仿宋"/>
          <w:color w:val="auto"/>
          <w:highlight w:val="none"/>
          <w:lang w:eastAsia="zh-CN"/>
        </w:rPr>
        <w:t>合同双方当事人应在合同专用条款约定期限内提供保密信息。自收到对方当事人提供的保密信息之日起，应履行保密义务。合同双方当事人履行保密义务，并不因本合同终止而结束。</w:t>
      </w:r>
    </w:p>
    <w:p w14:paraId="4F31329F">
      <w:pPr>
        <w:spacing w:line="360" w:lineRule="auto"/>
        <w:rPr>
          <w:rFonts w:hint="eastAsia" w:ascii="仿宋" w:hAnsi="仿宋" w:eastAsia="仿宋" w:cs="仿宋"/>
          <w:b/>
          <w:bCs/>
          <w:color w:val="auto"/>
          <w:highlight w:val="none"/>
          <w:u w:val="dotted"/>
          <w:lang w:eastAsia="zh-CN"/>
        </w:rPr>
      </w:pPr>
      <w:bookmarkStart w:id="1290" w:name="_Toc3105"/>
      <w:r>
        <w:rPr>
          <w:rFonts w:hint="eastAsia" w:ascii="仿宋" w:hAnsi="仿宋" w:eastAsia="仿宋" w:cs="仿宋"/>
          <w:b/>
          <w:bCs/>
          <w:color w:val="auto"/>
          <w:highlight w:val="none"/>
          <w:lang w:eastAsia="zh-CN"/>
        </w:rPr>
        <w:t>99</w:t>
      </w:r>
      <w:r>
        <w:rPr>
          <w:rFonts w:ascii="仿宋" w:hAnsi="仿宋" w:eastAsia="仿宋" w:cs="仿宋"/>
          <w:b/>
          <w:bCs/>
          <w:color w:val="auto"/>
          <w:highlight w:val="none"/>
          <w:lang w:eastAsia="zh-CN"/>
        </w:rPr>
        <w:t>.2</w:t>
      </w:r>
      <w:bookmarkEnd w:id="129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B8280EC">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09824" behindDoc="0" locked="0" layoutInCell="1" allowOverlap="1">
                <wp:simplePos x="0" y="0"/>
                <wp:positionH relativeFrom="column">
                  <wp:posOffset>-114300</wp:posOffset>
                </wp:positionH>
                <wp:positionV relativeFrom="paragraph">
                  <wp:posOffset>68580</wp:posOffset>
                </wp:positionV>
                <wp:extent cx="785495" cy="594360"/>
                <wp:effectExtent l="0" t="0" r="0" b="0"/>
                <wp:wrapNone/>
                <wp:docPr id="441" name="0002bc"/>
                <wp:cNvGraphicFramePr/>
                <a:graphic xmlns:a="http://schemas.openxmlformats.org/drawingml/2006/main">
                  <a:graphicData uri="http://schemas.microsoft.com/office/word/2010/wordprocessingShape">
                    <wps:wsp>
                      <wps:cNvSpPr txBox="1"/>
                      <wps:spPr>
                        <a:xfrm>
                          <a:off x="0" y="0"/>
                          <a:ext cx="785495" cy="594360"/>
                        </a:xfrm>
                        <a:prstGeom prst="rect">
                          <a:avLst/>
                        </a:prstGeom>
                        <a:noFill/>
                        <a:ln>
                          <a:noFill/>
                        </a:ln>
                        <a:effectLst/>
                      </wps:spPr>
                      <wps:txbx>
                        <w:txbxContent>
                          <w:p w14:paraId="4796C74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p w14:paraId="2411A696"/>
                        </w:txbxContent>
                      </wps:txbx>
                      <wps:bodyPr wrap="square" upright="1"/>
                    </wps:wsp>
                  </a:graphicData>
                </a:graphic>
              </wp:anchor>
            </w:drawing>
          </mc:Choice>
          <mc:Fallback>
            <w:pict>
              <v:shape id="0002bc" o:spid="_x0000_s1026" o:spt="202" type="#_x0000_t202" style="position:absolute;left:0pt;margin-left:-9pt;margin-top:5.4pt;height:46.8pt;width:61.85pt;z-index:252109824;mso-width-relative:page;mso-height-relative:page;" filled="f" stroked="f" coordsize="21600,21600" o:gfxdata="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6tYfr1gAA&#10;AAoBAAAPAAAAAAAAAAEAIAAAACIAAABkcnMvZG93bnJldi54bWxQSwECFAAUAAAACACHTuJANNu7&#10;QK4BAABmAwAADgAAAAAAAAABACAAAAAlAQAAZHJzL2Uyb0RvYy54bWxQSwUGAAAAAAYABgBZAQAA&#10;RQUAAAAA&#10;">
                <v:fill on="f" focussize="0,0"/>
                <v:stroke on="f"/>
                <v:imagedata o:title=""/>
                <o:lock v:ext="edit" aspectratio="f"/>
                <v:textbox>
                  <w:txbxContent>
                    <w:p w14:paraId="4796C74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p w14:paraId="2411A696"/>
                  </w:txbxContent>
                </v:textbox>
              </v:shape>
            </w:pict>
          </mc:Fallback>
        </mc:AlternateContent>
      </w:r>
      <w:r>
        <w:rPr>
          <w:rFonts w:hint="eastAsia" w:ascii="仿宋" w:hAnsi="仿宋" w:eastAsia="仿宋" w:cs="仿宋"/>
          <w:color w:val="auto"/>
          <w:highlight w:val="none"/>
          <w:lang w:eastAsia="zh-CN"/>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0071E1AE">
      <w:pPr>
        <w:pStyle w:val="23"/>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110848" behindDoc="0" locked="0" layoutInCell="1" allowOverlap="1">
                <wp:simplePos x="0" y="0"/>
                <wp:positionH relativeFrom="column">
                  <wp:posOffset>-114300</wp:posOffset>
                </wp:positionH>
                <wp:positionV relativeFrom="paragraph">
                  <wp:posOffset>299720</wp:posOffset>
                </wp:positionV>
                <wp:extent cx="790575" cy="525780"/>
                <wp:effectExtent l="0" t="0" r="0" b="0"/>
                <wp:wrapNone/>
                <wp:docPr id="442" name="0002bd"/>
                <wp:cNvGraphicFramePr/>
                <a:graphic xmlns:a="http://schemas.openxmlformats.org/drawingml/2006/main">
                  <a:graphicData uri="http://schemas.microsoft.com/office/word/2010/wordprocessingShape">
                    <wps:wsp>
                      <wps:cNvSpPr txBox="1"/>
                      <wps:spPr>
                        <a:xfrm>
                          <a:off x="0" y="0"/>
                          <a:ext cx="790575" cy="525780"/>
                        </a:xfrm>
                        <a:prstGeom prst="rect">
                          <a:avLst/>
                        </a:prstGeom>
                        <a:noFill/>
                        <a:ln>
                          <a:noFill/>
                        </a:ln>
                        <a:effectLst/>
                      </wps:spPr>
                      <wps:txbx>
                        <w:txbxContent>
                          <w:p w14:paraId="171787D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p w14:paraId="066CF2E0"/>
                        </w:txbxContent>
                      </wps:txbx>
                      <wps:bodyPr wrap="square" upright="1"/>
                    </wps:wsp>
                  </a:graphicData>
                </a:graphic>
              </wp:anchor>
            </w:drawing>
          </mc:Choice>
          <mc:Fallback>
            <w:pict>
              <v:shape id="0002bd" o:spid="_x0000_s1026" o:spt="202" type="#_x0000_t202" style="position:absolute;left:0pt;margin-left:-9pt;margin-top:23.6pt;height:41.4pt;width:62.25pt;z-index:252110848;mso-width-relative:page;mso-height-relative:page;" filled="f" stroked="f" coordsize="21600,21600" o:gfxdata="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RvMLtgA&#10;AAAKAQAADwAAAAAAAAABACAAAAAiAAAAZHJzL2Rvd25yZXYueG1sUEsBAhQAFAAAAAgAh07iQLbu&#10;lmitAQAAZgMAAA4AAAAAAAAAAQAgAAAAJwEAAGRycy9lMm9Eb2MueG1sUEsFBgAAAAAGAAYAWQEA&#10;AEYFAAAAAA==&#10;">
                <v:fill on="f" focussize="0,0"/>
                <v:stroke on="f"/>
                <v:imagedata o:title=""/>
                <o:lock v:ext="edit" aspectratio="f"/>
                <v:textbox>
                  <w:txbxContent>
                    <w:p w14:paraId="171787D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p w14:paraId="066CF2E0"/>
                  </w:txbxContent>
                </v:textbox>
              </v:shape>
            </w:pict>
          </mc:Fallback>
        </mc:AlternateContent>
      </w: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79C5E1CF">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1061AA70">
      <w:pPr>
        <w:spacing w:line="360" w:lineRule="auto"/>
        <w:rPr>
          <w:rFonts w:ascii="仿宋" w:hAnsi="仿宋" w:eastAsia="仿宋"/>
          <w:b/>
          <w:bCs/>
          <w:color w:val="auto"/>
          <w:highlight w:val="none"/>
          <w:lang w:eastAsia="zh-CN"/>
        </w:rPr>
      </w:pPr>
      <w:bookmarkStart w:id="1291" w:name="_Toc7344"/>
      <w:r>
        <w:rPr>
          <w:rFonts w:hint="eastAsia" w:ascii="仿宋" w:hAnsi="仿宋" w:eastAsia="仿宋" w:cs="仿宋"/>
          <w:b/>
          <w:bCs/>
          <w:color w:val="auto"/>
          <w:highlight w:val="none"/>
          <w:lang w:eastAsia="zh-CN"/>
        </w:rPr>
        <w:t>99</w:t>
      </w:r>
      <w:r>
        <w:rPr>
          <w:rFonts w:ascii="仿宋" w:hAnsi="仿宋" w:eastAsia="仿宋" w:cs="仿宋"/>
          <w:b/>
          <w:bCs/>
          <w:color w:val="auto"/>
          <w:highlight w:val="none"/>
          <w:lang w:eastAsia="zh-CN"/>
        </w:rPr>
        <w:t>.4</w:t>
      </w:r>
      <w:bookmarkEnd w:id="129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3A3016B">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11872" behindDoc="0" locked="0" layoutInCell="1" allowOverlap="1">
                <wp:simplePos x="0" y="0"/>
                <wp:positionH relativeFrom="column">
                  <wp:posOffset>-114300</wp:posOffset>
                </wp:positionH>
                <wp:positionV relativeFrom="paragraph">
                  <wp:posOffset>65405</wp:posOffset>
                </wp:positionV>
                <wp:extent cx="803910" cy="777875"/>
                <wp:effectExtent l="0" t="0" r="0" b="0"/>
                <wp:wrapNone/>
                <wp:docPr id="443" name="0002be"/>
                <wp:cNvGraphicFramePr/>
                <a:graphic xmlns:a="http://schemas.openxmlformats.org/drawingml/2006/main">
                  <a:graphicData uri="http://schemas.microsoft.com/office/word/2010/wordprocessingShape">
                    <wps:wsp>
                      <wps:cNvSpPr txBox="1"/>
                      <wps:spPr>
                        <a:xfrm>
                          <a:off x="0" y="0"/>
                          <a:ext cx="803910" cy="777875"/>
                        </a:xfrm>
                        <a:prstGeom prst="rect">
                          <a:avLst/>
                        </a:prstGeom>
                        <a:noFill/>
                        <a:ln>
                          <a:noFill/>
                        </a:ln>
                        <a:effectLst/>
                      </wps:spPr>
                      <wps:txbx>
                        <w:txbxContent>
                          <w:p w14:paraId="15B4CD1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p w14:paraId="34F47730"/>
                        </w:txbxContent>
                      </wps:txbx>
                      <wps:bodyPr wrap="square" upright="1"/>
                    </wps:wsp>
                  </a:graphicData>
                </a:graphic>
              </wp:anchor>
            </w:drawing>
          </mc:Choice>
          <mc:Fallback>
            <w:pict>
              <v:shape id="0002be" o:spid="_x0000_s1026" o:spt="202" type="#_x0000_t202" style="position:absolute;left:0pt;margin-left:-9pt;margin-top:5.15pt;height:61.25pt;width:63.3pt;z-index:252111872;mso-width-relative:page;mso-height-relative:page;" filled="f" stroked="f" coordsize="21600,21600" o:gfxdata="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6u06dcAAAAK&#10;AQAADwAAAAAAAAABACAAAAAiAAAAZHJzL2Rvd25yZXYueG1sUEsBAhQAFAAAAAgAh07iQH3nC4Or&#10;AQAAZgMAAA4AAAAAAAAAAQAgAAAAJgEAAGRycy9lMm9Eb2MueG1sUEsFBgAAAAAGAAYAWQEAAEMF&#10;AAAAAA==&#10;">
                <v:fill on="f" focussize="0,0"/>
                <v:stroke on="f"/>
                <v:imagedata o:title=""/>
                <o:lock v:ext="edit" aspectratio="f"/>
                <v:textbox>
                  <w:txbxContent>
                    <w:p w14:paraId="15B4CD1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p w14:paraId="34F47730"/>
                  </w:txbxContent>
                </v:textbox>
              </v:shape>
            </w:pict>
          </mc:Fallback>
        </mc:AlternateContent>
      </w:r>
      <w:r>
        <w:rPr>
          <w:rFonts w:hint="eastAsia" w:ascii="仿宋" w:hAnsi="仿宋" w:eastAsia="仿宋" w:cs="仿宋"/>
          <w:color w:val="auto"/>
          <w:highlight w:val="none"/>
          <w:lang w:eastAsia="zh-CN"/>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5FF5453C">
      <w:pPr>
        <w:pStyle w:val="23"/>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54BB6DCF">
      <w:pPr>
        <w:widowControl w:val="0"/>
        <w:spacing w:line="360" w:lineRule="auto"/>
        <w:ind w:left="1850" w:leftChars="771"/>
        <w:jc w:val="both"/>
        <w:rPr>
          <w:rFonts w:ascii="仿宋" w:hAnsi="仿宋" w:eastAsia="仿宋"/>
          <w:color w:val="auto"/>
          <w:highlight w:val="none"/>
        </w:rPr>
      </w:pPr>
      <w:r>
        <w:rPr>
          <w:color w:val="auto"/>
          <w:highlight w:val="none"/>
        </w:rPr>
        <mc:AlternateContent>
          <mc:Choice Requires="wps">
            <w:drawing>
              <wp:anchor distT="0" distB="0" distL="114300" distR="114300" simplePos="0" relativeHeight="252112896" behindDoc="0" locked="0" layoutInCell="1" allowOverlap="1">
                <wp:simplePos x="0" y="0"/>
                <wp:positionH relativeFrom="column">
                  <wp:posOffset>-114300</wp:posOffset>
                </wp:positionH>
                <wp:positionV relativeFrom="paragraph">
                  <wp:posOffset>22225</wp:posOffset>
                </wp:positionV>
                <wp:extent cx="804545" cy="663575"/>
                <wp:effectExtent l="0" t="0" r="0" b="0"/>
                <wp:wrapNone/>
                <wp:docPr id="444" name="0002bf"/>
                <wp:cNvGraphicFramePr/>
                <a:graphic xmlns:a="http://schemas.openxmlformats.org/drawingml/2006/main">
                  <a:graphicData uri="http://schemas.microsoft.com/office/word/2010/wordprocessingShape">
                    <wps:wsp>
                      <wps:cNvSpPr txBox="1"/>
                      <wps:spPr>
                        <a:xfrm>
                          <a:off x="0" y="0"/>
                          <a:ext cx="804545" cy="663575"/>
                        </a:xfrm>
                        <a:prstGeom prst="rect">
                          <a:avLst/>
                        </a:prstGeom>
                        <a:noFill/>
                        <a:ln>
                          <a:noFill/>
                        </a:ln>
                        <a:effectLst/>
                      </wps:spPr>
                      <wps:txbx>
                        <w:txbxContent>
                          <w:p w14:paraId="244AEDB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p w14:paraId="4522F661"/>
                        </w:txbxContent>
                      </wps:txbx>
                      <wps:bodyPr wrap="square" upright="1"/>
                    </wps:wsp>
                  </a:graphicData>
                </a:graphic>
              </wp:anchor>
            </w:drawing>
          </mc:Choice>
          <mc:Fallback>
            <w:pict>
              <v:shape id="0002bf" o:spid="_x0000_s1026" o:spt="202" type="#_x0000_t202" style="position:absolute;left:0pt;margin-left:-9pt;margin-top:1.75pt;height:52.25pt;width:63.35pt;z-index:252112896;mso-width-relative:page;mso-height-relative:page;" filled="f" stroked="f" coordsize="21600,21600" o:gfxdata="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7wypU1QAAAAkB&#10;AAAPAAAAAAAAAAEAIAAAACIAAABkcnMvZG93bnJldi54bWxQSwECFAAUAAAACACHTuJAAbR5lawB&#10;AABmAwAADgAAAAAAAAABACAAAAAkAQAAZHJzL2Uyb0RvYy54bWxQSwUGAAAAAAYABgBZAQAAQgUA&#10;AAAA&#10;">
                <v:fill on="f" focussize="0,0"/>
                <v:stroke on="f"/>
                <v:imagedata o:title=""/>
                <o:lock v:ext="edit" aspectratio="f"/>
                <v:textbox>
                  <w:txbxContent>
                    <w:p w14:paraId="244AEDB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p w14:paraId="4522F661"/>
                  </w:txbxContent>
                </v:textbox>
              </v:shape>
            </w:pict>
          </mc:Fallback>
        </mc:AlternateContent>
      </w:r>
      <w:r>
        <w:rPr>
          <w:rFonts w:hint="eastAsia" w:ascii="仿宋" w:hAnsi="仿宋" w:eastAsia="仿宋" w:cs="仿宋"/>
          <w:color w:val="auto"/>
          <w:highlight w:val="none"/>
          <w:lang w:eastAsia="zh-CN"/>
        </w:rPr>
        <w:t>保密信息应由提供方以书面形式说明保密程度；以口头形式提供的，则提供方应在提供后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天内以书面形式予以确认。保密信息不但包括合同双方当事人确认的信息，还包括与工程材料和工程设备、价格、工程设计、图纸、技术、工艺和财务等相关信息。</w:t>
      </w:r>
      <w:r>
        <w:rPr>
          <w:rFonts w:hint="eastAsia" w:ascii="仿宋" w:hAnsi="仿宋" w:eastAsia="仿宋" w:cs="仿宋"/>
          <w:color w:val="auto"/>
          <w:highlight w:val="none"/>
        </w:rPr>
        <w:t>但不包括下述信息：</w:t>
      </w:r>
    </w:p>
    <w:p w14:paraId="21FF7D23">
      <w:pPr>
        <w:pStyle w:val="23"/>
        <w:widowControl w:val="0"/>
        <w:numPr>
          <w:ilvl w:val="0"/>
          <w:numId w:val="23"/>
        </w:numPr>
        <w:spacing w:line="360" w:lineRule="auto"/>
        <w:ind w:left="1850" w:leftChars="771" w:firstLine="0"/>
        <w:jc w:val="both"/>
        <w:rPr>
          <w:rFonts w:ascii="仿宋" w:hAnsi="仿宋" w:eastAsia="仿宋"/>
          <w:color w:val="auto"/>
          <w:sz w:val="24"/>
          <w:szCs w:val="24"/>
          <w:highlight w:val="none"/>
          <w:lang w:eastAsia="zh-CN"/>
        </w:rPr>
      </w:pPr>
      <w:bookmarkStart w:id="1292" w:name="_Toc3104"/>
      <w:r>
        <w:rPr>
          <w:rFonts w:hint="eastAsia" w:ascii="仿宋" w:hAnsi="仿宋" w:eastAsia="仿宋" w:cs="仿宋"/>
          <w:color w:val="auto"/>
          <w:sz w:val="24"/>
          <w:szCs w:val="24"/>
          <w:highlight w:val="none"/>
          <w:lang w:eastAsia="zh-CN"/>
        </w:rPr>
        <w:t>提供前已由合同双方当事人所持有的；</w:t>
      </w:r>
      <w:bookmarkEnd w:id="1292"/>
    </w:p>
    <w:p w14:paraId="489E60EE">
      <w:pPr>
        <w:pStyle w:val="23"/>
        <w:widowControl w:val="0"/>
        <w:numPr>
          <w:ilvl w:val="0"/>
          <w:numId w:val="23"/>
        </w:numPr>
        <w:spacing w:line="360" w:lineRule="auto"/>
        <w:ind w:left="1850" w:leftChars="771" w:firstLine="0"/>
        <w:jc w:val="both"/>
        <w:rPr>
          <w:rFonts w:ascii="仿宋" w:hAnsi="仿宋" w:eastAsia="仿宋" w:cs="仿宋"/>
          <w:color w:val="auto"/>
          <w:sz w:val="24"/>
          <w:szCs w:val="24"/>
          <w:highlight w:val="none"/>
          <w:lang w:eastAsia="zh-CN"/>
        </w:rPr>
      </w:pPr>
      <w:bookmarkStart w:id="1293" w:name="_Toc11051"/>
      <w:r>
        <w:rPr>
          <w:rFonts w:hint="eastAsia" w:ascii="仿宋" w:hAnsi="仿宋" w:eastAsia="仿宋" w:cs="仿宋"/>
          <w:color w:val="auto"/>
          <w:sz w:val="24"/>
          <w:szCs w:val="24"/>
          <w:highlight w:val="none"/>
          <w:lang w:eastAsia="zh-CN"/>
        </w:rPr>
        <w:t>已公开发表或非对方当事人原因向公众公开的；</w:t>
      </w:r>
      <w:bookmarkEnd w:id="1293"/>
    </w:p>
    <w:p w14:paraId="2657845D">
      <w:pPr>
        <w:pStyle w:val="23"/>
        <w:widowControl w:val="0"/>
        <w:numPr>
          <w:ilvl w:val="0"/>
          <w:numId w:val="23"/>
        </w:numPr>
        <w:spacing w:line="360" w:lineRule="auto"/>
        <w:ind w:left="1850" w:leftChars="771" w:firstLine="0"/>
        <w:jc w:val="both"/>
        <w:rPr>
          <w:rFonts w:ascii="仿宋" w:hAnsi="仿宋" w:eastAsia="仿宋" w:cs="仿宋"/>
          <w:color w:val="auto"/>
          <w:sz w:val="24"/>
          <w:szCs w:val="24"/>
          <w:highlight w:val="none"/>
          <w:lang w:eastAsia="zh-CN"/>
        </w:rPr>
      </w:pPr>
      <w:bookmarkStart w:id="1294" w:name="_Toc21480"/>
      <w:r>
        <w:rPr>
          <w:rFonts w:hint="eastAsia" w:ascii="仿宋" w:hAnsi="仿宋" w:eastAsia="仿宋" w:cs="仿宋"/>
          <w:color w:val="auto"/>
          <w:sz w:val="24"/>
          <w:szCs w:val="24"/>
          <w:highlight w:val="none"/>
          <w:lang w:eastAsia="zh-CN"/>
        </w:rPr>
        <w:t>已由各相关方书面同意其公开的；</w:t>
      </w:r>
      <w:bookmarkEnd w:id="1294"/>
    </w:p>
    <w:p w14:paraId="016CAE97">
      <w:pPr>
        <w:pStyle w:val="23"/>
        <w:widowControl w:val="0"/>
        <w:numPr>
          <w:ilvl w:val="0"/>
          <w:numId w:val="23"/>
        </w:numPr>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在未获取保密信息前由对方当事人独立开发的；</w:t>
      </w:r>
    </w:p>
    <w:p w14:paraId="1D5A21AE">
      <w:pPr>
        <w:pStyle w:val="23"/>
        <w:widowControl w:val="0"/>
        <w:numPr>
          <w:ilvl w:val="0"/>
          <w:numId w:val="23"/>
        </w:numPr>
        <w:spacing w:line="360" w:lineRule="auto"/>
        <w:ind w:left="1850" w:leftChars="771" w:firstLine="0"/>
        <w:jc w:val="both"/>
        <w:rPr>
          <w:rFonts w:ascii="仿宋" w:hAnsi="仿宋" w:eastAsia="仿宋"/>
          <w:color w:val="auto"/>
          <w:sz w:val="24"/>
          <w:szCs w:val="24"/>
          <w:highlight w:val="none"/>
          <w:lang w:eastAsia="zh-CN"/>
        </w:rPr>
      </w:pPr>
      <w:bookmarkStart w:id="1295" w:name="_Toc7745"/>
      <w:r>
        <w:rPr>
          <w:rFonts w:hint="eastAsia" w:ascii="仿宋" w:hAnsi="仿宋" w:eastAsia="仿宋" w:cs="仿宋"/>
          <w:color w:val="auto"/>
          <w:sz w:val="24"/>
          <w:szCs w:val="24"/>
          <w:highlight w:val="none"/>
          <w:lang w:eastAsia="zh-CN"/>
        </w:rPr>
        <w:t>对方当事人从对保密信息不承担保密义务的第三方处合法获得的。</w:t>
      </w:r>
      <w:bookmarkEnd w:id="1295"/>
    </w:p>
    <w:p w14:paraId="7375DDAF">
      <w:pPr>
        <w:pStyle w:val="23"/>
        <w:tabs>
          <w:tab w:val="left" w:pos="1620"/>
        </w:tabs>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3511F1B9">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1296" w:name="_Toc8302"/>
      <w:bookmarkStart w:id="1297" w:name="_Toc6481"/>
      <w:bookmarkStart w:id="1298" w:name="_Toc47694379"/>
      <w:bookmarkStart w:id="1299" w:name="_Toc469384077"/>
      <w:bookmarkStart w:id="1300" w:name="_Toc29879"/>
      <w:bookmarkStart w:id="1301" w:name="_Toc22638"/>
      <w:bookmarkStart w:id="1302" w:name="_Toc1765"/>
      <w:bookmarkStart w:id="1303" w:name="_Toc22304"/>
      <w:bookmarkStart w:id="1304" w:name="_Toc14971"/>
      <w:r>
        <w:rPr>
          <w:rFonts w:hint="eastAsia" w:ascii="仿宋" w:hAnsi="仿宋" w:eastAsia="仿宋" w:cs="仿宋"/>
          <w:bCs w:val="0"/>
          <w:color w:val="auto"/>
          <w:sz w:val="24"/>
          <w:szCs w:val="24"/>
          <w:highlight w:val="none"/>
          <w:lang w:eastAsia="zh-CN"/>
        </w:rPr>
        <w:t>100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廉政建设</w:t>
      </w:r>
      <w:bookmarkEnd w:id="1296"/>
      <w:bookmarkEnd w:id="1297"/>
      <w:bookmarkEnd w:id="1298"/>
      <w:bookmarkEnd w:id="1299"/>
      <w:bookmarkEnd w:id="1300"/>
      <w:bookmarkEnd w:id="1301"/>
      <w:bookmarkEnd w:id="1302"/>
      <w:bookmarkEnd w:id="1303"/>
      <w:bookmarkEnd w:id="1304"/>
    </w:p>
    <w:p w14:paraId="0C22CB2D">
      <w:pPr>
        <w:rPr>
          <w:rFonts w:ascii="仿宋" w:hAnsi="仿宋" w:eastAsia="仿宋" w:cs="仿宋"/>
          <w:b/>
          <w:bCs/>
          <w:color w:val="auto"/>
          <w:highlight w:val="none"/>
          <w:lang w:eastAsia="zh-CN"/>
        </w:rPr>
      </w:pPr>
      <w:bookmarkStart w:id="1305" w:name="_Toc13646"/>
      <w:r>
        <w:rPr>
          <w:rFonts w:hint="eastAsia" w:ascii="仿宋" w:hAnsi="仿宋" w:eastAsia="仿宋" w:cs="仿宋"/>
          <w:b/>
          <w:bCs/>
          <w:color w:val="auto"/>
          <w:highlight w:val="none"/>
          <w:lang w:eastAsia="zh-CN"/>
        </w:rPr>
        <w:t>100</w:t>
      </w:r>
      <w:r>
        <w:rPr>
          <w:rFonts w:ascii="仿宋" w:hAnsi="仿宋" w:eastAsia="仿宋" w:cs="仿宋"/>
          <w:b/>
          <w:bCs/>
          <w:color w:val="auto"/>
          <w:highlight w:val="none"/>
          <w:lang w:eastAsia="zh-CN"/>
        </w:rPr>
        <w:t>.1</w:t>
      </w:r>
      <w:bookmarkEnd w:id="1305"/>
    </w:p>
    <w:p w14:paraId="0D4D0731">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13920" behindDoc="0" locked="0" layoutInCell="1" allowOverlap="1">
                <wp:simplePos x="0" y="0"/>
                <wp:positionH relativeFrom="column">
                  <wp:posOffset>-114300</wp:posOffset>
                </wp:positionH>
                <wp:positionV relativeFrom="paragraph">
                  <wp:posOffset>15875</wp:posOffset>
                </wp:positionV>
                <wp:extent cx="894080" cy="396240"/>
                <wp:effectExtent l="0" t="0" r="0" b="0"/>
                <wp:wrapNone/>
                <wp:docPr id="445" name="0002c0"/>
                <wp:cNvGraphicFramePr/>
                <a:graphic xmlns:a="http://schemas.openxmlformats.org/drawingml/2006/main">
                  <a:graphicData uri="http://schemas.microsoft.com/office/word/2010/wordprocessingShape">
                    <wps:wsp>
                      <wps:cNvSpPr txBox="1"/>
                      <wps:spPr>
                        <a:xfrm>
                          <a:off x="0" y="0"/>
                          <a:ext cx="894080" cy="396240"/>
                        </a:xfrm>
                        <a:prstGeom prst="rect">
                          <a:avLst/>
                        </a:prstGeom>
                        <a:noFill/>
                        <a:ln>
                          <a:noFill/>
                        </a:ln>
                        <a:effectLst/>
                      </wps:spPr>
                      <wps:txbx>
                        <w:txbxContent>
                          <w:p w14:paraId="76B2850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p w14:paraId="5CD90692"/>
                        </w:txbxContent>
                      </wps:txbx>
                      <wps:bodyPr wrap="square" upright="1"/>
                    </wps:wsp>
                  </a:graphicData>
                </a:graphic>
              </wp:anchor>
            </w:drawing>
          </mc:Choice>
          <mc:Fallback>
            <w:pict>
              <v:shape id="0002c0" o:spid="_x0000_s1026" o:spt="202" type="#_x0000_t202" style="position:absolute;left:0pt;margin-left:-9pt;margin-top:1.25pt;height:31.2pt;width:70.4pt;z-index:252113920;mso-width-relative:page;mso-height-relative:page;" filled="f" stroked="f" coordsize="21600,21600" o:gfxdata="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PHtpbTVAAAACAEA&#10;AA8AAAAAAAAAAQAgAAAAIgAAAGRycy9kb3ducmV2LnhtbFBLAQIUABQAAAAIAIdO4kCuCbUvqwEA&#10;AGYDAAAOAAAAAAAAAAEAIAAAACQBAABkcnMvZTJvRG9jLnhtbFBLBQYAAAAABgAGAFkBAABBBQAA&#10;AAA=&#10;">
                <v:fill on="f" focussize="0,0"/>
                <v:stroke on="f"/>
                <v:imagedata o:title=""/>
                <o:lock v:ext="edit" aspectratio="f"/>
                <v:textbox>
                  <w:txbxContent>
                    <w:p w14:paraId="76B2850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p w14:paraId="5CD90692"/>
                  </w:txbxContent>
                </v:textbox>
              </v:shape>
            </w:pict>
          </mc:Fallback>
        </mc:AlternateContent>
      </w:r>
      <w:r>
        <w:rPr>
          <w:rFonts w:hint="eastAsia" w:ascii="仿宋" w:hAnsi="仿宋" w:eastAsia="仿宋" w:cs="仿宋"/>
          <w:color w:val="auto"/>
          <w:highlight w:val="none"/>
          <w:lang w:eastAsia="zh-CN"/>
        </w:rPr>
        <w:t>合同双方当事人在签订本合同时，应同时签订廉政合同，作为本合同的附件。合同双方当事人在合同履行期间应遵守有关廉政方面的规定和要求，禁止任何腐败行为。</w:t>
      </w:r>
    </w:p>
    <w:p w14:paraId="6B3027B7">
      <w:pPr>
        <w:pStyle w:val="23"/>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100</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3568AC2D">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14944" behindDoc="0" locked="0" layoutInCell="1" allowOverlap="1">
                <wp:simplePos x="0" y="0"/>
                <wp:positionH relativeFrom="column">
                  <wp:posOffset>-114300</wp:posOffset>
                </wp:positionH>
                <wp:positionV relativeFrom="paragraph">
                  <wp:posOffset>53975</wp:posOffset>
                </wp:positionV>
                <wp:extent cx="807720" cy="408940"/>
                <wp:effectExtent l="0" t="0" r="0" b="0"/>
                <wp:wrapNone/>
                <wp:docPr id="446" name="0002c1"/>
                <wp:cNvGraphicFramePr/>
                <a:graphic xmlns:a="http://schemas.openxmlformats.org/drawingml/2006/main">
                  <a:graphicData uri="http://schemas.microsoft.com/office/word/2010/wordprocessingShape">
                    <wps:wsp>
                      <wps:cNvSpPr txBox="1"/>
                      <wps:spPr>
                        <a:xfrm>
                          <a:off x="0" y="0"/>
                          <a:ext cx="807720" cy="408940"/>
                        </a:xfrm>
                        <a:prstGeom prst="rect">
                          <a:avLst/>
                        </a:prstGeom>
                        <a:noFill/>
                        <a:ln>
                          <a:noFill/>
                        </a:ln>
                        <a:effectLst/>
                      </wps:spPr>
                      <wps:txbx>
                        <w:txbxContent>
                          <w:p w14:paraId="522EDD6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p w14:paraId="7F037AD6"/>
                        </w:txbxContent>
                      </wps:txbx>
                      <wps:bodyPr wrap="square" upright="1"/>
                    </wps:wsp>
                  </a:graphicData>
                </a:graphic>
              </wp:anchor>
            </w:drawing>
          </mc:Choice>
          <mc:Fallback>
            <w:pict>
              <v:shape id="0002c1" o:spid="_x0000_s1026" o:spt="202" type="#_x0000_t202" style="position:absolute;left:0pt;margin-left:-9pt;margin-top:4.25pt;height:32.2pt;width:63.6pt;z-index:252114944;mso-width-relative:page;mso-height-relative:page;" filled="f" stroked="f" coordsize="21600,21600" o:gfxdata="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NMuPf9YAAAAI&#10;AQAADwAAAAAAAAABACAAAAAiAAAAZHJzL2Rvd25yZXYueG1sUEsBAhQAFAAAAAgAh07iQJk23gCs&#10;AQAAZgMAAA4AAAAAAAAAAQAgAAAAJQEAAGRycy9lMm9Eb2MueG1sUEsFBgAAAAAGAAYAWQEAAEMF&#10;AAAAAA==&#10;">
                <v:fill on="f" focussize="0,0"/>
                <v:stroke on="f"/>
                <v:imagedata o:title=""/>
                <o:lock v:ext="edit" aspectratio="f"/>
                <v:textbox>
                  <w:txbxContent>
                    <w:p w14:paraId="522EDD6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p w14:paraId="7F037AD6"/>
                  </w:txbxContent>
                </v:textbox>
              </v:shape>
            </w:pict>
          </mc:Fallback>
        </mc:AlternateContent>
      </w:r>
      <w:r>
        <w:rPr>
          <w:rFonts w:hint="eastAsia" w:ascii="仿宋" w:hAnsi="仿宋" w:eastAsia="仿宋" w:cs="仿宋"/>
          <w:color w:val="auto"/>
          <w:highlight w:val="none"/>
          <w:lang w:eastAsia="zh-CN"/>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92</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款约定解除合同，并按照第93</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款约定办理合同解除的支付。</w:t>
      </w:r>
    </w:p>
    <w:p w14:paraId="5AEF8A73">
      <w:pPr>
        <w:pStyle w:val="23"/>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7A958EED">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1306" w:name="_Toc14427"/>
      <w:bookmarkStart w:id="1307" w:name="_Toc7233"/>
      <w:bookmarkStart w:id="1308" w:name="_Toc2714"/>
      <w:bookmarkStart w:id="1309" w:name="_Toc469384078"/>
      <w:bookmarkStart w:id="1310" w:name="_Toc28494"/>
      <w:bookmarkStart w:id="1311" w:name="_Toc47694380"/>
      <w:bookmarkStart w:id="1312" w:name="_Toc31099"/>
      <w:bookmarkStart w:id="1313" w:name="_Toc2694"/>
      <w:bookmarkStart w:id="1314" w:name="_Toc20872"/>
      <w:r>
        <w:rPr>
          <w:rFonts w:hint="eastAsia" w:ascii="仿宋" w:hAnsi="仿宋" w:eastAsia="仿宋" w:cs="仿宋"/>
          <w:bCs w:val="0"/>
          <w:color w:val="auto"/>
          <w:sz w:val="24"/>
          <w:szCs w:val="24"/>
          <w:highlight w:val="none"/>
          <w:lang w:eastAsia="zh-CN"/>
        </w:rPr>
        <w:t>101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禁止转让</w:t>
      </w:r>
      <w:bookmarkEnd w:id="1306"/>
      <w:bookmarkEnd w:id="1307"/>
      <w:bookmarkEnd w:id="1308"/>
      <w:bookmarkEnd w:id="1309"/>
      <w:bookmarkEnd w:id="1310"/>
      <w:bookmarkEnd w:id="1311"/>
      <w:bookmarkEnd w:id="1312"/>
      <w:bookmarkEnd w:id="1313"/>
      <w:bookmarkEnd w:id="1314"/>
    </w:p>
    <w:p w14:paraId="6A0B198F">
      <w:pPr>
        <w:pStyle w:val="23"/>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101</w:t>
      </w:r>
      <w:r>
        <w:rPr>
          <w:rFonts w:ascii="仿宋" w:hAnsi="仿宋" w:eastAsia="仿宋" w:cs="仿宋"/>
          <w:b/>
          <w:bCs/>
          <w:color w:val="auto"/>
          <w:sz w:val="24"/>
          <w:szCs w:val="24"/>
          <w:highlight w:val="none"/>
          <w:lang w:eastAsia="zh-CN"/>
        </w:rPr>
        <w:t>.1</w:t>
      </w:r>
    </w:p>
    <w:p w14:paraId="15F41E68">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15968" behindDoc="0" locked="0" layoutInCell="1" allowOverlap="1">
                <wp:simplePos x="0" y="0"/>
                <wp:positionH relativeFrom="column">
                  <wp:posOffset>-114300</wp:posOffset>
                </wp:positionH>
                <wp:positionV relativeFrom="paragraph">
                  <wp:posOffset>15875</wp:posOffset>
                </wp:positionV>
                <wp:extent cx="883920" cy="357505"/>
                <wp:effectExtent l="0" t="0" r="0" b="0"/>
                <wp:wrapNone/>
                <wp:docPr id="447" name="0002c2"/>
                <wp:cNvGraphicFramePr/>
                <a:graphic xmlns:a="http://schemas.openxmlformats.org/drawingml/2006/main">
                  <a:graphicData uri="http://schemas.microsoft.com/office/word/2010/wordprocessingShape">
                    <wps:wsp>
                      <wps:cNvSpPr txBox="1"/>
                      <wps:spPr>
                        <a:xfrm>
                          <a:off x="0" y="0"/>
                          <a:ext cx="883920" cy="357505"/>
                        </a:xfrm>
                        <a:prstGeom prst="rect">
                          <a:avLst/>
                        </a:prstGeom>
                        <a:noFill/>
                        <a:ln>
                          <a:noFill/>
                        </a:ln>
                        <a:effectLst/>
                      </wps:spPr>
                      <wps:txbx>
                        <w:txbxContent>
                          <w:p w14:paraId="13ECD2DE">
                            <w:pPr>
                              <w:spacing w:line="240" w:lineRule="exact"/>
                              <w:rPr>
                                <w:rFonts w:ascii="宋体"/>
                                <w:b/>
                                <w:bCs/>
                                <w:sz w:val="18"/>
                                <w:szCs w:val="18"/>
                              </w:rPr>
                            </w:pPr>
                            <w:r>
                              <w:rPr>
                                <w:rFonts w:hint="eastAsia" w:ascii="楷体_GB2312" w:hAnsi="宋体" w:eastAsia="楷体_GB2312" w:cs="楷体_GB2312"/>
                                <w:b/>
                                <w:bCs/>
                                <w:sz w:val="18"/>
                                <w:szCs w:val="18"/>
                              </w:rPr>
                              <w:t>履行合同</w:t>
                            </w:r>
                          </w:p>
                          <w:p w14:paraId="26FFAA83"/>
                        </w:txbxContent>
                      </wps:txbx>
                      <wps:bodyPr wrap="square" upright="1"/>
                    </wps:wsp>
                  </a:graphicData>
                </a:graphic>
              </wp:anchor>
            </w:drawing>
          </mc:Choice>
          <mc:Fallback>
            <w:pict>
              <v:shape id="0002c2" o:spid="_x0000_s1026" o:spt="202" type="#_x0000_t202" style="position:absolute;left:0pt;margin-left:-9pt;margin-top:1.25pt;height:28.15pt;width:69.6pt;z-index:252115968;mso-width-relative:page;mso-height-relative:page;" filled="f" stroked="f" coordsize="21600,21600" o:gfxdata="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jUr1tYAAAAI&#10;AQAADwAAAAAAAAABACAAAAAiAAAAZHJzL2Rvd25yZXYueG1sUEsBAhQAFAAAAAgAh07iQEobqEqs&#10;AQAAZgMAAA4AAAAAAAAAAQAgAAAAJQEAAGRycy9lMm9Eb2MueG1sUEsFBgAAAAAGAAYAWQEAAEMF&#10;AAAAAA==&#10;">
                <v:fill on="f" focussize="0,0"/>
                <v:stroke on="f"/>
                <v:imagedata o:title=""/>
                <o:lock v:ext="edit" aspectratio="f"/>
                <v:textbox>
                  <w:txbxContent>
                    <w:p w14:paraId="13ECD2DE">
                      <w:pPr>
                        <w:spacing w:line="240" w:lineRule="exact"/>
                        <w:rPr>
                          <w:rFonts w:ascii="宋体"/>
                          <w:b/>
                          <w:bCs/>
                          <w:sz w:val="18"/>
                          <w:szCs w:val="18"/>
                        </w:rPr>
                      </w:pPr>
                      <w:r>
                        <w:rPr>
                          <w:rFonts w:hint="eastAsia" w:ascii="楷体_GB2312" w:hAnsi="宋体" w:eastAsia="楷体_GB2312" w:cs="楷体_GB2312"/>
                          <w:b/>
                          <w:bCs/>
                          <w:sz w:val="18"/>
                          <w:szCs w:val="18"/>
                        </w:rPr>
                        <w:t>履行合同</w:t>
                      </w:r>
                    </w:p>
                    <w:p w14:paraId="26FFAA83"/>
                  </w:txbxContent>
                </v:textbox>
              </v:shape>
            </w:pict>
          </mc:Fallback>
        </mc:AlternateContent>
      </w:r>
      <w:r>
        <w:rPr>
          <w:rFonts w:hint="eastAsia" w:ascii="仿宋" w:hAnsi="仿宋" w:eastAsia="仿宋" w:cs="仿宋"/>
          <w:color w:val="auto"/>
          <w:highlight w:val="none"/>
          <w:lang w:eastAsia="zh-CN"/>
        </w:rPr>
        <w:t>本合同一经签署，合同双方当事人均应按照本合同约定行使各自的权利、履行各自的义务。</w:t>
      </w:r>
    </w:p>
    <w:p w14:paraId="6606E352">
      <w:pPr>
        <w:spacing w:line="360" w:lineRule="auto"/>
        <w:rPr>
          <w:rFonts w:ascii="仿宋" w:hAnsi="仿宋" w:eastAsia="仿宋" w:cs="仿宋"/>
          <w:b/>
          <w:bCs/>
          <w:color w:val="auto"/>
          <w:highlight w:val="none"/>
          <w:u w:val="dotted"/>
          <w:lang w:eastAsia="zh-CN"/>
        </w:rPr>
      </w:pPr>
      <w:bookmarkStart w:id="1315" w:name="_Toc8900"/>
      <w:r>
        <w:rPr>
          <w:rFonts w:hint="eastAsia" w:ascii="仿宋" w:hAnsi="仿宋" w:eastAsia="仿宋" w:cs="仿宋"/>
          <w:b/>
          <w:bCs/>
          <w:color w:val="auto"/>
          <w:highlight w:val="none"/>
          <w:lang w:eastAsia="zh-CN"/>
        </w:rPr>
        <w:t>101</w:t>
      </w:r>
      <w:r>
        <w:rPr>
          <w:rFonts w:ascii="仿宋" w:hAnsi="仿宋" w:eastAsia="仿宋" w:cs="仿宋"/>
          <w:b/>
          <w:bCs/>
          <w:color w:val="auto"/>
          <w:highlight w:val="none"/>
          <w:lang w:eastAsia="zh-CN"/>
        </w:rPr>
        <w:t>.2</w:t>
      </w:r>
      <w:bookmarkEnd w:id="131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390CF52">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16992" behindDoc="0" locked="0" layoutInCell="1" allowOverlap="1">
                <wp:simplePos x="0" y="0"/>
                <wp:positionH relativeFrom="column">
                  <wp:posOffset>-114300</wp:posOffset>
                </wp:positionH>
                <wp:positionV relativeFrom="paragraph">
                  <wp:posOffset>98425</wp:posOffset>
                </wp:positionV>
                <wp:extent cx="760095" cy="424180"/>
                <wp:effectExtent l="0" t="0" r="0" b="0"/>
                <wp:wrapNone/>
                <wp:docPr id="448" name="0002c3"/>
                <wp:cNvGraphicFramePr/>
                <a:graphic xmlns:a="http://schemas.openxmlformats.org/drawingml/2006/main">
                  <a:graphicData uri="http://schemas.microsoft.com/office/word/2010/wordprocessingShape">
                    <wps:wsp>
                      <wps:cNvSpPr txBox="1"/>
                      <wps:spPr>
                        <a:xfrm>
                          <a:off x="0" y="0"/>
                          <a:ext cx="760095" cy="424180"/>
                        </a:xfrm>
                        <a:prstGeom prst="rect">
                          <a:avLst/>
                        </a:prstGeom>
                        <a:noFill/>
                        <a:ln>
                          <a:noFill/>
                        </a:ln>
                        <a:effectLst/>
                      </wps:spPr>
                      <wps:txbx>
                        <w:txbxContent>
                          <w:p w14:paraId="116B51D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p w14:paraId="17366241"/>
                        </w:txbxContent>
                      </wps:txbx>
                      <wps:bodyPr wrap="square" upright="1"/>
                    </wps:wsp>
                  </a:graphicData>
                </a:graphic>
              </wp:anchor>
            </w:drawing>
          </mc:Choice>
          <mc:Fallback>
            <w:pict>
              <v:shape id="0002c3" o:spid="_x0000_s1026" o:spt="202" type="#_x0000_t202" style="position:absolute;left:0pt;margin-left:-9pt;margin-top:7.75pt;height:33.4pt;width:59.85pt;z-index:252116992;mso-width-relative:page;mso-height-relative:page;" filled="f" stroked="f" coordsize="21600,21600" o:gfxdata="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MYsmXWAAAA&#10;CQEAAA8AAAAAAAAAAQAgAAAAIgAAAGRycy9kb3ducmV2LnhtbFBLAQIUABQAAAAIAIdO4kA7W9AV&#10;rQEAAGYDAAAOAAAAAAAAAAEAIAAAACUBAABkcnMvZTJvRG9jLnhtbFBLBQYAAAAABgAGAFkBAABE&#10;BQAAAAA=&#10;">
                <v:fill on="f" focussize="0,0"/>
                <v:stroke on="f"/>
                <v:imagedata o:title=""/>
                <o:lock v:ext="edit" aspectratio="f"/>
                <v:textbox>
                  <w:txbxContent>
                    <w:p w14:paraId="116B51D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p w14:paraId="17366241"/>
                  </w:txbxContent>
                </v:textbox>
              </v:shape>
            </w:pict>
          </mc:Fallback>
        </mc:AlternateContent>
      </w:r>
      <w:r>
        <w:rPr>
          <w:rFonts w:hint="eastAsia" w:ascii="仿宋" w:hAnsi="仿宋" w:eastAsia="仿宋" w:cs="仿宋"/>
          <w:color w:val="auto"/>
          <w:highlight w:val="none"/>
          <w:lang w:eastAsia="zh-CN"/>
        </w:rPr>
        <w:t>除合同另有约定外，未经另一方当事人同意，合同一方当事人不得将本合同的全部或部分权利、义务转让给第三方。</w:t>
      </w:r>
    </w:p>
    <w:p w14:paraId="028FDD1E">
      <w:pPr>
        <w:pStyle w:val="23"/>
        <w:spacing w:line="48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52EA8382">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1316" w:name="_Toc4532"/>
      <w:bookmarkStart w:id="1317" w:name="_Toc388"/>
      <w:bookmarkStart w:id="1318" w:name="_Toc7092"/>
      <w:bookmarkStart w:id="1319" w:name="_Toc47694381"/>
      <w:bookmarkStart w:id="1320" w:name="_Toc16587"/>
      <w:bookmarkStart w:id="1321" w:name="_Toc469384079"/>
      <w:bookmarkStart w:id="1322" w:name="_Toc26587"/>
      <w:bookmarkStart w:id="1323" w:name="_Toc25112"/>
      <w:bookmarkStart w:id="1324" w:name="_Toc11319"/>
      <w:r>
        <w:rPr>
          <w:rFonts w:hint="eastAsia" w:ascii="仿宋" w:hAnsi="仿宋" w:eastAsia="仿宋" w:cs="仿宋"/>
          <w:bCs w:val="0"/>
          <w:color w:val="auto"/>
          <w:sz w:val="24"/>
          <w:szCs w:val="24"/>
          <w:highlight w:val="none"/>
          <w:lang w:eastAsia="zh-CN"/>
        </w:rPr>
        <w:t>102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合同份数</w:t>
      </w:r>
      <w:bookmarkEnd w:id="1316"/>
      <w:bookmarkEnd w:id="1317"/>
      <w:bookmarkEnd w:id="1318"/>
      <w:bookmarkEnd w:id="1319"/>
      <w:bookmarkEnd w:id="1320"/>
      <w:bookmarkEnd w:id="1321"/>
      <w:bookmarkEnd w:id="1322"/>
      <w:bookmarkEnd w:id="1323"/>
      <w:bookmarkEnd w:id="1324"/>
    </w:p>
    <w:p w14:paraId="09020B5C">
      <w:pPr>
        <w:pStyle w:val="23"/>
        <w:spacing w:line="360" w:lineRule="auto"/>
        <w:ind w:left="1312" w:hanging="1312" w:hangingChars="656"/>
        <w:rPr>
          <w:rFonts w:hint="eastAsia"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118016" behindDoc="0" locked="0" layoutInCell="1" allowOverlap="1">
                <wp:simplePos x="0" y="0"/>
                <wp:positionH relativeFrom="column">
                  <wp:posOffset>-66675</wp:posOffset>
                </wp:positionH>
                <wp:positionV relativeFrom="paragraph">
                  <wp:posOffset>273685</wp:posOffset>
                </wp:positionV>
                <wp:extent cx="775970" cy="439420"/>
                <wp:effectExtent l="0" t="0" r="0" b="0"/>
                <wp:wrapNone/>
                <wp:docPr id="449" name="0002c4"/>
                <wp:cNvGraphicFramePr/>
                <a:graphic xmlns:a="http://schemas.openxmlformats.org/drawingml/2006/main">
                  <a:graphicData uri="http://schemas.microsoft.com/office/word/2010/wordprocessingShape">
                    <wps:wsp>
                      <wps:cNvSpPr txBox="1"/>
                      <wps:spPr>
                        <a:xfrm>
                          <a:off x="0" y="0"/>
                          <a:ext cx="775970" cy="439420"/>
                        </a:xfrm>
                        <a:prstGeom prst="rect">
                          <a:avLst/>
                        </a:prstGeom>
                        <a:noFill/>
                        <a:ln>
                          <a:noFill/>
                        </a:ln>
                        <a:effectLst/>
                      </wps:spPr>
                      <wps:txbx>
                        <w:txbxContent>
                          <w:p w14:paraId="4FD9900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p w14:paraId="129F414B"/>
                        </w:txbxContent>
                      </wps:txbx>
                      <wps:bodyPr wrap="square" upright="1"/>
                    </wps:wsp>
                  </a:graphicData>
                </a:graphic>
              </wp:anchor>
            </w:drawing>
          </mc:Choice>
          <mc:Fallback>
            <w:pict>
              <v:shape id="0002c4" o:spid="_x0000_s1026" o:spt="202" type="#_x0000_t202" style="position:absolute;left:0pt;margin-left:-5.25pt;margin-top:21.55pt;height:34.6pt;width:61.1pt;z-index:252118016;mso-width-relative:page;mso-height-relative:page;" filled="f" stroked="f" coordsize="21600,21600" o:gfxdata="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xr32fWAAAA&#10;CgEAAA8AAAAAAAAAAQAgAAAAIgAAAGRycy9kb3ducmV2LnhtbFBLAQIUABQAAAAIAIdO4kAXxQYd&#10;rQEAAGYDAAAOAAAAAAAAAAEAIAAAACUBAABkcnMvZTJvRG9jLnhtbFBLBQYAAAAABgAGAFkBAABE&#10;BQAAAAA=&#10;">
                <v:fill on="f" focussize="0,0"/>
                <v:stroke on="f"/>
                <v:imagedata o:title=""/>
                <o:lock v:ext="edit" aspectratio="f"/>
                <v:textbox>
                  <w:txbxContent>
                    <w:p w14:paraId="4FD9900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p w14:paraId="129F414B"/>
                  </w:txbxContent>
                </v:textbox>
              </v:shape>
            </w:pict>
          </mc:Fallback>
        </mc:AlternateContent>
      </w:r>
      <w:r>
        <w:rPr>
          <w:rFonts w:hint="eastAsia" w:ascii="仿宋" w:hAnsi="仿宋" w:eastAsia="仿宋" w:cs="仿宋"/>
          <w:b/>
          <w:bCs/>
          <w:color w:val="auto"/>
          <w:sz w:val="24"/>
          <w:szCs w:val="24"/>
          <w:highlight w:val="none"/>
          <w:lang w:eastAsia="zh-CN"/>
        </w:rPr>
        <w:t>102</w:t>
      </w:r>
      <w:r>
        <w:rPr>
          <w:rFonts w:ascii="仿宋" w:hAnsi="仿宋" w:eastAsia="仿宋" w:cs="仿宋"/>
          <w:b/>
          <w:bCs/>
          <w:color w:val="auto"/>
          <w:sz w:val="24"/>
          <w:szCs w:val="24"/>
          <w:highlight w:val="none"/>
          <w:lang w:eastAsia="zh-CN"/>
        </w:rPr>
        <w:t>.1</w:t>
      </w:r>
    </w:p>
    <w:p w14:paraId="18A1FEBB">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除合同专用条款另有约定外，发包人应按照第102</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款约定的份数免费为承包人提供合同文本。</w:t>
      </w:r>
    </w:p>
    <w:p w14:paraId="1B082C36">
      <w:pPr>
        <w:spacing w:line="360" w:lineRule="auto"/>
        <w:rPr>
          <w:rFonts w:ascii="仿宋" w:hAnsi="仿宋" w:eastAsia="仿宋"/>
          <w:color w:val="auto"/>
          <w:highlight w:val="none"/>
          <w:lang w:eastAsia="zh-CN"/>
        </w:rPr>
      </w:pPr>
      <w:bookmarkStart w:id="1325" w:name="_Toc21966"/>
      <w:r>
        <w:rPr>
          <w:rFonts w:hint="eastAsia" w:ascii="仿宋" w:hAnsi="仿宋" w:eastAsia="仿宋" w:cs="仿宋"/>
          <w:b/>
          <w:bCs/>
          <w:color w:val="auto"/>
          <w:highlight w:val="none"/>
          <w:lang w:eastAsia="zh-CN"/>
        </w:rPr>
        <w:t>102</w:t>
      </w:r>
      <w:r>
        <w:rPr>
          <w:rFonts w:ascii="仿宋" w:hAnsi="仿宋" w:eastAsia="仿宋" w:cs="仿宋"/>
          <w:b/>
          <w:bCs/>
          <w:color w:val="auto"/>
          <w:highlight w:val="none"/>
          <w:lang w:eastAsia="zh-CN"/>
        </w:rPr>
        <w:t>.2</w:t>
      </w:r>
      <w:bookmarkEnd w:id="132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2ACF1BBC">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19040" behindDoc="0" locked="0" layoutInCell="1" allowOverlap="1">
                <wp:simplePos x="0" y="0"/>
                <wp:positionH relativeFrom="column">
                  <wp:posOffset>-114300</wp:posOffset>
                </wp:positionH>
                <wp:positionV relativeFrom="paragraph">
                  <wp:posOffset>8255</wp:posOffset>
                </wp:positionV>
                <wp:extent cx="788670" cy="502285"/>
                <wp:effectExtent l="0" t="0" r="0" b="0"/>
                <wp:wrapNone/>
                <wp:docPr id="450" name="0002c5"/>
                <wp:cNvGraphicFramePr/>
                <a:graphic xmlns:a="http://schemas.openxmlformats.org/drawingml/2006/main">
                  <a:graphicData uri="http://schemas.microsoft.com/office/word/2010/wordprocessingShape">
                    <wps:wsp>
                      <wps:cNvSpPr txBox="1"/>
                      <wps:spPr>
                        <a:xfrm>
                          <a:off x="0" y="0"/>
                          <a:ext cx="788670" cy="502285"/>
                        </a:xfrm>
                        <a:prstGeom prst="rect">
                          <a:avLst/>
                        </a:prstGeom>
                        <a:noFill/>
                        <a:ln>
                          <a:noFill/>
                        </a:ln>
                        <a:effectLst/>
                      </wps:spPr>
                      <wps:txbx>
                        <w:txbxContent>
                          <w:p w14:paraId="41B4758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p w14:paraId="570480B8"/>
                        </w:txbxContent>
                      </wps:txbx>
                      <wps:bodyPr wrap="square" upright="1"/>
                    </wps:wsp>
                  </a:graphicData>
                </a:graphic>
              </wp:anchor>
            </w:drawing>
          </mc:Choice>
          <mc:Fallback>
            <w:pict>
              <v:shape id="0002c5" o:spid="_x0000_s1026" o:spt="202" type="#_x0000_t202" style="position:absolute;left:0pt;margin-left:-9pt;margin-top:0.65pt;height:39.55pt;width:62.1pt;z-index:252119040;mso-width-relative:page;mso-height-relative:page;" filled="f" stroked="f" coordsize="21600,21600" o:gfxdata="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0T1LVAAAACAEA&#10;AA8AAAAAAAAAAQAgAAAAIgAAAGRycy9kb3ducmV2LnhtbFBLAQIUABQAAAAIAIdO4kCCc3aQqwEA&#10;AGYDAAAOAAAAAAAAAAEAIAAAACQBAABkcnMvZTJvRG9jLnhtbFBLBQYAAAAABgAGAFkBAABBBQAA&#10;AAA=&#10;">
                <v:fill on="f" focussize="0,0"/>
                <v:stroke on="f"/>
                <v:imagedata o:title=""/>
                <o:lock v:ext="edit" aspectratio="f"/>
                <v:textbox>
                  <w:txbxContent>
                    <w:p w14:paraId="41B4758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p w14:paraId="570480B8"/>
                  </w:txbxContent>
                </v:textbox>
              </v:shape>
            </w:pict>
          </mc:Fallback>
        </mc:AlternateContent>
      </w:r>
      <w:r>
        <w:rPr>
          <w:rFonts w:hint="eastAsia" w:ascii="仿宋" w:hAnsi="仿宋" w:eastAsia="仿宋" w:cs="仿宋"/>
          <w:color w:val="auto"/>
          <w:highlight w:val="none"/>
          <w:lang w:eastAsia="zh-CN"/>
        </w:rPr>
        <w:t>本合同正、副本份数，由合同双方当事人根据需要在专用条款中约定。正本与副本具有同等效力，当正本与副本不一致时，以正本为准。</w:t>
      </w:r>
    </w:p>
    <w:p w14:paraId="6B776B8C">
      <w:pPr>
        <w:pStyle w:val="23"/>
        <w:spacing w:line="48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47FC5A86">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1326" w:name="_Toc469384080"/>
      <w:bookmarkStart w:id="1327" w:name="_Toc28563"/>
      <w:bookmarkStart w:id="1328" w:name="_Toc15998"/>
      <w:bookmarkStart w:id="1329" w:name="_Toc17067"/>
      <w:bookmarkStart w:id="1330" w:name="_Toc47694382"/>
      <w:bookmarkStart w:id="1331" w:name="_Toc5454"/>
      <w:bookmarkStart w:id="1332" w:name="_Toc19882"/>
      <w:bookmarkStart w:id="1333" w:name="_Toc14965"/>
      <w:bookmarkStart w:id="1334" w:name="_Toc3116"/>
      <w:r>
        <w:rPr>
          <w:rFonts w:hint="eastAsia" w:ascii="仿宋" w:hAnsi="仿宋" w:eastAsia="仿宋" w:cs="仿宋"/>
          <w:bCs w:val="0"/>
          <w:color w:val="auto"/>
          <w:sz w:val="24"/>
          <w:szCs w:val="24"/>
          <w:highlight w:val="none"/>
          <w:lang w:eastAsia="zh-CN"/>
        </w:rPr>
        <w:t>103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w:t>
      </w:r>
      <w:bookmarkEnd w:id="1326"/>
      <w:r>
        <w:rPr>
          <w:rFonts w:hint="eastAsia" w:ascii="仿宋" w:hAnsi="仿宋" w:eastAsia="仿宋" w:cs="仿宋"/>
          <w:bCs w:val="0"/>
          <w:color w:val="auto"/>
          <w:sz w:val="24"/>
          <w:szCs w:val="24"/>
          <w:highlight w:val="none"/>
          <w:lang w:eastAsia="zh-CN"/>
        </w:rPr>
        <w:t>管理</w:t>
      </w:r>
      <w:bookmarkEnd w:id="1327"/>
      <w:bookmarkEnd w:id="1328"/>
      <w:bookmarkEnd w:id="1329"/>
      <w:bookmarkEnd w:id="1330"/>
      <w:bookmarkEnd w:id="1331"/>
      <w:bookmarkEnd w:id="1332"/>
      <w:bookmarkEnd w:id="1333"/>
      <w:bookmarkEnd w:id="1334"/>
    </w:p>
    <w:p w14:paraId="5B092ED2">
      <w:pPr>
        <w:pStyle w:val="23"/>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120064" behindDoc="0" locked="0" layoutInCell="1" allowOverlap="1">
                <wp:simplePos x="0" y="0"/>
                <wp:positionH relativeFrom="column">
                  <wp:posOffset>-114300</wp:posOffset>
                </wp:positionH>
                <wp:positionV relativeFrom="paragraph">
                  <wp:posOffset>208915</wp:posOffset>
                </wp:positionV>
                <wp:extent cx="796925" cy="361950"/>
                <wp:effectExtent l="0" t="0" r="0" b="0"/>
                <wp:wrapNone/>
                <wp:docPr id="451" name="0002c6"/>
                <wp:cNvGraphicFramePr/>
                <a:graphic xmlns:a="http://schemas.openxmlformats.org/drawingml/2006/main">
                  <a:graphicData uri="http://schemas.microsoft.com/office/word/2010/wordprocessingShape">
                    <wps:wsp>
                      <wps:cNvSpPr txBox="1"/>
                      <wps:spPr>
                        <a:xfrm>
                          <a:off x="0" y="0"/>
                          <a:ext cx="796925" cy="361950"/>
                        </a:xfrm>
                        <a:prstGeom prst="rect">
                          <a:avLst/>
                        </a:prstGeom>
                        <a:noFill/>
                        <a:ln>
                          <a:noFill/>
                        </a:ln>
                        <a:effectLst/>
                      </wps:spPr>
                      <wps:txbx>
                        <w:txbxContent>
                          <w:p w14:paraId="03F6A94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p w14:paraId="25FDF506"/>
                        </w:txbxContent>
                      </wps:txbx>
                      <wps:bodyPr wrap="square" upright="1"/>
                    </wps:wsp>
                  </a:graphicData>
                </a:graphic>
              </wp:anchor>
            </w:drawing>
          </mc:Choice>
          <mc:Fallback>
            <w:pict>
              <v:shape id="0002c6" o:spid="_x0000_s1026" o:spt="202" type="#_x0000_t202" style="position:absolute;left:0pt;margin-left:-9pt;margin-top:16.45pt;height:28.5pt;width:62.75pt;z-index:252120064;mso-width-relative:page;mso-height-relative:page;" filled="f" stroked="f" coordsize="21600,21600" o:gfxdata="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g3dNO1wAA&#10;AAkBAAAPAAAAAAAAAAEAIAAAACIAAABkcnMvZG93bnJldi54bWxQSwECFAAUAAAACACHTuJAoJtq&#10;960BAABmAwAADgAAAAAAAAABACAAAAAmAQAAZHJzL2Uyb0RvYy54bWxQSwUGAAAAAAYABgBZAQAA&#10;RQUAAAAA&#10;">
                <v:fill on="f" focussize="0,0"/>
                <v:stroke on="f"/>
                <v:imagedata o:title=""/>
                <o:lock v:ext="edit" aspectratio="f"/>
                <v:textbox>
                  <w:txbxContent>
                    <w:p w14:paraId="03F6A94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p w14:paraId="25FDF506"/>
                  </w:txbxContent>
                </v:textbox>
              </v:shape>
            </w:pict>
          </mc:Fallback>
        </mc:AlternateContent>
      </w:r>
      <w:r>
        <w:rPr>
          <w:rFonts w:hint="eastAsia" w:ascii="仿宋" w:hAnsi="仿宋" w:eastAsia="仿宋" w:cs="仿宋"/>
          <w:b/>
          <w:bCs/>
          <w:color w:val="auto"/>
          <w:sz w:val="24"/>
          <w:szCs w:val="24"/>
          <w:highlight w:val="none"/>
          <w:lang w:eastAsia="zh-CN"/>
        </w:rPr>
        <w:t>103</w:t>
      </w:r>
      <w:r>
        <w:rPr>
          <w:rFonts w:ascii="仿宋" w:hAnsi="仿宋" w:eastAsia="仿宋" w:cs="仿宋"/>
          <w:b/>
          <w:bCs/>
          <w:color w:val="auto"/>
          <w:sz w:val="24"/>
          <w:szCs w:val="24"/>
          <w:highlight w:val="none"/>
          <w:lang w:eastAsia="zh-CN"/>
        </w:rPr>
        <w:t>.1</w:t>
      </w:r>
    </w:p>
    <w:p w14:paraId="77A4D83E">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5条至第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9条的职责划分，督促各自人员认真履行合同管理职责，加强合同管理。</w:t>
      </w:r>
    </w:p>
    <w:p w14:paraId="47180A5B">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涉及国有资金</w:t>
      </w:r>
      <w:r>
        <w:rPr>
          <w:rFonts w:hint="eastAsia" w:ascii="仿宋" w:hAnsi="仿宋" w:eastAsia="仿宋"/>
          <w:color w:val="auto"/>
          <w:highlight w:val="none"/>
          <w:lang w:eastAsia="zh-CN"/>
        </w:rPr>
        <w:t>投资</w:t>
      </w:r>
      <w:r>
        <w:rPr>
          <w:rFonts w:hint="eastAsia" w:ascii="仿宋" w:hAnsi="仿宋" w:eastAsia="仿宋" w:cs="仿宋"/>
          <w:color w:val="auto"/>
          <w:highlight w:val="none"/>
          <w:lang w:eastAsia="zh-CN"/>
        </w:rPr>
        <w:t>的工程，建设行政主管部门应依据建设行政主管部门存档合同实施合同监督管理；合同双方当事人应随时接受执法人员对本合同的监督管理，并为监督管理活动提供配合和协助。</w:t>
      </w:r>
    </w:p>
    <w:p w14:paraId="498EB645">
      <w:pPr>
        <w:spacing w:line="360" w:lineRule="auto"/>
        <w:rPr>
          <w:rFonts w:hint="eastAsia"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137DB73F">
      <w:pPr>
        <w:spacing w:line="360" w:lineRule="auto"/>
        <w:rPr>
          <w:rFonts w:hint="eastAsia" w:ascii="仿宋" w:hAnsi="仿宋" w:eastAsia="仿宋" w:cs="仿宋"/>
          <w:b/>
          <w:bCs/>
          <w:color w:val="auto"/>
          <w:highlight w:val="none"/>
          <w:u w:val="single"/>
          <w:lang w:eastAsia="zh-CN"/>
        </w:rPr>
      </w:pPr>
    </w:p>
    <w:p w14:paraId="2F820C1D">
      <w:pPr>
        <w:spacing w:line="360" w:lineRule="auto"/>
        <w:rPr>
          <w:color w:val="auto"/>
          <w:highlight w:val="none"/>
          <w:lang w:eastAsia="zh-CN"/>
        </w:rPr>
      </w:pPr>
    </w:p>
    <w:p w14:paraId="66F7890F">
      <w:pPr>
        <w:rPr>
          <w:color w:val="auto"/>
          <w:highlight w:val="none"/>
          <w:lang w:eastAsia="zh-CN"/>
        </w:rPr>
        <w:sectPr>
          <w:endnotePr>
            <w:numFmt w:val="decimal"/>
          </w:endnotePr>
          <w:pgSz w:w="11906" w:h="16838"/>
          <w:pgMar w:top="1417" w:right="1417" w:bottom="1417" w:left="1417" w:header="0" w:footer="850" w:gutter="0"/>
          <w:cols w:space="720" w:num="1"/>
        </w:sectPr>
      </w:pPr>
    </w:p>
    <w:bookmarkEnd w:id="224"/>
    <w:p w14:paraId="56C3B246">
      <w:pPr>
        <w:pStyle w:val="2"/>
        <w:tabs>
          <w:tab w:val="left" w:pos="420"/>
        </w:tabs>
        <w:ind w:left="494" w:leftChars="206" w:firstLine="176" w:firstLineChars="49"/>
        <w:jc w:val="center"/>
        <w:rPr>
          <w:rFonts w:hAnsi="宋体"/>
          <w:b w:val="0"/>
          <w:bCs w:val="0"/>
          <w:color w:val="auto"/>
          <w:sz w:val="36"/>
          <w:szCs w:val="36"/>
          <w:highlight w:val="none"/>
          <w:lang w:eastAsia="zh-CN"/>
        </w:rPr>
      </w:pPr>
      <w:bookmarkStart w:id="1335" w:name="_Toc29428"/>
      <w:bookmarkStart w:id="1336" w:name="_Toc8314"/>
      <w:bookmarkStart w:id="1337" w:name="_Toc5891"/>
      <w:bookmarkStart w:id="1338" w:name="_Toc21292"/>
      <w:bookmarkStart w:id="1339" w:name="_Toc29319"/>
      <w:bookmarkStart w:id="1340" w:name="_Toc29629"/>
      <w:bookmarkStart w:id="1341" w:name="_Toc12115"/>
      <w:bookmarkStart w:id="1342" w:name="_Toc47694383"/>
      <w:r>
        <w:rPr>
          <w:rFonts w:hint="eastAsia" w:hAnsi="宋体"/>
          <w:b w:val="0"/>
          <w:bCs w:val="0"/>
          <w:color w:val="auto"/>
          <w:sz w:val="36"/>
          <w:szCs w:val="36"/>
          <w:highlight w:val="none"/>
          <w:lang w:eastAsia="zh-CN"/>
        </w:rPr>
        <w:t>第三部分  专用条款</w:t>
      </w:r>
      <w:bookmarkEnd w:id="1335"/>
      <w:bookmarkEnd w:id="1336"/>
      <w:bookmarkEnd w:id="1337"/>
      <w:bookmarkEnd w:id="1338"/>
      <w:bookmarkEnd w:id="1339"/>
      <w:bookmarkEnd w:id="1340"/>
      <w:bookmarkEnd w:id="1341"/>
      <w:bookmarkEnd w:id="1342"/>
    </w:p>
    <w:p w14:paraId="33959799">
      <w:pPr>
        <w:jc w:val="center"/>
        <w:rPr>
          <w:rFonts w:hint="eastAsia" w:ascii="宋体"/>
          <w:b/>
          <w:bCs/>
          <w:color w:val="auto"/>
          <w:highlight w:val="none"/>
          <w:lang w:eastAsia="zh-CN"/>
        </w:rPr>
      </w:pPr>
    </w:p>
    <w:p w14:paraId="67C02394">
      <w:pPr>
        <w:pStyle w:val="3"/>
        <w:spacing w:before="0" w:after="0" w:line="360" w:lineRule="auto"/>
        <w:ind w:firstLine="562"/>
        <w:jc w:val="center"/>
        <w:rPr>
          <w:rFonts w:ascii="仿宋" w:hAnsi="仿宋" w:eastAsia="仿宋"/>
          <w:i w:val="0"/>
          <w:iCs w:val="0"/>
          <w:snapToGrid w:val="0"/>
          <w:color w:val="auto"/>
          <w:highlight w:val="none"/>
          <w:lang w:eastAsia="zh-CN"/>
        </w:rPr>
      </w:pPr>
      <w:bookmarkStart w:id="1343" w:name="_Toc2953"/>
      <w:bookmarkStart w:id="1344" w:name="_Toc290"/>
      <w:bookmarkStart w:id="1345" w:name="_Toc155189163"/>
      <w:bookmarkStart w:id="1346" w:name="_Toc25380"/>
      <w:bookmarkStart w:id="1347" w:name="_Toc8040"/>
      <w:bookmarkStart w:id="1348" w:name="_Toc18210"/>
      <w:bookmarkStart w:id="1349" w:name="_Toc28975"/>
      <w:bookmarkStart w:id="1350" w:name="_Toc47694384"/>
      <w:bookmarkStart w:id="1351" w:name="_Toc21038"/>
      <w:r>
        <w:rPr>
          <w:rFonts w:hint="eastAsia" w:ascii="仿宋" w:hAnsi="仿宋" w:eastAsia="仿宋"/>
          <w:i w:val="0"/>
          <w:iCs w:val="0"/>
          <w:snapToGrid w:val="0"/>
          <w:color w:val="auto"/>
          <w:highlight w:val="none"/>
          <w:lang w:eastAsia="zh-CN"/>
        </w:rPr>
        <w:t>总则（补充）</w:t>
      </w:r>
      <w:bookmarkEnd w:id="1343"/>
      <w:bookmarkEnd w:id="1344"/>
      <w:bookmarkEnd w:id="1345"/>
      <w:bookmarkEnd w:id="1346"/>
      <w:bookmarkEnd w:id="1347"/>
      <w:bookmarkEnd w:id="1348"/>
    </w:p>
    <w:p w14:paraId="197A86B1">
      <w:pPr>
        <w:spacing w:line="360" w:lineRule="auto"/>
        <w:ind w:firstLine="566"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 xml:space="preserve">1. </w:t>
      </w:r>
      <w:r>
        <w:rPr>
          <w:rFonts w:hint="eastAsia" w:ascii="仿宋" w:hAnsi="仿宋" w:eastAsia="仿宋" w:cs="宋体"/>
          <w:snapToGrid w:val="0"/>
          <w:color w:val="auto"/>
          <w:highlight w:val="none"/>
          <w:lang w:eastAsia="zh-CN"/>
        </w:rPr>
        <w:t>根据建设项目管理规范和本工程管理实际，本合同工程将实行社会化、专业化的管理模式。发包人将授权建设管理单位对项目进行管理，承包人需服从建设管理单位的相关管理。发包人将授权监理单位依据有关法律法规、规范和合同，充分行使其严格控制工程进度与投资以及进行合同、信息管理和协调处理现场等有关工程问题的权利，确保工程质量与安全。</w:t>
      </w:r>
    </w:p>
    <w:p w14:paraId="20DDD0C9">
      <w:pPr>
        <w:spacing w:line="360" w:lineRule="auto"/>
        <w:ind w:firstLine="566"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 xml:space="preserve">2. </w:t>
      </w:r>
      <w:r>
        <w:rPr>
          <w:rFonts w:hint="eastAsia" w:ascii="仿宋" w:hAnsi="仿宋" w:eastAsia="仿宋" w:cs="宋体"/>
          <w:snapToGrid w:val="0"/>
          <w:color w:val="auto"/>
          <w:highlight w:val="none"/>
          <w:lang w:eastAsia="zh-CN"/>
        </w:rPr>
        <w:t>发包人通过监理单位下达指令，监督承包人履约行为，承包人所有请求事项由监理单位协调并一般均通过监理单位接受或提出处理意见（发包人有特别要求和规定的除外）。</w:t>
      </w:r>
    </w:p>
    <w:p w14:paraId="4A35DA70">
      <w:pPr>
        <w:spacing w:line="360" w:lineRule="auto"/>
        <w:ind w:firstLine="566"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 xml:space="preserve">3. </w:t>
      </w:r>
      <w:r>
        <w:rPr>
          <w:rFonts w:hint="eastAsia" w:ascii="仿宋" w:hAnsi="仿宋" w:eastAsia="仿宋" w:cs="宋体"/>
          <w:snapToGrid w:val="0"/>
          <w:color w:val="auto"/>
          <w:highlight w:val="none"/>
          <w:lang w:eastAsia="zh-CN"/>
        </w:rPr>
        <w:t>考虑到本工程的重要性，发包人将采取较为严密的组织管理形式，承包人需投入满足本项目需求的足够的人力、物力，以满足本工程施工需要。</w:t>
      </w:r>
    </w:p>
    <w:p w14:paraId="48613B8C">
      <w:pPr>
        <w:spacing w:line="360" w:lineRule="auto"/>
        <w:ind w:firstLine="566"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 xml:space="preserve">4. </w:t>
      </w:r>
      <w:r>
        <w:rPr>
          <w:rFonts w:hint="eastAsia" w:ascii="仿宋" w:hAnsi="仿宋" w:eastAsia="仿宋" w:cs="宋体"/>
          <w:snapToGrid w:val="0"/>
          <w:color w:val="auto"/>
          <w:highlight w:val="none"/>
          <w:lang w:eastAsia="zh-CN"/>
        </w:rPr>
        <w:t>发包人根据工程推进实际情况，有权要求承包人的分管生产安全的副总经理（分公司级别以上）必须常驻施工现场；同时建立承包人项目集团分管领导月度协调管理制度，协调各种事项。</w:t>
      </w:r>
    </w:p>
    <w:p w14:paraId="25912C45">
      <w:pPr>
        <w:spacing w:line="360" w:lineRule="auto"/>
        <w:ind w:firstLine="566"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 xml:space="preserve">5. </w:t>
      </w:r>
      <w:r>
        <w:rPr>
          <w:rFonts w:hint="eastAsia" w:ascii="仿宋" w:hAnsi="仿宋" w:eastAsia="仿宋" w:cs="宋体"/>
          <w:snapToGrid w:val="0"/>
          <w:color w:val="auto"/>
          <w:highlight w:val="none"/>
          <w:lang w:eastAsia="zh-CN"/>
        </w:rPr>
        <w:t>为保证本工程建设有序、规范和顺利进行，承包人必须主动支持并配合发包人工作，对发包人的指令和书面通知，若无正当理由又未提前向发包人报告并得到书面认可，而公开或变相拒不执行的，且因承包人原因造成工程建设受到影响或损失的，应按专用条款第</w:t>
      </w:r>
      <w:r>
        <w:rPr>
          <w:rFonts w:ascii="仿宋" w:hAnsi="仿宋" w:eastAsia="仿宋" w:cs="宋体"/>
          <w:snapToGrid w:val="0"/>
          <w:color w:val="auto"/>
          <w:highlight w:val="none"/>
          <w:lang w:eastAsia="zh-CN"/>
        </w:rPr>
        <w:t>95.</w:t>
      </w:r>
      <w:r>
        <w:rPr>
          <w:rFonts w:hint="eastAsia" w:ascii="仿宋" w:hAnsi="仿宋" w:eastAsia="仿宋" w:cs="宋体"/>
          <w:snapToGrid w:val="0"/>
          <w:color w:val="auto"/>
          <w:highlight w:val="none"/>
          <w:lang w:eastAsia="zh-CN"/>
        </w:rPr>
        <w:t>2</w:t>
      </w:r>
      <w:r>
        <w:rPr>
          <w:rFonts w:ascii="仿宋" w:hAnsi="仿宋" w:eastAsia="仿宋" w:cs="宋体"/>
          <w:snapToGrid w:val="0"/>
          <w:color w:val="auto"/>
          <w:highlight w:val="none"/>
          <w:lang w:eastAsia="zh-CN"/>
        </w:rPr>
        <w:t>款的约定承担违约责任并赔偿由此造成发包人的一切经济损失。</w:t>
      </w:r>
    </w:p>
    <w:p w14:paraId="2E6EBB34">
      <w:pPr>
        <w:spacing w:line="360" w:lineRule="auto"/>
        <w:ind w:firstLine="566"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 xml:space="preserve">6. </w:t>
      </w:r>
      <w:r>
        <w:rPr>
          <w:rFonts w:hint="eastAsia" w:ascii="仿宋" w:hAnsi="仿宋" w:eastAsia="仿宋" w:cs="宋体"/>
          <w:snapToGrid w:val="0"/>
          <w:color w:val="auto"/>
          <w:highlight w:val="none"/>
          <w:lang w:eastAsia="zh-CN"/>
        </w:rPr>
        <w:t>承包人承诺遵守发包人所制定的针对本工程管理的各项制度、规定，这些管理制度、规定必须符合下列原则：</w:t>
      </w:r>
    </w:p>
    <w:p w14:paraId="0E7E6489">
      <w:pPr>
        <w:spacing w:line="360" w:lineRule="auto"/>
        <w:ind w:firstLine="566"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1）符合国家、广东省、广州市的有关法律法规、规范和标准；</w:t>
      </w:r>
    </w:p>
    <w:p w14:paraId="3AF735A0">
      <w:pPr>
        <w:spacing w:line="360" w:lineRule="auto"/>
        <w:ind w:firstLine="566" w:firstLineChars="236"/>
        <w:rPr>
          <w:color w:val="auto"/>
          <w:highlight w:val="none"/>
          <w:lang w:eastAsia="zh-CN"/>
        </w:rPr>
      </w:pPr>
      <w:r>
        <w:rPr>
          <w:rFonts w:hint="eastAsia" w:ascii="仿宋" w:hAnsi="仿宋" w:eastAsia="仿宋" w:cs="宋体"/>
          <w:snapToGrid w:val="0"/>
          <w:color w:val="auto"/>
          <w:highlight w:val="none"/>
          <w:lang w:eastAsia="zh-CN"/>
        </w:rPr>
        <w:t>（2</w:t>
      </w:r>
      <w:r>
        <w:rPr>
          <w:rFonts w:ascii="仿宋" w:hAnsi="仿宋" w:eastAsia="仿宋" w:cs="宋体"/>
          <w:snapToGrid w:val="0"/>
          <w:color w:val="auto"/>
          <w:highlight w:val="none"/>
          <w:lang w:eastAsia="zh-CN"/>
        </w:rPr>
        <w:t>）以按时完成工程目标而设立为基本准则。</w:t>
      </w:r>
    </w:p>
    <w:p w14:paraId="53FA012B">
      <w:pPr>
        <w:spacing w:line="360" w:lineRule="auto"/>
        <w:ind w:firstLine="566"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（3</w:t>
      </w:r>
      <w:r>
        <w:rPr>
          <w:rFonts w:ascii="仿宋" w:hAnsi="仿宋" w:eastAsia="仿宋" w:cs="宋体"/>
          <w:snapToGrid w:val="0"/>
          <w:color w:val="auto"/>
          <w:highlight w:val="none"/>
          <w:lang w:eastAsia="zh-CN"/>
        </w:rPr>
        <w:t>）符合对本工程进行有效管理的基本精神和要求；</w:t>
      </w:r>
    </w:p>
    <w:p w14:paraId="64314D89">
      <w:pPr>
        <w:spacing w:line="360" w:lineRule="auto"/>
        <w:ind w:firstLine="566"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（4</w:t>
      </w:r>
      <w:r>
        <w:rPr>
          <w:rFonts w:ascii="仿宋" w:hAnsi="仿宋" w:eastAsia="仿宋" w:cs="宋体"/>
          <w:snapToGrid w:val="0"/>
          <w:color w:val="auto"/>
          <w:highlight w:val="none"/>
          <w:lang w:eastAsia="zh-CN"/>
        </w:rPr>
        <w:t>）为确保工程质量、进度、安全文明施工管理所必须；</w:t>
      </w:r>
    </w:p>
    <w:p w14:paraId="3EE1C037">
      <w:pPr>
        <w:spacing w:line="360" w:lineRule="auto"/>
        <w:ind w:firstLine="566"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（5</w:t>
      </w:r>
      <w:r>
        <w:rPr>
          <w:rFonts w:ascii="仿宋" w:hAnsi="仿宋" w:eastAsia="仿宋" w:cs="宋体"/>
          <w:snapToGrid w:val="0"/>
          <w:color w:val="auto"/>
          <w:highlight w:val="none"/>
          <w:lang w:eastAsia="zh-CN"/>
        </w:rPr>
        <w:t>）不是针对某一特定的承包人；</w:t>
      </w:r>
    </w:p>
    <w:p w14:paraId="484D7B68">
      <w:pPr>
        <w:spacing w:line="360" w:lineRule="auto"/>
        <w:ind w:firstLine="566" w:firstLineChars="236"/>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7. 除非发包人代表在承包人发出的工程施工联系函或其他报告文件上签署明确意见，否则，发包人代表或其他人的签名仅表示其对该文件的签收，不能作为发包人的意见或结算依据。</w:t>
      </w:r>
    </w:p>
    <w:p w14:paraId="080C75DE">
      <w:pPr>
        <w:spacing w:line="360" w:lineRule="auto"/>
        <w:ind w:firstLine="566" w:firstLineChars="236"/>
        <w:rPr>
          <w:rFonts w:hint="eastAsia" w:ascii="仿宋" w:hAnsi="仿宋" w:eastAsia="仿宋" w:cs="宋体"/>
          <w:b/>
          <w:bCs/>
          <w:snapToGrid w:val="0"/>
          <w:color w:val="auto"/>
          <w:highlight w:val="none"/>
          <w:u w:val="single"/>
          <w:lang w:eastAsia="zh-CN"/>
        </w:rPr>
      </w:pPr>
      <w:r>
        <w:rPr>
          <w:rFonts w:hint="eastAsia" w:ascii="仿宋" w:hAnsi="仿宋" w:eastAsia="仿宋" w:cs="宋体"/>
          <w:snapToGrid w:val="0"/>
          <w:color w:val="auto"/>
          <w:highlight w:val="none"/>
          <w:lang w:eastAsia="zh-CN"/>
        </w:rPr>
        <w:t>8. 发包人代表、造价工程师、总监理工程师行使职权时发出的书面文件必须由其本人签名，只有项目章而没有本人签名的，该文件对发包人、承包人均没有约束力。</w:t>
      </w:r>
    </w:p>
    <w:p w14:paraId="1D153E73">
      <w:pPr>
        <w:tabs>
          <w:tab w:val="left" w:pos="312"/>
        </w:tabs>
        <w:spacing w:line="360" w:lineRule="auto"/>
        <w:ind w:firstLine="566" w:firstLineChars="236"/>
        <w:rPr>
          <w:color w:val="auto"/>
          <w:sz w:val="18"/>
          <w:szCs w:val="18"/>
          <w:highlight w:val="none"/>
          <w:lang w:eastAsia="zh-CN"/>
        </w:rPr>
      </w:pPr>
      <w:r>
        <w:rPr>
          <w:rFonts w:hint="eastAsia" w:ascii="仿宋" w:hAnsi="仿宋" w:eastAsia="仿宋" w:cs="宋体"/>
          <w:snapToGrid w:val="0"/>
          <w:color w:val="auto"/>
          <w:highlight w:val="none"/>
          <w:u w:val="single"/>
          <w:lang w:eastAsia="zh-CN"/>
        </w:rPr>
        <w:t>9. 本合同签订后或开工通知发出后，因征地拆迁、管线迁改等其他涉及非乙方原因，导致工程延期的，在乙方提出工程延期申请报告，经监理单位、甲方审批后，工期可以酌情顺延，但甲方不赔偿乙方任何损失。</w:t>
      </w:r>
    </w:p>
    <w:p w14:paraId="051DC4F6">
      <w:pPr>
        <w:ind w:firstLine="480" w:firstLineChars="200"/>
        <w:rPr>
          <w:rFonts w:ascii="仿宋" w:hAnsi="仿宋" w:eastAsia="仿宋"/>
          <w:b/>
          <w:bCs/>
          <w:color w:val="auto"/>
          <w:highlight w:val="none"/>
          <w:lang w:eastAsia="zh-CN"/>
        </w:rPr>
      </w:pPr>
      <w:r>
        <w:rPr>
          <w:rFonts w:ascii="仿宋" w:hAnsi="仿宋" w:eastAsia="仿宋"/>
          <w:i/>
          <w:iCs/>
          <w:color w:val="auto"/>
          <w:highlight w:val="none"/>
          <w:lang w:eastAsia="zh-CN"/>
        </w:rPr>
        <w:br w:type="page"/>
      </w:r>
    </w:p>
    <w:p w14:paraId="1A2AD03D">
      <w:pPr>
        <w:pStyle w:val="3"/>
        <w:tabs>
          <w:tab w:val="left" w:pos="420"/>
        </w:tabs>
        <w:spacing w:before="0" w:after="0" w:line="360" w:lineRule="auto"/>
        <w:rPr>
          <w:rFonts w:ascii="仿宋" w:hAnsi="仿宋" w:eastAsia="仿宋"/>
          <w:b w:val="0"/>
          <w:bCs w:val="0"/>
          <w:i w:val="0"/>
          <w:iCs w:val="0"/>
          <w:color w:val="auto"/>
          <w:sz w:val="24"/>
          <w:szCs w:val="24"/>
          <w:highlight w:val="none"/>
          <w:lang w:eastAsia="zh-CN"/>
        </w:rPr>
      </w:pPr>
      <w:bookmarkStart w:id="1352" w:name="_Toc11409"/>
      <w:bookmarkStart w:id="1353" w:name="_Toc23790"/>
      <w:bookmarkStart w:id="1354" w:name="_Toc155189164"/>
      <w:bookmarkStart w:id="1355" w:name="_Toc18214"/>
      <w:bookmarkStart w:id="1356" w:name="_Toc13418"/>
      <w:bookmarkStart w:id="1357" w:name="_Toc7560"/>
      <w:r>
        <w:rPr>
          <w:rFonts w:hint="eastAsia" w:ascii="仿宋" w:hAnsi="仿宋" w:eastAsia="仿宋" w:cs="仿宋"/>
          <w:b w:val="0"/>
          <w:bCs w:val="0"/>
          <w:i w:val="0"/>
          <w:iCs w:val="0"/>
          <w:color w:val="auto"/>
          <w:sz w:val="24"/>
          <w:szCs w:val="24"/>
          <w:highlight w:val="none"/>
          <w:lang w:eastAsia="zh-CN"/>
        </w:rPr>
        <w:t>1．  定义</w:t>
      </w:r>
      <w:bookmarkEnd w:id="1352"/>
      <w:bookmarkEnd w:id="1353"/>
      <w:bookmarkEnd w:id="1354"/>
      <w:bookmarkEnd w:id="1355"/>
      <w:bookmarkEnd w:id="1356"/>
      <w:bookmarkEnd w:id="1357"/>
    </w:p>
    <w:bookmarkEnd w:id="1349"/>
    <w:bookmarkEnd w:id="1350"/>
    <w:bookmarkEnd w:id="1351"/>
    <w:p w14:paraId="4700D3F2">
      <w:pPr>
        <w:autoSpaceDE w:val="0"/>
        <w:autoSpaceDN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1.3.16 利润：双方协商一致，通用条款1.3.1</w:t>
      </w:r>
      <w:r>
        <w:rPr>
          <w:rFonts w:ascii="仿宋" w:hAnsi="仿宋" w:eastAsia="仿宋" w:cs="仿宋"/>
          <w:color w:val="auto"/>
          <w:highlight w:val="none"/>
          <w:lang w:eastAsia="zh-CN"/>
        </w:rPr>
        <w:t>6</w:t>
      </w:r>
      <w:r>
        <w:rPr>
          <w:rFonts w:hint="eastAsia" w:ascii="仿宋" w:hAnsi="仿宋" w:eastAsia="仿宋" w:cs="仿宋"/>
          <w:color w:val="auto"/>
          <w:highlight w:val="none"/>
          <w:lang w:eastAsia="zh-CN"/>
        </w:rPr>
        <w:t>款不适用本工程。</w:t>
      </w:r>
    </w:p>
    <w:p w14:paraId="4E5880DA">
      <w:pPr>
        <w:autoSpaceDE w:val="0"/>
        <w:autoSpaceDN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1.8.5 单项工程</w:t>
      </w:r>
    </w:p>
    <w:p w14:paraId="3E065676">
      <w:pPr>
        <w:autoSpaceDE w:val="0"/>
        <w:autoSpaceDN w:val="0"/>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名称：</w:t>
      </w:r>
      <w:r>
        <w:rPr>
          <w:rFonts w:hint="eastAsia" w:ascii="仿宋" w:hAnsi="仿宋" w:eastAsia="仿宋" w:cs="仿宋"/>
          <w:color w:val="auto"/>
          <w:highlight w:val="none"/>
          <w:u w:val="single"/>
          <w:lang w:eastAsia="zh-CN"/>
        </w:rPr>
        <w:t xml:space="preserve"> 详见协议书。                                       </w:t>
      </w:r>
    </w:p>
    <w:p w14:paraId="59664A1D">
      <w:pPr>
        <w:autoSpaceDE w:val="0"/>
        <w:autoSpaceDN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内容：</w:t>
      </w:r>
      <w:r>
        <w:rPr>
          <w:rFonts w:hint="eastAsia" w:ascii="仿宋" w:hAnsi="仿宋" w:eastAsia="仿宋" w:cs="仿宋"/>
          <w:color w:val="auto"/>
          <w:highlight w:val="none"/>
          <w:u w:val="single"/>
          <w:lang w:eastAsia="zh-CN"/>
        </w:rPr>
        <w:t xml:space="preserve"> 详见协议书。                                       </w:t>
      </w:r>
    </w:p>
    <w:p w14:paraId="7373EB52">
      <w:pPr>
        <w:autoSpaceDE w:val="0"/>
        <w:autoSpaceDN w:val="0"/>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范围：</w:t>
      </w:r>
      <w:r>
        <w:rPr>
          <w:rFonts w:hint="eastAsia" w:ascii="仿宋" w:hAnsi="仿宋" w:eastAsia="仿宋" w:cs="仿宋"/>
          <w:color w:val="auto"/>
          <w:highlight w:val="none"/>
          <w:u w:val="single"/>
          <w:lang w:eastAsia="zh-CN"/>
        </w:rPr>
        <w:t xml:space="preserve"> 详见协议书。                                       </w:t>
      </w:r>
    </w:p>
    <w:p w14:paraId="0871C439">
      <w:pPr>
        <w:autoSpaceDE w:val="0"/>
        <w:autoSpaceDN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1.10.7 所采用的书面形式包括：</w:t>
      </w:r>
    </w:p>
    <w:p w14:paraId="31E5DD6E">
      <w:pPr>
        <w:autoSpaceDE w:val="0"/>
        <w:autoSpaceDN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合同文件；</w:t>
      </w:r>
    </w:p>
    <w:p w14:paraId="6335AEB8">
      <w:pPr>
        <w:autoSpaceDE w:val="0"/>
        <w:autoSpaceDN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信函；</w:t>
      </w:r>
    </w:p>
    <w:p w14:paraId="633FCC55">
      <w:pPr>
        <w:autoSpaceDE w:val="0"/>
        <w:autoSpaceDN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电报；</w:t>
      </w:r>
    </w:p>
    <w:p w14:paraId="5507BD83">
      <w:pPr>
        <w:autoSpaceDE w:val="0"/>
        <w:autoSpaceDN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传真；</w:t>
      </w:r>
    </w:p>
    <w:p w14:paraId="32769529">
      <w:pPr>
        <w:autoSpaceDE w:val="0"/>
        <w:autoSpaceDN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会议纪要；</w:t>
      </w:r>
    </w:p>
    <w:p w14:paraId="33A7C13B">
      <w:pPr>
        <w:autoSpaceDE w:val="0"/>
        <w:autoSpaceDN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电子邮件；</w:t>
      </w:r>
    </w:p>
    <w:p w14:paraId="597E8E27">
      <w:pPr>
        <w:autoSpaceDE w:val="0"/>
        <w:autoSpaceDN w:val="0"/>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其他：</w:t>
      </w:r>
      <w:r>
        <w:rPr>
          <w:rFonts w:hint="eastAsia" w:ascii="仿宋" w:hAnsi="仿宋" w:eastAsia="仿宋" w:cs="仿宋"/>
          <w:color w:val="auto"/>
          <w:highlight w:val="none"/>
          <w:u w:val="single"/>
          <w:lang w:eastAsia="zh-CN"/>
        </w:rPr>
        <w:t xml:space="preserve">  快递/EMS等      </w:t>
      </w:r>
    </w:p>
    <w:p w14:paraId="7760E685">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1.10.9 承包人违约的定义及分类</w:t>
      </w:r>
    </w:p>
    <w:p w14:paraId="1F2776D9">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（1）承包人违约责任的定义：指合同承包人不履行或不完全履行合同约定的义务或者履行义务不符合合同约定所应承担的责任。</w:t>
      </w:r>
    </w:p>
    <w:p w14:paraId="413B408B">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（2）承包人违约的分类及处理方式</w:t>
      </w:r>
    </w:p>
    <w:p w14:paraId="2D43A9B1">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w:t>
      </w:r>
      <w:r>
        <w:rPr>
          <w:rFonts w:hint="eastAsia" w:ascii="仿宋" w:hAnsi="仿宋" w:eastAsia="仿宋"/>
          <w:b/>
          <w:bCs/>
          <w:color w:val="auto"/>
          <w:highlight w:val="none"/>
          <w:lang w:eastAsia="zh-CN"/>
        </w:rPr>
        <w:t>一般违约责任。</w:t>
      </w:r>
      <w:r>
        <w:rPr>
          <w:rFonts w:hint="eastAsia" w:ascii="仿宋" w:hAnsi="仿宋" w:eastAsia="仿宋"/>
          <w:color w:val="auto"/>
          <w:highlight w:val="none"/>
          <w:lang w:eastAsia="zh-CN"/>
        </w:rPr>
        <w:t>指虽然违反本合同的约定，但其违约行为不对本合同的履行造成严重影响而应承担的责任。违约处理方式：</w:t>
      </w:r>
      <w:r>
        <w:rPr>
          <w:rFonts w:hint="eastAsia" w:ascii="仿宋" w:hAnsi="仿宋" w:eastAsia="仿宋"/>
          <w:b/>
          <w:bCs/>
          <w:color w:val="auto"/>
          <w:highlight w:val="none"/>
          <w:u w:val="single"/>
          <w:lang w:eastAsia="zh-CN"/>
        </w:rPr>
        <w:t>承担10000元（含税）/次的违约处罚</w:t>
      </w:r>
      <w:r>
        <w:rPr>
          <w:rFonts w:hint="eastAsia" w:ascii="仿宋" w:hAnsi="仿宋" w:eastAsia="仿宋"/>
          <w:color w:val="auto"/>
          <w:highlight w:val="none"/>
          <w:lang w:eastAsia="zh-CN"/>
        </w:rPr>
        <w:t>，书面警告限期改正。</w:t>
      </w:r>
    </w:p>
    <w:p w14:paraId="1FCCA8C3">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w:t>
      </w:r>
      <w:r>
        <w:rPr>
          <w:rFonts w:hint="eastAsia" w:ascii="仿宋" w:hAnsi="仿宋" w:eastAsia="仿宋"/>
          <w:b/>
          <w:bCs/>
          <w:color w:val="auto"/>
          <w:highlight w:val="none"/>
          <w:lang w:eastAsia="zh-CN"/>
        </w:rPr>
        <w:t>较大违约责任。</w:t>
      </w:r>
      <w:r>
        <w:rPr>
          <w:rFonts w:hint="eastAsia" w:ascii="仿宋" w:hAnsi="仿宋" w:eastAsia="仿宋"/>
          <w:color w:val="auto"/>
          <w:highlight w:val="none"/>
          <w:lang w:eastAsia="zh-CN"/>
        </w:rPr>
        <w:t>指违反本合同的约定且其违约行为足以对本合同的履行造成较大或较实质性的影响而应承担的责任。违约处理方式：</w:t>
      </w:r>
      <w:r>
        <w:rPr>
          <w:rFonts w:hint="eastAsia" w:ascii="仿宋" w:hAnsi="仿宋" w:eastAsia="仿宋"/>
          <w:b/>
          <w:bCs/>
          <w:color w:val="auto"/>
          <w:highlight w:val="none"/>
          <w:u w:val="single"/>
          <w:lang w:eastAsia="zh-CN"/>
        </w:rPr>
        <w:t>承担50000元（含税）/次的违约处罚</w:t>
      </w:r>
      <w:r>
        <w:rPr>
          <w:rFonts w:hint="eastAsia" w:ascii="仿宋" w:hAnsi="仿宋" w:eastAsia="仿宋"/>
          <w:color w:val="auto"/>
          <w:highlight w:val="none"/>
          <w:lang w:eastAsia="zh-CN"/>
        </w:rPr>
        <w:t>，书面警告限期改正。</w:t>
      </w:r>
    </w:p>
    <w:p w14:paraId="3BA6986A">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w:t>
      </w:r>
      <w:r>
        <w:rPr>
          <w:rFonts w:hint="eastAsia" w:ascii="仿宋" w:hAnsi="仿宋" w:eastAsia="仿宋"/>
          <w:b/>
          <w:bCs/>
          <w:color w:val="auto"/>
          <w:highlight w:val="none"/>
          <w:lang w:eastAsia="zh-CN"/>
        </w:rPr>
        <w:t>严重违约责任。</w:t>
      </w:r>
      <w:r>
        <w:rPr>
          <w:rFonts w:hint="eastAsia" w:ascii="仿宋" w:hAnsi="仿宋" w:eastAsia="仿宋"/>
          <w:color w:val="auto"/>
          <w:highlight w:val="none"/>
          <w:lang w:eastAsia="zh-CN"/>
        </w:rPr>
        <w:t>指违反本合同的约定且其违约行为足以对本合同的履行造成严重或实质性的影响而应承担的责任。违约处理方式：</w:t>
      </w:r>
      <w:r>
        <w:rPr>
          <w:rFonts w:hint="eastAsia" w:ascii="仿宋" w:hAnsi="仿宋" w:eastAsia="仿宋"/>
          <w:b/>
          <w:bCs/>
          <w:color w:val="auto"/>
          <w:highlight w:val="none"/>
          <w:u w:val="single"/>
          <w:lang w:eastAsia="zh-CN"/>
        </w:rPr>
        <w:t>承担250000元（含税）/次的违约处罚</w:t>
      </w:r>
      <w:r>
        <w:rPr>
          <w:rFonts w:hint="eastAsia" w:ascii="仿宋" w:hAnsi="仿宋" w:eastAsia="仿宋"/>
          <w:color w:val="auto"/>
          <w:highlight w:val="none"/>
          <w:lang w:eastAsia="zh-CN"/>
        </w:rPr>
        <w:t>，书面警告限期改正。</w:t>
      </w:r>
    </w:p>
    <w:p w14:paraId="42248001">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4）根本违约责任。指违反本合同的约定且其违约行为造成本合同无法履行而应承担的责任。违约处理方式包括：</w:t>
      </w:r>
    </w:p>
    <w:p w14:paraId="4DDEBB8C">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①部分解除合同。当承包人违反本合同的约定达到部分解除合同的条件或发生法律规定的其他可解除情形时，发包人有权向承包人发出部分解除合同的书面通知，该通知在送达承包人时立即生效。承包人应在该通知生效之日起五天内向发包人支付解除部分的合同价款的20%作为违约金，因违约而造成发包人损失的，承包人还应对全部损失予以赔偿。同时，承包人必须在通知生效之日起三天内停止被解除部分的工作，通知生效之日起五天内配合发包人完成现场工作和有关资料的交接，所交接资料必须完整且满足发包人要求。承包人无特殊原因未在规定期限内完成移交和撤出，或交接资料不完整的，发包人有权自行处理其留在现场的材料、设备和其他物件，处理费用由承包人承担，并且，发包人有权视情况全部解除合同；发包人在发出部分解除合同的书面通知后，发包人即可委托新的乙方承接该部分工程。因承包人拒交或延误交接现场工作和有关资料导致甲方工期延误及其它方面损失的，发包人有权要求承包人赔偿相关损失。</w:t>
      </w:r>
    </w:p>
    <w:p w14:paraId="031CEAF8">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②解除合同。当承包人违反本合同相关约定符合解除合同的条件时，发包人有权向承包人发出书面解除合同的通知，该通知在送达承包人时即生效。给发包人造成损失的，承包人应赔偿发包人的全部损失。同时，承包人必须在通知生效之日起三天内停止全部工作，通知生效之日起五天内配合发包人完成现场工作和有关资料的交接，并于完成交接工作当天内离场。承包人应在该通知生效之日起五天内，向发包人支付本合同价款的20%作为违约金。承包人应保证所移交的资料齐全完整且满足发包人要求，承包方无特殊原因未在规定期限内完成移交和离场或所移交的资料不完整的，发包人有权自行处理其留在现场的材料、设备和其他物件，处理费用由承包人承担，如果导致发包人工期延误和其他方面的损失，发包人将要求承包人赔偿相关损失。发包人在发出解除合同的通知后，发包人即可委托新的乙方承接该工程。同时，承包人不得影响或阻碍新的乙方办理进场手续和相关工作。</w:t>
      </w:r>
    </w:p>
    <w:p w14:paraId="0D308190">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（3）其他说明</w:t>
      </w:r>
    </w:p>
    <w:p w14:paraId="2D23EBC5">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1）承包人按本合同约定应缴纳的违约金和赔偿金应分别计算。违约金累计总额不超过本合同结算价款的25%；</w:t>
      </w:r>
    </w:p>
    <w:p w14:paraId="7E11061D">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赔偿损失：因承包人原因造成发包人经济损失的，承包人应赔偿发包人的经济损失，除承担上述违约责任外，承包人还应根据合同约定赔偿损失，本合同所约定的全部损失包括但不限于直接损失、间接损失、诉讼费、保全费、担保费、律师费、鉴定费、差旅费等各项费用，损失金额上限不超过本合同结算价；</w:t>
      </w:r>
    </w:p>
    <w:p w14:paraId="1635FE61">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3）在本合同有效期内：</w:t>
      </w:r>
    </w:p>
    <w:p w14:paraId="31176296">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①承包人因同一事项承担一般违约责任处罚累计达3次的，另行追加较大违约责任处罚1次；</w:t>
      </w:r>
    </w:p>
    <w:p w14:paraId="2C4DD2DE">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②承包人因同一事项承担较大违约责任处罚累计达3次的，另行追加严重违约责任处罚1次；</w:t>
      </w:r>
    </w:p>
    <w:p w14:paraId="0E969FE8">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③承包人因同一事项承担严重违约责任处罚累计达3次的，发包人有权单方面部分解除合同或解除合同而不承担违约责任。</w:t>
      </w:r>
    </w:p>
    <w:p w14:paraId="69423043">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承包人按本合同约定应交纳的违约金和赔偿金属于专用条款第95.5款“工程质量方面的违约责任”、第95.6款“安全生产方面的违约责任”的，承包人应当按违约处罚决定确定的时间向发包人交纳，否则，发包人有权从应支付给承包人的工程款中直接扣除。</w:t>
      </w:r>
    </w:p>
    <w:p w14:paraId="59C02184">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承包人按本合同约定应交纳的违约金和赔偿金属于专用条款第95.5款、第95.6款约定以外的其他违约责任的，发包人可决定暂不收取违约金和赔偿金，作为对承包人享有的应收款项债权，发包人将根据承包人履行合同的实际情况随时通知承包人交纳或在工程结算时予以扣除。相关违约责任对合同的履行未造成实质性影响的，或承包人在合同后续履行过程中已采取足够措施来弥补违约责任造成的损失的，由承包人提出申请，经监理单位、发包人批准后，可予以免除。</w:t>
      </w:r>
    </w:p>
    <w:p w14:paraId="255732D5">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1.10.10 安全事故等级[《住房城乡建设部关于印发〈房屋市政工程生产安全事故报告和查处工作规程〉的通知》（建质[2013]4号）]：</w:t>
      </w:r>
    </w:p>
    <w:p w14:paraId="4887DEA8">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（1）特别重大事故，是指造成30人以上死亡，或者100人以上重伤，或者1亿元以上直接经济损失的事故；</w:t>
      </w:r>
    </w:p>
    <w:p w14:paraId="14952ADE">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（2）重大事故，是指造成10人以上30人以下死亡，或者50人以上100人以下重伤，或者5000万元以上1亿元以下直接经济损失的事故；</w:t>
      </w:r>
    </w:p>
    <w:p w14:paraId="1E57E12F">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（3）较大事故，是指造成3人以上10人以下死亡，或者10人以上50人以下重伤，或者1000万元以上5000万元以下直接经济损失的事故；</w:t>
      </w:r>
    </w:p>
    <w:p w14:paraId="7B1AA7EA">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（4）一般事故，是指造成3人以下死亡，或者10人以下重伤，或者100万元以上1000万元以下直接经济损失的事故。</w:t>
      </w:r>
    </w:p>
    <w:p w14:paraId="7EF75F9C">
      <w:pPr>
        <w:autoSpaceDE w:val="0"/>
        <w:autoSpaceDN w:val="0"/>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上述所称的“以上”包括本数，所称的“以下”不包括本数。</w:t>
      </w:r>
    </w:p>
    <w:p w14:paraId="32D49B57">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1.10.11 质量事故等级[《关于做好房屋建筑和市政基础设施工程质量事故报告和调查处理工作的通知》（建质[2010]111号）]：</w:t>
      </w:r>
    </w:p>
    <w:p w14:paraId="02F32FA7">
      <w:pPr>
        <w:autoSpaceDE w:val="0"/>
        <w:autoSpaceDN w:val="0"/>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根据工程质量事故造成的人员伤亡或者直接经济损失，工程质量事故分为4个等级：</w:t>
      </w:r>
    </w:p>
    <w:p w14:paraId="04839A8C">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 xml:space="preserve">（1）特别重大事故，是指造成30人以上死亡，或者100人以上重伤，或者1亿元以上直接经济损失的事故； </w:t>
      </w:r>
    </w:p>
    <w:p w14:paraId="45AF1BC8">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（2）重大事故，是指造成10人以上30人以下死亡，或者50人以上100人以下重伤，或者5000万元以上1亿元以下直接经济损失的事故；</w:t>
      </w:r>
    </w:p>
    <w:p w14:paraId="6675B5E5">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（3）较大事故，是指造成3人以上10人以下死亡，或者10人以上50人以下重伤，或者1000万元以上5000万元以下直接经济损失的事故；</w:t>
      </w:r>
    </w:p>
    <w:p w14:paraId="7F4EF657">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（4）一般事故，是指造成3人以下死亡，或者10人以下重伤，或者100万元以上1000万元以下直接经济损失的事故。</w:t>
      </w:r>
    </w:p>
    <w:p w14:paraId="487EB606">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本等级划分所称的“以上”包括本数，所称的“以下”不包括本数。</w:t>
      </w:r>
    </w:p>
    <w:p w14:paraId="258C2CEA">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1.10.12 暂列金额：用于在招标时尚未确定或不可预见变更的设计、施工及其所需材料、工程设备、服务等的金额，使用范围按相关文件规定执行。</w:t>
      </w:r>
    </w:p>
    <w:p w14:paraId="4312B753">
      <w:pPr>
        <w:autoSpaceDE w:val="0"/>
        <w:autoSpaceDN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lang w:eastAsia="zh-CN"/>
        </w:rPr>
        <w:t>建筑安装工程费可调整事项费用经审批后使用预备费支付的，以预备费总额为限。</w:t>
      </w:r>
    </w:p>
    <w:p w14:paraId="3891730B">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1.10.13 重大变更：根据发包人的相关规定执行。</w:t>
      </w:r>
    </w:p>
    <w:p w14:paraId="504A0BD7">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1.10.14 质量验收：市或地区住建局属下的质量监督部门按相关法律法规，对整体工程进行验收，并颁发《竣工联合验收意见书》（以相关部门/单位出具的最终文件名称为准）。</w:t>
      </w:r>
    </w:p>
    <w:p w14:paraId="2406B3CC">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1.10.15 档案验收：工程竣工资料通过工程所在地档案馆验收，并取得《建设工程档案专项验收意见书》。</w:t>
      </w:r>
    </w:p>
    <w:p w14:paraId="67D2DBDF">
      <w:pPr>
        <w:autoSpaceDE w:val="0"/>
        <w:autoSpaceDN w:val="0"/>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olor w:val="auto"/>
          <w:highlight w:val="none"/>
          <w:lang w:eastAsia="zh-CN"/>
        </w:rPr>
        <w:t>1.10.16 本工程综合考评委员会：指在本工程建设期间，由发包人组建的、代表发包人对各参建单位合同履约情况进行考核的机构。</w:t>
      </w:r>
    </w:p>
    <w:p w14:paraId="16E8C4C7">
      <w:pPr>
        <w:pStyle w:val="3"/>
        <w:tabs>
          <w:tab w:val="left" w:pos="420"/>
        </w:tabs>
        <w:spacing w:line="360" w:lineRule="auto"/>
        <w:rPr>
          <w:rFonts w:hint="eastAsia" w:ascii="仿宋" w:hAnsi="仿宋" w:eastAsia="仿宋" w:cs="仿宋"/>
          <w:b w:val="0"/>
          <w:bCs w:val="0"/>
          <w:i w:val="0"/>
          <w:iCs w:val="0"/>
          <w:color w:val="auto"/>
          <w:sz w:val="24"/>
          <w:szCs w:val="24"/>
          <w:highlight w:val="none"/>
          <w:lang w:eastAsia="zh-CN"/>
        </w:rPr>
      </w:pPr>
      <w:bookmarkStart w:id="1358" w:name="_Toc17820"/>
      <w:bookmarkStart w:id="1359" w:name="_Toc11152"/>
      <w:bookmarkStart w:id="1360" w:name="_Toc27046"/>
      <w:bookmarkStart w:id="1361" w:name="_Toc21565"/>
      <w:bookmarkStart w:id="1362" w:name="_Toc16011"/>
      <w:bookmarkStart w:id="1363" w:name="_Toc47694385"/>
      <w:bookmarkStart w:id="1364" w:name="_Toc30270"/>
      <w:bookmarkStart w:id="1365" w:name="_Toc4496"/>
      <w:r>
        <w:rPr>
          <w:rFonts w:hint="eastAsia" w:ascii="仿宋" w:hAnsi="仿宋" w:eastAsia="仿宋" w:cs="仿宋"/>
          <w:b w:val="0"/>
          <w:bCs w:val="0"/>
          <w:i w:val="0"/>
          <w:iCs w:val="0"/>
          <w:color w:val="auto"/>
          <w:sz w:val="24"/>
          <w:szCs w:val="24"/>
          <w:highlight w:val="none"/>
          <w:lang w:eastAsia="zh-CN"/>
        </w:rPr>
        <w:t>2．  合同文件及解释</w:t>
      </w:r>
      <w:bookmarkEnd w:id="1358"/>
      <w:bookmarkEnd w:id="1359"/>
      <w:bookmarkEnd w:id="1360"/>
      <w:bookmarkEnd w:id="1361"/>
      <w:bookmarkEnd w:id="1362"/>
      <w:bookmarkEnd w:id="1363"/>
      <w:bookmarkEnd w:id="1364"/>
      <w:bookmarkEnd w:id="1365"/>
    </w:p>
    <w:p w14:paraId="76698C07">
      <w:pPr>
        <w:spacing w:line="360" w:lineRule="auto"/>
        <w:rPr>
          <w:rFonts w:hint="eastAsia" w:ascii="仿宋" w:hAnsi="仿宋" w:eastAsia="仿宋" w:cs="仿宋"/>
          <w:color w:val="auto"/>
          <w:highlight w:val="none"/>
          <w:lang w:eastAsia="zh-CN"/>
        </w:rPr>
      </w:pPr>
      <w:bookmarkStart w:id="1366" w:name="_Toc20134"/>
      <w:r>
        <w:rPr>
          <w:rFonts w:hint="eastAsia" w:ascii="仿宋" w:hAnsi="仿宋" w:eastAsia="仿宋" w:cs="仿宋"/>
          <w:color w:val="auto"/>
          <w:highlight w:val="none"/>
          <w:lang w:eastAsia="zh-CN"/>
        </w:rPr>
        <w:t>2.2 合同文件组成及优先顺序</w:t>
      </w:r>
      <w:bookmarkEnd w:id="1366"/>
    </w:p>
    <w:p w14:paraId="012F4EF2">
      <w:pPr>
        <w:pStyle w:val="23"/>
        <w:tabs>
          <w:tab w:val="left" w:pos="1320"/>
        </w:tabs>
        <w:spacing w:line="360" w:lineRule="auto"/>
        <w:ind w:left="2" w:leftChars="1" w:firstLine="480" w:firstLineChars="200"/>
        <w:rPr>
          <w:rFonts w:ascii="仿宋" w:hAnsi="仿宋" w:eastAsia="仿宋"/>
          <w:color w:val="auto"/>
          <w:sz w:val="24"/>
          <w:szCs w:val="24"/>
          <w:highlight w:val="none"/>
          <w:lang w:eastAsia="zh-CN"/>
        </w:rPr>
      </w:pPr>
      <w:bookmarkStart w:id="1367" w:name="_Toc47694386"/>
      <w:r>
        <w:rPr>
          <w:rFonts w:ascii="仿宋" w:hAnsi="仿宋" w:eastAsia="仿宋"/>
          <w:color w:val="auto"/>
          <w:sz w:val="24"/>
          <w:szCs w:val="24"/>
          <w:highlight w:val="none"/>
          <w:lang w:eastAsia="zh-CN"/>
        </w:rPr>
        <w:t>下列组成本合同的文件是一个合同整体，彼此应能相互解释，互为说明。当出现相互矛盾时，组成本合同文件的优先解释顺序如下：</w:t>
      </w:r>
    </w:p>
    <w:p w14:paraId="7EAFE186">
      <w:pPr>
        <w:pStyle w:val="23"/>
        <w:spacing w:line="360" w:lineRule="auto"/>
        <w:ind w:firstLine="376" w:firstLineChars="157"/>
        <w:rPr>
          <w:rFonts w:ascii="仿宋" w:hAnsi="仿宋" w:eastAsia="仿宋"/>
          <w:color w:val="auto"/>
          <w:sz w:val="24"/>
          <w:szCs w:val="24"/>
          <w:highlight w:val="none"/>
          <w:lang w:eastAsia="zh-CN"/>
        </w:rPr>
      </w:pPr>
      <w:r>
        <w:rPr>
          <w:rFonts w:ascii="仿宋" w:hAnsi="仿宋" w:eastAsia="仿宋"/>
          <w:color w:val="auto"/>
          <w:sz w:val="24"/>
          <w:szCs w:val="24"/>
          <w:highlight w:val="none"/>
          <w:lang w:eastAsia="zh-CN"/>
        </w:rPr>
        <w:t>（1）履行本合同的相关补充协议或修正文件；</w:t>
      </w:r>
    </w:p>
    <w:p w14:paraId="36C02A19">
      <w:pPr>
        <w:pStyle w:val="23"/>
        <w:spacing w:line="360" w:lineRule="auto"/>
        <w:ind w:firstLine="376" w:firstLineChars="157"/>
        <w:rPr>
          <w:rFonts w:ascii="仿宋" w:hAnsi="仿宋" w:eastAsia="仿宋"/>
          <w:color w:val="auto"/>
          <w:sz w:val="24"/>
          <w:szCs w:val="24"/>
          <w:highlight w:val="none"/>
          <w:lang w:eastAsia="zh-CN"/>
        </w:rPr>
      </w:pPr>
      <w:r>
        <w:rPr>
          <w:rFonts w:ascii="仿宋" w:hAnsi="仿宋" w:eastAsia="仿宋"/>
          <w:color w:val="auto"/>
          <w:sz w:val="24"/>
          <w:szCs w:val="24"/>
          <w:highlight w:val="none"/>
          <w:lang w:eastAsia="zh-CN"/>
        </w:rPr>
        <w:t>（2）本合同协议书；</w:t>
      </w:r>
    </w:p>
    <w:p w14:paraId="140BE044">
      <w:pPr>
        <w:pStyle w:val="23"/>
        <w:spacing w:line="360" w:lineRule="auto"/>
        <w:ind w:firstLine="376" w:firstLineChars="157"/>
        <w:rPr>
          <w:rFonts w:ascii="仿宋" w:hAnsi="仿宋" w:eastAsia="仿宋"/>
          <w:color w:val="auto"/>
          <w:sz w:val="24"/>
          <w:szCs w:val="24"/>
          <w:highlight w:val="none"/>
          <w:lang w:eastAsia="zh-CN"/>
        </w:rPr>
      </w:pPr>
      <w:r>
        <w:rPr>
          <w:rFonts w:ascii="仿宋" w:hAnsi="仿宋" w:eastAsia="仿宋"/>
          <w:color w:val="auto"/>
          <w:sz w:val="24"/>
          <w:szCs w:val="24"/>
          <w:highlight w:val="none"/>
          <w:lang w:eastAsia="zh-CN"/>
        </w:rPr>
        <w:t>（3）</w:t>
      </w:r>
      <w:r>
        <w:rPr>
          <w:rFonts w:hint="eastAsia" w:ascii="仿宋" w:hAnsi="仿宋" w:eastAsia="仿宋"/>
          <w:color w:val="auto"/>
          <w:sz w:val="24"/>
          <w:szCs w:val="24"/>
          <w:highlight w:val="none"/>
          <w:lang w:eastAsia="zh-CN"/>
        </w:rPr>
        <w:t>本合同</w:t>
      </w:r>
      <w:r>
        <w:rPr>
          <w:rFonts w:ascii="仿宋" w:hAnsi="仿宋" w:eastAsia="仿宋"/>
          <w:color w:val="auto"/>
          <w:sz w:val="24"/>
          <w:szCs w:val="24"/>
          <w:highlight w:val="none"/>
          <w:lang w:eastAsia="zh-CN"/>
        </w:rPr>
        <w:t>专用条款（含补充条款）；</w:t>
      </w:r>
    </w:p>
    <w:p w14:paraId="5D37A99A">
      <w:pPr>
        <w:pStyle w:val="23"/>
        <w:spacing w:line="360" w:lineRule="auto"/>
        <w:ind w:firstLine="376" w:firstLineChars="157"/>
        <w:rPr>
          <w:rFonts w:ascii="仿宋" w:hAnsi="仿宋" w:eastAsia="仿宋"/>
          <w:color w:val="auto"/>
          <w:sz w:val="24"/>
          <w:szCs w:val="24"/>
          <w:highlight w:val="none"/>
          <w:lang w:eastAsia="zh-CN"/>
        </w:rPr>
      </w:pPr>
      <w:r>
        <w:rPr>
          <w:rFonts w:ascii="仿宋" w:hAnsi="仿宋" w:eastAsia="仿宋"/>
          <w:color w:val="auto"/>
          <w:sz w:val="24"/>
          <w:szCs w:val="24"/>
          <w:highlight w:val="none"/>
          <w:lang w:eastAsia="zh-CN"/>
        </w:rPr>
        <w:t>（</w:t>
      </w:r>
      <w:r>
        <w:rPr>
          <w:rFonts w:hint="eastAsia" w:ascii="仿宋" w:hAnsi="仿宋" w:eastAsia="仿宋"/>
          <w:color w:val="auto"/>
          <w:sz w:val="24"/>
          <w:szCs w:val="24"/>
          <w:highlight w:val="none"/>
          <w:lang w:eastAsia="zh-CN"/>
        </w:rPr>
        <w:t>4</w:t>
      </w:r>
      <w:r>
        <w:rPr>
          <w:rFonts w:ascii="仿宋" w:hAnsi="仿宋" w:eastAsia="仿宋"/>
          <w:color w:val="auto"/>
          <w:sz w:val="24"/>
          <w:szCs w:val="24"/>
          <w:highlight w:val="none"/>
          <w:lang w:eastAsia="zh-CN"/>
        </w:rPr>
        <w:t>）发包人针对本工程管理的各项制度、规定；</w:t>
      </w:r>
    </w:p>
    <w:p w14:paraId="41C1F363">
      <w:pPr>
        <w:pStyle w:val="23"/>
        <w:spacing w:line="360" w:lineRule="auto"/>
        <w:ind w:firstLine="376" w:firstLineChars="157"/>
        <w:rPr>
          <w:rFonts w:ascii="仿宋" w:hAnsi="仿宋" w:eastAsia="仿宋"/>
          <w:color w:val="auto"/>
          <w:sz w:val="24"/>
          <w:szCs w:val="24"/>
          <w:highlight w:val="none"/>
          <w:lang w:eastAsia="zh-CN"/>
        </w:rPr>
      </w:pPr>
      <w:r>
        <w:rPr>
          <w:rFonts w:ascii="仿宋" w:hAnsi="仿宋" w:eastAsia="仿宋"/>
          <w:color w:val="auto"/>
          <w:sz w:val="24"/>
          <w:szCs w:val="24"/>
          <w:highlight w:val="none"/>
          <w:lang w:eastAsia="zh-CN"/>
        </w:rPr>
        <w:t>（</w:t>
      </w:r>
      <w:r>
        <w:rPr>
          <w:rFonts w:hint="eastAsia" w:ascii="仿宋" w:hAnsi="仿宋" w:eastAsia="仿宋"/>
          <w:color w:val="auto"/>
          <w:sz w:val="24"/>
          <w:szCs w:val="24"/>
          <w:highlight w:val="none"/>
          <w:lang w:eastAsia="zh-CN"/>
        </w:rPr>
        <w:t>5</w:t>
      </w:r>
      <w:r>
        <w:rPr>
          <w:rFonts w:ascii="仿宋" w:hAnsi="仿宋" w:eastAsia="仿宋"/>
          <w:color w:val="auto"/>
          <w:sz w:val="24"/>
          <w:szCs w:val="24"/>
          <w:highlight w:val="none"/>
          <w:lang w:eastAsia="zh-CN"/>
        </w:rPr>
        <w:t>）本合同附件；</w:t>
      </w:r>
    </w:p>
    <w:p w14:paraId="7ECC4367">
      <w:pPr>
        <w:pStyle w:val="23"/>
        <w:spacing w:line="360" w:lineRule="auto"/>
        <w:ind w:firstLine="376" w:firstLineChars="157"/>
        <w:rPr>
          <w:rFonts w:ascii="仿宋" w:hAnsi="仿宋" w:eastAsia="仿宋"/>
          <w:color w:val="auto"/>
          <w:sz w:val="24"/>
          <w:szCs w:val="24"/>
          <w:highlight w:val="none"/>
          <w:lang w:eastAsia="zh-CN"/>
        </w:rPr>
      </w:pPr>
      <w:r>
        <w:rPr>
          <w:rFonts w:ascii="仿宋" w:hAnsi="仿宋" w:eastAsia="仿宋"/>
          <w:color w:val="auto"/>
          <w:sz w:val="24"/>
          <w:szCs w:val="24"/>
          <w:highlight w:val="none"/>
          <w:lang w:eastAsia="zh-CN"/>
        </w:rPr>
        <w:t>（</w:t>
      </w:r>
      <w:r>
        <w:rPr>
          <w:rFonts w:hint="eastAsia" w:ascii="仿宋" w:hAnsi="仿宋" w:eastAsia="仿宋"/>
          <w:color w:val="auto"/>
          <w:sz w:val="24"/>
          <w:szCs w:val="24"/>
          <w:highlight w:val="none"/>
          <w:lang w:eastAsia="zh-CN"/>
        </w:rPr>
        <w:t>6</w:t>
      </w:r>
      <w:r>
        <w:rPr>
          <w:rFonts w:ascii="仿宋" w:hAnsi="仿宋" w:eastAsia="仿宋"/>
          <w:color w:val="auto"/>
          <w:sz w:val="24"/>
          <w:szCs w:val="24"/>
          <w:highlight w:val="none"/>
          <w:lang w:eastAsia="zh-CN"/>
        </w:rPr>
        <w:t>）本合同通用条款；</w:t>
      </w:r>
    </w:p>
    <w:p w14:paraId="2B170CA6">
      <w:pPr>
        <w:pStyle w:val="23"/>
        <w:spacing w:line="360" w:lineRule="auto"/>
        <w:ind w:firstLine="376" w:firstLineChars="157"/>
        <w:rPr>
          <w:rFonts w:ascii="仿宋" w:hAnsi="仿宋" w:eastAsia="仿宋"/>
          <w:color w:val="auto"/>
          <w:sz w:val="24"/>
          <w:szCs w:val="24"/>
          <w:highlight w:val="none"/>
          <w:lang w:eastAsia="zh-CN"/>
        </w:rPr>
      </w:pPr>
      <w:r>
        <w:rPr>
          <w:rFonts w:ascii="仿宋" w:hAnsi="仿宋" w:eastAsia="仿宋"/>
          <w:color w:val="auto"/>
          <w:sz w:val="24"/>
          <w:szCs w:val="24"/>
          <w:highlight w:val="none"/>
          <w:lang w:eastAsia="zh-CN"/>
        </w:rPr>
        <w:t>（</w:t>
      </w:r>
      <w:r>
        <w:rPr>
          <w:rFonts w:hint="eastAsia" w:ascii="仿宋" w:hAnsi="仿宋" w:eastAsia="仿宋"/>
          <w:color w:val="auto"/>
          <w:sz w:val="24"/>
          <w:szCs w:val="24"/>
          <w:highlight w:val="none"/>
          <w:lang w:eastAsia="zh-CN"/>
        </w:rPr>
        <w:t>7</w:t>
      </w:r>
      <w:r>
        <w:rPr>
          <w:rFonts w:ascii="仿宋" w:hAnsi="仿宋" w:eastAsia="仿宋"/>
          <w:color w:val="auto"/>
          <w:sz w:val="24"/>
          <w:szCs w:val="24"/>
          <w:highlight w:val="none"/>
          <w:lang w:eastAsia="zh-CN"/>
        </w:rPr>
        <w:t>）招标文件及其附件、招标答疑、中标通知书；</w:t>
      </w:r>
    </w:p>
    <w:p w14:paraId="382C8CF8">
      <w:pPr>
        <w:pStyle w:val="23"/>
        <w:spacing w:line="360" w:lineRule="auto"/>
        <w:ind w:firstLine="376" w:firstLineChars="157"/>
        <w:rPr>
          <w:rFonts w:ascii="仿宋" w:hAnsi="仿宋" w:eastAsia="仿宋"/>
          <w:color w:val="auto"/>
          <w:sz w:val="24"/>
          <w:szCs w:val="24"/>
          <w:highlight w:val="none"/>
          <w:lang w:eastAsia="zh-CN"/>
        </w:rPr>
      </w:pPr>
      <w:r>
        <w:rPr>
          <w:rFonts w:ascii="仿宋" w:hAnsi="仿宋" w:eastAsia="仿宋"/>
          <w:color w:val="auto"/>
          <w:sz w:val="24"/>
          <w:szCs w:val="24"/>
          <w:highlight w:val="none"/>
          <w:lang w:eastAsia="zh-CN"/>
        </w:rPr>
        <w:t>（</w:t>
      </w:r>
      <w:r>
        <w:rPr>
          <w:rFonts w:hint="eastAsia" w:ascii="仿宋" w:hAnsi="仿宋" w:eastAsia="仿宋"/>
          <w:color w:val="auto"/>
          <w:sz w:val="24"/>
          <w:szCs w:val="24"/>
          <w:highlight w:val="none"/>
          <w:lang w:eastAsia="zh-CN"/>
        </w:rPr>
        <w:t>8</w:t>
      </w:r>
      <w:r>
        <w:rPr>
          <w:rFonts w:ascii="仿宋" w:hAnsi="仿宋" w:eastAsia="仿宋"/>
          <w:color w:val="auto"/>
          <w:sz w:val="24"/>
          <w:szCs w:val="24"/>
          <w:highlight w:val="none"/>
          <w:lang w:eastAsia="zh-CN"/>
        </w:rPr>
        <w:t>）经批准的施工图纸及设计文件、工程变更、签证；</w:t>
      </w:r>
    </w:p>
    <w:p w14:paraId="27CE15D0">
      <w:pPr>
        <w:pStyle w:val="23"/>
        <w:spacing w:line="360" w:lineRule="auto"/>
        <w:ind w:firstLine="376" w:firstLineChars="157"/>
        <w:rPr>
          <w:rFonts w:ascii="仿宋" w:hAnsi="仿宋" w:eastAsia="仿宋"/>
          <w:color w:val="auto"/>
          <w:sz w:val="24"/>
          <w:szCs w:val="24"/>
          <w:highlight w:val="none"/>
          <w:lang w:eastAsia="zh-CN"/>
        </w:rPr>
      </w:pPr>
      <w:r>
        <w:rPr>
          <w:rFonts w:ascii="仿宋" w:hAnsi="仿宋" w:eastAsia="仿宋"/>
          <w:color w:val="auto"/>
          <w:sz w:val="24"/>
          <w:szCs w:val="24"/>
          <w:highlight w:val="none"/>
          <w:lang w:eastAsia="zh-CN"/>
        </w:rPr>
        <w:t>（</w:t>
      </w:r>
      <w:r>
        <w:rPr>
          <w:rFonts w:hint="eastAsia" w:ascii="仿宋" w:hAnsi="仿宋" w:eastAsia="仿宋"/>
          <w:color w:val="auto"/>
          <w:sz w:val="24"/>
          <w:szCs w:val="24"/>
          <w:highlight w:val="none"/>
          <w:lang w:eastAsia="zh-CN"/>
        </w:rPr>
        <w:t>9</w:t>
      </w:r>
      <w:r>
        <w:rPr>
          <w:rFonts w:ascii="仿宋" w:hAnsi="仿宋" w:eastAsia="仿宋"/>
          <w:color w:val="auto"/>
          <w:sz w:val="24"/>
          <w:szCs w:val="24"/>
          <w:highlight w:val="none"/>
          <w:lang w:eastAsia="zh-CN"/>
        </w:rPr>
        <w:t>）现行标准、规范及有关技术文件；</w:t>
      </w:r>
    </w:p>
    <w:p w14:paraId="2FE4BD5C">
      <w:pPr>
        <w:pStyle w:val="23"/>
        <w:spacing w:line="360" w:lineRule="auto"/>
        <w:ind w:firstLine="376" w:firstLineChars="157"/>
        <w:rPr>
          <w:rFonts w:ascii="仿宋" w:hAnsi="仿宋" w:eastAsia="仿宋"/>
          <w:color w:val="auto"/>
          <w:sz w:val="24"/>
          <w:szCs w:val="24"/>
          <w:highlight w:val="none"/>
          <w:lang w:eastAsia="zh-CN"/>
        </w:rPr>
      </w:pPr>
      <w:r>
        <w:rPr>
          <w:rFonts w:ascii="仿宋" w:hAnsi="仿宋" w:eastAsia="仿宋"/>
          <w:color w:val="auto"/>
          <w:sz w:val="24"/>
          <w:szCs w:val="24"/>
          <w:highlight w:val="none"/>
          <w:lang w:eastAsia="zh-CN"/>
        </w:rPr>
        <w:t>（1</w:t>
      </w:r>
      <w:r>
        <w:rPr>
          <w:rFonts w:hint="eastAsia" w:ascii="仿宋" w:hAnsi="仿宋" w:eastAsia="仿宋"/>
          <w:color w:val="auto"/>
          <w:sz w:val="24"/>
          <w:szCs w:val="24"/>
          <w:highlight w:val="none"/>
          <w:lang w:eastAsia="zh-CN"/>
        </w:rPr>
        <w:t>0</w:t>
      </w:r>
      <w:r>
        <w:rPr>
          <w:rFonts w:ascii="仿宋" w:hAnsi="仿宋" w:eastAsia="仿宋"/>
          <w:color w:val="auto"/>
          <w:sz w:val="24"/>
          <w:szCs w:val="24"/>
          <w:highlight w:val="none"/>
          <w:lang w:eastAsia="zh-CN"/>
        </w:rPr>
        <w:t>）合同价款书（工程量清单）</w:t>
      </w:r>
      <w:r>
        <w:rPr>
          <w:rFonts w:hint="eastAsia" w:ascii="仿宋" w:hAnsi="仿宋" w:eastAsia="仿宋"/>
          <w:color w:val="auto"/>
          <w:sz w:val="24"/>
          <w:szCs w:val="24"/>
          <w:highlight w:val="none"/>
          <w:lang w:eastAsia="zh-CN"/>
        </w:rPr>
        <w:t>（如有）</w:t>
      </w:r>
      <w:r>
        <w:rPr>
          <w:rFonts w:ascii="仿宋" w:hAnsi="仿宋" w:eastAsia="仿宋"/>
          <w:color w:val="auto"/>
          <w:sz w:val="24"/>
          <w:szCs w:val="24"/>
          <w:highlight w:val="none"/>
          <w:lang w:eastAsia="zh-CN"/>
        </w:rPr>
        <w:t>；</w:t>
      </w:r>
    </w:p>
    <w:p w14:paraId="4EF20BDF">
      <w:pPr>
        <w:pStyle w:val="23"/>
        <w:spacing w:line="360" w:lineRule="auto"/>
        <w:ind w:firstLine="376" w:firstLineChars="157"/>
        <w:rPr>
          <w:rFonts w:ascii="仿宋" w:hAnsi="仿宋" w:eastAsia="仿宋"/>
          <w:color w:val="auto"/>
          <w:sz w:val="24"/>
          <w:szCs w:val="24"/>
          <w:highlight w:val="none"/>
          <w:lang w:eastAsia="zh-CN"/>
        </w:rPr>
      </w:pPr>
      <w:r>
        <w:rPr>
          <w:rFonts w:ascii="仿宋" w:hAnsi="仿宋" w:eastAsia="仿宋"/>
          <w:color w:val="auto"/>
          <w:sz w:val="24"/>
          <w:szCs w:val="24"/>
          <w:highlight w:val="none"/>
          <w:lang w:eastAsia="zh-CN"/>
        </w:rPr>
        <w:t>（1</w:t>
      </w:r>
      <w:r>
        <w:rPr>
          <w:rFonts w:hint="eastAsia" w:ascii="仿宋" w:hAnsi="仿宋" w:eastAsia="仿宋"/>
          <w:color w:val="auto"/>
          <w:sz w:val="24"/>
          <w:szCs w:val="24"/>
          <w:highlight w:val="none"/>
          <w:lang w:eastAsia="zh-CN"/>
        </w:rPr>
        <w:t>1</w:t>
      </w:r>
      <w:r>
        <w:rPr>
          <w:rFonts w:ascii="仿宋" w:hAnsi="仿宋" w:eastAsia="仿宋"/>
          <w:color w:val="auto"/>
          <w:sz w:val="24"/>
          <w:szCs w:val="24"/>
          <w:highlight w:val="none"/>
          <w:lang w:eastAsia="zh-CN"/>
        </w:rPr>
        <w:t>）专用条款约定的其他文件；</w:t>
      </w:r>
    </w:p>
    <w:p w14:paraId="7924B37D">
      <w:pPr>
        <w:pStyle w:val="23"/>
        <w:spacing w:line="360" w:lineRule="auto"/>
        <w:ind w:left="1150" w:leftChars="179" w:hanging="720" w:hangingChars="300"/>
        <w:rPr>
          <w:rFonts w:ascii="仿宋" w:hAnsi="仿宋" w:eastAsia="仿宋"/>
          <w:color w:val="auto"/>
          <w:sz w:val="24"/>
          <w:szCs w:val="24"/>
          <w:highlight w:val="none"/>
          <w:lang w:eastAsia="zh-CN"/>
        </w:rPr>
      </w:pPr>
      <w:r>
        <w:rPr>
          <w:rFonts w:ascii="仿宋" w:hAnsi="仿宋" w:eastAsia="仿宋"/>
          <w:color w:val="auto"/>
          <w:sz w:val="24"/>
          <w:szCs w:val="24"/>
          <w:highlight w:val="none"/>
          <w:lang w:eastAsia="zh-CN"/>
        </w:rPr>
        <w:t>（1</w:t>
      </w:r>
      <w:r>
        <w:rPr>
          <w:rFonts w:hint="eastAsia" w:ascii="仿宋" w:hAnsi="仿宋" w:eastAsia="仿宋"/>
          <w:color w:val="auto"/>
          <w:sz w:val="24"/>
          <w:szCs w:val="24"/>
          <w:highlight w:val="none"/>
          <w:lang w:eastAsia="zh-CN"/>
        </w:rPr>
        <w:t>2</w:t>
      </w:r>
      <w:r>
        <w:rPr>
          <w:rFonts w:ascii="仿宋" w:hAnsi="仿宋" w:eastAsia="仿宋"/>
          <w:color w:val="auto"/>
          <w:sz w:val="24"/>
          <w:szCs w:val="24"/>
          <w:highlight w:val="none"/>
          <w:lang w:eastAsia="zh-CN"/>
        </w:rPr>
        <w:t>）</w:t>
      </w:r>
      <w:r>
        <w:rPr>
          <w:rFonts w:hint="eastAsia" w:ascii="仿宋" w:hAnsi="仿宋" w:eastAsia="仿宋"/>
          <w:color w:val="auto"/>
          <w:sz w:val="24"/>
          <w:szCs w:val="24"/>
          <w:highlight w:val="none"/>
          <w:lang w:eastAsia="zh-CN"/>
        </w:rPr>
        <w:t>经各方签字盖章确认的</w:t>
      </w:r>
      <w:r>
        <w:rPr>
          <w:rFonts w:ascii="仿宋" w:hAnsi="仿宋" w:eastAsia="仿宋"/>
          <w:color w:val="auto"/>
          <w:sz w:val="24"/>
          <w:szCs w:val="24"/>
          <w:highlight w:val="none"/>
          <w:lang w:eastAsia="zh-CN"/>
        </w:rPr>
        <w:t>发包人、承包人有关工程的洽商、变更等会议记录和文件（主要包括合同履行过程中的有关通知、指令、工程会议纪要等）；</w:t>
      </w:r>
    </w:p>
    <w:p w14:paraId="0C80FE9F">
      <w:pPr>
        <w:pStyle w:val="23"/>
        <w:spacing w:line="360" w:lineRule="auto"/>
        <w:ind w:left="1073" w:leftChars="179" w:hanging="643" w:hangingChars="268"/>
        <w:rPr>
          <w:rFonts w:ascii="仿宋" w:hAnsi="仿宋" w:eastAsia="仿宋"/>
          <w:color w:val="auto"/>
          <w:sz w:val="24"/>
          <w:szCs w:val="24"/>
          <w:highlight w:val="none"/>
          <w:lang w:eastAsia="zh-CN"/>
        </w:rPr>
      </w:pPr>
      <w:r>
        <w:rPr>
          <w:rFonts w:ascii="仿宋" w:hAnsi="仿宋" w:eastAsia="仿宋"/>
          <w:color w:val="auto"/>
          <w:sz w:val="24"/>
          <w:szCs w:val="24"/>
          <w:highlight w:val="none"/>
          <w:lang w:eastAsia="zh-CN"/>
        </w:rPr>
        <w:t>（1</w:t>
      </w:r>
      <w:r>
        <w:rPr>
          <w:rFonts w:hint="eastAsia" w:ascii="仿宋" w:hAnsi="仿宋" w:eastAsia="仿宋"/>
          <w:color w:val="auto"/>
          <w:sz w:val="24"/>
          <w:szCs w:val="24"/>
          <w:highlight w:val="none"/>
          <w:lang w:eastAsia="zh-CN"/>
        </w:rPr>
        <w:t>3</w:t>
      </w:r>
      <w:r>
        <w:rPr>
          <w:rFonts w:ascii="仿宋" w:hAnsi="仿宋" w:eastAsia="仿宋"/>
          <w:color w:val="auto"/>
          <w:sz w:val="24"/>
          <w:szCs w:val="24"/>
          <w:highlight w:val="none"/>
          <w:lang w:eastAsia="zh-CN"/>
        </w:rPr>
        <w:t>）本合同生效期间，发包人执行的有关广州市建设管理规定，与原合同及补充协议无实质性冲突的，均属本合同组成文件，适用于本合同项下工程。</w:t>
      </w:r>
    </w:p>
    <w:p w14:paraId="0A659ACA">
      <w:pPr>
        <w:pStyle w:val="23"/>
        <w:spacing w:line="360" w:lineRule="auto"/>
        <w:ind w:left="1030" w:leftChars="179" w:hanging="600" w:hangingChars="250"/>
        <w:rPr>
          <w:color w:val="auto"/>
          <w:highlight w:val="none"/>
          <w:lang w:eastAsia="zh-CN"/>
        </w:rPr>
      </w:pPr>
      <w:r>
        <w:rPr>
          <w:rFonts w:ascii="仿宋" w:hAnsi="仿宋" w:eastAsia="仿宋"/>
          <w:color w:val="auto"/>
          <w:sz w:val="24"/>
          <w:szCs w:val="24"/>
          <w:highlight w:val="none"/>
          <w:lang w:eastAsia="zh-CN"/>
        </w:rPr>
        <w:t>（</w:t>
      </w:r>
      <w:r>
        <w:rPr>
          <w:rFonts w:hint="eastAsia" w:ascii="仿宋" w:hAnsi="仿宋" w:eastAsia="仿宋"/>
          <w:color w:val="auto"/>
          <w:sz w:val="24"/>
          <w:szCs w:val="24"/>
          <w:highlight w:val="none"/>
          <w:lang w:eastAsia="zh-CN"/>
        </w:rPr>
        <w:t>14</w:t>
      </w:r>
      <w:r>
        <w:rPr>
          <w:rFonts w:ascii="仿宋" w:hAnsi="仿宋" w:eastAsia="仿宋"/>
          <w:color w:val="auto"/>
          <w:sz w:val="24"/>
          <w:szCs w:val="24"/>
          <w:highlight w:val="none"/>
          <w:lang w:eastAsia="zh-CN"/>
        </w:rPr>
        <w:t>）承包人投标文件及其附件（含评标期间的澄清文件和补充资料）；(若投标文件标准、要求高于招标文件的，则投标文件解释顺序优先于招标文件，按投标文件的标准、要求执行。)</w:t>
      </w:r>
    </w:p>
    <w:p w14:paraId="6855997B">
      <w:pPr>
        <w:pStyle w:val="23"/>
        <w:spacing w:line="360" w:lineRule="auto"/>
        <w:ind w:firstLine="376" w:firstLineChars="157"/>
        <w:rPr>
          <w:rFonts w:ascii="仿宋" w:hAnsi="仿宋" w:eastAsia="仿宋"/>
          <w:color w:val="auto"/>
          <w:sz w:val="24"/>
          <w:szCs w:val="24"/>
          <w:highlight w:val="none"/>
          <w:lang w:eastAsia="zh-CN"/>
        </w:rPr>
      </w:pPr>
      <w:r>
        <w:rPr>
          <w:rFonts w:ascii="仿宋" w:hAnsi="仿宋" w:eastAsia="仿宋"/>
          <w:color w:val="auto"/>
          <w:sz w:val="24"/>
          <w:szCs w:val="24"/>
          <w:highlight w:val="none"/>
          <w:lang w:eastAsia="zh-CN"/>
        </w:rPr>
        <w:t>（1</w:t>
      </w:r>
      <w:r>
        <w:rPr>
          <w:rFonts w:hint="eastAsia" w:ascii="仿宋" w:hAnsi="仿宋" w:eastAsia="仿宋"/>
          <w:color w:val="auto"/>
          <w:sz w:val="24"/>
          <w:szCs w:val="24"/>
          <w:highlight w:val="none"/>
          <w:lang w:eastAsia="zh-CN"/>
        </w:rPr>
        <w:t>5</w:t>
      </w:r>
      <w:r>
        <w:rPr>
          <w:rFonts w:ascii="仿宋" w:hAnsi="仿宋" w:eastAsia="仿宋"/>
          <w:color w:val="auto"/>
          <w:sz w:val="24"/>
          <w:szCs w:val="24"/>
          <w:highlight w:val="none"/>
          <w:lang w:eastAsia="zh-CN"/>
        </w:rPr>
        <w:t>）组成合同的其他文件：经双方确认进入合同的其他文件。</w:t>
      </w:r>
    </w:p>
    <w:p w14:paraId="1F7EDDC0">
      <w:pPr>
        <w:pStyle w:val="23"/>
        <w:tabs>
          <w:tab w:val="left" w:pos="1320"/>
        </w:tabs>
        <w:spacing w:line="360" w:lineRule="auto"/>
        <w:ind w:firstLine="240" w:firstLineChars="100"/>
        <w:rPr>
          <w:color w:val="auto"/>
          <w:highlight w:val="none"/>
          <w:lang w:eastAsia="zh-CN"/>
        </w:rPr>
      </w:pPr>
      <w:bookmarkStart w:id="1368" w:name="_Toc437441214"/>
      <w:bookmarkStart w:id="1369" w:name="_Toc445392587"/>
      <w:bookmarkStart w:id="1370" w:name="_Toc472695144"/>
      <w:bookmarkStart w:id="1371" w:name="_Toc450206759"/>
      <w:bookmarkStart w:id="1372" w:name="_Toc437440885"/>
      <w:r>
        <w:rPr>
          <w:rFonts w:hint="eastAsia" w:ascii="仿宋" w:hAnsi="仿宋" w:eastAsia="仿宋" w:cs="仿宋"/>
          <w:color w:val="auto"/>
          <w:sz w:val="24"/>
          <w:szCs w:val="24"/>
          <w:highlight w:val="none"/>
          <w:lang w:eastAsia="zh-CN" w:bidi="en-US"/>
        </w:rPr>
        <w:t>2.4</w:t>
      </w:r>
      <w:r>
        <w:rPr>
          <w:rFonts w:ascii="仿宋" w:hAnsi="仿宋" w:eastAsia="仿宋"/>
          <w:color w:val="auto"/>
          <w:sz w:val="24"/>
          <w:szCs w:val="24"/>
          <w:highlight w:val="none"/>
          <w:lang w:eastAsia="zh-CN"/>
        </w:rPr>
        <w:t xml:space="preserve"> 补充条款：发包人代表、造价工程师、总监理工程师行使职权时发出的书面文件必须由其本人签名并加盖有效印章，只有项目章而没有本人签名的，或只有本人签名而没有项目章的，该文件对发包人、承包人均没有约束力。</w:t>
      </w:r>
      <w:bookmarkEnd w:id="1368"/>
      <w:bookmarkEnd w:id="1369"/>
      <w:bookmarkEnd w:id="1370"/>
      <w:bookmarkEnd w:id="1371"/>
      <w:bookmarkEnd w:id="1372"/>
    </w:p>
    <w:p w14:paraId="480FABEC">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1373" w:name="_Toc7095"/>
      <w:bookmarkStart w:id="1374" w:name="_Toc4889"/>
      <w:bookmarkStart w:id="1375" w:name="_Toc18867"/>
      <w:bookmarkStart w:id="1376" w:name="_Toc30253"/>
      <w:bookmarkStart w:id="1377" w:name="_Toc8393"/>
      <w:bookmarkStart w:id="1378" w:name="_Toc21625"/>
      <w:bookmarkStart w:id="1379" w:name="_Toc12837"/>
      <w:r>
        <w:rPr>
          <w:rFonts w:hint="eastAsia" w:ascii="仿宋" w:hAnsi="仿宋" w:eastAsia="仿宋" w:cs="仿宋"/>
          <w:b w:val="0"/>
          <w:bCs w:val="0"/>
          <w:i w:val="0"/>
          <w:iCs w:val="0"/>
          <w:color w:val="auto"/>
          <w:sz w:val="24"/>
          <w:szCs w:val="24"/>
          <w:highlight w:val="none"/>
          <w:lang w:eastAsia="zh-CN"/>
        </w:rPr>
        <w:t>4．  语言及适用的法律、标准与</w:t>
      </w:r>
      <w:r>
        <w:rPr>
          <w:rFonts w:hint="eastAsia" w:ascii="仿宋" w:hAnsi="仿宋" w:eastAsia="仿宋"/>
          <w:b w:val="0"/>
          <w:bCs w:val="0"/>
          <w:i w:val="0"/>
          <w:iCs w:val="0"/>
          <w:color w:val="auto"/>
          <w:sz w:val="24"/>
          <w:szCs w:val="24"/>
          <w:highlight w:val="none"/>
          <w:lang w:eastAsia="zh-CN"/>
        </w:rPr>
        <w:t>规范</w:t>
      </w:r>
      <w:bookmarkEnd w:id="1367"/>
      <w:bookmarkEnd w:id="1373"/>
      <w:bookmarkEnd w:id="1374"/>
      <w:bookmarkEnd w:id="1375"/>
      <w:bookmarkEnd w:id="1376"/>
      <w:bookmarkEnd w:id="1377"/>
      <w:bookmarkEnd w:id="1378"/>
      <w:bookmarkEnd w:id="1379"/>
      <w:r>
        <w:rPr>
          <w:rFonts w:hint="eastAsia" w:ascii="仿宋" w:hAnsi="仿宋" w:eastAsia="仿宋"/>
          <w:b w:val="0"/>
          <w:bCs w:val="0"/>
          <w:i w:val="0"/>
          <w:iCs w:val="0"/>
          <w:color w:val="auto"/>
          <w:sz w:val="24"/>
          <w:szCs w:val="24"/>
          <w:highlight w:val="none"/>
          <w:lang w:eastAsia="zh-CN"/>
        </w:rPr>
        <w:t xml:space="preserve"> </w:t>
      </w:r>
    </w:p>
    <w:p w14:paraId="22752138">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4.1 语言文字</w:t>
      </w:r>
    </w:p>
    <w:p w14:paraId="012009D9">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与合同有关的联络应使用的语言：</w:t>
      </w:r>
      <w:r>
        <w:rPr>
          <w:rFonts w:hint="eastAsia" w:ascii="仿宋" w:hAnsi="仿宋" w:eastAsia="仿宋" w:cs="仿宋"/>
          <w:color w:val="auto"/>
          <w:highlight w:val="none"/>
          <w:u w:val="single"/>
          <w:lang w:eastAsia="zh-CN"/>
        </w:rPr>
        <w:t>中国的汉语简体语言文字。</w:t>
      </w:r>
    </w:p>
    <w:p w14:paraId="4DE34975">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4.2 适用法律</w:t>
      </w:r>
    </w:p>
    <w:p w14:paraId="0241E5A9">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合同适用的法律为国家的现行法律、行政法规、部门规章和项目所在地的地方性法规、自治条例、单行条例、地方政府规章以及国家和地方的规范性文件，包括但不限于《中华人民共和国民法典》《中华人民共和国建筑法》《建设工程质量管理条例》《建设工程勘察设计管理条例》等中华人民共和国现行法律法规。基于本合同目的，本合同适用的法律不包括香港特别行政区、澳门特别行政区和台湾地区的法律。</w:t>
      </w:r>
    </w:p>
    <w:p w14:paraId="5BE14D1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履行合同期间，合同双方当事人均应遵守适用的法律。</w:t>
      </w:r>
    </w:p>
    <w:p w14:paraId="5718004B">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 适用标准与规范</w:t>
      </w:r>
    </w:p>
    <w:p w14:paraId="39407E54">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约定适用的标准、规范的名称：</w:t>
      </w:r>
      <w:r>
        <w:rPr>
          <w:rFonts w:ascii="仿宋" w:hAnsi="仿宋" w:eastAsia="仿宋"/>
          <w:color w:val="auto"/>
          <w:highlight w:val="none"/>
          <w:u w:val="single"/>
          <w:lang w:eastAsia="zh-CN"/>
        </w:rPr>
        <w:t>国家、行业和广东省现行标准与规范或规程、建筑工程质量评定、验收规程、规范、条例、招标文件所列技术规范及设计所列明的规范</w:t>
      </w:r>
      <w:r>
        <w:rPr>
          <w:rFonts w:hint="eastAsia" w:ascii="仿宋" w:hAnsi="仿宋" w:eastAsia="仿宋"/>
          <w:color w:val="auto"/>
          <w:highlight w:val="none"/>
          <w:u w:val="single"/>
          <w:lang w:eastAsia="zh-CN"/>
        </w:rPr>
        <w:t>，</w:t>
      </w:r>
      <w:r>
        <w:rPr>
          <w:rFonts w:hint="eastAsia" w:ascii="仿宋" w:hAnsi="仿宋" w:eastAsia="仿宋"/>
          <w:color w:val="auto"/>
          <w:highlight w:val="none"/>
          <w:u w:val="single"/>
          <w:lang w:val="en-US" w:eastAsia="zh-CN"/>
        </w:rPr>
        <w:t>及广州市或白云区相关主管部门印发的相关建设工程标准及要求</w:t>
      </w:r>
      <w:r>
        <w:rPr>
          <w:rFonts w:ascii="仿宋" w:hAnsi="仿宋" w:eastAsia="仿宋"/>
          <w:color w:val="auto"/>
          <w:highlight w:val="none"/>
          <w:u w:val="single"/>
          <w:lang w:eastAsia="zh-CN"/>
        </w:rPr>
        <w:t>等。如施工期间国家或地方标准、规范发生变动，承包人应按新标准、规范执行。如有关施工、验收的标准和规范改变引起的费用增加，按设计变更或新增设计</w:t>
      </w:r>
      <w:r>
        <w:rPr>
          <w:rFonts w:hint="eastAsia" w:ascii="仿宋" w:hAnsi="仿宋" w:eastAsia="仿宋"/>
          <w:color w:val="auto"/>
          <w:highlight w:val="none"/>
          <w:u w:val="single"/>
          <w:lang w:eastAsia="zh-CN"/>
        </w:rPr>
        <w:t>办理</w:t>
      </w:r>
      <w:r>
        <w:rPr>
          <w:rFonts w:ascii="仿宋" w:hAnsi="仿宋" w:eastAsia="仿宋"/>
          <w:color w:val="auto"/>
          <w:highlight w:val="none"/>
          <w:u w:val="single"/>
          <w:lang w:eastAsia="zh-CN"/>
        </w:rPr>
        <w:t>。</w:t>
      </w:r>
    </w:p>
    <w:p w14:paraId="56C62322">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u w:val="single"/>
          <w:lang w:eastAsia="zh-CN"/>
        </w:rPr>
        <w:t>若现行标准、规范不能完全满足本工程施工需要的，由发包人根据本工程的具体情况并参照近期同类项目，组织或聘请专家进行编制、论证并制定配套标准、规范，且经发包人按照有关程序审批后执行。如果承包人需要对实施标准、规范进行研发试验的，或需对施工人员进行特殊培训的，费用已包含在合同价中，发包人不另行支付。</w:t>
      </w:r>
    </w:p>
    <w:p w14:paraId="58CC5A54">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1380" w:name="_Toc47694387"/>
      <w:bookmarkStart w:id="1381" w:name="_Toc22190"/>
      <w:bookmarkStart w:id="1382" w:name="_Toc29499"/>
      <w:bookmarkStart w:id="1383" w:name="_Toc26973"/>
      <w:bookmarkStart w:id="1384" w:name="_Toc28090"/>
      <w:bookmarkStart w:id="1385" w:name="_Toc6524"/>
      <w:bookmarkStart w:id="1386" w:name="_Toc19070"/>
      <w:bookmarkStart w:id="1387" w:name="_Toc2778"/>
      <w:r>
        <w:rPr>
          <w:rFonts w:hint="eastAsia" w:ascii="仿宋" w:hAnsi="仿宋" w:eastAsia="仿宋" w:cs="仿宋"/>
          <w:b w:val="0"/>
          <w:bCs w:val="0"/>
          <w:i w:val="0"/>
          <w:iCs w:val="0"/>
          <w:color w:val="auto"/>
          <w:sz w:val="24"/>
          <w:szCs w:val="24"/>
          <w:highlight w:val="none"/>
          <w:lang w:eastAsia="zh-CN"/>
        </w:rPr>
        <w:t>5.  发包人要求</w:t>
      </w:r>
      <w:bookmarkEnd w:id="1380"/>
      <w:bookmarkEnd w:id="1381"/>
      <w:bookmarkEnd w:id="1382"/>
      <w:bookmarkEnd w:id="1383"/>
      <w:bookmarkEnd w:id="1384"/>
      <w:bookmarkEnd w:id="1385"/>
      <w:bookmarkEnd w:id="1386"/>
      <w:bookmarkEnd w:id="1387"/>
    </w:p>
    <w:p w14:paraId="0281F36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5.1 发包人要求的提供：</w:t>
      </w:r>
      <w:r>
        <w:rPr>
          <w:rFonts w:hint="eastAsia" w:ascii="仿宋" w:hAnsi="仿宋" w:eastAsia="仿宋" w:cs="仿宋"/>
          <w:color w:val="auto"/>
          <w:highlight w:val="none"/>
          <w:u w:val="single"/>
          <w:lang w:eastAsia="zh-CN"/>
        </w:rPr>
        <w:t>详见合同第四部分附件六，承包人应尽早认真阅读、复核《勘察设计任务书》以及其提供的基础资料，发现错误的，应及时书面通知发包人补正。合同履行阶段，如有补充要求的，发包人以书面形式通知承包人。</w:t>
      </w:r>
    </w:p>
    <w:p w14:paraId="5930AF09">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1388" w:name="_Toc47694388"/>
      <w:bookmarkStart w:id="1389" w:name="_Toc10946"/>
      <w:bookmarkStart w:id="1390" w:name="_Toc24201"/>
      <w:bookmarkStart w:id="1391" w:name="_Toc10272"/>
      <w:bookmarkStart w:id="1392" w:name="_Toc11360"/>
      <w:bookmarkStart w:id="1393" w:name="_Toc11551"/>
      <w:bookmarkStart w:id="1394" w:name="_Toc26249"/>
      <w:bookmarkStart w:id="1395" w:name="_Toc2642"/>
      <w:r>
        <w:rPr>
          <w:rFonts w:hint="eastAsia" w:ascii="仿宋" w:hAnsi="仿宋" w:eastAsia="仿宋" w:cs="仿宋"/>
          <w:b w:val="0"/>
          <w:bCs w:val="0"/>
          <w:i w:val="0"/>
          <w:iCs w:val="0"/>
          <w:color w:val="auto"/>
          <w:sz w:val="24"/>
          <w:szCs w:val="24"/>
          <w:highlight w:val="none"/>
          <w:lang w:eastAsia="zh-CN"/>
        </w:rPr>
        <w:t>6.  项目基础资料</w:t>
      </w:r>
      <w:bookmarkEnd w:id="1388"/>
      <w:r>
        <w:rPr>
          <w:rFonts w:hint="eastAsia" w:ascii="仿宋" w:hAnsi="仿宋" w:eastAsia="仿宋" w:cs="仿宋"/>
          <w:b w:val="0"/>
          <w:bCs w:val="0"/>
          <w:i w:val="0"/>
          <w:iCs w:val="0"/>
          <w:color w:val="auto"/>
          <w:sz w:val="24"/>
          <w:szCs w:val="24"/>
          <w:highlight w:val="none"/>
          <w:lang w:eastAsia="zh-CN"/>
        </w:rPr>
        <w:t>的提供</w:t>
      </w:r>
      <w:bookmarkEnd w:id="1389"/>
      <w:bookmarkEnd w:id="1390"/>
      <w:bookmarkEnd w:id="1391"/>
      <w:bookmarkEnd w:id="1392"/>
      <w:bookmarkEnd w:id="1393"/>
      <w:bookmarkEnd w:id="1394"/>
      <w:bookmarkEnd w:id="1395"/>
    </w:p>
    <w:p w14:paraId="6BC6D667">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6.1 发包人提供项目基础资料：</w:t>
      </w:r>
      <w:r>
        <w:rPr>
          <w:rFonts w:hint="eastAsia" w:ascii="仿宋" w:hAnsi="仿宋" w:eastAsia="仿宋" w:cs="仿宋"/>
          <w:color w:val="auto"/>
          <w:highlight w:val="none"/>
          <w:u w:val="single"/>
          <w:lang w:eastAsia="zh-CN"/>
        </w:rPr>
        <w:t>发包人在中标通知书发放后7个日历天内，向承包人提供发包人既有的基础资料；其他属于发包人提供的基础资料，发包人在取得后提供给承包人，且发包人无需因此承担任何费用。承包人应尽早认真阅读、复核项目基础资料，发现错误的，应及时书面通知发包人补正。</w:t>
      </w:r>
    </w:p>
    <w:p w14:paraId="7D446B22">
      <w:pPr>
        <w:pStyle w:val="3"/>
        <w:tabs>
          <w:tab w:val="left" w:pos="420"/>
        </w:tabs>
        <w:spacing w:line="360" w:lineRule="auto"/>
        <w:rPr>
          <w:rFonts w:hint="eastAsia" w:ascii="仿宋" w:hAnsi="仿宋" w:eastAsia="仿宋" w:cs="仿宋"/>
          <w:b w:val="0"/>
          <w:bCs w:val="0"/>
          <w:i w:val="0"/>
          <w:iCs w:val="0"/>
          <w:color w:val="auto"/>
          <w:sz w:val="24"/>
          <w:szCs w:val="24"/>
          <w:highlight w:val="none"/>
          <w:lang w:eastAsia="zh-CN"/>
        </w:rPr>
      </w:pPr>
      <w:bookmarkStart w:id="1396" w:name="_Toc47694389"/>
      <w:bookmarkStart w:id="1397" w:name="_Toc1836"/>
      <w:bookmarkStart w:id="1398" w:name="_Toc9811"/>
      <w:bookmarkStart w:id="1399" w:name="_Toc27511"/>
      <w:bookmarkStart w:id="1400" w:name="_Toc15706"/>
      <w:bookmarkStart w:id="1401" w:name="_Toc27356"/>
      <w:bookmarkStart w:id="1402" w:name="_Toc7215"/>
      <w:bookmarkStart w:id="1403" w:name="_Toc13232"/>
      <w:r>
        <w:rPr>
          <w:rFonts w:hint="eastAsia" w:ascii="仿宋" w:hAnsi="仿宋" w:eastAsia="仿宋" w:cs="仿宋"/>
          <w:b w:val="0"/>
          <w:bCs w:val="0"/>
          <w:i w:val="0"/>
          <w:iCs w:val="0"/>
          <w:color w:val="auto"/>
          <w:sz w:val="24"/>
          <w:szCs w:val="24"/>
          <w:highlight w:val="none"/>
          <w:lang w:eastAsia="zh-CN"/>
        </w:rPr>
        <w:t>7.  勘察报告、设计文件、建筑信息模型（BIM）</w:t>
      </w:r>
      <w:bookmarkEnd w:id="1396"/>
      <w:bookmarkEnd w:id="1397"/>
      <w:bookmarkEnd w:id="1398"/>
      <w:bookmarkEnd w:id="1399"/>
      <w:bookmarkEnd w:id="1400"/>
      <w:bookmarkEnd w:id="1401"/>
      <w:bookmarkEnd w:id="1402"/>
      <w:bookmarkEnd w:id="1403"/>
    </w:p>
    <w:p w14:paraId="2DBC7ED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7.1 承包人提供勘察报告</w:t>
      </w:r>
    </w:p>
    <w:p w14:paraId="741A2F6E">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按工作计划</w:t>
      </w:r>
    </w:p>
    <w:p w14:paraId="130C4061">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3</w:t>
      </w:r>
      <w:r>
        <w:rPr>
          <w:rFonts w:hint="eastAsia" w:ascii="仿宋" w:hAnsi="仿宋" w:eastAsia="仿宋" w:cs="仿宋"/>
          <w:color w:val="auto"/>
          <w:highlight w:val="none"/>
          <w:u w:val="single"/>
          <w:lang w:eastAsia="zh-CN"/>
        </w:rPr>
        <w:t xml:space="preserve">0份 </w:t>
      </w:r>
    </w:p>
    <w:p w14:paraId="55359933">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③发包人或设计顾问人答复的时间：</w:t>
      </w:r>
      <w:r>
        <w:rPr>
          <w:rFonts w:hint="eastAsia" w:ascii="仿宋" w:hAnsi="仿宋" w:eastAsia="仿宋" w:cs="仿宋"/>
          <w:color w:val="auto"/>
          <w:highlight w:val="none"/>
          <w:u w:val="single"/>
          <w:lang w:eastAsia="zh-CN"/>
        </w:rPr>
        <w:t xml:space="preserve"> / </w:t>
      </w:r>
    </w:p>
    <w:p w14:paraId="04053D5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 承包人提供设计文件</w:t>
      </w:r>
    </w:p>
    <w:p w14:paraId="4C3CBF57">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初步设计文件（适用于可行性研究报告批准后或备案发包）：</w:t>
      </w:r>
    </w:p>
    <w:p w14:paraId="4AA74CDF">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①提供的时间和数量见下表：</w:t>
      </w:r>
    </w:p>
    <w:p w14:paraId="3F030C80">
      <w:pPr>
        <w:spacing w:line="360" w:lineRule="auto"/>
        <w:ind w:firstLine="840" w:firstLineChars="350"/>
        <w:rPr>
          <w:rFonts w:hint="eastAsia" w:ascii="仿宋" w:hAnsi="仿宋" w:eastAsia="仿宋" w:cs="仿宋"/>
          <w:color w:val="auto"/>
          <w:highlight w:val="none"/>
          <w:lang w:eastAsia="zh-CN"/>
        </w:rPr>
      </w:pP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810"/>
        <w:gridCol w:w="3380"/>
        <w:gridCol w:w="1897"/>
        <w:gridCol w:w="1495"/>
        <w:gridCol w:w="1944"/>
      </w:tblGrid>
      <w:tr w14:paraId="45C1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731" w:hRule="atLeast"/>
          <w:jc w:val="center"/>
        </w:trPr>
        <w:tc>
          <w:tcPr>
            <w:tcW w:w="810" w:type="dxa"/>
            <w:tcBorders>
              <w:top w:val="single" w:color="000000" w:sz="8" w:space="0"/>
              <w:left w:val="single" w:color="000000" w:sz="8" w:space="0"/>
              <w:bottom w:val="single" w:color="000000" w:sz="8" w:space="0"/>
              <w:right w:val="single" w:color="000000" w:sz="8" w:space="0"/>
            </w:tcBorders>
            <w:noWrap w:val="0"/>
            <w:vAlign w:val="center"/>
          </w:tcPr>
          <w:p w14:paraId="747F0E25">
            <w:pPr>
              <w:spacing w:line="600" w:lineRule="exact"/>
              <w:rPr>
                <w:rFonts w:hint="eastAsia" w:ascii="仿宋" w:hAnsi="仿宋" w:eastAsia="仿宋" w:cs="仿宋"/>
                <w:color w:val="auto"/>
                <w:highlight w:val="none"/>
              </w:rPr>
            </w:pPr>
            <w:r>
              <w:rPr>
                <w:rFonts w:hint="eastAsia" w:ascii="仿宋" w:hAnsi="仿宋" w:eastAsia="仿宋" w:cs="仿宋"/>
                <w:color w:val="auto"/>
                <w:kern w:val="2"/>
                <w:highlight w:val="none"/>
                <w:lang w:bidi="ar"/>
              </w:rPr>
              <w:t>序号</w:t>
            </w:r>
          </w:p>
        </w:tc>
        <w:tc>
          <w:tcPr>
            <w:tcW w:w="3380" w:type="dxa"/>
            <w:tcBorders>
              <w:top w:val="single" w:color="000000" w:sz="8" w:space="0"/>
              <w:left w:val="single" w:color="000000" w:sz="8" w:space="0"/>
              <w:bottom w:val="single" w:color="000000" w:sz="8" w:space="0"/>
              <w:right w:val="single" w:color="000000" w:sz="8" w:space="0"/>
            </w:tcBorders>
            <w:noWrap w:val="0"/>
            <w:vAlign w:val="center"/>
          </w:tcPr>
          <w:p w14:paraId="49F706B7">
            <w:pPr>
              <w:spacing w:line="600" w:lineRule="exact"/>
              <w:ind w:leftChars="-13" w:hanging="31" w:hangingChars="13"/>
              <w:rPr>
                <w:rFonts w:hint="eastAsia" w:ascii="仿宋" w:hAnsi="仿宋" w:eastAsia="仿宋" w:cs="仿宋"/>
                <w:color w:val="auto"/>
                <w:highlight w:val="none"/>
              </w:rPr>
            </w:pPr>
            <w:r>
              <w:rPr>
                <w:rFonts w:hint="eastAsia" w:ascii="仿宋" w:hAnsi="仿宋" w:eastAsia="仿宋" w:cs="仿宋"/>
                <w:color w:val="auto"/>
                <w:kern w:val="2"/>
                <w:highlight w:val="none"/>
                <w:lang w:bidi="ar"/>
              </w:rPr>
              <w:t>资料及文件名称</w:t>
            </w:r>
          </w:p>
        </w:tc>
        <w:tc>
          <w:tcPr>
            <w:tcW w:w="1897" w:type="dxa"/>
            <w:tcBorders>
              <w:top w:val="single" w:color="000000" w:sz="8" w:space="0"/>
              <w:left w:val="single" w:color="000000" w:sz="8" w:space="0"/>
              <w:bottom w:val="single" w:color="000000" w:sz="8" w:space="0"/>
              <w:right w:val="single" w:color="000000" w:sz="8" w:space="0"/>
            </w:tcBorders>
            <w:noWrap w:val="0"/>
            <w:vAlign w:val="center"/>
          </w:tcPr>
          <w:p w14:paraId="616B3A0F">
            <w:pPr>
              <w:spacing w:line="600" w:lineRule="exact"/>
              <w:ind w:leftChars="-24" w:hanging="57" w:hangingChars="24"/>
              <w:rPr>
                <w:rFonts w:hint="eastAsia" w:ascii="仿宋" w:hAnsi="仿宋" w:eastAsia="仿宋" w:cs="仿宋"/>
                <w:color w:val="auto"/>
                <w:highlight w:val="none"/>
              </w:rPr>
            </w:pPr>
            <w:r>
              <w:rPr>
                <w:rFonts w:hint="eastAsia" w:ascii="仿宋" w:hAnsi="仿宋" w:eastAsia="仿宋" w:cs="仿宋"/>
                <w:color w:val="auto"/>
                <w:kern w:val="2"/>
                <w:highlight w:val="none"/>
                <w:lang w:bidi="ar"/>
              </w:rPr>
              <w:t>提交日期</w:t>
            </w:r>
          </w:p>
        </w:tc>
        <w:tc>
          <w:tcPr>
            <w:tcW w:w="1495" w:type="dxa"/>
            <w:tcBorders>
              <w:top w:val="single" w:color="000000" w:sz="8" w:space="0"/>
              <w:left w:val="single" w:color="000000" w:sz="8" w:space="0"/>
              <w:bottom w:val="single" w:color="000000" w:sz="8" w:space="0"/>
              <w:right w:val="single" w:color="000000" w:sz="8" w:space="0"/>
            </w:tcBorders>
            <w:noWrap w:val="0"/>
            <w:vAlign w:val="center"/>
          </w:tcPr>
          <w:p w14:paraId="3D078D07">
            <w:pPr>
              <w:spacing w:line="600" w:lineRule="exact"/>
              <w:ind w:firstLine="86" w:firstLineChars="36"/>
              <w:rPr>
                <w:rFonts w:hint="eastAsia" w:ascii="仿宋" w:hAnsi="仿宋" w:eastAsia="仿宋" w:cs="仿宋"/>
                <w:color w:val="auto"/>
                <w:highlight w:val="none"/>
              </w:rPr>
            </w:pPr>
            <w:r>
              <w:rPr>
                <w:rFonts w:hint="eastAsia" w:ascii="仿宋" w:hAnsi="仿宋" w:eastAsia="仿宋" w:cs="仿宋"/>
                <w:color w:val="auto"/>
                <w:kern w:val="2"/>
                <w:highlight w:val="none"/>
                <w:lang w:bidi="ar"/>
              </w:rPr>
              <w:t>份数</w:t>
            </w:r>
          </w:p>
        </w:tc>
        <w:tc>
          <w:tcPr>
            <w:tcW w:w="1944" w:type="dxa"/>
            <w:tcBorders>
              <w:top w:val="single" w:color="000000" w:sz="8" w:space="0"/>
              <w:left w:val="single" w:color="000000" w:sz="8" w:space="0"/>
              <w:bottom w:val="single" w:color="000000" w:sz="8" w:space="0"/>
              <w:right w:val="single" w:color="000000" w:sz="8" w:space="0"/>
            </w:tcBorders>
            <w:noWrap w:val="0"/>
            <w:vAlign w:val="center"/>
          </w:tcPr>
          <w:p w14:paraId="04107351">
            <w:pPr>
              <w:spacing w:line="600" w:lineRule="exact"/>
              <w:rPr>
                <w:rFonts w:hint="eastAsia" w:ascii="仿宋" w:hAnsi="仿宋" w:eastAsia="仿宋" w:cs="仿宋"/>
                <w:color w:val="auto"/>
                <w:highlight w:val="none"/>
              </w:rPr>
            </w:pPr>
            <w:r>
              <w:rPr>
                <w:rFonts w:hint="eastAsia" w:ascii="仿宋" w:hAnsi="仿宋" w:eastAsia="仿宋" w:cs="仿宋"/>
                <w:color w:val="auto"/>
                <w:kern w:val="2"/>
                <w:highlight w:val="none"/>
                <w:lang w:bidi="ar"/>
              </w:rPr>
              <w:t>备注</w:t>
            </w:r>
          </w:p>
        </w:tc>
      </w:tr>
      <w:tr w14:paraId="1E93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1011" w:hRule="atLeast"/>
          <w:jc w:val="center"/>
        </w:trPr>
        <w:tc>
          <w:tcPr>
            <w:tcW w:w="810" w:type="dxa"/>
            <w:tcBorders>
              <w:top w:val="single" w:color="000000" w:sz="8" w:space="0"/>
              <w:left w:val="single" w:color="000000" w:sz="8" w:space="0"/>
              <w:bottom w:val="single" w:color="000000" w:sz="8" w:space="0"/>
              <w:right w:val="single" w:color="000000" w:sz="8" w:space="0"/>
            </w:tcBorders>
            <w:noWrap w:val="0"/>
            <w:vAlign w:val="center"/>
          </w:tcPr>
          <w:p w14:paraId="2ED9834B">
            <w:pPr>
              <w:spacing w:line="600" w:lineRule="exact"/>
              <w:rPr>
                <w:rFonts w:hint="eastAsia" w:ascii="仿宋" w:hAnsi="仿宋" w:eastAsia="仿宋" w:cs="仿宋"/>
                <w:color w:val="auto"/>
                <w:highlight w:val="none"/>
              </w:rPr>
            </w:pPr>
            <w:r>
              <w:rPr>
                <w:rFonts w:hint="eastAsia" w:ascii="仿宋" w:hAnsi="仿宋" w:eastAsia="仿宋" w:cs="仿宋"/>
                <w:color w:val="auto"/>
                <w:kern w:val="2"/>
                <w:highlight w:val="none"/>
                <w:lang w:bidi="ar"/>
              </w:rPr>
              <w:t>1</w:t>
            </w:r>
          </w:p>
        </w:tc>
        <w:tc>
          <w:tcPr>
            <w:tcW w:w="3380" w:type="dxa"/>
            <w:tcBorders>
              <w:top w:val="single" w:color="000000" w:sz="8" w:space="0"/>
              <w:left w:val="single" w:color="000000" w:sz="8" w:space="0"/>
              <w:bottom w:val="single" w:color="000000" w:sz="8" w:space="0"/>
              <w:right w:val="single" w:color="000000" w:sz="8" w:space="0"/>
            </w:tcBorders>
            <w:noWrap w:val="0"/>
            <w:vAlign w:val="center"/>
          </w:tcPr>
          <w:p w14:paraId="41E5673D">
            <w:pPr>
              <w:ind w:leftChars="-13" w:hanging="31" w:hangingChars="13"/>
              <w:rPr>
                <w:rFonts w:hint="eastAsia" w:ascii="仿宋" w:hAnsi="仿宋" w:eastAsia="仿宋" w:cs="仿宋"/>
                <w:color w:val="auto"/>
                <w:highlight w:val="none"/>
              </w:rPr>
            </w:pPr>
            <w:r>
              <w:rPr>
                <w:rFonts w:hint="eastAsia" w:ascii="仿宋" w:hAnsi="仿宋" w:eastAsia="仿宋" w:cs="仿宋"/>
                <w:color w:val="auto"/>
                <w:kern w:val="2"/>
                <w:highlight w:val="none"/>
                <w:lang w:bidi="ar"/>
              </w:rPr>
              <w:t>勘察成果文件</w:t>
            </w:r>
          </w:p>
        </w:tc>
        <w:tc>
          <w:tcPr>
            <w:tcW w:w="1897" w:type="dxa"/>
            <w:tcBorders>
              <w:top w:val="single" w:color="000000" w:sz="8" w:space="0"/>
              <w:left w:val="single" w:color="000000" w:sz="8" w:space="0"/>
              <w:bottom w:val="single" w:color="000000" w:sz="8" w:space="0"/>
              <w:right w:val="single" w:color="000000" w:sz="8" w:space="0"/>
            </w:tcBorders>
            <w:noWrap w:val="0"/>
            <w:vAlign w:val="center"/>
          </w:tcPr>
          <w:p w14:paraId="6F6021BC">
            <w:pPr>
              <w:ind w:leftChars="-24" w:hanging="57" w:hangingChars="24"/>
              <w:rPr>
                <w:rFonts w:hint="eastAsia" w:ascii="仿宋" w:hAnsi="仿宋" w:eastAsia="仿宋" w:cs="仿宋"/>
                <w:color w:val="auto"/>
                <w:highlight w:val="none"/>
              </w:rPr>
            </w:pPr>
            <w:r>
              <w:rPr>
                <w:rFonts w:hint="eastAsia" w:ascii="仿宋" w:hAnsi="仿宋" w:eastAsia="仿宋" w:cs="仿宋"/>
                <w:color w:val="auto"/>
                <w:kern w:val="2"/>
                <w:highlight w:val="none"/>
                <w:lang w:bidi="ar"/>
              </w:rPr>
              <w:t>按工作计划</w:t>
            </w:r>
          </w:p>
        </w:tc>
        <w:tc>
          <w:tcPr>
            <w:tcW w:w="1495" w:type="dxa"/>
            <w:tcBorders>
              <w:top w:val="single" w:color="000000" w:sz="8" w:space="0"/>
              <w:left w:val="single" w:color="000000" w:sz="8" w:space="0"/>
              <w:bottom w:val="single" w:color="000000" w:sz="8" w:space="0"/>
              <w:right w:val="single" w:color="000000" w:sz="8" w:space="0"/>
            </w:tcBorders>
            <w:noWrap w:val="0"/>
            <w:vAlign w:val="center"/>
          </w:tcPr>
          <w:p w14:paraId="002AF651">
            <w:pPr>
              <w:ind w:firstLine="86" w:firstLineChars="36"/>
              <w:rPr>
                <w:rFonts w:hint="eastAsia" w:ascii="仿宋" w:hAnsi="仿宋" w:eastAsia="仿宋" w:cs="仿宋"/>
                <w:color w:val="auto"/>
                <w:highlight w:val="none"/>
              </w:rPr>
            </w:pPr>
            <w:r>
              <w:rPr>
                <w:rFonts w:hint="eastAsia" w:ascii="仿宋" w:hAnsi="仿宋" w:eastAsia="仿宋" w:cs="仿宋"/>
                <w:color w:val="auto"/>
                <w:kern w:val="2"/>
                <w:highlight w:val="none"/>
                <w:lang w:val="en-US" w:eastAsia="zh-CN" w:bidi="ar"/>
              </w:rPr>
              <w:t>3</w:t>
            </w:r>
            <w:r>
              <w:rPr>
                <w:rFonts w:hint="eastAsia" w:ascii="仿宋" w:hAnsi="仿宋" w:eastAsia="仿宋" w:cs="仿宋"/>
                <w:color w:val="auto"/>
                <w:kern w:val="2"/>
                <w:highlight w:val="none"/>
                <w:lang w:eastAsia="zh-CN" w:bidi="ar"/>
              </w:rPr>
              <w:t>0</w:t>
            </w:r>
            <w:r>
              <w:rPr>
                <w:rFonts w:hint="eastAsia" w:ascii="仿宋" w:hAnsi="仿宋" w:eastAsia="仿宋" w:cs="仿宋"/>
                <w:color w:val="auto"/>
                <w:kern w:val="2"/>
                <w:highlight w:val="none"/>
                <w:lang w:bidi="ar"/>
              </w:rPr>
              <w:t>份，或按甲方要求提供</w:t>
            </w:r>
          </w:p>
        </w:tc>
        <w:tc>
          <w:tcPr>
            <w:tcW w:w="1944" w:type="dxa"/>
            <w:tcBorders>
              <w:top w:val="single" w:color="000000" w:sz="8" w:space="0"/>
              <w:left w:val="single" w:color="000000" w:sz="8" w:space="0"/>
              <w:bottom w:val="single" w:color="000000" w:sz="8" w:space="0"/>
              <w:right w:val="single" w:color="000000" w:sz="8" w:space="0"/>
            </w:tcBorders>
            <w:noWrap w:val="0"/>
            <w:vAlign w:val="center"/>
          </w:tcPr>
          <w:p w14:paraId="0A2DAB96">
            <w:pPr>
              <w:rPr>
                <w:rFonts w:hint="eastAsia" w:ascii="仿宋" w:hAnsi="仿宋" w:eastAsia="仿宋" w:cs="仿宋"/>
                <w:color w:val="auto"/>
                <w:highlight w:val="none"/>
                <w:lang w:eastAsia="zh-CN"/>
              </w:rPr>
            </w:pPr>
            <w:r>
              <w:rPr>
                <w:rFonts w:hint="eastAsia" w:ascii="仿宋" w:hAnsi="仿宋" w:eastAsia="仿宋" w:cs="仿宋"/>
                <w:color w:val="auto"/>
                <w:kern w:val="2"/>
                <w:highlight w:val="none"/>
                <w:lang w:eastAsia="zh-CN" w:bidi="ar"/>
              </w:rPr>
              <w:t>正式纸质文件、电子文档3份</w:t>
            </w:r>
          </w:p>
        </w:tc>
      </w:tr>
      <w:tr w14:paraId="001FC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8" w:hRule="atLeast"/>
          <w:jc w:val="center"/>
        </w:trPr>
        <w:tc>
          <w:tcPr>
            <w:tcW w:w="810" w:type="dxa"/>
            <w:tcBorders>
              <w:top w:val="single" w:color="000000" w:sz="8" w:space="0"/>
              <w:left w:val="single" w:color="000000" w:sz="8" w:space="0"/>
              <w:bottom w:val="single" w:color="000000" w:sz="8" w:space="0"/>
              <w:right w:val="single" w:color="000000" w:sz="8" w:space="0"/>
            </w:tcBorders>
            <w:noWrap w:val="0"/>
            <w:vAlign w:val="center"/>
          </w:tcPr>
          <w:p w14:paraId="792E5147">
            <w:pPr>
              <w:spacing w:line="600" w:lineRule="exact"/>
              <w:rPr>
                <w:rFonts w:hint="eastAsia" w:ascii="仿宋" w:hAnsi="仿宋" w:eastAsia="仿宋" w:cs="仿宋"/>
                <w:color w:val="auto"/>
                <w:highlight w:val="none"/>
              </w:rPr>
            </w:pPr>
            <w:r>
              <w:rPr>
                <w:rFonts w:hint="eastAsia" w:ascii="仿宋" w:hAnsi="仿宋" w:eastAsia="仿宋" w:cs="仿宋"/>
                <w:color w:val="auto"/>
                <w:kern w:val="2"/>
                <w:highlight w:val="none"/>
                <w:lang w:bidi="ar"/>
              </w:rPr>
              <w:t>2</w:t>
            </w:r>
          </w:p>
        </w:tc>
        <w:tc>
          <w:tcPr>
            <w:tcW w:w="3380" w:type="dxa"/>
            <w:tcBorders>
              <w:top w:val="single" w:color="000000" w:sz="8" w:space="0"/>
              <w:left w:val="single" w:color="000000" w:sz="8" w:space="0"/>
              <w:bottom w:val="single" w:color="000000" w:sz="8" w:space="0"/>
              <w:right w:val="single" w:color="000000" w:sz="8" w:space="0"/>
            </w:tcBorders>
            <w:noWrap w:val="0"/>
            <w:vAlign w:val="center"/>
          </w:tcPr>
          <w:p w14:paraId="52F40DAA">
            <w:pPr>
              <w:ind w:leftChars="-13" w:hanging="31" w:hangingChars="13"/>
              <w:rPr>
                <w:rFonts w:hint="eastAsia" w:ascii="仿宋" w:hAnsi="仿宋" w:eastAsia="仿宋" w:cs="仿宋"/>
                <w:color w:val="auto"/>
                <w:highlight w:val="none"/>
                <w:lang w:eastAsia="zh-CN"/>
              </w:rPr>
            </w:pPr>
            <w:r>
              <w:rPr>
                <w:rFonts w:hint="eastAsia" w:ascii="仿宋" w:hAnsi="仿宋" w:eastAsia="仿宋" w:cs="仿宋"/>
                <w:color w:val="auto"/>
                <w:kern w:val="2"/>
                <w:highlight w:val="none"/>
                <w:lang w:eastAsia="zh-CN" w:bidi="ar"/>
              </w:rPr>
              <w:t>深化方案设计成果文件（含总平面规划设计、工程估算）</w:t>
            </w:r>
          </w:p>
        </w:tc>
        <w:tc>
          <w:tcPr>
            <w:tcW w:w="1897" w:type="dxa"/>
            <w:tcBorders>
              <w:top w:val="single" w:color="000000" w:sz="8" w:space="0"/>
              <w:left w:val="single" w:color="000000" w:sz="8" w:space="0"/>
              <w:bottom w:val="single" w:color="000000" w:sz="8" w:space="0"/>
              <w:right w:val="single" w:color="000000" w:sz="8" w:space="0"/>
            </w:tcBorders>
            <w:noWrap w:val="0"/>
            <w:vAlign w:val="center"/>
          </w:tcPr>
          <w:p w14:paraId="053550BD">
            <w:pPr>
              <w:ind w:leftChars="-24" w:hanging="57" w:hangingChars="24"/>
              <w:rPr>
                <w:rFonts w:hint="eastAsia" w:ascii="仿宋" w:hAnsi="仿宋" w:eastAsia="仿宋" w:cs="仿宋"/>
                <w:color w:val="auto"/>
                <w:highlight w:val="none"/>
              </w:rPr>
            </w:pPr>
            <w:r>
              <w:rPr>
                <w:rFonts w:hint="eastAsia" w:ascii="仿宋" w:hAnsi="仿宋" w:eastAsia="仿宋" w:cs="仿宋"/>
                <w:color w:val="auto"/>
                <w:kern w:val="2"/>
                <w:highlight w:val="none"/>
                <w:lang w:bidi="ar"/>
              </w:rPr>
              <w:t>按工作计划</w:t>
            </w:r>
          </w:p>
        </w:tc>
        <w:tc>
          <w:tcPr>
            <w:tcW w:w="1495" w:type="dxa"/>
            <w:tcBorders>
              <w:top w:val="single" w:color="000000" w:sz="8" w:space="0"/>
              <w:left w:val="single" w:color="000000" w:sz="8" w:space="0"/>
              <w:bottom w:val="single" w:color="000000" w:sz="8" w:space="0"/>
              <w:right w:val="single" w:color="000000" w:sz="8" w:space="0"/>
            </w:tcBorders>
            <w:noWrap w:val="0"/>
            <w:vAlign w:val="center"/>
          </w:tcPr>
          <w:p w14:paraId="5E9DB815">
            <w:pPr>
              <w:ind w:firstLine="86" w:firstLineChars="36"/>
              <w:rPr>
                <w:rFonts w:hint="eastAsia" w:ascii="仿宋" w:hAnsi="仿宋" w:eastAsia="仿宋" w:cs="仿宋"/>
                <w:color w:val="auto"/>
                <w:highlight w:val="none"/>
              </w:rPr>
            </w:pPr>
            <w:r>
              <w:rPr>
                <w:rFonts w:hint="eastAsia" w:ascii="仿宋" w:hAnsi="仿宋" w:eastAsia="仿宋" w:cs="仿宋"/>
                <w:color w:val="auto"/>
                <w:kern w:val="2"/>
                <w:highlight w:val="none"/>
                <w:lang w:val="en-US" w:eastAsia="zh-CN" w:bidi="ar"/>
              </w:rPr>
              <w:t>3</w:t>
            </w:r>
            <w:r>
              <w:rPr>
                <w:rFonts w:hint="eastAsia" w:ascii="仿宋" w:hAnsi="仿宋" w:eastAsia="仿宋" w:cs="仿宋"/>
                <w:color w:val="auto"/>
                <w:kern w:val="2"/>
                <w:highlight w:val="none"/>
                <w:lang w:eastAsia="zh-CN" w:bidi="ar"/>
              </w:rPr>
              <w:t>0</w:t>
            </w:r>
            <w:r>
              <w:rPr>
                <w:rFonts w:hint="eastAsia" w:ascii="仿宋" w:hAnsi="仿宋" w:eastAsia="仿宋" w:cs="仿宋"/>
                <w:color w:val="auto"/>
                <w:kern w:val="2"/>
                <w:highlight w:val="none"/>
                <w:lang w:bidi="ar"/>
              </w:rPr>
              <w:t>份，或按甲方要求提供</w:t>
            </w:r>
          </w:p>
        </w:tc>
        <w:tc>
          <w:tcPr>
            <w:tcW w:w="1944" w:type="dxa"/>
            <w:tcBorders>
              <w:top w:val="single" w:color="000000" w:sz="8" w:space="0"/>
              <w:left w:val="single" w:color="000000" w:sz="8" w:space="0"/>
              <w:bottom w:val="single" w:color="000000" w:sz="8" w:space="0"/>
              <w:right w:val="single" w:color="000000" w:sz="8" w:space="0"/>
            </w:tcBorders>
            <w:noWrap w:val="0"/>
            <w:vAlign w:val="center"/>
          </w:tcPr>
          <w:p w14:paraId="6DB202B3">
            <w:pPr>
              <w:rPr>
                <w:rFonts w:hint="eastAsia" w:ascii="仿宋" w:hAnsi="仿宋" w:eastAsia="仿宋" w:cs="仿宋"/>
                <w:color w:val="auto"/>
                <w:highlight w:val="none"/>
                <w:lang w:eastAsia="zh-CN"/>
              </w:rPr>
            </w:pPr>
            <w:r>
              <w:rPr>
                <w:rFonts w:hint="eastAsia" w:ascii="仿宋" w:hAnsi="仿宋" w:eastAsia="仿宋" w:cs="仿宋"/>
                <w:color w:val="auto"/>
                <w:kern w:val="2"/>
                <w:highlight w:val="none"/>
                <w:lang w:eastAsia="zh-CN" w:bidi="ar"/>
              </w:rPr>
              <w:t>正式纸质文件、电子文档3份</w:t>
            </w:r>
          </w:p>
        </w:tc>
      </w:tr>
      <w:tr w14:paraId="4984F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1020" w:hRule="atLeast"/>
          <w:jc w:val="center"/>
        </w:trPr>
        <w:tc>
          <w:tcPr>
            <w:tcW w:w="810" w:type="dxa"/>
            <w:tcBorders>
              <w:top w:val="single" w:color="000000" w:sz="8" w:space="0"/>
              <w:left w:val="single" w:color="000000" w:sz="8" w:space="0"/>
              <w:bottom w:val="single" w:color="000000" w:sz="8" w:space="0"/>
              <w:right w:val="single" w:color="000000" w:sz="8" w:space="0"/>
            </w:tcBorders>
            <w:noWrap w:val="0"/>
            <w:vAlign w:val="center"/>
          </w:tcPr>
          <w:p w14:paraId="3141E746">
            <w:pPr>
              <w:spacing w:line="600" w:lineRule="exact"/>
              <w:rPr>
                <w:rFonts w:hint="eastAsia" w:ascii="仿宋" w:hAnsi="仿宋" w:eastAsia="仿宋" w:cs="仿宋"/>
                <w:color w:val="auto"/>
                <w:highlight w:val="none"/>
              </w:rPr>
            </w:pPr>
            <w:r>
              <w:rPr>
                <w:rFonts w:hint="eastAsia" w:ascii="仿宋" w:hAnsi="仿宋" w:eastAsia="仿宋" w:cs="仿宋"/>
                <w:color w:val="auto"/>
                <w:kern w:val="2"/>
                <w:highlight w:val="none"/>
                <w:lang w:bidi="ar"/>
              </w:rPr>
              <w:t>3</w:t>
            </w:r>
          </w:p>
        </w:tc>
        <w:tc>
          <w:tcPr>
            <w:tcW w:w="3380" w:type="dxa"/>
            <w:tcBorders>
              <w:top w:val="single" w:color="000000" w:sz="8" w:space="0"/>
              <w:left w:val="single" w:color="000000" w:sz="8" w:space="0"/>
              <w:bottom w:val="single" w:color="000000" w:sz="8" w:space="0"/>
              <w:right w:val="single" w:color="000000" w:sz="8" w:space="0"/>
            </w:tcBorders>
            <w:noWrap w:val="0"/>
            <w:vAlign w:val="center"/>
          </w:tcPr>
          <w:p w14:paraId="30D6567F">
            <w:pPr>
              <w:ind w:leftChars="-13" w:hanging="31" w:hangingChars="13"/>
              <w:rPr>
                <w:rFonts w:hint="eastAsia" w:ascii="仿宋" w:hAnsi="仿宋" w:eastAsia="仿宋" w:cs="仿宋"/>
                <w:color w:val="auto"/>
                <w:highlight w:val="none"/>
                <w:lang w:eastAsia="zh-CN"/>
              </w:rPr>
            </w:pPr>
            <w:r>
              <w:rPr>
                <w:rFonts w:hint="eastAsia" w:ascii="仿宋" w:hAnsi="仿宋" w:eastAsia="仿宋" w:cs="仿宋"/>
                <w:color w:val="auto"/>
                <w:kern w:val="2"/>
                <w:highlight w:val="none"/>
                <w:lang w:eastAsia="zh-CN" w:bidi="ar"/>
              </w:rPr>
              <w:t>规划报建相关设计成果文件</w:t>
            </w:r>
          </w:p>
        </w:tc>
        <w:tc>
          <w:tcPr>
            <w:tcW w:w="1897" w:type="dxa"/>
            <w:tcBorders>
              <w:top w:val="single" w:color="000000" w:sz="8" w:space="0"/>
              <w:left w:val="single" w:color="000000" w:sz="8" w:space="0"/>
              <w:bottom w:val="single" w:color="000000" w:sz="8" w:space="0"/>
              <w:right w:val="single" w:color="000000" w:sz="8" w:space="0"/>
            </w:tcBorders>
            <w:noWrap w:val="0"/>
            <w:vAlign w:val="center"/>
          </w:tcPr>
          <w:p w14:paraId="3300232A">
            <w:pPr>
              <w:ind w:leftChars="-24" w:hanging="57" w:hangingChars="24"/>
              <w:rPr>
                <w:rFonts w:hint="eastAsia" w:ascii="仿宋" w:hAnsi="仿宋" w:eastAsia="仿宋" w:cs="仿宋"/>
                <w:color w:val="auto"/>
                <w:highlight w:val="none"/>
              </w:rPr>
            </w:pPr>
            <w:r>
              <w:rPr>
                <w:rFonts w:hint="eastAsia" w:ascii="仿宋" w:hAnsi="仿宋" w:eastAsia="仿宋" w:cs="仿宋"/>
                <w:color w:val="auto"/>
                <w:kern w:val="2"/>
                <w:highlight w:val="none"/>
                <w:lang w:bidi="ar"/>
              </w:rPr>
              <w:t>按工作计划</w:t>
            </w:r>
          </w:p>
        </w:tc>
        <w:tc>
          <w:tcPr>
            <w:tcW w:w="1495" w:type="dxa"/>
            <w:tcBorders>
              <w:top w:val="single" w:color="000000" w:sz="8" w:space="0"/>
              <w:left w:val="single" w:color="000000" w:sz="8" w:space="0"/>
              <w:bottom w:val="single" w:color="000000" w:sz="8" w:space="0"/>
              <w:right w:val="single" w:color="000000" w:sz="8" w:space="0"/>
            </w:tcBorders>
            <w:noWrap w:val="0"/>
            <w:vAlign w:val="center"/>
          </w:tcPr>
          <w:p w14:paraId="4BE81D03">
            <w:pPr>
              <w:ind w:firstLine="86" w:firstLineChars="36"/>
              <w:rPr>
                <w:rFonts w:hint="eastAsia" w:ascii="仿宋" w:hAnsi="仿宋" w:eastAsia="仿宋" w:cs="仿宋"/>
                <w:color w:val="auto"/>
                <w:highlight w:val="none"/>
                <w:lang w:eastAsia="zh-CN"/>
              </w:rPr>
            </w:pPr>
            <w:r>
              <w:rPr>
                <w:rFonts w:hint="eastAsia" w:ascii="仿宋" w:hAnsi="仿宋" w:eastAsia="仿宋" w:cs="仿宋"/>
                <w:color w:val="auto"/>
                <w:kern w:val="2"/>
                <w:highlight w:val="none"/>
                <w:lang w:eastAsia="zh-CN" w:bidi="ar"/>
              </w:rPr>
              <w:t>按报建要求或甲方要求提供</w:t>
            </w:r>
          </w:p>
        </w:tc>
        <w:tc>
          <w:tcPr>
            <w:tcW w:w="1944" w:type="dxa"/>
            <w:tcBorders>
              <w:top w:val="single" w:color="000000" w:sz="8" w:space="0"/>
              <w:left w:val="single" w:color="000000" w:sz="8" w:space="0"/>
              <w:bottom w:val="single" w:color="000000" w:sz="8" w:space="0"/>
              <w:right w:val="single" w:color="000000" w:sz="8" w:space="0"/>
            </w:tcBorders>
            <w:noWrap w:val="0"/>
            <w:vAlign w:val="center"/>
          </w:tcPr>
          <w:p w14:paraId="01D3A820">
            <w:pPr>
              <w:rPr>
                <w:rFonts w:hint="eastAsia" w:ascii="仿宋" w:hAnsi="仿宋" w:eastAsia="仿宋" w:cs="仿宋"/>
                <w:color w:val="auto"/>
                <w:highlight w:val="none"/>
                <w:lang w:eastAsia="zh-CN"/>
              </w:rPr>
            </w:pPr>
            <w:r>
              <w:rPr>
                <w:rFonts w:hint="eastAsia" w:ascii="仿宋" w:hAnsi="仿宋" w:eastAsia="仿宋" w:cs="仿宋"/>
                <w:color w:val="auto"/>
                <w:kern w:val="2"/>
                <w:highlight w:val="none"/>
                <w:lang w:eastAsia="zh-CN" w:bidi="ar"/>
              </w:rPr>
              <w:t>正式纸质文件、电子文档3份</w:t>
            </w:r>
          </w:p>
        </w:tc>
      </w:tr>
      <w:tr w14:paraId="7C17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906" w:hRule="atLeast"/>
          <w:jc w:val="center"/>
        </w:trPr>
        <w:tc>
          <w:tcPr>
            <w:tcW w:w="810" w:type="dxa"/>
            <w:tcBorders>
              <w:top w:val="single" w:color="000000" w:sz="8" w:space="0"/>
              <w:left w:val="single" w:color="000000" w:sz="8" w:space="0"/>
              <w:bottom w:val="single" w:color="000000" w:sz="8" w:space="0"/>
              <w:right w:val="single" w:color="000000" w:sz="8" w:space="0"/>
            </w:tcBorders>
            <w:noWrap w:val="0"/>
            <w:vAlign w:val="center"/>
          </w:tcPr>
          <w:p w14:paraId="26FE8DB8">
            <w:pPr>
              <w:spacing w:line="600" w:lineRule="exact"/>
              <w:rPr>
                <w:rFonts w:hint="eastAsia" w:ascii="仿宋" w:hAnsi="仿宋" w:eastAsia="仿宋" w:cs="仿宋"/>
                <w:color w:val="auto"/>
                <w:highlight w:val="none"/>
              </w:rPr>
            </w:pPr>
            <w:r>
              <w:rPr>
                <w:rFonts w:hint="eastAsia" w:ascii="仿宋" w:hAnsi="仿宋" w:eastAsia="仿宋" w:cs="仿宋"/>
                <w:color w:val="auto"/>
                <w:kern w:val="2"/>
                <w:highlight w:val="none"/>
                <w:lang w:bidi="ar"/>
              </w:rPr>
              <w:t>4</w:t>
            </w:r>
          </w:p>
        </w:tc>
        <w:tc>
          <w:tcPr>
            <w:tcW w:w="3380" w:type="dxa"/>
            <w:tcBorders>
              <w:top w:val="single" w:color="000000" w:sz="8" w:space="0"/>
              <w:left w:val="single" w:color="000000" w:sz="8" w:space="0"/>
              <w:bottom w:val="single" w:color="000000" w:sz="8" w:space="0"/>
              <w:right w:val="single" w:color="000000" w:sz="8" w:space="0"/>
            </w:tcBorders>
            <w:noWrap w:val="0"/>
            <w:vAlign w:val="center"/>
          </w:tcPr>
          <w:p w14:paraId="265E5CB5">
            <w:pPr>
              <w:ind w:leftChars="-13" w:hanging="31" w:hangingChars="13"/>
              <w:rPr>
                <w:rFonts w:hint="eastAsia" w:ascii="仿宋" w:hAnsi="仿宋" w:eastAsia="仿宋" w:cs="仿宋"/>
                <w:color w:val="auto"/>
                <w:highlight w:val="none"/>
                <w:lang w:eastAsia="zh-CN"/>
              </w:rPr>
            </w:pPr>
            <w:r>
              <w:rPr>
                <w:rFonts w:hint="eastAsia" w:ascii="仿宋" w:hAnsi="仿宋" w:eastAsia="仿宋" w:cs="仿宋"/>
                <w:color w:val="auto"/>
                <w:kern w:val="2"/>
                <w:highlight w:val="none"/>
                <w:lang w:eastAsia="zh-CN" w:bidi="ar"/>
              </w:rPr>
              <w:t>方案审批设计成果文件</w:t>
            </w:r>
          </w:p>
        </w:tc>
        <w:tc>
          <w:tcPr>
            <w:tcW w:w="1897" w:type="dxa"/>
            <w:tcBorders>
              <w:top w:val="single" w:color="000000" w:sz="8" w:space="0"/>
              <w:left w:val="single" w:color="000000" w:sz="8" w:space="0"/>
              <w:bottom w:val="single" w:color="000000" w:sz="8" w:space="0"/>
              <w:right w:val="single" w:color="000000" w:sz="8" w:space="0"/>
            </w:tcBorders>
            <w:noWrap w:val="0"/>
            <w:vAlign w:val="center"/>
          </w:tcPr>
          <w:p w14:paraId="3A5901EB">
            <w:pPr>
              <w:ind w:leftChars="-24" w:hanging="57" w:hangingChars="24"/>
              <w:rPr>
                <w:rFonts w:hint="eastAsia" w:ascii="仿宋" w:hAnsi="仿宋" w:eastAsia="仿宋" w:cs="仿宋"/>
                <w:color w:val="auto"/>
                <w:highlight w:val="none"/>
              </w:rPr>
            </w:pPr>
            <w:r>
              <w:rPr>
                <w:rFonts w:hint="eastAsia" w:ascii="仿宋" w:hAnsi="仿宋" w:eastAsia="仿宋" w:cs="仿宋"/>
                <w:color w:val="auto"/>
                <w:kern w:val="2"/>
                <w:highlight w:val="none"/>
                <w:lang w:bidi="ar"/>
              </w:rPr>
              <w:t>按工作计划</w:t>
            </w:r>
          </w:p>
        </w:tc>
        <w:tc>
          <w:tcPr>
            <w:tcW w:w="1495" w:type="dxa"/>
            <w:tcBorders>
              <w:top w:val="single" w:color="000000" w:sz="8" w:space="0"/>
              <w:left w:val="single" w:color="000000" w:sz="8" w:space="0"/>
              <w:bottom w:val="single" w:color="000000" w:sz="8" w:space="0"/>
              <w:right w:val="single" w:color="000000" w:sz="8" w:space="0"/>
            </w:tcBorders>
            <w:noWrap w:val="0"/>
            <w:vAlign w:val="center"/>
          </w:tcPr>
          <w:p w14:paraId="4057D2CB">
            <w:pPr>
              <w:ind w:firstLine="86" w:firstLineChars="36"/>
              <w:rPr>
                <w:rFonts w:hint="eastAsia" w:ascii="仿宋" w:hAnsi="仿宋" w:eastAsia="仿宋" w:cs="仿宋"/>
                <w:color w:val="auto"/>
                <w:highlight w:val="none"/>
                <w:lang w:eastAsia="zh-CN"/>
              </w:rPr>
            </w:pPr>
            <w:r>
              <w:rPr>
                <w:rFonts w:hint="eastAsia" w:ascii="仿宋" w:hAnsi="仿宋" w:eastAsia="仿宋" w:cs="仿宋"/>
                <w:color w:val="auto"/>
                <w:kern w:val="2"/>
                <w:highlight w:val="none"/>
                <w:lang w:eastAsia="zh-CN" w:bidi="ar"/>
              </w:rPr>
              <w:t>按报建要求或甲方要求提供</w:t>
            </w:r>
          </w:p>
        </w:tc>
        <w:tc>
          <w:tcPr>
            <w:tcW w:w="1944" w:type="dxa"/>
            <w:tcBorders>
              <w:top w:val="single" w:color="000000" w:sz="8" w:space="0"/>
              <w:left w:val="single" w:color="000000" w:sz="8" w:space="0"/>
              <w:bottom w:val="single" w:color="000000" w:sz="8" w:space="0"/>
              <w:right w:val="single" w:color="000000" w:sz="8" w:space="0"/>
            </w:tcBorders>
            <w:noWrap w:val="0"/>
            <w:vAlign w:val="center"/>
          </w:tcPr>
          <w:p w14:paraId="74427609">
            <w:pPr>
              <w:rPr>
                <w:rFonts w:hint="eastAsia" w:ascii="仿宋" w:hAnsi="仿宋" w:eastAsia="仿宋" w:cs="仿宋"/>
                <w:color w:val="auto"/>
                <w:highlight w:val="none"/>
                <w:lang w:eastAsia="zh-CN"/>
              </w:rPr>
            </w:pPr>
            <w:r>
              <w:rPr>
                <w:rFonts w:hint="eastAsia" w:ascii="仿宋" w:hAnsi="仿宋" w:eastAsia="仿宋" w:cs="仿宋"/>
                <w:color w:val="auto"/>
                <w:kern w:val="2"/>
                <w:highlight w:val="none"/>
                <w:lang w:eastAsia="zh-CN" w:bidi="ar"/>
              </w:rPr>
              <w:t>正式纸质文件、电子文档3份</w:t>
            </w:r>
          </w:p>
        </w:tc>
      </w:tr>
      <w:tr w14:paraId="76736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1279" w:hRule="atLeast"/>
          <w:jc w:val="center"/>
        </w:trPr>
        <w:tc>
          <w:tcPr>
            <w:tcW w:w="810" w:type="dxa"/>
            <w:tcBorders>
              <w:top w:val="single" w:color="000000" w:sz="8" w:space="0"/>
              <w:left w:val="single" w:color="000000" w:sz="8" w:space="0"/>
              <w:bottom w:val="single" w:color="000000" w:sz="8" w:space="0"/>
              <w:right w:val="single" w:color="000000" w:sz="8" w:space="0"/>
            </w:tcBorders>
            <w:noWrap w:val="0"/>
            <w:vAlign w:val="center"/>
          </w:tcPr>
          <w:p w14:paraId="342D8EE5">
            <w:pPr>
              <w:spacing w:line="600" w:lineRule="exact"/>
              <w:rPr>
                <w:rFonts w:hint="eastAsia" w:ascii="仿宋" w:hAnsi="仿宋" w:eastAsia="仿宋" w:cs="仿宋"/>
                <w:color w:val="auto"/>
                <w:highlight w:val="none"/>
              </w:rPr>
            </w:pPr>
            <w:r>
              <w:rPr>
                <w:rFonts w:hint="eastAsia" w:ascii="仿宋" w:hAnsi="仿宋" w:eastAsia="仿宋" w:cs="仿宋"/>
                <w:color w:val="auto"/>
                <w:kern w:val="2"/>
                <w:highlight w:val="none"/>
                <w:lang w:bidi="ar"/>
              </w:rPr>
              <w:t>5</w:t>
            </w:r>
          </w:p>
        </w:tc>
        <w:tc>
          <w:tcPr>
            <w:tcW w:w="3380" w:type="dxa"/>
            <w:tcBorders>
              <w:top w:val="single" w:color="000000" w:sz="8" w:space="0"/>
              <w:left w:val="single" w:color="000000" w:sz="8" w:space="0"/>
              <w:bottom w:val="single" w:color="000000" w:sz="8" w:space="0"/>
              <w:right w:val="single" w:color="000000" w:sz="8" w:space="0"/>
            </w:tcBorders>
            <w:noWrap w:val="0"/>
            <w:vAlign w:val="center"/>
          </w:tcPr>
          <w:p w14:paraId="061637F8">
            <w:pPr>
              <w:ind w:leftChars="-13" w:hanging="31" w:hangingChars="13"/>
              <w:rPr>
                <w:rFonts w:hint="eastAsia" w:ascii="仿宋" w:hAnsi="仿宋" w:eastAsia="仿宋" w:cs="仿宋"/>
                <w:color w:val="auto"/>
                <w:highlight w:val="none"/>
                <w:lang w:eastAsia="zh-CN"/>
              </w:rPr>
            </w:pPr>
            <w:r>
              <w:rPr>
                <w:rFonts w:hint="eastAsia" w:ascii="仿宋" w:hAnsi="仿宋" w:eastAsia="仿宋" w:cs="仿宋"/>
                <w:color w:val="auto"/>
                <w:kern w:val="2"/>
                <w:highlight w:val="none"/>
                <w:lang w:eastAsia="zh-CN" w:bidi="ar"/>
              </w:rPr>
              <w:t>初步设计成果文件（含概算）</w:t>
            </w:r>
          </w:p>
        </w:tc>
        <w:tc>
          <w:tcPr>
            <w:tcW w:w="1897" w:type="dxa"/>
            <w:tcBorders>
              <w:top w:val="single" w:color="000000" w:sz="8" w:space="0"/>
              <w:left w:val="single" w:color="000000" w:sz="8" w:space="0"/>
              <w:bottom w:val="single" w:color="000000" w:sz="8" w:space="0"/>
              <w:right w:val="single" w:color="000000" w:sz="8" w:space="0"/>
            </w:tcBorders>
            <w:noWrap w:val="0"/>
            <w:vAlign w:val="center"/>
          </w:tcPr>
          <w:p w14:paraId="03F940E5">
            <w:pPr>
              <w:ind w:leftChars="-24" w:hanging="57" w:hangingChars="24"/>
              <w:rPr>
                <w:rFonts w:hint="default" w:ascii="仿宋" w:hAnsi="仿宋" w:eastAsia="仿宋" w:cs="仿宋"/>
                <w:color w:val="auto"/>
                <w:highlight w:val="none"/>
                <w:lang w:eastAsia="zh-CN"/>
              </w:rPr>
            </w:pPr>
            <w:r>
              <w:rPr>
                <w:rFonts w:hint="eastAsia" w:ascii="仿宋" w:hAnsi="仿宋" w:eastAsia="仿宋" w:cs="仿宋"/>
                <w:color w:val="auto"/>
                <w:highlight w:val="none"/>
                <w:lang w:eastAsia="zh-CN"/>
              </w:rPr>
              <w:t>合同签订</w:t>
            </w:r>
            <w:r>
              <w:rPr>
                <w:rFonts w:hint="eastAsia" w:ascii="仿宋" w:hAnsi="仿宋" w:eastAsia="仿宋" w:cs="仿宋"/>
                <w:color w:val="auto"/>
                <w:highlight w:val="none"/>
                <w:lang w:eastAsia="zh-CN" w:bidi="ar"/>
              </w:rPr>
              <w:t>后</w:t>
            </w:r>
            <w:r>
              <w:rPr>
                <w:rFonts w:hint="eastAsia" w:ascii="仿宋" w:hAnsi="仿宋" w:eastAsia="仿宋" w:cs="仿宋"/>
                <w:color w:val="auto"/>
                <w:highlight w:val="none"/>
                <w:lang w:val="en-US" w:eastAsia="zh-CN" w:bidi="ar"/>
              </w:rPr>
              <w:t>120</w:t>
            </w:r>
            <w:r>
              <w:rPr>
                <w:rFonts w:hint="eastAsia" w:ascii="仿宋" w:hAnsi="仿宋" w:eastAsia="仿宋" w:cs="仿宋"/>
                <w:color w:val="auto"/>
                <w:highlight w:val="none"/>
                <w:lang w:eastAsia="zh-CN" w:bidi="ar"/>
              </w:rPr>
              <w:t>天内</w:t>
            </w:r>
            <w:r>
              <w:rPr>
                <w:rFonts w:hint="eastAsia" w:ascii="仿宋" w:hAnsi="仿宋" w:eastAsia="仿宋" w:cs="仿宋"/>
                <w:color w:val="auto"/>
                <w:highlight w:val="none"/>
                <w:lang w:val="en-US" w:eastAsia="zh-CN" w:bidi="ar"/>
              </w:rPr>
              <w:t>正式申报概算</w:t>
            </w:r>
          </w:p>
        </w:tc>
        <w:tc>
          <w:tcPr>
            <w:tcW w:w="1495" w:type="dxa"/>
            <w:tcBorders>
              <w:top w:val="single" w:color="000000" w:sz="8" w:space="0"/>
              <w:left w:val="single" w:color="000000" w:sz="8" w:space="0"/>
              <w:bottom w:val="single" w:color="000000" w:sz="8" w:space="0"/>
              <w:right w:val="single" w:color="000000" w:sz="8" w:space="0"/>
            </w:tcBorders>
            <w:noWrap w:val="0"/>
            <w:vAlign w:val="center"/>
          </w:tcPr>
          <w:p w14:paraId="787452B7">
            <w:pPr>
              <w:ind w:firstLine="86" w:firstLineChars="36"/>
              <w:rPr>
                <w:rFonts w:hint="eastAsia" w:ascii="仿宋" w:hAnsi="仿宋" w:eastAsia="仿宋" w:cs="仿宋"/>
                <w:color w:val="auto"/>
                <w:highlight w:val="none"/>
              </w:rPr>
            </w:pPr>
            <w:r>
              <w:rPr>
                <w:rFonts w:hint="eastAsia" w:ascii="仿宋" w:hAnsi="仿宋" w:eastAsia="仿宋" w:cs="仿宋"/>
                <w:color w:val="auto"/>
                <w:kern w:val="2"/>
                <w:highlight w:val="none"/>
                <w:lang w:val="en-US" w:eastAsia="zh-CN" w:bidi="ar"/>
              </w:rPr>
              <w:t>3</w:t>
            </w:r>
            <w:r>
              <w:rPr>
                <w:rFonts w:hint="eastAsia" w:ascii="仿宋" w:hAnsi="仿宋" w:eastAsia="仿宋" w:cs="仿宋"/>
                <w:color w:val="auto"/>
                <w:kern w:val="2"/>
                <w:highlight w:val="none"/>
                <w:lang w:eastAsia="zh-CN" w:bidi="ar"/>
              </w:rPr>
              <w:t>0</w:t>
            </w:r>
            <w:r>
              <w:rPr>
                <w:rFonts w:hint="eastAsia" w:ascii="仿宋" w:hAnsi="仿宋" w:eastAsia="仿宋" w:cs="仿宋"/>
                <w:color w:val="auto"/>
                <w:kern w:val="2"/>
                <w:highlight w:val="none"/>
                <w:lang w:bidi="ar"/>
              </w:rPr>
              <w:t>份，或按甲方要求提供</w:t>
            </w:r>
          </w:p>
        </w:tc>
        <w:tc>
          <w:tcPr>
            <w:tcW w:w="1944" w:type="dxa"/>
            <w:tcBorders>
              <w:top w:val="single" w:color="000000" w:sz="8" w:space="0"/>
              <w:left w:val="single" w:color="000000" w:sz="8" w:space="0"/>
              <w:bottom w:val="single" w:color="000000" w:sz="8" w:space="0"/>
              <w:right w:val="single" w:color="000000" w:sz="8" w:space="0"/>
            </w:tcBorders>
            <w:noWrap w:val="0"/>
            <w:vAlign w:val="center"/>
          </w:tcPr>
          <w:p w14:paraId="526B8B79">
            <w:pPr>
              <w:rPr>
                <w:rFonts w:hint="eastAsia" w:ascii="仿宋" w:hAnsi="仿宋" w:eastAsia="仿宋" w:cs="仿宋"/>
                <w:color w:val="auto"/>
                <w:highlight w:val="none"/>
                <w:lang w:eastAsia="zh-CN"/>
              </w:rPr>
            </w:pPr>
            <w:r>
              <w:rPr>
                <w:rFonts w:hint="eastAsia" w:ascii="仿宋" w:hAnsi="仿宋" w:eastAsia="仿宋" w:cs="仿宋"/>
                <w:color w:val="auto"/>
                <w:kern w:val="2"/>
                <w:highlight w:val="none"/>
                <w:lang w:eastAsia="zh-CN" w:bidi="ar"/>
              </w:rPr>
              <w:t>正式纸质文件、电子文档3份（含符合评审要求的软件版）</w:t>
            </w:r>
          </w:p>
        </w:tc>
      </w:tr>
      <w:tr w14:paraId="508EB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630" w:hRule="atLeast"/>
          <w:jc w:val="center"/>
        </w:trPr>
        <w:tc>
          <w:tcPr>
            <w:tcW w:w="810" w:type="dxa"/>
            <w:tcBorders>
              <w:top w:val="single" w:color="000000" w:sz="8" w:space="0"/>
              <w:left w:val="single" w:color="000000" w:sz="8" w:space="0"/>
              <w:bottom w:val="single" w:color="000000" w:sz="8" w:space="0"/>
              <w:right w:val="single" w:color="000000" w:sz="8" w:space="0"/>
            </w:tcBorders>
            <w:noWrap w:val="0"/>
            <w:vAlign w:val="center"/>
          </w:tcPr>
          <w:p w14:paraId="19A23190">
            <w:pPr>
              <w:spacing w:line="600" w:lineRule="exact"/>
              <w:rPr>
                <w:rFonts w:hint="eastAsia" w:ascii="仿宋" w:hAnsi="仿宋" w:eastAsia="仿宋" w:cs="仿宋"/>
                <w:color w:val="auto"/>
                <w:highlight w:val="none"/>
              </w:rPr>
            </w:pPr>
            <w:r>
              <w:rPr>
                <w:rFonts w:hint="eastAsia" w:ascii="仿宋" w:hAnsi="仿宋" w:eastAsia="仿宋" w:cs="仿宋"/>
                <w:color w:val="auto"/>
                <w:kern w:val="2"/>
                <w:highlight w:val="none"/>
                <w:lang w:bidi="ar"/>
              </w:rPr>
              <w:t>6</w:t>
            </w:r>
          </w:p>
        </w:tc>
        <w:tc>
          <w:tcPr>
            <w:tcW w:w="3380" w:type="dxa"/>
            <w:tcBorders>
              <w:top w:val="single" w:color="000000" w:sz="8" w:space="0"/>
              <w:left w:val="single" w:color="000000" w:sz="8" w:space="0"/>
              <w:bottom w:val="single" w:color="000000" w:sz="8" w:space="0"/>
              <w:right w:val="single" w:color="000000" w:sz="8" w:space="0"/>
            </w:tcBorders>
            <w:noWrap w:val="0"/>
            <w:vAlign w:val="center"/>
          </w:tcPr>
          <w:p w14:paraId="5BEC95A9">
            <w:pPr>
              <w:ind w:leftChars="-13" w:hanging="31" w:hangingChars="13"/>
              <w:rPr>
                <w:rFonts w:hint="eastAsia" w:ascii="仿宋" w:hAnsi="仿宋" w:eastAsia="仿宋" w:cs="仿宋"/>
                <w:color w:val="auto"/>
                <w:highlight w:val="none"/>
                <w:lang w:eastAsia="zh-CN"/>
              </w:rPr>
            </w:pPr>
            <w:r>
              <w:rPr>
                <w:rFonts w:hint="eastAsia" w:ascii="仿宋" w:hAnsi="仿宋" w:eastAsia="仿宋" w:cs="仿宋"/>
                <w:color w:val="auto"/>
                <w:kern w:val="2"/>
                <w:highlight w:val="none"/>
                <w:lang w:eastAsia="zh-CN" w:bidi="ar"/>
              </w:rPr>
              <w:t>初步设计阶段相关报批成果文件</w:t>
            </w:r>
          </w:p>
        </w:tc>
        <w:tc>
          <w:tcPr>
            <w:tcW w:w="1897" w:type="dxa"/>
            <w:tcBorders>
              <w:top w:val="single" w:color="000000" w:sz="8" w:space="0"/>
              <w:left w:val="single" w:color="000000" w:sz="8" w:space="0"/>
              <w:bottom w:val="single" w:color="000000" w:sz="8" w:space="0"/>
              <w:right w:val="single" w:color="000000" w:sz="8" w:space="0"/>
            </w:tcBorders>
            <w:noWrap w:val="0"/>
            <w:vAlign w:val="center"/>
          </w:tcPr>
          <w:p w14:paraId="4D57E289">
            <w:pPr>
              <w:ind w:leftChars="-24" w:hanging="57" w:hangingChars="24"/>
              <w:rPr>
                <w:rFonts w:hint="eastAsia" w:ascii="仿宋" w:hAnsi="仿宋" w:eastAsia="仿宋" w:cs="仿宋"/>
                <w:color w:val="auto"/>
                <w:highlight w:val="none"/>
              </w:rPr>
            </w:pPr>
            <w:r>
              <w:rPr>
                <w:rFonts w:hint="eastAsia" w:ascii="仿宋" w:hAnsi="仿宋" w:eastAsia="仿宋" w:cs="仿宋"/>
                <w:color w:val="auto"/>
                <w:kern w:val="2"/>
                <w:highlight w:val="none"/>
                <w:lang w:bidi="ar"/>
              </w:rPr>
              <w:t>按工作计划</w:t>
            </w:r>
          </w:p>
        </w:tc>
        <w:tc>
          <w:tcPr>
            <w:tcW w:w="1495" w:type="dxa"/>
            <w:tcBorders>
              <w:top w:val="single" w:color="000000" w:sz="8" w:space="0"/>
              <w:left w:val="single" w:color="000000" w:sz="8" w:space="0"/>
              <w:bottom w:val="single" w:color="000000" w:sz="8" w:space="0"/>
              <w:right w:val="single" w:color="000000" w:sz="8" w:space="0"/>
            </w:tcBorders>
            <w:noWrap w:val="0"/>
            <w:vAlign w:val="center"/>
          </w:tcPr>
          <w:p w14:paraId="2B0C75F3">
            <w:pPr>
              <w:ind w:firstLine="86" w:firstLineChars="36"/>
              <w:rPr>
                <w:rFonts w:hint="eastAsia" w:ascii="仿宋" w:hAnsi="仿宋" w:eastAsia="仿宋" w:cs="仿宋"/>
                <w:color w:val="auto"/>
                <w:highlight w:val="none"/>
                <w:lang w:eastAsia="zh-CN"/>
              </w:rPr>
            </w:pPr>
            <w:r>
              <w:rPr>
                <w:rFonts w:hint="eastAsia" w:ascii="仿宋" w:hAnsi="仿宋" w:eastAsia="仿宋" w:cs="仿宋"/>
                <w:color w:val="auto"/>
                <w:kern w:val="2"/>
                <w:highlight w:val="none"/>
                <w:lang w:eastAsia="zh-CN" w:bidi="ar"/>
              </w:rPr>
              <w:t>按报建要求或甲方要求提供</w:t>
            </w:r>
          </w:p>
        </w:tc>
        <w:tc>
          <w:tcPr>
            <w:tcW w:w="1944" w:type="dxa"/>
            <w:tcBorders>
              <w:top w:val="single" w:color="000000" w:sz="8" w:space="0"/>
              <w:left w:val="single" w:color="000000" w:sz="8" w:space="0"/>
              <w:bottom w:val="single" w:color="000000" w:sz="8" w:space="0"/>
              <w:right w:val="single" w:color="000000" w:sz="8" w:space="0"/>
            </w:tcBorders>
            <w:noWrap w:val="0"/>
            <w:vAlign w:val="center"/>
          </w:tcPr>
          <w:p w14:paraId="0608C31F">
            <w:pPr>
              <w:rPr>
                <w:rFonts w:hint="eastAsia" w:ascii="仿宋" w:hAnsi="仿宋" w:eastAsia="仿宋" w:cs="仿宋"/>
                <w:color w:val="auto"/>
                <w:highlight w:val="none"/>
                <w:lang w:eastAsia="zh-CN"/>
              </w:rPr>
            </w:pPr>
            <w:r>
              <w:rPr>
                <w:rFonts w:hint="eastAsia" w:ascii="仿宋" w:hAnsi="仿宋" w:eastAsia="仿宋" w:cs="仿宋"/>
                <w:color w:val="auto"/>
                <w:kern w:val="2"/>
                <w:highlight w:val="none"/>
                <w:lang w:eastAsia="zh-CN" w:bidi="ar"/>
              </w:rPr>
              <w:t>正式纸质文件、电子文档3份</w:t>
            </w:r>
          </w:p>
        </w:tc>
      </w:tr>
      <w:tr w14:paraId="04984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630" w:hRule="atLeast"/>
          <w:jc w:val="center"/>
        </w:trPr>
        <w:tc>
          <w:tcPr>
            <w:tcW w:w="810" w:type="dxa"/>
            <w:tcBorders>
              <w:top w:val="single" w:color="000000" w:sz="8" w:space="0"/>
              <w:left w:val="single" w:color="000000" w:sz="8" w:space="0"/>
              <w:bottom w:val="single" w:color="000000" w:sz="8" w:space="0"/>
              <w:right w:val="single" w:color="000000" w:sz="8" w:space="0"/>
            </w:tcBorders>
            <w:noWrap w:val="0"/>
            <w:vAlign w:val="center"/>
          </w:tcPr>
          <w:p w14:paraId="724485D8">
            <w:pPr>
              <w:spacing w:line="600" w:lineRule="exact"/>
              <w:rPr>
                <w:rFonts w:hint="eastAsia" w:ascii="仿宋" w:hAnsi="仿宋" w:eastAsia="仿宋" w:cs="仿宋"/>
                <w:color w:val="auto"/>
                <w:kern w:val="2"/>
                <w:highlight w:val="none"/>
                <w:lang w:bidi="ar"/>
              </w:rPr>
            </w:pPr>
            <w:r>
              <w:rPr>
                <w:rFonts w:hint="eastAsia" w:ascii="仿宋" w:hAnsi="仿宋" w:eastAsia="仿宋" w:cs="仿宋"/>
                <w:color w:val="auto"/>
                <w:kern w:val="2"/>
                <w:highlight w:val="none"/>
                <w:lang w:bidi="ar"/>
              </w:rPr>
              <w:t>7</w:t>
            </w:r>
          </w:p>
        </w:tc>
        <w:tc>
          <w:tcPr>
            <w:tcW w:w="3380" w:type="dxa"/>
            <w:tcBorders>
              <w:top w:val="single" w:color="000000" w:sz="8" w:space="0"/>
              <w:left w:val="single" w:color="000000" w:sz="8" w:space="0"/>
              <w:bottom w:val="single" w:color="000000" w:sz="8" w:space="0"/>
              <w:right w:val="single" w:color="000000" w:sz="8" w:space="0"/>
            </w:tcBorders>
            <w:noWrap w:val="0"/>
            <w:vAlign w:val="center"/>
          </w:tcPr>
          <w:p w14:paraId="78E653D6">
            <w:pPr>
              <w:ind w:leftChars="-13" w:hanging="31" w:hangingChars="13"/>
              <w:rPr>
                <w:rFonts w:hint="eastAsia" w:ascii="仿宋" w:hAnsi="仿宋" w:eastAsia="仿宋" w:cs="仿宋"/>
                <w:color w:val="auto"/>
                <w:kern w:val="2"/>
                <w:highlight w:val="none"/>
                <w:lang w:bidi="ar"/>
              </w:rPr>
            </w:pPr>
            <w:r>
              <w:rPr>
                <w:rFonts w:hint="eastAsia" w:ascii="仿宋" w:hAnsi="仿宋" w:eastAsia="仿宋" w:cs="仿宋"/>
                <w:color w:val="auto"/>
                <w:kern w:val="2"/>
                <w:highlight w:val="none"/>
                <w:lang w:bidi="ar"/>
              </w:rPr>
              <w:t>施工图设计成果文件</w:t>
            </w:r>
          </w:p>
        </w:tc>
        <w:tc>
          <w:tcPr>
            <w:tcW w:w="1897" w:type="dxa"/>
            <w:tcBorders>
              <w:top w:val="single" w:color="000000" w:sz="8" w:space="0"/>
              <w:left w:val="single" w:color="000000" w:sz="8" w:space="0"/>
              <w:bottom w:val="single" w:color="000000" w:sz="8" w:space="0"/>
              <w:right w:val="single" w:color="000000" w:sz="8" w:space="0"/>
            </w:tcBorders>
            <w:noWrap w:val="0"/>
            <w:vAlign w:val="center"/>
          </w:tcPr>
          <w:p w14:paraId="05C74AA7">
            <w:pPr>
              <w:ind w:leftChars="-24" w:hanging="57" w:hangingChars="24"/>
              <w:rPr>
                <w:rFonts w:hint="eastAsia" w:ascii="仿宋" w:hAnsi="仿宋" w:eastAsia="仿宋" w:cs="仿宋"/>
                <w:color w:val="auto"/>
                <w:kern w:val="2"/>
                <w:highlight w:val="none"/>
                <w:lang w:bidi="ar"/>
              </w:rPr>
            </w:pPr>
            <w:r>
              <w:rPr>
                <w:rFonts w:hint="eastAsia" w:ascii="仿宋" w:hAnsi="仿宋" w:eastAsia="仿宋" w:cs="仿宋"/>
                <w:color w:val="auto"/>
                <w:kern w:val="2"/>
                <w:highlight w:val="none"/>
                <w:lang w:bidi="ar"/>
              </w:rPr>
              <w:t>按工作计划</w:t>
            </w:r>
          </w:p>
        </w:tc>
        <w:tc>
          <w:tcPr>
            <w:tcW w:w="1495" w:type="dxa"/>
            <w:tcBorders>
              <w:top w:val="single" w:color="000000" w:sz="8" w:space="0"/>
              <w:left w:val="single" w:color="000000" w:sz="8" w:space="0"/>
              <w:bottom w:val="single" w:color="000000" w:sz="8" w:space="0"/>
              <w:right w:val="single" w:color="000000" w:sz="8" w:space="0"/>
            </w:tcBorders>
            <w:noWrap w:val="0"/>
            <w:vAlign w:val="center"/>
          </w:tcPr>
          <w:p w14:paraId="7FC9494D">
            <w:pPr>
              <w:ind w:firstLine="86" w:firstLineChars="36"/>
              <w:rPr>
                <w:rFonts w:hint="eastAsia" w:ascii="仿宋" w:hAnsi="仿宋" w:eastAsia="仿宋" w:cs="仿宋"/>
                <w:color w:val="auto"/>
                <w:kern w:val="2"/>
                <w:highlight w:val="none"/>
                <w:lang w:bidi="ar"/>
              </w:rPr>
            </w:pPr>
            <w:r>
              <w:rPr>
                <w:rFonts w:hint="eastAsia" w:ascii="仿宋" w:hAnsi="仿宋" w:eastAsia="仿宋" w:cs="仿宋"/>
                <w:color w:val="auto"/>
                <w:kern w:val="2"/>
                <w:highlight w:val="none"/>
                <w:lang w:val="en-US" w:eastAsia="zh-CN" w:bidi="ar"/>
              </w:rPr>
              <w:t>3</w:t>
            </w:r>
            <w:r>
              <w:rPr>
                <w:rFonts w:hint="eastAsia" w:ascii="仿宋" w:hAnsi="仿宋" w:eastAsia="仿宋" w:cs="仿宋"/>
                <w:color w:val="auto"/>
                <w:kern w:val="2"/>
                <w:highlight w:val="none"/>
                <w:lang w:eastAsia="zh-CN" w:bidi="ar"/>
              </w:rPr>
              <w:t>0</w:t>
            </w:r>
            <w:r>
              <w:rPr>
                <w:rFonts w:hint="eastAsia" w:ascii="仿宋" w:hAnsi="仿宋" w:eastAsia="仿宋" w:cs="仿宋"/>
                <w:color w:val="auto"/>
                <w:kern w:val="2"/>
                <w:highlight w:val="none"/>
                <w:lang w:bidi="ar"/>
              </w:rPr>
              <w:t>份，或按甲方要求提供</w:t>
            </w:r>
          </w:p>
        </w:tc>
        <w:tc>
          <w:tcPr>
            <w:tcW w:w="1944" w:type="dxa"/>
            <w:tcBorders>
              <w:top w:val="single" w:color="000000" w:sz="8" w:space="0"/>
              <w:left w:val="single" w:color="000000" w:sz="8" w:space="0"/>
              <w:bottom w:val="single" w:color="000000" w:sz="8" w:space="0"/>
              <w:right w:val="single" w:color="000000" w:sz="8" w:space="0"/>
            </w:tcBorders>
            <w:noWrap w:val="0"/>
            <w:vAlign w:val="center"/>
          </w:tcPr>
          <w:p w14:paraId="114067AD">
            <w:pPr>
              <w:rPr>
                <w:rFonts w:hint="eastAsia" w:ascii="仿宋" w:hAnsi="仿宋" w:eastAsia="仿宋" w:cs="仿宋"/>
                <w:color w:val="auto"/>
                <w:kern w:val="2"/>
                <w:highlight w:val="none"/>
                <w:lang w:eastAsia="zh-CN" w:bidi="ar"/>
              </w:rPr>
            </w:pPr>
            <w:r>
              <w:rPr>
                <w:rFonts w:hint="eastAsia" w:ascii="仿宋" w:hAnsi="仿宋" w:eastAsia="仿宋" w:cs="仿宋"/>
                <w:color w:val="auto"/>
                <w:kern w:val="2"/>
                <w:highlight w:val="none"/>
                <w:lang w:eastAsia="zh-CN" w:bidi="ar"/>
              </w:rPr>
              <w:t>正式纸质文件、电子文档3份</w:t>
            </w:r>
          </w:p>
        </w:tc>
      </w:tr>
      <w:tr w14:paraId="3CA64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1288" w:hRule="atLeast"/>
          <w:jc w:val="center"/>
        </w:trPr>
        <w:tc>
          <w:tcPr>
            <w:tcW w:w="810" w:type="dxa"/>
            <w:tcBorders>
              <w:top w:val="single" w:color="000000" w:sz="8" w:space="0"/>
              <w:left w:val="single" w:color="000000" w:sz="8" w:space="0"/>
              <w:bottom w:val="single" w:color="000000" w:sz="8" w:space="0"/>
              <w:right w:val="single" w:color="000000" w:sz="8" w:space="0"/>
            </w:tcBorders>
            <w:noWrap w:val="0"/>
            <w:vAlign w:val="center"/>
          </w:tcPr>
          <w:p w14:paraId="29863510">
            <w:pPr>
              <w:spacing w:line="600" w:lineRule="exact"/>
              <w:rPr>
                <w:rFonts w:hint="eastAsia" w:ascii="仿宋" w:hAnsi="仿宋" w:eastAsia="仿宋" w:cs="仿宋"/>
                <w:color w:val="auto"/>
                <w:highlight w:val="none"/>
              </w:rPr>
            </w:pPr>
            <w:r>
              <w:rPr>
                <w:rFonts w:hint="eastAsia" w:ascii="仿宋" w:hAnsi="仿宋" w:eastAsia="仿宋" w:cs="仿宋"/>
                <w:color w:val="auto"/>
                <w:kern w:val="2"/>
                <w:highlight w:val="none"/>
                <w:lang w:bidi="ar"/>
              </w:rPr>
              <w:t>8</w:t>
            </w:r>
          </w:p>
        </w:tc>
        <w:tc>
          <w:tcPr>
            <w:tcW w:w="3380" w:type="dxa"/>
            <w:tcBorders>
              <w:top w:val="single" w:color="000000" w:sz="8" w:space="0"/>
              <w:left w:val="single" w:color="000000" w:sz="8" w:space="0"/>
              <w:bottom w:val="single" w:color="000000" w:sz="8" w:space="0"/>
              <w:right w:val="single" w:color="000000" w:sz="8" w:space="0"/>
            </w:tcBorders>
            <w:noWrap w:val="0"/>
            <w:vAlign w:val="center"/>
          </w:tcPr>
          <w:p w14:paraId="0A1BFC7B">
            <w:pPr>
              <w:ind w:leftChars="-13" w:hanging="31" w:hangingChars="13"/>
              <w:rPr>
                <w:rFonts w:hint="eastAsia" w:ascii="仿宋" w:hAnsi="仿宋" w:eastAsia="仿宋" w:cs="仿宋"/>
                <w:color w:val="auto"/>
                <w:highlight w:val="none"/>
                <w:lang w:eastAsia="zh-CN"/>
              </w:rPr>
            </w:pPr>
            <w:r>
              <w:rPr>
                <w:rFonts w:hint="eastAsia" w:ascii="仿宋" w:hAnsi="仿宋" w:eastAsia="仿宋" w:cs="仿宋"/>
                <w:color w:val="auto"/>
                <w:kern w:val="2"/>
                <w:highlight w:val="none"/>
                <w:lang w:eastAsia="zh-CN" w:bidi="ar"/>
              </w:rPr>
              <w:t>最终设计成果文件（包括区域内各相关专业）</w:t>
            </w:r>
          </w:p>
        </w:tc>
        <w:tc>
          <w:tcPr>
            <w:tcW w:w="1897" w:type="dxa"/>
            <w:tcBorders>
              <w:top w:val="single" w:color="000000" w:sz="8" w:space="0"/>
              <w:left w:val="single" w:color="000000" w:sz="8" w:space="0"/>
              <w:bottom w:val="single" w:color="000000" w:sz="8" w:space="0"/>
              <w:right w:val="single" w:color="000000" w:sz="8" w:space="0"/>
            </w:tcBorders>
            <w:noWrap w:val="0"/>
            <w:vAlign w:val="center"/>
          </w:tcPr>
          <w:p w14:paraId="1DBFE625">
            <w:pPr>
              <w:ind w:leftChars="-24" w:hanging="57" w:hangingChars="24"/>
              <w:rPr>
                <w:rFonts w:hint="eastAsia" w:ascii="仿宋" w:hAnsi="仿宋" w:eastAsia="仿宋" w:cs="仿宋"/>
                <w:color w:val="auto"/>
                <w:highlight w:val="none"/>
                <w:lang w:eastAsia="zh-CN"/>
              </w:rPr>
            </w:pPr>
            <w:r>
              <w:rPr>
                <w:rFonts w:hint="eastAsia" w:ascii="仿宋" w:hAnsi="仿宋" w:eastAsia="仿宋" w:cs="仿宋"/>
                <w:color w:val="auto"/>
                <w:kern w:val="2"/>
                <w:highlight w:val="none"/>
                <w:lang w:eastAsia="zh-CN" w:bidi="ar"/>
              </w:rPr>
              <w:t>根据实际情况，按工作计划</w:t>
            </w:r>
          </w:p>
        </w:tc>
        <w:tc>
          <w:tcPr>
            <w:tcW w:w="1495" w:type="dxa"/>
            <w:tcBorders>
              <w:top w:val="single" w:color="000000" w:sz="8" w:space="0"/>
              <w:left w:val="single" w:color="000000" w:sz="8" w:space="0"/>
              <w:bottom w:val="single" w:color="000000" w:sz="8" w:space="0"/>
              <w:right w:val="single" w:color="000000" w:sz="8" w:space="0"/>
            </w:tcBorders>
            <w:noWrap w:val="0"/>
            <w:vAlign w:val="center"/>
          </w:tcPr>
          <w:p w14:paraId="6F9A6238">
            <w:pPr>
              <w:ind w:firstLine="86" w:firstLineChars="36"/>
              <w:rPr>
                <w:rFonts w:hint="eastAsia" w:ascii="仿宋" w:hAnsi="仿宋" w:eastAsia="仿宋" w:cs="仿宋"/>
                <w:color w:val="auto"/>
                <w:highlight w:val="none"/>
              </w:rPr>
            </w:pPr>
            <w:r>
              <w:rPr>
                <w:rFonts w:hint="eastAsia" w:ascii="仿宋" w:hAnsi="仿宋" w:eastAsia="仿宋" w:cs="仿宋"/>
                <w:color w:val="auto"/>
                <w:kern w:val="2"/>
                <w:highlight w:val="none"/>
                <w:lang w:val="en-US" w:eastAsia="zh-CN" w:bidi="ar"/>
              </w:rPr>
              <w:t>3</w:t>
            </w:r>
            <w:r>
              <w:rPr>
                <w:rFonts w:hint="eastAsia" w:ascii="仿宋" w:hAnsi="仿宋" w:eastAsia="仿宋" w:cs="仿宋"/>
                <w:color w:val="auto"/>
                <w:kern w:val="2"/>
                <w:highlight w:val="none"/>
                <w:lang w:eastAsia="zh-CN" w:bidi="ar"/>
              </w:rPr>
              <w:t>0</w:t>
            </w:r>
            <w:r>
              <w:rPr>
                <w:rFonts w:hint="eastAsia" w:ascii="仿宋" w:hAnsi="仿宋" w:eastAsia="仿宋" w:cs="仿宋"/>
                <w:color w:val="auto"/>
                <w:kern w:val="2"/>
                <w:highlight w:val="none"/>
                <w:lang w:bidi="ar"/>
              </w:rPr>
              <w:t>份，或按甲方要求提供</w:t>
            </w:r>
          </w:p>
        </w:tc>
        <w:tc>
          <w:tcPr>
            <w:tcW w:w="1944" w:type="dxa"/>
            <w:tcBorders>
              <w:top w:val="single" w:color="000000" w:sz="8" w:space="0"/>
              <w:left w:val="single" w:color="000000" w:sz="8" w:space="0"/>
              <w:bottom w:val="single" w:color="000000" w:sz="8" w:space="0"/>
              <w:right w:val="single" w:color="000000" w:sz="8" w:space="0"/>
            </w:tcBorders>
            <w:noWrap w:val="0"/>
            <w:vAlign w:val="center"/>
          </w:tcPr>
          <w:p w14:paraId="3242E1A9">
            <w:pPr>
              <w:rPr>
                <w:rFonts w:hint="eastAsia" w:ascii="仿宋" w:hAnsi="仿宋" w:eastAsia="仿宋" w:cs="仿宋"/>
                <w:color w:val="auto"/>
                <w:kern w:val="2"/>
                <w:highlight w:val="none"/>
                <w:lang w:eastAsia="zh-CN" w:bidi="ar"/>
              </w:rPr>
            </w:pPr>
            <w:r>
              <w:rPr>
                <w:rFonts w:hint="eastAsia" w:ascii="仿宋" w:hAnsi="仿宋" w:eastAsia="仿宋" w:cs="仿宋"/>
                <w:color w:val="auto"/>
                <w:kern w:val="2"/>
                <w:highlight w:val="none"/>
                <w:lang w:eastAsia="zh-CN" w:bidi="ar"/>
              </w:rPr>
              <w:t>正式纸质文件、</w:t>
            </w:r>
          </w:p>
          <w:p w14:paraId="4F3FD40C">
            <w:pPr>
              <w:rPr>
                <w:rFonts w:hint="eastAsia" w:ascii="仿宋" w:hAnsi="仿宋" w:eastAsia="仿宋" w:cs="仿宋"/>
                <w:color w:val="auto"/>
                <w:highlight w:val="none"/>
                <w:lang w:eastAsia="zh-CN"/>
              </w:rPr>
            </w:pPr>
            <w:r>
              <w:rPr>
                <w:rFonts w:hint="eastAsia" w:ascii="仿宋" w:hAnsi="仿宋" w:eastAsia="仿宋" w:cs="仿宋"/>
                <w:color w:val="auto"/>
                <w:kern w:val="2"/>
                <w:highlight w:val="none"/>
                <w:lang w:eastAsia="zh-CN" w:bidi="ar"/>
              </w:rPr>
              <w:t>电子文档3份</w:t>
            </w:r>
          </w:p>
        </w:tc>
      </w:tr>
    </w:tbl>
    <w:p w14:paraId="71D047CA">
      <w:pPr>
        <w:spacing w:line="360" w:lineRule="auto"/>
        <w:ind w:firstLine="735" w:firstLineChars="35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备注：具体要求按勘察设计任务书执行。</w:t>
      </w:r>
    </w:p>
    <w:p w14:paraId="3ED95169">
      <w:pPr>
        <w:spacing w:line="360" w:lineRule="auto"/>
        <w:ind w:firstLine="720" w:firstLineChars="300"/>
        <w:rPr>
          <w:rFonts w:ascii="仿宋" w:hAnsi="仿宋" w:eastAsia="仿宋" w:cs="仿宋"/>
          <w:color w:val="auto"/>
          <w:sz w:val="21"/>
          <w:szCs w:val="21"/>
          <w:highlight w:val="none"/>
          <w:u w:val="single"/>
          <w:lang w:eastAsia="zh-CN"/>
        </w:rPr>
      </w:pPr>
      <w:r>
        <w:rPr>
          <w:rFonts w:hint="eastAsia" w:ascii="仿宋" w:hAnsi="仿宋" w:eastAsia="仿宋" w:cs="仿宋"/>
          <w:color w:val="auto"/>
          <w:highlight w:val="none"/>
          <w:lang w:eastAsia="zh-CN"/>
        </w:rPr>
        <w:t>②发包人或设计顾问人答复的时间：</w:t>
      </w:r>
      <w:r>
        <w:rPr>
          <w:rFonts w:hint="eastAsia" w:ascii="仿宋" w:hAnsi="仿宋" w:eastAsia="仿宋" w:cs="仿宋"/>
          <w:color w:val="auto"/>
          <w:highlight w:val="none"/>
          <w:u w:val="single"/>
          <w:lang w:eastAsia="zh-CN"/>
        </w:rPr>
        <w:t xml:space="preserve"> /</w:t>
      </w:r>
    </w:p>
    <w:p w14:paraId="7850222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承包人提供施工图设计文件（适用于初步设计批准后或备案发包）</w:t>
      </w:r>
    </w:p>
    <w:p w14:paraId="5CB70E50">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  </w:t>
      </w:r>
    </w:p>
    <w:p w14:paraId="59800F8B">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  </w:t>
      </w:r>
    </w:p>
    <w:p w14:paraId="40781357">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③发包人或设计顾</w:t>
      </w:r>
      <w:r>
        <w:rPr>
          <w:rFonts w:hint="eastAsia" w:ascii="仿宋" w:hAnsi="仿宋" w:eastAsia="仿宋"/>
          <w:color w:val="auto"/>
          <w:highlight w:val="none"/>
          <w:lang w:eastAsia="zh-CN"/>
        </w:rPr>
        <w:t>问人答复的时间：</w:t>
      </w:r>
      <w:r>
        <w:rPr>
          <w:rFonts w:hint="eastAsia" w:ascii="仿宋" w:hAnsi="仿宋" w:eastAsia="仿宋" w:cs="仿宋"/>
          <w:color w:val="auto"/>
          <w:highlight w:val="none"/>
          <w:u w:val="single"/>
          <w:lang w:eastAsia="zh-CN"/>
        </w:rPr>
        <w:t xml:space="preserve">  /  </w:t>
      </w:r>
    </w:p>
    <w:p w14:paraId="7C05236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7.3 承包人提供建筑信息模型（BIM）及技术应用</w:t>
      </w:r>
    </w:p>
    <w:p w14:paraId="6F0B3152">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勘察</w:t>
      </w:r>
    </w:p>
    <w:p w14:paraId="53C31C3D">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①提供的时间：</w:t>
      </w:r>
      <w:r>
        <w:rPr>
          <w:rFonts w:hint="eastAsia" w:ascii="仿宋" w:hAnsi="仿宋" w:eastAsia="仿宋" w:cs="仿宋"/>
          <w:color w:val="auto"/>
          <w:highlight w:val="none"/>
          <w:u w:val="single"/>
          <w:lang w:eastAsia="zh-CN"/>
        </w:rPr>
        <w:t xml:space="preserve">      /        </w:t>
      </w:r>
    </w:p>
    <w:p w14:paraId="10F5DCB8">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②发包人或设计顾问人答复的时间：</w:t>
      </w:r>
      <w:r>
        <w:rPr>
          <w:rFonts w:hint="eastAsia" w:ascii="仿宋" w:hAnsi="仿宋" w:eastAsia="仿宋" w:cs="仿宋"/>
          <w:color w:val="auto"/>
          <w:highlight w:val="none"/>
          <w:u w:val="single"/>
          <w:lang w:eastAsia="zh-CN"/>
        </w:rPr>
        <w:t xml:space="preserve">      /        </w:t>
      </w:r>
    </w:p>
    <w:p w14:paraId="1263CB38">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设计阶段</w:t>
      </w:r>
    </w:p>
    <w:p w14:paraId="3A3FE446">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初步设计（适用于可行性研究报告批准后发包）：</w:t>
      </w:r>
    </w:p>
    <w:p w14:paraId="755EA02C">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①提供的时间：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初步设计图纸评审通过后7天内</w:t>
      </w:r>
      <w:r>
        <w:rPr>
          <w:rFonts w:hint="eastAsia" w:ascii="仿宋" w:hAnsi="仿宋" w:eastAsia="仿宋" w:cs="仿宋"/>
          <w:color w:val="auto"/>
          <w:highlight w:val="none"/>
          <w:u w:val="single"/>
          <w:lang w:eastAsia="zh-CN"/>
        </w:rPr>
        <w:t xml:space="preserve"> </w:t>
      </w:r>
    </w:p>
    <w:p w14:paraId="1119D79D">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②发包人或设计顾问人答复的时间：</w:t>
      </w:r>
      <w:r>
        <w:rPr>
          <w:rFonts w:hint="eastAsia" w:ascii="仿宋" w:hAnsi="仿宋" w:eastAsia="仿宋" w:cs="仿宋"/>
          <w:color w:val="auto"/>
          <w:highlight w:val="none"/>
          <w:u w:val="single"/>
          <w:lang w:eastAsia="zh-CN"/>
        </w:rPr>
        <w:t xml:space="preserve">   7个工作日。  </w:t>
      </w:r>
    </w:p>
    <w:p w14:paraId="6B25C64E">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施工图设计（适用于初步设计批准后或备案发包）</w:t>
      </w:r>
    </w:p>
    <w:p w14:paraId="20346EC5">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①提供的时间：</w:t>
      </w:r>
      <w:r>
        <w:rPr>
          <w:rFonts w:hint="eastAsia" w:ascii="仿宋" w:hAnsi="仿宋" w:eastAsia="仿宋" w:cs="仿宋"/>
          <w:color w:val="auto"/>
          <w:highlight w:val="none"/>
          <w:u w:val="single"/>
          <w:lang w:eastAsia="zh-CN"/>
        </w:rPr>
        <w:t xml:space="preserve">  施工图审查通过后7天内 。 </w:t>
      </w:r>
    </w:p>
    <w:p w14:paraId="0D24CB3F">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②发包人或设计顾问人答复的时间：</w:t>
      </w:r>
      <w:r>
        <w:rPr>
          <w:rFonts w:hint="eastAsia" w:ascii="仿宋" w:hAnsi="仿宋" w:eastAsia="仿宋" w:cs="仿宋"/>
          <w:color w:val="auto"/>
          <w:highlight w:val="none"/>
          <w:u w:val="single"/>
          <w:lang w:eastAsia="zh-CN"/>
        </w:rPr>
        <w:t xml:space="preserve"> 7个工作日。 </w:t>
      </w:r>
    </w:p>
    <w:p w14:paraId="39F1CBD4">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施工阶段</w:t>
      </w:r>
    </w:p>
    <w:p w14:paraId="513BC29F">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深化设计</w:t>
      </w:r>
    </w:p>
    <w:p w14:paraId="51DF9865">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按发包人要求。 </w:t>
      </w:r>
    </w:p>
    <w:p w14:paraId="6A952B3E">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7个工作日。  </w:t>
      </w:r>
    </w:p>
    <w:p w14:paraId="108F3380">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施工方案</w:t>
      </w:r>
    </w:p>
    <w:p w14:paraId="148D26EC">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按发包人要求。  </w:t>
      </w:r>
    </w:p>
    <w:p w14:paraId="0AF7D342">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7个工作日。   </w:t>
      </w:r>
    </w:p>
    <w:p w14:paraId="47418083">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进度管理</w:t>
      </w:r>
    </w:p>
    <w:p w14:paraId="765DDE1D">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按发包人要求。 </w:t>
      </w:r>
    </w:p>
    <w:p w14:paraId="0FA44EB7">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7个工作日。  </w:t>
      </w:r>
    </w:p>
    <w:p w14:paraId="2579BCC1">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造价管理</w:t>
      </w:r>
    </w:p>
    <w:p w14:paraId="6974C3B3">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按发包人要求。 </w:t>
      </w:r>
    </w:p>
    <w:p w14:paraId="6312D15E">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7个工作日。   </w:t>
      </w:r>
    </w:p>
    <w:p w14:paraId="66D3A98F">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质量与安全管理</w:t>
      </w:r>
    </w:p>
    <w:p w14:paraId="6FF4817E">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按发包人要求。 </w:t>
      </w:r>
    </w:p>
    <w:p w14:paraId="50C114C1">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7个工作日。 </w:t>
      </w:r>
    </w:p>
    <w:p w14:paraId="583690F9">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装配式、模块化建筑生产与施工工艺</w:t>
      </w:r>
    </w:p>
    <w:p w14:paraId="1516A97E">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按发包人要求。  </w:t>
      </w:r>
    </w:p>
    <w:p w14:paraId="54D7D2EE">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7个工作日。  </w:t>
      </w:r>
    </w:p>
    <w:p w14:paraId="2B2128A2">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竣工阶段的建筑信息模型（BIM）</w:t>
      </w:r>
    </w:p>
    <w:p w14:paraId="4BD0A48C">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本工程竣工后60天内。 </w:t>
      </w:r>
    </w:p>
    <w:p w14:paraId="3548805E">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7个工作日。  </w:t>
      </w:r>
    </w:p>
    <w:p w14:paraId="4C467246">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运营维护阶段需要的建筑信息模型（BIM）</w:t>
      </w:r>
    </w:p>
    <w:p w14:paraId="546812AA">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按发包人要求  </w:t>
      </w:r>
    </w:p>
    <w:p w14:paraId="1FEA65A1">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7个工作日。  </w:t>
      </w:r>
    </w:p>
    <w:p w14:paraId="23AEF610">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利用BIM信息管理平台进行协调管理的要求：</w:t>
      </w:r>
      <w:r>
        <w:rPr>
          <w:rFonts w:hint="eastAsia" w:ascii="仿宋" w:hAnsi="仿宋" w:eastAsia="仿宋" w:cs="仿宋"/>
          <w:color w:val="auto"/>
          <w:highlight w:val="none"/>
          <w:u w:val="single"/>
          <w:lang w:eastAsia="zh-CN"/>
        </w:rPr>
        <w:t xml:space="preserve">  承包人搭建项目全生命期数字化管理平台，促进数据自由流动，实现设计、生产、施工、运营的一站式管理，对项目建造全过程的关键数据收集、筛选、分析和应用。同时统一数据标准，可以满足其他安置区项目接入管理平台的需求，工程竣工时同时交付实体建筑与“数字建筑”，对接广州市CIM平台，为数字城市提供底层数据。</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p>
    <w:p w14:paraId="04E6A708">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其他应用内容及要求：</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4E50FE29">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发包人的其他要求：</w:t>
      </w:r>
    </w:p>
    <w:p w14:paraId="01C88E90">
      <w:pPr>
        <w:spacing w:line="360" w:lineRule="auto"/>
        <w:ind w:firstLine="1080" w:firstLineChars="4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2894D932">
      <w:pPr>
        <w:spacing w:line="360" w:lineRule="auto"/>
        <w:ind w:firstLine="1080" w:firstLineChars="4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585C082D">
      <w:pPr>
        <w:spacing w:line="360" w:lineRule="auto"/>
        <w:ind w:firstLine="424" w:firstLineChars="177"/>
        <w:rPr>
          <w:rFonts w:hint="eastAsia" w:ascii="仿宋" w:hAnsi="仿宋" w:eastAsia="仿宋" w:cs="仿宋"/>
          <w:bCs/>
          <w:color w:val="auto"/>
          <w:highlight w:val="none"/>
          <w:u w:val="single"/>
          <w:lang w:eastAsia="zh-CN"/>
        </w:rPr>
      </w:pPr>
      <w:r>
        <w:rPr>
          <w:rFonts w:hint="eastAsia" w:ascii="仿宋" w:hAnsi="仿宋" w:eastAsia="仿宋" w:cs="仿宋"/>
          <w:bCs/>
          <w:color w:val="auto"/>
          <w:highlight w:val="none"/>
          <w:u w:val="single"/>
          <w:lang w:eastAsia="zh-CN"/>
        </w:rPr>
        <w:t>双方协商一致，增加第7.4款：</w:t>
      </w:r>
    </w:p>
    <w:p w14:paraId="1D647E3F">
      <w:pPr>
        <w:spacing w:line="360" w:lineRule="auto"/>
        <w:ind w:firstLine="424" w:firstLineChars="177"/>
        <w:rPr>
          <w:rFonts w:ascii="仿宋" w:hAnsi="仿宋" w:eastAsia="仿宋"/>
          <w:bCs/>
          <w:color w:val="auto"/>
          <w:highlight w:val="none"/>
          <w:lang w:eastAsia="zh-CN"/>
        </w:rPr>
      </w:pPr>
      <w:r>
        <w:rPr>
          <w:rFonts w:ascii="仿宋" w:hAnsi="仿宋" w:eastAsia="仿宋"/>
          <w:bCs/>
          <w:color w:val="auto"/>
          <w:highlight w:val="none"/>
          <w:lang w:eastAsia="zh-CN"/>
        </w:rPr>
        <w:t xml:space="preserve">7.4 </w:t>
      </w:r>
      <w:r>
        <w:rPr>
          <w:rFonts w:hint="eastAsia" w:ascii="仿宋" w:hAnsi="仿宋" w:eastAsia="仿宋"/>
          <w:bCs/>
          <w:color w:val="auto"/>
          <w:highlight w:val="none"/>
          <w:lang w:eastAsia="zh-CN"/>
        </w:rPr>
        <w:t>文件的照管</w:t>
      </w:r>
    </w:p>
    <w:p w14:paraId="38F71360">
      <w:pPr>
        <w:spacing w:line="360" w:lineRule="auto"/>
        <w:ind w:firstLine="566" w:firstLineChars="236"/>
        <w:rPr>
          <w:rFonts w:ascii="仿宋" w:hAnsi="仿宋" w:eastAsia="仿宋"/>
          <w:color w:val="auto"/>
          <w:highlight w:val="none"/>
          <w:u w:val="single"/>
          <w:lang w:eastAsia="zh-CN"/>
        </w:rPr>
      </w:pPr>
      <w:r>
        <w:rPr>
          <w:rFonts w:hint="eastAsia" w:ascii="仿宋" w:hAnsi="仿宋" w:eastAsia="仿宋"/>
          <w:color w:val="auto"/>
          <w:highlight w:val="none"/>
          <w:lang w:eastAsia="zh-CN"/>
        </w:rPr>
        <w:t>关于现场文件准备的约定：</w:t>
      </w:r>
      <w:r>
        <w:rPr>
          <w:rFonts w:hint="eastAsia" w:ascii="仿宋" w:hAnsi="仿宋" w:eastAsia="仿宋"/>
          <w:color w:val="auto"/>
          <w:highlight w:val="none"/>
          <w:u w:val="single"/>
          <w:lang w:eastAsia="zh-CN"/>
        </w:rPr>
        <w:t>承包人应把一整套的合同文件（包括合同图纸、本合同约定的标准</w:t>
      </w:r>
      <w:r>
        <w:rPr>
          <w:rFonts w:ascii="仿宋" w:hAnsi="仿宋" w:eastAsia="仿宋"/>
          <w:color w:val="auto"/>
          <w:highlight w:val="none"/>
          <w:u w:val="single"/>
          <w:lang w:eastAsia="zh-CN"/>
        </w:rPr>
        <w:t>/规范/规程等）连同本工程开始施工后由发包人签发的任何指示、附加图纸、补充标准/规范/规程、</w:t>
      </w:r>
      <w:r>
        <w:rPr>
          <w:rFonts w:hint="eastAsia" w:ascii="仿宋" w:hAnsi="仿宋" w:eastAsia="仿宋"/>
          <w:color w:val="auto"/>
          <w:highlight w:val="none"/>
          <w:u w:val="single"/>
          <w:lang w:eastAsia="zh-CN"/>
        </w:rPr>
        <w:t>其他类似</w:t>
      </w:r>
      <w:r>
        <w:rPr>
          <w:rFonts w:ascii="仿宋" w:hAnsi="仿宋" w:eastAsia="仿宋"/>
          <w:color w:val="auto"/>
          <w:highlight w:val="none"/>
          <w:u w:val="single"/>
          <w:lang w:eastAsia="zh-CN"/>
        </w:rPr>
        <w:t>文件存放在施工场地，以便发包人、监理人及其授权代表可随时查阅参考。承包人应将全部图纸、图表固定在硬板上或用其他适宜的方式整齐及有条理地存放起来。因非发包人原因导致上述文件的毁损或缺失，责任由承包人承担。</w:t>
      </w:r>
    </w:p>
    <w:p w14:paraId="041BEC1B">
      <w:pPr>
        <w:spacing w:line="360" w:lineRule="auto"/>
        <w:ind w:firstLine="566" w:firstLineChars="236"/>
        <w:rPr>
          <w:rFonts w:hint="eastAsia" w:ascii="仿宋" w:hAnsi="仿宋" w:eastAsia="仿宋" w:cs="仿宋"/>
          <w:color w:val="auto"/>
          <w:highlight w:val="none"/>
          <w:u w:val="single"/>
          <w:lang w:eastAsia="zh-CN"/>
        </w:rPr>
      </w:pPr>
      <w:r>
        <w:rPr>
          <w:rFonts w:hint="eastAsia" w:ascii="仿宋" w:hAnsi="仿宋" w:eastAsia="仿宋"/>
          <w:color w:val="auto"/>
          <w:highlight w:val="none"/>
          <w:u w:val="single"/>
          <w:lang w:eastAsia="zh-CN"/>
        </w:rPr>
        <w:t>承包人未经发包人事先书面同意，不得将本工程图纸、施工资料等透露、转移给第三人，否则应承担由此产生的一切责任。工程质量保修期满后，除承包人存档需要的图纸、施工资料外，应将全部图纸、施工资料退还给发包人。</w:t>
      </w:r>
    </w:p>
    <w:p w14:paraId="21162CA7">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1404" w:name="_Toc47694391"/>
      <w:bookmarkStart w:id="1405" w:name="_Toc3694"/>
      <w:bookmarkStart w:id="1406" w:name="_Toc20211"/>
      <w:bookmarkStart w:id="1407" w:name="_Toc13978"/>
      <w:bookmarkStart w:id="1408" w:name="_Toc23635"/>
      <w:bookmarkStart w:id="1409" w:name="_Toc9701"/>
      <w:bookmarkStart w:id="1410" w:name="_Toc13924"/>
      <w:bookmarkStart w:id="1411" w:name="_Toc10208"/>
      <w:r>
        <w:rPr>
          <w:rFonts w:hint="eastAsia" w:ascii="仿宋" w:hAnsi="仿宋" w:eastAsia="仿宋" w:cs="仿宋"/>
          <w:b w:val="0"/>
          <w:bCs w:val="0"/>
          <w:i w:val="0"/>
          <w:iCs w:val="0"/>
          <w:color w:val="auto"/>
          <w:sz w:val="24"/>
          <w:szCs w:val="24"/>
          <w:highlight w:val="none"/>
          <w:lang w:eastAsia="zh-CN"/>
        </w:rPr>
        <w:t>8.  合同价格的控制原则</w:t>
      </w:r>
    </w:p>
    <w:p w14:paraId="5B3AABE5">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8.2 工程勘察费的控制</w:t>
      </w:r>
    </w:p>
    <w:p w14:paraId="4FF7D55C">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（同72.1.1款）  </w:t>
      </w:r>
    </w:p>
    <w:p w14:paraId="7172E109">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693CCFC2">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□不允许超过合同约定的相应价格，相应合同价格即为结算额。</w:t>
      </w:r>
    </w:p>
    <w:p w14:paraId="0AEB184A">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□不允许超过合同约定的相应合同价格及调整事项。其中，调整事项约定为：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w:t>
      </w:r>
    </w:p>
    <w:p w14:paraId="08834A5B">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工程勘察费包含了为实施和完成本项目全部服务工作所需的人工费、材料费、机械设备费、试验费、测点埋设和损坏修复费、各项措施费（包括但不限于安全文明施工、临水临电安装、临时道路铺设、机械设备进出场、工作面清理及整理、监测点布控、现场协调、疏干排水、工作搭架、工作棚、勘察工作面协调等相关费用）、报告编写费、配合协调费、工程保险费、风险费、管理费、规费、利润、税金等一切相关费用。</w:t>
      </w:r>
    </w:p>
    <w:p w14:paraId="6C20ECF5">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8.3 工程设计费的控制</w:t>
      </w:r>
    </w:p>
    <w:p w14:paraId="73A7B3CF">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（同72.1.2款）   </w:t>
      </w:r>
    </w:p>
    <w:p w14:paraId="1A55CA34">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22D3560A">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□不允许超过合同约定的相应价格，相应合同价格即为结算额。</w:t>
      </w:r>
    </w:p>
    <w:p w14:paraId="6A977F34">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合同价格及调整事项。其中，调整事项约定为：预算下浮前工程费用对应的设计费×（1-合同约定下浮率）×（1-设计费投标下浮率）（其中专业工程设计费不计取合同约定下浮率）≥中标价时，设计费结算价以设计费中标价为准；预算下浮前工程费用对应的设计费×（1-合同约定下浮率）×（1-设计费投标下浮率）（其中专业工程设计费不计取合同约定下浮率）﹤中标价时，设计费结算价以“【工程基本设计费=预算下浮前工程费用对应的基本设计费×（1-合同约定下浮率）×（1-设计费投标下浮率）】+【专业工程设计费＝∑预算下浮前工程费用对应的专业设计费×（1-设计费投标下浮率）】”为准。如有违约金，最终结算金额对应扣减。最终结算以终审部门审定为准。</w:t>
      </w:r>
    </w:p>
    <w:p w14:paraId="653A858A">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    </w:t>
      </w:r>
    </w:p>
    <w:p w14:paraId="1DBB6267">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③施工图审查费由发包</w:t>
      </w:r>
      <w:r>
        <w:rPr>
          <w:rFonts w:ascii="仿宋" w:hAnsi="仿宋" w:eastAsia="仿宋" w:cs="仿宋"/>
          <w:color w:val="auto"/>
          <w:highlight w:val="none"/>
          <w:lang w:eastAsia="zh-CN"/>
        </w:rPr>
        <w:t>人</w:t>
      </w:r>
      <w:r>
        <w:rPr>
          <w:rFonts w:hint="eastAsia" w:ascii="仿宋" w:hAnsi="仿宋" w:eastAsia="仿宋" w:cs="仿宋"/>
          <w:color w:val="auto"/>
          <w:highlight w:val="none"/>
          <w:lang w:eastAsia="zh-CN"/>
        </w:rPr>
        <w:t>支付。</w:t>
      </w:r>
    </w:p>
    <w:p w14:paraId="24A5E697">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8.4 BIM技术应用费的控制</w:t>
      </w:r>
    </w:p>
    <w:p w14:paraId="385B0433">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BIM技术应用费</w:t>
      </w:r>
      <w:r>
        <w:rPr>
          <w:rFonts w:hint="eastAsia" w:ascii="仿宋" w:hAnsi="仿宋" w:eastAsia="仿宋" w:cs="仿宋"/>
          <w:color w:val="auto"/>
          <w:highlight w:val="none"/>
          <w:u w:val="single"/>
          <w:lang w:eastAsia="zh-CN"/>
        </w:rPr>
        <w:t>已包含在合同总价中，</w:t>
      </w:r>
      <w:r>
        <w:rPr>
          <w:rFonts w:hint="eastAsia" w:ascii="仿宋" w:hAnsi="仿宋" w:eastAsia="仿宋" w:cs="仿宋"/>
          <w:color w:val="auto"/>
          <w:highlight w:val="none"/>
          <w:u w:val="single"/>
          <w:lang w:val="en-US" w:eastAsia="zh-CN"/>
        </w:rPr>
        <w:t>不另外开项计算。</w:t>
      </w:r>
      <w:r>
        <w:rPr>
          <w:rFonts w:hint="eastAsia" w:ascii="仿宋" w:hAnsi="仿宋" w:eastAsia="仿宋" w:cs="仿宋"/>
          <w:color w:val="auto"/>
          <w:highlight w:val="none"/>
          <w:u w:val="single"/>
          <w:lang w:eastAsia="zh-CN"/>
        </w:rPr>
        <w:t xml:space="preserve"> </w:t>
      </w:r>
    </w:p>
    <w:p w14:paraId="1DB13451">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3A59C21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□不允许超过合同约定的相应价格，相应合同价格即为结算额。</w:t>
      </w:r>
    </w:p>
    <w:p w14:paraId="13289E24">
      <w:pPr>
        <w:spacing w:line="360" w:lineRule="auto"/>
        <w:ind w:firstLine="482" w:firstLineChars="200"/>
        <w:rPr>
          <w:rFonts w:ascii="仿宋" w:hAnsi="仿宋" w:eastAsia="仿宋" w:cs="仿宋"/>
          <w:color w:val="auto"/>
          <w:highlight w:val="none"/>
          <w:lang w:eastAsia="zh-CN"/>
        </w:rPr>
      </w:pPr>
      <w:r>
        <w:rPr>
          <w:rFonts w:hint="eastAsia" w:ascii="仿宋" w:hAnsi="仿宋" w:eastAsia="仿宋" w:cs="仿宋"/>
          <w:b/>
          <w:bCs/>
          <w:color w:val="auto"/>
          <w:highlight w:val="none"/>
          <w:lang w:eastAsia="zh-CN"/>
        </w:rPr>
        <w:t xml:space="preserve">   </w:t>
      </w:r>
      <w:r>
        <w:rPr>
          <w:rFonts w:hint="eastAsia" w:ascii="仿宋" w:hAnsi="仿宋" w:eastAsia="仿宋" w:cs="仿宋"/>
          <w:color w:val="auto"/>
          <w:highlight w:val="none"/>
          <w:lang w:eastAsia="zh-CN"/>
        </w:rPr>
        <w:t>□不允许超过合同约定的相应合同价格及调整事项。其中，调整事项约定为：</w:t>
      </w:r>
      <w:r>
        <w:rPr>
          <w:rFonts w:hint="eastAsia" w:ascii="仿宋" w:hAnsi="仿宋" w:eastAsia="仿宋" w:cs="仿宋"/>
          <w:color w:val="auto"/>
          <w:highlight w:val="none"/>
          <w:u w:val="single"/>
          <w:lang w:val="en-US" w:eastAsia="zh-CN"/>
        </w:rPr>
        <w:t xml:space="preserve"> / </w:t>
      </w:r>
      <w:r>
        <w:rPr>
          <w:rFonts w:hint="eastAsia" w:ascii="仿宋" w:hAnsi="仿宋" w:eastAsia="仿宋" w:cs="仿宋"/>
          <w:b/>
          <w:bCs/>
          <w:color w:val="auto"/>
          <w:highlight w:val="none"/>
          <w:lang w:val="en-US" w:eastAsia="zh-CN"/>
        </w:rPr>
        <w:t xml:space="preserve"> </w:t>
      </w:r>
    </w:p>
    <w:p w14:paraId="7B493AD7">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w:t>
      </w:r>
    </w:p>
    <w:p w14:paraId="4AACBE95">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 建筑安装工程费的控制</w:t>
      </w:r>
    </w:p>
    <w:p w14:paraId="46A5C30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8.5.1限额设计</w:t>
      </w:r>
    </w:p>
    <w:p w14:paraId="792D80A3">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①总额限额及专业限额分解指标表：</w:t>
      </w:r>
    </w:p>
    <w:tbl>
      <w:tblPr>
        <w:tblStyle w:val="44"/>
        <w:tblW w:w="9795" w:type="dxa"/>
        <w:tblInd w:w="1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45"/>
        <w:gridCol w:w="1328"/>
        <w:gridCol w:w="1072"/>
        <w:gridCol w:w="1215"/>
        <w:gridCol w:w="1206"/>
        <w:gridCol w:w="1048"/>
        <w:gridCol w:w="2081"/>
      </w:tblGrid>
      <w:tr w14:paraId="49B8E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6" w:hRule="atLeast"/>
        </w:trPr>
        <w:tc>
          <w:tcPr>
            <w:tcW w:w="1845" w:type="dxa"/>
            <w:noWrap w:val="0"/>
            <w:vAlign w:val="center"/>
          </w:tcPr>
          <w:p w14:paraId="3C4C1750">
            <w:pPr>
              <w:jc w:val="center"/>
              <w:rPr>
                <w:rFonts w:hint="eastAsia" w:ascii="仿宋" w:hAnsi="仿宋" w:eastAsia="仿宋" w:cs="仿宋"/>
                <w:color w:val="auto"/>
                <w:highlight w:val="none"/>
              </w:rPr>
            </w:pPr>
            <w:r>
              <w:rPr>
                <w:rFonts w:hint="eastAsia" w:ascii="仿宋" w:hAnsi="仿宋" w:eastAsia="仿宋" w:cs="仿宋"/>
                <w:color w:val="auto"/>
                <w:highlight w:val="none"/>
              </w:rPr>
              <w:t>设计阶段</w:t>
            </w:r>
          </w:p>
        </w:tc>
        <w:tc>
          <w:tcPr>
            <w:tcW w:w="1328" w:type="dxa"/>
            <w:noWrap w:val="0"/>
            <w:vAlign w:val="center"/>
          </w:tcPr>
          <w:p w14:paraId="7F299784">
            <w:pPr>
              <w:jc w:val="center"/>
              <w:rPr>
                <w:rFonts w:hint="eastAsia" w:ascii="仿宋" w:hAnsi="仿宋" w:eastAsia="仿宋" w:cs="仿宋"/>
                <w:color w:val="auto"/>
                <w:highlight w:val="none"/>
              </w:rPr>
            </w:pPr>
            <w:r>
              <w:rPr>
                <w:rFonts w:hint="eastAsia" w:ascii="仿宋" w:hAnsi="仿宋" w:eastAsia="仿宋" w:cs="仿宋"/>
                <w:color w:val="auto"/>
                <w:highlight w:val="none"/>
              </w:rPr>
              <w:t>总额限额</w:t>
            </w:r>
          </w:p>
        </w:tc>
        <w:tc>
          <w:tcPr>
            <w:tcW w:w="4541" w:type="dxa"/>
            <w:gridSpan w:val="4"/>
            <w:noWrap w:val="0"/>
            <w:vAlign w:val="center"/>
          </w:tcPr>
          <w:p w14:paraId="224C1156">
            <w:pPr>
              <w:jc w:val="center"/>
              <w:rPr>
                <w:rFonts w:hint="eastAsia" w:ascii="仿宋" w:hAnsi="仿宋" w:eastAsia="仿宋" w:cs="仿宋"/>
                <w:color w:val="auto"/>
                <w:highlight w:val="none"/>
              </w:rPr>
            </w:pPr>
            <w:r>
              <w:rPr>
                <w:rFonts w:hint="eastAsia" w:ascii="仿宋" w:hAnsi="仿宋" w:eastAsia="仿宋" w:cs="仿宋"/>
                <w:color w:val="auto"/>
                <w:highlight w:val="none"/>
                <w:lang w:eastAsia="zh-CN"/>
              </w:rPr>
              <w:t>工程材料</w:t>
            </w:r>
            <w:r>
              <w:rPr>
                <w:rFonts w:hint="eastAsia" w:ascii="仿宋" w:hAnsi="仿宋" w:eastAsia="仿宋" w:cs="仿宋"/>
                <w:color w:val="auto"/>
                <w:highlight w:val="none"/>
              </w:rPr>
              <w:t>限额指标</w:t>
            </w:r>
          </w:p>
        </w:tc>
        <w:tc>
          <w:tcPr>
            <w:tcW w:w="2081" w:type="dxa"/>
            <w:noWrap w:val="0"/>
            <w:vAlign w:val="center"/>
          </w:tcPr>
          <w:p w14:paraId="1839DC0D">
            <w:pPr>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备注</w:t>
            </w:r>
          </w:p>
        </w:tc>
      </w:tr>
      <w:tr w14:paraId="7165B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6" w:hRule="atLeast"/>
        </w:trPr>
        <w:tc>
          <w:tcPr>
            <w:tcW w:w="1845" w:type="dxa"/>
            <w:noWrap w:val="0"/>
            <w:vAlign w:val="center"/>
          </w:tcPr>
          <w:p w14:paraId="4A5AFE4F">
            <w:pPr>
              <w:jc w:val="center"/>
              <w:rPr>
                <w:rFonts w:hint="eastAsia" w:ascii="仿宋" w:hAnsi="仿宋" w:eastAsia="仿宋" w:cs="仿宋"/>
                <w:color w:val="auto"/>
                <w:highlight w:val="none"/>
              </w:rPr>
            </w:pPr>
            <w:r>
              <w:rPr>
                <w:rFonts w:hint="eastAsia" w:ascii="仿宋" w:hAnsi="仿宋" w:eastAsia="仿宋" w:cs="仿宋"/>
                <w:color w:val="auto"/>
                <w:highlight w:val="none"/>
              </w:rPr>
              <w:t>初步设计阶段</w:t>
            </w:r>
          </w:p>
        </w:tc>
        <w:tc>
          <w:tcPr>
            <w:tcW w:w="5869" w:type="dxa"/>
            <w:gridSpan w:val="5"/>
            <w:noWrap w:val="0"/>
            <w:vAlign w:val="center"/>
          </w:tcPr>
          <w:p w14:paraId="0F98A739">
            <w:pPr>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建筑安装工程费用设计总限额约为</w:t>
            </w:r>
            <w:r>
              <w:rPr>
                <w:rFonts w:hint="eastAsia" w:ascii="仿宋" w:hAnsi="仿宋" w:eastAsia="仿宋" w:cs="仿宋"/>
                <w:color w:val="auto"/>
                <w:highlight w:val="none"/>
                <w:u w:val="single"/>
                <w:lang w:eastAsia="zh"/>
              </w:rPr>
              <w:t>13</w:t>
            </w:r>
            <w:r>
              <w:rPr>
                <w:rFonts w:hint="eastAsia" w:ascii="仿宋" w:hAnsi="仿宋" w:eastAsia="仿宋" w:cs="仿宋"/>
                <w:color w:val="auto"/>
                <w:highlight w:val="none"/>
                <w:u w:val="single"/>
                <w:lang w:val="en-US" w:eastAsia="zh-CN"/>
              </w:rPr>
              <w:t>4881.15</w:t>
            </w:r>
            <w:r>
              <w:rPr>
                <w:rFonts w:hint="eastAsia" w:ascii="仿宋" w:hAnsi="仿宋" w:eastAsia="仿宋" w:cs="仿宋"/>
                <w:color w:val="auto"/>
                <w:highlight w:val="none"/>
                <w:lang w:eastAsia="zh-CN"/>
              </w:rPr>
              <w:t>万元（含税）(</w:t>
            </w:r>
            <w:r>
              <w:rPr>
                <w:rFonts w:hint="eastAsia" w:ascii="仿宋" w:hAnsi="仿宋" w:eastAsia="仿宋" w:cs="仿宋"/>
                <w:color w:val="auto"/>
                <w:highlight w:val="none"/>
                <w:lang w:eastAsia="zh"/>
              </w:rPr>
              <w:t>其中包含房建工程、不良地质处理工程、8号线区间与1号地相关增加费、路外深港湾式公交首末站、地铁通道工程、配建道路工程、污染场地土壤修复工程、管线迁改工程</w:t>
            </w:r>
            <w:r>
              <w:rPr>
                <w:rFonts w:hint="eastAsia" w:ascii="仿宋" w:hAnsi="仿宋" w:eastAsia="仿宋" w:cs="仿宋"/>
                <w:color w:val="auto"/>
                <w:highlight w:val="none"/>
                <w:lang w:eastAsia="zh-CN"/>
              </w:rPr>
              <w:t>)，设计费用限额</w:t>
            </w:r>
            <w:r>
              <w:rPr>
                <w:rFonts w:hint="eastAsia" w:ascii="仿宋" w:hAnsi="仿宋" w:eastAsia="仿宋" w:cs="仿宋"/>
                <w:color w:val="auto"/>
                <w:highlight w:val="none"/>
                <w:lang w:eastAsia="zh"/>
              </w:rPr>
              <w:t>2</w:t>
            </w:r>
            <w:r>
              <w:rPr>
                <w:rFonts w:hint="eastAsia" w:ascii="仿宋" w:hAnsi="仿宋" w:eastAsia="仿宋" w:cs="仿宋"/>
                <w:color w:val="auto"/>
                <w:highlight w:val="none"/>
                <w:lang w:val="en-US" w:eastAsia="zh-CN"/>
              </w:rPr>
              <w:t>141.13</w:t>
            </w:r>
            <w:r>
              <w:rPr>
                <w:rFonts w:hint="eastAsia" w:ascii="仿宋" w:hAnsi="仿宋" w:eastAsia="仿宋" w:cs="仿宋"/>
                <w:color w:val="auto"/>
                <w:highlight w:val="none"/>
                <w:lang w:eastAsia="zh-CN"/>
              </w:rPr>
              <w:t>万元，勘察费用限额</w:t>
            </w:r>
            <w:r>
              <w:rPr>
                <w:rFonts w:hint="eastAsia" w:ascii="仿宋" w:hAnsi="仿宋" w:eastAsia="仿宋" w:cs="仿宋"/>
                <w:color w:val="auto"/>
                <w:highlight w:val="none"/>
                <w:lang w:eastAsia="zh"/>
              </w:rPr>
              <w:t>1024.23</w:t>
            </w:r>
            <w:r>
              <w:rPr>
                <w:rFonts w:hint="eastAsia" w:ascii="仿宋" w:hAnsi="仿宋" w:eastAsia="仿宋" w:cs="仿宋"/>
                <w:color w:val="auto"/>
                <w:highlight w:val="none"/>
                <w:lang w:eastAsia="zh-CN"/>
              </w:rPr>
              <w:t>万元。</w:t>
            </w:r>
          </w:p>
        </w:tc>
        <w:tc>
          <w:tcPr>
            <w:tcW w:w="2081" w:type="dxa"/>
            <w:noWrap w:val="0"/>
            <w:vAlign w:val="center"/>
          </w:tcPr>
          <w:p w14:paraId="1DB5AED7">
            <w:pPr>
              <w:jc w:val="center"/>
              <w:rPr>
                <w:rFonts w:hint="eastAsia" w:ascii="仿宋" w:hAnsi="仿宋" w:eastAsia="仿宋" w:cs="仿宋"/>
                <w:color w:val="auto"/>
                <w:highlight w:val="none"/>
                <w:lang w:eastAsia="zh"/>
              </w:rPr>
            </w:pPr>
            <w:r>
              <w:rPr>
                <w:rFonts w:hint="eastAsia" w:ascii="仿宋" w:hAnsi="仿宋" w:eastAsia="仿宋" w:cs="仿宋"/>
                <w:color w:val="auto"/>
                <w:highlight w:val="none"/>
                <w:lang w:eastAsia="zh"/>
              </w:rPr>
              <w:t>以发包人另行发出的指令为准。</w:t>
            </w:r>
          </w:p>
        </w:tc>
      </w:tr>
      <w:tr w14:paraId="19178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6" w:hRule="atLeast"/>
        </w:trPr>
        <w:tc>
          <w:tcPr>
            <w:tcW w:w="1845" w:type="dxa"/>
            <w:noWrap w:val="0"/>
            <w:vAlign w:val="center"/>
          </w:tcPr>
          <w:p w14:paraId="4834E226">
            <w:pPr>
              <w:jc w:val="center"/>
              <w:rPr>
                <w:rFonts w:hint="eastAsia" w:ascii="仿宋" w:hAnsi="仿宋" w:eastAsia="仿宋" w:cs="仿宋"/>
                <w:color w:val="auto"/>
                <w:highlight w:val="none"/>
              </w:rPr>
            </w:pPr>
            <w:r>
              <w:rPr>
                <w:rFonts w:hint="eastAsia" w:ascii="仿宋" w:hAnsi="仿宋" w:eastAsia="仿宋" w:cs="仿宋"/>
                <w:color w:val="auto"/>
                <w:highlight w:val="none"/>
              </w:rPr>
              <w:t>施工图设计阶段</w:t>
            </w:r>
          </w:p>
        </w:tc>
        <w:tc>
          <w:tcPr>
            <w:tcW w:w="1328" w:type="dxa"/>
            <w:noWrap w:val="0"/>
            <w:vAlign w:val="center"/>
          </w:tcPr>
          <w:p w14:paraId="2F8A542E">
            <w:pPr>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不突破经批复的概算中的建筑安装工程费</w:t>
            </w:r>
          </w:p>
        </w:tc>
        <w:tc>
          <w:tcPr>
            <w:tcW w:w="1072" w:type="dxa"/>
            <w:noWrap w:val="0"/>
            <w:vAlign w:val="center"/>
          </w:tcPr>
          <w:p w14:paraId="75308ACA">
            <w:pPr>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地上主体结构钢筋含钢量不超过</w:t>
            </w:r>
            <w:r>
              <w:rPr>
                <w:rFonts w:hint="eastAsia" w:ascii="仿宋" w:hAnsi="仿宋" w:eastAsia="仿宋" w:cs="仿宋"/>
                <w:color w:val="auto"/>
                <w:highlight w:val="none"/>
                <w:lang w:val="en-US" w:eastAsia="zh-CN"/>
              </w:rPr>
              <w:t>50</w:t>
            </w:r>
            <w:r>
              <w:rPr>
                <w:rFonts w:hint="eastAsia" w:ascii="仿宋" w:hAnsi="仿宋" w:eastAsia="仿宋" w:cs="仿宋"/>
                <w:color w:val="auto"/>
                <w:highlight w:val="none"/>
                <w:lang w:eastAsia="zh-CN"/>
              </w:rPr>
              <w:t>kg/m2</w:t>
            </w:r>
          </w:p>
        </w:tc>
        <w:tc>
          <w:tcPr>
            <w:tcW w:w="1215" w:type="dxa"/>
            <w:noWrap w:val="0"/>
            <w:vAlign w:val="center"/>
          </w:tcPr>
          <w:p w14:paraId="58B8A753">
            <w:pPr>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地下主体结构钢筋含钢量不超过1</w:t>
            </w:r>
            <w:r>
              <w:rPr>
                <w:rFonts w:hint="eastAsia" w:ascii="仿宋" w:hAnsi="仿宋" w:eastAsia="仿宋" w:cs="仿宋"/>
                <w:color w:val="auto"/>
                <w:highlight w:val="none"/>
                <w:lang w:val="en-US" w:eastAsia="zh-CN"/>
              </w:rPr>
              <w:t>20</w:t>
            </w:r>
            <w:r>
              <w:rPr>
                <w:rFonts w:hint="eastAsia" w:ascii="仿宋" w:hAnsi="仿宋" w:eastAsia="仿宋" w:cs="仿宋"/>
                <w:color w:val="auto"/>
                <w:highlight w:val="none"/>
                <w:lang w:eastAsia="zh-CN"/>
              </w:rPr>
              <w:t>kg/m2（不含桩基工程）</w:t>
            </w:r>
          </w:p>
        </w:tc>
        <w:tc>
          <w:tcPr>
            <w:tcW w:w="1206" w:type="dxa"/>
            <w:noWrap w:val="0"/>
            <w:vAlign w:val="center"/>
          </w:tcPr>
          <w:p w14:paraId="3335CEF6">
            <w:pPr>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地上主体结构混凝土含量不超过0.</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lang w:eastAsia="zh-CN"/>
              </w:rPr>
              <w:t>m3/m2</w:t>
            </w:r>
          </w:p>
        </w:tc>
        <w:tc>
          <w:tcPr>
            <w:tcW w:w="1048" w:type="dxa"/>
            <w:noWrap w:val="0"/>
            <w:vAlign w:val="center"/>
          </w:tcPr>
          <w:p w14:paraId="49A073D8">
            <w:pPr>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地下主体结构混凝土含量不超过1.</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m3/m2（不含桩基工程）</w:t>
            </w:r>
          </w:p>
        </w:tc>
        <w:tc>
          <w:tcPr>
            <w:tcW w:w="2081" w:type="dxa"/>
            <w:noWrap w:val="0"/>
            <w:vAlign w:val="center"/>
          </w:tcPr>
          <w:p w14:paraId="6B0129C7">
            <w:pPr>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含钢量每超过5kg/m2，结算设计费另行扣减20万元；混凝土含量每超过0.1m3/m2，结算设计费另行扣减10万元；设计费扣减总额不超过设计费合同价的10%</w:t>
            </w:r>
          </w:p>
        </w:tc>
      </w:tr>
      <w:tr w14:paraId="47737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6" w:hRule="atLeast"/>
        </w:trPr>
        <w:tc>
          <w:tcPr>
            <w:tcW w:w="1845" w:type="dxa"/>
            <w:noWrap w:val="0"/>
            <w:vAlign w:val="center"/>
          </w:tcPr>
          <w:p w14:paraId="109A98F0">
            <w:pPr>
              <w:jc w:val="center"/>
              <w:rPr>
                <w:rFonts w:hint="eastAsia" w:ascii="仿宋" w:hAnsi="仿宋" w:eastAsia="仿宋" w:cs="仿宋"/>
                <w:color w:val="auto"/>
                <w:highlight w:val="none"/>
              </w:rPr>
            </w:pPr>
            <w:r>
              <w:rPr>
                <w:rFonts w:hint="eastAsia" w:ascii="仿宋" w:hAnsi="仿宋" w:eastAsia="仿宋" w:cs="仿宋"/>
                <w:color w:val="auto"/>
                <w:highlight w:val="none"/>
              </w:rPr>
              <w:t>变更设计阶段</w:t>
            </w:r>
          </w:p>
        </w:tc>
        <w:tc>
          <w:tcPr>
            <w:tcW w:w="1328" w:type="dxa"/>
            <w:noWrap w:val="0"/>
            <w:vAlign w:val="center"/>
          </w:tcPr>
          <w:p w14:paraId="588EE4D6">
            <w:pPr>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p>
        </w:tc>
        <w:tc>
          <w:tcPr>
            <w:tcW w:w="1072" w:type="dxa"/>
            <w:noWrap w:val="0"/>
            <w:vAlign w:val="center"/>
          </w:tcPr>
          <w:p w14:paraId="6D8233D2">
            <w:pPr>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p>
        </w:tc>
        <w:tc>
          <w:tcPr>
            <w:tcW w:w="1215" w:type="dxa"/>
            <w:noWrap w:val="0"/>
            <w:vAlign w:val="center"/>
          </w:tcPr>
          <w:p w14:paraId="1BDDC605">
            <w:pPr>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p>
        </w:tc>
        <w:tc>
          <w:tcPr>
            <w:tcW w:w="1206" w:type="dxa"/>
            <w:noWrap w:val="0"/>
            <w:vAlign w:val="center"/>
          </w:tcPr>
          <w:p w14:paraId="416A4DF7">
            <w:pPr>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p>
        </w:tc>
        <w:tc>
          <w:tcPr>
            <w:tcW w:w="1048" w:type="dxa"/>
            <w:noWrap w:val="0"/>
            <w:vAlign w:val="center"/>
          </w:tcPr>
          <w:p w14:paraId="2AC8B524">
            <w:pPr>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p>
        </w:tc>
        <w:tc>
          <w:tcPr>
            <w:tcW w:w="2081" w:type="dxa"/>
            <w:noWrap w:val="0"/>
            <w:vAlign w:val="center"/>
          </w:tcPr>
          <w:p w14:paraId="6983FE81">
            <w:pPr>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p>
        </w:tc>
      </w:tr>
    </w:tbl>
    <w:p w14:paraId="5E7CE9F7">
      <w:pPr>
        <w:spacing w:line="360" w:lineRule="auto"/>
        <w:ind w:firstLine="480" w:firstLineChars="200"/>
        <w:rPr>
          <w:rFonts w:hint="eastAsia" w:ascii="仿宋" w:hAnsi="仿宋" w:eastAsia="仿宋" w:cs="仿宋"/>
          <w:color w:val="auto"/>
          <w:highlight w:val="none"/>
          <w:lang w:eastAsia="zh-CN"/>
        </w:rPr>
      </w:pPr>
    </w:p>
    <w:p w14:paraId="35083168">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val="en-US" w:eastAsia="zh-CN"/>
        </w:rPr>
        <w:t>②</w:t>
      </w:r>
      <w:r>
        <w:rPr>
          <w:rFonts w:hint="eastAsia" w:ascii="仿宋" w:hAnsi="仿宋" w:eastAsia="仿宋" w:cs="仿宋"/>
          <w:color w:val="auto"/>
          <w:highlight w:val="none"/>
          <w:lang w:eastAsia="zh-CN"/>
        </w:rPr>
        <w:t xml:space="preserve">限额设计其他要求： </w:t>
      </w:r>
      <w:r>
        <w:rPr>
          <w:rFonts w:hint="eastAsia" w:ascii="仿宋" w:hAnsi="仿宋" w:eastAsia="仿宋" w:cs="仿宋"/>
          <w:color w:val="auto"/>
          <w:highlight w:val="none"/>
          <w:u w:val="single"/>
          <w:lang w:eastAsia="zh-CN"/>
        </w:rPr>
        <w:t xml:space="preserve">  限额设计的造价指标统计口径应前后一致。    </w:t>
      </w:r>
    </w:p>
    <w:p w14:paraId="7E0A713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8.5.2初步设计概算控制（适用于可行性研究批准立项或备案后发包的）</w:t>
      </w:r>
    </w:p>
    <w:p w14:paraId="5145CFEF">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①编制规则： </w:t>
      </w:r>
      <w:r>
        <w:rPr>
          <w:rFonts w:hint="eastAsia" w:ascii="仿宋" w:hAnsi="仿宋" w:eastAsia="仿宋" w:cs="仿宋"/>
          <w:color w:val="auto"/>
          <w:highlight w:val="none"/>
          <w:u w:val="single"/>
          <w:lang w:eastAsia="zh-CN"/>
        </w:rPr>
        <w:t xml:space="preserve">   （同第一部分协议书第十条款第3条）                 </w:t>
      </w:r>
      <w:r>
        <w:rPr>
          <w:rFonts w:hint="eastAsia" w:ascii="仿宋" w:hAnsi="仿宋" w:eastAsia="仿宋" w:cs="仿宋"/>
          <w:color w:val="auto"/>
          <w:highlight w:val="none"/>
          <w:lang w:eastAsia="zh-CN"/>
        </w:rPr>
        <w:t xml:space="preserve">  </w:t>
      </w:r>
    </w:p>
    <w:p w14:paraId="24B7C9B8">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51E472C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□不允许超过合同约定的相应价格，相应合同价格即为概算批准或备案金额。</w:t>
      </w:r>
    </w:p>
    <w:p w14:paraId="5AF4444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□按有权审定部门审批的价格为概算批准或备案金额，</w:t>
      </w:r>
    </w:p>
    <w:p w14:paraId="7F0533C6">
      <w:pPr>
        <w:spacing w:line="360" w:lineRule="auto"/>
        <w:ind w:left="480" w:leftChars="20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若初步设计概算审批价≥（相应合同价格±初步设计阶段发生的调整事项价格），则按（相应合同价格±调整事项价格）为初步设计概算金额，超出部分由承包人自行承担；</w:t>
      </w:r>
    </w:p>
    <w:p w14:paraId="18E1D5D7">
      <w:pPr>
        <w:spacing w:line="360" w:lineRule="auto"/>
        <w:ind w:left="480" w:leftChars="200"/>
        <w:jc w:val="both"/>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若初步设计概算审批价＜（相应合同价格±初步设计阶段发生的调整事项价格），则初步设计概算金额按批准的初步设计概算审批价金额。</w:t>
      </w:r>
    </w:p>
    <w:p w14:paraId="24709E4E">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不能突破可行性研究批准立项总投资，且建筑安装工程费用不能突破本项目约定的设计总限额。 </w:t>
      </w:r>
      <w:r>
        <w:rPr>
          <w:rFonts w:hint="eastAsia" w:ascii="仿宋" w:hAnsi="仿宋" w:eastAsia="仿宋" w:cs="仿宋"/>
          <w:color w:val="auto"/>
          <w:highlight w:val="none"/>
          <w:lang w:eastAsia="zh-CN"/>
        </w:rPr>
        <w:t xml:space="preserve"> </w:t>
      </w:r>
    </w:p>
    <w:p w14:paraId="213128F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合同签订</w:t>
      </w:r>
      <w:r>
        <w:rPr>
          <w:rFonts w:hint="eastAsia" w:ascii="仿宋" w:hAnsi="仿宋" w:eastAsia="仿宋" w:cs="仿宋"/>
          <w:color w:val="auto"/>
          <w:highlight w:val="none"/>
          <w:lang w:val="en-US" w:eastAsia="zh-CN"/>
        </w:rPr>
        <w:t>后</w:t>
      </w:r>
      <w:r>
        <w:rPr>
          <w:rFonts w:hint="eastAsia" w:ascii="仿宋" w:hAnsi="仿宋" w:eastAsia="仿宋" w:cs="仿宋"/>
          <w:color w:val="auto"/>
          <w:highlight w:val="none"/>
          <w:u w:val="single"/>
          <w:lang w:val="en-US" w:eastAsia="zh-CN"/>
        </w:rPr>
        <w:t>120天内，承包人应根据广州市和白云区概算编审的规定及合同约定的概算编制依据及深度正式上报纸质版概算至相关主管部门处审核，概算需符合限额设计的要求。如超过120天未正式申报概算及超过180天未完成概算评审，逾期按10,000元/日历天在各承包人当期进度款中扣除。（</w:t>
      </w:r>
      <w:r>
        <w:rPr>
          <w:rFonts w:hint="eastAsia" w:ascii="仿宋" w:hAnsi="仿宋" w:eastAsia="仿宋" w:cs="仿宋"/>
          <w:i w:val="0"/>
          <w:iCs w:val="0"/>
          <w:caps w:val="0"/>
          <w:color w:val="auto"/>
          <w:spacing w:val="0"/>
          <w:sz w:val="24"/>
          <w:szCs w:val="24"/>
          <w:highlight w:val="none"/>
          <w:u w:val="single"/>
          <w:shd w:val="clear" w:color="auto" w:fill="auto"/>
          <w:lang w:eastAsia="zh-CN"/>
        </w:rPr>
        <w:t>若勘察单位已按时提交符合要求的勘察成果文件且不存在延误情形，则可免除对勘察单位的扣款</w:t>
      </w:r>
      <w:r>
        <w:rPr>
          <w:rFonts w:hint="eastAsia" w:ascii="仿宋" w:hAnsi="仿宋" w:eastAsia="仿宋" w:cs="仿宋"/>
          <w:color w:val="auto"/>
          <w:highlight w:val="none"/>
          <w:u w:val="single"/>
          <w:lang w:val="en-US" w:eastAsia="zh-CN"/>
        </w:rPr>
        <w:t>）。如因非承包人原因造成未能按时申报或完成概算批复的，经发包人书面同意后，可顺延申报。</w:t>
      </w:r>
    </w:p>
    <w:p w14:paraId="64C428EA">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8.5.3施工图预算控制</w:t>
      </w:r>
    </w:p>
    <w:p w14:paraId="2CF18ACC">
      <w:pPr>
        <w:spacing w:line="360" w:lineRule="auto"/>
        <w:ind w:right="11" w:firstLine="566" w:firstLineChars="236"/>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①编制规则：</w:t>
      </w:r>
      <w:r>
        <w:rPr>
          <w:rFonts w:hint="eastAsia" w:ascii="仿宋" w:hAnsi="仿宋" w:eastAsia="仿宋" w:cs="仿宋"/>
          <w:color w:val="auto"/>
          <w:highlight w:val="none"/>
          <w:u w:val="single"/>
          <w:lang w:eastAsia="zh-CN"/>
        </w:rPr>
        <w:t xml:space="preserve">  （同第一部分协议书第十条款第4条）   </w:t>
      </w:r>
      <w:r>
        <w:rPr>
          <w:rFonts w:hint="eastAsia" w:ascii="仿宋" w:hAnsi="仿宋" w:eastAsia="仿宋" w:cs="仿宋"/>
          <w:color w:val="auto"/>
          <w:highlight w:val="none"/>
          <w:lang w:eastAsia="zh-CN"/>
        </w:rPr>
        <w:t xml:space="preserve"> </w:t>
      </w:r>
    </w:p>
    <w:p w14:paraId="15CF6C42">
      <w:pPr>
        <w:spacing w:line="360" w:lineRule="auto"/>
        <w:ind w:right="11" w:firstLine="566" w:firstLineChars="236"/>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措施项目费</w:t>
      </w:r>
    </w:p>
    <w:p w14:paraId="5AEDCE7B">
      <w:pPr>
        <w:pStyle w:val="17"/>
        <w:ind w:left="564" w:leftChars="235" w:right="317" w:firstLine="240" w:firstLineChars="100"/>
        <w:rPr>
          <w:rFonts w:hint="eastAsia" w:ascii="仿宋" w:hAnsi="仿宋" w:eastAsia="仿宋"/>
          <w:color w:val="auto"/>
          <w:highlight w:val="none"/>
          <w:lang w:eastAsia="zh-CN"/>
        </w:rPr>
      </w:pPr>
      <w:r>
        <w:rPr>
          <w:rFonts w:hint="eastAsia" w:ascii="仿宋" w:hAnsi="仿宋" w:eastAsia="仿宋"/>
          <w:color w:val="auto"/>
          <w:highlight w:val="none"/>
          <w:lang w:eastAsia="zh-CN"/>
        </w:rPr>
        <w:t>（1）临时占地围挡、施工围挡照明、临时钢管架通道、吊装设备基础、防尘降噪、绿色施工防护棚、施工便道（环路）、指挥部及办公物资、临时施工路口、样板引路、工地大门、工地围蔽，在投标报价中综合考虑，不单独</w:t>
      </w:r>
      <w:r>
        <w:rPr>
          <w:rFonts w:hint="eastAsia" w:ascii="仿宋" w:hAnsi="仿宋" w:eastAsia="仿宋"/>
          <w:color w:val="auto"/>
          <w:highlight w:val="none"/>
          <w:lang w:val="en-US" w:eastAsia="zh-CN"/>
        </w:rPr>
        <w:t>开项</w:t>
      </w:r>
      <w:r>
        <w:rPr>
          <w:rFonts w:hint="eastAsia" w:ascii="仿宋" w:hAnsi="仿宋" w:eastAsia="仿宋"/>
          <w:color w:val="auto"/>
          <w:highlight w:val="none"/>
          <w:lang w:eastAsia="zh-CN"/>
        </w:rPr>
        <w:t>计取。</w:t>
      </w:r>
    </w:p>
    <w:p w14:paraId="11D5558E">
      <w:pPr>
        <w:pStyle w:val="17"/>
        <w:ind w:left="564" w:leftChars="235" w:right="317" w:firstLine="240" w:firstLineChars="100"/>
        <w:rPr>
          <w:rFonts w:hint="eastAsia" w:ascii="仿宋" w:hAnsi="仿宋" w:eastAsia="仿宋"/>
          <w:color w:val="auto"/>
          <w:highlight w:val="none"/>
          <w:lang w:eastAsia="zh-CN"/>
        </w:rPr>
      </w:pPr>
      <w:r>
        <w:rPr>
          <w:rFonts w:hint="eastAsia" w:ascii="仿宋" w:hAnsi="仿宋" w:eastAsia="仿宋"/>
          <w:color w:val="auto"/>
          <w:highlight w:val="none"/>
          <w:lang w:eastAsia="zh-CN"/>
        </w:rPr>
        <w:t>（2）施工排水、降水费用：是指因本工程承包范围内施工期间至项目完成并移交所产生的排水、降水、地下水治理及根据现场情况（包括不限于使用及维护邻近单位已有的排水设施）发生的一切费用，不包含施工雨水、污水的排除费用（在预算包干费中已考虑）。其中基坑的排水要求确保3小时抽干水，保证施工正常进行。承包人充分考虑地下水降排水费用、设计要求的抗浮降排水费用、地下水的排除费用（包括降水井、排水明沟、暗沟等设施及水泵台班等全部费用），该费用在投标报价中综合考虑，不单独</w:t>
      </w:r>
      <w:r>
        <w:rPr>
          <w:rFonts w:hint="eastAsia" w:ascii="仿宋" w:hAnsi="仿宋" w:eastAsia="仿宋"/>
          <w:color w:val="auto"/>
          <w:highlight w:val="none"/>
          <w:lang w:val="en-US" w:eastAsia="zh-CN"/>
        </w:rPr>
        <w:t>开项</w:t>
      </w:r>
      <w:r>
        <w:rPr>
          <w:rFonts w:hint="eastAsia" w:ascii="仿宋" w:hAnsi="仿宋" w:eastAsia="仿宋"/>
          <w:color w:val="auto"/>
          <w:highlight w:val="none"/>
          <w:lang w:eastAsia="zh-CN"/>
        </w:rPr>
        <w:t>计取。</w:t>
      </w:r>
    </w:p>
    <w:p w14:paraId="5626338F">
      <w:pPr>
        <w:pStyle w:val="17"/>
        <w:spacing w:after="0"/>
        <w:ind w:left="564" w:leftChars="235" w:right="317" w:firstLine="240" w:firstLineChars="1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3</w:t>
      </w:r>
      <w:r>
        <w:rPr>
          <w:rFonts w:hint="eastAsia" w:ascii="仿宋" w:hAnsi="仿宋" w:eastAsia="仿宋"/>
          <w:color w:val="auto"/>
          <w:highlight w:val="none"/>
          <w:lang w:eastAsia="zh-CN"/>
        </w:rPr>
        <w:t>）按费率计算的措施项目，费用按对应专业定额及有关规定计取，</w:t>
      </w:r>
      <w:r>
        <w:rPr>
          <w:rFonts w:hint="eastAsia" w:ascii="仿宋" w:hAnsi="仿宋" w:eastAsia="仿宋"/>
          <w:bCs/>
          <w:color w:val="auto"/>
          <w:highlight w:val="none"/>
          <w:lang w:eastAsia="zh-CN" w:bidi="en-US"/>
        </w:rPr>
        <w:t>定额标准及有关规定中费率有上下限的取中值。</w:t>
      </w:r>
    </w:p>
    <w:p w14:paraId="3FB8B047">
      <w:pPr>
        <w:pStyle w:val="17"/>
        <w:spacing w:after="0"/>
        <w:ind w:left="564" w:leftChars="235" w:right="317" w:firstLine="240" w:firstLineChars="100"/>
        <w:rPr>
          <w:rFonts w:ascii="仿宋" w:hAnsi="仿宋" w:eastAsia="仿宋"/>
          <w:color w:val="auto"/>
          <w:highlight w:val="none"/>
          <w:lang w:eastAsia="zh-CN" w:bidi="en-US"/>
        </w:rPr>
      </w:pPr>
      <w:r>
        <w:rPr>
          <w:rFonts w:hint="eastAsia" w:ascii="仿宋" w:hAnsi="仿宋" w:eastAsia="仿宋"/>
          <w:color w:val="auto"/>
          <w:highlight w:val="none"/>
          <w:lang w:eastAsia="zh-CN"/>
        </w:rPr>
        <w:t>（</w:t>
      </w:r>
      <w:r>
        <w:rPr>
          <w:rFonts w:ascii="仿宋" w:hAnsi="仿宋" w:eastAsia="仿宋"/>
          <w:color w:val="auto"/>
          <w:highlight w:val="none"/>
          <w:lang w:eastAsia="zh-CN"/>
        </w:rPr>
        <w:t>4</w:t>
      </w:r>
      <w:r>
        <w:rPr>
          <w:rFonts w:hint="eastAsia" w:ascii="仿宋" w:hAnsi="仿宋" w:eastAsia="仿宋"/>
          <w:color w:val="auto"/>
          <w:highlight w:val="none"/>
          <w:lang w:eastAsia="zh-CN"/>
        </w:rPr>
        <w:t>）</w:t>
      </w:r>
      <w:r>
        <w:rPr>
          <w:rFonts w:ascii="仿宋" w:hAnsi="仿宋" w:eastAsia="仿宋"/>
          <w:color w:val="auto"/>
          <w:highlight w:val="none"/>
          <w:lang w:eastAsia="zh-CN" w:bidi="en-US"/>
        </w:rPr>
        <w:t>措施</w:t>
      </w:r>
      <w:r>
        <w:rPr>
          <w:rFonts w:hint="eastAsia" w:ascii="仿宋" w:hAnsi="仿宋" w:eastAsia="仿宋"/>
          <w:color w:val="auto"/>
          <w:highlight w:val="none"/>
          <w:lang w:eastAsia="zh-CN" w:bidi="en-US"/>
        </w:rPr>
        <w:t>其他</w:t>
      </w:r>
      <w:r>
        <w:rPr>
          <w:rFonts w:ascii="仿宋" w:hAnsi="仿宋" w:eastAsia="仿宋"/>
          <w:color w:val="auto"/>
          <w:highlight w:val="none"/>
          <w:lang w:eastAsia="zh-CN" w:bidi="en-US"/>
        </w:rPr>
        <w:t>项目费</w:t>
      </w:r>
      <w:r>
        <w:rPr>
          <w:rFonts w:hint="eastAsia" w:ascii="仿宋" w:hAnsi="仿宋" w:eastAsia="仿宋"/>
          <w:color w:val="auto"/>
          <w:highlight w:val="none"/>
          <w:lang w:eastAsia="zh-CN" w:bidi="en-US"/>
        </w:rPr>
        <w:t>，其中文明工地增加费、夜间施工增加费、</w:t>
      </w:r>
      <w:r>
        <w:rPr>
          <w:rFonts w:ascii="仿宋" w:hAnsi="仿宋" w:eastAsia="仿宋"/>
          <w:color w:val="auto"/>
          <w:highlight w:val="none"/>
          <w:lang w:eastAsia="zh-CN" w:bidi="en-US"/>
        </w:rPr>
        <w:t>地下管线交叉降效费</w:t>
      </w:r>
      <w:r>
        <w:rPr>
          <w:rFonts w:hint="eastAsia" w:ascii="仿宋" w:hAnsi="仿宋" w:eastAsia="仿宋"/>
          <w:color w:val="auto"/>
          <w:highlight w:val="none"/>
          <w:lang w:eastAsia="zh-CN" w:bidi="en-US"/>
        </w:rPr>
        <w:t>、冬雨季施工增加费、</w:t>
      </w:r>
      <w:r>
        <w:rPr>
          <w:rFonts w:ascii="仿宋" w:hAnsi="仿宋" w:eastAsia="仿宋"/>
          <w:color w:val="auto"/>
          <w:highlight w:val="none"/>
          <w:lang w:eastAsia="zh-CN" w:bidi="en-US"/>
        </w:rPr>
        <w:t>赶工措施费</w:t>
      </w:r>
      <w:r>
        <w:rPr>
          <w:rFonts w:hint="eastAsia" w:ascii="仿宋" w:hAnsi="仿宋" w:eastAsia="仿宋"/>
          <w:color w:val="auto"/>
          <w:highlight w:val="none"/>
          <w:lang w:eastAsia="zh-CN" w:bidi="en-US"/>
        </w:rPr>
        <w:t>、</w:t>
      </w:r>
      <w:r>
        <w:rPr>
          <w:rFonts w:ascii="仿宋" w:hAnsi="仿宋" w:eastAsia="仿宋"/>
          <w:color w:val="auto"/>
          <w:highlight w:val="none"/>
          <w:lang w:eastAsia="zh-CN" w:bidi="en-US"/>
        </w:rPr>
        <w:t>监测量控工程</w:t>
      </w:r>
      <w:r>
        <w:rPr>
          <w:rFonts w:hint="eastAsia" w:ascii="仿宋" w:hAnsi="仿宋" w:eastAsia="仿宋"/>
          <w:color w:val="auto"/>
          <w:highlight w:val="none"/>
          <w:lang w:eastAsia="zh-CN" w:bidi="en-US"/>
        </w:rPr>
        <w:t>费、其他费用（如特殊工种培训费、地上地下设施、建筑物的临时保护设施、危险性较大的分部分项工程安全管理措施等）</w:t>
      </w:r>
      <w:r>
        <w:rPr>
          <w:rFonts w:ascii="仿宋" w:hAnsi="仿宋" w:eastAsia="仿宋"/>
          <w:color w:val="auto"/>
          <w:highlight w:val="none"/>
          <w:lang w:eastAsia="zh-CN" w:bidi="en-US"/>
        </w:rPr>
        <w:t>，</w:t>
      </w:r>
      <w:r>
        <w:rPr>
          <w:rFonts w:hint="eastAsia" w:ascii="仿宋" w:hAnsi="仿宋" w:eastAsia="仿宋"/>
          <w:color w:val="auto"/>
          <w:highlight w:val="none"/>
          <w:lang w:eastAsia="zh-CN"/>
        </w:rPr>
        <w:t>在投标报价中综合考虑，</w:t>
      </w:r>
      <w:r>
        <w:rPr>
          <w:rFonts w:hint="eastAsia" w:ascii="仿宋" w:hAnsi="仿宋" w:eastAsia="仿宋"/>
          <w:color w:val="auto"/>
          <w:highlight w:val="none"/>
          <w:lang w:eastAsia="zh-CN" w:bidi="en-US"/>
        </w:rPr>
        <w:t>不得列项计取。</w:t>
      </w:r>
    </w:p>
    <w:p w14:paraId="4B3DEB62">
      <w:pPr>
        <w:spacing w:line="360" w:lineRule="auto"/>
        <w:ind w:right="11" w:firstLine="566" w:firstLineChars="236"/>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3） 其他项目费</w:t>
      </w:r>
    </w:p>
    <w:p w14:paraId="41FC345D">
      <w:pPr>
        <w:pStyle w:val="17"/>
        <w:spacing w:after="0"/>
        <w:ind w:left="564" w:leftChars="235" w:right="317" w:firstLine="427" w:firstLineChars="178"/>
        <w:rPr>
          <w:rFonts w:ascii="仿宋" w:hAnsi="仿宋" w:eastAsia="仿宋"/>
          <w:color w:val="auto"/>
          <w:highlight w:val="none"/>
          <w:lang w:eastAsia="zh-CN"/>
        </w:rPr>
      </w:pPr>
      <w:r>
        <w:rPr>
          <w:rFonts w:hint="eastAsia" w:ascii="仿宋" w:hAnsi="仿宋" w:eastAsia="仿宋"/>
          <w:color w:val="auto"/>
          <w:highlight w:val="none"/>
          <w:lang w:eastAsia="zh-CN"/>
        </w:rPr>
        <w:t>暂列金额：按需计取</w:t>
      </w:r>
      <w:r>
        <w:rPr>
          <w:rFonts w:hint="eastAsia" w:ascii="仿宋" w:hAnsi="仿宋" w:eastAsia="仿宋" w:cs="仿宋"/>
          <w:color w:val="auto"/>
          <w:highlight w:val="none"/>
          <w:lang w:eastAsia="zh-CN" w:bidi="en-US"/>
        </w:rPr>
        <w:t>。</w:t>
      </w:r>
    </w:p>
    <w:p w14:paraId="77D056C6">
      <w:pPr>
        <w:pStyle w:val="17"/>
        <w:spacing w:after="0"/>
        <w:ind w:left="564" w:leftChars="235" w:right="317" w:firstLine="427" w:firstLineChars="178"/>
        <w:rPr>
          <w:rFonts w:hint="eastAsia" w:ascii="仿宋" w:hAnsi="仿宋" w:eastAsia="仿宋"/>
          <w:bCs/>
          <w:color w:val="auto"/>
          <w:highlight w:val="none"/>
          <w:lang w:eastAsia="zh-CN" w:bidi="en-US"/>
        </w:rPr>
      </w:pPr>
      <w:r>
        <w:rPr>
          <w:rFonts w:ascii="仿宋" w:hAnsi="仿宋" w:eastAsia="仿宋"/>
          <w:bCs/>
          <w:color w:val="auto"/>
          <w:highlight w:val="none"/>
          <w:lang w:eastAsia="zh-CN" w:bidi="en-US"/>
        </w:rPr>
        <w:t>预算包干费</w:t>
      </w:r>
      <w:r>
        <w:rPr>
          <w:rFonts w:hint="eastAsia" w:ascii="仿宋" w:hAnsi="仿宋" w:eastAsia="仿宋"/>
          <w:bCs/>
          <w:color w:val="auto"/>
          <w:highlight w:val="none"/>
          <w:lang w:eastAsia="zh-CN" w:bidi="en-US"/>
        </w:rPr>
        <w:t>：（1）预算包干费的内容包括：施工雨（污）水的排除；因地形影响造成的场内料具的二次运输；20米高以下的工程用水加压措施；施工材料堆放场地的整理；水电安装后的补洞工料费；工程成品保护费；施工中的临时停水停电；基础埋深2米以内挖土方的塌方；日间照明施工增加费（不包括地下室和特殊工程）；完工清理后的垃圾外运等。</w:t>
      </w:r>
    </w:p>
    <w:p w14:paraId="6B6606E1">
      <w:pPr>
        <w:pStyle w:val="17"/>
        <w:spacing w:after="0"/>
        <w:ind w:left="564" w:leftChars="235" w:right="317" w:firstLine="427" w:firstLineChars="178"/>
        <w:rPr>
          <w:rFonts w:ascii="仿宋" w:hAnsi="仿宋" w:eastAsia="仿宋"/>
          <w:color w:val="auto"/>
          <w:highlight w:val="none"/>
          <w:lang w:eastAsia="zh-CN"/>
        </w:rPr>
      </w:pPr>
      <w:r>
        <w:rPr>
          <w:rFonts w:hint="eastAsia" w:ascii="仿宋" w:hAnsi="仿宋" w:eastAsia="仿宋"/>
          <w:bCs/>
          <w:color w:val="auto"/>
          <w:highlight w:val="none"/>
          <w:lang w:eastAsia="zh-CN" w:bidi="en-US"/>
        </w:rPr>
        <w:t>（2）工程结算的预算包干费费率按签订的补充协议计算，按广东省建设工程计价依据（2018）相关约定执行。</w:t>
      </w:r>
    </w:p>
    <w:p w14:paraId="62177C6B">
      <w:pPr>
        <w:spacing w:line="360" w:lineRule="auto"/>
        <w:ind w:right="11" w:firstLine="566" w:firstLineChars="236"/>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4） 规费、税金</w:t>
      </w:r>
    </w:p>
    <w:p w14:paraId="6F01B885">
      <w:pPr>
        <w:pStyle w:val="17"/>
        <w:spacing w:after="0"/>
        <w:ind w:left="564" w:leftChars="235" w:right="317" w:firstLine="427" w:firstLineChars="178"/>
        <w:rPr>
          <w:rFonts w:hint="eastAsia" w:ascii="仿宋" w:hAnsi="仿宋" w:eastAsia="仿宋"/>
          <w:color w:val="auto"/>
          <w:highlight w:val="none"/>
          <w:lang w:eastAsia="zh-CN"/>
        </w:rPr>
      </w:pPr>
      <w:r>
        <w:rPr>
          <w:rFonts w:hint="eastAsia" w:ascii="仿宋" w:hAnsi="仿宋" w:eastAsia="仿宋"/>
          <w:color w:val="auto"/>
          <w:highlight w:val="none"/>
          <w:lang w:eastAsia="zh-CN"/>
        </w:rPr>
        <w:t>按政府建设管理部门及税务部门有关规定计算。</w:t>
      </w:r>
    </w:p>
    <w:p w14:paraId="12F2B013">
      <w:pPr>
        <w:spacing w:line="360" w:lineRule="auto"/>
        <w:ind w:right="11" w:firstLine="566" w:firstLineChars="236"/>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5） 合同风险范围内的费用已包含在投标报价中综合考虑，发包人不再另行支付，合同风险包括如下范围：</w:t>
      </w:r>
    </w:p>
    <w:p w14:paraId="6EC985D1">
      <w:pPr>
        <w:pStyle w:val="17"/>
        <w:ind w:left="564" w:leftChars="235" w:right="317" w:firstLine="240" w:firstLineChars="100"/>
        <w:rPr>
          <w:rFonts w:hint="eastAsia" w:ascii="仿宋" w:hAnsi="仿宋" w:eastAsia="仿宋"/>
          <w:color w:val="auto"/>
          <w:highlight w:val="none"/>
          <w:lang w:eastAsia="zh-CN" w:bidi="en-US"/>
        </w:rPr>
      </w:pPr>
      <w:r>
        <w:rPr>
          <w:rFonts w:hint="eastAsia" w:ascii="仿宋" w:hAnsi="仿宋" w:eastAsia="仿宋"/>
          <w:color w:val="auto"/>
          <w:highlight w:val="none"/>
          <w:lang w:eastAsia="zh-CN" w:bidi="en-US"/>
        </w:rPr>
        <w:t>（1）承包人应在投标报价中充分评估本项目可能因包括但不限于施工期间临时停水停电、征地拆迁、管线迁移、工程建设过程中因实际所需临时增加的第三方检验检测等原因产生的暂停施工风险，并在投标报价中综合考虑由此而导致的停工窝工、工期补回、增加施工、工程照管以及现场管理等所产生的费用。</w:t>
      </w:r>
    </w:p>
    <w:p w14:paraId="1194C367">
      <w:pPr>
        <w:pStyle w:val="17"/>
        <w:ind w:left="564" w:leftChars="235" w:right="317" w:firstLine="240" w:firstLineChars="100"/>
        <w:rPr>
          <w:rFonts w:hint="eastAsia" w:ascii="仿宋" w:hAnsi="仿宋" w:eastAsia="仿宋"/>
          <w:color w:val="auto"/>
          <w:highlight w:val="none"/>
          <w:lang w:eastAsia="zh-CN" w:bidi="en-US"/>
        </w:rPr>
      </w:pPr>
      <w:r>
        <w:rPr>
          <w:rFonts w:hint="eastAsia" w:ascii="仿宋" w:hAnsi="仿宋" w:eastAsia="仿宋"/>
          <w:color w:val="auto"/>
          <w:highlight w:val="none"/>
          <w:lang w:eastAsia="zh-CN" w:bidi="en-US"/>
        </w:rPr>
        <w:t>（2）承包人应在投标报价中充分评估本项目可能因包括但不限于移交、协调等原因产生的照管管养风险，并在投标报价中综合考虑由此而导致的工程照管以及现场管理等所产生的费用。</w:t>
      </w:r>
    </w:p>
    <w:p w14:paraId="4FE39D38">
      <w:pPr>
        <w:pStyle w:val="17"/>
        <w:ind w:left="564" w:leftChars="235" w:right="317" w:firstLine="240" w:firstLineChars="100"/>
        <w:rPr>
          <w:rFonts w:hint="eastAsia" w:ascii="仿宋" w:hAnsi="仿宋" w:eastAsia="仿宋"/>
          <w:color w:val="auto"/>
          <w:highlight w:val="none"/>
          <w:lang w:eastAsia="zh-CN" w:bidi="en-US"/>
        </w:rPr>
      </w:pPr>
      <w:r>
        <w:rPr>
          <w:rFonts w:hint="eastAsia" w:ascii="仿宋" w:hAnsi="仿宋" w:eastAsia="仿宋"/>
          <w:color w:val="auto"/>
          <w:highlight w:val="none"/>
          <w:lang w:eastAsia="zh-CN" w:bidi="en-US"/>
        </w:rPr>
        <w:t>（3）本合同条款中承包人履行义务涉及的风险，或承包人由于自身原因引起合同价款以外的费用增加。</w:t>
      </w:r>
    </w:p>
    <w:p w14:paraId="4AE98B3B">
      <w:pPr>
        <w:pStyle w:val="17"/>
        <w:ind w:left="564" w:leftChars="235" w:right="317" w:firstLine="240" w:firstLineChars="100"/>
        <w:rPr>
          <w:rFonts w:hint="eastAsia" w:ascii="仿宋" w:hAnsi="仿宋" w:eastAsia="仿宋"/>
          <w:color w:val="auto"/>
          <w:highlight w:val="none"/>
          <w:lang w:eastAsia="zh-CN" w:bidi="en-US"/>
        </w:rPr>
      </w:pPr>
      <w:r>
        <w:rPr>
          <w:rFonts w:hint="eastAsia" w:ascii="仿宋" w:hAnsi="仿宋" w:eastAsia="仿宋"/>
          <w:color w:val="auto"/>
          <w:highlight w:val="none"/>
          <w:lang w:eastAsia="zh-CN" w:bidi="en-US"/>
        </w:rPr>
        <w:t>（4）除本合同另有约定外的物价变化、气候变化、保险、工程分包等情况发生时产生的相关费用。</w:t>
      </w:r>
    </w:p>
    <w:p w14:paraId="25AFCCE3">
      <w:pPr>
        <w:pStyle w:val="17"/>
        <w:ind w:left="564" w:leftChars="235" w:right="317" w:firstLine="240" w:firstLineChars="100"/>
        <w:rPr>
          <w:rFonts w:hint="eastAsia" w:ascii="仿宋" w:hAnsi="仿宋" w:eastAsia="仿宋"/>
          <w:color w:val="auto"/>
          <w:highlight w:val="none"/>
          <w:lang w:eastAsia="zh-CN" w:bidi="en-US"/>
        </w:rPr>
      </w:pPr>
      <w:r>
        <w:rPr>
          <w:rFonts w:hint="eastAsia" w:ascii="仿宋" w:hAnsi="仿宋" w:eastAsia="仿宋"/>
          <w:color w:val="auto"/>
          <w:highlight w:val="none"/>
          <w:lang w:eastAsia="zh-CN" w:bidi="en-US"/>
        </w:rPr>
        <w:t>（5）措施项目费不因施工期间人工、材料及机械价格变化、施工条件、工程规模的变化和政府造价管理部门调整各项收费等而调整。</w:t>
      </w:r>
    </w:p>
    <w:p w14:paraId="7A537BB2">
      <w:pPr>
        <w:pStyle w:val="17"/>
        <w:ind w:left="564" w:leftChars="235" w:right="317" w:firstLine="240" w:firstLineChars="100"/>
        <w:rPr>
          <w:rFonts w:hint="eastAsia" w:ascii="仿宋" w:hAnsi="仿宋" w:eastAsia="仿宋"/>
          <w:color w:val="auto"/>
          <w:highlight w:val="none"/>
          <w:lang w:eastAsia="zh-CN" w:bidi="en-US"/>
        </w:rPr>
      </w:pPr>
      <w:r>
        <w:rPr>
          <w:rFonts w:hint="eastAsia" w:ascii="仿宋" w:hAnsi="仿宋" w:eastAsia="仿宋"/>
          <w:color w:val="auto"/>
          <w:highlight w:val="none"/>
          <w:lang w:eastAsia="zh-CN" w:bidi="en-US"/>
        </w:rPr>
        <w:t>（6）赶工费不另行</w:t>
      </w:r>
      <w:r>
        <w:rPr>
          <w:rFonts w:hint="eastAsia" w:ascii="仿宋" w:hAnsi="仿宋" w:eastAsia="仿宋"/>
          <w:color w:val="auto"/>
          <w:highlight w:val="none"/>
          <w:lang w:val="en-US" w:eastAsia="zh-CN" w:bidi="en-US"/>
        </w:rPr>
        <w:t>开项</w:t>
      </w:r>
      <w:r>
        <w:rPr>
          <w:rFonts w:hint="eastAsia" w:ascii="仿宋" w:hAnsi="仿宋" w:eastAsia="仿宋"/>
          <w:color w:val="auto"/>
          <w:highlight w:val="none"/>
          <w:lang w:eastAsia="zh-CN" w:bidi="en-US"/>
        </w:rPr>
        <w:t>计算，综合考虑在投标报价中，因发包人原因导致的赶工，费用另行协商。</w:t>
      </w:r>
    </w:p>
    <w:p w14:paraId="25D3CB8E">
      <w:pPr>
        <w:pStyle w:val="17"/>
        <w:ind w:left="564" w:leftChars="235" w:right="317" w:firstLine="240" w:firstLineChars="100"/>
        <w:rPr>
          <w:rFonts w:hint="eastAsia" w:ascii="仿宋" w:hAnsi="仿宋" w:eastAsia="仿宋"/>
          <w:color w:val="auto"/>
          <w:highlight w:val="none"/>
          <w:lang w:eastAsia="zh-CN" w:bidi="en-US"/>
        </w:rPr>
      </w:pPr>
      <w:r>
        <w:rPr>
          <w:rFonts w:hint="eastAsia" w:ascii="仿宋" w:hAnsi="仿宋" w:eastAsia="仿宋"/>
          <w:color w:val="auto"/>
          <w:highlight w:val="none"/>
          <w:lang w:eastAsia="zh-CN" w:bidi="en-US"/>
        </w:rPr>
        <w:t>（7）法律法规（包括规章和政策）变化、不可抗力等因素发生时，依据本合同有关条款和现行有关规定应由承包人承担的费用。</w:t>
      </w:r>
    </w:p>
    <w:p w14:paraId="7E37ACC5">
      <w:pPr>
        <w:spacing w:line="360" w:lineRule="auto"/>
        <w:ind w:right="11" w:firstLine="566" w:firstLineChars="236"/>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8.5.4建安工程费结算价</w:t>
      </w:r>
    </w:p>
    <w:p w14:paraId="56D2AB1A">
      <w:pPr>
        <w:pStyle w:val="17"/>
        <w:ind w:left="0" w:leftChars="0" w:right="317" w:firstLine="480" w:firstLineChars="200"/>
        <w:rPr>
          <w:rFonts w:hint="eastAsia" w:ascii="仿宋" w:hAnsi="仿宋" w:eastAsia="仿宋" w:cs="等线"/>
          <w:color w:val="auto"/>
          <w:highlight w:val="none"/>
          <w:lang w:eastAsia="zh-CN" w:bidi="en-US"/>
        </w:rPr>
      </w:pPr>
      <w:r>
        <w:rPr>
          <w:rFonts w:hint="eastAsia" w:ascii="仿宋" w:hAnsi="仿宋" w:eastAsia="仿宋" w:cs="等线"/>
          <w:color w:val="auto"/>
          <w:highlight w:val="none"/>
          <w:lang w:eastAsia="zh-CN" w:bidi="en-US"/>
        </w:rPr>
        <w:t>本项目为EPC模式，承包人对施工图、项目概算（达到预算深度)工程费用及工程量清单负责。工程量清单漏项漏量、工程变更、签证等引起工程结算造价增加的（含人、材、机调整价差），</w:t>
      </w:r>
      <w:r>
        <w:rPr>
          <w:rFonts w:hint="eastAsia" w:ascii="仿宋" w:hAnsi="仿宋" w:eastAsia="仿宋" w:cs="等线"/>
          <w:color w:val="auto"/>
          <w:highlight w:val="none"/>
          <w:lang w:val="en-US" w:eastAsia="zh-CN" w:bidi="en-US"/>
        </w:rPr>
        <w:t>结算价</w:t>
      </w:r>
      <w:r>
        <w:rPr>
          <w:rFonts w:hint="eastAsia" w:ascii="仿宋" w:hAnsi="仿宋" w:eastAsia="仿宋" w:cs="等线"/>
          <w:color w:val="auto"/>
          <w:highlight w:val="none"/>
          <w:lang w:eastAsia="zh-CN" w:bidi="en-US"/>
        </w:rPr>
        <w:t>不得超过原合同价。</w:t>
      </w:r>
    </w:p>
    <w:p w14:paraId="01B1BEA6">
      <w:pPr>
        <w:pStyle w:val="17"/>
        <w:ind w:left="0" w:leftChars="0" w:right="317" w:firstLine="480" w:firstLineChars="200"/>
        <w:rPr>
          <w:rFonts w:hint="eastAsia" w:ascii="仿宋" w:hAnsi="仿宋" w:eastAsia="仿宋" w:cs="等线"/>
          <w:color w:val="auto"/>
          <w:highlight w:val="none"/>
          <w:lang w:eastAsia="zh-CN" w:bidi="en-US"/>
        </w:rPr>
      </w:pPr>
      <w:r>
        <w:rPr>
          <w:rFonts w:hint="eastAsia" w:ascii="仿宋" w:hAnsi="仿宋" w:eastAsia="仿宋" w:cs="等线"/>
          <w:color w:val="auto"/>
          <w:highlight w:val="none"/>
          <w:lang w:eastAsia="zh-CN" w:bidi="en-US"/>
        </w:rPr>
        <w:t>涉及不良地质处理工程实际费用超出合同约定限额部分不予增加，按合同约定限额结算。工程最终结算总价(含本条款所述各项调整)超过原合同价的，以原合同价作为最终结算价。</w:t>
      </w:r>
    </w:p>
    <w:p w14:paraId="6C647D98">
      <w:pPr>
        <w:spacing w:line="360" w:lineRule="auto"/>
        <w:ind w:firstLine="566" w:firstLineChars="236"/>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8.6设备及工器具购置费的控制：</w:t>
      </w:r>
      <w:r>
        <w:rPr>
          <w:rFonts w:hint="eastAsia" w:ascii="仿宋" w:hAnsi="仿宋" w:eastAsia="仿宋" w:cs="仿宋"/>
          <w:color w:val="auto"/>
          <w:highlight w:val="none"/>
          <w:u w:val="single"/>
          <w:lang w:eastAsia="zh-CN"/>
        </w:rPr>
        <w:t xml:space="preserve">/  </w:t>
      </w:r>
    </w:p>
    <w:p w14:paraId="744FD5F6">
      <w:pPr>
        <w:spacing w:line="360" w:lineRule="auto"/>
        <w:ind w:firstLine="566" w:firstLineChars="236"/>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施工图预算阶段的</w:t>
      </w:r>
      <w:r>
        <w:rPr>
          <w:rFonts w:hint="eastAsia" w:ascii="仿宋" w:hAnsi="仿宋" w:eastAsia="仿宋" w:cs="仿宋"/>
          <w:color w:val="auto"/>
          <w:highlight w:val="none"/>
          <w:u w:val="single"/>
          <w:lang w:eastAsia="zh-CN"/>
        </w:rPr>
        <w:t>建筑安装工程费用</w:t>
      </w:r>
      <w:r>
        <w:rPr>
          <w:rFonts w:hint="eastAsia" w:ascii="仿宋" w:hAnsi="仿宋" w:eastAsia="仿宋" w:cs="仿宋"/>
          <w:color w:val="auto"/>
          <w:highlight w:val="none"/>
          <w:u w:val="single"/>
          <w:lang w:val="en-US" w:eastAsia="zh-CN"/>
        </w:rPr>
        <w:t>不能突破本项目经批复的工程概算中建筑安装工程费及本合同约定的设计总限额</w:t>
      </w:r>
      <w:r>
        <w:rPr>
          <w:rFonts w:hint="eastAsia" w:ascii="仿宋" w:hAnsi="仿宋" w:eastAsia="仿宋" w:cs="仿宋"/>
          <w:color w:val="auto"/>
          <w:highlight w:val="none"/>
          <w:u w:val="single"/>
          <w:lang w:eastAsia="zh-CN"/>
        </w:rPr>
        <w:t xml:space="preserve">。 </w:t>
      </w:r>
    </w:p>
    <w:p w14:paraId="0794451D">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r>
        <w:rPr>
          <w:rFonts w:hint="eastAsia" w:ascii="仿宋" w:hAnsi="仿宋" w:eastAsia="仿宋" w:cs="仿宋"/>
          <w:b w:val="0"/>
          <w:bCs w:val="0"/>
          <w:i w:val="0"/>
          <w:iCs w:val="0"/>
          <w:color w:val="auto"/>
          <w:sz w:val="24"/>
          <w:szCs w:val="24"/>
          <w:highlight w:val="none"/>
          <w:lang w:eastAsia="zh-CN"/>
        </w:rPr>
        <w:t>9.  通信联络</w:t>
      </w:r>
      <w:bookmarkEnd w:id="1404"/>
      <w:bookmarkEnd w:id="1405"/>
      <w:bookmarkEnd w:id="1406"/>
      <w:bookmarkEnd w:id="1407"/>
      <w:bookmarkEnd w:id="1408"/>
      <w:bookmarkEnd w:id="1409"/>
      <w:bookmarkEnd w:id="1410"/>
      <w:bookmarkEnd w:id="1411"/>
    </w:p>
    <w:p w14:paraId="3F85921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9.2 发送通讯</w:t>
      </w:r>
    </w:p>
    <w:p w14:paraId="52B8203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各方通讯地址、收件人及其他送达方式</w:t>
      </w:r>
    </w:p>
    <w:p w14:paraId="6693FB9E">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①各方通讯地址和收件人：</w:t>
      </w:r>
    </w:p>
    <w:p w14:paraId="28029323">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w:t>
      </w:r>
      <w:r>
        <w:rPr>
          <w:rFonts w:hint="eastAsia" w:ascii="仿宋" w:hAnsi="仿宋" w:eastAsia="仿宋"/>
          <w:color w:val="auto"/>
          <w:highlight w:val="none"/>
          <w:u w:val="single"/>
          <w:lang w:eastAsia="zh-CN"/>
        </w:rPr>
        <w:t xml:space="preserve"> 广州三元里片区改造投资有限公司  </w:t>
      </w:r>
      <w:r>
        <w:rPr>
          <w:rFonts w:hint="eastAsia" w:ascii="仿宋" w:hAnsi="仿宋" w:eastAsia="仿宋" w:cs="仿宋"/>
          <w:color w:val="auto"/>
          <w:highlight w:val="none"/>
          <w:u w:val="single"/>
          <w:lang w:eastAsia="zh-CN"/>
        </w:rPr>
        <w:t xml:space="preserve">    </w:t>
      </w:r>
    </w:p>
    <w:p w14:paraId="7B65EF6B">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olor w:val="auto"/>
          <w:highlight w:val="none"/>
          <w:u w:val="single"/>
          <w:lang w:eastAsia="zh-CN"/>
        </w:rPr>
        <w:t xml:space="preserve"> 广州市白云区齐富路88号</w:t>
      </w:r>
      <w:r>
        <w:rPr>
          <w:rFonts w:hint="eastAsia" w:ascii="仿宋" w:hAnsi="仿宋" w:eastAsia="仿宋"/>
          <w:color w:val="auto"/>
          <w:highlight w:val="none"/>
          <w:u w:val="single"/>
          <w:lang w:val="en-US" w:eastAsia="zh-CN"/>
        </w:rPr>
        <w:t>C栋11楼</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p>
    <w:p w14:paraId="1843A32F">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邮政编码：</w:t>
      </w:r>
      <w:r>
        <w:rPr>
          <w:rFonts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 xml:space="preserve">   </w:t>
      </w:r>
      <w:r>
        <w:rPr>
          <w:rFonts w:hint="eastAsia" w:ascii="仿宋" w:hAnsi="仿宋" w:eastAsia="仿宋"/>
          <w:color w:val="auto"/>
          <w:highlight w:val="none"/>
          <w:u w:val="single"/>
          <w:lang w:val="en-US" w:eastAsia="zh-CN"/>
        </w:rPr>
        <w:t>/</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电子邮箱：</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 xml:space="preserve">   </w:t>
      </w:r>
      <w:r>
        <w:rPr>
          <w:rFonts w:hint="eastAsia" w:ascii="仿宋" w:hAnsi="仿宋" w:eastAsia="仿宋"/>
          <w:color w:val="auto"/>
          <w:highlight w:val="none"/>
          <w:u w:val="single"/>
          <w:lang w:val="en-US" w:eastAsia="zh-CN"/>
        </w:rPr>
        <w:t>510000</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14:paraId="3480E564">
      <w:pPr>
        <w:spacing w:line="360" w:lineRule="auto"/>
        <w:ind w:firstLine="720" w:firstLineChars="300"/>
        <w:rPr>
          <w:rFonts w:hint="eastAsia" w:ascii="仿宋" w:hAnsi="仿宋" w:eastAsia="仿宋" w:cs="仿宋"/>
          <w:color w:val="auto"/>
          <w:highlight w:val="none"/>
          <w:u w:val="single"/>
          <w:lang w:eastAsia="zh-CN"/>
        </w:rPr>
      </w:pPr>
    </w:p>
    <w:p w14:paraId="0C5F4EE5">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承包人（单一主体或联合体牵头人）：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45F5FD45">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65FD1DD3">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邮政编码：</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电子邮箱：</w:t>
      </w:r>
      <w:r>
        <w:rPr>
          <w:rFonts w:hint="eastAsia" w:ascii="仿宋" w:hAnsi="仿宋" w:eastAsia="仿宋" w:cs="仿宋"/>
          <w:color w:val="auto"/>
          <w:highlight w:val="none"/>
          <w:u w:val="single"/>
          <w:lang w:eastAsia="zh-CN"/>
        </w:rPr>
        <w:t xml:space="preserve">  </w:t>
      </w:r>
    </w:p>
    <w:p w14:paraId="6FCBFE14">
      <w:pPr>
        <w:spacing w:line="360" w:lineRule="auto"/>
        <w:ind w:firstLine="720" w:firstLineChars="300"/>
        <w:rPr>
          <w:rFonts w:hint="eastAsia" w:ascii="仿宋" w:hAnsi="仿宋" w:eastAsia="仿宋" w:cs="仿宋"/>
          <w:color w:val="auto"/>
          <w:highlight w:val="none"/>
          <w:u w:val="single"/>
          <w:lang w:eastAsia="zh-CN"/>
        </w:rPr>
      </w:pPr>
    </w:p>
    <w:p w14:paraId="336F7DF4">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承包人（联合体成员单位）： </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3564588A">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32776B6B">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none"/>
          <w:lang w:eastAsia="zh-CN"/>
        </w:rPr>
        <w:t xml:space="preserve"> </w:t>
      </w:r>
      <w:r>
        <w:rPr>
          <w:rFonts w:hint="eastAsia" w:ascii="仿宋" w:hAnsi="仿宋" w:eastAsia="仿宋" w:cs="仿宋"/>
          <w:color w:val="auto"/>
          <w:highlight w:val="none"/>
          <w:u w:val="none"/>
          <w:lang w:val="en-US" w:eastAsia="zh-CN"/>
        </w:rPr>
        <w:t xml:space="preserve">  </w:t>
      </w:r>
      <w:r>
        <w:rPr>
          <w:rFonts w:hint="eastAsia" w:ascii="仿宋" w:hAnsi="仿宋" w:eastAsia="仿宋" w:cs="仿宋"/>
          <w:color w:val="auto"/>
          <w:highlight w:val="none"/>
          <w:lang w:eastAsia="zh-CN"/>
        </w:rPr>
        <w:t>邮政编码：</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084F7A14">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p>
    <w:p w14:paraId="0E67C1B6">
      <w:pPr>
        <w:spacing w:line="360" w:lineRule="auto"/>
        <w:rPr>
          <w:rFonts w:hint="eastAsia" w:ascii="仿宋" w:hAnsi="仿宋" w:eastAsia="仿宋" w:cs="仿宋"/>
          <w:color w:val="auto"/>
          <w:highlight w:val="none"/>
          <w:u w:val="single"/>
          <w:lang w:eastAsia="zh-CN"/>
        </w:rPr>
      </w:pPr>
    </w:p>
    <w:p w14:paraId="7F59A19B">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承包人（联合体成员单位）： </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49D083A9">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none"/>
          <w:lang w:val="en-US" w:eastAsia="zh-CN"/>
        </w:rPr>
        <w:t xml:space="preserve"> </w:t>
      </w:r>
      <w:r>
        <w:rPr>
          <w:rFonts w:hint="eastAsia" w:ascii="仿宋" w:hAnsi="仿宋" w:eastAsia="仿宋" w:cs="仿宋"/>
          <w:color w:val="auto"/>
          <w:highlight w:val="none"/>
          <w:lang w:eastAsia="zh-CN"/>
        </w:rPr>
        <w:t>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7F84AAC0">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邮政编码：</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电子邮箱：</w:t>
      </w:r>
      <w:r>
        <w:rPr>
          <w:rFonts w:hint="eastAsia" w:ascii="仿宋" w:hAnsi="仿宋" w:eastAsia="仿宋" w:cs="仿宋"/>
          <w:color w:val="auto"/>
          <w:highlight w:val="none"/>
          <w:u w:val="single"/>
          <w:lang w:eastAsia="zh-CN"/>
        </w:rPr>
        <w:t xml:space="preserve">      </w:t>
      </w:r>
    </w:p>
    <w:p w14:paraId="2F54A622">
      <w:pPr>
        <w:spacing w:line="360" w:lineRule="auto"/>
        <w:ind w:firstLine="720" w:firstLineChars="300"/>
        <w:rPr>
          <w:rFonts w:hint="eastAsia" w:ascii="仿宋" w:hAnsi="仿宋" w:eastAsia="仿宋" w:cs="仿宋"/>
          <w:color w:val="auto"/>
          <w:highlight w:val="none"/>
          <w:u w:val="single"/>
          <w:lang w:eastAsia="zh-CN"/>
        </w:rPr>
      </w:pPr>
    </w:p>
    <w:p w14:paraId="0538E65E">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设计顾问人：</w:t>
      </w:r>
      <w:r>
        <w:rPr>
          <w:rFonts w:hint="eastAsia" w:ascii="仿宋" w:hAnsi="仿宋" w:eastAsia="仿宋" w:cs="仿宋"/>
          <w:color w:val="auto"/>
          <w:highlight w:val="none"/>
          <w:u w:val="single"/>
          <w:lang w:eastAsia="zh-CN"/>
        </w:rPr>
        <w:t xml:space="preserve">  待定，以发包人书面通知为准。  </w:t>
      </w:r>
    </w:p>
    <w:p w14:paraId="7E493512">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             </w:t>
      </w:r>
    </w:p>
    <w:p w14:paraId="28FEB66E">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r>
        <w:rPr>
          <w:rFonts w:hint="eastAsia" w:ascii="仿宋" w:hAnsi="仿宋" w:eastAsia="仿宋" w:cs="仿宋"/>
          <w:color w:val="auto"/>
          <w:highlight w:val="none"/>
          <w:u w:val="single"/>
          <w:lang w:eastAsia="zh-CN"/>
        </w:rPr>
        <w:t xml:space="preserve">       /              </w:t>
      </w:r>
    </w:p>
    <w:p w14:paraId="0A98B84A">
      <w:pPr>
        <w:spacing w:line="360" w:lineRule="auto"/>
        <w:ind w:firstLine="720" w:firstLineChars="300"/>
        <w:rPr>
          <w:rFonts w:hint="eastAsia" w:ascii="仿宋" w:hAnsi="仿宋" w:eastAsia="仿宋" w:cs="仿宋"/>
          <w:color w:val="auto"/>
          <w:highlight w:val="none"/>
          <w:lang w:eastAsia="zh-CN"/>
        </w:rPr>
      </w:pPr>
    </w:p>
    <w:p w14:paraId="5ECD30CF">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监理人：</w:t>
      </w:r>
      <w:r>
        <w:rPr>
          <w:rFonts w:hint="eastAsia" w:ascii="仿宋" w:hAnsi="仿宋" w:eastAsia="仿宋" w:cs="仿宋"/>
          <w:color w:val="auto"/>
          <w:highlight w:val="none"/>
          <w:u w:val="single"/>
          <w:lang w:eastAsia="zh-CN"/>
        </w:rPr>
        <w:t xml:space="preserve">  待定，以发包人书面通知为准。 </w:t>
      </w:r>
    </w:p>
    <w:p w14:paraId="0CA72B5D">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                 </w:t>
      </w:r>
    </w:p>
    <w:p w14:paraId="605B7AC8">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r>
        <w:rPr>
          <w:rFonts w:hint="eastAsia" w:ascii="仿宋" w:hAnsi="仿宋" w:eastAsia="仿宋" w:cs="仿宋"/>
          <w:color w:val="auto"/>
          <w:highlight w:val="none"/>
          <w:u w:val="single"/>
          <w:lang w:eastAsia="zh-CN"/>
        </w:rPr>
        <w:t xml:space="preserve">       /              </w:t>
      </w:r>
    </w:p>
    <w:p w14:paraId="43202424">
      <w:pPr>
        <w:spacing w:line="360" w:lineRule="auto"/>
        <w:ind w:firstLine="720" w:firstLineChars="300"/>
        <w:rPr>
          <w:rFonts w:hint="eastAsia" w:ascii="仿宋" w:hAnsi="仿宋" w:eastAsia="仿宋" w:cs="仿宋"/>
          <w:color w:val="auto"/>
          <w:highlight w:val="none"/>
          <w:lang w:eastAsia="zh-CN"/>
        </w:rPr>
      </w:pPr>
    </w:p>
    <w:p w14:paraId="45F1A50D">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工程造价咨询人： </w:t>
      </w:r>
      <w:r>
        <w:rPr>
          <w:rFonts w:hint="eastAsia" w:ascii="仿宋" w:hAnsi="仿宋" w:eastAsia="仿宋" w:cs="仿宋"/>
          <w:color w:val="auto"/>
          <w:highlight w:val="none"/>
          <w:u w:val="single"/>
          <w:lang w:eastAsia="zh-CN"/>
        </w:rPr>
        <w:t xml:space="preserve">   待定，以发包人书面通知为准。    </w:t>
      </w:r>
      <w:r>
        <w:rPr>
          <w:rFonts w:hint="eastAsia" w:ascii="仿宋" w:hAnsi="仿宋" w:eastAsia="仿宋" w:cs="仿宋"/>
          <w:color w:val="auto"/>
          <w:highlight w:val="none"/>
          <w:lang w:eastAsia="zh-CN"/>
        </w:rPr>
        <w:t xml:space="preserve"> </w:t>
      </w:r>
    </w:p>
    <w:p w14:paraId="49593220">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                 </w:t>
      </w:r>
    </w:p>
    <w:p w14:paraId="39B48C40">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r>
        <w:rPr>
          <w:rFonts w:hint="eastAsia" w:ascii="仿宋" w:hAnsi="仿宋" w:eastAsia="仿宋" w:cs="仿宋"/>
          <w:color w:val="auto"/>
          <w:highlight w:val="none"/>
          <w:u w:val="single"/>
          <w:lang w:eastAsia="zh-CN"/>
        </w:rPr>
        <w:t xml:space="preserve">         /            </w:t>
      </w:r>
    </w:p>
    <w:p w14:paraId="3E53A736">
      <w:pPr>
        <w:spacing w:line="360" w:lineRule="auto"/>
        <w:ind w:firstLine="720" w:firstLineChars="300"/>
        <w:rPr>
          <w:rFonts w:hint="eastAsia" w:ascii="仿宋" w:hAnsi="仿宋" w:eastAsia="仿宋" w:cs="仿宋"/>
          <w:color w:val="auto"/>
          <w:highlight w:val="none"/>
          <w:lang w:eastAsia="zh-CN"/>
        </w:rPr>
      </w:pPr>
    </w:p>
    <w:p w14:paraId="524C322E">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②视为送达的其他方式：</w:t>
      </w:r>
      <w:r>
        <w:rPr>
          <w:rFonts w:hint="eastAsia" w:ascii="仿宋" w:hAnsi="仿宋" w:eastAsia="仿宋" w:cs="仿宋"/>
          <w:color w:val="auto"/>
          <w:highlight w:val="none"/>
          <w:u w:val="single"/>
          <w:lang w:eastAsia="zh-CN"/>
        </w:rPr>
        <w:t>特快专递、挂号信等方式送至通讯地址的，视为送达。</w:t>
      </w:r>
    </w:p>
    <w:p w14:paraId="1933E56E">
      <w:pPr>
        <w:pStyle w:val="3"/>
        <w:numPr>
          <w:ilvl w:val="0"/>
          <w:numId w:val="24"/>
        </w:numPr>
        <w:tabs>
          <w:tab w:val="left" w:pos="420"/>
        </w:tabs>
        <w:spacing w:line="360" w:lineRule="auto"/>
        <w:rPr>
          <w:rFonts w:hint="eastAsia" w:ascii="仿宋" w:hAnsi="仿宋" w:eastAsia="仿宋" w:cs="仿宋"/>
          <w:i w:val="0"/>
          <w:iCs w:val="0"/>
          <w:color w:val="auto"/>
          <w:sz w:val="24"/>
          <w:szCs w:val="24"/>
          <w:highlight w:val="none"/>
          <w:lang w:eastAsia="zh-CN"/>
        </w:rPr>
      </w:pPr>
      <w:bookmarkStart w:id="1412" w:name="_Toc47694392"/>
      <w:bookmarkStart w:id="1413" w:name="_Toc9998"/>
      <w:bookmarkStart w:id="1414" w:name="_Toc23069"/>
      <w:r>
        <w:rPr>
          <w:rFonts w:hint="eastAsia" w:ascii="仿宋" w:hAnsi="仿宋" w:eastAsia="仿宋" w:cs="仿宋"/>
          <w:i w:val="0"/>
          <w:iCs w:val="0"/>
          <w:color w:val="auto"/>
          <w:sz w:val="24"/>
          <w:szCs w:val="24"/>
          <w:highlight w:val="none"/>
          <w:lang w:eastAsia="zh-CN"/>
        </w:rPr>
        <w:t xml:space="preserve"> </w:t>
      </w:r>
      <w:bookmarkStart w:id="1415" w:name="_Toc11247"/>
      <w:bookmarkStart w:id="1416" w:name="_Toc30632"/>
      <w:bookmarkStart w:id="1417" w:name="_Toc21619"/>
      <w:bookmarkStart w:id="1418" w:name="_Toc20561"/>
      <w:bookmarkStart w:id="1419" w:name="_Toc2211"/>
      <w:r>
        <w:rPr>
          <w:rFonts w:hint="eastAsia" w:ascii="仿宋" w:hAnsi="仿宋" w:eastAsia="仿宋" w:cs="仿宋"/>
          <w:i w:val="0"/>
          <w:iCs w:val="0"/>
          <w:color w:val="auto"/>
          <w:sz w:val="24"/>
          <w:szCs w:val="24"/>
          <w:highlight w:val="none"/>
          <w:lang w:eastAsia="zh-CN"/>
        </w:rPr>
        <w:t>分包</w:t>
      </w:r>
      <w:bookmarkEnd w:id="1412"/>
      <w:bookmarkEnd w:id="1413"/>
      <w:bookmarkEnd w:id="1414"/>
      <w:bookmarkEnd w:id="1415"/>
      <w:bookmarkEnd w:id="1416"/>
      <w:bookmarkEnd w:id="1417"/>
      <w:bookmarkEnd w:id="1418"/>
      <w:bookmarkEnd w:id="1419"/>
    </w:p>
    <w:p w14:paraId="6DE8B2E2">
      <w:pPr>
        <w:spacing w:line="360" w:lineRule="auto"/>
        <w:ind w:firstLine="964" w:firstLineChars="40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双方协商一致，通用条款10.2款修改如下：</w:t>
      </w:r>
    </w:p>
    <w:p w14:paraId="14D12893">
      <w:pPr>
        <w:pStyle w:val="17"/>
        <w:ind w:left="564" w:leftChars="235" w:right="317" w:firstLine="427" w:firstLineChars="178"/>
        <w:rPr>
          <w:color w:val="auto"/>
          <w:highlight w:val="none"/>
          <w:lang w:eastAsia="zh-CN"/>
        </w:rPr>
      </w:pPr>
      <w:r>
        <w:rPr>
          <w:rFonts w:ascii="仿宋" w:hAnsi="仿宋" w:eastAsia="仿宋"/>
          <w:color w:val="auto"/>
          <w:highlight w:val="none"/>
          <w:lang w:eastAsia="zh-CN" w:bidi="en-US"/>
        </w:rPr>
        <w:t>10.2</w:t>
      </w:r>
      <w:r>
        <w:rPr>
          <w:rFonts w:hint="eastAsia" w:ascii="仿宋" w:hAnsi="仿宋" w:eastAsia="仿宋"/>
          <w:color w:val="auto"/>
          <w:highlight w:val="none"/>
          <w:lang w:eastAsia="zh-CN" w:bidi="en-US"/>
        </w:rPr>
        <w:t xml:space="preserve"> </w:t>
      </w:r>
      <w:r>
        <w:rPr>
          <w:rFonts w:ascii="仿宋" w:hAnsi="仿宋" w:eastAsia="仿宋"/>
          <w:color w:val="auto"/>
          <w:highlight w:val="none"/>
          <w:lang w:eastAsia="zh-CN" w:bidi="en-US"/>
        </w:rPr>
        <w:t>承包人可依法</w:t>
      </w:r>
      <w:r>
        <w:rPr>
          <w:rFonts w:hint="eastAsia" w:ascii="仿宋" w:hAnsi="仿宋" w:eastAsia="仿宋"/>
          <w:color w:val="auto"/>
          <w:highlight w:val="none"/>
          <w:lang w:eastAsia="zh-CN" w:bidi="en-US"/>
        </w:rPr>
        <w:t>及按照本合同约定</w:t>
      </w:r>
      <w:r>
        <w:rPr>
          <w:rFonts w:ascii="仿宋" w:hAnsi="仿宋" w:eastAsia="仿宋"/>
          <w:color w:val="auto"/>
          <w:highlight w:val="none"/>
          <w:lang w:eastAsia="zh-CN" w:bidi="en-US"/>
        </w:rPr>
        <w:t>将部分工作事项分包给具有相应资质的分包人，但未经发包人同意，承包人不得将总承包工作事项的任何部分或任何工作分包给第三方。</w:t>
      </w:r>
    </w:p>
    <w:p w14:paraId="78DAFE10">
      <w:pPr>
        <w:pStyle w:val="17"/>
        <w:ind w:left="564" w:leftChars="235" w:right="317" w:firstLine="429" w:firstLineChars="178"/>
        <w:rPr>
          <w:rFonts w:ascii="仿宋" w:hAnsi="仿宋" w:eastAsia="仿宋"/>
          <w:b/>
          <w:bCs/>
          <w:color w:val="auto"/>
          <w:highlight w:val="none"/>
          <w:lang w:eastAsia="zh-CN" w:bidi="en-US"/>
        </w:rPr>
      </w:pPr>
      <w:r>
        <w:rPr>
          <w:rFonts w:ascii="仿宋" w:hAnsi="仿宋" w:eastAsia="仿宋"/>
          <w:b/>
          <w:bCs/>
          <w:color w:val="auto"/>
          <w:highlight w:val="none"/>
          <w:lang w:eastAsia="zh-CN" w:bidi="en-US"/>
        </w:rPr>
        <w:t>10.2.1</w:t>
      </w:r>
      <w:r>
        <w:rPr>
          <w:rFonts w:hint="eastAsia" w:ascii="仿宋" w:hAnsi="仿宋" w:eastAsia="仿宋"/>
          <w:b/>
          <w:bCs/>
          <w:color w:val="auto"/>
          <w:highlight w:val="none"/>
          <w:lang w:eastAsia="zh-CN" w:bidi="en-US"/>
        </w:rPr>
        <w:t xml:space="preserve"> </w:t>
      </w:r>
      <w:r>
        <w:rPr>
          <w:rFonts w:ascii="仿宋" w:hAnsi="仿宋" w:eastAsia="仿宋"/>
          <w:b/>
          <w:bCs/>
          <w:color w:val="auto"/>
          <w:highlight w:val="none"/>
          <w:lang w:eastAsia="zh-CN" w:bidi="en-US"/>
        </w:rPr>
        <w:t>设计分包约定：</w:t>
      </w:r>
    </w:p>
    <w:p w14:paraId="7FDEC0DD">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（1）本工程的主体工程设计必须由承包人自行完成，不得分包。</w:t>
      </w:r>
    </w:p>
    <w:p w14:paraId="02F92CC1">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2）承包人所承接的专项设计内容，由于承包人自身的资质及所属设计人员的限制，或者承包人指定的专项设计分包单位不能满足发包人的要求，承包人可进行分包，承包人须事先征得发包人书面同意，若根据相关规定需履行招标程序的，承包人应当依法招标。承包人应在分包合同签订之日起7个工作日内报送发包人备案。</w:t>
      </w:r>
    </w:p>
    <w:p w14:paraId="2462A554">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3）承包人不得将其承包的全部设计项目转包给他人，或者将其承包的全部设计项目肢解后以分包的名义分别转包给他人；将设计项目分包后，未在设计现场设立项目管理机构和派驻相应人员，且未对该设计活动进行组织管理的，视同转包行为。</w:t>
      </w:r>
    </w:p>
    <w:p w14:paraId="08E7987E">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（4）分包单位必须自行完成所承包的设计，严禁再分包。</w:t>
      </w:r>
    </w:p>
    <w:p w14:paraId="39EA0155">
      <w:pPr>
        <w:pStyle w:val="17"/>
        <w:ind w:left="564" w:leftChars="235" w:right="317" w:firstLine="429" w:firstLineChars="178"/>
        <w:rPr>
          <w:rFonts w:ascii="仿宋" w:hAnsi="仿宋" w:eastAsia="仿宋"/>
          <w:b/>
          <w:bCs/>
          <w:color w:val="auto"/>
          <w:highlight w:val="none"/>
          <w:lang w:eastAsia="zh-CN" w:bidi="en-US"/>
        </w:rPr>
      </w:pPr>
      <w:r>
        <w:rPr>
          <w:rFonts w:ascii="仿宋" w:hAnsi="仿宋" w:eastAsia="仿宋"/>
          <w:b/>
          <w:bCs/>
          <w:color w:val="auto"/>
          <w:highlight w:val="none"/>
          <w:lang w:eastAsia="zh-CN" w:bidi="en-US"/>
        </w:rPr>
        <w:t>10.2.2</w:t>
      </w:r>
      <w:r>
        <w:rPr>
          <w:rFonts w:hint="eastAsia" w:ascii="仿宋" w:hAnsi="仿宋" w:eastAsia="仿宋"/>
          <w:b/>
          <w:bCs/>
          <w:color w:val="auto"/>
          <w:highlight w:val="none"/>
          <w:lang w:eastAsia="zh-CN" w:bidi="en-US"/>
        </w:rPr>
        <w:t xml:space="preserve"> </w:t>
      </w:r>
      <w:r>
        <w:rPr>
          <w:rFonts w:ascii="仿宋" w:hAnsi="仿宋" w:eastAsia="仿宋"/>
          <w:b/>
          <w:bCs/>
          <w:color w:val="auto"/>
          <w:highlight w:val="none"/>
          <w:lang w:eastAsia="zh-CN" w:bidi="en-US"/>
        </w:rPr>
        <w:t>施工分包约定：</w:t>
      </w:r>
    </w:p>
    <w:p w14:paraId="778E9B0F">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（1）对于非主体工程，经发包人审核批准后可分包给具有相应资质和能力的专业单位实施。</w:t>
      </w:r>
    </w:p>
    <w:p w14:paraId="562F87BE">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2）承包人应严格按照《房屋建筑和市政基础设施工程施工分包管理办法》（建设部令第124号）、《房屋建筑和市政基础设施项目工程总承包管理办法》（建市规〔2019〕12号）和本合同的约定做好分包管理工作，禁止将承包的工程进行转包或违法分包，禁止转让、出借企业资质证书或者以其他方式允许他人以本企业名义承揽工程，严禁个人承揽分包工程业务。</w:t>
      </w:r>
    </w:p>
    <w:p w14:paraId="3F756522">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（3）由于专业分包而产生的费用已包含在本工程合同价款中。如承包人违反本条款第（4）点的要求承包人须按专用条款第95款的约定承担违约责任。</w:t>
      </w:r>
    </w:p>
    <w:p w14:paraId="466DFEB1">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4）承包人不履行合同约定，将其承包的全部工程发包给他人，或者将其承包的全部工程肢解后以分包的名义分别发包给他人的，属于转包行为；将工程分包后，未在施工现场设立项目管理机构和派驻相应人员，并未对该工程的施工活动进行组织管理的，视同转包行为。</w:t>
      </w:r>
    </w:p>
    <w:p w14:paraId="35F3D5C9">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（5）承包人应参照有关约定，在发包人批准分包后5天内将分包单位工程技术管理人员名单及劳动力、施工机械设备投入计划报送发包人且负责落实到位，并接受监理工程师和发包人代表的查验。</w:t>
      </w:r>
    </w:p>
    <w:p w14:paraId="09C73FE2">
      <w:pPr>
        <w:pStyle w:val="17"/>
        <w:ind w:left="564" w:leftChars="235" w:right="317" w:firstLine="427" w:firstLineChars="178"/>
        <w:rPr>
          <w:rFonts w:ascii="仿宋" w:hAnsi="仿宋" w:eastAsia="仿宋"/>
          <w:color w:val="auto"/>
          <w:highlight w:val="none"/>
          <w:lang w:eastAsia="zh-CN" w:bidi="en-US"/>
        </w:rPr>
      </w:pPr>
      <w:r>
        <w:rPr>
          <w:rFonts w:hint="eastAsia" w:ascii="仿宋" w:hAnsi="仿宋" w:eastAsia="仿宋"/>
          <w:color w:val="auto"/>
          <w:highlight w:val="none"/>
          <w:lang w:eastAsia="zh-CN" w:bidi="en-US"/>
        </w:rPr>
        <w:t>（6）</w:t>
      </w:r>
      <w:r>
        <w:rPr>
          <w:rFonts w:ascii="仿宋" w:hAnsi="仿宋" w:eastAsia="仿宋"/>
          <w:color w:val="auto"/>
          <w:highlight w:val="none"/>
          <w:lang w:eastAsia="zh-CN" w:bidi="en-US"/>
        </w:rPr>
        <w:t>承包人须报监理工程师审查并取得发包人审批同意后才可依法分包工程，但下列情况</w:t>
      </w:r>
      <w:r>
        <w:rPr>
          <w:rFonts w:hint="eastAsia" w:ascii="仿宋" w:hAnsi="仿宋" w:eastAsia="仿宋"/>
          <w:color w:val="auto"/>
          <w:highlight w:val="none"/>
          <w:lang w:eastAsia="zh-CN" w:bidi="en-US"/>
        </w:rPr>
        <w:t>除</w:t>
      </w:r>
      <w:r>
        <w:rPr>
          <w:rFonts w:ascii="仿宋" w:hAnsi="仿宋" w:eastAsia="仿宋"/>
          <w:color w:val="auto"/>
          <w:highlight w:val="none"/>
          <w:lang w:eastAsia="zh-CN" w:bidi="en-US"/>
        </w:rPr>
        <w:t>外</w:t>
      </w:r>
      <w:r>
        <w:rPr>
          <w:rFonts w:hint="eastAsia" w:ascii="仿宋" w:hAnsi="仿宋" w:eastAsia="仿宋"/>
          <w:color w:val="auto"/>
          <w:highlight w:val="none"/>
          <w:lang w:eastAsia="zh-CN" w:bidi="en-US"/>
        </w:rPr>
        <w:t>（需事先报监理单位备案）</w:t>
      </w:r>
      <w:r>
        <w:rPr>
          <w:rFonts w:ascii="仿宋" w:hAnsi="仿宋" w:eastAsia="仿宋"/>
          <w:color w:val="auto"/>
          <w:highlight w:val="none"/>
          <w:lang w:eastAsia="zh-CN" w:bidi="en-US"/>
        </w:rPr>
        <w:t>：</w:t>
      </w:r>
    </w:p>
    <w:p w14:paraId="5B5C0D1B">
      <w:pPr>
        <w:pStyle w:val="17"/>
        <w:ind w:left="564" w:leftChars="235" w:right="317" w:firstLine="427" w:firstLineChars="178"/>
        <w:rPr>
          <w:rFonts w:ascii="仿宋" w:hAnsi="仿宋" w:eastAsia="仿宋"/>
          <w:color w:val="auto"/>
          <w:highlight w:val="none"/>
          <w:lang w:eastAsia="zh-CN" w:bidi="en-US"/>
        </w:rPr>
      </w:pPr>
      <w:r>
        <w:rPr>
          <w:rFonts w:hint="eastAsia" w:ascii="仿宋" w:hAnsi="仿宋" w:eastAsia="仿宋"/>
          <w:color w:val="auto"/>
          <w:highlight w:val="none"/>
          <w:lang w:eastAsia="zh-CN" w:bidi="en-US"/>
        </w:rPr>
        <w:t>①</w:t>
      </w:r>
      <w:r>
        <w:rPr>
          <w:rFonts w:ascii="仿宋" w:hAnsi="仿宋" w:eastAsia="仿宋"/>
          <w:color w:val="auto"/>
          <w:highlight w:val="none"/>
          <w:lang w:eastAsia="zh-CN" w:bidi="en-US"/>
        </w:rPr>
        <w:t>依法分包施工劳务作业；</w:t>
      </w:r>
    </w:p>
    <w:p w14:paraId="7ADCFD5A">
      <w:pPr>
        <w:pStyle w:val="17"/>
        <w:ind w:left="564" w:leftChars="235" w:right="317" w:firstLine="427" w:firstLineChars="178"/>
        <w:rPr>
          <w:rFonts w:ascii="仿宋" w:hAnsi="仿宋" w:eastAsia="仿宋"/>
          <w:color w:val="auto"/>
          <w:highlight w:val="none"/>
          <w:lang w:eastAsia="zh-CN" w:bidi="en-US"/>
        </w:rPr>
      </w:pPr>
      <w:r>
        <w:rPr>
          <w:rFonts w:hint="eastAsia" w:ascii="仿宋" w:hAnsi="仿宋" w:eastAsia="仿宋"/>
          <w:color w:val="auto"/>
          <w:highlight w:val="none"/>
          <w:lang w:eastAsia="zh-CN" w:bidi="en-US"/>
        </w:rPr>
        <w:t>②</w:t>
      </w:r>
      <w:r>
        <w:rPr>
          <w:rFonts w:ascii="仿宋" w:hAnsi="仿宋" w:eastAsia="仿宋"/>
          <w:color w:val="auto"/>
          <w:highlight w:val="none"/>
          <w:lang w:eastAsia="zh-CN" w:bidi="en-US"/>
        </w:rPr>
        <w:t>按照合同规定的标准、要求和程序购买材料设备。</w:t>
      </w:r>
    </w:p>
    <w:p w14:paraId="17F5CF08">
      <w:pPr>
        <w:pStyle w:val="17"/>
        <w:ind w:left="564" w:leftChars="235" w:right="317" w:firstLine="427" w:firstLineChars="178"/>
        <w:rPr>
          <w:rFonts w:ascii="仿宋" w:hAnsi="仿宋" w:eastAsia="仿宋"/>
          <w:color w:val="auto"/>
          <w:highlight w:val="none"/>
          <w:lang w:eastAsia="zh-CN" w:bidi="en-US"/>
        </w:rPr>
      </w:pPr>
      <w:r>
        <w:rPr>
          <w:rFonts w:hint="eastAsia" w:ascii="仿宋" w:hAnsi="仿宋" w:eastAsia="仿宋"/>
          <w:color w:val="auto"/>
          <w:highlight w:val="none"/>
          <w:lang w:eastAsia="zh-CN" w:bidi="en-US"/>
        </w:rPr>
        <w:t>（7）</w:t>
      </w:r>
      <w:r>
        <w:rPr>
          <w:rFonts w:ascii="仿宋" w:hAnsi="仿宋" w:eastAsia="仿宋"/>
          <w:color w:val="auto"/>
          <w:highlight w:val="none"/>
          <w:lang w:eastAsia="zh-CN" w:bidi="en-US"/>
        </w:rPr>
        <w:t>分包施工劳务作业</w:t>
      </w:r>
      <w:r>
        <w:rPr>
          <w:rFonts w:hint="eastAsia" w:ascii="仿宋" w:hAnsi="仿宋" w:eastAsia="仿宋"/>
          <w:color w:val="auto"/>
          <w:highlight w:val="none"/>
          <w:lang w:eastAsia="zh-CN" w:bidi="en-US"/>
        </w:rPr>
        <w:t>分包前，承包人需要将劳务分包单位资质</w:t>
      </w:r>
      <w:r>
        <w:rPr>
          <w:rFonts w:hint="eastAsia" w:ascii="仿宋" w:hAnsi="仿宋" w:eastAsia="仿宋" w:cs="仿宋"/>
          <w:color w:val="auto"/>
          <w:highlight w:val="none"/>
          <w:lang w:eastAsia="zh-CN"/>
        </w:rPr>
        <w:t>及分包合同报送监理单位备案。</w:t>
      </w:r>
    </w:p>
    <w:p w14:paraId="7CEE5A97">
      <w:pPr>
        <w:pStyle w:val="17"/>
        <w:ind w:left="564" w:leftChars="235" w:right="317" w:firstLine="429" w:firstLineChars="178"/>
        <w:rPr>
          <w:rFonts w:ascii="仿宋" w:hAnsi="仿宋" w:eastAsia="仿宋"/>
          <w:b/>
          <w:bCs/>
          <w:color w:val="auto"/>
          <w:highlight w:val="none"/>
          <w:lang w:eastAsia="zh-CN" w:bidi="en-US"/>
        </w:rPr>
      </w:pPr>
      <w:r>
        <w:rPr>
          <w:rFonts w:ascii="仿宋" w:hAnsi="仿宋" w:eastAsia="仿宋"/>
          <w:b/>
          <w:bCs/>
          <w:color w:val="auto"/>
          <w:highlight w:val="none"/>
          <w:lang w:eastAsia="zh-CN" w:bidi="en-US"/>
        </w:rPr>
        <w:t>10.2.3 分包工程的批准程序如下：</w:t>
      </w:r>
    </w:p>
    <w:p w14:paraId="15331424">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（1）承包人在分包工程前，须提前30天将拟分包的工程范围书面报告监理工程师和发包人。</w:t>
      </w:r>
    </w:p>
    <w:p w14:paraId="67B39D89">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（2）承包人在确定分包人前20天将分包人营业执照、税务登记证、施工资质证书、公司简介、业绩资料、进退场时间、主要施工管理架构以及拟签订的分包合同样本</w:t>
      </w:r>
      <w:r>
        <w:rPr>
          <w:rFonts w:hint="eastAsia" w:ascii="仿宋" w:hAnsi="仿宋" w:eastAsia="仿宋"/>
          <w:color w:val="auto"/>
          <w:highlight w:val="none"/>
          <w:lang w:eastAsia="zh-CN" w:bidi="en-US"/>
        </w:rPr>
        <w:t>、安全管理协议</w:t>
      </w:r>
      <w:r>
        <w:rPr>
          <w:rFonts w:ascii="仿宋" w:hAnsi="仿宋" w:eastAsia="仿宋"/>
          <w:color w:val="auto"/>
          <w:highlight w:val="none"/>
          <w:lang w:eastAsia="zh-CN" w:bidi="en-US"/>
        </w:rPr>
        <w:t>等资料提交监理工程师和发包人。</w:t>
      </w:r>
    </w:p>
    <w:p w14:paraId="0E124362">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（3）经监理工程师审核并经发包人批准后，承包人方可组织分包单位进场施工。</w:t>
      </w:r>
    </w:p>
    <w:p w14:paraId="2F1FF855">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（4）承包人应对分包人的施工人员进行实名制管理，包括但不限于进出场管理、登记造册以及各种证照的办理。</w:t>
      </w:r>
    </w:p>
    <w:p w14:paraId="02001A6E">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10.2.</w:t>
      </w:r>
      <w:r>
        <w:rPr>
          <w:rFonts w:hint="eastAsia" w:ascii="仿宋" w:hAnsi="仿宋" w:eastAsia="仿宋"/>
          <w:color w:val="auto"/>
          <w:highlight w:val="none"/>
          <w:lang w:eastAsia="zh-CN" w:bidi="en-US"/>
        </w:rPr>
        <w:t>4</w:t>
      </w:r>
      <w:r>
        <w:rPr>
          <w:rFonts w:ascii="仿宋" w:hAnsi="仿宋" w:eastAsia="仿宋"/>
          <w:color w:val="auto"/>
          <w:highlight w:val="none"/>
          <w:lang w:eastAsia="zh-CN" w:bidi="en-US"/>
        </w:rPr>
        <w:t xml:space="preserve"> 发包人有权拒绝未经批准的分包人进场，有权拒绝明显不具备实施分包工程施工资质和能力的分包人进场。</w:t>
      </w:r>
    </w:p>
    <w:p w14:paraId="0AE54702">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10.2.</w:t>
      </w:r>
      <w:r>
        <w:rPr>
          <w:rFonts w:hint="eastAsia" w:ascii="仿宋" w:hAnsi="仿宋" w:eastAsia="仿宋"/>
          <w:color w:val="auto"/>
          <w:highlight w:val="none"/>
          <w:lang w:eastAsia="zh-CN" w:bidi="en-US"/>
        </w:rPr>
        <w:t>5</w:t>
      </w:r>
      <w:r>
        <w:rPr>
          <w:rFonts w:ascii="仿宋" w:hAnsi="仿宋" w:eastAsia="仿宋"/>
          <w:color w:val="auto"/>
          <w:highlight w:val="none"/>
          <w:lang w:eastAsia="zh-CN" w:bidi="en-US"/>
        </w:rPr>
        <w:t xml:space="preserve"> 指定分包工程名称：</w:t>
      </w:r>
      <w:r>
        <w:rPr>
          <w:rFonts w:ascii="仿宋" w:hAnsi="仿宋" w:eastAsia="仿宋"/>
          <w:color w:val="auto"/>
          <w:highlight w:val="none"/>
          <w:u w:val="single"/>
          <w:lang w:eastAsia="zh-CN" w:bidi="en-US"/>
        </w:rPr>
        <w:t xml:space="preserve"> /</w:t>
      </w:r>
      <w:r>
        <w:rPr>
          <w:rFonts w:ascii="仿宋" w:hAnsi="仿宋" w:eastAsia="仿宋"/>
          <w:color w:val="auto"/>
          <w:highlight w:val="none"/>
          <w:lang w:eastAsia="zh-CN" w:bidi="en-US"/>
        </w:rPr>
        <w:t xml:space="preserve"> 。</w:t>
      </w:r>
    </w:p>
    <w:p w14:paraId="48B7951B">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10.2.</w:t>
      </w:r>
      <w:r>
        <w:rPr>
          <w:rFonts w:hint="eastAsia" w:ascii="仿宋" w:hAnsi="仿宋" w:eastAsia="仿宋"/>
          <w:color w:val="auto"/>
          <w:highlight w:val="none"/>
          <w:lang w:eastAsia="zh-CN" w:bidi="en-US"/>
        </w:rPr>
        <w:t xml:space="preserve">6 </w:t>
      </w:r>
      <w:r>
        <w:rPr>
          <w:rFonts w:ascii="仿宋" w:hAnsi="仿宋" w:eastAsia="仿宋"/>
          <w:color w:val="auto"/>
          <w:highlight w:val="none"/>
          <w:lang w:eastAsia="zh-CN" w:bidi="en-US"/>
        </w:rPr>
        <w:t>鉴于外水接入工程、燃气工程、永久用电工程等专用性强，为确保顺利报批、报建及验收，承包人在本合同签署后90天内应提交外水接入工程、燃气工程、供电工程施工图设计及施工的专项工作方案，包括但不限于施工组织模式、保障措施等内容，经发包人批复同意后方能实施。承包人须向工程所在地对应的行业管理部门征询意见，办理相关手续，所确定的分包人必须符合行业管理要求，并确保通过相应的专业验收。</w:t>
      </w:r>
    </w:p>
    <w:p w14:paraId="0CAC473F">
      <w:pPr>
        <w:spacing w:line="360" w:lineRule="auto"/>
        <w:ind w:left="398" w:leftChars="166"/>
        <w:rPr>
          <w:rFonts w:hint="eastAsia" w:ascii="仿宋" w:hAnsi="仿宋" w:eastAsia="仿宋"/>
          <w:color w:val="auto"/>
          <w:highlight w:val="none"/>
          <w:lang w:eastAsia="zh-CN"/>
        </w:rPr>
      </w:pPr>
      <w:r>
        <w:rPr>
          <w:rFonts w:hint="eastAsia" w:ascii="仿宋" w:hAnsi="仿宋" w:eastAsia="仿宋"/>
          <w:color w:val="auto"/>
          <w:highlight w:val="none"/>
          <w:lang w:eastAsia="zh-CN"/>
        </w:rPr>
        <w:t>10.3 承包人分包工程的，应与分包人签订分包合同及安全管理协议，并在签订分包合同后7天内将分包合同及安全管理协议报送发包人和监理工程师各一份。承包人必须按广州市建设工程造价管理站要求，将分包资料上传造价信息网备案，并将《合同备案表》复印件送达发包人和监理工程师存档。承包人有义务禁止分包人将分包工程再次分包。分包合同中应当载明下列内容：分包人承包本分包工程的费用由承包人与分包人进行结算，与发包人无关，承包人与分包人之间就费用金额及支付发生纠纷的，分包人不得对建筑物进行留置，或采取聚众、集会等影响社会稳定和正常施工的行为。</w:t>
      </w:r>
    </w:p>
    <w:p w14:paraId="71DCE38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10.4 分包合同价款结算与支付</w:t>
      </w:r>
    </w:p>
    <w:p w14:paraId="0EB1E80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分包合同价款的支付方式：分包合同价款由承包人与分包人结算。</w:t>
      </w:r>
    </w:p>
    <w:p w14:paraId="76C179EF">
      <w:pPr>
        <w:spacing w:line="360" w:lineRule="auto"/>
        <w:ind w:left="398" w:leftChars="166"/>
        <w:rPr>
          <w:rFonts w:hint="eastAsia" w:ascii="仿宋" w:hAnsi="仿宋" w:eastAsia="仿宋"/>
          <w:color w:val="auto"/>
          <w:highlight w:val="none"/>
          <w:lang w:eastAsia="zh-CN"/>
        </w:rPr>
      </w:pPr>
      <w:r>
        <w:rPr>
          <w:rFonts w:hint="eastAsia" w:ascii="仿宋" w:hAnsi="仿宋" w:eastAsia="仿宋"/>
          <w:color w:val="auto"/>
          <w:highlight w:val="none"/>
          <w:lang w:eastAsia="zh-CN"/>
        </w:rPr>
        <w:t>10.5 分包工程责任和义务：工程分包不减轻或免除承包人的责任和义务，承包人应在分包场地派驻相应管理人员保证本合同的履行。</w:t>
      </w:r>
    </w:p>
    <w:p w14:paraId="570E9DC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承包人和分包人就分包工程向发包人承担连带责任。</w:t>
      </w:r>
    </w:p>
    <w:p w14:paraId="6C31CA8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10.8 双方协商一致，补充条款：禁止转包及非法分包</w:t>
      </w:r>
    </w:p>
    <w:p w14:paraId="0F328F2F">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10.8.1 禁止将承包的工程进行转包。承包人不履行合同约定，将其承包的全部工程发包给他人，或者将其承包的全部工程肢解后以分包的名义分别发包给他人的，属于转包行为。承包人未按专用条款第21条约定的要求在施工现场设立项目管理机构和派驻相应技术、管理人员，或未对分包工程的施工活动进行组织管理的，视同转包行为。</w:t>
      </w:r>
    </w:p>
    <w:p w14:paraId="2E1B5100">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10.8.2 禁止将承包的工程进行违法分包。下列行为，属于违法分包：</w:t>
      </w:r>
    </w:p>
    <w:p w14:paraId="097528F4">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 xml:space="preserve">（1）将专业工程或者劳务作业分包给不具备相应资质条件的分包人的； </w:t>
      </w:r>
    </w:p>
    <w:p w14:paraId="306F4261">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（2）分包人将分包工程再次分包的；</w:t>
      </w:r>
    </w:p>
    <w:p w14:paraId="42D0AE90">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（3）未经发包人认可，将承包工程中的部分专业工程分包给他人的。</w:t>
      </w:r>
    </w:p>
    <w:p w14:paraId="609B226C">
      <w:pPr>
        <w:pStyle w:val="17"/>
        <w:ind w:left="564" w:leftChars="235" w:right="317" w:firstLine="427" w:firstLineChars="178"/>
        <w:rPr>
          <w:rFonts w:ascii="仿宋" w:hAnsi="仿宋" w:eastAsia="仿宋"/>
          <w:color w:val="auto"/>
          <w:highlight w:val="none"/>
          <w:lang w:eastAsia="zh-CN"/>
        </w:rPr>
      </w:pPr>
      <w:r>
        <w:rPr>
          <w:rFonts w:ascii="仿宋" w:hAnsi="仿宋" w:eastAsia="仿宋"/>
          <w:color w:val="auto"/>
          <w:highlight w:val="none"/>
          <w:lang w:eastAsia="zh-CN" w:bidi="en-US"/>
        </w:rPr>
        <w:t>10.8.3 禁止转让、出借企业资质证书或者以其他方式允许他人以本企业名义承揽工程。承包人在施工现场所设项目管理机构的项目负责人、技术负责人、项目核算负责人以及质量、安全等主要技术、管理人员非承包人本单位人员的，视同允许他人以承包人名义承揽工程。上述的本单位人员，是指与承包人有合法的人事或者劳动合同、工资以及社会保险关系的人员。</w:t>
      </w:r>
    </w:p>
    <w:p w14:paraId="52160F71">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10.9</w:t>
      </w:r>
      <w:r>
        <w:rPr>
          <w:rFonts w:ascii="仿宋" w:hAnsi="仿宋" w:eastAsia="仿宋"/>
          <w:color w:val="auto"/>
          <w:highlight w:val="none"/>
          <w:lang w:eastAsia="zh-CN"/>
        </w:rPr>
        <w:t xml:space="preserve"> </w:t>
      </w:r>
      <w:r>
        <w:rPr>
          <w:rFonts w:hint="eastAsia" w:ascii="仿宋" w:hAnsi="仿宋" w:eastAsia="仿宋" w:cs="仿宋"/>
          <w:color w:val="auto"/>
          <w:highlight w:val="none"/>
          <w:lang w:eastAsia="zh-CN"/>
        </w:rPr>
        <w:t>双方协商一致，</w:t>
      </w:r>
      <w:r>
        <w:rPr>
          <w:rFonts w:ascii="仿宋" w:hAnsi="仿宋" w:eastAsia="仿宋"/>
          <w:color w:val="auto"/>
          <w:highlight w:val="none"/>
          <w:lang w:eastAsia="zh-CN"/>
        </w:rPr>
        <w:t>补充条款：相关违约责任</w:t>
      </w:r>
      <w:r>
        <w:rPr>
          <w:rFonts w:hint="eastAsia" w:ascii="仿宋" w:hAnsi="仿宋" w:eastAsia="仿宋"/>
          <w:color w:val="auto"/>
          <w:highlight w:val="none"/>
          <w:lang w:eastAsia="zh-CN"/>
        </w:rPr>
        <w:t>（95.8补充）</w:t>
      </w:r>
    </w:p>
    <w:p w14:paraId="1250B2DC">
      <w:pPr>
        <w:pStyle w:val="17"/>
        <w:ind w:left="564" w:leftChars="235" w:right="317" w:firstLine="427" w:firstLineChars="178"/>
        <w:rPr>
          <w:color w:val="auto"/>
          <w:highlight w:val="none"/>
          <w:lang w:eastAsia="zh-CN" w:bidi="en-US"/>
        </w:rPr>
      </w:pPr>
      <w:r>
        <w:rPr>
          <w:rFonts w:ascii="仿宋" w:hAnsi="仿宋" w:eastAsia="仿宋"/>
          <w:color w:val="auto"/>
          <w:highlight w:val="none"/>
          <w:lang w:eastAsia="zh-CN" w:bidi="en-US"/>
        </w:rPr>
        <w:t>10.9.1 承包人未按专用条款10.2.2、10.2.3约定的程序报批，擅自分包工程的，每项擅自分包工程承担</w:t>
      </w:r>
      <w:r>
        <w:rPr>
          <w:rFonts w:ascii="仿宋" w:hAnsi="仿宋" w:eastAsia="仿宋"/>
          <w:color w:val="auto"/>
          <w:highlight w:val="none"/>
          <w:u w:val="single"/>
          <w:lang w:eastAsia="zh-CN" w:bidi="en-US"/>
        </w:rPr>
        <w:t>严重违约责任一次。</w:t>
      </w:r>
    </w:p>
    <w:p w14:paraId="565DB603">
      <w:pPr>
        <w:pStyle w:val="17"/>
        <w:ind w:left="564" w:leftChars="235" w:right="317" w:firstLine="427" w:firstLineChars="178"/>
        <w:rPr>
          <w:color w:val="auto"/>
          <w:highlight w:val="none"/>
          <w:lang w:eastAsia="zh-CN" w:bidi="en-US"/>
        </w:rPr>
      </w:pPr>
      <w:r>
        <w:rPr>
          <w:rFonts w:ascii="仿宋" w:hAnsi="仿宋" w:eastAsia="仿宋"/>
          <w:color w:val="auto"/>
          <w:highlight w:val="none"/>
          <w:lang w:eastAsia="zh-CN" w:bidi="en-US"/>
        </w:rPr>
        <w:t>10.9.2 承包人已按专用条款10.2.2约定的程序报批，但分包人进场后经监理工程师和发包人认定明显不具备实施分包工程能力，影响工程施工的，承包人承担</w:t>
      </w:r>
      <w:r>
        <w:rPr>
          <w:rFonts w:ascii="仿宋" w:hAnsi="仿宋" w:eastAsia="仿宋"/>
          <w:color w:val="auto"/>
          <w:highlight w:val="none"/>
          <w:u w:val="single"/>
          <w:lang w:eastAsia="zh-CN" w:bidi="en-US"/>
        </w:rPr>
        <w:t>严重违约责任一次，</w:t>
      </w:r>
      <w:r>
        <w:rPr>
          <w:rFonts w:ascii="仿宋" w:hAnsi="仿宋" w:eastAsia="仿宋"/>
          <w:color w:val="auto"/>
          <w:highlight w:val="none"/>
          <w:lang w:eastAsia="zh-CN" w:bidi="en-US"/>
        </w:rPr>
        <w:t>发包人有权要求承包人更换该分包人，若由此造成工期延误的，责任由承包人承担。</w:t>
      </w:r>
    </w:p>
    <w:p w14:paraId="65FCACAB">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10.9.3 承包人在本项目中出现转包、非法分包行为或转让、出借企业资质证书或者以其他方式允许他人以本企业名义承揽本工程的，按照《房屋建筑和市政基础设施工程施工分包管理办法(建设部令第124号)</w:t>
      </w:r>
      <w:r>
        <w:rPr>
          <w:rFonts w:hint="eastAsia" w:ascii="仿宋" w:hAnsi="仿宋" w:eastAsia="仿宋"/>
          <w:color w:val="auto"/>
          <w:highlight w:val="none"/>
          <w:lang w:eastAsia="zh-CN" w:bidi="en-US"/>
        </w:rPr>
        <w:t>》《</w:t>
      </w:r>
      <w:r>
        <w:rPr>
          <w:rFonts w:ascii="仿宋" w:hAnsi="仿宋" w:eastAsia="仿宋"/>
          <w:color w:val="auto"/>
          <w:highlight w:val="none"/>
          <w:lang w:eastAsia="zh-CN" w:bidi="en-US"/>
        </w:rPr>
        <w:t>中</w:t>
      </w:r>
      <w:r>
        <w:rPr>
          <w:rFonts w:hint="eastAsia" w:ascii="仿宋" w:hAnsi="仿宋" w:eastAsia="仿宋"/>
          <w:color w:val="auto"/>
          <w:highlight w:val="none"/>
          <w:lang w:eastAsia="zh-CN" w:bidi="en-US"/>
        </w:rPr>
        <w:t>华</w:t>
      </w:r>
      <w:r>
        <w:rPr>
          <w:rFonts w:ascii="仿宋" w:hAnsi="仿宋" w:eastAsia="仿宋"/>
          <w:color w:val="auto"/>
          <w:highlight w:val="none"/>
          <w:lang w:eastAsia="zh-CN" w:bidi="en-US"/>
        </w:rPr>
        <w:t>人民共和国建筑法</w:t>
      </w:r>
      <w:r>
        <w:rPr>
          <w:rFonts w:hint="eastAsia" w:ascii="仿宋" w:hAnsi="仿宋" w:eastAsia="仿宋"/>
          <w:color w:val="auto"/>
          <w:highlight w:val="none"/>
          <w:lang w:eastAsia="zh-CN" w:bidi="en-US"/>
        </w:rPr>
        <w:t>》《</w:t>
      </w:r>
      <w:r>
        <w:rPr>
          <w:rFonts w:ascii="仿宋" w:hAnsi="仿宋" w:eastAsia="仿宋"/>
          <w:color w:val="auto"/>
          <w:highlight w:val="none"/>
          <w:lang w:eastAsia="zh-CN" w:bidi="en-US"/>
        </w:rPr>
        <w:t>中华人民共和国招标投标法》和《建设工程质量管理条例》的规定处理，并且承包人应按转包、非法分包工程造价的10%向发包人支付违约金，发包人有权解除全部合同，因此造成工期延误和发包人损失的，承包人应赔偿发包人的全部实际损失。</w:t>
      </w:r>
    </w:p>
    <w:p w14:paraId="193D8FE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10.10 双方协商一致，补充条款：分包合同权益的转让</w:t>
      </w:r>
    </w:p>
    <w:p w14:paraId="3618A4C5">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p>
    <w:p w14:paraId="3368061C">
      <w:pPr>
        <w:pStyle w:val="3"/>
        <w:tabs>
          <w:tab w:val="left" w:pos="420"/>
        </w:tabs>
        <w:spacing w:before="0" w:after="0" w:line="360" w:lineRule="auto"/>
        <w:ind w:firstLine="480" w:firstLineChars="200"/>
        <w:rPr>
          <w:rFonts w:ascii="仿宋" w:hAnsi="仿宋" w:eastAsia="仿宋" w:cs="仿宋"/>
          <w:b w:val="0"/>
          <w:bCs w:val="0"/>
          <w:i w:val="0"/>
          <w:iCs w:val="0"/>
          <w:color w:val="auto"/>
          <w:sz w:val="24"/>
          <w:szCs w:val="24"/>
          <w:highlight w:val="none"/>
          <w:lang w:eastAsia="zh-CN"/>
        </w:rPr>
      </w:pPr>
      <w:bookmarkStart w:id="1420" w:name="_Toc17241"/>
      <w:bookmarkStart w:id="1421" w:name="_Toc15601"/>
      <w:bookmarkStart w:id="1422" w:name="_Toc155189174"/>
      <w:bookmarkStart w:id="1423" w:name="_Toc21971"/>
      <w:bookmarkStart w:id="1424" w:name="_Toc19047"/>
      <w:bookmarkStart w:id="1425" w:name="_Toc31273"/>
      <w:bookmarkStart w:id="1426" w:name="_Toc47694393"/>
      <w:r>
        <w:rPr>
          <w:rFonts w:hint="eastAsia" w:ascii="仿宋" w:hAnsi="仿宋" w:eastAsia="仿宋" w:cs="仿宋"/>
          <w:b w:val="0"/>
          <w:bCs w:val="0"/>
          <w:i w:val="0"/>
          <w:iCs w:val="0"/>
          <w:color w:val="auto"/>
          <w:sz w:val="24"/>
          <w:szCs w:val="24"/>
          <w:highlight w:val="none"/>
          <w:lang w:eastAsia="zh-CN"/>
        </w:rPr>
        <w:t>14.  文物和地下障碍物</w:t>
      </w:r>
      <w:bookmarkEnd w:id="1420"/>
      <w:bookmarkEnd w:id="1421"/>
      <w:bookmarkEnd w:id="1422"/>
      <w:bookmarkEnd w:id="1423"/>
      <w:bookmarkEnd w:id="1424"/>
      <w:bookmarkEnd w:id="1425"/>
    </w:p>
    <w:p w14:paraId="3710831A">
      <w:pPr>
        <w:spacing w:line="360" w:lineRule="auto"/>
        <w:ind w:firstLine="960" w:firstLineChars="400"/>
        <w:rPr>
          <w:rFonts w:ascii="仿宋" w:hAnsi="仿宋" w:eastAsia="仿宋"/>
          <w:color w:val="auto"/>
          <w:highlight w:val="none"/>
          <w:lang w:eastAsia="zh-CN" w:bidi="ar-SA"/>
        </w:rPr>
      </w:pPr>
      <w:r>
        <w:rPr>
          <w:rFonts w:hint="eastAsia" w:ascii="仿宋" w:hAnsi="仿宋" w:eastAsia="仿宋"/>
          <w:color w:val="auto"/>
          <w:highlight w:val="none"/>
          <w:lang w:eastAsia="zh-CN" w:bidi="ar-SA"/>
        </w:rPr>
        <w:t>双方协商一致，增加14.3款</w:t>
      </w:r>
    </w:p>
    <w:p w14:paraId="22EB59C1">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14.3</w:t>
      </w:r>
      <w:r>
        <w:rPr>
          <w:rFonts w:hint="eastAsia" w:ascii="仿宋" w:hAnsi="仿宋" w:eastAsia="仿宋"/>
          <w:color w:val="auto"/>
          <w:highlight w:val="none"/>
          <w:lang w:eastAsia="zh-CN" w:bidi="en-US"/>
        </w:rPr>
        <w:t xml:space="preserve"> </w:t>
      </w:r>
      <w:r>
        <w:rPr>
          <w:rFonts w:ascii="仿宋" w:hAnsi="仿宋" w:eastAsia="仿宋"/>
          <w:color w:val="auto"/>
          <w:highlight w:val="none"/>
          <w:lang w:eastAsia="zh-CN" w:bidi="en-US"/>
        </w:rPr>
        <w:t>合同价款已包括探明、打碎及移去所有在施工期间所遇到的地下障碍物（不论本合同是否已明确）如石块、结构混凝土、素混凝土、砖块等，及用经监理单位和发包人认可的土壤回填于空位内，因上述障碍物而引致工人及机械窝工的费用及其它一切费用。</w:t>
      </w:r>
    </w:p>
    <w:p w14:paraId="73218AFB">
      <w:pPr>
        <w:pStyle w:val="3"/>
        <w:tabs>
          <w:tab w:val="left" w:pos="420"/>
        </w:tabs>
        <w:spacing w:before="0" w:after="0" w:line="360" w:lineRule="auto"/>
        <w:ind w:firstLine="480" w:firstLineChars="200"/>
        <w:rPr>
          <w:rFonts w:hint="eastAsia" w:ascii="仿宋" w:hAnsi="仿宋" w:eastAsia="仿宋" w:cs="仿宋"/>
          <w:b w:val="0"/>
          <w:bCs w:val="0"/>
          <w:i w:val="0"/>
          <w:iCs w:val="0"/>
          <w:color w:val="auto"/>
          <w:sz w:val="24"/>
          <w:szCs w:val="24"/>
          <w:highlight w:val="none"/>
          <w:lang w:eastAsia="zh-CN"/>
        </w:rPr>
      </w:pPr>
      <w:bookmarkStart w:id="1427" w:name="_Toc14878"/>
      <w:bookmarkStart w:id="1428" w:name="_Toc2903"/>
      <w:bookmarkStart w:id="1429" w:name="_Toc7457"/>
      <w:bookmarkStart w:id="1430" w:name="_Toc1710"/>
      <w:bookmarkStart w:id="1431" w:name="_Toc1933"/>
      <w:bookmarkStart w:id="1432" w:name="_Toc21349"/>
      <w:bookmarkStart w:id="1433" w:name="_Toc10553"/>
      <w:r>
        <w:rPr>
          <w:rFonts w:hint="eastAsia" w:ascii="仿宋" w:hAnsi="仿宋" w:eastAsia="仿宋" w:cs="仿宋"/>
          <w:b w:val="0"/>
          <w:bCs w:val="0"/>
          <w:i w:val="0"/>
          <w:iCs w:val="0"/>
          <w:color w:val="auto"/>
          <w:sz w:val="24"/>
          <w:szCs w:val="24"/>
          <w:highlight w:val="none"/>
          <w:lang w:eastAsia="zh-CN"/>
        </w:rPr>
        <w:t>16.  交通运输</w:t>
      </w:r>
      <w:bookmarkEnd w:id="1426"/>
      <w:bookmarkEnd w:id="1427"/>
      <w:bookmarkEnd w:id="1428"/>
      <w:bookmarkEnd w:id="1429"/>
      <w:bookmarkEnd w:id="1430"/>
      <w:bookmarkEnd w:id="1431"/>
      <w:bookmarkEnd w:id="1432"/>
      <w:bookmarkEnd w:id="1433"/>
    </w:p>
    <w:p w14:paraId="296F696D">
      <w:pPr>
        <w:spacing w:line="360" w:lineRule="auto"/>
        <w:ind w:firstLine="720" w:firstLineChars="300"/>
        <w:rPr>
          <w:rFonts w:hint="eastAsia" w:ascii="仿宋" w:hAnsi="仿宋" w:eastAsia="仿宋" w:cs="仿宋"/>
          <w:color w:val="auto"/>
          <w:highlight w:val="none"/>
          <w:lang w:eastAsia="zh-CN"/>
        </w:rPr>
      </w:pPr>
      <w:bookmarkStart w:id="1434" w:name="_Toc15287"/>
      <w:r>
        <w:rPr>
          <w:rFonts w:hint="eastAsia" w:ascii="仿宋" w:hAnsi="仿宋" w:eastAsia="仿宋" w:cs="仿宋"/>
          <w:color w:val="auto"/>
          <w:highlight w:val="none"/>
          <w:lang w:eastAsia="zh-CN"/>
        </w:rPr>
        <w:t>16.1 道路通行权和场外设施</w:t>
      </w:r>
      <w:bookmarkEnd w:id="1434"/>
    </w:p>
    <w:p w14:paraId="57DEC2B9">
      <w:pPr>
        <w:spacing w:line="360" w:lineRule="auto"/>
        <w:ind w:left="598" w:leftChars="249"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办理道路通行权和修建场外设施的费用：</w:t>
      </w:r>
      <w:r>
        <w:rPr>
          <w:rFonts w:hint="eastAsia" w:ascii="仿宋" w:hAnsi="仿宋" w:eastAsia="仿宋" w:cs="仿宋"/>
          <w:color w:val="auto"/>
          <w:highlight w:val="none"/>
          <w:u w:val="single"/>
          <w:lang w:eastAsia="zh-CN"/>
        </w:rPr>
        <w:t>由承包人负责取得出入施工现场所需的批准手续和全部权利，以及取得因工程实施所需修建道路、桥梁以及其他基础设施的权利，并承担相关手续费用和建设费用，</w:t>
      </w:r>
      <w:r>
        <w:rPr>
          <w:rFonts w:ascii="仿宋" w:hAnsi="仿宋" w:eastAsia="仿宋"/>
          <w:color w:val="auto"/>
          <w:highlight w:val="none"/>
          <w:u w:val="single"/>
          <w:lang w:eastAsia="zh-CN"/>
        </w:rPr>
        <w:t>除政府部门规定须由发包人支付的费用由发包人据实支付外，其它费用已包含在承包人的合同价款中</w:t>
      </w:r>
      <w:r>
        <w:rPr>
          <w:rFonts w:hint="eastAsia" w:ascii="仿宋" w:hAnsi="仿宋" w:eastAsia="仿宋" w:cs="仿宋"/>
          <w:color w:val="auto"/>
          <w:highlight w:val="none"/>
          <w:u w:val="single"/>
          <w:lang w:eastAsia="zh-CN"/>
        </w:rPr>
        <w:t>综合考虑，发包人不再另行计量支付</w:t>
      </w:r>
      <w:r>
        <w:rPr>
          <w:rFonts w:ascii="仿宋" w:hAnsi="仿宋" w:eastAsia="仿宋"/>
          <w:color w:val="auto"/>
          <w:highlight w:val="none"/>
          <w:u w:val="single"/>
          <w:lang w:eastAsia="zh-CN"/>
        </w:rPr>
        <w:t>。</w:t>
      </w:r>
    </w:p>
    <w:p w14:paraId="01F5A0FF">
      <w:pPr>
        <w:spacing w:line="360" w:lineRule="auto"/>
        <w:ind w:firstLine="720" w:firstLineChars="300"/>
        <w:rPr>
          <w:rFonts w:hint="eastAsia" w:ascii="仿宋" w:hAnsi="仿宋" w:eastAsia="仿宋" w:cs="仿宋"/>
          <w:color w:val="auto"/>
          <w:highlight w:val="none"/>
          <w:lang w:eastAsia="zh-CN"/>
        </w:rPr>
      </w:pPr>
      <w:bookmarkStart w:id="1435" w:name="_Toc10888"/>
      <w:r>
        <w:rPr>
          <w:rFonts w:hint="eastAsia" w:ascii="仿宋" w:hAnsi="仿宋" w:eastAsia="仿宋" w:cs="仿宋"/>
          <w:color w:val="auto"/>
          <w:highlight w:val="none"/>
          <w:lang w:eastAsia="zh-CN"/>
        </w:rPr>
        <w:t>16.2 场内临时道路和交通设施</w:t>
      </w:r>
      <w:bookmarkEnd w:id="1435"/>
    </w:p>
    <w:p w14:paraId="6AB8C484">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修建场内临时道路和交通设施的费用：</w:t>
      </w:r>
      <w:r>
        <w:rPr>
          <w:rFonts w:hint="eastAsia" w:ascii="仿宋" w:hAnsi="仿宋" w:eastAsia="仿宋" w:cs="仿宋"/>
          <w:color w:val="auto"/>
          <w:highlight w:val="none"/>
          <w:u w:val="single"/>
          <w:lang w:eastAsia="zh-CN"/>
        </w:rPr>
        <w:t>由承包人承担，相关费用已含在</w:t>
      </w:r>
      <w:r>
        <w:rPr>
          <w:rFonts w:ascii="仿宋" w:hAnsi="仿宋" w:eastAsia="仿宋"/>
          <w:color w:val="auto"/>
          <w:highlight w:val="none"/>
          <w:u w:val="single"/>
          <w:lang w:eastAsia="zh-CN"/>
        </w:rPr>
        <w:t>合同价款</w:t>
      </w:r>
      <w:r>
        <w:rPr>
          <w:rFonts w:hint="eastAsia" w:ascii="仿宋" w:hAnsi="仿宋" w:eastAsia="仿宋" w:cs="仿宋"/>
          <w:color w:val="auto"/>
          <w:highlight w:val="none"/>
          <w:u w:val="single"/>
          <w:lang w:eastAsia="zh-CN"/>
        </w:rPr>
        <w:t>中。</w:t>
      </w:r>
    </w:p>
    <w:p w14:paraId="59D935CF">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16.4 超大件和超重件的运输</w:t>
      </w:r>
    </w:p>
    <w:p w14:paraId="7F1E797D">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运输超大件和超重件的费用：</w:t>
      </w:r>
      <w:r>
        <w:rPr>
          <w:rFonts w:hint="eastAsia" w:ascii="仿宋" w:hAnsi="仿宋" w:eastAsia="仿宋" w:cs="仿宋"/>
          <w:color w:val="auto"/>
          <w:highlight w:val="none"/>
          <w:u w:val="single"/>
          <w:lang w:eastAsia="zh-CN"/>
        </w:rPr>
        <w:t>由承包人承担，相关费用已含在</w:t>
      </w:r>
      <w:r>
        <w:rPr>
          <w:rFonts w:ascii="仿宋" w:hAnsi="仿宋" w:eastAsia="仿宋"/>
          <w:color w:val="auto"/>
          <w:highlight w:val="none"/>
          <w:u w:val="single"/>
          <w:lang w:eastAsia="zh-CN"/>
        </w:rPr>
        <w:t>合同价款</w:t>
      </w:r>
      <w:r>
        <w:rPr>
          <w:rFonts w:hint="eastAsia" w:ascii="仿宋" w:hAnsi="仿宋" w:eastAsia="仿宋" w:cs="仿宋"/>
          <w:color w:val="auto"/>
          <w:highlight w:val="none"/>
          <w:u w:val="single"/>
          <w:lang w:eastAsia="zh-CN"/>
        </w:rPr>
        <w:t xml:space="preserve">中。 </w:t>
      </w:r>
    </w:p>
    <w:p w14:paraId="5618A18C">
      <w:pPr>
        <w:pStyle w:val="3"/>
        <w:tabs>
          <w:tab w:val="left" w:pos="420"/>
        </w:tabs>
        <w:spacing w:before="0" w:after="0" w:line="360" w:lineRule="auto"/>
        <w:ind w:firstLine="482" w:firstLineChars="200"/>
        <w:rPr>
          <w:rFonts w:hint="eastAsia" w:ascii="仿宋" w:hAnsi="仿宋" w:eastAsia="仿宋" w:cs="仿宋"/>
          <w:i w:val="0"/>
          <w:iCs w:val="0"/>
          <w:color w:val="auto"/>
          <w:sz w:val="24"/>
          <w:szCs w:val="24"/>
          <w:highlight w:val="none"/>
          <w:lang w:eastAsia="zh-CN"/>
        </w:rPr>
      </w:pPr>
      <w:bookmarkStart w:id="1436" w:name="_Toc47694394"/>
      <w:bookmarkStart w:id="1437" w:name="_Toc27595"/>
      <w:bookmarkStart w:id="1438" w:name="_Toc9817"/>
      <w:bookmarkStart w:id="1439" w:name="_Toc8535"/>
      <w:bookmarkStart w:id="1440" w:name="_Toc21136"/>
      <w:bookmarkStart w:id="1441" w:name="_Toc10752"/>
      <w:bookmarkStart w:id="1442" w:name="_Toc31916"/>
      <w:bookmarkStart w:id="1443" w:name="_Toc19076"/>
      <w:r>
        <w:rPr>
          <w:rFonts w:hint="eastAsia" w:ascii="仿宋" w:hAnsi="仿宋" w:eastAsia="仿宋" w:cs="仿宋"/>
          <w:i w:val="0"/>
          <w:iCs w:val="0"/>
          <w:color w:val="auto"/>
          <w:sz w:val="24"/>
          <w:szCs w:val="24"/>
          <w:highlight w:val="none"/>
          <w:lang w:eastAsia="zh-CN"/>
        </w:rPr>
        <w:t>17.  专项批准事项的签认</w:t>
      </w:r>
      <w:bookmarkEnd w:id="1436"/>
      <w:bookmarkEnd w:id="1437"/>
      <w:bookmarkEnd w:id="1438"/>
      <w:bookmarkEnd w:id="1439"/>
      <w:bookmarkEnd w:id="1440"/>
      <w:bookmarkEnd w:id="1441"/>
      <w:bookmarkEnd w:id="1442"/>
      <w:bookmarkEnd w:id="1443"/>
    </w:p>
    <w:p w14:paraId="2483DC87">
      <w:pPr>
        <w:spacing w:line="360" w:lineRule="auto"/>
        <w:ind w:firstLine="720" w:firstLineChars="300"/>
        <w:rPr>
          <w:rFonts w:ascii="仿宋" w:hAnsi="仿宋" w:eastAsia="仿宋" w:cs="仿宋"/>
          <w:color w:val="auto"/>
          <w:highlight w:val="none"/>
          <w:lang w:eastAsia="zh-CN"/>
        </w:rPr>
      </w:pPr>
      <w:bookmarkStart w:id="1444" w:name="_Toc25987"/>
      <w:r>
        <w:rPr>
          <w:rFonts w:hint="eastAsia" w:ascii="仿宋" w:hAnsi="仿宋" w:eastAsia="仿宋" w:cs="仿宋"/>
          <w:color w:val="auto"/>
          <w:highlight w:val="none"/>
          <w:lang w:eastAsia="zh-CN"/>
        </w:rPr>
        <w:t>17.2 专项批准事项签认人的要求</w:t>
      </w:r>
      <w:bookmarkEnd w:id="1444"/>
    </w:p>
    <w:p w14:paraId="6543D191">
      <w:pPr>
        <w:spacing w:line="360" w:lineRule="auto"/>
        <w:ind w:left="137" w:leftChars="57"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专项批准事项的签认人选</w:t>
      </w:r>
      <w:r>
        <w:rPr>
          <w:rFonts w:hint="eastAsia" w:ascii="仿宋" w:hAnsi="仿宋" w:eastAsia="仿宋"/>
          <w:color w:val="auto"/>
          <w:highlight w:val="none"/>
          <w:lang w:eastAsia="zh-CN"/>
        </w:rPr>
        <w:t>：</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①、②和③待定，以发包人书面通知为准。</w:t>
      </w:r>
      <w:r>
        <w:rPr>
          <w:rFonts w:hint="eastAsia" w:ascii="仿宋" w:hAnsi="仿宋" w:eastAsia="仿宋" w:cs="仿宋"/>
          <w:color w:val="auto"/>
          <w:highlight w:val="none"/>
          <w:lang w:eastAsia="zh-CN"/>
        </w:rPr>
        <w:t>)</w:t>
      </w:r>
    </w:p>
    <w:p w14:paraId="5AA5B2A2">
      <w:pPr>
        <w:spacing w:line="360" w:lineRule="auto"/>
        <w:ind w:left="274" w:leftChars="114"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①设计顾问人代表：</w:t>
      </w:r>
    </w:p>
    <w:p w14:paraId="4730B6C9">
      <w:pPr>
        <w:spacing w:line="360" w:lineRule="auto"/>
        <w:ind w:firstLine="840" w:firstLineChars="3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姓名：</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印章样式：                签字样式：</w:t>
      </w:r>
      <w:r>
        <w:rPr>
          <w:rFonts w:hint="eastAsia" w:ascii="仿宋" w:hAnsi="仿宋" w:eastAsia="仿宋" w:cs="仿宋"/>
          <w:color w:val="auto"/>
          <w:highlight w:val="none"/>
          <w:u w:val="single"/>
          <w:lang w:eastAsia="zh-CN"/>
        </w:rPr>
        <w:t xml:space="preserve">    /         </w:t>
      </w:r>
    </w:p>
    <w:p w14:paraId="284AEF7D">
      <w:pPr>
        <w:spacing w:line="360" w:lineRule="auto"/>
        <w:ind w:left="274" w:leftChars="114"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②监理人代表：</w:t>
      </w:r>
    </w:p>
    <w:p w14:paraId="69CDCF7E">
      <w:pPr>
        <w:spacing w:line="360" w:lineRule="auto"/>
        <w:ind w:firstLine="840" w:firstLineChars="3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姓名：</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印章样式：                签字样式：</w:t>
      </w:r>
      <w:r>
        <w:rPr>
          <w:rFonts w:hint="eastAsia" w:ascii="仿宋" w:hAnsi="仿宋" w:eastAsia="仿宋" w:cs="仿宋"/>
          <w:color w:val="auto"/>
          <w:highlight w:val="none"/>
          <w:u w:val="single"/>
          <w:lang w:eastAsia="zh-CN"/>
        </w:rPr>
        <w:t xml:space="preserve">   /           </w:t>
      </w:r>
    </w:p>
    <w:p w14:paraId="0ED9E6A4">
      <w:pPr>
        <w:spacing w:line="360" w:lineRule="auto"/>
        <w:ind w:left="274" w:leftChars="114"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③造价咨询人代表：</w:t>
      </w:r>
    </w:p>
    <w:p w14:paraId="50B199CE">
      <w:pPr>
        <w:spacing w:line="360" w:lineRule="auto"/>
        <w:ind w:firstLine="840" w:firstLineChars="3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姓名：</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印章样式：                签字样式：</w:t>
      </w:r>
      <w:r>
        <w:rPr>
          <w:rFonts w:hint="eastAsia" w:ascii="仿宋" w:hAnsi="仿宋" w:eastAsia="仿宋" w:cs="仿宋"/>
          <w:color w:val="auto"/>
          <w:highlight w:val="none"/>
          <w:u w:val="single"/>
          <w:lang w:eastAsia="zh-CN"/>
        </w:rPr>
        <w:t xml:space="preserve">   /          </w:t>
      </w:r>
    </w:p>
    <w:p w14:paraId="569BCC54">
      <w:pPr>
        <w:spacing w:line="360" w:lineRule="auto"/>
        <w:ind w:left="274" w:leftChars="114"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④承包人代表</w:t>
      </w:r>
    </w:p>
    <w:p w14:paraId="77CC60D0">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姓名：</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印章样式：               </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 xml:space="preserve"> 签字样式：</w:t>
      </w:r>
      <w:r>
        <w:rPr>
          <w:rFonts w:hint="eastAsia" w:ascii="仿宋" w:hAnsi="仿宋" w:eastAsia="仿宋" w:cs="仿宋"/>
          <w:color w:val="auto"/>
          <w:highlight w:val="none"/>
          <w:u w:val="single"/>
          <w:lang w:eastAsia="zh-CN"/>
        </w:rPr>
        <w:t xml:space="preserve">             </w:t>
      </w:r>
    </w:p>
    <w:p w14:paraId="0BBB59A1">
      <w:pPr>
        <w:pStyle w:val="3"/>
        <w:tabs>
          <w:tab w:val="left" w:pos="420"/>
        </w:tabs>
        <w:spacing w:before="0" w:after="0" w:line="360" w:lineRule="auto"/>
        <w:ind w:firstLine="482" w:firstLineChars="200"/>
        <w:rPr>
          <w:rFonts w:hint="eastAsia" w:ascii="仿宋" w:hAnsi="仿宋" w:eastAsia="仿宋" w:cs="仿宋"/>
          <w:i w:val="0"/>
          <w:iCs w:val="0"/>
          <w:color w:val="auto"/>
          <w:sz w:val="24"/>
          <w:szCs w:val="24"/>
          <w:highlight w:val="none"/>
          <w:lang w:eastAsia="zh-CN"/>
        </w:rPr>
      </w:pPr>
      <w:bookmarkStart w:id="1445" w:name="_Toc10406"/>
      <w:bookmarkStart w:id="1446" w:name="_Toc19461"/>
      <w:bookmarkStart w:id="1447" w:name="_Toc47694395"/>
      <w:bookmarkStart w:id="1448" w:name="_Toc30643"/>
      <w:bookmarkStart w:id="1449" w:name="_Toc18358"/>
      <w:bookmarkStart w:id="1450" w:name="_Toc30446"/>
      <w:bookmarkStart w:id="1451" w:name="_Toc1972"/>
      <w:bookmarkStart w:id="1452" w:name="_Toc28108"/>
      <w:r>
        <w:rPr>
          <w:rFonts w:hint="eastAsia" w:ascii="仿宋" w:hAnsi="仿宋" w:eastAsia="仿宋" w:cs="仿宋"/>
          <w:i w:val="0"/>
          <w:iCs w:val="0"/>
          <w:color w:val="auto"/>
          <w:sz w:val="24"/>
          <w:szCs w:val="24"/>
          <w:highlight w:val="none"/>
          <w:lang w:eastAsia="zh-CN"/>
        </w:rPr>
        <w:t>18.  专利技术和知识产权</w:t>
      </w:r>
      <w:bookmarkEnd w:id="1445"/>
      <w:bookmarkEnd w:id="1446"/>
      <w:bookmarkEnd w:id="1447"/>
      <w:bookmarkEnd w:id="1448"/>
      <w:bookmarkEnd w:id="1449"/>
      <w:bookmarkEnd w:id="1450"/>
      <w:bookmarkEnd w:id="1451"/>
      <w:bookmarkEnd w:id="1452"/>
    </w:p>
    <w:p w14:paraId="21AD7BBF">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18.3 版权和知识产权</w:t>
      </w:r>
    </w:p>
    <w:p w14:paraId="0AFE66F9">
      <w:pPr>
        <w:pStyle w:val="17"/>
        <w:ind w:left="564" w:leftChars="235" w:right="317" w:firstLine="427" w:firstLineChars="178"/>
        <w:rPr>
          <w:rFonts w:ascii="仿宋" w:hAnsi="仿宋" w:eastAsia="仿宋"/>
          <w:color w:val="auto"/>
          <w:highlight w:val="none"/>
          <w:u w:val="single"/>
          <w:lang w:eastAsia="zh-CN" w:bidi="en-US"/>
        </w:rPr>
      </w:pPr>
      <w:r>
        <w:rPr>
          <w:rFonts w:ascii="仿宋" w:hAnsi="仿宋" w:eastAsia="仿宋"/>
          <w:color w:val="auto"/>
          <w:highlight w:val="none"/>
          <w:lang w:eastAsia="zh-CN" w:bidi="en-US"/>
        </w:rPr>
        <w:t>18.3.2 承包人（或以承包人名义）为实施工程所编制的文件、承包人完成的设计工作成果和建造完成的建筑物，其著作权归属的约定：</w:t>
      </w:r>
      <w:r>
        <w:rPr>
          <w:rFonts w:ascii="仿宋" w:hAnsi="仿宋" w:eastAsia="仿宋"/>
          <w:color w:val="auto"/>
          <w:highlight w:val="none"/>
          <w:u w:val="single"/>
          <w:lang w:eastAsia="zh-CN" w:bidi="en-US"/>
        </w:rPr>
        <w:t>归发包人。</w:t>
      </w:r>
    </w:p>
    <w:p w14:paraId="2F92D828">
      <w:pPr>
        <w:pStyle w:val="3"/>
        <w:tabs>
          <w:tab w:val="left" w:pos="420"/>
        </w:tabs>
        <w:spacing w:before="0" w:after="0" w:line="360" w:lineRule="auto"/>
        <w:ind w:firstLine="480" w:firstLineChars="200"/>
        <w:rPr>
          <w:rFonts w:ascii="仿宋" w:hAnsi="仿宋" w:eastAsia="仿宋"/>
          <w:i w:val="0"/>
          <w:iCs w:val="0"/>
          <w:color w:val="auto"/>
          <w:highlight w:val="none"/>
          <w:lang w:eastAsia="zh-CN"/>
        </w:rPr>
      </w:pPr>
      <w:bookmarkStart w:id="1453" w:name="_Toc22716"/>
      <w:bookmarkStart w:id="1454" w:name="_Toc155189178"/>
      <w:bookmarkStart w:id="1455" w:name="_Toc19101"/>
      <w:bookmarkStart w:id="1456" w:name="_Toc27145"/>
      <w:bookmarkStart w:id="1457" w:name="_Toc8562"/>
      <w:bookmarkStart w:id="1458" w:name="_Toc12929"/>
      <w:bookmarkStart w:id="1459" w:name="_Toc47694396"/>
      <w:bookmarkStart w:id="1460" w:name="_Toc21188"/>
      <w:bookmarkStart w:id="1461" w:name="_Toc5540"/>
      <w:r>
        <w:rPr>
          <w:rFonts w:hint="eastAsia" w:ascii="仿宋" w:hAnsi="仿宋" w:eastAsia="仿宋" w:cs="仿宋"/>
          <w:b w:val="0"/>
          <w:bCs w:val="0"/>
          <w:i w:val="0"/>
          <w:iCs w:val="0"/>
          <w:color w:val="auto"/>
          <w:sz w:val="24"/>
          <w:szCs w:val="24"/>
          <w:highlight w:val="none"/>
          <w:lang w:eastAsia="zh-CN"/>
        </w:rPr>
        <w:t>19.  联合体的责任</w:t>
      </w:r>
      <w:bookmarkEnd w:id="1453"/>
      <w:bookmarkEnd w:id="1454"/>
      <w:bookmarkEnd w:id="1455"/>
      <w:bookmarkEnd w:id="1456"/>
      <w:bookmarkEnd w:id="1457"/>
      <w:bookmarkEnd w:id="1458"/>
    </w:p>
    <w:p w14:paraId="1549EE28">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19.1 联合体的组成及责任</w:t>
      </w:r>
    </w:p>
    <w:p w14:paraId="43CD453C">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19.1.2 联合牵头人的管理责任</w:t>
      </w:r>
    </w:p>
    <w:p w14:paraId="75AA62A6">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□设计单位为联合体牵头人时的管理责任：</w:t>
      </w:r>
    </w:p>
    <w:p w14:paraId="33F4C238">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☑施工单位为联合体牵头人时的管理责任：</w:t>
      </w:r>
      <w:r>
        <w:rPr>
          <w:rFonts w:hint="eastAsia" w:ascii="仿宋" w:hAnsi="仿宋" w:eastAsia="仿宋" w:cs="仿宋"/>
          <w:color w:val="auto"/>
          <w:highlight w:val="none"/>
          <w:u w:val="single"/>
          <w:lang w:eastAsia="zh-CN"/>
        </w:rPr>
        <w:t>按联合体协议书执行。</w:t>
      </w:r>
    </w:p>
    <w:bookmarkEnd w:id="1459"/>
    <w:bookmarkEnd w:id="1460"/>
    <w:bookmarkEnd w:id="1461"/>
    <w:p w14:paraId="5F7FB56C">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19.3 联合体的内部管理</w:t>
      </w:r>
    </w:p>
    <w:p w14:paraId="2B13BAC0">
      <w:pPr>
        <w:spacing w:line="360" w:lineRule="auto"/>
        <w:ind w:left="494" w:leftChars="206" w:firstLine="499" w:firstLineChars="208"/>
        <w:rPr>
          <w:rFonts w:ascii="仿宋" w:hAnsi="仿宋" w:eastAsia="仿宋" w:cs="仿宋"/>
          <w:b/>
          <w:bCs/>
          <w:color w:val="auto"/>
          <w:highlight w:val="none"/>
          <w:u w:val="single"/>
          <w:lang w:eastAsia="zh-CN"/>
        </w:rPr>
      </w:pPr>
      <w:r>
        <w:rPr>
          <w:rFonts w:hint="eastAsia" w:ascii="仿宋" w:hAnsi="仿宋" w:eastAsia="仿宋" w:cs="仿宋"/>
          <w:color w:val="auto"/>
          <w:highlight w:val="none"/>
          <w:lang w:eastAsia="zh-CN"/>
        </w:rPr>
        <w:t>19.3.6 联合体牵头人因反对成员单位提出的优化建议而不报送发包人审核，发包人有权对牵头人进行经济处罚，其违约处罚方式的约定：</w:t>
      </w:r>
      <w:r>
        <w:rPr>
          <w:rFonts w:hint="eastAsia" w:ascii="仿宋" w:hAnsi="仿宋" w:eastAsia="仿宋" w:cs="仿宋"/>
          <w:b/>
          <w:bCs/>
          <w:color w:val="auto"/>
          <w:highlight w:val="none"/>
          <w:u w:val="single"/>
          <w:lang w:eastAsia="zh-CN"/>
        </w:rPr>
        <w:t>每发生1次，承包人承担</w:t>
      </w:r>
      <w:r>
        <w:rPr>
          <w:rFonts w:ascii="仿宋" w:hAnsi="仿宋" w:eastAsia="仿宋" w:cs="仿宋"/>
          <w:b/>
          <w:bCs/>
          <w:color w:val="auto"/>
          <w:highlight w:val="none"/>
          <w:u w:val="single"/>
          <w:lang w:eastAsia="zh-CN"/>
        </w:rPr>
        <w:t>1次一般违约责任处罚。</w:t>
      </w:r>
    </w:p>
    <w:p w14:paraId="26093057">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olor w:val="auto"/>
          <w:highlight w:val="none"/>
          <w:u w:val="single"/>
          <w:lang w:eastAsia="zh-CN"/>
        </w:rPr>
        <w:t>双方协商一致，增加19.4款：</w:t>
      </w:r>
    </w:p>
    <w:p w14:paraId="329BE981">
      <w:pPr>
        <w:spacing w:line="360" w:lineRule="auto"/>
        <w:ind w:firstLine="964" w:firstLineChars="400"/>
        <w:rPr>
          <w:rFonts w:ascii="仿宋" w:hAnsi="仿宋" w:eastAsia="仿宋" w:cs="仿宋"/>
          <w:b/>
          <w:bCs/>
          <w:color w:val="auto"/>
          <w:highlight w:val="none"/>
          <w:u w:val="single"/>
          <w:lang w:eastAsia="zh-CN"/>
        </w:rPr>
      </w:pPr>
      <w:r>
        <w:rPr>
          <w:rFonts w:hint="eastAsia" w:ascii="仿宋" w:hAnsi="仿宋" w:eastAsia="仿宋" w:cs="仿宋"/>
          <w:b/>
          <w:bCs/>
          <w:color w:val="auto"/>
          <w:highlight w:val="none"/>
          <w:u w:val="single"/>
          <w:lang w:eastAsia="zh-CN"/>
        </w:rPr>
        <w:t>19.4 合同价款支付</w:t>
      </w:r>
    </w:p>
    <w:p w14:paraId="15B71B5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承包人联合体各方根据各自主要负责的工作量完成情况，按合同约定的支付方式申请工程款及其他费用。</w:t>
      </w:r>
    </w:p>
    <w:p w14:paraId="0881AAC4">
      <w:pPr>
        <w:spacing w:line="360" w:lineRule="auto"/>
        <w:ind w:firstLine="964" w:firstLineChars="400"/>
        <w:rPr>
          <w:rFonts w:ascii="仿宋" w:hAnsi="仿宋" w:eastAsia="仿宋" w:cs="仿宋"/>
          <w:b/>
          <w:bCs/>
          <w:color w:val="auto"/>
          <w:highlight w:val="none"/>
          <w:u w:val="single"/>
          <w:lang w:eastAsia="zh-CN"/>
        </w:rPr>
      </w:pPr>
      <w:r>
        <w:rPr>
          <w:rFonts w:hint="eastAsia" w:ascii="仿宋" w:hAnsi="仿宋" w:eastAsia="仿宋" w:cs="仿宋"/>
          <w:b/>
          <w:bCs/>
          <w:color w:val="auto"/>
          <w:highlight w:val="none"/>
          <w:u w:val="single"/>
          <w:lang w:eastAsia="zh-CN"/>
        </w:rPr>
        <w:t>19.5联合体内部纠纷管理</w:t>
      </w:r>
    </w:p>
    <w:p w14:paraId="44B827D9">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承包人联合体各方根据内部签署联合体合作协议，明确各自分工以及职责，若存在内部分工责任不清，承包人牵头单位作为第一直接责任人，应在3-5日历天内协调和督促明确分工责任，否则，发包人有权对承包人进行经济处罚，其违约处罚方式的约定：每发生1次，承包人承担1次一般违约责任处罚。</w:t>
      </w:r>
    </w:p>
    <w:p w14:paraId="08BE09D9">
      <w:pPr>
        <w:spacing w:line="360" w:lineRule="auto"/>
        <w:ind w:firstLine="480" w:firstLineChars="200"/>
        <w:rPr>
          <w:rFonts w:hint="eastAsia" w:ascii="仿宋" w:hAnsi="仿宋" w:eastAsia="仿宋" w:cs="仿宋"/>
          <w:color w:val="auto"/>
          <w:highlight w:val="none"/>
          <w:u w:val="single"/>
          <w:lang w:eastAsia="zh-CN"/>
        </w:rPr>
      </w:pPr>
    </w:p>
    <w:p w14:paraId="38C006FA">
      <w:pPr>
        <w:pStyle w:val="3"/>
        <w:tabs>
          <w:tab w:val="left" w:pos="420"/>
        </w:tabs>
        <w:spacing w:before="0" w:after="0" w:line="360" w:lineRule="auto"/>
        <w:ind w:firstLine="482" w:firstLineChars="200"/>
        <w:rPr>
          <w:rFonts w:hint="eastAsia" w:ascii="仿宋" w:hAnsi="仿宋" w:eastAsia="仿宋" w:cs="仿宋"/>
          <w:i w:val="0"/>
          <w:iCs w:val="0"/>
          <w:color w:val="auto"/>
          <w:sz w:val="24"/>
          <w:szCs w:val="24"/>
          <w:highlight w:val="none"/>
          <w:lang w:eastAsia="zh-CN"/>
        </w:rPr>
      </w:pPr>
      <w:bookmarkStart w:id="1462" w:name="_Toc13225"/>
      <w:bookmarkStart w:id="1463" w:name="_Toc25415"/>
      <w:bookmarkStart w:id="1464" w:name="_Toc47694397"/>
      <w:bookmarkStart w:id="1465" w:name="_Toc21470"/>
      <w:bookmarkStart w:id="1466" w:name="_Toc16822"/>
      <w:bookmarkStart w:id="1467" w:name="_Toc27248"/>
      <w:bookmarkStart w:id="1468" w:name="_Toc30800"/>
      <w:bookmarkStart w:id="1469" w:name="_Toc9324"/>
      <w:r>
        <w:rPr>
          <w:rFonts w:hint="eastAsia" w:ascii="仿宋" w:hAnsi="仿宋" w:eastAsia="仿宋" w:cs="仿宋"/>
          <w:i w:val="0"/>
          <w:iCs w:val="0"/>
          <w:color w:val="auto"/>
          <w:sz w:val="24"/>
          <w:szCs w:val="24"/>
          <w:highlight w:val="none"/>
          <w:lang w:eastAsia="zh-CN"/>
        </w:rPr>
        <w:t>22.  发包人</w:t>
      </w:r>
      <w:bookmarkEnd w:id="1462"/>
      <w:bookmarkEnd w:id="1463"/>
      <w:bookmarkEnd w:id="1464"/>
      <w:bookmarkEnd w:id="1465"/>
      <w:bookmarkEnd w:id="1466"/>
      <w:bookmarkEnd w:id="1467"/>
      <w:bookmarkEnd w:id="1468"/>
      <w:bookmarkEnd w:id="1469"/>
    </w:p>
    <w:p w14:paraId="6FA6B3FC">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22.2 发包人工作</w:t>
      </w:r>
    </w:p>
    <w:p w14:paraId="497B59EE">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发包人完成下列工作的约定：</w:t>
      </w:r>
    </w:p>
    <w:p w14:paraId="43475AB1">
      <w:pPr>
        <w:spacing w:line="360" w:lineRule="auto"/>
        <w:ind w:left="274" w:leftChars="114"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（3）</w:t>
      </w:r>
      <w:bookmarkStart w:id="1470" w:name="_Hlk53305925"/>
      <w:r>
        <w:rPr>
          <w:rFonts w:hint="eastAsia" w:ascii="仿宋" w:hAnsi="仿宋" w:eastAsia="仿宋" w:cs="仿宋"/>
          <w:color w:val="auto"/>
          <w:highlight w:val="none"/>
          <w:lang w:eastAsia="zh-CN"/>
        </w:rPr>
        <w:t>提供标准与规范的时间：</w:t>
      </w:r>
      <w:r>
        <w:rPr>
          <w:rFonts w:hint="eastAsia" w:ascii="仿宋" w:hAnsi="仿宋" w:eastAsia="仿宋" w:cs="仿宋"/>
          <w:color w:val="auto"/>
          <w:highlight w:val="none"/>
          <w:u w:val="single"/>
          <w:lang w:eastAsia="zh-CN"/>
        </w:rPr>
        <w:t>承包人自行取得相关标准与规范。</w:t>
      </w:r>
    </w:p>
    <w:bookmarkEnd w:id="1470"/>
    <w:p w14:paraId="68863FF2">
      <w:pPr>
        <w:tabs>
          <w:tab w:val="left" w:pos="540"/>
        </w:tabs>
        <w:spacing w:line="360" w:lineRule="auto"/>
        <w:ind w:left="1037" w:leftChars="332" w:hanging="240" w:hangingChars="1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（4）办理土地征用、拆迁、平整施工场地等工作的时间</w:t>
      </w:r>
      <w:r>
        <w:rPr>
          <w:rFonts w:hint="eastAsia" w:ascii="仿宋" w:hAnsi="仿宋" w:eastAsia="仿宋" w:cs="仿宋"/>
          <w:color w:val="auto"/>
          <w:highlight w:val="none"/>
          <w:u w:val="single"/>
          <w:lang w:eastAsia="zh-CN"/>
        </w:rPr>
        <w:t>：发包人按现状提供红线内施工场地。</w:t>
      </w:r>
      <w:r>
        <w:rPr>
          <w:rFonts w:hint="eastAsia" w:ascii="仿宋" w:hAnsi="仿宋" w:eastAsia="仿宋" w:cs="仿宋"/>
          <w:b/>
          <w:bCs/>
          <w:color w:val="auto"/>
          <w:highlight w:val="none"/>
          <w:u w:val="single"/>
          <w:lang w:eastAsia="zh-CN"/>
        </w:rPr>
        <w:t>发包人有权按照项目的征拆计划、实际进度和计划分批移交工作面，承包人已充分考虑并承诺承担因场地不能一次性移交而产生的相关费用。</w:t>
      </w:r>
      <w:r>
        <w:rPr>
          <w:rFonts w:hint="eastAsia" w:ascii="仿宋" w:hAnsi="仿宋" w:eastAsia="仿宋" w:cs="仿宋"/>
          <w:color w:val="auto"/>
          <w:highlight w:val="none"/>
          <w:u w:val="single"/>
          <w:lang w:eastAsia="zh-CN"/>
        </w:rPr>
        <w:t>承包人需根据发包人的进场指令工作量对应配置人员、设备、材料（需经承包人、发包人、监理单位三方共同确认），如未有进场指令，承包人擅自进场的由承包人自行承担相关责任。</w:t>
      </w:r>
      <w:r>
        <w:rPr>
          <w:rFonts w:ascii="仿宋" w:hAnsi="仿宋" w:eastAsia="仿宋"/>
          <w:color w:val="auto"/>
          <w:highlight w:val="none"/>
          <w:u w:val="single"/>
          <w:lang w:eastAsia="zh-CN"/>
        </w:rPr>
        <w:t>红线外场地由承包人自行与有关单位协调。有关费用已</w:t>
      </w:r>
      <w:r>
        <w:rPr>
          <w:rFonts w:hint="eastAsia" w:ascii="仿宋" w:hAnsi="仿宋" w:eastAsia="仿宋"/>
          <w:color w:val="auto"/>
          <w:highlight w:val="none"/>
          <w:u w:val="single"/>
          <w:lang w:eastAsia="zh-CN"/>
        </w:rPr>
        <w:t>在投标报价中综合考虑</w:t>
      </w:r>
      <w:r>
        <w:rPr>
          <w:rFonts w:ascii="仿宋" w:hAnsi="仿宋" w:eastAsia="仿宋"/>
          <w:color w:val="auto"/>
          <w:highlight w:val="none"/>
          <w:u w:val="single"/>
          <w:lang w:eastAsia="zh-CN"/>
        </w:rPr>
        <w:t>，发包人不另行计量支付。</w:t>
      </w:r>
    </w:p>
    <w:p w14:paraId="5C16528E">
      <w:pPr>
        <w:spacing w:line="360" w:lineRule="auto"/>
        <w:ind w:left="913" w:leftChars="280" w:hanging="241" w:hangingChars="1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（5）完成施工所需水、电、通讯线路接驳的时间及地点：</w:t>
      </w:r>
    </w:p>
    <w:p w14:paraId="6894CD02">
      <w:pPr>
        <w:pStyle w:val="17"/>
        <w:spacing w:after="0"/>
        <w:ind w:left="720" w:leftChars="300" w:firstLine="480" w:firstLineChars="200"/>
        <w:jc w:val="both"/>
        <w:rPr>
          <w:rFonts w:hint="eastAsia" w:ascii="仿宋" w:hAnsi="仿宋" w:eastAsia="仿宋" w:cs="仿宋"/>
          <w:color w:val="auto"/>
          <w:highlight w:val="none"/>
          <w:u w:val="single"/>
          <w:lang w:eastAsia="zh-CN" w:bidi="en-US"/>
        </w:rPr>
      </w:pPr>
      <w:r>
        <w:rPr>
          <w:rFonts w:ascii="仿宋" w:hAnsi="仿宋" w:eastAsia="仿宋"/>
          <w:color w:val="auto"/>
          <w:highlight w:val="none"/>
          <w:u w:val="single"/>
          <w:lang w:eastAsia="zh-CN" w:bidi="en-US"/>
        </w:rPr>
        <w:t>①</w:t>
      </w:r>
      <w:r>
        <w:rPr>
          <w:rFonts w:hint="eastAsia" w:ascii="仿宋" w:hAnsi="仿宋" w:eastAsia="仿宋"/>
          <w:color w:val="auto"/>
          <w:highlight w:val="none"/>
          <w:u w:val="single"/>
          <w:lang w:eastAsia="zh-CN" w:bidi="en-US"/>
        </w:rPr>
        <w:t>临水、临电接驳点</w:t>
      </w:r>
      <w:r>
        <w:rPr>
          <w:rFonts w:ascii="仿宋" w:hAnsi="仿宋" w:eastAsia="仿宋"/>
          <w:color w:val="auto"/>
          <w:highlight w:val="none"/>
          <w:u w:val="single"/>
          <w:lang w:eastAsia="zh-CN" w:bidi="en-US"/>
        </w:rPr>
        <w:t>在项目规划用地红线范围内，具体接驳点位置以自来水公司、供电部门批准的接驳位置为准。</w:t>
      </w:r>
    </w:p>
    <w:p w14:paraId="6B0B5167">
      <w:pPr>
        <w:pStyle w:val="17"/>
        <w:ind w:left="720" w:leftChars="300" w:firstLine="480" w:firstLineChars="200"/>
        <w:jc w:val="both"/>
        <w:rPr>
          <w:rFonts w:hint="eastAsia" w:ascii="仿宋" w:hAnsi="仿宋" w:eastAsia="仿宋" w:cs="仿宋"/>
          <w:color w:val="auto"/>
          <w:highlight w:val="none"/>
          <w:u w:val="single"/>
          <w:lang w:eastAsia="zh-CN" w:bidi="en-US"/>
        </w:rPr>
      </w:pPr>
      <w:r>
        <w:rPr>
          <w:rFonts w:ascii="Calibri" w:hAnsi="Calibri" w:eastAsia="仿宋" w:cs="Calibri"/>
          <w:color w:val="auto"/>
          <w:highlight w:val="none"/>
          <w:u w:val="single"/>
          <w:lang w:eastAsia="zh-CN" w:bidi="en-US"/>
        </w:rPr>
        <w:t>②</w:t>
      </w:r>
      <w:r>
        <w:rPr>
          <w:rFonts w:hint="eastAsia" w:ascii="仿宋" w:hAnsi="仿宋" w:eastAsia="仿宋" w:cs="仿宋"/>
          <w:color w:val="auto"/>
          <w:highlight w:val="none"/>
          <w:u w:val="single"/>
          <w:lang w:eastAsia="zh-CN" w:bidi="en-US"/>
        </w:rPr>
        <w:t>根据项目实际情况，若发包人在开工前能提供临水、临电接驳点，承包人负责接驳点至施工场地内用电、用水点的-切所需电缆管线、箱柜、管道、阀门等以满足施工一切所需相关费用综合考虑在报价中，不再开项另行计取。</w:t>
      </w:r>
    </w:p>
    <w:p w14:paraId="3B1F8BF5">
      <w:pPr>
        <w:tabs>
          <w:tab w:val="left" w:pos="540"/>
        </w:tabs>
        <w:spacing w:line="360" w:lineRule="auto"/>
        <w:ind w:left="732" w:leftChars="305" w:firstLine="540" w:firstLineChars="225"/>
        <w:rPr>
          <w:rFonts w:hint="eastAsia" w:ascii="仿宋" w:hAnsi="仿宋" w:eastAsia="仿宋" w:cs="仿宋"/>
          <w:color w:val="auto"/>
          <w:highlight w:val="none"/>
          <w:u w:val="single"/>
          <w:lang w:eastAsia="zh-CN"/>
        </w:rPr>
      </w:pPr>
      <w:r>
        <w:rPr>
          <w:rFonts w:ascii="Calibri" w:hAnsi="Calibri" w:eastAsia="仿宋" w:cs="Calibri"/>
          <w:color w:val="auto"/>
          <w:highlight w:val="none"/>
          <w:u w:val="single"/>
          <w:lang w:eastAsia="zh-CN"/>
        </w:rPr>
        <w:t>③</w:t>
      </w:r>
      <w:r>
        <w:rPr>
          <w:rFonts w:hint="eastAsia" w:ascii="仿宋" w:hAnsi="仿宋" w:eastAsia="仿宋" w:cs="仿宋"/>
          <w:color w:val="auto"/>
          <w:highlight w:val="none"/>
          <w:u w:val="single"/>
          <w:lang w:eastAsia="zh-CN"/>
        </w:rPr>
        <w:t>根据现场条件，若发包人无法在开工前提供临水、临电接驳等服务，承包人需根据施工需要自行解决临时用水、临时用电（含临时发电机发电、施工场地用电及所需电缆、灯具安装、施工用水及管道敷设等），直到完成临时施工用水、临时施工用电工程接通。在此期间内，相关费用（含水费、电费等）包含在合同价中，不再开项另行计取。</w:t>
      </w:r>
    </w:p>
    <w:p w14:paraId="34E69050">
      <w:pPr>
        <w:pStyle w:val="23"/>
        <w:spacing w:line="360" w:lineRule="auto"/>
        <w:ind w:left="720" w:leftChars="300" w:firstLine="480" w:firstLineChars="200"/>
        <w:rPr>
          <w:rFonts w:hint="eastAsia" w:ascii="仿宋" w:hAnsi="仿宋" w:eastAsia="仿宋" w:cs="仿宋"/>
          <w:color w:val="auto"/>
          <w:sz w:val="24"/>
          <w:szCs w:val="24"/>
          <w:highlight w:val="none"/>
          <w:u w:val="single"/>
          <w:lang w:eastAsia="zh-CN" w:bidi="en-US"/>
        </w:rPr>
      </w:pPr>
      <w:r>
        <w:rPr>
          <w:rFonts w:hint="eastAsia" w:ascii="仿宋" w:hAnsi="仿宋" w:eastAsia="仿宋" w:cs="仿宋"/>
          <w:color w:val="auto"/>
          <w:sz w:val="24"/>
          <w:szCs w:val="24"/>
          <w:highlight w:val="none"/>
          <w:u w:val="single"/>
          <w:lang w:eastAsia="zh-CN" w:bidi="en-US"/>
        </w:rPr>
        <w:t>④其他以施工场地已具备的现状为准，若施工场地不满足正常施工要求，由承包人自行承担相关费用。包括但不限于市政管网供水压力、供（临）电线路等不能满足承包人施工所需，承包人须自行办理施工临时排水许可及施工临时排污许可证。有关费用已在投标报价中综合考虑，发包人不另行计量支付。</w:t>
      </w:r>
    </w:p>
    <w:p w14:paraId="1E8AEDB5">
      <w:pPr>
        <w:spacing w:line="360" w:lineRule="auto"/>
        <w:ind w:left="274" w:leftChars="114"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（6）开通施工现场与城乡公共道路间的通道的时间：已开通。</w:t>
      </w:r>
    </w:p>
    <w:p w14:paraId="4E8A7FC5">
      <w:pPr>
        <w:spacing w:line="360" w:lineRule="auto"/>
        <w:ind w:left="797" w:leftChars="332"/>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（7）办理施工所需的有关证件和批准手续的时间：</w:t>
      </w:r>
      <w:r>
        <w:rPr>
          <w:rFonts w:hint="eastAsia" w:ascii="仿宋" w:hAnsi="仿宋" w:eastAsia="仿宋" w:cs="仿宋"/>
          <w:color w:val="auto"/>
          <w:highlight w:val="none"/>
          <w:u w:val="single"/>
          <w:lang w:eastAsia="zh-CN"/>
        </w:rPr>
        <w:t>协议书第二条约定的施工所需有关证件和批准手续由承包人负责配合办理。</w:t>
      </w:r>
      <w:r>
        <w:rPr>
          <w:rFonts w:ascii="仿宋" w:hAnsi="仿宋" w:eastAsia="仿宋"/>
          <w:color w:val="auto"/>
          <w:highlight w:val="none"/>
          <w:u w:val="single"/>
          <w:lang w:eastAsia="zh-CN"/>
        </w:rPr>
        <w:t>除政府部门规定须由发包人支付的费用由发包人据实支付外，其它费用已</w:t>
      </w:r>
      <w:r>
        <w:rPr>
          <w:rFonts w:hint="eastAsia" w:ascii="仿宋" w:hAnsi="仿宋" w:eastAsia="仿宋"/>
          <w:color w:val="auto"/>
          <w:highlight w:val="none"/>
          <w:u w:val="single"/>
          <w:lang w:eastAsia="zh-CN"/>
        </w:rPr>
        <w:t>在投标报价中综合考虑。其它要求</w:t>
      </w:r>
      <w:r>
        <w:rPr>
          <w:rFonts w:ascii="仿宋" w:hAnsi="仿宋" w:eastAsia="仿宋"/>
          <w:color w:val="auto"/>
          <w:highlight w:val="none"/>
          <w:u w:val="single"/>
          <w:lang w:eastAsia="zh-CN"/>
        </w:rPr>
        <w:t>：</w:t>
      </w:r>
    </w:p>
    <w:p w14:paraId="2E2DB179">
      <w:pPr>
        <w:tabs>
          <w:tab w:val="left" w:pos="360"/>
        </w:tabs>
        <w:spacing w:line="360" w:lineRule="auto"/>
        <w:ind w:left="797" w:leftChars="332" w:firstLine="0" w:firstLineChars="0"/>
        <w:rPr>
          <w:rFonts w:ascii="仿宋" w:hAnsi="仿宋" w:eastAsia="仿宋"/>
          <w:b/>
          <w:bCs/>
          <w:color w:val="auto"/>
          <w:highlight w:val="none"/>
          <w:u w:val="single"/>
          <w:lang w:eastAsia="zh-CN"/>
        </w:rPr>
      </w:pPr>
      <w:r>
        <w:rPr>
          <w:rFonts w:ascii="仿宋" w:hAnsi="仿宋" w:eastAsia="仿宋"/>
          <w:color w:val="auto"/>
          <w:highlight w:val="none"/>
          <w:u w:val="single"/>
          <w:lang w:eastAsia="zh-CN"/>
        </w:rPr>
        <w:t>①</w:t>
      </w:r>
      <w:r>
        <w:rPr>
          <w:rFonts w:hint="eastAsia" w:ascii="仿宋" w:hAnsi="仿宋" w:eastAsia="仿宋"/>
          <w:b/>
          <w:bCs/>
          <w:color w:val="auto"/>
          <w:highlight w:val="none"/>
          <w:u w:val="single"/>
          <w:lang w:eastAsia="zh-CN"/>
        </w:rPr>
        <w:t>在合同签订后，承包人须提供满足办理施工许可证的所有材料。</w:t>
      </w:r>
    </w:p>
    <w:p w14:paraId="2D96ED65">
      <w:pPr>
        <w:tabs>
          <w:tab w:val="left" w:pos="360"/>
        </w:tabs>
        <w:spacing w:line="360" w:lineRule="auto"/>
        <w:ind w:left="797" w:leftChars="332"/>
        <w:rPr>
          <w:rFonts w:ascii="仿宋" w:hAnsi="仿宋" w:eastAsia="仿宋"/>
          <w:color w:val="auto"/>
          <w:highlight w:val="none"/>
          <w:u w:val="single"/>
          <w:lang w:eastAsia="zh-CN"/>
        </w:rPr>
      </w:pPr>
      <w:r>
        <w:rPr>
          <w:rFonts w:ascii="仿宋" w:hAnsi="仿宋" w:eastAsia="仿宋"/>
          <w:color w:val="auto"/>
          <w:highlight w:val="none"/>
          <w:u w:val="single"/>
          <w:lang w:eastAsia="zh-CN"/>
        </w:rPr>
        <w:t>②包括但不限于施工许可证、工程质量安全监督报监，向相关管理部门办理道路开挖、余泥排放、防雷、给排水、夜间施工许可</w:t>
      </w:r>
      <w:r>
        <w:rPr>
          <w:rFonts w:hint="eastAsia" w:ascii="仿宋" w:hAnsi="仿宋" w:eastAsia="仿宋"/>
          <w:color w:val="auto"/>
          <w:highlight w:val="none"/>
          <w:u w:val="single"/>
          <w:lang w:eastAsia="zh-CN"/>
        </w:rPr>
        <w:t>、</w:t>
      </w:r>
      <w:r>
        <w:rPr>
          <w:rFonts w:hint="eastAsia" w:ascii="仿宋" w:hAnsi="仿宋" w:eastAsia="仿宋"/>
          <w:color w:val="auto"/>
          <w:highlight w:val="none"/>
          <w:u w:val="single"/>
          <w:lang w:val="en-US" w:eastAsia="zh-CN"/>
        </w:rPr>
        <w:t>树木砍伐及迁移</w:t>
      </w:r>
      <w:r>
        <w:rPr>
          <w:rFonts w:ascii="仿宋" w:hAnsi="仿宋" w:eastAsia="仿宋"/>
          <w:color w:val="auto"/>
          <w:highlight w:val="none"/>
          <w:u w:val="single"/>
          <w:lang w:eastAsia="zh-CN"/>
        </w:rPr>
        <w:t>等施工所需有关证件和报批手续，</w:t>
      </w:r>
      <w:r>
        <w:rPr>
          <w:rFonts w:hint="eastAsia" w:ascii="仿宋" w:hAnsi="仿宋" w:eastAsia="仿宋"/>
          <w:color w:val="auto"/>
          <w:highlight w:val="none"/>
          <w:u w:val="single"/>
          <w:lang w:eastAsia="zh-CN"/>
        </w:rPr>
        <w:t>承包人负责办理，</w:t>
      </w:r>
      <w:r>
        <w:rPr>
          <w:rFonts w:ascii="仿宋" w:hAnsi="仿宋" w:eastAsia="仿宋"/>
          <w:color w:val="auto"/>
          <w:highlight w:val="none"/>
          <w:u w:val="single"/>
          <w:lang w:eastAsia="zh-CN"/>
        </w:rPr>
        <w:t>发包人、监理单位</w:t>
      </w:r>
      <w:r>
        <w:rPr>
          <w:rFonts w:hint="eastAsia" w:ascii="仿宋" w:hAnsi="仿宋" w:eastAsia="仿宋"/>
          <w:color w:val="auto"/>
          <w:highlight w:val="none"/>
          <w:u w:val="single"/>
          <w:lang w:eastAsia="zh-CN"/>
        </w:rPr>
        <w:t>等</w:t>
      </w:r>
      <w:r>
        <w:rPr>
          <w:rFonts w:ascii="仿宋" w:hAnsi="仿宋" w:eastAsia="仿宋"/>
          <w:color w:val="auto"/>
          <w:highlight w:val="none"/>
          <w:u w:val="single"/>
          <w:lang w:eastAsia="zh-CN"/>
        </w:rPr>
        <w:t>提供协助。承包人应主动联系有关部门尽快办理，原则上每项手续在资料备齐后15个工作日内完成。</w:t>
      </w:r>
    </w:p>
    <w:p w14:paraId="39DCA76F">
      <w:pPr>
        <w:spacing w:line="360" w:lineRule="auto"/>
        <w:ind w:left="797" w:leftChars="332"/>
        <w:rPr>
          <w:rFonts w:ascii="仿宋" w:hAnsi="仿宋" w:eastAsia="仿宋"/>
          <w:color w:val="auto"/>
          <w:highlight w:val="none"/>
          <w:u w:val="single"/>
          <w:lang w:eastAsia="zh-CN"/>
        </w:rPr>
      </w:pPr>
      <w:r>
        <w:rPr>
          <w:rFonts w:hint="eastAsia" w:ascii="仿宋" w:hAnsi="仿宋" w:eastAsia="仿宋"/>
          <w:color w:val="auto"/>
          <w:highlight w:val="none"/>
          <w:u w:val="single"/>
          <w:lang w:val="en-US" w:eastAsia="zh-CN"/>
        </w:rPr>
        <w:t>③</w:t>
      </w:r>
      <w:r>
        <w:rPr>
          <w:rFonts w:ascii="仿宋" w:hAnsi="仿宋" w:eastAsia="仿宋"/>
          <w:color w:val="auto"/>
          <w:highlight w:val="none"/>
          <w:u w:val="single"/>
          <w:lang w:eastAsia="zh-CN"/>
        </w:rPr>
        <w:t>向供水部门办理停水、</w:t>
      </w:r>
      <w:r>
        <w:rPr>
          <w:rFonts w:hint="eastAsia" w:ascii="仿宋" w:hAnsi="仿宋" w:eastAsia="仿宋"/>
          <w:color w:val="auto"/>
          <w:highlight w:val="none"/>
          <w:u w:val="single"/>
          <w:lang w:eastAsia="zh-CN"/>
        </w:rPr>
        <w:t>管道接驳</w:t>
      </w:r>
      <w:r>
        <w:rPr>
          <w:rFonts w:ascii="仿宋" w:hAnsi="仿宋" w:eastAsia="仿宋"/>
          <w:color w:val="auto"/>
          <w:highlight w:val="none"/>
          <w:u w:val="single"/>
          <w:lang w:eastAsia="zh-CN"/>
        </w:rPr>
        <w:t>。承包人应主动联系有关部门尽快办理上述手续，原则上每项手续在资料备齐后5个工作日内完成。</w:t>
      </w:r>
    </w:p>
    <w:p w14:paraId="52542CBF">
      <w:pPr>
        <w:spacing w:line="360" w:lineRule="auto"/>
        <w:ind w:left="797" w:leftChars="332"/>
        <w:rPr>
          <w:rFonts w:ascii="仿宋" w:hAnsi="仿宋" w:eastAsia="仿宋"/>
          <w:color w:val="auto"/>
          <w:highlight w:val="none"/>
          <w:u w:val="single"/>
          <w:lang w:eastAsia="zh-CN"/>
        </w:rPr>
      </w:pPr>
      <w:r>
        <w:rPr>
          <w:rFonts w:hint="eastAsia" w:ascii="仿宋" w:hAnsi="仿宋" w:eastAsia="仿宋"/>
          <w:color w:val="auto"/>
          <w:highlight w:val="none"/>
          <w:u w:val="single"/>
          <w:lang w:val="en-US" w:eastAsia="zh-CN"/>
        </w:rPr>
        <w:t>④</w:t>
      </w:r>
      <w:r>
        <w:rPr>
          <w:rFonts w:ascii="仿宋" w:hAnsi="仿宋" w:eastAsia="仿宋"/>
          <w:color w:val="auto"/>
          <w:highlight w:val="none"/>
          <w:u w:val="single"/>
          <w:lang w:eastAsia="zh-CN"/>
        </w:rPr>
        <w:t>向供电部门办理审批手续，承包人应主动联系有关部门尽快办理上述手续，原则上每项手续在资料备齐后5个工作日内完成。</w:t>
      </w:r>
    </w:p>
    <w:p w14:paraId="6E4A001A">
      <w:pPr>
        <w:spacing w:line="360" w:lineRule="auto"/>
        <w:ind w:left="797" w:leftChars="332"/>
        <w:rPr>
          <w:rFonts w:ascii="仿宋" w:hAnsi="仿宋" w:eastAsia="仿宋"/>
          <w:color w:val="auto"/>
          <w:highlight w:val="none"/>
          <w:u w:val="single"/>
          <w:lang w:eastAsia="zh-CN"/>
        </w:rPr>
      </w:pPr>
      <w:r>
        <w:rPr>
          <w:rFonts w:hint="eastAsia" w:ascii="仿宋" w:hAnsi="仿宋" w:eastAsia="仿宋"/>
          <w:color w:val="auto"/>
          <w:highlight w:val="none"/>
          <w:u w:val="single"/>
          <w:lang w:val="en-US" w:eastAsia="zh-CN"/>
        </w:rPr>
        <w:t>⑤其他</w:t>
      </w:r>
      <w:r>
        <w:rPr>
          <w:rFonts w:ascii="仿宋" w:hAnsi="仿宋" w:eastAsia="仿宋"/>
          <w:color w:val="auto"/>
          <w:highlight w:val="none"/>
          <w:u w:val="single"/>
          <w:lang w:eastAsia="zh-CN"/>
        </w:rPr>
        <w:t>:向</w:t>
      </w:r>
      <w:r>
        <w:rPr>
          <w:rFonts w:hint="eastAsia" w:ascii="仿宋" w:hAnsi="仿宋" w:eastAsia="仿宋"/>
          <w:color w:val="auto"/>
          <w:highlight w:val="none"/>
          <w:u w:val="single"/>
          <w:lang w:eastAsia="zh-CN"/>
        </w:rPr>
        <w:t>燃气</w:t>
      </w:r>
      <w:r>
        <w:rPr>
          <w:rFonts w:ascii="仿宋" w:hAnsi="仿宋" w:eastAsia="仿宋"/>
          <w:color w:val="auto"/>
          <w:highlight w:val="none"/>
          <w:u w:val="single"/>
          <w:lang w:eastAsia="zh-CN"/>
        </w:rPr>
        <w:t>部门办理</w:t>
      </w:r>
      <w:r>
        <w:rPr>
          <w:rFonts w:hint="eastAsia" w:ascii="仿宋" w:hAnsi="仿宋" w:eastAsia="仿宋"/>
          <w:color w:val="auto"/>
          <w:highlight w:val="none"/>
          <w:u w:val="single"/>
          <w:lang w:eastAsia="zh-CN"/>
        </w:rPr>
        <w:t>报建</w:t>
      </w:r>
      <w:r>
        <w:rPr>
          <w:rFonts w:ascii="仿宋" w:hAnsi="仿宋" w:eastAsia="仿宋"/>
          <w:color w:val="auto"/>
          <w:highlight w:val="none"/>
          <w:u w:val="single"/>
          <w:lang w:eastAsia="zh-CN"/>
        </w:rPr>
        <w:t>手续</w:t>
      </w: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承包人应主动联系有关部门尽快办理上述手续，原则上每项手续在资料备齐后5个工作日内完成。</w:t>
      </w:r>
    </w:p>
    <w:p w14:paraId="05D38EFF">
      <w:pPr>
        <w:spacing w:line="360" w:lineRule="auto"/>
        <w:ind w:left="797" w:leftChars="332"/>
        <w:rPr>
          <w:rFonts w:ascii="仿宋" w:hAnsi="仿宋" w:eastAsia="仿宋"/>
          <w:color w:val="auto"/>
          <w:highlight w:val="none"/>
          <w:lang w:eastAsia="zh-CN"/>
        </w:rPr>
      </w:pPr>
      <w:r>
        <w:rPr>
          <w:rFonts w:hint="eastAsia" w:ascii="仿宋" w:hAnsi="仿宋" w:eastAsia="仿宋" w:cs="仿宋"/>
          <w:color w:val="auto"/>
          <w:highlight w:val="none"/>
          <w:lang w:eastAsia="zh-CN"/>
        </w:rPr>
        <w:t>（8）确定水准点与坐标控制点，组织现场交验的时间：</w:t>
      </w:r>
      <w:r>
        <w:rPr>
          <w:rFonts w:ascii="仿宋" w:hAnsi="仿宋" w:eastAsia="仿宋"/>
          <w:color w:val="auto"/>
          <w:highlight w:val="none"/>
          <w:u w:val="single"/>
          <w:lang w:eastAsia="zh-CN"/>
        </w:rPr>
        <w:t>中标通知书送达后5天内</w:t>
      </w:r>
      <w:r>
        <w:rPr>
          <w:rFonts w:hint="eastAsia" w:ascii="仿宋" w:hAnsi="仿宋" w:eastAsia="仿宋"/>
          <w:color w:val="auto"/>
          <w:highlight w:val="none"/>
          <w:u w:val="single"/>
          <w:lang w:eastAsia="zh-CN"/>
        </w:rPr>
        <w:t>，</w:t>
      </w:r>
      <w:r>
        <w:rPr>
          <w:rFonts w:hint="eastAsia" w:ascii="仿宋" w:hAnsi="仿宋" w:eastAsia="仿宋" w:cs="仿宋"/>
          <w:color w:val="auto"/>
          <w:highlight w:val="none"/>
          <w:u w:val="single"/>
          <w:lang w:eastAsia="zh-CN"/>
        </w:rPr>
        <w:t xml:space="preserve">具体时间以发包人通知为准。 </w:t>
      </w:r>
    </w:p>
    <w:p w14:paraId="180A7D6E">
      <w:pPr>
        <w:spacing w:line="360" w:lineRule="auto"/>
        <w:ind w:left="737" w:leftChars="307" w:firstLine="58" w:firstLineChars="24"/>
        <w:rPr>
          <w:rFonts w:ascii="仿宋" w:hAnsi="仿宋" w:eastAsia="仿宋" w:cs="仿宋"/>
          <w:b/>
          <w:bCs/>
          <w:color w:val="auto"/>
          <w:highlight w:val="none"/>
          <w:lang w:eastAsia="zh-CN"/>
        </w:rPr>
      </w:pPr>
      <w:bookmarkStart w:id="1471" w:name="_Hlk53308218"/>
      <w:r>
        <w:rPr>
          <w:rFonts w:hint="eastAsia" w:ascii="仿宋" w:hAnsi="仿宋" w:eastAsia="仿宋" w:cs="仿宋"/>
          <w:b/>
          <w:bCs/>
          <w:color w:val="auto"/>
          <w:highlight w:val="none"/>
          <w:lang w:eastAsia="zh-CN"/>
        </w:rPr>
        <w:t>（</w:t>
      </w:r>
      <w:r>
        <w:rPr>
          <w:rFonts w:ascii="仿宋" w:hAnsi="仿宋" w:eastAsia="仿宋" w:cs="仿宋"/>
          <w:b/>
          <w:bCs/>
          <w:color w:val="auto"/>
          <w:highlight w:val="none"/>
          <w:lang w:eastAsia="zh-CN"/>
        </w:rPr>
        <w:t>9</w:t>
      </w:r>
      <w:r>
        <w:rPr>
          <w:rFonts w:hint="eastAsia" w:ascii="仿宋" w:hAnsi="仿宋" w:eastAsia="仿宋" w:cs="仿宋"/>
          <w:b/>
          <w:bCs/>
          <w:color w:val="auto"/>
          <w:highlight w:val="none"/>
          <w:lang w:eastAsia="zh-CN"/>
        </w:rPr>
        <w:t>）协调处理施工场地周围地形关系问题和邻近建筑物等保护工作的约定：</w:t>
      </w:r>
      <w:bookmarkEnd w:id="1471"/>
      <w:r>
        <w:rPr>
          <w:rFonts w:hint="eastAsia" w:ascii="仿宋" w:hAnsi="仿宋" w:eastAsia="仿宋" w:cs="仿宋"/>
          <w:b/>
          <w:bCs/>
          <w:color w:val="auto"/>
          <w:highlight w:val="none"/>
          <w:u w:val="single"/>
          <w:lang w:eastAsia="zh-CN"/>
        </w:rPr>
        <w:t>由承包人负责，详见合同专用条款第23.2（15）款。</w:t>
      </w:r>
    </w:p>
    <w:p w14:paraId="586A54C8">
      <w:pPr>
        <w:spacing w:line="360" w:lineRule="auto"/>
        <w:ind w:left="713" w:leftChars="297" w:firstLine="38" w:firstLineChars="16"/>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10</w:t>
      </w:r>
      <w:r>
        <w:rPr>
          <w:rFonts w:hint="eastAsia" w:ascii="仿宋" w:hAnsi="仿宋" w:eastAsia="仿宋" w:cs="仿宋"/>
          <w:color w:val="auto"/>
          <w:highlight w:val="none"/>
          <w:lang w:eastAsia="zh-CN"/>
        </w:rPr>
        <w:t>）其它约定：</w:t>
      </w:r>
      <w:r>
        <w:rPr>
          <w:rFonts w:ascii="仿宋" w:hAnsi="仿宋" w:eastAsia="仿宋"/>
          <w:color w:val="auto"/>
          <w:highlight w:val="none"/>
          <w:u w:val="single"/>
          <w:lang w:eastAsia="zh-CN"/>
        </w:rPr>
        <w:t>发包人拥有对本工程使用之材料品质及工程质量确认审查的权利；有权根据项目规划调整或工程实际需要增加或减少部分工程，并经双方协商签订补充合同后执行。如发包人与承包人无法对本合同专用条款约定的工程变更造价、</w:t>
      </w:r>
      <w:r>
        <w:rPr>
          <w:rFonts w:hint="eastAsia" w:ascii="仿宋" w:hAnsi="仿宋" w:eastAsia="仿宋"/>
          <w:color w:val="auto"/>
          <w:highlight w:val="none"/>
          <w:u w:val="single"/>
          <w:lang w:eastAsia="zh-CN"/>
        </w:rPr>
        <w:t>投标</w:t>
      </w:r>
      <w:r>
        <w:rPr>
          <w:rFonts w:ascii="仿宋" w:hAnsi="仿宋" w:eastAsia="仿宋"/>
          <w:color w:val="auto"/>
          <w:highlight w:val="none"/>
          <w:u w:val="single"/>
          <w:lang w:eastAsia="zh-CN"/>
        </w:rPr>
        <w:t>报价调整、材料样板及品牌确定、变更或新增材料价格达成一致协议，发包人保留对涉及部分的工程及材料设备进行依法招标或另行委托的权利，承包人不得拒绝或要求调整任何单价及收费，招标文件另有约定除外。发包人有权对工程进度</w:t>
      </w: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工程质量进行监督检查，有权根据实际情况变更设计</w:t>
      </w: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处理工程建设中的协调配合与管理等问题。</w:t>
      </w:r>
    </w:p>
    <w:p w14:paraId="7DEF147F">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发包人委托承包人办理的上述工作有：</w:t>
      </w:r>
      <w:r>
        <w:rPr>
          <w:rFonts w:hint="eastAsia" w:ascii="仿宋" w:hAnsi="仿宋" w:eastAsia="仿宋" w:cs="仿宋"/>
          <w:color w:val="auto"/>
          <w:highlight w:val="none"/>
          <w:u w:val="single"/>
          <w:lang w:eastAsia="zh-CN"/>
        </w:rPr>
        <w:t>上述（1）～（</w:t>
      </w:r>
      <w:r>
        <w:rPr>
          <w:rFonts w:hint="eastAsia" w:ascii="仿宋" w:hAnsi="仿宋" w:eastAsia="仿宋" w:cs="仿宋"/>
          <w:color w:val="auto"/>
          <w:highlight w:val="none"/>
          <w:u w:val="single"/>
          <w:lang w:val="en-US" w:eastAsia="zh-CN"/>
        </w:rPr>
        <w:t>9</w:t>
      </w:r>
      <w:r>
        <w:rPr>
          <w:rFonts w:hint="eastAsia" w:ascii="仿宋" w:hAnsi="仿宋" w:eastAsia="仿宋" w:cs="仿宋"/>
          <w:color w:val="auto"/>
          <w:highlight w:val="none"/>
          <w:u w:val="single"/>
          <w:lang w:eastAsia="zh-CN"/>
        </w:rPr>
        <w:t>）条中确定由承包人完成的工作</w:t>
      </w:r>
    </w:p>
    <w:p w14:paraId="3851C277">
      <w:pPr>
        <w:spacing w:line="360" w:lineRule="auto"/>
        <w:ind w:firstLine="723" w:firstLineChars="300"/>
        <w:rPr>
          <w:rFonts w:hint="eastAsia" w:ascii="仿宋" w:hAnsi="仿宋" w:eastAsia="仿宋" w:cs="仿宋"/>
          <w:b/>
          <w:bCs/>
          <w:color w:val="auto"/>
          <w:highlight w:val="none"/>
          <w:lang w:eastAsia="zh-CN"/>
        </w:rPr>
      </w:pPr>
      <w:bookmarkStart w:id="1472" w:name="_Toc15645"/>
      <w:r>
        <w:rPr>
          <w:rFonts w:hint="eastAsia" w:ascii="仿宋" w:hAnsi="仿宋" w:eastAsia="仿宋" w:cs="仿宋"/>
          <w:b/>
          <w:bCs/>
          <w:color w:val="auto"/>
          <w:highlight w:val="none"/>
          <w:lang w:eastAsia="zh-CN"/>
        </w:rPr>
        <w:t>22.3 发包人提供施工场地</w:t>
      </w:r>
      <w:bookmarkEnd w:id="1472"/>
    </w:p>
    <w:p w14:paraId="4F90754B">
      <w:pPr>
        <w:spacing w:line="360" w:lineRule="auto"/>
        <w:ind w:left="797" w:leftChars="332"/>
        <w:rPr>
          <w:rFonts w:ascii="仿宋" w:hAnsi="仿宋" w:eastAsia="仿宋" w:cs="仿宋"/>
          <w:b/>
          <w:bCs/>
          <w:color w:val="auto"/>
          <w:highlight w:val="none"/>
          <w:u w:val="single"/>
          <w:lang w:eastAsia="zh-CN"/>
        </w:rPr>
      </w:pPr>
      <w:r>
        <w:rPr>
          <w:rFonts w:hint="eastAsia" w:ascii="仿宋" w:hAnsi="仿宋" w:eastAsia="仿宋" w:cs="仿宋"/>
          <w:color w:val="auto"/>
          <w:highlight w:val="none"/>
          <w:lang w:eastAsia="zh-CN"/>
        </w:rPr>
        <w:t>提供施工场地的时间：</w:t>
      </w:r>
      <w:r>
        <w:rPr>
          <w:rFonts w:ascii="仿宋" w:hAnsi="仿宋" w:eastAsia="仿宋"/>
          <w:b/>
          <w:bCs/>
          <w:color w:val="auto"/>
          <w:highlight w:val="none"/>
          <w:u w:val="single"/>
          <w:lang w:eastAsia="zh-CN"/>
        </w:rPr>
        <w:t>中标通知书送达后5天内</w:t>
      </w:r>
      <w:r>
        <w:rPr>
          <w:rFonts w:hint="eastAsia" w:ascii="仿宋" w:hAnsi="仿宋" w:eastAsia="仿宋"/>
          <w:b/>
          <w:bCs/>
          <w:color w:val="auto"/>
          <w:highlight w:val="none"/>
          <w:u w:val="single"/>
          <w:lang w:eastAsia="zh-CN"/>
        </w:rPr>
        <w:t>。但</w:t>
      </w:r>
      <w:r>
        <w:rPr>
          <w:rFonts w:hint="eastAsia" w:ascii="仿宋" w:hAnsi="仿宋" w:eastAsia="仿宋" w:cs="仿宋"/>
          <w:b/>
          <w:bCs/>
          <w:color w:val="auto"/>
          <w:highlight w:val="none"/>
          <w:u w:val="single"/>
          <w:lang w:eastAsia="zh-CN"/>
        </w:rPr>
        <w:t>发包人有权按照项目的征拆情况、管线迁改实际进度和计划分批移交工作面，承包人已充分考虑并承诺承担因场地不能一次性移交而产生的相关费用及对工期的影响，</w:t>
      </w:r>
      <w:r>
        <w:rPr>
          <w:rFonts w:hint="eastAsia" w:ascii="仿宋" w:hAnsi="仿宋" w:eastAsia="仿宋" w:cs="仿宋"/>
          <w:b/>
          <w:bCs/>
          <w:color w:val="auto"/>
          <w:highlight w:val="none"/>
          <w:u w:val="single"/>
          <w:lang w:val="en-US" w:eastAsia="zh-CN"/>
        </w:rPr>
        <w:t>承包人不得向发包人索要因场地不能一次性移交而产生的相关费用及工期赔偿或追究违约责任</w:t>
      </w:r>
      <w:r>
        <w:rPr>
          <w:rFonts w:hint="eastAsia" w:ascii="仿宋" w:hAnsi="仿宋" w:eastAsia="仿宋" w:cs="仿宋"/>
          <w:b/>
          <w:bCs/>
          <w:color w:val="auto"/>
          <w:highlight w:val="none"/>
          <w:u w:val="single"/>
          <w:lang w:eastAsia="zh-CN"/>
        </w:rPr>
        <w:t>。</w:t>
      </w:r>
    </w:p>
    <w:p w14:paraId="6B7F810A">
      <w:pPr>
        <w:spacing w:line="360" w:lineRule="auto"/>
        <w:ind w:firstLine="723" w:firstLineChars="3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22.4 发包人支付款项</w:t>
      </w:r>
    </w:p>
    <w:p w14:paraId="78B8E1C9">
      <w:pPr>
        <w:spacing w:line="360" w:lineRule="auto"/>
        <w:ind w:left="137" w:leftChars="57"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①工程款支付期限</w:t>
      </w:r>
    </w:p>
    <w:p w14:paraId="0CB91CD2">
      <w:pPr>
        <w:spacing w:line="360" w:lineRule="auto"/>
        <w:ind w:firstLine="840" w:firstLineChars="3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按通用条款第85.3款、第86.3款、第88.3款等约定期限支付。</w:t>
      </w:r>
    </w:p>
    <w:p w14:paraId="4C74565F">
      <w:pPr>
        <w:spacing w:line="360" w:lineRule="auto"/>
        <w:ind w:firstLine="840" w:firstLineChars="3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☑另作约定：</w:t>
      </w:r>
      <w:r>
        <w:rPr>
          <w:rFonts w:ascii="仿宋" w:hAnsi="仿宋" w:eastAsia="仿宋"/>
          <w:color w:val="auto"/>
          <w:highlight w:val="none"/>
          <w:u w:val="single"/>
          <w:lang w:eastAsia="zh-CN"/>
        </w:rPr>
        <w:t>承包人应得的各类款项（如预付款、</w:t>
      </w:r>
      <w:r>
        <w:rPr>
          <w:rFonts w:hint="eastAsia" w:ascii="仿宋" w:hAnsi="仿宋" w:eastAsia="仿宋" w:cs="仿宋"/>
          <w:color w:val="auto"/>
          <w:highlight w:val="none"/>
          <w:u w:val="single"/>
          <w:lang w:eastAsia="zh-CN"/>
        </w:rPr>
        <w:t>安全生产措施费</w:t>
      </w:r>
      <w:r>
        <w:rPr>
          <w:rFonts w:ascii="仿宋" w:hAnsi="仿宋" w:eastAsia="仿宋"/>
          <w:color w:val="auto"/>
          <w:highlight w:val="none"/>
          <w:u w:val="single"/>
          <w:lang w:eastAsia="zh-CN"/>
        </w:rPr>
        <w:t>、进度款、结算款、增加价款等）在工程达到合同专用条款第</w:t>
      </w:r>
      <w:r>
        <w:rPr>
          <w:rFonts w:hint="eastAsia" w:ascii="仿宋" w:hAnsi="仿宋" w:eastAsia="仿宋"/>
          <w:color w:val="auto"/>
          <w:highlight w:val="none"/>
          <w:u w:val="single"/>
          <w:lang w:eastAsia="zh-CN"/>
        </w:rPr>
        <w:t>84.2</w:t>
      </w:r>
      <w:r>
        <w:rPr>
          <w:rFonts w:ascii="仿宋" w:hAnsi="仿宋" w:eastAsia="仿宋"/>
          <w:color w:val="auto"/>
          <w:highlight w:val="none"/>
          <w:u w:val="single"/>
          <w:lang w:eastAsia="zh-CN"/>
        </w:rPr>
        <w:t>款、第</w:t>
      </w:r>
      <w:r>
        <w:rPr>
          <w:rFonts w:hint="eastAsia" w:ascii="仿宋" w:hAnsi="仿宋" w:eastAsia="仿宋"/>
          <w:color w:val="auto"/>
          <w:highlight w:val="none"/>
          <w:u w:val="single"/>
          <w:lang w:eastAsia="zh-CN"/>
        </w:rPr>
        <w:t>85.3</w:t>
      </w:r>
      <w:r>
        <w:rPr>
          <w:rFonts w:ascii="仿宋" w:hAnsi="仿宋" w:eastAsia="仿宋"/>
          <w:color w:val="auto"/>
          <w:highlight w:val="none"/>
          <w:u w:val="single"/>
          <w:lang w:eastAsia="zh-CN"/>
        </w:rPr>
        <w:t>款、第</w:t>
      </w:r>
      <w:r>
        <w:rPr>
          <w:rFonts w:hint="eastAsia" w:ascii="仿宋" w:hAnsi="仿宋" w:eastAsia="仿宋"/>
          <w:color w:val="auto"/>
          <w:highlight w:val="none"/>
          <w:u w:val="single"/>
          <w:lang w:eastAsia="zh-CN"/>
        </w:rPr>
        <w:t>86.1</w:t>
      </w:r>
      <w:r>
        <w:rPr>
          <w:rFonts w:ascii="仿宋" w:hAnsi="仿宋" w:eastAsia="仿宋"/>
          <w:color w:val="auto"/>
          <w:highlight w:val="none"/>
          <w:u w:val="single"/>
          <w:lang w:eastAsia="zh-CN"/>
        </w:rPr>
        <w:t>款</w:t>
      </w:r>
      <w:r>
        <w:rPr>
          <w:rFonts w:hint="eastAsia" w:ascii="仿宋" w:hAnsi="仿宋" w:eastAsia="仿宋"/>
          <w:color w:val="auto"/>
          <w:highlight w:val="none"/>
          <w:u w:val="single"/>
          <w:lang w:eastAsia="zh-CN"/>
        </w:rPr>
        <w:t>、第87.1款</w:t>
      </w:r>
      <w:r>
        <w:rPr>
          <w:rFonts w:ascii="仿宋" w:hAnsi="仿宋" w:eastAsia="仿宋"/>
          <w:color w:val="auto"/>
          <w:highlight w:val="none"/>
          <w:u w:val="single"/>
          <w:lang w:eastAsia="zh-CN"/>
        </w:rPr>
        <w:t>约定的付款条件，承包人提出书面付款申请且监理工程师在7天内审查确认并报发包人，发包人在15个工作日内完成审批手续办理支付申请</w:t>
      </w:r>
      <w:r>
        <w:rPr>
          <w:rFonts w:hint="eastAsia" w:ascii="仿宋" w:hAnsi="仿宋" w:eastAsia="仿宋"/>
          <w:color w:val="auto"/>
          <w:highlight w:val="none"/>
          <w:u w:val="single"/>
          <w:lang w:eastAsia="zh-CN"/>
        </w:rPr>
        <w:t>（发包人办理支付申请时间为支付审批流程发起时间）</w:t>
      </w:r>
      <w:r>
        <w:rPr>
          <w:rFonts w:ascii="仿宋" w:hAnsi="仿宋" w:eastAsia="仿宋"/>
          <w:color w:val="auto"/>
          <w:highlight w:val="none"/>
          <w:u w:val="single"/>
          <w:lang w:eastAsia="zh-CN"/>
        </w:rPr>
        <w:t>。</w:t>
      </w:r>
      <w:r>
        <w:rPr>
          <w:rFonts w:hint="eastAsia" w:ascii="仿宋" w:hAnsi="仿宋" w:eastAsia="仿宋"/>
          <w:color w:val="auto"/>
          <w:highlight w:val="none"/>
          <w:u w:val="single"/>
          <w:lang w:eastAsia="zh-CN"/>
        </w:rPr>
        <w:t>支付工作按相关资金支付程序执行。在办理付款手续时款项未及时支付，承包人不得延误工作，并不得向发包人索要任何赔偿或追究违约责任。</w:t>
      </w:r>
    </w:p>
    <w:p w14:paraId="4D1D3565">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②工程款支付方式</w:t>
      </w:r>
    </w:p>
    <w:p w14:paraId="372504F5">
      <w:pPr>
        <w:spacing w:line="360" w:lineRule="auto"/>
        <w:ind w:firstLine="840" w:firstLineChars="3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☑按协议书所注明的银行账户转账。</w:t>
      </w:r>
    </w:p>
    <w:p w14:paraId="6230A8E4">
      <w:pPr>
        <w:spacing w:line="360" w:lineRule="auto"/>
        <w:ind w:firstLine="840" w:firstLineChars="350"/>
        <w:rPr>
          <w:rFonts w:hint="eastAsia" w:ascii="仿宋" w:hAnsi="仿宋" w:eastAsia="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rPr>
        <w:t>支票支付。</w:t>
      </w:r>
    </w:p>
    <w:p w14:paraId="70AA526E">
      <w:pPr>
        <w:spacing w:line="360" w:lineRule="auto"/>
        <w:ind w:firstLine="840" w:firstLineChars="350"/>
        <w:rPr>
          <w:rFonts w:hint="eastAsia" w:ascii="仿宋" w:hAnsi="仿宋" w:eastAsia="仿宋" w:cs="仿宋"/>
          <w:color w:val="auto"/>
          <w:highlight w:val="none"/>
          <w:u w:val="single"/>
        </w:rPr>
      </w:pPr>
      <w:r>
        <w:rPr>
          <w:rFonts w:hint="eastAsia" w:ascii="仿宋" w:hAnsi="仿宋" w:eastAsia="仿宋" w:cs="仿宋"/>
          <w:color w:val="auto"/>
          <w:highlight w:val="none"/>
        </w:rPr>
        <w:t>□其他方式：</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rPr>
        <w:t xml:space="preserve">     </w:t>
      </w:r>
    </w:p>
    <w:p w14:paraId="2CE3A944">
      <w:pPr>
        <w:spacing w:line="360" w:lineRule="auto"/>
        <w:rPr>
          <w:rFonts w:ascii="仿宋" w:hAnsi="仿宋" w:eastAsia="仿宋"/>
          <w:b/>
          <w:bCs/>
          <w:color w:val="auto"/>
          <w:highlight w:val="none"/>
          <w:u w:val="single"/>
          <w:lang w:eastAsia="zh-CN"/>
        </w:rPr>
      </w:pPr>
      <w:r>
        <w:rPr>
          <w:rFonts w:hint="eastAsia" w:ascii="仿宋" w:hAnsi="仿宋" w:eastAsia="仿宋"/>
          <w:b/>
          <w:bCs/>
          <w:color w:val="auto"/>
          <w:highlight w:val="none"/>
          <w:u w:val="single"/>
          <w:lang w:eastAsia="zh-CN"/>
        </w:rPr>
        <w:t>双方协商一致，补充第22.8、22.9、</w:t>
      </w:r>
      <w:r>
        <w:rPr>
          <w:rFonts w:hint="eastAsia" w:ascii="仿宋" w:hAnsi="仿宋" w:eastAsia="仿宋"/>
          <w:b/>
          <w:bCs/>
          <w:color w:val="auto"/>
          <w:highlight w:val="none"/>
          <w:u w:val="single"/>
          <w:lang w:val="en-US" w:eastAsia="zh-CN"/>
        </w:rPr>
        <w:t>22.10</w:t>
      </w:r>
      <w:r>
        <w:rPr>
          <w:rFonts w:hint="eastAsia" w:ascii="仿宋" w:hAnsi="仿宋" w:eastAsia="仿宋"/>
          <w:b/>
          <w:bCs/>
          <w:color w:val="auto"/>
          <w:highlight w:val="none"/>
          <w:u w:val="single"/>
          <w:lang w:eastAsia="zh-CN"/>
        </w:rPr>
        <w:t>款：</w:t>
      </w:r>
    </w:p>
    <w:p w14:paraId="47D480EA">
      <w:pPr>
        <w:spacing w:line="360" w:lineRule="auto"/>
        <w:ind w:firstLine="482" w:firstLineChars="200"/>
        <w:rPr>
          <w:rFonts w:ascii="仿宋" w:hAnsi="仿宋" w:eastAsia="仿宋"/>
          <w:b/>
          <w:bCs/>
          <w:color w:val="auto"/>
          <w:highlight w:val="none"/>
          <w:u w:val="single"/>
          <w:lang w:eastAsia="zh-CN"/>
        </w:rPr>
      </w:pPr>
      <w:r>
        <w:rPr>
          <w:rFonts w:hint="eastAsia" w:ascii="仿宋" w:hAnsi="仿宋" w:eastAsia="仿宋"/>
          <w:b/>
          <w:bCs/>
          <w:color w:val="auto"/>
          <w:highlight w:val="none"/>
          <w:u w:val="single"/>
          <w:lang w:eastAsia="zh-CN"/>
        </w:rPr>
        <w:t>22.8发包人保留下列权利：</w:t>
      </w:r>
    </w:p>
    <w:p w14:paraId="03C1CD2C">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1）对本合同工程的设计标准、设计内容进行调整的权利，承包人不得拒绝或另行收</w:t>
      </w:r>
      <w:r>
        <w:rPr>
          <w:rFonts w:hint="eastAsia" w:ascii="仿宋" w:hAnsi="仿宋" w:eastAsia="仿宋"/>
          <w:color w:val="auto"/>
          <w:highlight w:val="none"/>
          <w:u w:val="single"/>
          <w:lang w:eastAsia="zh-CN"/>
        </w:rPr>
        <w:t>取设计</w:t>
      </w:r>
      <w:r>
        <w:rPr>
          <w:rFonts w:ascii="仿宋" w:hAnsi="仿宋" w:eastAsia="仿宋"/>
          <w:color w:val="auto"/>
          <w:highlight w:val="none"/>
          <w:u w:val="single"/>
          <w:lang w:eastAsia="zh-CN"/>
        </w:rPr>
        <w:t>费，招标文件及本合同另有规定的除外。</w:t>
      </w:r>
    </w:p>
    <w:p w14:paraId="0A1CB2D6">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2）享有承包人设计文件的</w:t>
      </w:r>
      <w:r>
        <w:rPr>
          <w:rFonts w:hint="eastAsia" w:ascii="仿宋" w:hAnsi="仿宋" w:eastAsia="仿宋"/>
          <w:color w:val="auto"/>
          <w:highlight w:val="none"/>
          <w:u w:val="single"/>
          <w:lang w:eastAsia="zh-CN"/>
        </w:rPr>
        <w:t>知识产权</w:t>
      </w:r>
      <w:r>
        <w:rPr>
          <w:rFonts w:ascii="仿宋" w:hAnsi="仿宋" w:eastAsia="仿宋"/>
          <w:color w:val="auto"/>
          <w:highlight w:val="none"/>
          <w:u w:val="single"/>
          <w:lang w:eastAsia="zh-CN"/>
        </w:rPr>
        <w:t>和全部使用权。</w:t>
      </w:r>
      <w:r>
        <w:rPr>
          <w:rFonts w:hint="eastAsia" w:ascii="仿宋" w:hAnsi="仿宋" w:eastAsia="仿宋"/>
          <w:color w:val="auto"/>
          <w:highlight w:val="none"/>
          <w:u w:val="single"/>
          <w:lang w:eastAsia="zh-CN"/>
        </w:rPr>
        <w:t>双方均应保护对方的知识产权，未经对方同意，任何一方均不得对对方的资料及文件擅自修改、复制或向第三人转让或用于本合同项目外的项目。如发生以上的情况，泄密方承担一切由此引起的后果并承担赔偿责任。本条的约定不因本合同的无效而免除。本合同项下的资料的知识产权、素材及成果等均归属发包人所有。承包人承诺，在为发包人提供服务时，不得使用任何属于他人的技术秘密和商业秘密，亦不得实施可能侵犯他人知识产权等权益的行为。若发包人因承包人的上述行为而提供的成果等进行了确认、同意、接收，承包人不得以此为由要求发包人承担任何责任，一切后果均由承包人承担。给发包人造成损失的，有权向承包人追偿。</w:t>
      </w:r>
    </w:p>
    <w:p w14:paraId="277B6A52">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3）承包人在</w:t>
      </w:r>
      <w:r>
        <w:rPr>
          <w:rFonts w:hint="eastAsia" w:ascii="仿宋" w:hAnsi="仿宋" w:eastAsia="仿宋"/>
          <w:color w:val="auto"/>
          <w:highlight w:val="none"/>
          <w:u w:val="single"/>
          <w:lang w:eastAsia="zh-CN"/>
        </w:rPr>
        <w:t>勘察</w:t>
      </w:r>
      <w:r>
        <w:rPr>
          <w:rFonts w:ascii="仿宋" w:hAnsi="仿宋" w:eastAsia="仿宋"/>
          <w:color w:val="auto"/>
          <w:highlight w:val="none"/>
          <w:u w:val="single"/>
          <w:lang w:eastAsia="zh-CN"/>
        </w:rPr>
        <w:t>设计-施工进度、</w:t>
      </w:r>
      <w:r>
        <w:rPr>
          <w:rFonts w:hint="eastAsia" w:ascii="仿宋" w:hAnsi="仿宋" w:eastAsia="仿宋"/>
          <w:color w:val="auto"/>
          <w:highlight w:val="none"/>
          <w:u w:val="single"/>
          <w:lang w:eastAsia="zh-CN"/>
        </w:rPr>
        <w:t>勘察</w:t>
      </w:r>
      <w:r>
        <w:rPr>
          <w:rFonts w:ascii="仿宋" w:hAnsi="仿宋" w:eastAsia="仿宋"/>
          <w:color w:val="auto"/>
          <w:highlight w:val="none"/>
          <w:u w:val="single"/>
          <w:lang w:eastAsia="zh-CN"/>
        </w:rPr>
        <w:t>设计-施工质量、指派人员、提供服务、协作等方面义务的履行不符合本合同约定时，发包人有追究违约责任、要求赔偿损失直至解除合同等权利；同时，</w:t>
      </w:r>
      <w:r>
        <w:rPr>
          <w:rFonts w:ascii="仿宋" w:hAnsi="仿宋" w:eastAsia="仿宋"/>
          <w:b/>
          <w:bCs/>
          <w:color w:val="auto"/>
          <w:highlight w:val="none"/>
          <w:u w:val="single"/>
          <w:lang w:eastAsia="zh-CN"/>
        </w:rPr>
        <w:t>发包人还有权将承包人存在的上述违约事实公诸于众和向有关部门反映情况的权利</w:t>
      </w:r>
      <w:r>
        <w:rPr>
          <w:rFonts w:ascii="仿宋" w:hAnsi="仿宋" w:eastAsia="仿宋"/>
          <w:color w:val="auto"/>
          <w:highlight w:val="none"/>
          <w:u w:val="single"/>
          <w:lang w:eastAsia="zh-CN"/>
        </w:rPr>
        <w:t>。</w:t>
      </w:r>
    </w:p>
    <w:p w14:paraId="3E954B06">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4）发包人有权按国家相关规定聘请施工图设计审查单位，承包人应接受该施工图审查单位按照相关法律、法规和发包人赋予的权利所进行的施工图审查工作。</w:t>
      </w:r>
    </w:p>
    <w:p w14:paraId="4681DB21">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5）对用于本合同工程的材料设备的品质、质量提交质量监督检验机构</w:t>
      </w:r>
      <w:r>
        <w:rPr>
          <w:rFonts w:hint="eastAsia" w:ascii="仿宋" w:hAnsi="仿宋" w:eastAsia="仿宋" w:cs="宋体"/>
          <w:bCs/>
          <w:snapToGrid w:val="0"/>
          <w:color w:val="auto"/>
          <w:highlight w:val="none"/>
          <w:u w:val="single"/>
          <w:lang w:eastAsia="zh-CN"/>
        </w:rPr>
        <w:t>（包括本合同约定的质量监督检验机构和法律法规规定的质量监督检验机构）</w:t>
      </w:r>
      <w:r>
        <w:rPr>
          <w:rFonts w:ascii="仿宋" w:hAnsi="仿宋" w:eastAsia="仿宋"/>
          <w:color w:val="auto"/>
          <w:highlight w:val="none"/>
          <w:u w:val="single"/>
          <w:lang w:eastAsia="zh-CN"/>
        </w:rPr>
        <w:t>审查确认的权利。</w:t>
      </w:r>
    </w:p>
    <w:p w14:paraId="3F3C24C8">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6）依据合同的约定对合同承包范围及内容进行调整（包括增加或减少部分工程），并保留对主要材料设备的分类及</w:t>
      </w:r>
      <w:r>
        <w:rPr>
          <w:rFonts w:hint="eastAsia" w:ascii="仿宋" w:hAnsi="仿宋" w:eastAsia="仿宋"/>
          <w:color w:val="auto"/>
          <w:highlight w:val="none"/>
          <w:u w:val="single"/>
          <w:lang w:eastAsia="zh-CN"/>
        </w:rPr>
        <w:t>集中采购</w:t>
      </w:r>
      <w:r>
        <w:rPr>
          <w:rFonts w:ascii="仿宋" w:hAnsi="仿宋" w:eastAsia="仿宋"/>
          <w:color w:val="auto"/>
          <w:highlight w:val="none"/>
          <w:u w:val="single"/>
          <w:lang w:eastAsia="zh-CN"/>
        </w:rPr>
        <w:t>进行调整的权利，承包人不得拒绝或要求</w:t>
      </w:r>
      <w:r>
        <w:rPr>
          <w:rFonts w:hint="eastAsia" w:ascii="仿宋" w:hAnsi="仿宋" w:eastAsia="仿宋"/>
          <w:color w:val="auto"/>
          <w:highlight w:val="none"/>
          <w:u w:val="single"/>
          <w:lang w:eastAsia="zh-CN"/>
        </w:rPr>
        <w:t>增加费用</w:t>
      </w:r>
      <w:r>
        <w:rPr>
          <w:rFonts w:ascii="仿宋" w:hAnsi="仿宋" w:eastAsia="仿宋"/>
          <w:color w:val="auto"/>
          <w:highlight w:val="none"/>
          <w:u w:val="single"/>
          <w:lang w:eastAsia="zh-CN"/>
        </w:rPr>
        <w:t>，招标文件及本合同另有规定的除外。</w:t>
      </w:r>
    </w:p>
    <w:p w14:paraId="67D74DE1">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7）发包人有权对项目的全过程进行审计或审计调查，并提出审计意见和建议；承包人应</w:t>
      </w:r>
      <w:r>
        <w:rPr>
          <w:rFonts w:hint="eastAsia" w:ascii="仿宋" w:hAnsi="仿宋" w:eastAsia="仿宋"/>
          <w:color w:val="auto"/>
          <w:highlight w:val="none"/>
          <w:u w:val="single"/>
          <w:lang w:eastAsia="zh-CN"/>
        </w:rPr>
        <w:t>无条件</w:t>
      </w:r>
      <w:r>
        <w:rPr>
          <w:rFonts w:ascii="仿宋" w:hAnsi="仿宋" w:eastAsia="仿宋"/>
          <w:color w:val="auto"/>
          <w:highlight w:val="none"/>
          <w:u w:val="single"/>
          <w:lang w:eastAsia="zh-CN"/>
        </w:rPr>
        <w:t>配合并根据意见和建议作出相应的调整。</w:t>
      </w:r>
    </w:p>
    <w:p w14:paraId="7C4DB167">
      <w:pPr>
        <w:spacing w:line="360" w:lineRule="auto"/>
        <w:ind w:firstLine="569" w:firstLineChars="236"/>
        <w:rPr>
          <w:rFonts w:ascii="仿宋" w:hAnsi="仿宋" w:eastAsia="仿宋"/>
          <w:b/>
          <w:bCs/>
          <w:color w:val="auto"/>
          <w:highlight w:val="none"/>
          <w:u w:val="single"/>
          <w:lang w:eastAsia="zh-CN"/>
        </w:rPr>
      </w:pPr>
      <w:bookmarkStart w:id="1473" w:name="_Toc104979608"/>
      <w:r>
        <w:rPr>
          <w:rFonts w:ascii="仿宋" w:hAnsi="仿宋" w:eastAsia="仿宋"/>
          <w:b/>
          <w:bCs/>
          <w:color w:val="auto"/>
          <w:highlight w:val="none"/>
          <w:u w:val="single"/>
          <w:lang w:eastAsia="zh-CN"/>
        </w:rPr>
        <w:t>22.9</w:t>
      </w:r>
      <w:r>
        <w:rPr>
          <w:rFonts w:hint="eastAsia" w:ascii="仿宋" w:hAnsi="仿宋" w:eastAsia="仿宋"/>
          <w:b/>
          <w:bCs/>
          <w:color w:val="auto"/>
          <w:highlight w:val="none"/>
          <w:u w:val="single"/>
          <w:lang w:eastAsia="zh-CN"/>
        </w:rPr>
        <w:t xml:space="preserve"> 安全考评、质量管理考核、</w:t>
      </w:r>
      <w:r>
        <w:rPr>
          <w:rFonts w:ascii="仿宋" w:hAnsi="仿宋" w:eastAsia="仿宋"/>
          <w:b/>
          <w:bCs/>
          <w:color w:val="auto"/>
          <w:highlight w:val="none"/>
          <w:u w:val="single"/>
          <w:lang w:eastAsia="zh-CN"/>
        </w:rPr>
        <w:t>综合考评</w:t>
      </w:r>
      <w:bookmarkEnd w:id="1473"/>
    </w:p>
    <w:p w14:paraId="15F13ADA">
      <w:pPr>
        <w:autoSpaceDE w:val="0"/>
        <w:autoSpaceDN w:val="0"/>
        <w:spacing w:line="360" w:lineRule="auto"/>
        <w:ind w:firstLine="569" w:firstLineChars="236"/>
        <w:rPr>
          <w:rFonts w:hint="eastAsia" w:ascii="仿宋" w:hAnsi="仿宋" w:eastAsia="仿宋" w:cs="宋体"/>
          <w:b/>
          <w:bCs/>
          <w:snapToGrid w:val="0"/>
          <w:color w:val="auto"/>
          <w:highlight w:val="none"/>
          <w:lang w:eastAsia="zh-CN"/>
        </w:rPr>
      </w:pPr>
      <w:r>
        <w:rPr>
          <w:rFonts w:hint="eastAsia" w:ascii="仿宋" w:hAnsi="仿宋" w:eastAsia="仿宋" w:cs="宋体"/>
          <w:b/>
          <w:bCs/>
          <w:snapToGrid w:val="0"/>
          <w:color w:val="auto"/>
          <w:highlight w:val="none"/>
          <w:lang w:eastAsia="zh-CN"/>
        </w:rPr>
        <w:t>鉴于本工程的重要性，为确保本合同工程安全、质量及综合管理水平，发包人将对参与本合同项目建设的勘察、设计、施工等单位进行安全、质量、综合考评，</w:t>
      </w:r>
      <w:r>
        <w:rPr>
          <w:rFonts w:hint="eastAsia" w:ascii="仿宋" w:hAnsi="仿宋" w:eastAsia="仿宋" w:cs="宋体"/>
          <w:b/>
          <w:bCs/>
          <w:snapToGrid w:val="0"/>
          <w:color w:val="auto"/>
          <w:highlight w:val="none"/>
          <w:lang w:val="en-US" w:eastAsia="zh-CN"/>
        </w:rPr>
        <w:t>考核标准包括但不限于发包人发布的考核标准，及广州市城中村改造建设指挥部办公室印发的《广州市城中村改造项目改造主体工作评估实施细则（试行）》等文件，</w:t>
      </w:r>
      <w:r>
        <w:rPr>
          <w:rFonts w:hint="eastAsia" w:ascii="仿宋" w:hAnsi="仿宋" w:eastAsia="仿宋" w:cs="宋体"/>
          <w:b/>
          <w:bCs/>
          <w:snapToGrid w:val="0"/>
          <w:color w:val="auto"/>
          <w:highlight w:val="none"/>
          <w:lang w:eastAsia="zh-CN"/>
        </w:rPr>
        <w:t>并根据考评的结果按照相关规定执行。如承包人未能达到上述《实施细则》“优秀”的评估标准，造成发包人未能按“优秀”档次足额获批年度综合建设管理费的，造成发包人的管理费损失在承包人工程款中进行扣减。承包人除承担发包人的管理费损失外，发包人有权按严重违约的相关约定进行处罚。如承包人经处罚后仍不改进的，发包人有权按合同根本违约责任的相关约定，追究承包人责任。因政策及技术等因素，造成项目实际已无法达到优秀的评估标准，经承包人论证，并报发包人及行业专</w:t>
      </w:r>
      <w:r>
        <w:rPr>
          <w:rFonts w:hint="eastAsia" w:ascii="仿宋" w:hAnsi="仿宋" w:eastAsia="仿宋" w:cs="宋体"/>
          <w:b/>
          <w:bCs/>
          <w:snapToGrid w:val="0"/>
          <w:color w:val="auto"/>
          <w:highlight w:val="none"/>
          <w:lang w:val="en-US" w:eastAsia="zh-CN"/>
        </w:rPr>
        <w:t>家</w:t>
      </w:r>
      <w:r>
        <w:rPr>
          <w:rFonts w:hint="eastAsia" w:ascii="仿宋" w:hAnsi="仿宋" w:eastAsia="仿宋" w:cs="宋体"/>
          <w:b/>
          <w:bCs/>
          <w:snapToGrid w:val="0"/>
          <w:color w:val="auto"/>
          <w:highlight w:val="none"/>
          <w:lang w:eastAsia="zh-CN"/>
        </w:rPr>
        <w:t>充分研判确认后可免除相关责任。若确实无法达到《实施细则》所规定的优秀评估标准，则核减对应的项目设计限额。</w:t>
      </w:r>
    </w:p>
    <w:p w14:paraId="40106EA2">
      <w:pPr>
        <w:autoSpaceDE w:val="0"/>
        <w:autoSpaceDN w:val="0"/>
        <w:spacing w:line="360" w:lineRule="auto"/>
        <w:ind w:firstLine="569" w:firstLineChars="236"/>
        <w:rPr>
          <w:rFonts w:hint="eastAsia" w:ascii="仿宋" w:hAnsi="仿宋" w:eastAsia="仿宋" w:cs="宋体"/>
          <w:b/>
          <w:bCs/>
          <w:snapToGrid w:val="0"/>
          <w:color w:val="auto"/>
          <w:highlight w:val="none"/>
          <w:lang w:val="en-US" w:eastAsia="zh-CN"/>
        </w:rPr>
      </w:pPr>
      <w:r>
        <w:rPr>
          <w:rFonts w:hint="eastAsia" w:ascii="仿宋" w:hAnsi="仿宋" w:eastAsia="仿宋" w:cs="宋体"/>
          <w:b/>
          <w:bCs/>
          <w:snapToGrid w:val="0"/>
          <w:color w:val="auto"/>
          <w:highlight w:val="none"/>
          <w:lang w:val="en-US" w:eastAsia="zh-CN"/>
        </w:rPr>
        <w:t>22.10 勘察设计单位履约考核</w:t>
      </w:r>
      <w:r>
        <w:rPr>
          <w:rFonts w:hint="eastAsia" w:ascii="仿宋" w:hAnsi="仿宋" w:eastAsia="仿宋" w:cs="宋体"/>
          <w:b/>
          <w:bCs/>
          <w:snapToGrid w:val="0"/>
          <w:color w:val="auto"/>
          <w:highlight w:val="none"/>
          <w:lang w:eastAsia="zh-CN"/>
        </w:rPr>
        <w:t>办法</w:t>
      </w:r>
    </w:p>
    <w:p w14:paraId="0504F040">
      <w:pPr>
        <w:autoSpaceDE w:val="0"/>
        <w:autoSpaceDN w:val="0"/>
        <w:spacing w:line="360" w:lineRule="auto"/>
        <w:ind w:firstLine="569" w:firstLineChars="236"/>
        <w:rPr>
          <w:rFonts w:hint="default" w:ascii="仿宋" w:hAnsi="仿宋" w:eastAsia="仿宋" w:cs="宋体"/>
          <w:b/>
          <w:bCs/>
          <w:snapToGrid w:val="0"/>
          <w:color w:val="auto"/>
          <w:highlight w:val="none"/>
          <w:lang w:val="en-US" w:eastAsia="zh"/>
        </w:rPr>
      </w:pPr>
      <w:r>
        <w:rPr>
          <w:rFonts w:hint="default" w:ascii="仿宋" w:hAnsi="仿宋" w:eastAsia="仿宋" w:cs="宋体"/>
          <w:b/>
          <w:bCs/>
          <w:snapToGrid w:val="0"/>
          <w:color w:val="auto"/>
          <w:highlight w:val="none"/>
          <w:lang w:val="en-US" w:eastAsia="zh"/>
        </w:rPr>
        <w:t>为加强对勘察设计单位的管控，确保勘察设计各阶段成果质量、设计进度能满足总体计划要求，增加勘察设计单位的服务水平，从勘察设计团队、勘察设计要求、勘察设计进度管理、勘察设计质量管理、勘察设计成本管理、勘察设计服务等方面对勘察设计单位进行考核，制定本办法</w:t>
      </w:r>
      <w:r>
        <w:rPr>
          <w:rFonts w:hint="eastAsia" w:ascii="仿宋" w:hAnsi="仿宋" w:eastAsia="仿宋" w:cs="宋体"/>
          <w:b/>
          <w:bCs/>
          <w:snapToGrid w:val="0"/>
          <w:color w:val="auto"/>
          <w:highlight w:val="none"/>
          <w:lang w:val="en-US" w:eastAsia="zh-CN"/>
        </w:rPr>
        <w:t>，具体条例详见《勘察设计任务书》</w:t>
      </w:r>
      <w:r>
        <w:rPr>
          <w:rFonts w:hint="default" w:ascii="仿宋" w:hAnsi="仿宋" w:eastAsia="仿宋" w:cs="宋体"/>
          <w:b/>
          <w:bCs/>
          <w:snapToGrid w:val="0"/>
          <w:color w:val="auto"/>
          <w:highlight w:val="none"/>
          <w:lang w:val="en-US" w:eastAsia="zh"/>
        </w:rPr>
        <w:t>。</w:t>
      </w:r>
    </w:p>
    <w:p w14:paraId="183DC6D6">
      <w:pPr>
        <w:autoSpaceDE w:val="0"/>
        <w:autoSpaceDN w:val="0"/>
        <w:spacing w:line="360" w:lineRule="auto"/>
        <w:ind w:firstLine="569" w:firstLineChars="236"/>
        <w:rPr>
          <w:rFonts w:hint="eastAsia" w:ascii="仿宋" w:hAnsi="仿宋" w:eastAsia="仿宋" w:cs="宋体"/>
          <w:b/>
          <w:bCs/>
          <w:snapToGrid w:val="0"/>
          <w:color w:val="auto"/>
          <w:highlight w:val="none"/>
          <w:lang w:val="en-US" w:eastAsia="zh-CN"/>
        </w:rPr>
      </w:pPr>
      <w:r>
        <w:rPr>
          <w:rFonts w:hint="default" w:ascii="仿宋" w:hAnsi="仿宋" w:eastAsia="仿宋" w:cs="宋体"/>
          <w:b/>
          <w:bCs/>
          <w:snapToGrid w:val="0"/>
          <w:color w:val="auto"/>
          <w:highlight w:val="none"/>
          <w:lang w:val="en-US" w:eastAsia="zh"/>
        </w:rPr>
        <w:t>勘察设计单位应重视《勘察单位履约考核表》和《设计单位履约考核表》所列条款内容并予以配合。《勘察单位履约考核表》和《设计单位履约考核表》对勘察</w:t>
      </w:r>
      <w:r>
        <w:rPr>
          <w:rFonts w:hint="eastAsia" w:ascii="仿宋" w:hAnsi="仿宋" w:eastAsia="仿宋" w:cs="宋体"/>
          <w:b/>
          <w:bCs/>
          <w:snapToGrid w:val="0"/>
          <w:color w:val="auto"/>
          <w:highlight w:val="none"/>
          <w:lang w:val="en-US" w:eastAsia="zh-CN"/>
        </w:rPr>
        <w:t>、</w:t>
      </w:r>
      <w:r>
        <w:rPr>
          <w:rFonts w:hint="default" w:ascii="仿宋" w:hAnsi="仿宋" w:eastAsia="仿宋" w:cs="宋体"/>
          <w:b/>
          <w:bCs/>
          <w:snapToGrid w:val="0"/>
          <w:color w:val="auto"/>
          <w:highlight w:val="none"/>
          <w:lang w:val="en-US" w:eastAsia="zh"/>
        </w:rPr>
        <w:t>设计单位考核评分</w:t>
      </w:r>
      <w:r>
        <w:rPr>
          <w:rFonts w:hint="eastAsia" w:ascii="仿宋" w:hAnsi="仿宋" w:eastAsia="仿宋" w:cs="宋体"/>
          <w:b/>
          <w:bCs/>
          <w:snapToGrid w:val="0"/>
          <w:color w:val="auto"/>
          <w:highlight w:val="none"/>
          <w:lang w:val="en-US" w:eastAsia="zh-CN"/>
        </w:rPr>
        <w:t>，根据考核结果，进行相应的处罚。</w:t>
      </w:r>
    </w:p>
    <w:p w14:paraId="1DC6E829">
      <w:pPr>
        <w:autoSpaceDE w:val="0"/>
        <w:autoSpaceDN w:val="0"/>
        <w:spacing w:line="360" w:lineRule="auto"/>
        <w:ind w:firstLine="569" w:firstLineChars="236"/>
        <w:rPr>
          <w:rFonts w:hint="eastAsia" w:ascii="仿宋" w:hAnsi="仿宋" w:eastAsia="仿宋" w:cs="宋体"/>
          <w:b/>
          <w:bCs/>
          <w:snapToGrid w:val="0"/>
          <w:color w:val="auto"/>
          <w:highlight w:val="none"/>
          <w:lang w:val="en-US" w:eastAsia="zh-CN"/>
        </w:rPr>
      </w:pPr>
      <w:r>
        <w:rPr>
          <w:rFonts w:hint="eastAsia" w:ascii="仿宋" w:hAnsi="仿宋" w:eastAsia="仿宋" w:cs="宋体"/>
          <w:b/>
          <w:bCs/>
          <w:snapToGrid w:val="0"/>
          <w:color w:val="auto"/>
          <w:highlight w:val="none"/>
          <w:lang w:val="en-US" w:eastAsia="zh-CN"/>
        </w:rPr>
        <w:t>根据考核办法，甲方向乙方每下发一份项目监管函，则扣罚对应勘察、设计单位合同价款5000元；每下发一份约谈法人通知书，则扣罚对应单位合同价款10000元。若出现违反合同约定的情况，则执行违约条款。</w:t>
      </w:r>
    </w:p>
    <w:p w14:paraId="190D99D3">
      <w:pPr>
        <w:pStyle w:val="3"/>
        <w:tabs>
          <w:tab w:val="left" w:pos="420"/>
        </w:tabs>
        <w:spacing w:before="0" w:after="0" w:line="360" w:lineRule="auto"/>
        <w:ind w:firstLine="482" w:firstLineChars="200"/>
        <w:rPr>
          <w:rFonts w:hint="eastAsia" w:ascii="仿宋" w:hAnsi="仿宋" w:eastAsia="仿宋" w:cs="仿宋"/>
          <w:i w:val="0"/>
          <w:iCs w:val="0"/>
          <w:color w:val="auto"/>
          <w:sz w:val="24"/>
          <w:szCs w:val="24"/>
          <w:highlight w:val="none"/>
          <w:lang w:eastAsia="zh-CN"/>
        </w:rPr>
      </w:pPr>
      <w:bookmarkStart w:id="1474" w:name="_Toc13663"/>
      <w:bookmarkStart w:id="1475" w:name="_Toc29063"/>
      <w:bookmarkStart w:id="1476" w:name="_Toc19983"/>
      <w:bookmarkStart w:id="1477" w:name="_Toc16498"/>
      <w:bookmarkStart w:id="1478" w:name="_Toc6964"/>
      <w:bookmarkStart w:id="1479" w:name="_Toc24804"/>
      <w:bookmarkStart w:id="1480" w:name="_Toc47694398"/>
      <w:bookmarkStart w:id="1481" w:name="_Toc21754"/>
      <w:r>
        <w:rPr>
          <w:rFonts w:hint="eastAsia" w:ascii="仿宋" w:hAnsi="仿宋" w:eastAsia="仿宋" w:cs="仿宋"/>
          <w:i w:val="0"/>
          <w:iCs w:val="0"/>
          <w:color w:val="auto"/>
          <w:sz w:val="24"/>
          <w:szCs w:val="24"/>
          <w:highlight w:val="none"/>
          <w:lang w:eastAsia="zh-CN"/>
        </w:rPr>
        <w:t>23.  承包人</w:t>
      </w:r>
      <w:bookmarkEnd w:id="1474"/>
      <w:bookmarkEnd w:id="1475"/>
      <w:bookmarkEnd w:id="1476"/>
      <w:bookmarkEnd w:id="1477"/>
      <w:bookmarkEnd w:id="1478"/>
      <w:bookmarkEnd w:id="1479"/>
      <w:bookmarkEnd w:id="1480"/>
      <w:bookmarkEnd w:id="1481"/>
    </w:p>
    <w:p w14:paraId="7F84A7D0">
      <w:pPr>
        <w:spacing w:line="360" w:lineRule="auto"/>
        <w:ind w:firstLine="480" w:firstLineChars="200"/>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23.1 遵守法律</w:t>
      </w:r>
    </w:p>
    <w:p w14:paraId="64F87F83">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承包人在本项目中存在通用条款23.1所列行为的，将被拒绝参与发包人后续工程投标。拒绝投标时限：</w:t>
      </w:r>
    </w:p>
    <w:p w14:paraId="2E6F2956">
      <w:pPr>
        <w:spacing w:line="360" w:lineRule="auto"/>
        <w:ind w:firstLine="240" w:firstLineChars="1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（1）</w:t>
      </w:r>
      <w:r>
        <w:rPr>
          <w:rFonts w:hint="eastAsia" w:ascii="仿宋" w:hAnsi="仿宋" w:eastAsia="仿宋"/>
          <w:color w:val="auto"/>
          <w:highlight w:val="none"/>
          <w:u w:val="single"/>
          <w:lang w:eastAsia="zh-CN"/>
        </w:rPr>
        <w:t>经相关行政管理部门认定为一般安全生产责任事故，造成1～2人死亡的，承包人在1年内将被拒绝参与发包人后续工程投标。</w:t>
      </w:r>
    </w:p>
    <w:p w14:paraId="77055C3B">
      <w:pPr>
        <w:spacing w:line="360" w:lineRule="auto"/>
        <w:ind w:firstLine="240" w:firstLineChars="1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（2）</w:t>
      </w:r>
      <w:r>
        <w:rPr>
          <w:rFonts w:hint="eastAsia" w:ascii="仿宋" w:hAnsi="仿宋" w:eastAsia="仿宋"/>
          <w:color w:val="auto"/>
          <w:highlight w:val="none"/>
          <w:u w:val="single"/>
          <w:lang w:eastAsia="zh-CN"/>
        </w:rPr>
        <w:t>经相关行政管理部门认定为较大及以上安全生产责任事故，造成3人及以上死亡的，承包人在3年内将被拒绝参与发包人后续工程投标。</w:t>
      </w:r>
    </w:p>
    <w:p w14:paraId="4E3B5E53">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w:t>
      </w:r>
      <w:r>
        <w:rPr>
          <w:rFonts w:hint="eastAsia" w:ascii="仿宋" w:hAnsi="仿宋" w:eastAsia="仿宋"/>
          <w:color w:val="auto"/>
          <w:highlight w:val="none"/>
          <w:u w:val="single"/>
          <w:lang w:eastAsia="zh-CN"/>
        </w:rPr>
        <w:t>因受到行政处罚、发生工程质量事故、串通投标、弄虚作假骗取中标、不正当竞争、违法分包转包、恶意拖欠分包单位工程款、拖欠或克扣工人工资引起群体群发事件等被广州市住房和城乡建设局纳入“黑名单”的，记一次严重违约行为。</w:t>
      </w:r>
    </w:p>
    <w:p w14:paraId="56C577F3">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23.2 承包人工作</w:t>
      </w:r>
    </w:p>
    <w:p w14:paraId="1434FD5D">
      <w:pPr>
        <w:spacing w:line="360" w:lineRule="auto"/>
        <w:ind w:left="240" w:leftChars="1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承包人完成下列工作的约定：</w:t>
      </w:r>
    </w:p>
    <w:p w14:paraId="1E9A42F8">
      <w:pPr>
        <w:numPr>
          <w:ilvl w:val="0"/>
          <w:numId w:val="0"/>
        </w:numPr>
        <w:spacing w:line="360" w:lineRule="auto"/>
        <w:ind w:left="0" w:leftChars="0" w:firstLine="480" w:firstLineChars="200"/>
        <w:rPr>
          <w:rFonts w:hint="eastAsia" w:ascii="仿宋" w:hAnsi="仿宋" w:eastAsia="仿宋" w:cs="Times New Roman"/>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w:t>
      </w:r>
      <w:r>
        <w:rPr>
          <w:rFonts w:hint="eastAsia" w:ascii="仿宋" w:hAnsi="仿宋" w:eastAsia="仿宋" w:cs="Times New Roman"/>
          <w:color w:val="auto"/>
          <w:highlight w:val="none"/>
          <w:u w:val="single"/>
          <w:lang w:eastAsia="zh-CN"/>
        </w:rPr>
        <w:t>除法律另有规定外，由承包人办理的许可、批准或备案：见协议书第二条。</w:t>
      </w:r>
    </w:p>
    <w:p w14:paraId="3BE27312">
      <w:pPr>
        <w:spacing w:line="360" w:lineRule="auto"/>
        <w:ind w:left="0" w:leftChars="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）提交支付申请和工程款额报告期限</w:t>
      </w:r>
    </w:p>
    <w:p w14:paraId="12D2FD2D">
      <w:pPr>
        <w:spacing w:line="360" w:lineRule="auto"/>
        <w:ind w:left="240" w:leftChars="100"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按通用条款第80.2款、第81.1款、第83.1款等约定期限提交。</w:t>
      </w:r>
    </w:p>
    <w:p w14:paraId="228876EC">
      <w:pPr>
        <w:spacing w:line="360" w:lineRule="auto"/>
        <w:ind w:left="240" w:leftChars="100"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ascii="仿宋" w:hAnsi="仿宋" w:eastAsia="仿宋"/>
          <w:color w:val="auto"/>
          <w:spacing w:val="4"/>
          <w:highlight w:val="none"/>
          <w:u w:val="single"/>
          <w:lang w:eastAsia="zh-CN"/>
        </w:rPr>
        <w:t>承包人应得的各类款项（如预付款、</w:t>
      </w:r>
      <w:r>
        <w:rPr>
          <w:rFonts w:hint="eastAsia" w:ascii="仿宋" w:hAnsi="仿宋" w:eastAsia="仿宋"/>
          <w:color w:val="auto"/>
          <w:spacing w:val="4"/>
          <w:highlight w:val="none"/>
          <w:u w:val="single"/>
          <w:lang w:eastAsia="zh-CN"/>
        </w:rPr>
        <w:t>绿色施工安全防护措施费</w:t>
      </w:r>
      <w:r>
        <w:rPr>
          <w:rFonts w:ascii="仿宋" w:hAnsi="仿宋" w:eastAsia="仿宋"/>
          <w:color w:val="auto"/>
          <w:spacing w:val="4"/>
          <w:highlight w:val="none"/>
          <w:u w:val="single"/>
          <w:lang w:eastAsia="zh-CN"/>
        </w:rPr>
        <w:t>、进度款、结算款、增加价款等）在工程达到合同专用条款</w:t>
      </w:r>
      <w:r>
        <w:rPr>
          <w:rFonts w:ascii="仿宋" w:hAnsi="仿宋" w:eastAsia="仿宋"/>
          <w:color w:val="auto"/>
          <w:highlight w:val="none"/>
          <w:u w:val="single"/>
          <w:lang w:eastAsia="zh-CN"/>
        </w:rPr>
        <w:t>第</w:t>
      </w:r>
      <w:r>
        <w:rPr>
          <w:rFonts w:hint="eastAsia" w:ascii="仿宋" w:hAnsi="仿宋" w:eastAsia="仿宋"/>
          <w:color w:val="auto"/>
          <w:highlight w:val="none"/>
          <w:u w:val="single"/>
          <w:lang w:eastAsia="zh-CN"/>
        </w:rPr>
        <w:t>84.2</w:t>
      </w:r>
      <w:r>
        <w:rPr>
          <w:rFonts w:ascii="仿宋" w:hAnsi="仿宋" w:eastAsia="仿宋"/>
          <w:color w:val="auto"/>
          <w:highlight w:val="none"/>
          <w:u w:val="single"/>
          <w:lang w:eastAsia="zh-CN"/>
        </w:rPr>
        <w:t>款、第</w:t>
      </w:r>
      <w:r>
        <w:rPr>
          <w:rFonts w:hint="eastAsia" w:ascii="仿宋" w:hAnsi="仿宋" w:eastAsia="仿宋"/>
          <w:color w:val="auto"/>
          <w:highlight w:val="none"/>
          <w:u w:val="single"/>
          <w:lang w:eastAsia="zh-CN"/>
        </w:rPr>
        <w:t>85.3</w:t>
      </w:r>
      <w:r>
        <w:rPr>
          <w:rFonts w:ascii="仿宋" w:hAnsi="仿宋" w:eastAsia="仿宋"/>
          <w:color w:val="auto"/>
          <w:highlight w:val="none"/>
          <w:u w:val="single"/>
          <w:lang w:eastAsia="zh-CN"/>
        </w:rPr>
        <w:t>款、第</w:t>
      </w:r>
      <w:r>
        <w:rPr>
          <w:rFonts w:hint="eastAsia" w:ascii="仿宋" w:hAnsi="仿宋" w:eastAsia="仿宋"/>
          <w:color w:val="auto"/>
          <w:highlight w:val="none"/>
          <w:u w:val="single"/>
          <w:lang w:eastAsia="zh-CN"/>
        </w:rPr>
        <w:t>86.1</w:t>
      </w:r>
      <w:r>
        <w:rPr>
          <w:rFonts w:ascii="仿宋" w:hAnsi="仿宋" w:eastAsia="仿宋"/>
          <w:color w:val="auto"/>
          <w:highlight w:val="none"/>
          <w:u w:val="single"/>
          <w:lang w:eastAsia="zh-CN"/>
        </w:rPr>
        <w:t>款</w:t>
      </w:r>
      <w:r>
        <w:rPr>
          <w:rFonts w:hint="eastAsia" w:ascii="仿宋" w:hAnsi="仿宋" w:eastAsia="仿宋"/>
          <w:color w:val="auto"/>
          <w:highlight w:val="none"/>
          <w:u w:val="single"/>
          <w:lang w:eastAsia="zh-CN"/>
        </w:rPr>
        <w:t>、第87.1款</w:t>
      </w:r>
      <w:r>
        <w:rPr>
          <w:rFonts w:ascii="仿宋" w:hAnsi="仿宋" w:eastAsia="仿宋"/>
          <w:color w:val="auto"/>
          <w:spacing w:val="4"/>
          <w:highlight w:val="none"/>
          <w:u w:val="single"/>
          <w:lang w:eastAsia="zh-CN"/>
        </w:rPr>
        <w:t>约定的付款条件，承包人在7天内提出书面付款申请且监理工程师审查确认并报发包人。</w:t>
      </w:r>
      <w:r>
        <w:rPr>
          <w:rFonts w:hint="eastAsia" w:ascii="仿宋" w:hAnsi="仿宋" w:eastAsia="仿宋" w:cs="仿宋"/>
          <w:color w:val="auto"/>
          <w:highlight w:val="none"/>
          <w:u w:val="single"/>
          <w:lang w:eastAsia="zh-CN"/>
        </w:rPr>
        <w:t xml:space="preserve">   </w:t>
      </w:r>
    </w:p>
    <w:p w14:paraId="604FC8CF">
      <w:pPr>
        <w:spacing w:line="360" w:lineRule="auto"/>
        <w:ind w:left="199" w:leftChars="83" w:firstLine="240" w:firstLineChars="1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（9）向发包人提供施工场地办公和生活的房屋及设施的数量和时间等要求：</w:t>
      </w:r>
    </w:p>
    <w:p w14:paraId="4DBA1D4C">
      <w:pPr>
        <w:spacing w:line="360" w:lineRule="auto"/>
        <w:ind w:left="199" w:leftChars="83"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为发包人、建设管理单位、监理单位、全过程咨询等单位提供办公、生活和通讯交通设施，并负责上述设施至本合同项下工程全部完工之前的维护、办公及生活区围蔽、公共区域的安全、文明工作及保洁管理，所需费用已在该承包人中标合同价其中合价包干的措施项目费中综合考虑。包括但不限于包括以下设施、设备（下表），</w:t>
      </w:r>
      <w:r>
        <w:rPr>
          <w:rFonts w:hint="eastAsia" w:ascii="仿宋" w:hAnsi="仿宋" w:eastAsia="仿宋" w:cs="仿宋"/>
          <w:color w:val="auto"/>
          <w:highlight w:val="none"/>
          <w:u w:val="single"/>
          <w:lang w:eastAsia="zh-CN"/>
        </w:rPr>
        <w:t>具体以发包人批准的临时设施施工方案为准。</w:t>
      </w:r>
    </w:p>
    <w:p w14:paraId="332E150F">
      <w:pPr>
        <w:spacing w:line="360" w:lineRule="auto"/>
        <w:ind w:left="199" w:leftChars="83" w:firstLine="480" w:firstLineChars="200"/>
        <w:rPr>
          <w:rFonts w:hint="eastAsia" w:ascii="仿宋" w:hAnsi="仿宋" w:eastAsia="仿宋" w:cs="仿宋"/>
          <w:color w:val="auto"/>
          <w:highlight w:val="none"/>
          <w:u w:val="single"/>
          <w:lang w:eastAsia="zh-CN"/>
        </w:rPr>
      </w:pPr>
    </w:p>
    <w:tbl>
      <w:tblPr>
        <w:tblStyle w:val="44"/>
        <w:tblpPr w:leftFromText="180" w:rightFromText="180" w:vertAnchor="text" w:horzAnchor="page" w:tblpX="1465" w:tblpY="291"/>
        <w:tblOverlap w:val="never"/>
        <w:tblW w:w="944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1"/>
        <w:gridCol w:w="1230"/>
        <w:gridCol w:w="1230"/>
        <w:gridCol w:w="2392"/>
        <w:gridCol w:w="3732"/>
      </w:tblGrid>
      <w:tr w14:paraId="261C8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6" w:hRule="atLeast"/>
        </w:trPr>
        <w:tc>
          <w:tcPr>
            <w:tcW w:w="861" w:type="dxa"/>
            <w:noWrap w:val="0"/>
            <w:vAlign w:val="center"/>
          </w:tcPr>
          <w:p w14:paraId="0FBD9758">
            <w:pPr>
              <w:spacing w:line="360" w:lineRule="auto"/>
              <w:jc w:val="center"/>
              <w:rPr>
                <w:rFonts w:ascii="仿宋" w:hAnsi="仿宋" w:eastAsia="仿宋" w:cs="仿宋"/>
                <w:b w:val="0"/>
                <w:bCs w:val="0"/>
                <w:color w:val="auto"/>
                <w:highlight w:val="none"/>
                <w:lang w:eastAsia="zh-CN"/>
              </w:rPr>
            </w:pPr>
            <w:r>
              <w:rPr>
                <w:rFonts w:hint="eastAsia" w:ascii="仿宋" w:hAnsi="仿宋" w:eastAsia="仿宋" w:cs="仿宋"/>
                <w:b w:val="0"/>
                <w:bCs w:val="0"/>
                <w:color w:val="auto"/>
                <w:highlight w:val="none"/>
                <w:lang w:eastAsia="zh-CN"/>
              </w:rPr>
              <w:t>单位</w:t>
            </w:r>
          </w:p>
        </w:tc>
        <w:tc>
          <w:tcPr>
            <w:tcW w:w="1230" w:type="dxa"/>
            <w:noWrap w:val="0"/>
            <w:vAlign w:val="center"/>
          </w:tcPr>
          <w:p w14:paraId="2F933CE4">
            <w:pPr>
              <w:spacing w:line="360" w:lineRule="auto"/>
              <w:jc w:val="center"/>
              <w:rPr>
                <w:rFonts w:ascii="仿宋" w:hAnsi="仿宋" w:eastAsia="仿宋" w:cs="仿宋"/>
                <w:b w:val="0"/>
                <w:bCs w:val="0"/>
                <w:color w:val="auto"/>
                <w:highlight w:val="none"/>
                <w:lang w:eastAsia="zh-CN"/>
              </w:rPr>
            </w:pPr>
            <w:r>
              <w:rPr>
                <w:rFonts w:hint="eastAsia" w:ascii="仿宋" w:hAnsi="仿宋" w:eastAsia="仿宋" w:cs="仿宋"/>
                <w:b w:val="0"/>
                <w:bCs w:val="0"/>
                <w:color w:val="auto"/>
                <w:highlight w:val="none"/>
                <w:lang w:eastAsia="zh-CN"/>
              </w:rPr>
              <w:t>类别</w:t>
            </w:r>
          </w:p>
        </w:tc>
        <w:tc>
          <w:tcPr>
            <w:tcW w:w="1230" w:type="dxa"/>
            <w:noWrap w:val="0"/>
            <w:vAlign w:val="center"/>
          </w:tcPr>
          <w:p w14:paraId="2DF3B32A">
            <w:pPr>
              <w:spacing w:line="360" w:lineRule="auto"/>
              <w:jc w:val="center"/>
              <w:rPr>
                <w:rFonts w:hint="eastAsia" w:ascii="仿宋" w:hAnsi="仿宋" w:eastAsia="仿宋" w:cs="仿宋"/>
                <w:b w:val="0"/>
                <w:bCs w:val="0"/>
                <w:color w:val="auto"/>
                <w:highlight w:val="none"/>
                <w:lang w:eastAsia="zh-CN"/>
              </w:rPr>
            </w:pPr>
            <w:r>
              <w:rPr>
                <w:rFonts w:hint="eastAsia" w:ascii="仿宋" w:hAnsi="仿宋" w:eastAsia="仿宋" w:cs="仿宋"/>
                <w:b w:val="0"/>
                <w:bCs w:val="0"/>
                <w:color w:val="auto"/>
                <w:highlight w:val="none"/>
                <w:lang w:eastAsia="zh-CN"/>
              </w:rPr>
              <w:t>数量</w:t>
            </w:r>
          </w:p>
        </w:tc>
        <w:tc>
          <w:tcPr>
            <w:tcW w:w="2392" w:type="dxa"/>
            <w:noWrap w:val="0"/>
            <w:vAlign w:val="center"/>
          </w:tcPr>
          <w:p w14:paraId="205639AC">
            <w:pPr>
              <w:spacing w:line="360" w:lineRule="auto"/>
              <w:jc w:val="center"/>
              <w:rPr>
                <w:rFonts w:ascii="仿宋" w:hAnsi="仿宋" w:eastAsia="仿宋" w:cs="仿宋"/>
                <w:b w:val="0"/>
                <w:bCs w:val="0"/>
                <w:color w:val="auto"/>
                <w:highlight w:val="none"/>
                <w:lang w:eastAsia="zh-CN"/>
              </w:rPr>
            </w:pPr>
            <w:r>
              <w:rPr>
                <w:rFonts w:hint="eastAsia" w:ascii="仿宋" w:hAnsi="仿宋" w:eastAsia="仿宋" w:cs="仿宋"/>
                <w:b w:val="0"/>
                <w:bCs w:val="0"/>
                <w:color w:val="auto"/>
                <w:highlight w:val="none"/>
                <w:lang w:eastAsia="zh-CN"/>
              </w:rPr>
              <w:t>面积</w:t>
            </w:r>
          </w:p>
        </w:tc>
        <w:tc>
          <w:tcPr>
            <w:tcW w:w="3732" w:type="dxa"/>
            <w:noWrap w:val="0"/>
            <w:vAlign w:val="center"/>
          </w:tcPr>
          <w:p w14:paraId="714A5A02">
            <w:pPr>
              <w:spacing w:line="360" w:lineRule="auto"/>
              <w:jc w:val="center"/>
              <w:rPr>
                <w:rFonts w:ascii="仿宋" w:hAnsi="仿宋" w:eastAsia="仿宋" w:cs="仿宋"/>
                <w:b w:val="0"/>
                <w:bCs w:val="0"/>
                <w:color w:val="auto"/>
                <w:highlight w:val="none"/>
                <w:lang w:eastAsia="zh-CN"/>
              </w:rPr>
            </w:pPr>
            <w:r>
              <w:rPr>
                <w:rFonts w:hint="eastAsia" w:ascii="仿宋" w:hAnsi="仿宋" w:eastAsia="仿宋" w:cs="仿宋"/>
                <w:b w:val="0"/>
                <w:bCs w:val="0"/>
                <w:color w:val="auto"/>
                <w:highlight w:val="none"/>
                <w:lang w:eastAsia="zh-CN"/>
              </w:rPr>
              <w:t>备注</w:t>
            </w:r>
          </w:p>
        </w:tc>
      </w:tr>
      <w:tr w14:paraId="600CC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61" w:type="dxa"/>
            <w:vMerge w:val="restart"/>
            <w:noWrap w:val="0"/>
            <w:vAlign w:val="center"/>
          </w:tcPr>
          <w:p w14:paraId="2CF88BEC">
            <w:pPr>
              <w:rPr>
                <w:rFonts w:hint="default" w:ascii="仿宋" w:hAnsi="仿宋" w:eastAsia="仿宋" w:cs="仿宋"/>
                <w:b w:val="0"/>
                <w:bCs w:val="0"/>
                <w:color w:val="auto"/>
                <w:highlight w:val="none"/>
                <w:lang w:val="en-US" w:eastAsia="zh-CN"/>
              </w:rPr>
            </w:pPr>
            <w:r>
              <w:rPr>
                <w:rFonts w:hint="eastAsia" w:ascii="仿宋" w:hAnsi="仿宋" w:eastAsia="仿宋" w:cs="仿宋"/>
                <w:b w:val="0"/>
                <w:bCs w:val="0"/>
                <w:color w:val="auto"/>
                <w:highlight w:val="none"/>
                <w:lang w:eastAsia="zh-CN"/>
              </w:rPr>
              <w:t>发包人、</w:t>
            </w:r>
            <w:r>
              <w:rPr>
                <w:rFonts w:hint="eastAsia" w:ascii="仿宋" w:hAnsi="仿宋" w:eastAsia="仿宋" w:cs="仿宋"/>
                <w:b w:val="0"/>
                <w:bCs w:val="0"/>
                <w:color w:val="auto"/>
                <w:highlight w:val="none"/>
                <w:lang w:val="en-US" w:eastAsia="zh-CN"/>
              </w:rPr>
              <w:t>建设管理单位</w:t>
            </w:r>
          </w:p>
        </w:tc>
        <w:tc>
          <w:tcPr>
            <w:tcW w:w="1230" w:type="dxa"/>
            <w:noWrap w:val="0"/>
            <w:vAlign w:val="center"/>
          </w:tcPr>
          <w:p w14:paraId="0369BC63">
            <w:pPr>
              <w:rPr>
                <w:rFonts w:ascii="仿宋" w:hAnsi="仿宋" w:eastAsia="仿宋" w:cs="仿宋"/>
                <w:color w:val="auto"/>
                <w:highlight w:val="none"/>
                <w:lang w:eastAsia="zh-CN"/>
              </w:rPr>
            </w:pPr>
            <w:r>
              <w:rPr>
                <w:rFonts w:hint="eastAsia" w:ascii="仿宋" w:hAnsi="仿宋" w:eastAsia="仿宋" w:cs="仿宋"/>
                <w:color w:val="auto"/>
                <w:highlight w:val="none"/>
                <w:lang w:eastAsia="zh-CN"/>
              </w:rPr>
              <w:t>办公室</w:t>
            </w:r>
          </w:p>
        </w:tc>
        <w:tc>
          <w:tcPr>
            <w:tcW w:w="1230" w:type="dxa"/>
            <w:noWrap w:val="0"/>
            <w:vAlign w:val="center"/>
          </w:tcPr>
          <w:p w14:paraId="5E4E6086">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4间</w:t>
            </w:r>
          </w:p>
        </w:tc>
        <w:tc>
          <w:tcPr>
            <w:tcW w:w="2392" w:type="dxa"/>
            <w:noWrap w:val="0"/>
            <w:vAlign w:val="center"/>
          </w:tcPr>
          <w:p w14:paraId="0E8BD960">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不少于</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0m</w:t>
            </w:r>
            <w:r>
              <w:rPr>
                <w:rFonts w:hint="eastAsia" w:ascii="仿宋" w:hAnsi="仿宋" w:eastAsia="仿宋" w:cs="仿宋"/>
                <w:color w:val="auto"/>
                <w:highlight w:val="none"/>
                <w:vertAlign w:val="superscript"/>
                <w:lang w:eastAsia="zh-CN"/>
              </w:rPr>
              <w:t>2</w:t>
            </w:r>
            <w:r>
              <w:rPr>
                <w:rFonts w:hint="eastAsia" w:ascii="仿宋" w:hAnsi="仿宋" w:eastAsia="仿宋" w:cs="仿宋"/>
                <w:color w:val="auto"/>
                <w:highlight w:val="none"/>
                <w:lang w:eastAsia="zh-CN"/>
              </w:rPr>
              <w:t>/间</w:t>
            </w:r>
          </w:p>
        </w:tc>
        <w:tc>
          <w:tcPr>
            <w:tcW w:w="3732" w:type="dxa"/>
            <w:noWrap w:val="0"/>
            <w:vAlign w:val="top"/>
          </w:tcPr>
          <w:p w14:paraId="299899FC">
            <w:pPr>
              <w:rPr>
                <w:rFonts w:ascii="仿宋" w:hAnsi="仿宋" w:eastAsia="仿宋" w:cs="仿宋"/>
                <w:color w:val="auto"/>
                <w:highlight w:val="none"/>
                <w:lang w:eastAsia="zh-CN"/>
              </w:rPr>
            </w:pPr>
            <w:r>
              <w:rPr>
                <w:rFonts w:hint="eastAsia" w:ascii="仿宋" w:hAnsi="仿宋" w:eastAsia="仿宋" w:cs="仿宋"/>
                <w:color w:val="auto"/>
                <w:highlight w:val="none"/>
                <w:lang w:eastAsia="zh-CN"/>
              </w:rPr>
              <w:t>空调、</w:t>
            </w:r>
            <w:r>
              <w:rPr>
                <w:rFonts w:hint="eastAsia" w:ascii="仿宋" w:hAnsi="仿宋" w:eastAsia="仿宋" w:cs="仿宋"/>
                <w:color w:val="auto"/>
                <w:highlight w:val="none"/>
                <w:lang w:val="en-US" w:eastAsia="zh-CN"/>
              </w:rPr>
              <w:t>通讯</w:t>
            </w:r>
            <w:r>
              <w:rPr>
                <w:rFonts w:hint="eastAsia" w:ascii="仿宋" w:hAnsi="仿宋" w:eastAsia="仿宋" w:cs="仿宋"/>
                <w:color w:val="auto"/>
                <w:highlight w:val="none"/>
                <w:lang w:eastAsia="zh-CN"/>
              </w:rPr>
              <w:t>、办公</w:t>
            </w:r>
            <w:r>
              <w:rPr>
                <w:rFonts w:hint="eastAsia" w:ascii="仿宋" w:hAnsi="仿宋" w:eastAsia="仿宋" w:cs="仿宋"/>
                <w:color w:val="auto"/>
                <w:highlight w:val="none"/>
                <w:lang w:val="en-US" w:eastAsia="zh-CN"/>
              </w:rPr>
              <w:t>网络、</w:t>
            </w:r>
            <w:r>
              <w:rPr>
                <w:rFonts w:hint="eastAsia" w:ascii="仿宋" w:hAnsi="仿宋" w:eastAsia="仿宋" w:cs="仿宋"/>
                <w:color w:val="auto"/>
                <w:highlight w:val="none"/>
                <w:lang w:eastAsia="zh-CN"/>
              </w:rPr>
              <w:t>桌椅及文件柜等</w:t>
            </w:r>
          </w:p>
        </w:tc>
      </w:tr>
      <w:tr w14:paraId="21360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0" w:hRule="atLeast"/>
        </w:trPr>
        <w:tc>
          <w:tcPr>
            <w:tcW w:w="861" w:type="dxa"/>
            <w:vMerge w:val="continue"/>
            <w:noWrap w:val="0"/>
            <w:vAlign w:val="center"/>
          </w:tcPr>
          <w:p w14:paraId="76E29D79">
            <w:pPr>
              <w:rPr>
                <w:rFonts w:hint="eastAsia" w:ascii="仿宋" w:hAnsi="仿宋" w:eastAsia="仿宋" w:cs="仿宋"/>
                <w:b w:val="0"/>
                <w:bCs w:val="0"/>
                <w:color w:val="auto"/>
                <w:highlight w:val="none"/>
                <w:lang w:eastAsia="zh-CN"/>
              </w:rPr>
            </w:pPr>
          </w:p>
        </w:tc>
        <w:tc>
          <w:tcPr>
            <w:tcW w:w="1230" w:type="dxa"/>
            <w:noWrap w:val="0"/>
            <w:vAlign w:val="center"/>
          </w:tcPr>
          <w:p w14:paraId="12C207B2">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会议室</w:t>
            </w:r>
          </w:p>
        </w:tc>
        <w:tc>
          <w:tcPr>
            <w:tcW w:w="1230" w:type="dxa"/>
            <w:noWrap w:val="0"/>
            <w:vAlign w:val="center"/>
          </w:tcPr>
          <w:p w14:paraId="551FA850">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1间</w:t>
            </w:r>
          </w:p>
        </w:tc>
        <w:tc>
          <w:tcPr>
            <w:tcW w:w="2392" w:type="dxa"/>
            <w:noWrap w:val="0"/>
            <w:vAlign w:val="center"/>
          </w:tcPr>
          <w:p w14:paraId="518C0654">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不少于20m</w:t>
            </w:r>
            <w:r>
              <w:rPr>
                <w:rFonts w:hint="eastAsia" w:ascii="仿宋" w:hAnsi="仿宋" w:eastAsia="仿宋" w:cs="仿宋"/>
                <w:color w:val="auto"/>
                <w:highlight w:val="none"/>
                <w:vertAlign w:val="superscript"/>
                <w:lang w:eastAsia="zh-CN"/>
              </w:rPr>
              <w:t>2</w:t>
            </w:r>
            <w:r>
              <w:rPr>
                <w:rFonts w:hint="eastAsia" w:ascii="仿宋" w:hAnsi="仿宋" w:eastAsia="仿宋" w:cs="仿宋"/>
                <w:color w:val="auto"/>
                <w:highlight w:val="none"/>
                <w:lang w:eastAsia="zh-CN"/>
              </w:rPr>
              <w:t>/间</w:t>
            </w:r>
          </w:p>
        </w:tc>
        <w:tc>
          <w:tcPr>
            <w:tcW w:w="3732" w:type="dxa"/>
            <w:noWrap w:val="0"/>
            <w:vAlign w:val="top"/>
          </w:tcPr>
          <w:p w14:paraId="3679ED1E">
            <w:pPr>
              <w:rPr>
                <w:rFonts w:ascii="仿宋" w:hAnsi="仿宋" w:eastAsia="仿宋" w:cs="仿宋"/>
                <w:color w:val="auto"/>
                <w:highlight w:val="none"/>
                <w:lang w:eastAsia="zh-CN"/>
              </w:rPr>
            </w:pPr>
            <w:r>
              <w:rPr>
                <w:rFonts w:hint="eastAsia" w:ascii="仿宋" w:hAnsi="仿宋" w:eastAsia="仿宋" w:cs="仿宋"/>
                <w:color w:val="auto"/>
                <w:highlight w:val="none"/>
                <w:lang w:eastAsia="zh-CN"/>
              </w:rPr>
              <w:t>空调、投屏设备、会议大桌椅等</w:t>
            </w:r>
          </w:p>
        </w:tc>
      </w:tr>
      <w:tr w14:paraId="73CAF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61" w:type="dxa"/>
            <w:vMerge w:val="restart"/>
            <w:noWrap w:val="0"/>
            <w:vAlign w:val="center"/>
          </w:tcPr>
          <w:p w14:paraId="6823FD91">
            <w:pPr>
              <w:rPr>
                <w:rFonts w:hint="eastAsia" w:ascii="仿宋" w:hAnsi="仿宋" w:eastAsia="仿宋" w:cs="仿宋"/>
                <w:b w:val="0"/>
                <w:bCs w:val="0"/>
                <w:color w:val="auto"/>
                <w:highlight w:val="none"/>
                <w:lang w:eastAsia="zh-CN"/>
              </w:rPr>
            </w:pPr>
            <w:r>
              <w:rPr>
                <w:rFonts w:hint="eastAsia" w:ascii="仿宋" w:hAnsi="仿宋" w:eastAsia="仿宋" w:cs="仿宋"/>
                <w:b w:val="0"/>
                <w:bCs w:val="0"/>
                <w:color w:val="auto"/>
                <w:highlight w:val="none"/>
                <w:lang w:eastAsia="zh-CN"/>
              </w:rPr>
              <w:t>监理单位</w:t>
            </w:r>
          </w:p>
        </w:tc>
        <w:tc>
          <w:tcPr>
            <w:tcW w:w="1230" w:type="dxa"/>
            <w:noWrap w:val="0"/>
            <w:vAlign w:val="center"/>
          </w:tcPr>
          <w:p w14:paraId="7F915BCE">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办公室</w:t>
            </w:r>
          </w:p>
        </w:tc>
        <w:tc>
          <w:tcPr>
            <w:tcW w:w="1230" w:type="dxa"/>
            <w:noWrap w:val="0"/>
            <w:vAlign w:val="center"/>
          </w:tcPr>
          <w:p w14:paraId="52BA1B11">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4间</w:t>
            </w:r>
          </w:p>
        </w:tc>
        <w:tc>
          <w:tcPr>
            <w:tcW w:w="2392" w:type="dxa"/>
            <w:noWrap w:val="0"/>
            <w:vAlign w:val="center"/>
          </w:tcPr>
          <w:p w14:paraId="0D958394">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不少于</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0m</w:t>
            </w:r>
            <w:r>
              <w:rPr>
                <w:rFonts w:hint="eastAsia" w:ascii="仿宋" w:hAnsi="仿宋" w:eastAsia="仿宋" w:cs="仿宋"/>
                <w:color w:val="auto"/>
                <w:highlight w:val="none"/>
                <w:vertAlign w:val="superscript"/>
                <w:lang w:eastAsia="zh-CN"/>
              </w:rPr>
              <w:t>2</w:t>
            </w:r>
            <w:r>
              <w:rPr>
                <w:rFonts w:hint="eastAsia" w:ascii="仿宋" w:hAnsi="仿宋" w:eastAsia="仿宋" w:cs="仿宋"/>
                <w:color w:val="auto"/>
                <w:highlight w:val="none"/>
                <w:lang w:eastAsia="zh-CN"/>
              </w:rPr>
              <w:t>/间</w:t>
            </w:r>
          </w:p>
        </w:tc>
        <w:tc>
          <w:tcPr>
            <w:tcW w:w="3732" w:type="dxa"/>
            <w:noWrap w:val="0"/>
            <w:vAlign w:val="top"/>
          </w:tcPr>
          <w:p w14:paraId="6004B37F">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空调、</w:t>
            </w:r>
            <w:r>
              <w:rPr>
                <w:rFonts w:hint="eastAsia" w:ascii="仿宋" w:hAnsi="仿宋" w:eastAsia="仿宋" w:cs="仿宋"/>
                <w:color w:val="auto"/>
                <w:highlight w:val="none"/>
                <w:lang w:val="en-US" w:eastAsia="zh-CN"/>
              </w:rPr>
              <w:t>通讯</w:t>
            </w:r>
            <w:r>
              <w:rPr>
                <w:rFonts w:hint="eastAsia" w:ascii="仿宋" w:hAnsi="仿宋" w:eastAsia="仿宋" w:cs="仿宋"/>
                <w:color w:val="auto"/>
                <w:highlight w:val="none"/>
                <w:lang w:eastAsia="zh-CN"/>
              </w:rPr>
              <w:t>、办公</w:t>
            </w:r>
            <w:r>
              <w:rPr>
                <w:rFonts w:hint="eastAsia" w:ascii="仿宋" w:hAnsi="仿宋" w:eastAsia="仿宋" w:cs="仿宋"/>
                <w:color w:val="auto"/>
                <w:highlight w:val="none"/>
                <w:lang w:val="en-US" w:eastAsia="zh-CN"/>
              </w:rPr>
              <w:t>网络、</w:t>
            </w:r>
            <w:r>
              <w:rPr>
                <w:rFonts w:hint="eastAsia" w:ascii="仿宋" w:hAnsi="仿宋" w:eastAsia="仿宋" w:cs="仿宋"/>
                <w:color w:val="auto"/>
                <w:highlight w:val="none"/>
                <w:lang w:eastAsia="zh-CN"/>
              </w:rPr>
              <w:t>桌椅及文件柜等</w:t>
            </w:r>
          </w:p>
        </w:tc>
      </w:tr>
      <w:tr w14:paraId="67CC98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61" w:type="dxa"/>
            <w:vMerge w:val="continue"/>
            <w:noWrap w:val="0"/>
            <w:vAlign w:val="center"/>
          </w:tcPr>
          <w:p w14:paraId="0F4CBEF6">
            <w:pPr>
              <w:rPr>
                <w:rFonts w:hint="eastAsia" w:ascii="仿宋" w:hAnsi="仿宋" w:eastAsia="仿宋" w:cs="仿宋"/>
                <w:b w:val="0"/>
                <w:bCs w:val="0"/>
                <w:color w:val="auto"/>
                <w:highlight w:val="none"/>
                <w:lang w:eastAsia="zh-CN"/>
              </w:rPr>
            </w:pPr>
          </w:p>
        </w:tc>
        <w:tc>
          <w:tcPr>
            <w:tcW w:w="1230" w:type="dxa"/>
            <w:noWrap w:val="0"/>
            <w:vAlign w:val="center"/>
          </w:tcPr>
          <w:p w14:paraId="43374AE8">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休息室</w:t>
            </w:r>
          </w:p>
        </w:tc>
        <w:tc>
          <w:tcPr>
            <w:tcW w:w="1230" w:type="dxa"/>
            <w:noWrap w:val="0"/>
            <w:vAlign w:val="center"/>
          </w:tcPr>
          <w:p w14:paraId="573047B6">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5间</w:t>
            </w:r>
          </w:p>
        </w:tc>
        <w:tc>
          <w:tcPr>
            <w:tcW w:w="2392" w:type="dxa"/>
            <w:noWrap w:val="0"/>
            <w:vAlign w:val="center"/>
          </w:tcPr>
          <w:p w14:paraId="38ADF704">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不少于1</w:t>
            </w:r>
            <w:r>
              <w:rPr>
                <w:rFonts w:hint="eastAsia" w:ascii="仿宋" w:hAnsi="仿宋" w:eastAsia="仿宋" w:cs="仿宋"/>
                <w:color w:val="auto"/>
                <w:highlight w:val="none"/>
                <w:lang w:val="en-US" w:eastAsia="zh-CN"/>
              </w:rPr>
              <w:t>0</w:t>
            </w:r>
            <w:r>
              <w:rPr>
                <w:rFonts w:hint="eastAsia" w:ascii="仿宋" w:hAnsi="仿宋" w:eastAsia="仿宋" w:cs="仿宋"/>
                <w:color w:val="auto"/>
                <w:highlight w:val="none"/>
                <w:lang w:eastAsia="zh-CN"/>
              </w:rPr>
              <w:t>m</w:t>
            </w:r>
            <w:r>
              <w:rPr>
                <w:rFonts w:hint="eastAsia" w:ascii="仿宋" w:hAnsi="仿宋" w:eastAsia="仿宋" w:cs="仿宋"/>
                <w:color w:val="auto"/>
                <w:highlight w:val="none"/>
                <w:vertAlign w:val="superscript"/>
                <w:lang w:eastAsia="zh-CN"/>
              </w:rPr>
              <w:t>2</w:t>
            </w:r>
            <w:r>
              <w:rPr>
                <w:rFonts w:hint="eastAsia" w:ascii="仿宋" w:hAnsi="仿宋" w:eastAsia="仿宋" w:cs="仿宋"/>
                <w:color w:val="auto"/>
                <w:highlight w:val="none"/>
                <w:lang w:eastAsia="zh-CN"/>
              </w:rPr>
              <w:t>/间</w:t>
            </w:r>
          </w:p>
        </w:tc>
        <w:tc>
          <w:tcPr>
            <w:tcW w:w="3732" w:type="dxa"/>
            <w:noWrap w:val="0"/>
            <w:vAlign w:val="top"/>
          </w:tcPr>
          <w:p w14:paraId="7561B6DB">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空调、床、桌椅及衣柜等，房间内应配置独立卫生间</w:t>
            </w:r>
          </w:p>
        </w:tc>
      </w:tr>
      <w:tr w14:paraId="699BE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61" w:type="dxa"/>
            <w:vMerge w:val="restart"/>
            <w:noWrap w:val="0"/>
            <w:vAlign w:val="center"/>
          </w:tcPr>
          <w:p w14:paraId="2325A0FD">
            <w:pPr>
              <w:rPr>
                <w:rFonts w:ascii="仿宋" w:hAnsi="仿宋" w:eastAsia="仿宋" w:cs="仿宋"/>
                <w:b w:val="0"/>
                <w:bCs w:val="0"/>
                <w:color w:val="auto"/>
                <w:highlight w:val="none"/>
                <w:lang w:eastAsia="zh-CN"/>
              </w:rPr>
            </w:pPr>
            <w:r>
              <w:rPr>
                <w:rFonts w:hint="eastAsia" w:ascii="仿宋" w:hAnsi="仿宋" w:eastAsia="仿宋" w:cs="仿宋"/>
                <w:b w:val="0"/>
                <w:bCs w:val="0"/>
                <w:color w:val="auto"/>
                <w:highlight w:val="none"/>
                <w:lang w:eastAsia="zh-CN"/>
              </w:rPr>
              <w:t>咨询单位</w:t>
            </w:r>
          </w:p>
          <w:p w14:paraId="4BF478E2">
            <w:pPr>
              <w:rPr>
                <w:rFonts w:hint="eastAsia" w:ascii="仿宋" w:hAnsi="仿宋" w:eastAsia="仿宋" w:cs="仿宋"/>
                <w:b w:val="0"/>
                <w:bCs w:val="0"/>
                <w:color w:val="auto"/>
                <w:highlight w:val="none"/>
                <w:lang w:eastAsia="zh-CN"/>
              </w:rPr>
            </w:pPr>
          </w:p>
        </w:tc>
        <w:tc>
          <w:tcPr>
            <w:tcW w:w="1230" w:type="dxa"/>
            <w:noWrap w:val="0"/>
            <w:vAlign w:val="center"/>
          </w:tcPr>
          <w:p w14:paraId="5239B213">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办公室</w:t>
            </w:r>
          </w:p>
        </w:tc>
        <w:tc>
          <w:tcPr>
            <w:tcW w:w="1230" w:type="dxa"/>
            <w:noWrap w:val="0"/>
            <w:vAlign w:val="center"/>
          </w:tcPr>
          <w:p w14:paraId="0E9042BB">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2间</w:t>
            </w:r>
          </w:p>
        </w:tc>
        <w:tc>
          <w:tcPr>
            <w:tcW w:w="2392" w:type="dxa"/>
            <w:noWrap w:val="0"/>
            <w:vAlign w:val="center"/>
          </w:tcPr>
          <w:p w14:paraId="12EDCBA4">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不少于</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0m</w:t>
            </w:r>
            <w:r>
              <w:rPr>
                <w:rFonts w:hint="eastAsia" w:ascii="仿宋" w:hAnsi="仿宋" w:eastAsia="仿宋" w:cs="仿宋"/>
                <w:color w:val="auto"/>
                <w:highlight w:val="none"/>
                <w:vertAlign w:val="superscript"/>
                <w:lang w:eastAsia="zh-CN"/>
              </w:rPr>
              <w:t>2</w:t>
            </w:r>
            <w:r>
              <w:rPr>
                <w:rFonts w:hint="eastAsia" w:ascii="仿宋" w:hAnsi="仿宋" w:eastAsia="仿宋" w:cs="仿宋"/>
                <w:color w:val="auto"/>
                <w:highlight w:val="none"/>
                <w:lang w:eastAsia="zh-CN"/>
              </w:rPr>
              <w:t>/间</w:t>
            </w:r>
          </w:p>
        </w:tc>
        <w:tc>
          <w:tcPr>
            <w:tcW w:w="3732" w:type="dxa"/>
            <w:noWrap w:val="0"/>
            <w:vAlign w:val="top"/>
          </w:tcPr>
          <w:p w14:paraId="7B442061">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空调、</w:t>
            </w:r>
            <w:r>
              <w:rPr>
                <w:rFonts w:hint="eastAsia" w:ascii="仿宋" w:hAnsi="仿宋" w:eastAsia="仿宋" w:cs="仿宋"/>
                <w:color w:val="auto"/>
                <w:highlight w:val="none"/>
                <w:lang w:val="en-US" w:eastAsia="zh-CN"/>
              </w:rPr>
              <w:t>通讯</w:t>
            </w:r>
            <w:r>
              <w:rPr>
                <w:rFonts w:hint="eastAsia" w:ascii="仿宋" w:hAnsi="仿宋" w:eastAsia="仿宋" w:cs="仿宋"/>
                <w:color w:val="auto"/>
                <w:highlight w:val="none"/>
                <w:lang w:eastAsia="zh-CN"/>
              </w:rPr>
              <w:t>、办公</w:t>
            </w:r>
            <w:r>
              <w:rPr>
                <w:rFonts w:hint="eastAsia" w:ascii="仿宋" w:hAnsi="仿宋" w:eastAsia="仿宋" w:cs="仿宋"/>
                <w:color w:val="auto"/>
                <w:highlight w:val="none"/>
                <w:lang w:val="en-US" w:eastAsia="zh-CN"/>
              </w:rPr>
              <w:t>网络、</w:t>
            </w:r>
            <w:r>
              <w:rPr>
                <w:rFonts w:hint="eastAsia" w:ascii="仿宋" w:hAnsi="仿宋" w:eastAsia="仿宋" w:cs="仿宋"/>
                <w:color w:val="auto"/>
                <w:highlight w:val="none"/>
                <w:lang w:eastAsia="zh-CN"/>
              </w:rPr>
              <w:t>办公桌椅及文件柜等</w:t>
            </w:r>
          </w:p>
        </w:tc>
      </w:tr>
      <w:tr w14:paraId="08766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61" w:type="dxa"/>
            <w:vMerge w:val="continue"/>
            <w:noWrap w:val="0"/>
            <w:vAlign w:val="center"/>
          </w:tcPr>
          <w:p w14:paraId="1F3155E3">
            <w:pPr>
              <w:rPr>
                <w:rFonts w:hint="eastAsia" w:ascii="仿宋" w:hAnsi="仿宋" w:eastAsia="仿宋" w:cs="仿宋"/>
                <w:color w:val="auto"/>
                <w:highlight w:val="none"/>
                <w:lang w:eastAsia="zh-CN"/>
              </w:rPr>
            </w:pPr>
          </w:p>
        </w:tc>
        <w:tc>
          <w:tcPr>
            <w:tcW w:w="1230" w:type="dxa"/>
            <w:noWrap w:val="0"/>
            <w:vAlign w:val="center"/>
          </w:tcPr>
          <w:p w14:paraId="29A6A1B8">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休息室</w:t>
            </w:r>
          </w:p>
        </w:tc>
        <w:tc>
          <w:tcPr>
            <w:tcW w:w="1230" w:type="dxa"/>
            <w:noWrap w:val="0"/>
            <w:vAlign w:val="center"/>
          </w:tcPr>
          <w:p w14:paraId="7B184BEE">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1间</w:t>
            </w:r>
          </w:p>
        </w:tc>
        <w:tc>
          <w:tcPr>
            <w:tcW w:w="2392" w:type="dxa"/>
            <w:noWrap w:val="0"/>
            <w:vAlign w:val="center"/>
          </w:tcPr>
          <w:p w14:paraId="4BEAECFC">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不少于1</w:t>
            </w:r>
            <w:r>
              <w:rPr>
                <w:rFonts w:hint="eastAsia" w:ascii="仿宋" w:hAnsi="仿宋" w:eastAsia="仿宋" w:cs="仿宋"/>
                <w:color w:val="auto"/>
                <w:highlight w:val="none"/>
                <w:lang w:val="en-US" w:eastAsia="zh-CN"/>
              </w:rPr>
              <w:t>0</w:t>
            </w:r>
            <w:r>
              <w:rPr>
                <w:rFonts w:hint="eastAsia" w:ascii="仿宋" w:hAnsi="仿宋" w:eastAsia="仿宋" w:cs="仿宋"/>
                <w:color w:val="auto"/>
                <w:highlight w:val="none"/>
                <w:lang w:eastAsia="zh-CN"/>
              </w:rPr>
              <w:t>m</w:t>
            </w:r>
            <w:r>
              <w:rPr>
                <w:rFonts w:hint="eastAsia" w:ascii="仿宋" w:hAnsi="仿宋" w:eastAsia="仿宋" w:cs="仿宋"/>
                <w:color w:val="auto"/>
                <w:highlight w:val="none"/>
                <w:vertAlign w:val="superscript"/>
                <w:lang w:eastAsia="zh-CN"/>
              </w:rPr>
              <w:t>2</w:t>
            </w:r>
            <w:r>
              <w:rPr>
                <w:rFonts w:hint="eastAsia" w:ascii="仿宋" w:hAnsi="仿宋" w:eastAsia="仿宋" w:cs="仿宋"/>
                <w:color w:val="auto"/>
                <w:highlight w:val="none"/>
                <w:lang w:eastAsia="zh-CN"/>
              </w:rPr>
              <w:t>/间</w:t>
            </w:r>
          </w:p>
        </w:tc>
        <w:tc>
          <w:tcPr>
            <w:tcW w:w="3732" w:type="dxa"/>
            <w:noWrap w:val="0"/>
            <w:vAlign w:val="top"/>
          </w:tcPr>
          <w:p w14:paraId="05E0FE89">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空调、木床、桌椅及衣柜等，房间内应配置独立卫生间</w:t>
            </w:r>
          </w:p>
        </w:tc>
      </w:tr>
    </w:tbl>
    <w:p w14:paraId="2CF17B74">
      <w:pPr>
        <w:spacing w:line="360" w:lineRule="auto"/>
        <w:ind w:left="199" w:leftChars="83" w:firstLine="480" w:firstLineChars="200"/>
        <w:rPr>
          <w:rFonts w:hint="eastAsia" w:ascii="仿宋" w:hAnsi="仿宋" w:eastAsia="仿宋" w:cs="仿宋"/>
          <w:color w:val="auto"/>
          <w:highlight w:val="none"/>
          <w:u w:val="single"/>
          <w:lang w:eastAsia="zh-CN"/>
        </w:rPr>
      </w:pPr>
    </w:p>
    <w:p w14:paraId="0F476346">
      <w:pPr>
        <w:rPr>
          <w:vanish/>
          <w:color w:val="auto"/>
          <w:highlight w:val="none"/>
          <w:lang w:eastAsia="zh-CN"/>
        </w:rPr>
      </w:pPr>
    </w:p>
    <w:p w14:paraId="08C851BB">
      <w:pPr>
        <w:spacing w:line="360" w:lineRule="auto"/>
        <w:rPr>
          <w:rFonts w:hint="eastAsia" w:ascii="仿宋" w:hAnsi="仿宋" w:eastAsia="仿宋" w:cs="仿宋"/>
          <w:color w:val="auto"/>
          <w:highlight w:val="none"/>
          <w:lang w:eastAsia="zh-CN"/>
        </w:rPr>
      </w:pPr>
    </w:p>
    <w:p w14:paraId="21DBA33F">
      <w:pPr>
        <w:spacing w:line="360" w:lineRule="auto"/>
        <w:ind w:left="758" w:leftChars="266" w:hanging="120" w:hanging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（10）办完施工场地交通、环境保护、施工噪声、绿色施工安全防护等手续的时间：</w:t>
      </w:r>
      <w:r>
        <w:rPr>
          <w:rFonts w:ascii="仿宋" w:hAnsi="仿宋" w:eastAsia="仿宋"/>
          <w:color w:val="auto"/>
          <w:highlight w:val="none"/>
          <w:u w:val="single"/>
          <w:lang w:eastAsia="zh-CN"/>
        </w:rPr>
        <w:t>严格遵守国家、省、市有关规定，负责办理施工有关手续（包括有关施工场地交通、环境保护、施工噪音、安全防护、文明施工、消防、爆破管理等），并在开工后2个月内以书面形式报备发包人。建立相应的规章制度和防护措施，并承担造成事故的责任和发生的费用。保证发包人免受因此造成的损失。如因此给发包人造成损失的，承包人按发包人的实际增加的合理费用给予赔偿。造成竣工日期延误，由承包人负责。</w:t>
      </w:r>
    </w:p>
    <w:p w14:paraId="68D57D20">
      <w:pPr>
        <w:spacing w:line="360" w:lineRule="auto"/>
        <w:ind w:left="679" w:leftChars="283" w:firstLine="120" w:firstLineChars="50"/>
        <w:rPr>
          <w:rFonts w:ascii="仿宋" w:hAnsi="仿宋" w:eastAsia="仿宋"/>
          <w:b/>
          <w:bCs/>
          <w:color w:val="auto"/>
          <w:highlight w:val="none"/>
          <w:u w:val="single"/>
          <w:lang w:eastAsia="zh-CN"/>
        </w:rPr>
      </w:pPr>
      <w:r>
        <w:rPr>
          <w:rFonts w:hint="eastAsia" w:ascii="仿宋" w:hAnsi="仿宋" w:eastAsia="仿宋" w:cs="仿宋"/>
          <w:b/>
          <w:bCs/>
          <w:color w:val="auto"/>
          <w:highlight w:val="none"/>
          <w:lang w:eastAsia="zh-CN"/>
        </w:rPr>
        <w:t>（11）做好施工场地地下管线和邻近建筑物、构筑物（包括文物保护建筑）、古树名木保护工作的约定：</w:t>
      </w:r>
      <w:r>
        <w:rPr>
          <w:rFonts w:ascii="仿宋" w:hAnsi="仿宋" w:eastAsia="仿宋"/>
          <w:b/>
          <w:bCs/>
          <w:color w:val="auto"/>
          <w:highlight w:val="none"/>
          <w:u w:val="single"/>
          <w:lang w:eastAsia="zh-CN"/>
        </w:rPr>
        <w:t>承包人应对施工场地及周围的地下管线、建筑物、构筑物（含文物保护建筑）、古树名木</w:t>
      </w:r>
      <w:r>
        <w:rPr>
          <w:rFonts w:hint="eastAsia" w:ascii="仿宋" w:hAnsi="仿宋" w:eastAsia="仿宋"/>
          <w:b/>
          <w:bCs/>
          <w:color w:val="auto"/>
          <w:highlight w:val="none"/>
          <w:u w:val="single"/>
          <w:lang w:eastAsia="zh-CN"/>
        </w:rPr>
        <w:t>、高压线、在建地铁线路等</w:t>
      </w:r>
      <w:r>
        <w:rPr>
          <w:rFonts w:ascii="仿宋" w:hAnsi="仿宋" w:eastAsia="仿宋"/>
          <w:b/>
          <w:bCs/>
          <w:color w:val="auto"/>
          <w:highlight w:val="none"/>
          <w:u w:val="single"/>
          <w:lang w:eastAsia="zh-CN"/>
        </w:rPr>
        <w:t>之状况进行</w:t>
      </w:r>
      <w:r>
        <w:rPr>
          <w:rFonts w:hint="eastAsia" w:ascii="仿宋" w:hAnsi="仿宋" w:eastAsia="仿宋"/>
          <w:b/>
          <w:bCs/>
          <w:color w:val="auto"/>
          <w:highlight w:val="none"/>
          <w:u w:val="single"/>
          <w:lang w:eastAsia="zh-CN"/>
        </w:rPr>
        <w:t>情况摸查及复核，并根据需要进行</w:t>
      </w:r>
      <w:r>
        <w:rPr>
          <w:rFonts w:ascii="仿宋" w:hAnsi="仿宋" w:eastAsia="仿宋"/>
          <w:b/>
          <w:bCs/>
          <w:color w:val="auto"/>
          <w:highlight w:val="none"/>
          <w:u w:val="single"/>
          <w:lang w:eastAsia="zh-CN"/>
        </w:rPr>
        <w:t xml:space="preserve">勘察。根据勘察结果确定具体的保护措施并承担有关费用。若发现正常施工措施现有条件已不能达到保护目的，承包人应及时报告，经总监理工程师及发包人批准采取措施保护处理的，发包人承担不包含在招标内容中的额外保护费用。承包人应对上述保护措施进行监测，并应根据监测结果及时反馈信息指导施工，以确保上述受保护物件及作业人员、居民的安全。非因发包人原因，受保护物件发生损坏的，由承包人承担责任并负责赔偿。 </w:t>
      </w:r>
    </w:p>
    <w:p w14:paraId="1CBD2263">
      <w:pPr>
        <w:spacing w:line="360" w:lineRule="auto"/>
        <w:ind w:left="679" w:leftChars="283" w:firstLine="602" w:firstLineChars="250"/>
        <w:rPr>
          <w:rFonts w:ascii="仿宋" w:hAnsi="仿宋" w:eastAsia="仿宋"/>
          <w:b/>
          <w:bCs/>
          <w:color w:val="auto"/>
          <w:highlight w:val="none"/>
          <w:u w:val="single"/>
          <w:lang w:eastAsia="zh-CN"/>
        </w:rPr>
      </w:pPr>
      <w:r>
        <w:rPr>
          <w:rFonts w:hint="eastAsia" w:ascii="仿宋" w:hAnsi="仿宋" w:eastAsia="仿宋" w:cs="仿宋"/>
          <w:b/>
          <w:bCs/>
          <w:color w:val="auto"/>
          <w:highlight w:val="none"/>
          <w:u w:val="single"/>
          <w:lang w:eastAsia="zh-CN"/>
        </w:rPr>
        <w:t>特别安全防护：1）施工场地如有高压线，其外导线外侧10米范围内及上空均不允许任何施工机具跨越，供电线路特别重要，施工前要做好充分的保护方案、预案及安全防护论证并取得供电局的批准，相关措施费用在合同内综合考虑，此项视承包人对施工过程中的影响及安全防护已充分知悉。2）为保证地铁结构安全，在地铁保护范围内的施工作业在施工前需报地铁集团征求意见并获得批准，相关地保人员进行现场核实后方能实施，上述相关费用在合同价内综合考虑。因施工导致的高压电线、市政管线、煤气管线、电信管线、交通管线、地铁线路、军用管线等堵塞、破损、断裂，处理施工过程所引发的抢修工作费用及相关罚款由承包人自行承担。</w:t>
      </w:r>
    </w:p>
    <w:p w14:paraId="0EA0F7EB">
      <w:pPr>
        <w:spacing w:line="360" w:lineRule="auto"/>
        <w:ind w:left="758" w:leftChars="266" w:hanging="120" w:hangingChars="5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（12）保证施工场地的清洁和做好交工前施工现场清理工作的约定：</w:t>
      </w:r>
      <w:r>
        <w:rPr>
          <w:rFonts w:ascii="仿宋" w:hAnsi="仿宋" w:eastAsia="仿宋"/>
          <w:color w:val="auto"/>
          <w:highlight w:val="none"/>
          <w:u w:val="single"/>
          <w:lang w:eastAsia="zh-CN"/>
        </w:rPr>
        <w:t>承包人须按发包人批准的施工组织设计进行施工现场布置、放置材料机械及其它设施，及时将施工垃圾、余泥运出场外，要求达到广州市</w:t>
      </w:r>
      <w:r>
        <w:rPr>
          <w:rFonts w:hint="eastAsia" w:ascii="仿宋" w:hAnsi="仿宋" w:eastAsia="仿宋" w:cs="仿宋"/>
          <w:color w:val="auto"/>
          <w:highlight w:val="none"/>
          <w:u w:val="single"/>
          <w:lang w:eastAsia="zh-CN"/>
        </w:rPr>
        <w:t>安全文明绿色施工样板工地</w:t>
      </w:r>
      <w:r>
        <w:rPr>
          <w:rFonts w:ascii="仿宋" w:hAnsi="仿宋" w:eastAsia="仿宋"/>
          <w:color w:val="auto"/>
          <w:highlight w:val="none"/>
          <w:u w:val="single"/>
          <w:lang w:eastAsia="zh-CN"/>
        </w:rPr>
        <w:t>标准，保证施工场地清洁符合环境卫生管理的有关规定。</w:t>
      </w:r>
      <w:r>
        <w:rPr>
          <w:rFonts w:hint="eastAsia" w:ascii="仿宋" w:hAnsi="仿宋" w:eastAsia="仿宋" w:cs="仿宋"/>
          <w:color w:val="auto"/>
          <w:highlight w:val="none"/>
          <w:u w:val="single"/>
          <w:lang w:eastAsia="zh-CN"/>
        </w:rPr>
        <w:t>承包人负责样板间管理（全过程直至项目竣工交付）、精保洁（精保洁以发包人要求次数为准），相关费用已含在合同价款中。</w:t>
      </w:r>
      <w:r>
        <w:rPr>
          <w:rFonts w:ascii="仿宋" w:hAnsi="仿宋" w:eastAsia="仿宋"/>
          <w:color w:val="auto"/>
          <w:highlight w:val="none"/>
          <w:u w:val="single"/>
          <w:lang w:eastAsia="zh-CN"/>
        </w:rPr>
        <w:t>工程移交前，承包人应</w:t>
      </w:r>
      <w:r>
        <w:rPr>
          <w:rFonts w:hint="eastAsia" w:ascii="仿宋" w:hAnsi="仿宋" w:eastAsia="仿宋"/>
          <w:color w:val="auto"/>
          <w:highlight w:val="none"/>
          <w:u w:val="single"/>
          <w:lang w:eastAsia="zh-CN"/>
        </w:rPr>
        <w:t>将施工</w:t>
      </w:r>
      <w:r>
        <w:rPr>
          <w:rFonts w:ascii="仿宋" w:hAnsi="仿宋" w:eastAsia="仿宋"/>
          <w:color w:val="auto"/>
          <w:highlight w:val="none"/>
          <w:u w:val="single"/>
          <w:lang w:eastAsia="zh-CN"/>
        </w:rPr>
        <w:t>场地清理完毕。</w:t>
      </w:r>
    </w:p>
    <w:p w14:paraId="17E88BBC">
      <w:pPr>
        <w:spacing w:line="360" w:lineRule="auto"/>
        <w:ind w:left="240" w:leftChars="100"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（13）提交竣工验收申请报告和竣工结算文件</w:t>
      </w:r>
    </w:p>
    <w:p w14:paraId="37B41DDA">
      <w:pPr>
        <w:spacing w:line="360" w:lineRule="auto"/>
        <w:ind w:left="240" w:leftChars="100"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按通用条款第87.2款约定提交。</w:t>
      </w:r>
    </w:p>
    <w:p w14:paraId="7DA1737F">
      <w:pPr>
        <w:spacing w:line="360" w:lineRule="auto"/>
        <w:ind w:left="240" w:leftChars="100"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按专用条款第87款约定。 </w:t>
      </w:r>
    </w:p>
    <w:p w14:paraId="778CD5A0">
      <w:pPr>
        <w:spacing w:line="360" w:lineRule="auto"/>
        <w:ind w:firstLine="241" w:firstLineChars="100"/>
        <w:rPr>
          <w:rFonts w:ascii="仿宋" w:hAnsi="仿宋" w:eastAsia="仿宋"/>
          <w:b/>
          <w:bCs/>
          <w:color w:val="auto"/>
          <w:highlight w:val="none"/>
          <w:u w:val="single"/>
          <w:lang w:eastAsia="zh-CN"/>
        </w:rPr>
      </w:pPr>
      <w:bookmarkStart w:id="1482" w:name="_Toc47694399"/>
      <w:r>
        <w:rPr>
          <w:rFonts w:hint="eastAsia" w:ascii="仿宋" w:hAnsi="仿宋" w:eastAsia="仿宋"/>
          <w:b/>
          <w:bCs/>
          <w:color w:val="auto"/>
          <w:highlight w:val="none"/>
          <w:lang w:eastAsia="zh-CN"/>
        </w:rPr>
        <w:t>（15）</w:t>
      </w:r>
      <w:r>
        <w:rPr>
          <w:rFonts w:hint="eastAsia" w:ascii="仿宋" w:hAnsi="仿宋" w:eastAsia="仿宋" w:cs="仿宋"/>
          <w:b/>
          <w:bCs/>
          <w:color w:val="auto"/>
          <w:highlight w:val="none"/>
          <w:u w:val="single"/>
          <w:lang w:eastAsia="zh-CN"/>
        </w:rPr>
        <w:t>双方协商一致，补充以下条款，</w:t>
      </w:r>
      <w:r>
        <w:rPr>
          <w:rFonts w:ascii="仿宋" w:hAnsi="仿宋" w:eastAsia="仿宋"/>
          <w:b/>
          <w:bCs/>
          <w:color w:val="auto"/>
          <w:highlight w:val="none"/>
          <w:u w:val="single"/>
          <w:lang w:eastAsia="zh-CN"/>
        </w:rPr>
        <w:t>承包人应做的其他工作及要求：</w:t>
      </w:r>
    </w:p>
    <w:p w14:paraId="77FA7CA8">
      <w:pPr>
        <w:spacing w:line="360" w:lineRule="auto"/>
        <w:ind w:left="598" w:leftChars="249"/>
        <w:rPr>
          <w:rFonts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5</w:t>
      </w:r>
      <w:r>
        <w:rPr>
          <w:rFonts w:ascii="仿宋" w:hAnsi="仿宋" w:eastAsia="仿宋"/>
          <w:color w:val="auto"/>
          <w:highlight w:val="none"/>
          <w:lang w:eastAsia="zh-CN"/>
        </w:rPr>
        <w:t>.1）</w:t>
      </w:r>
      <w:r>
        <w:rPr>
          <w:rFonts w:hint="eastAsia" w:ascii="仿宋" w:hAnsi="仿宋" w:eastAsia="仿宋"/>
          <w:color w:val="auto"/>
          <w:highlight w:val="none"/>
          <w:lang w:eastAsia="zh-CN"/>
        </w:rPr>
        <w:t>承包人应</w:t>
      </w:r>
      <w:r>
        <w:rPr>
          <w:rFonts w:ascii="仿宋" w:hAnsi="仿宋" w:eastAsia="仿宋"/>
          <w:color w:val="auto"/>
          <w:highlight w:val="none"/>
          <w:lang w:eastAsia="zh-CN"/>
        </w:rPr>
        <w:t>对施工图、技术资料认真地复核和检查，并提出实质性节约资金和缩短工期的建议和措施</w:t>
      </w:r>
      <w:r>
        <w:rPr>
          <w:rFonts w:hint="eastAsia" w:ascii="仿宋" w:hAnsi="仿宋" w:eastAsia="仿宋"/>
          <w:color w:val="auto"/>
          <w:highlight w:val="none"/>
          <w:lang w:eastAsia="zh-CN"/>
        </w:rPr>
        <w:t>，如需调整图纸的，需在该施工工序施工前2周提出，并报监理单位、设计单位、发包人组织会议商定。</w:t>
      </w:r>
    </w:p>
    <w:p w14:paraId="3B88EDD2">
      <w:pPr>
        <w:spacing w:line="360" w:lineRule="auto"/>
        <w:ind w:left="598" w:leftChars="249"/>
        <w:rPr>
          <w:rFonts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5</w:t>
      </w:r>
      <w:r>
        <w:rPr>
          <w:rFonts w:ascii="仿宋" w:hAnsi="仿宋" w:eastAsia="仿宋"/>
          <w:color w:val="auto"/>
          <w:highlight w:val="none"/>
          <w:lang w:eastAsia="zh-CN"/>
        </w:rPr>
        <w:t>.2）合同所述的计划、报表的具体格式，先由承包人提出格式建议，经监理单位和发包人调整后按统一格式执行。</w:t>
      </w:r>
    </w:p>
    <w:p w14:paraId="65BA8932">
      <w:pPr>
        <w:spacing w:line="360" w:lineRule="auto"/>
        <w:ind w:left="598" w:leftChars="249"/>
        <w:rPr>
          <w:rFonts w:ascii="仿宋" w:hAnsi="仿宋" w:eastAsia="仿宋"/>
          <w:color w:val="auto"/>
          <w:highlight w:val="none"/>
          <w:lang w:eastAsia="zh-CN"/>
        </w:rPr>
      </w:pPr>
      <w:r>
        <w:rPr>
          <w:rFonts w:ascii="仿宋" w:hAnsi="仿宋" w:eastAsia="仿宋"/>
          <w:color w:val="auto"/>
          <w:highlight w:val="none"/>
          <w:lang w:eastAsia="zh-CN"/>
        </w:rPr>
        <w:t>（15.3）在承包人进场后，承包人作为工程施工场地负责人，负责施工场地安全和文明施工管理，根据工程需要提供和维修（白天或夜间施工使用的）照明、围栏设施，承担一切安全保卫义务；按照《广州市住房和城乡建设局等9部门关于印发广州市建设工程绿色施工围蔽指导图集（V2.0版）的通知》（穗建质〔2020〕1号）文件的要求对施工现场采取必要的围蔽设施，保持施工现场的文明、有序，同时与周边</w:t>
      </w:r>
      <w:r>
        <w:rPr>
          <w:rFonts w:hint="eastAsia" w:ascii="仿宋" w:hAnsi="仿宋" w:eastAsia="仿宋"/>
          <w:color w:val="auto"/>
          <w:highlight w:val="none"/>
          <w:lang w:eastAsia="zh-CN"/>
        </w:rPr>
        <w:t>环</w:t>
      </w:r>
      <w:r>
        <w:rPr>
          <w:rFonts w:ascii="仿宋" w:hAnsi="仿宋" w:eastAsia="仿宋"/>
          <w:color w:val="auto"/>
          <w:highlight w:val="none"/>
          <w:lang w:eastAsia="zh-CN"/>
        </w:rPr>
        <w:t>境进行必要的隔离，保证施工人员以及过往行人、车辆的安全，其为履行此项义务而需要的各项材料、设备和临时设施，其费用已包含在合同价款中；依照《建筑施工安全检查标准》（JGJ59-2011）、《建筑与市政施工现场安全卫生与职业健康通用规范》（（GB 55034-2022））的有关规定进行施工，并按相关部门要求设置本</w:t>
      </w:r>
      <w:r>
        <w:rPr>
          <w:rFonts w:hint="eastAsia" w:ascii="仿宋" w:hAnsi="仿宋" w:eastAsia="仿宋"/>
          <w:color w:val="auto"/>
          <w:highlight w:val="none"/>
          <w:lang w:eastAsia="zh-CN"/>
        </w:rPr>
        <w:t>项目</w:t>
      </w:r>
      <w:r>
        <w:rPr>
          <w:rFonts w:ascii="仿宋" w:hAnsi="仿宋" w:eastAsia="仿宋"/>
          <w:color w:val="auto"/>
          <w:highlight w:val="none"/>
          <w:lang w:eastAsia="zh-CN"/>
        </w:rPr>
        <w:t>工地视频监控系统，费用已包含在合同价款中。若承包人未履行上述义务，发包人有权另行委托第三方进行上述设施的施工，其费用由承包人负责，造成工程、财产、人身损害等，由承包人承担责任及因此所发生的一切费用。</w:t>
      </w:r>
    </w:p>
    <w:p w14:paraId="24D5A66B">
      <w:pPr>
        <w:spacing w:line="360" w:lineRule="auto"/>
        <w:ind w:left="513" w:leftChars="165" w:hanging="117" w:hangingChars="49"/>
        <w:rPr>
          <w:rFonts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5</w:t>
      </w:r>
      <w:r>
        <w:rPr>
          <w:rFonts w:ascii="仿宋" w:hAnsi="仿宋" w:eastAsia="仿宋"/>
          <w:color w:val="auto"/>
          <w:highlight w:val="none"/>
          <w:lang w:eastAsia="zh-CN"/>
        </w:rPr>
        <w:t>.4）工程施工过程需占用部分道路时，征得发包人同意后承包人派出人员对道路的交通进行维护疏导，所发生的费用由承包人负责。</w:t>
      </w:r>
    </w:p>
    <w:p w14:paraId="10B7CE86">
      <w:pPr>
        <w:spacing w:line="360" w:lineRule="auto"/>
        <w:ind w:left="638" w:leftChars="166" w:hanging="240" w:hangingChars="100"/>
        <w:rPr>
          <w:rFonts w:ascii="仿宋" w:hAnsi="仿宋" w:eastAsia="仿宋"/>
          <w:color w:val="auto"/>
          <w:highlight w:val="none"/>
          <w:lang w:eastAsia="zh-CN"/>
        </w:rPr>
      </w:pPr>
      <w:r>
        <w:rPr>
          <w:rFonts w:hint="eastAsia" w:ascii="仿宋" w:hAnsi="仿宋" w:eastAsia="仿宋" w:cs="仿宋"/>
          <w:color w:val="auto"/>
          <w:highlight w:val="none"/>
          <w:lang w:eastAsia="zh-CN"/>
        </w:rPr>
        <w:t>（15.5）承包人负责项目用地范围内的绿化迁移保护，因提供施工条件引起的周边道路的改造及交通疏解、零星构筑物拆迁，解决因施工造成的周边村民用水、用电工作；承包人负责委托出具因施工受到影响的周边房屋及构筑物使用安全鉴定范围报告，相关费用已含在投标报价中。</w:t>
      </w:r>
    </w:p>
    <w:p w14:paraId="5DE25717">
      <w:pPr>
        <w:spacing w:line="360" w:lineRule="auto"/>
        <w:ind w:left="513" w:leftChars="165" w:hanging="117" w:hangingChars="49"/>
        <w:rPr>
          <w:rFonts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5</w:t>
      </w:r>
      <w:r>
        <w:rPr>
          <w:rFonts w:ascii="仿宋" w:hAnsi="仿宋" w:eastAsia="仿宋"/>
          <w:color w:val="auto"/>
          <w:highlight w:val="none"/>
          <w:lang w:eastAsia="zh-CN"/>
        </w:rPr>
        <w:t>.</w:t>
      </w:r>
      <w:r>
        <w:rPr>
          <w:rFonts w:hint="eastAsia" w:ascii="仿宋" w:hAnsi="仿宋" w:eastAsia="仿宋"/>
          <w:color w:val="auto"/>
          <w:highlight w:val="none"/>
          <w:lang w:eastAsia="zh-CN"/>
        </w:rPr>
        <w:t>6</w:t>
      </w:r>
      <w:r>
        <w:rPr>
          <w:rFonts w:ascii="仿宋" w:hAnsi="仿宋" w:eastAsia="仿宋"/>
          <w:color w:val="auto"/>
          <w:highlight w:val="none"/>
          <w:lang w:eastAsia="zh-CN"/>
        </w:rPr>
        <w:t>）干扰与协调：承包人应当清楚地预计到施工对外界可能产生的干扰，主动与外界进行协调，努力减少这些干扰对外界的影响。除必须发包人出面的情况外，承包人应负责处理和协调施工期间来自外界的各种干扰，充分运用自己对各方面的影响力，尽可能地将外界对工程的干扰减少到最低程度，但这种协调并不免除承包人按合同约定的各项责任与义务。</w:t>
      </w:r>
    </w:p>
    <w:p w14:paraId="465EC0FA">
      <w:pPr>
        <w:spacing w:line="360" w:lineRule="auto"/>
        <w:ind w:left="513" w:leftChars="165" w:hanging="117" w:hangingChars="49"/>
        <w:rPr>
          <w:rFonts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5</w:t>
      </w:r>
      <w:r>
        <w:rPr>
          <w:rFonts w:ascii="仿宋" w:hAnsi="仿宋" w:eastAsia="仿宋"/>
          <w:color w:val="auto"/>
          <w:highlight w:val="none"/>
          <w:lang w:eastAsia="zh-CN"/>
        </w:rPr>
        <w:t>.</w:t>
      </w:r>
      <w:r>
        <w:rPr>
          <w:rFonts w:hint="eastAsia" w:ascii="仿宋" w:hAnsi="仿宋" w:eastAsia="仿宋"/>
          <w:color w:val="auto"/>
          <w:highlight w:val="none"/>
          <w:lang w:eastAsia="zh-CN"/>
        </w:rPr>
        <w:t>7</w:t>
      </w:r>
      <w:r>
        <w:rPr>
          <w:rFonts w:ascii="仿宋" w:hAnsi="仿宋" w:eastAsia="仿宋"/>
          <w:color w:val="auto"/>
          <w:highlight w:val="none"/>
          <w:lang w:eastAsia="zh-CN"/>
        </w:rPr>
        <w:t>）根据工程需要，承包人应采用计算机信息管理技术建立相应的信息技术网络，以便整合分包单位信息，并为发包人、各有关单位提供管理端口，提高工作效率。</w:t>
      </w:r>
    </w:p>
    <w:p w14:paraId="0DF25AB4">
      <w:pPr>
        <w:spacing w:line="360" w:lineRule="auto"/>
        <w:ind w:left="513" w:leftChars="165" w:hanging="117" w:hangingChars="49"/>
        <w:rPr>
          <w:rFonts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5</w:t>
      </w:r>
      <w:r>
        <w:rPr>
          <w:rFonts w:ascii="仿宋" w:hAnsi="仿宋" w:eastAsia="仿宋"/>
          <w:color w:val="auto"/>
          <w:highlight w:val="none"/>
          <w:lang w:eastAsia="zh-CN"/>
        </w:rPr>
        <w:t>.</w:t>
      </w:r>
      <w:r>
        <w:rPr>
          <w:rFonts w:hint="eastAsia" w:ascii="仿宋" w:hAnsi="仿宋" w:eastAsia="仿宋"/>
          <w:color w:val="auto"/>
          <w:highlight w:val="none"/>
          <w:lang w:eastAsia="zh-CN"/>
        </w:rPr>
        <w:t>8</w:t>
      </w:r>
      <w:r>
        <w:rPr>
          <w:rFonts w:ascii="仿宋" w:hAnsi="仿宋" w:eastAsia="仿宋"/>
          <w:color w:val="auto"/>
          <w:highlight w:val="none"/>
          <w:lang w:eastAsia="zh-CN"/>
        </w:rPr>
        <w:t>）承包人应</w:t>
      </w:r>
      <w:r>
        <w:rPr>
          <w:rFonts w:hint="eastAsia" w:ascii="仿宋" w:hAnsi="仿宋" w:eastAsia="仿宋"/>
          <w:color w:val="auto"/>
          <w:highlight w:val="none"/>
          <w:lang w:eastAsia="zh-CN"/>
        </w:rPr>
        <w:t>严格</w:t>
      </w:r>
      <w:r>
        <w:rPr>
          <w:rFonts w:ascii="仿宋" w:hAnsi="仿宋" w:eastAsia="仿宋"/>
          <w:color w:val="auto"/>
          <w:highlight w:val="none"/>
          <w:lang w:eastAsia="zh-CN"/>
        </w:rPr>
        <w:t>按</w:t>
      </w:r>
      <w:r>
        <w:rPr>
          <w:rFonts w:hint="eastAsia" w:ascii="仿宋" w:hAnsi="仿宋" w:eastAsia="仿宋"/>
          <w:color w:val="auto"/>
          <w:highlight w:val="none"/>
          <w:lang w:eastAsia="zh-CN"/>
        </w:rPr>
        <w:t>建设主管部门</w:t>
      </w:r>
      <w:r>
        <w:rPr>
          <w:rFonts w:ascii="仿宋" w:hAnsi="仿宋" w:eastAsia="仿宋"/>
          <w:color w:val="auto"/>
          <w:highlight w:val="none"/>
          <w:lang w:eastAsia="zh-CN"/>
        </w:rPr>
        <w:t>的</w:t>
      </w:r>
      <w:r>
        <w:rPr>
          <w:rFonts w:hint="eastAsia" w:ascii="仿宋" w:hAnsi="仿宋" w:eastAsia="仿宋"/>
          <w:color w:val="auto"/>
          <w:highlight w:val="none"/>
          <w:lang w:eastAsia="zh-CN"/>
        </w:rPr>
        <w:t>工人实名制</w:t>
      </w:r>
      <w:r>
        <w:rPr>
          <w:rFonts w:ascii="仿宋" w:hAnsi="仿宋" w:eastAsia="仿宋"/>
          <w:color w:val="auto"/>
          <w:highlight w:val="none"/>
          <w:lang w:eastAsia="zh-CN"/>
        </w:rPr>
        <w:t>规定</w:t>
      </w:r>
      <w:r>
        <w:rPr>
          <w:rFonts w:hint="eastAsia" w:ascii="仿宋" w:hAnsi="仿宋" w:eastAsia="仿宋"/>
          <w:color w:val="auto"/>
          <w:highlight w:val="none"/>
          <w:lang w:eastAsia="zh-CN"/>
        </w:rPr>
        <w:t>执行</w:t>
      </w:r>
      <w:r>
        <w:rPr>
          <w:rFonts w:ascii="仿宋" w:hAnsi="仿宋" w:eastAsia="仿宋"/>
          <w:color w:val="auto"/>
          <w:highlight w:val="none"/>
          <w:lang w:eastAsia="zh-CN"/>
        </w:rPr>
        <w:t>，应承担施工过程中承包人或其分包人所雇用的工人出现的伤亡事故或损失和对外的人身、财产损害赔偿责任；并对分包单位原因造成的工人意外事故或伤害承担连带责任。</w:t>
      </w:r>
    </w:p>
    <w:p w14:paraId="59A3BC61">
      <w:pPr>
        <w:spacing w:line="360" w:lineRule="auto"/>
        <w:ind w:left="513" w:leftChars="165" w:hanging="117" w:hangingChars="49"/>
        <w:rPr>
          <w:rFonts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5</w:t>
      </w:r>
      <w:r>
        <w:rPr>
          <w:rFonts w:ascii="仿宋" w:hAnsi="仿宋" w:eastAsia="仿宋"/>
          <w:color w:val="auto"/>
          <w:highlight w:val="none"/>
          <w:lang w:eastAsia="zh-CN"/>
        </w:rPr>
        <w:t>.</w:t>
      </w:r>
      <w:r>
        <w:rPr>
          <w:rFonts w:hint="eastAsia" w:ascii="仿宋" w:hAnsi="仿宋" w:eastAsia="仿宋"/>
          <w:color w:val="auto"/>
          <w:highlight w:val="none"/>
          <w:lang w:eastAsia="zh-CN"/>
        </w:rPr>
        <w:t>9</w:t>
      </w:r>
      <w:r>
        <w:rPr>
          <w:rFonts w:ascii="仿宋" w:hAnsi="仿宋" w:eastAsia="仿宋"/>
          <w:color w:val="auto"/>
          <w:highlight w:val="none"/>
          <w:lang w:eastAsia="zh-CN"/>
        </w:rPr>
        <w:t>）工程施工时，如与现场</w:t>
      </w:r>
      <w:r>
        <w:rPr>
          <w:rFonts w:hint="eastAsia" w:ascii="仿宋" w:hAnsi="仿宋" w:eastAsia="仿宋"/>
          <w:color w:val="auto"/>
          <w:highlight w:val="none"/>
          <w:lang w:eastAsia="zh-CN"/>
        </w:rPr>
        <w:t>其他</w:t>
      </w:r>
      <w:r>
        <w:rPr>
          <w:rFonts w:ascii="仿宋" w:hAnsi="仿宋" w:eastAsia="仿宋"/>
          <w:color w:val="auto"/>
          <w:highlight w:val="none"/>
          <w:lang w:eastAsia="zh-CN"/>
        </w:rPr>
        <w:t>工程施工发生交叉，承包人必须服从发包人的安排，配合施工并采用合理的施工方案和采取必要的措施，保护已施工的工程不受损坏，所需的措施费包含在</w:t>
      </w:r>
      <w:r>
        <w:rPr>
          <w:rFonts w:hint="eastAsia" w:ascii="仿宋" w:hAnsi="仿宋" w:eastAsia="仿宋"/>
          <w:color w:val="auto"/>
          <w:highlight w:val="none"/>
          <w:lang w:eastAsia="zh-CN"/>
        </w:rPr>
        <w:t>投标报价</w:t>
      </w:r>
      <w:r>
        <w:rPr>
          <w:rFonts w:ascii="仿宋" w:hAnsi="仿宋" w:eastAsia="仿宋"/>
          <w:color w:val="auto"/>
          <w:highlight w:val="none"/>
          <w:lang w:eastAsia="zh-CN"/>
        </w:rPr>
        <w:t>中。如因承包人原因造成</w:t>
      </w:r>
      <w:r>
        <w:rPr>
          <w:rFonts w:hint="eastAsia" w:ascii="仿宋" w:hAnsi="仿宋" w:eastAsia="仿宋"/>
          <w:color w:val="auto"/>
          <w:highlight w:val="none"/>
          <w:lang w:eastAsia="zh-CN"/>
        </w:rPr>
        <w:t>其他</w:t>
      </w:r>
      <w:r>
        <w:rPr>
          <w:rFonts w:ascii="仿宋" w:hAnsi="仿宋" w:eastAsia="仿宋"/>
          <w:color w:val="auto"/>
          <w:highlight w:val="none"/>
          <w:lang w:eastAsia="zh-CN"/>
        </w:rPr>
        <w:t>已施工的工程损坏，修复或重新施工所需的费用由承包人承担。</w:t>
      </w:r>
    </w:p>
    <w:p w14:paraId="59140B6D">
      <w:pPr>
        <w:spacing w:line="360" w:lineRule="auto"/>
        <w:ind w:left="398" w:leftChars="166"/>
        <w:rPr>
          <w:rFonts w:hint="eastAsia"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5</w:t>
      </w:r>
      <w:r>
        <w:rPr>
          <w:rFonts w:ascii="仿宋" w:hAnsi="仿宋" w:eastAsia="仿宋"/>
          <w:color w:val="auto"/>
          <w:highlight w:val="none"/>
          <w:lang w:eastAsia="zh-CN"/>
        </w:rPr>
        <w:t>.</w:t>
      </w:r>
      <w:r>
        <w:rPr>
          <w:rFonts w:hint="eastAsia" w:ascii="仿宋" w:hAnsi="仿宋" w:eastAsia="仿宋"/>
          <w:color w:val="auto"/>
          <w:highlight w:val="none"/>
          <w:lang w:eastAsia="zh-CN"/>
        </w:rPr>
        <w:t>10</w:t>
      </w:r>
      <w:r>
        <w:rPr>
          <w:rFonts w:ascii="仿宋" w:hAnsi="仿宋" w:eastAsia="仿宋"/>
          <w:color w:val="auto"/>
          <w:highlight w:val="none"/>
          <w:lang w:eastAsia="zh-CN"/>
        </w:rPr>
        <w:t>）</w:t>
      </w:r>
      <w:r>
        <w:rPr>
          <w:rFonts w:hint="eastAsia" w:ascii="仿宋" w:hAnsi="仿宋" w:eastAsia="仿宋"/>
          <w:color w:val="auto"/>
          <w:highlight w:val="none"/>
          <w:lang w:eastAsia="zh-CN"/>
        </w:rPr>
        <w:t>消防验收、质量竣工验收前监督检查、电梯验收、人防验收、白蚁防治验收、光纤到户验收、</w:t>
      </w:r>
      <w:r>
        <w:rPr>
          <w:rFonts w:hint="eastAsia" w:ascii="仿宋" w:hAnsi="仿宋" w:eastAsia="仿宋"/>
          <w:color w:val="auto"/>
          <w:highlight w:val="none"/>
          <w:lang w:eastAsia="zh"/>
        </w:rPr>
        <w:t>有线电视验收、</w:t>
      </w:r>
      <w:r>
        <w:rPr>
          <w:rFonts w:hint="eastAsia" w:ascii="仿宋" w:hAnsi="仿宋" w:eastAsia="仿宋"/>
          <w:color w:val="auto"/>
          <w:highlight w:val="none"/>
          <w:lang w:eastAsia="zh-CN"/>
        </w:rPr>
        <w:t>节能验收、海绵城市验收、绿色建筑验收、5G验收、规划验收、防雷验收</w:t>
      </w:r>
      <w:r>
        <w:rPr>
          <w:rFonts w:hint="eastAsia" w:ascii="仿宋" w:hAnsi="仿宋" w:eastAsia="仿宋"/>
          <w:color w:val="auto"/>
          <w:highlight w:val="none"/>
          <w:lang w:eastAsia="zh"/>
        </w:rPr>
        <w:t>、永水永电燃气验收</w:t>
      </w:r>
      <w:r>
        <w:rPr>
          <w:rFonts w:hint="eastAsia" w:ascii="仿宋" w:hAnsi="仿宋" w:eastAsia="仿宋"/>
          <w:color w:val="auto"/>
          <w:highlight w:val="none"/>
          <w:lang w:eastAsia="zh-CN"/>
        </w:rPr>
        <w:t>等申报工作</w:t>
      </w:r>
      <w:r>
        <w:rPr>
          <w:rFonts w:ascii="仿宋" w:hAnsi="仿宋" w:eastAsia="仿宋"/>
          <w:color w:val="auto"/>
          <w:highlight w:val="none"/>
          <w:lang w:eastAsia="zh-CN"/>
        </w:rPr>
        <w:t>由承包人代为办理，发包人、监理</w:t>
      </w:r>
      <w:r>
        <w:rPr>
          <w:rFonts w:hint="eastAsia" w:ascii="仿宋" w:hAnsi="仿宋" w:eastAsia="仿宋"/>
          <w:color w:val="auto"/>
          <w:highlight w:val="none"/>
          <w:lang w:eastAsia="zh-CN"/>
        </w:rPr>
        <w:t>人</w:t>
      </w:r>
      <w:r>
        <w:rPr>
          <w:rFonts w:ascii="仿宋" w:hAnsi="仿宋" w:eastAsia="仿宋"/>
          <w:color w:val="auto"/>
          <w:highlight w:val="none"/>
          <w:lang w:eastAsia="zh-CN"/>
        </w:rPr>
        <w:t>提供协助</w:t>
      </w:r>
      <w:r>
        <w:rPr>
          <w:rFonts w:hint="eastAsia" w:ascii="仿宋" w:hAnsi="仿宋" w:eastAsia="仿宋"/>
          <w:color w:val="auto"/>
          <w:highlight w:val="none"/>
          <w:lang w:eastAsia="zh-CN"/>
        </w:rPr>
        <w:t>，满足联合验收条件后由发包人申请竣工联合验收。</w:t>
      </w:r>
    </w:p>
    <w:p w14:paraId="7AD1B248">
      <w:pPr>
        <w:tabs>
          <w:tab w:val="center" w:pos="180"/>
          <w:tab w:val="center" w:pos="360"/>
          <w:tab w:val="left" w:pos="525"/>
        </w:tabs>
        <w:spacing w:line="360" w:lineRule="auto"/>
        <w:ind w:left="398" w:leftChars="166"/>
        <w:rPr>
          <w:rFonts w:ascii="仿宋" w:hAnsi="仿宋" w:eastAsia="仿宋"/>
          <w:color w:val="auto"/>
          <w:highlight w:val="none"/>
          <w:u w:val="singl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5</w:t>
      </w:r>
      <w:r>
        <w:rPr>
          <w:rFonts w:ascii="仿宋" w:hAnsi="仿宋" w:eastAsia="仿宋"/>
          <w:color w:val="auto"/>
          <w:highlight w:val="none"/>
          <w:lang w:eastAsia="zh-CN"/>
        </w:rPr>
        <w:t>.11）承包人不履行总承包管理责任，或管理协调不力，而造成工程进度延误，或其他损失，</w:t>
      </w:r>
      <w:r>
        <w:rPr>
          <w:rFonts w:ascii="仿宋" w:hAnsi="仿宋" w:eastAsia="仿宋"/>
          <w:b/>
          <w:bCs/>
          <w:color w:val="auto"/>
          <w:highlight w:val="none"/>
          <w:u w:val="single"/>
          <w:lang w:eastAsia="zh-CN"/>
        </w:rPr>
        <w:t>承包人承担由本单位原因造成相关的经济责任，并每次</w:t>
      </w:r>
      <w:r>
        <w:rPr>
          <w:rFonts w:hint="eastAsia" w:ascii="仿宋" w:hAnsi="仿宋" w:eastAsia="仿宋"/>
          <w:b/>
          <w:bCs/>
          <w:color w:val="auto"/>
          <w:highlight w:val="none"/>
          <w:u w:val="single"/>
          <w:lang w:eastAsia="zh-CN"/>
        </w:rPr>
        <w:t>按较大违约责任</w:t>
      </w:r>
      <w:r>
        <w:rPr>
          <w:rFonts w:ascii="仿宋" w:hAnsi="仿宋" w:eastAsia="仿宋"/>
          <w:b/>
          <w:bCs/>
          <w:color w:val="auto"/>
          <w:highlight w:val="none"/>
          <w:u w:val="single"/>
          <w:lang w:eastAsia="zh-CN"/>
        </w:rPr>
        <w:t>向发包人支付违约金人民币3万元。</w:t>
      </w:r>
    </w:p>
    <w:p w14:paraId="2257AD2F">
      <w:pPr>
        <w:pStyle w:val="42"/>
        <w:spacing w:after="0"/>
        <w:ind w:left="480" w:leftChars="200" w:firstLine="0" w:firstLineChars="0"/>
        <w:rPr>
          <w:rFonts w:ascii="仿宋" w:hAnsi="仿宋" w:eastAsia="仿宋"/>
          <w:color w:val="auto"/>
          <w:sz w:val="24"/>
          <w:highlight w:val="none"/>
        </w:rPr>
      </w:pPr>
      <w:r>
        <w:rPr>
          <w:rFonts w:ascii="仿宋" w:hAnsi="仿宋" w:eastAsia="仿宋"/>
          <w:color w:val="auto"/>
          <w:sz w:val="24"/>
          <w:highlight w:val="none"/>
        </w:rPr>
        <w:t>（1</w:t>
      </w:r>
      <w:r>
        <w:rPr>
          <w:rFonts w:hint="eastAsia" w:ascii="仿宋" w:hAnsi="仿宋" w:eastAsia="仿宋"/>
          <w:color w:val="auto"/>
          <w:sz w:val="24"/>
          <w:highlight w:val="none"/>
        </w:rPr>
        <w:t>5</w:t>
      </w:r>
      <w:r>
        <w:rPr>
          <w:rFonts w:ascii="仿宋" w:hAnsi="仿宋" w:eastAsia="仿宋"/>
          <w:color w:val="auto"/>
          <w:sz w:val="24"/>
          <w:highlight w:val="none"/>
        </w:rPr>
        <w:t>.12）</w:t>
      </w:r>
      <w:r>
        <w:rPr>
          <w:rFonts w:ascii="仿宋" w:hAnsi="仿宋" w:eastAsia="仿宋"/>
          <w:b/>
          <w:bCs/>
          <w:color w:val="auto"/>
          <w:sz w:val="24"/>
          <w:highlight w:val="none"/>
        </w:rPr>
        <w:t>承包人作为整个项目的施工总协调单位，</w:t>
      </w:r>
      <w:r>
        <w:rPr>
          <w:rFonts w:hint="eastAsia" w:ascii="仿宋" w:hAnsi="仿宋" w:eastAsia="仿宋"/>
          <w:b/>
          <w:bCs/>
          <w:color w:val="auto"/>
          <w:sz w:val="24"/>
          <w:highlight w:val="none"/>
        </w:rPr>
        <w:t>必须在项目开工时成立总承包管理部，并按要求配置管理人员，建立总承包管理制度并报监理单位、发包人审批同意后实施；</w:t>
      </w:r>
      <w:r>
        <w:rPr>
          <w:rFonts w:ascii="仿宋" w:hAnsi="仿宋" w:eastAsia="仿宋"/>
          <w:b/>
          <w:bCs/>
          <w:color w:val="auto"/>
          <w:sz w:val="24"/>
          <w:highlight w:val="none"/>
        </w:rPr>
        <w:t>为</w:t>
      </w:r>
      <w:r>
        <w:rPr>
          <w:rFonts w:hint="eastAsia" w:ascii="仿宋" w:hAnsi="仿宋" w:eastAsia="仿宋"/>
          <w:b/>
          <w:bCs/>
          <w:color w:val="auto"/>
          <w:sz w:val="24"/>
          <w:highlight w:val="none"/>
        </w:rPr>
        <w:t>项目内</w:t>
      </w:r>
      <w:r>
        <w:rPr>
          <w:rFonts w:ascii="仿宋" w:hAnsi="仿宋" w:eastAsia="仿宋"/>
          <w:b/>
          <w:bCs/>
          <w:color w:val="auto"/>
          <w:sz w:val="24"/>
          <w:highlight w:val="none"/>
        </w:rPr>
        <w:t>的</w:t>
      </w:r>
      <w:r>
        <w:rPr>
          <w:rFonts w:hint="eastAsia" w:ascii="仿宋" w:hAnsi="仿宋" w:eastAsia="仿宋"/>
          <w:b/>
          <w:bCs/>
          <w:color w:val="auto"/>
          <w:sz w:val="24"/>
          <w:highlight w:val="none"/>
        </w:rPr>
        <w:t>各工程</w:t>
      </w:r>
      <w:r>
        <w:rPr>
          <w:rFonts w:ascii="仿宋" w:hAnsi="仿宋" w:eastAsia="仿宋"/>
          <w:b/>
          <w:bCs/>
          <w:color w:val="auto"/>
          <w:sz w:val="24"/>
          <w:highlight w:val="none"/>
        </w:rPr>
        <w:t>承包人</w:t>
      </w:r>
      <w:r>
        <w:rPr>
          <w:rFonts w:hint="eastAsia" w:ascii="仿宋" w:hAnsi="仿宋" w:eastAsia="仿宋"/>
          <w:b/>
          <w:bCs/>
          <w:color w:val="auto"/>
          <w:sz w:val="24"/>
          <w:highlight w:val="none"/>
        </w:rPr>
        <w:t>、分包单位等</w:t>
      </w:r>
      <w:r>
        <w:rPr>
          <w:rFonts w:ascii="仿宋" w:hAnsi="仿宋" w:eastAsia="仿宋"/>
          <w:b/>
          <w:bCs/>
          <w:color w:val="auto"/>
          <w:sz w:val="24"/>
          <w:highlight w:val="none"/>
        </w:rPr>
        <w:t>提供施工总协调工作,相关费用已包含在其</w:t>
      </w:r>
      <w:r>
        <w:rPr>
          <w:rFonts w:hint="eastAsia" w:ascii="仿宋" w:hAnsi="仿宋" w:eastAsia="仿宋"/>
          <w:b/>
          <w:bCs/>
          <w:color w:val="auto"/>
          <w:sz w:val="24"/>
          <w:highlight w:val="none"/>
          <w:lang w:val="en-US" w:eastAsia="zh-CN"/>
        </w:rPr>
        <w:t>中标</w:t>
      </w:r>
      <w:r>
        <w:rPr>
          <w:rFonts w:ascii="仿宋" w:hAnsi="仿宋" w:eastAsia="仿宋"/>
          <w:b/>
          <w:bCs/>
          <w:color w:val="auto"/>
          <w:sz w:val="24"/>
          <w:highlight w:val="none"/>
        </w:rPr>
        <w:t>合同价的包干措施项目费中。</w:t>
      </w:r>
      <w:r>
        <w:rPr>
          <w:rFonts w:ascii="仿宋" w:hAnsi="仿宋" w:eastAsia="仿宋"/>
          <w:color w:val="auto"/>
          <w:sz w:val="24"/>
          <w:highlight w:val="none"/>
        </w:rPr>
        <w:t>施工总协调工作包括但不限于如下内容：</w:t>
      </w:r>
    </w:p>
    <w:p w14:paraId="17C0F4D4">
      <w:pPr>
        <w:tabs>
          <w:tab w:val="center" w:pos="180"/>
          <w:tab w:val="center" w:pos="540"/>
        </w:tabs>
        <w:spacing w:line="360" w:lineRule="auto"/>
        <w:ind w:left="598" w:leftChars="249"/>
        <w:rPr>
          <w:rFonts w:ascii="仿宋" w:hAnsi="仿宋" w:eastAsia="仿宋"/>
          <w:color w:val="auto"/>
          <w:highlight w:val="none"/>
          <w:lang w:eastAsia="zh-CN"/>
        </w:rPr>
      </w:pPr>
      <w:r>
        <w:rPr>
          <w:rFonts w:ascii="仿宋" w:hAnsi="仿宋" w:eastAsia="仿宋"/>
          <w:color w:val="auto"/>
          <w:highlight w:val="none"/>
          <w:lang w:eastAsia="zh-CN"/>
        </w:rPr>
        <w:t>①必须从全局角度分阶段制定适用的施工总平面布置，该总平面布置必须经监理单位及发包人审查同意；</w:t>
      </w:r>
    </w:p>
    <w:p w14:paraId="35677916">
      <w:pPr>
        <w:tabs>
          <w:tab w:val="center" w:pos="180"/>
          <w:tab w:val="center" w:pos="540"/>
        </w:tabs>
        <w:spacing w:line="360" w:lineRule="auto"/>
        <w:ind w:left="598" w:leftChars="249"/>
        <w:rPr>
          <w:rFonts w:ascii="仿宋" w:hAnsi="仿宋" w:eastAsia="仿宋"/>
          <w:color w:val="auto"/>
          <w:highlight w:val="none"/>
          <w:lang w:eastAsia="zh-CN"/>
        </w:rPr>
      </w:pPr>
      <w:r>
        <w:rPr>
          <w:rFonts w:ascii="仿宋" w:hAnsi="仿宋" w:eastAsia="仿宋"/>
          <w:color w:val="auto"/>
          <w:highlight w:val="none"/>
          <w:lang w:eastAsia="zh-CN"/>
        </w:rPr>
        <w:t>②作好各承包人之间及由发包人另行依法确定的各专业承包人之间工作界面的收口、交接工作，为</w:t>
      </w:r>
      <w:r>
        <w:rPr>
          <w:rFonts w:hint="eastAsia" w:ascii="仿宋" w:hAnsi="仿宋" w:eastAsia="仿宋"/>
          <w:color w:val="auto"/>
          <w:highlight w:val="none"/>
          <w:lang w:eastAsia="zh-CN"/>
        </w:rPr>
        <w:t>其他</w:t>
      </w:r>
      <w:r>
        <w:rPr>
          <w:rFonts w:ascii="仿宋" w:hAnsi="仿宋" w:eastAsia="仿宋"/>
          <w:color w:val="auto"/>
          <w:highlight w:val="none"/>
          <w:lang w:eastAsia="zh-CN"/>
        </w:rPr>
        <w:t>承包人提供接口或配合协调等工作。</w:t>
      </w:r>
    </w:p>
    <w:p w14:paraId="3E8324B3">
      <w:pPr>
        <w:tabs>
          <w:tab w:val="center" w:pos="180"/>
          <w:tab w:val="center" w:pos="540"/>
        </w:tabs>
        <w:spacing w:line="360" w:lineRule="auto"/>
        <w:ind w:left="598" w:leftChars="249"/>
        <w:rPr>
          <w:rFonts w:ascii="仿宋" w:hAnsi="仿宋" w:eastAsia="仿宋"/>
          <w:color w:val="auto"/>
          <w:highlight w:val="none"/>
          <w:lang w:eastAsia="zh-CN"/>
        </w:rPr>
      </w:pPr>
      <w:r>
        <w:rPr>
          <w:rFonts w:ascii="仿宋" w:hAnsi="仿宋" w:eastAsia="仿宋"/>
          <w:color w:val="auto"/>
          <w:highlight w:val="none"/>
          <w:lang w:eastAsia="zh-CN"/>
        </w:rPr>
        <w:t>③若大型施工设备（如：塔吊、垂直运输设备、水泥储罐等）需连续使用，由总协调单位牵头组织，做到资源共享，费用共担，公平合理；</w:t>
      </w:r>
    </w:p>
    <w:p w14:paraId="16A1D22E">
      <w:pPr>
        <w:tabs>
          <w:tab w:val="center" w:pos="180"/>
          <w:tab w:val="center" w:pos="540"/>
        </w:tabs>
        <w:spacing w:line="360" w:lineRule="auto"/>
        <w:ind w:left="598" w:leftChars="249"/>
        <w:rPr>
          <w:rFonts w:ascii="仿宋" w:hAnsi="仿宋" w:eastAsia="仿宋"/>
          <w:color w:val="auto"/>
          <w:highlight w:val="none"/>
          <w:lang w:eastAsia="zh-CN"/>
        </w:rPr>
      </w:pPr>
      <w:r>
        <w:rPr>
          <w:rFonts w:ascii="仿宋" w:hAnsi="仿宋" w:eastAsia="仿宋"/>
          <w:color w:val="auto"/>
          <w:highlight w:val="none"/>
          <w:lang w:eastAsia="zh-CN"/>
        </w:rPr>
        <w:t>④负责外部协调，并督促各</w:t>
      </w:r>
      <w:r>
        <w:rPr>
          <w:rFonts w:hint="eastAsia" w:ascii="仿宋" w:hAnsi="仿宋" w:eastAsia="仿宋"/>
          <w:color w:val="auto"/>
          <w:highlight w:val="none"/>
          <w:lang w:eastAsia="zh-CN"/>
        </w:rPr>
        <w:t>专业</w:t>
      </w:r>
      <w:r>
        <w:rPr>
          <w:rFonts w:ascii="仿宋" w:hAnsi="仿宋" w:eastAsia="仿宋"/>
          <w:color w:val="auto"/>
          <w:highlight w:val="none"/>
          <w:lang w:eastAsia="zh-CN"/>
        </w:rPr>
        <w:t>承包人及由发包人另行依法确定的各专业承包人按时提供有关资料；</w:t>
      </w:r>
    </w:p>
    <w:p w14:paraId="2184043F">
      <w:pPr>
        <w:tabs>
          <w:tab w:val="center" w:pos="180"/>
          <w:tab w:val="center" w:pos="540"/>
        </w:tabs>
        <w:spacing w:line="360" w:lineRule="auto"/>
        <w:ind w:left="598" w:leftChars="249"/>
        <w:rPr>
          <w:rFonts w:ascii="仿宋" w:hAnsi="仿宋" w:eastAsia="仿宋"/>
          <w:color w:val="auto"/>
          <w:highlight w:val="none"/>
          <w:lang w:eastAsia="zh-CN"/>
        </w:rPr>
      </w:pPr>
      <w:r>
        <w:rPr>
          <w:rFonts w:ascii="仿宋" w:hAnsi="仿宋" w:eastAsia="仿宋"/>
          <w:color w:val="auto"/>
          <w:highlight w:val="none"/>
          <w:lang w:eastAsia="zh-CN"/>
        </w:rPr>
        <w:t>⑤组织竣工资料汇总整理归档，并在竣工资料上盖章确认。</w:t>
      </w:r>
    </w:p>
    <w:p w14:paraId="5FCCDD13">
      <w:pPr>
        <w:tabs>
          <w:tab w:val="center" w:pos="180"/>
          <w:tab w:val="center" w:pos="540"/>
        </w:tabs>
        <w:spacing w:line="360" w:lineRule="auto"/>
        <w:ind w:left="598" w:leftChars="249"/>
        <w:rPr>
          <w:rFonts w:ascii="仿宋" w:hAnsi="仿宋" w:eastAsia="仿宋"/>
          <w:color w:val="auto"/>
          <w:highlight w:val="none"/>
          <w:lang w:eastAsia="zh-CN"/>
        </w:rPr>
      </w:pPr>
      <w:r>
        <w:rPr>
          <w:rFonts w:ascii="仿宋" w:hAnsi="仿宋" w:eastAsia="仿宋"/>
          <w:color w:val="auto"/>
          <w:highlight w:val="none"/>
          <w:lang w:eastAsia="zh-CN"/>
        </w:rPr>
        <w:t>⑥对整个项目、整个工地范围内施工现场实施总协调管理，即对承包范围进行现场协调及总进度协调，工程质量控制协调，定期召开工程协调会，对发包人依法确定的专业承包工程</w:t>
      </w:r>
      <w:r>
        <w:rPr>
          <w:rFonts w:hint="eastAsia" w:ascii="仿宋" w:hAnsi="仿宋" w:eastAsia="仿宋"/>
          <w:color w:val="auto"/>
          <w:highlight w:val="none"/>
          <w:lang w:eastAsia="zh-CN"/>
        </w:rPr>
        <w:t>（如有）</w:t>
      </w:r>
      <w:r>
        <w:rPr>
          <w:rFonts w:ascii="仿宋" w:hAnsi="仿宋" w:eastAsia="仿宋"/>
          <w:color w:val="auto"/>
          <w:highlight w:val="none"/>
          <w:lang w:eastAsia="zh-CN"/>
        </w:rPr>
        <w:t>进行积极配合，使其与总进度计划相协调。</w:t>
      </w:r>
    </w:p>
    <w:p w14:paraId="5D455FC4">
      <w:pPr>
        <w:tabs>
          <w:tab w:val="center" w:pos="180"/>
          <w:tab w:val="center" w:pos="360"/>
          <w:tab w:val="left" w:pos="525"/>
        </w:tabs>
        <w:spacing w:line="360" w:lineRule="auto"/>
        <w:ind w:left="398" w:leftChars="166"/>
        <w:rPr>
          <w:rFonts w:ascii="仿宋" w:hAnsi="仿宋" w:eastAsia="仿宋"/>
          <w:color w:val="auto"/>
          <w:highlight w:val="none"/>
          <w:u w:val="singl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5</w:t>
      </w:r>
      <w:r>
        <w:rPr>
          <w:rFonts w:ascii="仿宋" w:hAnsi="仿宋" w:eastAsia="仿宋"/>
          <w:color w:val="auto"/>
          <w:highlight w:val="none"/>
          <w:lang w:eastAsia="zh-CN"/>
        </w:rPr>
        <w:t>.1</w:t>
      </w:r>
      <w:r>
        <w:rPr>
          <w:rFonts w:hint="eastAsia" w:ascii="仿宋" w:hAnsi="仿宋" w:eastAsia="仿宋"/>
          <w:color w:val="auto"/>
          <w:highlight w:val="none"/>
          <w:lang w:eastAsia="zh-CN"/>
        </w:rPr>
        <w:t>3</w:t>
      </w:r>
      <w:r>
        <w:rPr>
          <w:rFonts w:ascii="仿宋" w:hAnsi="仿宋" w:eastAsia="仿宋"/>
          <w:color w:val="auto"/>
          <w:highlight w:val="none"/>
          <w:lang w:eastAsia="zh-CN"/>
        </w:rPr>
        <w:t>）</w:t>
      </w:r>
      <w:r>
        <w:rPr>
          <w:rFonts w:hint="eastAsia" w:ascii="仿宋" w:hAnsi="仿宋" w:eastAsia="仿宋"/>
          <w:color w:val="auto"/>
          <w:highlight w:val="none"/>
          <w:lang w:eastAsia="zh-CN"/>
        </w:rPr>
        <w:t>其他</w:t>
      </w:r>
      <w:r>
        <w:rPr>
          <w:rFonts w:ascii="仿宋" w:hAnsi="仿宋" w:eastAsia="仿宋"/>
          <w:color w:val="auto"/>
          <w:highlight w:val="none"/>
          <w:lang w:eastAsia="zh-CN"/>
        </w:rPr>
        <w:t>承包人不服从总承包单位及总协调单位的协调，或配合不及时，造成工程进度延误或其他损失，</w:t>
      </w:r>
      <w:r>
        <w:rPr>
          <w:rFonts w:hint="eastAsia" w:ascii="仿宋" w:hAnsi="仿宋" w:eastAsia="仿宋"/>
          <w:color w:val="auto"/>
          <w:highlight w:val="none"/>
          <w:lang w:eastAsia="zh-CN"/>
        </w:rPr>
        <w:t>由其他</w:t>
      </w:r>
      <w:r>
        <w:rPr>
          <w:rFonts w:ascii="仿宋" w:hAnsi="仿宋" w:eastAsia="仿宋"/>
          <w:color w:val="auto"/>
          <w:highlight w:val="none"/>
          <w:lang w:eastAsia="zh-CN"/>
        </w:rPr>
        <w:t>承包人承担由本单位原因造成的相关经济责任，</w:t>
      </w:r>
      <w:r>
        <w:rPr>
          <w:rFonts w:ascii="仿宋" w:hAnsi="仿宋" w:eastAsia="仿宋"/>
          <w:b/>
          <w:bCs/>
          <w:color w:val="auto"/>
          <w:highlight w:val="none"/>
          <w:u w:val="single"/>
          <w:lang w:eastAsia="zh-CN"/>
        </w:rPr>
        <w:t>并每次</w:t>
      </w:r>
      <w:r>
        <w:rPr>
          <w:rFonts w:hint="eastAsia" w:ascii="仿宋" w:hAnsi="仿宋" w:eastAsia="仿宋"/>
          <w:b/>
          <w:bCs/>
          <w:color w:val="auto"/>
          <w:highlight w:val="none"/>
          <w:u w:val="single"/>
          <w:lang w:eastAsia="zh-CN"/>
        </w:rPr>
        <w:t>按较大违约责任</w:t>
      </w:r>
      <w:r>
        <w:rPr>
          <w:rFonts w:ascii="仿宋" w:hAnsi="仿宋" w:eastAsia="仿宋"/>
          <w:b/>
          <w:bCs/>
          <w:color w:val="auto"/>
          <w:highlight w:val="none"/>
          <w:u w:val="single"/>
          <w:lang w:eastAsia="zh-CN"/>
        </w:rPr>
        <w:t>向发包人支付违约金。</w:t>
      </w:r>
    </w:p>
    <w:p w14:paraId="39D84FA4">
      <w:pPr>
        <w:spacing w:line="360" w:lineRule="auto"/>
        <w:ind w:left="513" w:leftChars="165" w:hanging="117" w:hangingChars="49"/>
        <w:rPr>
          <w:rFonts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5</w:t>
      </w:r>
      <w:r>
        <w:rPr>
          <w:rFonts w:ascii="仿宋" w:hAnsi="仿宋" w:eastAsia="仿宋"/>
          <w:color w:val="auto"/>
          <w:highlight w:val="none"/>
          <w:lang w:eastAsia="zh-CN"/>
        </w:rPr>
        <w:t>.1</w:t>
      </w:r>
      <w:r>
        <w:rPr>
          <w:rFonts w:hint="eastAsia" w:ascii="仿宋" w:hAnsi="仿宋" w:eastAsia="仿宋"/>
          <w:color w:val="auto"/>
          <w:highlight w:val="none"/>
          <w:lang w:eastAsia="zh-CN"/>
        </w:rPr>
        <w:t>4</w:t>
      </w:r>
      <w:r>
        <w:rPr>
          <w:rFonts w:ascii="仿宋" w:hAnsi="仿宋" w:eastAsia="仿宋"/>
          <w:color w:val="auto"/>
          <w:highlight w:val="none"/>
          <w:lang w:eastAsia="zh-CN"/>
        </w:rPr>
        <w:t>）</w:t>
      </w:r>
      <w:r>
        <w:rPr>
          <w:rFonts w:hint="eastAsia" w:ascii="仿宋" w:hAnsi="仿宋" w:eastAsia="仿宋"/>
          <w:color w:val="auto"/>
          <w:highlight w:val="none"/>
          <w:lang w:eastAsia="zh-CN"/>
        </w:rPr>
        <w:t>承包人应将发包人支付的各项价款专用于本合同工程，且应及时支付其雇佣人员工资，并及时向分包人支付合同价款。</w:t>
      </w:r>
      <w:r>
        <w:rPr>
          <w:rFonts w:ascii="仿宋" w:hAnsi="仿宋" w:eastAsia="仿宋"/>
          <w:color w:val="auto"/>
          <w:highlight w:val="none"/>
          <w:lang w:eastAsia="zh-CN"/>
        </w:rPr>
        <w:t xml:space="preserve">                    </w:t>
      </w:r>
    </w:p>
    <w:p w14:paraId="7E1F87A1">
      <w:pPr>
        <w:spacing w:line="360" w:lineRule="auto"/>
        <w:ind w:left="513" w:leftChars="165" w:hanging="117" w:hangingChars="49"/>
        <w:rPr>
          <w:rFonts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5</w:t>
      </w:r>
      <w:r>
        <w:rPr>
          <w:rFonts w:ascii="仿宋" w:hAnsi="仿宋" w:eastAsia="仿宋"/>
          <w:color w:val="auto"/>
          <w:highlight w:val="none"/>
          <w:lang w:eastAsia="zh-CN"/>
        </w:rPr>
        <w:t>.1</w:t>
      </w:r>
      <w:r>
        <w:rPr>
          <w:rFonts w:hint="eastAsia" w:ascii="仿宋" w:hAnsi="仿宋" w:eastAsia="仿宋"/>
          <w:color w:val="auto"/>
          <w:highlight w:val="none"/>
          <w:lang w:eastAsia="zh-CN"/>
        </w:rPr>
        <w:t>5</w:t>
      </w:r>
      <w:r>
        <w:rPr>
          <w:rFonts w:ascii="仿宋" w:hAnsi="仿宋" w:eastAsia="仿宋"/>
          <w:color w:val="auto"/>
          <w:highlight w:val="none"/>
          <w:lang w:eastAsia="zh-CN"/>
        </w:rPr>
        <w:t>）承包人必须接受发包人对</w:t>
      </w:r>
      <w:r>
        <w:rPr>
          <w:rFonts w:hint="eastAsia" w:ascii="仿宋" w:hAnsi="仿宋" w:eastAsia="仿宋"/>
          <w:color w:val="auto"/>
          <w:highlight w:val="none"/>
          <w:lang w:eastAsia="zh-CN"/>
        </w:rPr>
        <w:t>支付的工程款去向</w:t>
      </w:r>
      <w:r>
        <w:rPr>
          <w:rFonts w:ascii="仿宋" w:hAnsi="仿宋" w:eastAsia="仿宋"/>
          <w:color w:val="auto"/>
          <w:highlight w:val="none"/>
          <w:lang w:eastAsia="zh-CN"/>
        </w:rPr>
        <w:t>的定期监督检查工作，按发包人要求</w:t>
      </w:r>
      <w:r>
        <w:rPr>
          <w:rFonts w:hint="eastAsia" w:ascii="仿宋" w:hAnsi="仿宋" w:eastAsia="仿宋"/>
          <w:color w:val="auto"/>
          <w:highlight w:val="none"/>
          <w:lang w:eastAsia="zh-CN"/>
        </w:rPr>
        <w:t>公开工程款</w:t>
      </w:r>
      <w:r>
        <w:rPr>
          <w:rFonts w:ascii="仿宋" w:hAnsi="仿宋" w:eastAsia="仿宋"/>
          <w:color w:val="auto"/>
          <w:highlight w:val="none"/>
          <w:lang w:eastAsia="zh-CN"/>
        </w:rPr>
        <w:t>的用途及去向。</w:t>
      </w:r>
    </w:p>
    <w:p w14:paraId="470271B3">
      <w:pPr>
        <w:spacing w:line="360" w:lineRule="auto"/>
        <w:ind w:left="513" w:leftChars="165" w:hanging="117" w:hangingChars="49"/>
        <w:rPr>
          <w:rFonts w:hint="eastAsia"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5</w:t>
      </w:r>
      <w:r>
        <w:rPr>
          <w:rFonts w:ascii="仿宋" w:hAnsi="仿宋" w:eastAsia="仿宋"/>
          <w:color w:val="auto"/>
          <w:highlight w:val="none"/>
          <w:lang w:eastAsia="zh-CN"/>
        </w:rPr>
        <w:t>.1</w:t>
      </w:r>
      <w:r>
        <w:rPr>
          <w:rFonts w:hint="eastAsia" w:ascii="仿宋" w:hAnsi="仿宋" w:eastAsia="仿宋"/>
          <w:color w:val="auto"/>
          <w:highlight w:val="none"/>
          <w:lang w:eastAsia="zh-CN"/>
        </w:rPr>
        <w:t>6</w:t>
      </w:r>
      <w:r>
        <w:rPr>
          <w:rFonts w:ascii="仿宋" w:hAnsi="仿宋" w:eastAsia="仿宋"/>
          <w:color w:val="auto"/>
          <w:highlight w:val="none"/>
          <w:lang w:eastAsia="zh-CN"/>
        </w:rPr>
        <w:t>）须</w:t>
      </w:r>
      <w:r>
        <w:rPr>
          <w:rFonts w:hint="eastAsia" w:ascii="仿宋" w:hAnsi="仿宋" w:eastAsia="仿宋"/>
          <w:color w:val="auto"/>
          <w:highlight w:val="none"/>
          <w:lang w:eastAsia="zh-CN"/>
        </w:rPr>
        <w:t>按照</w:t>
      </w:r>
      <w:r>
        <w:rPr>
          <w:rFonts w:ascii="仿宋" w:hAnsi="仿宋" w:eastAsia="仿宋"/>
          <w:color w:val="auto"/>
          <w:highlight w:val="none"/>
          <w:lang w:eastAsia="zh-CN"/>
        </w:rPr>
        <w:t>《工程建设资金专户管理办法》</w:t>
      </w:r>
      <w:r>
        <w:rPr>
          <w:rFonts w:hint="eastAsia" w:ascii="仿宋" w:hAnsi="仿宋" w:eastAsia="仿宋"/>
          <w:color w:val="auto"/>
          <w:highlight w:val="none"/>
          <w:lang w:eastAsia="zh-CN"/>
        </w:rPr>
        <w:t>的要求</w:t>
      </w:r>
      <w:r>
        <w:rPr>
          <w:rFonts w:ascii="仿宋" w:hAnsi="仿宋" w:eastAsia="仿宋"/>
          <w:color w:val="auto"/>
          <w:highlight w:val="none"/>
          <w:lang w:eastAsia="zh-CN"/>
        </w:rPr>
        <w:t xml:space="preserve">开设工程监管专用账户。 </w:t>
      </w:r>
    </w:p>
    <w:p w14:paraId="5F06E1B9">
      <w:pPr>
        <w:spacing w:line="360" w:lineRule="auto"/>
        <w:ind w:left="513" w:leftChars="165" w:hanging="117" w:hangingChars="49"/>
        <w:rPr>
          <w:rFonts w:hint="eastAsia" w:ascii="仿宋" w:hAnsi="仿宋" w:eastAsia="仿宋"/>
          <w:color w:val="auto"/>
          <w:highlight w:val="none"/>
          <w:lang w:eastAsia="zh-CN"/>
        </w:rPr>
      </w:pPr>
      <w:r>
        <w:rPr>
          <w:rFonts w:hint="eastAsia" w:ascii="仿宋" w:hAnsi="仿宋" w:eastAsia="仿宋"/>
          <w:color w:val="auto"/>
          <w:highlight w:val="none"/>
          <w:lang w:eastAsia="zh-CN"/>
        </w:rPr>
        <w:t>（15.17）联合验收、质量技术监督（电梯）、环保设施验收等验收工作通过后90天内，承包人负责完成建设工程档案预验收与报送工作（城建档案部门档案验收），发包人、监理人提供协助。除了移交广州市城建档案馆外，承包人还须向发包人移交建设工程竣工档案原件一套、电子竣工图一套、复印件一套（其中竣工图均为蓝晒图）。</w:t>
      </w:r>
    </w:p>
    <w:p w14:paraId="1DEBD376">
      <w:pPr>
        <w:spacing w:line="360" w:lineRule="auto"/>
        <w:ind w:left="417" w:leftChars="166" w:right="11" w:hanging="19" w:hangingChars="8"/>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hint="eastAsia" w:ascii="仿宋" w:hAnsi="仿宋" w:eastAsia="仿宋"/>
          <w:color w:val="auto"/>
          <w:highlight w:val="none"/>
          <w:lang w:eastAsia="zh-CN"/>
        </w:rPr>
        <w:t>15.18</w:t>
      </w:r>
      <w:r>
        <w:rPr>
          <w:rFonts w:ascii="仿宋" w:hAnsi="仿宋" w:eastAsia="仿宋" w:cs="宋体"/>
          <w:snapToGrid w:val="0"/>
          <w:color w:val="auto"/>
          <w:highlight w:val="none"/>
          <w:lang w:eastAsia="zh-CN"/>
        </w:rPr>
        <w:t>）承包人应</w:t>
      </w:r>
      <w:r>
        <w:rPr>
          <w:rFonts w:hint="eastAsia" w:ascii="仿宋" w:hAnsi="仿宋" w:eastAsia="仿宋" w:cs="宋体"/>
          <w:snapToGrid w:val="0"/>
          <w:color w:val="auto"/>
          <w:highlight w:val="none"/>
          <w:lang w:eastAsia="zh-CN"/>
        </w:rPr>
        <w:t>遵守政府有关主管部门对施工场地交通、余泥排放、污水排放、节假日施工、夜间施工噪音以及环境保护和安全生产等的管理规定，按工程所在地政府主管部门的规定办理并承担由此发生的费用，并在</w:t>
      </w:r>
      <w:r>
        <w:rPr>
          <w:rFonts w:hint="eastAsia" w:ascii="仿宋" w:hAnsi="仿宋" w:eastAsia="仿宋" w:cs="宋体"/>
          <w:snapToGrid w:val="0"/>
          <w:color w:val="auto"/>
          <w:highlight w:val="none"/>
          <w:u w:val="single"/>
          <w:lang w:eastAsia="zh-CN"/>
        </w:rPr>
        <w:t>开工之日起</w:t>
      </w:r>
      <w:r>
        <w:rPr>
          <w:rFonts w:ascii="仿宋" w:hAnsi="仿宋" w:eastAsia="仿宋" w:cs="宋体"/>
          <w:snapToGrid w:val="0"/>
          <w:color w:val="auto"/>
          <w:highlight w:val="none"/>
          <w:u w:val="single"/>
          <w:lang w:eastAsia="zh-CN"/>
        </w:rPr>
        <w:t>2个月内</w:t>
      </w:r>
      <w:r>
        <w:rPr>
          <w:rFonts w:ascii="仿宋" w:hAnsi="仿宋" w:eastAsia="仿宋" w:cs="宋体"/>
          <w:snapToGrid w:val="0"/>
          <w:color w:val="auto"/>
          <w:highlight w:val="none"/>
          <w:lang w:eastAsia="zh-CN"/>
        </w:rPr>
        <w:t>以书面形式知会发包人。</w:t>
      </w:r>
    </w:p>
    <w:p w14:paraId="7CFFEAE2">
      <w:pPr>
        <w:spacing w:line="360" w:lineRule="auto"/>
        <w:ind w:left="398" w:leftChars="166" w:right="11"/>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hint="eastAsia" w:ascii="仿宋" w:hAnsi="仿宋" w:eastAsia="仿宋"/>
          <w:bCs/>
          <w:color w:val="auto"/>
          <w:highlight w:val="none"/>
          <w:lang w:eastAsia="zh-CN"/>
        </w:rPr>
        <w:t>15.19</w:t>
      </w:r>
      <w:r>
        <w:rPr>
          <w:rFonts w:ascii="仿宋" w:hAnsi="仿宋" w:eastAsia="仿宋" w:cs="宋体"/>
          <w:bCs/>
          <w:snapToGrid w:val="0"/>
          <w:color w:val="auto"/>
          <w:highlight w:val="none"/>
          <w:lang w:eastAsia="zh-CN"/>
        </w:rPr>
        <w:t>）未移交后续施工单位或发包人使用前，对已完工工程的保护工作及费用均由承包人负责，发生损坏由承包人自费修复。</w:t>
      </w:r>
    </w:p>
    <w:p w14:paraId="3987BB2C">
      <w:pPr>
        <w:tabs>
          <w:tab w:val="left" w:pos="360"/>
        </w:tabs>
        <w:spacing w:line="360" w:lineRule="auto"/>
        <w:ind w:left="638" w:leftChars="166" w:hanging="240" w:hangingChars="100"/>
        <w:rPr>
          <w:rFonts w:ascii="仿宋" w:hAnsi="仿宋" w:eastAsia="仿宋" w:cs="宋体"/>
          <w:snapToGrid w:val="0"/>
          <w:color w:val="auto"/>
          <w:highlight w:val="none"/>
          <w:lang w:eastAsia="zh-CN"/>
        </w:rPr>
      </w:pPr>
      <w:r>
        <w:rPr>
          <w:rFonts w:hint="eastAsia" w:ascii="仿宋" w:hAnsi="仿宋" w:eastAsia="仿宋" w:cs="宋体"/>
          <w:bCs/>
          <w:snapToGrid w:val="0"/>
          <w:color w:val="auto"/>
          <w:highlight w:val="none"/>
          <w:lang w:eastAsia="zh-CN"/>
        </w:rPr>
        <w:t>（</w:t>
      </w:r>
      <w:r>
        <w:rPr>
          <w:rFonts w:hint="eastAsia" w:ascii="仿宋" w:hAnsi="仿宋" w:eastAsia="仿宋"/>
          <w:bCs/>
          <w:color w:val="auto"/>
          <w:highlight w:val="none"/>
          <w:lang w:eastAsia="zh-CN"/>
        </w:rPr>
        <w:t>15.20</w:t>
      </w:r>
      <w:r>
        <w:rPr>
          <w:rFonts w:ascii="仿宋" w:hAnsi="仿宋" w:eastAsia="仿宋" w:cs="宋体"/>
          <w:bCs/>
          <w:snapToGrid w:val="0"/>
          <w:color w:val="auto"/>
          <w:highlight w:val="none"/>
          <w:lang w:eastAsia="zh-CN"/>
        </w:rPr>
        <w:t>）</w:t>
      </w:r>
      <w:r>
        <w:rPr>
          <w:rFonts w:hint="eastAsia" w:ascii="仿宋" w:hAnsi="仿宋" w:eastAsia="仿宋" w:cs="宋体"/>
          <w:bCs/>
          <w:snapToGrid w:val="0"/>
          <w:color w:val="auto"/>
          <w:highlight w:val="none"/>
          <w:lang w:eastAsia="zh-CN"/>
        </w:rPr>
        <w:t>承包人须按发包人批准的施工组织设计进行施工现场布置、放置材料机械及其他设施，开工前积极配合施工许可证查勘要求布置施工现场；</w:t>
      </w:r>
      <w:r>
        <w:rPr>
          <w:rFonts w:hint="eastAsia" w:ascii="仿宋" w:hAnsi="仿宋" w:eastAsia="仿宋"/>
          <w:color w:val="auto"/>
          <w:highlight w:val="none"/>
          <w:u w:val="single"/>
          <w:lang w:eastAsia="zh-CN"/>
        </w:rPr>
        <w:t>第一阶段施工许可证需各方配合在合同签订后3个工作日内完成。</w:t>
      </w:r>
      <w:r>
        <w:rPr>
          <w:rFonts w:hint="eastAsia" w:ascii="仿宋" w:hAnsi="仿宋" w:eastAsia="仿宋" w:cs="宋体"/>
          <w:snapToGrid w:val="0"/>
          <w:color w:val="auto"/>
          <w:highlight w:val="none"/>
          <w:lang w:eastAsia="zh-CN"/>
        </w:rPr>
        <w:t>因承包人原因造成施工许可证办理延误,发包人有权要求承包人承担</w:t>
      </w:r>
      <w:r>
        <w:rPr>
          <w:rFonts w:hint="eastAsia" w:ascii="仿宋" w:hAnsi="仿宋" w:eastAsia="仿宋" w:cs="宋体"/>
          <w:snapToGrid w:val="0"/>
          <w:color w:val="auto"/>
          <w:highlight w:val="none"/>
          <w:u w:val="single"/>
          <w:lang w:eastAsia="zh-CN"/>
        </w:rPr>
        <w:t>1次一般违约责任处罚</w:t>
      </w:r>
      <w:r>
        <w:rPr>
          <w:rFonts w:hint="eastAsia" w:ascii="仿宋" w:hAnsi="仿宋" w:eastAsia="仿宋" w:cs="宋体"/>
          <w:snapToGrid w:val="0"/>
          <w:color w:val="auto"/>
          <w:highlight w:val="none"/>
          <w:lang w:eastAsia="zh-CN"/>
        </w:rPr>
        <w:t>，若造成工期延误，承包人还应当按照专用条款第95.3款的有关约定承担违约责任。</w:t>
      </w:r>
    </w:p>
    <w:p w14:paraId="3882D2EB">
      <w:pPr>
        <w:spacing w:line="360" w:lineRule="auto"/>
        <w:ind w:left="598" w:leftChars="249" w:right="11" w:firstLine="319" w:firstLineChars="133"/>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施工过程中，承包人应按合同约定及时清理施工垃圾，做到工完料清，将施工垃圾、余泥运出场外，保证施工场地清洁符合环境卫生管理的有关规定，达到合同协议书约定的安全生产及文明施工目标，并在工程竣工验收之日起</w:t>
      </w:r>
      <w:r>
        <w:rPr>
          <w:rFonts w:ascii="仿宋" w:hAnsi="仿宋" w:eastAsia="仿宋" w:cs="宋体"/>
          <w:snapToGrid w:val="0"/>
          <w:color w:val="auto"/>
          <w:highlight w:val="none"/>
          <w:lang w:eastAsia="zh-CN"/>
        </w:rPr>
        <w:t>10天内完成对施工场地进行全面清理。</w:t>
      </w:r>
    </w:p>
    <w:p w14:paraId="7F807CED">
      <w:pPr>
        <w:spacing w:line="360" w:lineRule="auto"/>
        <w:ind w:right="11" w:firstLine="460" w:firstLineChars="192"/>
        <w:rPr>
          <w:rFonts w:ascii="仿宋" w:hAnsi="仿宋" w:eastAsia="仿宋" w:cs="宋体"/>
          <w:snapToGrid w:val="0"/>
          <w:color w:val="auto"/>
          <w:highlight w:val="none"/>
          <w:u w:val="single"/>
          <w:lang w:eastAsia="zh-CN"/>
        </w:rPr>
      </w:pPr>
      <w:r>
        <w:rPr>
          <w:rFonts w:hint="eastAsia" w:ascii="仿宋" w:hAnsi="仿宋" w:eastAsia="仿宋" w:cs="宋体"/>
          <w:snapToGrid w:val="0"/>
          <w:color w:val="auto"/>
          <w:highlight w:val="none"/>
          <w:lang w:eastAsia="zh-CN"/>
        </w:rPr>
        <w:t>（</w:t>
      </w:r>
      <w:r>
        <w:rPr>
          <w:rFonts w:hint="eastAsia" w:ascii="仿宋" w:hAnsi="仿宋" w:eastAsia="仿宋"/>
          <w:color w:val="auto"/>
          <w:highlight w:val="none"/>
          <w:lang w:eastAsia="zh-CN"/>
        </w:rPr>
        <w:t>15.21</w:t>
      </w: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u w:val="single"/>
          <w:lang w:eastAsia="zh-CN"/>
        </w:rPr>
        <w:t>承包人应做的其他工作</w:t>
      </w:r>
    </w:p>
    <w:p w14:paraId="218DC998">
      <w:pPr>
        <w:spacing w:line="360" w:lineRule="auto"/>
        <w:ind w:left="598" w:leftChars="249" w:firstLine="240" w:firstLineChars="100"/>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1）进场后定期按审定格式向工程师申报人材机投入量及实物工程量完成量，以工程师审定量作为工程款（进度款）支付的依据。</w:t>
      </w:r>
    </w:p>
    <w:p w14:paraId="4D146292">
      <w:pPr>
        <w:spacing w:line="360" w:lineRule="auto"/>
        <w:ind w:left="598" w:leftChars="249" w:firstLine="240" w:firstLineChars="100"/>
        <w:rPr>
          <w:rFonts w:hint="eastAsia"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2）</w:t>
      </w:r>
      <w:r>
        <w:rPr>
          <w:rFonts w:hint="eastAsia" w:ascii="仿宋" w:hAnsi="仿宋" w:eastAsia="仿宋" w:cs="宋体"/>
          <w:bCs/>
          <w:snapToGrid w:val="0"/>
          <w:color w:val="auto"/>
          <w:highlight w:val="none"/>
          <w:lang w:eastAsia="zh-CN"/>
        </w:rPr>
        <w:t>保证执行投标文件所承诺的施工组织设计中的资源投入计划，将工程施工所需的机械设备、人员、材料等资源，根据工程进度计划按时、按标准、足额投入；否则，应按专用条款第95.2（3）款的约定承担违反投标承诺的违约责任。</w:t>
      </w:r>
    </w:p>
    <w:p w14:paraId="65419A8F">
      <w:pPr>
        <w:spacing w:line="360" w:lineRule="auto"/>
        <w:ind w:left="398" w:leftChars="166" w:right="11" w:firstLine="324" w:firstLineChars="135"/>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施工过程中，承包人因特殊原因需变更资源投入计划或者对已投入的资源进行调整的，应当提前</w:t>
      </w:r>
      <w:r>
        <w:rPr>
          <w:rFonts w:ascii="仿宋" w:hAnsi="仿宋" w:eastAsia="仿宋" w:cs="宋体"/>
          <w:bCs/>
          <w:snapToGrid w:val="0"/>
          <w:color w:val="auto"/>
          <w:highlight w:val="none"/>
          <w:lang w:eastAsia="zh-CN"/>
        </w:rPr>
        <w:t>7天提出书面申请，报总监理工程师和发包人批准。</w:t>
      </w:r>
      <w:r>
        <w:rPr>
          <w:rFonts w:hint="eastAsia" w:ascii="仿宋" w:hAnsi="仿宋" w:eastAsia="仿宋" w:cs="宋体"/>
          <w:snapToGrid w:val="0"/>
          <w:color w:val="auto"/>
          <w:highlight w:val="none"/>
          <w:lang w:eastAsia="zh-CN"/>
        </w:rPr>
        <w:t>允许机械、设备调整的原则为：所调整机械、设备的规格、标准只能比原计划提高，不能降低；数量原则上不允许减少，如确因更换先进设备提高了工效，发包人可考虑在总工作能力不降低的前提下同意调整。</w:t>
      </w:r>
      <w:r>
        <w:rPr>
          <w:rFonts w:hint="eastAsia" w:ascii="仿宋" w:hAnsi="仿宋" w:eastAsia="仿宋" w:cs="宋体"/>
          <w:bCs/>
          <w:snapToGrid w:val="0"/>
          <w:color w:val="auto"/>
          <w:highlight w:val="none"/>
          <w:lang w:eastAsia="zh-CN"/>
        </w:rPr>
        <w:t>未经发包人许可，承包人开工后已进场的机械设备在</w:t>
      </w:r>
      <w:r>
        <w:rPr>
          <w:rFonts w:hint="eastAsia" w:ascii="仿宋" w:hAnsi="仿宋" w:eastAsia="仿宋" w:cs="宋体"/>
          <w:snapToGrid w:val="0"/>
          <w:color w:val="auto"/>
          <w:highlight w:val="none"/>
          <w:lang w:eastAsia="zh-CN"/>
        </w:rPr>
        <w:t>任何情况下都</w:t>
      </w:r>
      <w:r>
        <w:rPr>
          <w:rFonts w:hint="eastAsia" w:ascii="仿宋" w:hAnsi="仿宋" w:eastAsia="仿宋" w:cs="宋体"/>
          <w:bCs/>
          <w:snapToGrid w:val="0"/>
          <w:color w:val="auto"/>
          <w:highlight w:val="none"/>
          <w:lang w:eastAsia="zh-CN"/>
        </w:rPr>
        <w:t>不得在计划使用期间撤出现场。若施工机械、设备在施工过程中发生损坏，承包人必须在</w:t>
      </w:r>
      <w:r>
        <w:rPr>
          <w:rFonts w:ascii="仿宋" w:hAnsi="仿宋" w:eastAsia="仿宋" w:cs="宋体"/>
          <w:bCs/>
          <w:snapToGrid w:val="0"/>
          <w:color w:val="auto"/>
          <w:highlight w:val="none"/>
          <w:lang w:eastAsia="zh-CN"/>
        </w:rPr>
        <w:t>3天内完成修复或更换。</w:t>
      </w:r>
    </w:p>
    <w:p w14:paraId="3F920A07">
      <w:pPr>
        <w:spacing w:line="360" w:lineRule="auto"/>
        <w:ind w:left="398" w:leftChars="166" w:firstLine="561" w:firstLineChars="234"/>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因设计变更、施工现场情况变化造成工程内容、工程量变化，须调整机械、设备的规格、数量的，承包人须在变更或变化确定之日起</w:t>
      </w:r>
      <w:r>
        <w:rPr>
          <w:rFonts w:ascii="仿宋" w:hAnsi="仿宋" w:eastAsia="仿宋" w:cs="宋体"/>
          <w:snapToGrid w:val="0"/>
          <w:color w:val="auto"/>
          <w:highlight w:val="none"/>
          <w:lang w:eastAsia="zh-CN"/>
        </w:rPr>
        <w:t>3天内，提出完整的更新施工方案和资源投入计划，报总监理工程师和发包人批准后实施。</w:t>
      </w:r>
    </w:p>
    <w:p w14:paraId="781E5056">
      <w:pPr>
        <w:spacing w:line="360" w:lineRule="auto"/>
        <w:ind w:left="598" w:leftChars="249" w:firstLine="240" w:firstLineChars="100"/>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3）对前期成果文件、技术资料认真地复核和检查，有预见性地</w:t>
      </w:r>
      <w:bookmarkStart w:id="1483" w:name="_Toc535252420"/>
      <w:bookmarkStart w:id="1484" w:name="_Toc519583858"/>
      <w:r>
        <w:rPr>
          <w:rFonts w:hint="eastAsia" w:ascii="仿宋" w:hAnsi="仿宋" w:eastAsia="仿宋" w:cs="宋体"/>
          <w:bCs/>
          <w:snapToGrid w:val="0"/>
          <w:color w:val="auto"/>
          <w:highlight w:val="none"/>
          <w:lang w:eastAsia="zh-CN"/>
        </w:rPr>
        <w:t>发现</w:t>
      </w:r>
      <w:bookmarkEnd w:id="1483"/>
      <w:bookmarkEnd w:id="1484"/>
      <w:r>
        <w:rPr>
          <w:rFonts w:hint="eastAsia" w:ascii="仿宋" w:hAnsi="仿宋" w:eastAsia="仿宋" w:cs="宋体"/>
          <w:bCs/>
          <w:snapToGrid w:val="0"/>
          <w:color w:val="auto"/>
          <w:highlight w:val="none"/>
          <w:lang w:eastAsia="zh-CN"/>
        </w:rPr>
        <w:t>和指正设计缺陷和错误，应提出能实质性地节约资金和缩短工期的建议和措施。</w:t>
      </w:r>
    </w:p>
    <w:p w14:paraId="14E1495C">
      <w:pPr>
        <w:spacing w:line="360" w:lineRule="auto"/>
        <w:ind w:left="598" w:leftChars="249" w:firstLine="240" w:firstLineChars="100"/>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4）承包人应努力创建节能减排和节约型工地。</w:t>
      </w:r>
    </w:p>
    <w:p w14:paraId="46A86900">
      <w:pPr>
        <w:spacing w:line="360" w:lineRule="auto"/>
        <w:ind w:left="598" w:leftChars="249" w:firstLine="240" w:firstLineChars="100"/>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5）承包人负责地磅基础施工及安装地磅，开工前完成，相关费用含在合同价款中，不单独计列。</w:t>
      </w:r>
    </w:p>
    <w:p w14:paraId="70F9570B">
      <w:pPr>
        <w:spacing w:line="360" w:lineRule="auto"/>
        <w:ind w:left="598" w:leftChars="249" w:firstLine="240" w:firstLineChars="100"/>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6）承包人无条件配合桩基工程检测（详见专用条款第23.2（15.25）款约定事项）。</w:t>
      </w:r>
    </w:p>
    <w:p w14:paraId="3C5840ED">
      <w:pPr>
        <w:spacing w:line="360" w:lineRule="auto"/>
        <w:ind w:left="598" w:leftChars="249" w:firstLine="240" w:firstLineChars="100"/>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7）承包人在合同签订之日起30天内向发包人提交4套投标文件（复印件加盖公章）存档，发包人如有要求增加再另外提供，不再另行支付。</w:t>
      </w:r>
    </w:p>
    <w:p w14:paraId="289BAD75">
      <w:pPr>
        <w:spacing w:line="360" w:lineRule="auto"/>
        <w:ind w:left="638" w:leftChars="166" w:hanging="240" w:hangingChars="100"/>
        <w:rPr>
          <w:rFonts w:hint="eastAsia" w:ascii="仿宋" w:hAnsi="仿宋" w:eastAsia="仿宋" w:cs="宋体"/>
          <w:iCs/>
          <w:snapToGrid w:val="0"/>
          <w:color w:val="auto"/>
          <w:highlight w:val="none"/>
          <w:lang w:eastAsia="zh-CN"/>
        </w:rPr>
      </w:pPr>
      <w:r>
        <w:rPr>
          <w:rFonts w:hint="eastAsia" w:ascii="仿宋" w:hAnsi="仿宋" w:eastAsia="仿宋" w:cs="宋体"/>
          <w:iCs/>
          <w:snapToGrid w:val="0"/>
          <w:color w:val="auto"/>
          <w:highlight w:val="none"/>
          <w:lang w:eastAsia="zh-CN"/>
        </w:rPr>
        <w:t>（15.22）承包人按照附件六《</w:t>
      </w:r>
      <w:r>
        <w:rPr>
          <w:rFonts w:hint="eastAsia" w:ascii="仿宋" w:hAnsi="仿宋" w:eastAsia="仿宋" w:cs="仿宋"/>
          <w:color w:val="auto"/>
          <w:highlight w:val="none"/>
          <w:lang w:eastAsia="zh-CN"/>
        </w:rPr>
        <w:t>勘察设计任务书</w:t>
      </w:r>
      <w:r>
        <w:rPr>
          <w:rFonts w:hint="eastAsia" w:ascii="仿宋" w:hAnsi="仿宋" w:eastAsia="仿宋" w:cs="宋体"/>
          <w:iCs/>
          <w:snapToGrid w:val="0"/>
          <w:color w:val="auto"/>
          <w:highlight w:val="none"/>
          <w:lang w:eastAsia="zh-CN"/>
        </w:rPr>
        <w:t>》做好装配式建筑施工的专项施工组织设计。</w:t>
      </w:r>
    </w:p>
    <w:p w14:paraId="16A93860">
      <w:pPr>
        <w:spacing w:line="360" w:lineRule="auto"/>
        <w:ind w:left="638" w:leftChars="166" w:hanging="240" w:hangingChars="100"/>
        <w:rPr>
          <w:rFonts w:ascii="仿宋" w:hAnsi="仿宋" w:eastAsia="仿宋" w:cs="宋体"/>
          <w:iCs/>
          <w:snapToGrid w:val="0"/>
          <w:color w:val="auto"/>
          <w:highlight w:val="none"/>
          <w:lang w:eastAsia="zh-CN"/>
        </w:rPr>
      </w:pPr>
      <w:r>
        <w:rPr>
          <w:rFonts w:hint="eastAsia" w:ascii="仿宋" w:hAnsi="仿宋" w:eastAsia="仿宋" w:cs="宋体"/>
          <w:iCs/>
          <w:snapToGrid w:val="0"/>
          <w:color w:val="auto"/>
          <w:highlight w:val="none"/>
          <w:lang w:eastAsia="zh-CN"/>
        </w:rPr>
        <w:t>（</w:t>
      </w:r>
      <w:r>
        <w:rPr>
          <w:rFonts w:hint="eastAsia" w:ascii="仿宋" w:hAnsi="仿宋" w:eastAsia="仿宋"/>
          <w:color w:val="auto"/>
          <w:highlight w:val="none"/>
          <w:lang w:eastAsia="zh-CN"/>
        </w:rPr>
        <w:t>15.23</w:t>
      </w:r>
      <w:r>
        <w:rPr>
          <w:rFonts w:ascii="仿宋" w:hAnsi="仿宋" w:eastAsia="仿宋" w:cs="宋体"/>
          <w:iCs/>
          <w:snapToGrid w:val="0"/>
          <w:color w:val="auto"/>
          <w:highlight w:val="none"/>
          <w:lang w:eastAsia="zh-CN"/>
        </w:rPr>
        <w:t>）从开工之日起，承包人应全面负责照管合同工程及运至现场将用于和安装在合同工程中的材料和工程设备，直到合同双方当事人确认工程移交之日止。此后，工程的照管即转由发包人负责。</w:t>
      </w:r>
    </w:p>
    <w:p w14:paraId="52321E54">
      <w:pPr>
        <w:spacing w:line="360" w:lineRule="auto"/>
        <w:ind w:left="398" w:leftChars="166"/>
        <w:rPr>
          <w:rFonts w:ascii="仿宋" w:hAnsi="仿宋" w:eastAsia="仿宋" w:cs="宋体"/>
          <w:iCs/>
          <w:snapToGrid w:val="0"/>
          <w:color w:val="auto"/>
          <w:highlight w:val="none"/>
          <w:lang w:eastAsia="zh-CN"/>
        </w:rPr>
      </w:pPr>
      <w:r>
        <w:rPr>
          <w:rFonts w:hint="eastAsia" w:ascii="仿宋" w:hAnsi="仿宋" w:eastAsia="仿宋" w:cs="宋体"/>
          <w:iCs/>
          <w:snapToGrid w:val="0"/>
          <w:color w:val="auto"/>
          <w:highlight w:val="none"/>
          <w:lang w:eastAsia="zh-CN"/>
        </w:rPr>
        <w:t>（</w:t>
      </w:r>
      <w:r>
        <w:rPr>
          <w:rFonts w:hint="eastAsia" w:ascii="仿宋" w:hAnsi="仿宋" w:eastAsia="仿宋"/>
          <w:color w:val="auto"/>
          <w:highlight w:val="none"/>
          <w:lang w:eastAsia="zh-CN"/>
        </w:rPr>
        <w:t>15.24</w:t>
      </w:r>
      <w:r>
        <w:rPr>
          <w:rFonts w:ascii="仿宋" w:hAnsi="仿宋" w:eastAsia="仿宋" w:cs="宋体"/>
          <w:iCs/>
          <w:snapToGrid w:val="0"/>
          <w:color w:val="auto"/>
          <w:highlight w:val="none"/>
          <w:lang w:eastAsia="zh-CN"/>
        </w:rPr>
        <w:t>）承包人应根据《广州市住房和城乡建设局关于加强建筑工程质量风险分级管控的通知》（</w:t>
      </w:r>
      <w:r>
        <w:rPr>
          <w:rFonts w:hint="eastAsia" w:ascii="仿宋" w:hAnsi="仿宋" w:eastAsia="仿宋" w:cs="宋体"/>
          <w:iCs/>
          <w:snapToGrid w:val="0"/>
          <w:color w:val="auto"/>
          <w:highlight w:val="none"/>
          <w:lang w:eastAsia="zh-CN"/>
        </w:rPr>
        <w:t>穗建质〔</w:t>
      </w:r>
      <w:r>
        <w:rPr>
          <w:rFonts w:ascii="仿宋" w:hAnsi="仿宋" w:eastAsia="仿宋" w:cs="宋体"/>
          <w:iCs/>
          <w:snapToGrid w:val="0"/>
          <w:color w:val="auto"/>
          <w:highlight w:val="none"/>
          <w:lang w:eastAsia="zh-CN"/>
        </w:rPr>
        <w:t>2020〕21号）、《广州市住房和城乡建设局关于加强建筑工程施工安全风险分级管控的通知》（</w:t>
      </w:r>
      <w:r>
        <w:rPr>
          <w:rFonts w:hint="eastAsia" w:ascii="仿宋" w:hAnsi="仿宋" w:eastAsia="仿宋" w:cs="宋体"/>
          <w:iCs/>
          <w:snapToGrid w:val="0"/>
          <w:color w:val="auto"/>
          <w:highlight w:val="none"/>
          <w:lang w:eastAsia="zh-CN"/>
        </w:rPr>
        <w:t>穗建质〔</w:t>
      </w:r>
      <w:r>
        <w:rPr>
          <w:rFonts w:ascii="仿宋" w:hAnsi="仿宋" w:eastAsia="仿宋" w:cs="宋体"/>
          <w:iCs/>
          <w:snapToGrid w:val="0"/>
          <w:color w:val="auto"/>
          <w:highlight w:val="none"/>
          <w:lang w:eastAsia="zh-CN"/>
        </w:rPr>
        <w:t>2020〕22号）实施质量、安全风险分级管控。</w:t>
      </w:r>
    </w:p>
    <w:p w14:paraId="4020B7C5">
      <w:pPr>
        <w:autoSpaceDE w:val="0"/>
        <w:autoSpaceDN w:val="0"/>
        <w:spacing w:line="360" w:lineRule="auto"/>
        <w:ind w:left="398" w:leftChars="166"/>
        <w:rPr>
          <w:rFonts w:ascii="仿宋" w:hAnsi="仿宋" w:eastAsia="仿宋" w:cs="宋体"/>
          <w:bCs/>
          <w:color w:val="auto"/>
          <w:highlight w:val="none"/>
          <w:lang w:eastAsia="zh-CN"/>
        </w:rPr>
      </w:pPr>
      <w:r>
        <w:rPr>
          <w:rFonts w:ascii="仿宋" w:hAnsi="仿宋" w:eastAsia="仿宋" w:cs="宋体"/>
          <w:iCs/>
          <w:snapToGrid w:val="0"/>
          <w:color w:val="auto"/>
          <w:highlight w:val="none"/>
          <w:lang w:eastAsia="zh-CN"/>
        </w:rPr>
        <w:t>（</w:t>
      </w:r>
      <w:r>
        <w:rPr>
          <w:rFonts w:hint="eastAsia" w:ascii="仿宋" w:hAnsi="仿宋" w:eastAsia="仿宋"/>
          <w:color w:val="auto"/>
          <w:highlight w:val="none"/>
          <w:lang w:eastAsia="zh-CN"/>
        </w:rPr>
        <w:t>15.25</w:t>
      </w:r>
      <w:r>
        <w:rPr>
          <w:rFonts w:ascii="仿宋" w:hAnsi="仿宋" w:eastAsia="仿宋" w:cs="宋体"/>
          <w:iCs/>
          <w:snapToGrid w:val="0"/>
          <w:color w:val="auto"/>
          <w:highlight w:val="none"/>
          <w:lang w:eastAsia="zh-CN"/>
        </w:rPr>
        <w:t>）</w:t>
      </w:r>
      <w:r>
        <w:rPr>
          <w:rFonts w:hint="eastAsia" w:ascii="仿宋" w:hAnsi="仿宋" w:eastAsia="仿宋" w:cs="宋体"/>
          <w:color w:val="auto"/>
          <w:highlight w:val="none"/>
          <w:lang w:eastAsia="zh-CN"/>
        </w:rPr>
        <w:t>承包人需配合由发包人委托的桩基、结构实体及其他材料检测等检测项目的检测工作，负责按检测单位要求提供道路、水源、电源、脚手架、场地、钻芯孔回灌封闭所需的材料、</w:t>
      </w:r>
      <w:r>
        <w:rPr>
          <w:rFonts w:hint="eastAsia" w:ascii="仿宋" w:hAnsi="仿宋" w:eastAsia="仿宋" w:cs="宋体"/>
          <w:bCs/>
          <w:color w:val="auto"/>
          <w:highlight w:val="none"/>
          <w:lang w:eastAsia="zh-CN"/>
        </w:rPr>
        <w:t>大型检测设备的土建配合费以及相关预埋件的埋设、结构实体检测后的恢复工作等准备、配合工作，所发生相关费用由承包人包干负责，有关费用已包含在本合同总价款内。</w:t>
      </w:r>
    </w:p>
    <w:p w14:paraId="5CDC3C20">
      <w:pPr>
        <w:autoSpaceDE w:val="0"/>
        <w:autoSpaceDN w:val="0"/>
        <w:spacing w:line="360" w:lineRule="auto"/>
        <w:ind w:left="398" w:leftChars="166" w:firstLine="561" w:firstLineChars="234"/>
        <w:rPr>
          <w:rFonts w:ascii="仿宋" w:hAnsi="仿宋" w:eastAsia="仿宋" w:cs="宋体"/>
          <w:bCs/>
          <w:color w:val="auto"/>
          <w:highlight w:val="none"/>
          <w:lang w:eastAsia="zh-CN"/>
        </w:rPr>
      </w:pPr>
      <w:r>
        <w:rPr>
          <w:rFonts w:hint="eastAsia" w:ascii="仿宋" w:hAnsi="仿宋" w:eastAsia="仿宋" w:cs="宋体"/>
          <w:snapToGrid w:val="0"/>
          <w:color w:val="auto"/>
          <w:highlight w:val="none"/>
          <w:lang w:eastAsia="zh-CN"/>
        </w:rPr>
        <w:t>承包人提供有关该工程检测所需的相关工程技术资料；现场保障足够的安全措施，符合安全施工要求，保障检测人员及设备的安全；协助检测单位的检测设备进退场，包括但不限于提供场内小型机械设备吊运，安排专人协助检测单位主要检测设备场内搬运等，安排必须的人员配合检测单位工作；负责协调相关方的关系，及时解决现场检测作业时与相关方产生的矛盾。对由于未能协调好相关方关系而影响检测工作的顺利进行，造成相应的经济损</w:t>
      </w:r>
      <w:r>
        <w:rPr>
          <w:rFonts w:hint="eastAsia" w:ascii="仿宋" w:hAnsi="仿宋" w:eastAsia="仿宋" w:cs="宋体"/>
          <w:bCs/>
          <w:color w:val="auto"/>
          <w:highlight w:val="none"/>
          <w:lang w:eastAsia="zh-CN"/>
        </w:rPr>
        <w:t>失承担责任。承包人在收到进场检测通知后，根据检测单位要求做好配合工作，包括且不限于：提供场地、水、电、检测用梯子、门式架，修筑满足检测要求的临时施工便道、检测用反力板、桩帽，做好挖土方、换填、凿（磨）桩头处理、排水等工作；检测过程中可能造成桩头钢筋、砖胎模、垫层、承台钢筋等损坏，承包人负责修复。承包人对有关该工程检测所需的相关工程技术资料及配合所发生相关费用由承包人负责，所产生的费用已包含在本合同总价款内。</w:t>
      </w:r>
    </w:p>
    <w:p w14:paraId="47904EF8">
      <w:pPr>
        <w:autoSpaceDE w:val="0"/>
        <w:autoSpaceDN w:val="0"/>
        <w:spacing w:line="360" w:lineRule="auto"/>
        <w:ind w:left="398" w:leftChars="166" w:firstLine="561" w:firstLineChars="234"/>
        <w:rPr>
          <w:rFonts w:ascii="仿宋" w:hAnsi="仿宋" w:eastAsia="仿宋" w:cs="宋体"/>
          <w:bCs/>
          <w:color w:val="auto"/>
          <w:highlight w:val="none"/>
          <w:lang w:eastAsia="zh-CN"/>
        </w:rPr>
      </w:pPr>
      <w:r>
        <w:rPr>
          <w:rFonts w:hint="eastAsia" w:ascii="仿宋" w:hAnsi="仿宋" w:eastAsia="仿宋" w:cs="宋体"/>
          <w:bCs/>
          <w:color w:val="auto"/>
          <w:highlight w:val="none"/>
          <w:lang w:eastAsia="zh-CN"/>
        </w:rPr>
        <w:t>检测单位开展的检测工作不免除承包人平行检测的义务，造成质量安全事故或致使事故损失扩大的，由承包人承担相应的法律责任，发包人保留索赔及解除合同的权力，所发生的相关费用由承包人包干负责，且相关费用已包含在合同总价款内。</w:t>
      </w:r>
    </w:p>
    <w:p w14:paraId="3E1124D4">
      <w:pPr>
        <w:spacing w:line="360" w:lineRule="auto"/>
        <w:ind w:left="398" w:leftChars="166" w:firstLine="84" w:firstLineChars="35"/>
        <w:rPr>
          <w:rFonts w:ascii="仿宋" w:hAnsi="仿宋" w:eastAsia="仿宋"/>
          <w:color w:val="auto"/>
          <w:kern w:val="2"/>
          <w:highlight w:val="none"/>
          <w:lang w:eastAsia="zh-CN"/>
        </w:rPr>
      </w:pPr>
      <w:r>
        <w:rPr>
          <w:rFonts w:hint="eastAsia" w:ascii="仿宋" w:hAnsi="仿宋" w:eastAsia="仿宋" w:cs="宋体"/>
          <w:bCs/>
          <w:iCs/>
          <w:snapToGrid w:val="0"/>
          <w:color w:val="auto"/>
          <w:highlight w:val="none"/>
          <w:lang w:eastAsia="zh-CN"/>
        </w:rPr>
        <w:t>（</w:t>
      </w:r>
      <w:r>
        <w:rPr>
          <w:rFonts w:hint="eastAsia" w:ascii="仿宋" w:hAnsi="仿宋" w:eastAsia="仿宋"/>
          <w:bCs/>
          <w:color w:val="auto"/>
          <w:highlight w:val="none"/>
          <w:lang w:eastAsia="zh-CN"/>
        </w:rPr>
        <w:t>15.26</w:t>
      </w:r>
      <w:r>
        <w:rPr>
          <w:rFonts w:ascii="仿宋" w:hAnsi="仿宋" w:eastAsia="仿宋" w:cs="宋体"/>
          <w:bCs/>
          <w:iCs/>
          <w:snapToGrid w:val="0"/>
          <w:color w:val="auto"/>
          <w:highlight w:val="none"/>
          <w:lang w:eastAsia="zh-CN"/>
        </w:rPr>
        <w:t>）承包人需配合发包人委托的其他专业分包单位</w:t>
      </w:r>
      <w:r>
        <w:rPr>
          <w:rFonts w:hint="eastAsia" w:ascii="仿宋" w:hAnsi="仿宋" w:eastAsia="仿宋" w:cs="宋体"/>
          <w:bCs/>
          <w:iCs/>
          <w:snapToGrid w:val="0"/>
          <w:color w:val="auto"/>
          <w:highlight w:val="none"/>
          <w:lang w:eastAsia="zh-CN"/>
        </w:rPr>
        <w:t>（如有）</w:t>
      </w:r>
      <w:r>
        <w:rPr>
          <w:rFonts w:ascii="仿宋" w:hAnsi="仿宋" w:eastAsia="仿宋" w:cs="宋体"/>
          <w:bCs/>
          <w:iCs/>
          <w:snapToGrid w:val="0"/>
          <w:color w:val="auto"/>
          <w:highlight w:val="none"/>
          <w:lang w:eastAsia="zh-CN"/>
        </w:rPr>
        <w:t>的现场管理工作，包括按照专业分包单位深化设计图纸（含建筑、结构、机电、预埋等专业工作），为专业分包单位提供现场工作面、移交场地、测量坐标点及控制线（满足专业分包单位施工要求）、实施条件、提供临时水电、</w:t>
      </w:r>
      <w:r>
        <w:rPr>
          <w:rFonts w:hint="eastAsia" w:ascii="仿宋" w:hAnsi="仿宋" w:eastAsia="仿宋" w:cs="宋体"/>
          <w:bCs/>
          <w:iCs/>
          <w:snapToGrid w:val="0"/>
          <w:color w:val="auto"/>
          <w:highlight w:val="none"/>
          <w:lang w:eastAsia="zh-CN"/>
        </w:rPr>
        <w:t>垂直运输，提供材料存放或设备、办公设施搭建场地、机械停放、材料加工的场地，提供按规定设置的维护防火设施、安全防护设施，提供用水、用电接驳点，提供道路以及照明、排水、排污等工地设施，负责暗室施工场地和主要通道（特别是设备机房等）的临时照明、临时通风及其管理，预留孔洞，包括专业单位完成的封塞、防水以及后期的饰面工程，负责设置卫生垃圾池及其卫生保洁和整个工程的建筑垃圾外运，组织办理中间工序的交接手续，做好移交后产品（半成品）保护工作，按要求统一整理资料，对需要施工总承包单位签章的资料进行签章，向档案馆统一移交工程档案，统一办理现场出入证，统一办理相关工程评优证书等。按照消防验收要求在外电相关设备间增设防火门、防火格栅、防火封闭（含临时及永久措施，永久措施需满足规划部门意见）。专业分包单位进场后，承包人应与专业分包单位签订施工安全协议，专业分包单位必须服从承包人管理。以上涉及到的相关专业分包配合费用已包含在合同价款中，承包人不得再向专业分包单位另行收取</w:t>
      </w:r>
      <w:r>
        <w:rPr>
          <w:rStyle w:val="52"/>
          <w:rFonts w:hint="eastAsia" w:ascii="仿宋" w:hAnsi="仿宋" w:eastAsia="仿宋"/>
          <w:color w:val="auto"/>
          <w:kern w:val="2"/>
          <w:highlight w:val="none"/>
          <w:lang w:eastAsia="zh-CN"/>
        </w:rPr>
        <w:t>。</w:t>
      </w:r>
    </w:p>
    <w:p w14:paraId="5FD2A091">
      <w:pPr>
        <w:spacing w:line="360" w:lineRule="auto"/>
        <w:ind w:firstLine="566" w:firstLineChars="236"/>
        <w:rPr>
          <w:rFonts w:ascii="仿宋" w:hAnsi="仿宋" w:eastAsia="仿宋" w:cs="宋体"/>
          <w:bCs/>
          <w:snapToGrid w:val="0"/>
          <w:color w:val="auto"/>
          <w:highlight w:val="none"/>
          <w:lang w:eastAsia="zh-CN"/>
        </w:rPr>
      </w:pPr>
      <w:r>
        <w:rPr>
          <w:rFonts w:hint="eastAsia" w:ascii="仿宋" w:hAnsi="仿宋" w:eastAsia="仿宋" w:cs="宋体"/>
          <w:bCs/>
          <w:iCs/>
          <w:snapToGrid w:val="0"/>
          <w:color w:val="auto"/>
          <w:highlight w:val="none"/>
          <w:lang w:eastAsia="zh-CN"/>
        </w:rPr>
        <w:t>（</w:t>
      </w:r>
      <w:r>
        <w:rPr>
          <w:rFonts w:hint="eastAsia" w:ascii="仿宋" w:hAnsi="仿宋" w:eastAsia="仿宋"/>
          <w:bCs/>
          <w:color w:val="auto"/>
          <w:highlight w:val="none"/>
          <w:lang w:eastAsia="zh-CN"/>
        </w:rPr>
        <w:t>15.27</w:t>
      </w:r>
      <w:r>
        <w:rPr>
          <w:rFonts w:hint="eastAsia" w:ascii="仿宋" w:hAnsi="仿宋" w:eastAsia="仿宋" w:cs="宋体"/>
          <w:bCs/>
          <w:iCs/>
          <w:snapToGrid w:val="0"/>
          <w:color w:val="auto"/>
          <w:highlight w:val="none"/>
          <w:lang w:eastAsia="zh-CN"/>
        </w:rPr>
        <w:t>）承包人须按照本合同约定履行施工管理和配合服务，包括但不限于下列工作内容：</w:t>
      </w:r>
    </w:p>
    <w:p w14:paraId="66241820">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1）项目进度管理；</w:t>
      </w:r>
    </w:p>
    <w:p w14:paraId="48E4F993">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2）施工现场临时设施搭建和管理；</w:t>
      </w:r>
    </w:p>
    <w:p w14:paraId="5F8A6538">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3）文明施工和安全生产管理；</w:t>
      </w:r>
    </w:p>
    <w:p w14:paraId="373442D8">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4）综合管理；</w:t>
      </w:r>
    </w:p>
    <w:p w14:paraId="30348EE9">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5）成品保护；</w:t>
      </w:r>
    </w:p>
    <w:p w14:paraId="66C8C44D">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6）竣工验收、竣工资料（含竣工图）管理；</w:t>
      </w:r>
    </w:p>
    <w:p w14:paraId="19C12A49">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7）第三方检测、监测现场配合服务；</w:t>
      </w:r>
    </w:p>
    <w:p w14:paraId="6523B7C8">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8）专业分包的配合和管理；</w:t>
      </w:r>
    </w:p>
    <w:p w14:paraId="448EF7D3">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9）发包人交办的其他任务。</w:t>
      </w:r>
    </w:p>
    <w:p w14:paraId="47338CEE">
      <w:pPr>
        <w:pStyle w:val="12"/>
        <w:spacing w:line="360" w:lineRule="auto"/>
        <w:ind w:left="751" w:leftChars="249" w:hanging="153" w:hangingChars="64"/>
        <w:rPr>
          <w:rFonts w:ascii="仿宋" w:hAnsi="仿宋" w:eastAsia="仿宋"/>
          <w:bCs/>
          <w:color w:val="auto"/>
          <w:highlight w:val="none"/>
          <w:lang w:eastAsia="zh-CN"/>
        </w:rPr>
      </w:pPr>
      <w:r>
        <w:rPr>
          <w:rFonts w:hint="eastAsia" w:ascii="仿宋" w:hAnsi="仿宋" w:eastAsia="仿宋" w:cs="宋体"/>
          <w:bCs/>
          <w:snapToGrid w:val="0"/>
          <w:color w:val="auto"/>
          <w:highlight w:val="none"/>
          <w:lang w:eastAsia="zh-CN"/>
        </w:rPr>
        <w:t>（</w:t>
      </w:r>
      <w:r>
        <w:rPr>
          <w:rFonts w:hint="eastAsia" w:ascii="仿宋" w:hAnsi="仿宋" w:eastAsia="仿宋"/>
          <w:bCs/>
          <w:color w:val="auto"/>
          <w:highlight w:val="none"/>
          <w:lang w:eastAsia="zh-CN"/>
        </w:rPr>
        <w:t>15.28</w:t>
      </w:r>
      <w:r>
        <w:rPr>
          <w:rFonts w:hint="eastAsia" w:ascii="仿宋" w:hAnsi="仿宋" w:eastAsia="仿宋" w:cs="宋体"/>
          <w:bCs/>
          <w:snapToGrid w:val="0"/>
          <w:color w:val="auto"/>
          <w:highlight w:val="none"/>
          <w:lang w:eastAsia="zh-CN"/>
        </w:rPr>
        <w:t>）承包人</w:t>
      </w:r>
      <w:r>
        <w:rPr>
          <w:rFonts w:hint="eastAsia" w:ascii="仿宋" w:hAnsi="仿宋" w:eastAsia="仿宋"/>
          <w:bCs/>
          <w:color w:val="auto"/>
          <w:highlight w:val="none"/>
          <w:lang w:eastAsia="zh-CN"/>
        </w:rPr>
        <w:t>须与第三方监测单位独立同步实时进行基坑、高支模、主体沉降监测，承包人该部分自行监测工作所需的所有费用已含在合同价款中，不单独计列。</w:t>
      </w:r>
    </w:p>
    <w:p w14:paraId="23DED0A0">
      <w:pPr>
        <w:pStyle w:val="12"/>
        <w:spacing w:line="360" w:lineRule="auto"/>
        <w:ind w:left="751" w:leftChars="249" w:hanging="153" w:hangingChars="64"/>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hint="eastAsia" w:ascii="仿宋" w:hAnsi="仿宋" w:eastAsia="仿宋"/>
          <w:bCs/>
          <w:color w:val="auto"/>
          <w:highlight w:val="none"/>
          <w:lang w:eastAsia="zh-CN"/>
        </w:rPr>
        <w:t>15.29</w:t>
      </w:r>
      <w:r>
        <w:rPr>
          <w:rFonts w:hint="eastAsia" w:ascii="仿宋" w:hAnsi="仿宋" w:eastAsia="仿宋" w:cs="宋体"/>
          <w:bCs/>
          <w:snapToGrid w:val="0"/>
          <w:color w:val="auto"/>
          <w:highlight w:val="none"/>
          <w:lang w:eastAsia="zh-CN"/>
        </w:rPr>
        <w:t>）承包人应协助办理施工阶段各项行政部门开工前置手续，包括但不限于建设工程质量安全监督登记、建设工程合同备案、建筑工程施工许可、夜间施工许可、施工噪音排污许可、电梯施工许可、永久用电报装、给水工程报装、燃气工程报装、通信设施报装、建筑废弃物处置核准、人防工程质量监督登记、防雷报建、排水设施接驳许可等所有手续，除按规定由发包人缴纳的费用外，其他相关费用已包含在合同价款中。</w:t>
      </w:r>
    </w:p>
    <w:p w14:paraId="4F513917">
      <w:pPr>
        <w:spacing w:line="360" w:lineRule="auto"/>
        <w:ind w:left="751" w:leftChars="249" w:right="11" w:hanging="153" w:hangingChars="64"/>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hint="eastAsia" w:ascii="仿宋" w:hAnsi="仿宋" w:eastAsia="仿宋"/>
          <w:bCs/>
          <w:color w:val="auto"/>
          <w:highlight w:val="none"/>
          <w:lang w:eastAsia="zh-CN"/>
        </w:rPr>
        <w:t>15.30</w:t>
      </w:r>
      <w:r>
        <w:rPr>
          <w:rFonts w:hint="eastAsia" w:ascii="仿宋" w:hAnsi="仿宋" w:eastAsia="仿宋" w:cs="宋体"/>
          <w:bCs/>
          <w:snapToGrid w:val="0"/>
          <w:color w:val="auto"/>
          <w:highlight w:val="none"/>
          <w:lang w:eastAsia="zh-CN"/>
        </w:rPr>
        <w:t>）承包人应配合发包人的用地报批、征地拆迁及管线迁改等工作，相关费用已包含在合同价款中。</w:t>
      </w:r>
    </w:p>
    <w:p w14:paraId="4459D7EE">
      <w:pPr>
        <w:pStyle w:val="17"/>
        <w:ind w:left="751" w:leftChars="249" w:hanging="153" w:hangingChars="64"/>
        <w:rPr>
          <w:rFonts w:hint="eastAsia" w:ascii="仿宋" w:hAnsi="仿宋" w:eastAsia="仿宋"/>
          <w:color w:val="auto"/>
          <w:highlight w:val="none"/>
          <w:lang w:val="zh-CN" w:eastAsia="zh-CN" w:bidi="zh-CN"/>
        </w:rPr>
      </w:pPr>
      <w:r>
        <w:rPr>
          <w:rFonts w:hint="eastAsia" w:ascii="仿宋" w:hAnsi="仿宋" w:eastAsia="仿宋"/>
          <w:color w:val="auto"/>
          <w:highlight w:val="none"/>
          <w:lang w:val="zh-CN" w:eastAsia="zh-CN" w:bidi="zh-CN"/>
        </w:rPr>
        <w:t>（</w:t>
      </w:r>
      <w:r>
        <w:rPr>
          <w:rFonts w:hint="eastAsia" w:ascii="仿宋" w:hAnsi="仿宋" w:eastAsia="仿宋"/>
          <w:color w:val="auto"/>
          <w:highlight w:val="none"/>
          <w:lang w:eastAsia="zh-CN"/>
        </w:rPr>
        <w:t>15.31</w:t>
      </w:r>
      <w:r>
        <w:rPr>
          <w:rFonts w:hint="eastAsia" w:ascii="仿宋" w:hAnsi="仿宋" w:eastAsia="仿宋"/>
          <w:color w:val="auto"/>
          <w:highlight w:val="none"/>
          <w:lang w:val="zh-CN" w:eastAsia="zh-CN" w:bidi="zh-CN"/>
        </w:rPr>
        <w:t>）正式电梯的使用相关费用说明：室内正式电梯启用后，总承包人为每部使用的电梯提供电梯司机（考虑加班的可能），并负责操作及成品保护工作。此外负有联系电梯维保及故障报修责任。此费用已包含在投标报价中。</w:t>
      </w:r>
    </w:p>
    <w:p w14:paraId="170568A3">
      <w:pPr>
        <w:pStyle w:val="17"/>
        <w:ind w:left="751" w:leftChars="249" w:hanging="153" w:hangingChars="64"/>
        <w:rPr>
          <w:rFonts w:hint="eastAsia" w:ascii="仿宋" w:hAnsi="仿宋" w:eastAsia="仿宋"/>
          <w:color w:val="auto"/>
          <w:highlight w:val="none"/>
          <w:lang w:val="zh-CN" w:eastAsia="zh-CN" w:bidi="zh-CN"/>
        </w:rPr>
      </w:pPr>
      <w:r>
        <w:rPr>
          <w:rFonts w:hint="eastAsia" w:ascii="仿宋" w:hAnsi="仿宋" w:eastAsia="仿宋"/>
          <w:color w:val="auto"/>
          <w:highlight w:val="none"/>
          <w:lang w:val="zh-CN" w:eastAsia="zh-CN" w:bidi="zh-CN"/>
        </w:rPr>
        <w:t>（</w:t>
      </w:r>
      <w:r>
        <w:rPr>
          <w:rFonts w:hint="eastAsia" w:ascii="仿宋" w:hAnsi="仿宋" w:eastAsia="仿宋"/>
          <w:color w:val="auto"/>
          <w:highlight w:val="none"/>
          <w:lang w:eastAsia="zh-CN" w:bidi="zh-CN"/>
        </w:rPr>
        <w:t>15.32</w:t>
      </w:r>
      <w:r>
        <w:rPr>
          <w:rFonts w:hint="eastAsia" w:ascii="仿宋" w:hAnsi="仿宋" w:eastAsia="仿宋"/>
          <w:color w:val="auto"/>
          <w:highlight w:val="none"/>
          <w:lang w:val="zh-CN" w:eastAsia="zh-CN" w:bidi="zh-CN"/>
        </w:rPr>
        <w:t>）每栋楼</w:t>
      </w:r>
      <w:r>
        <w:rPr>
          <w:rFonts w:hint="eastAsia" w:ascii="仿宋" w:hAnsi="仿宋" w:eastAsia="仿宋"/>
          <w:color w:val="auto"/>
          <w:highlight w:val="none"/>
          <w:lang w:eastAsia="zh-CN" w:bidi="zh-CN"/>
        </w:rPr>
        <w:t>的</w:t>
      </w:r>
      <w:r>
        <w:rPr>
          <w:rFonts w:hint="eastAsia" w:ascii="仿宋" w:hAnsi="仿宋" w:eastAsia="仿宋"/>
          <w:color w:val="auto"/>
          <w:highlight w:val="none"/>
          <w:lang w:val="zh-CN" w:eastAsia="zh-CN" w:bidi="zh-CN"/>
        </w:rPr>
        <w:t>直饮水系统，直饮水户内给水管全部暗装。从分户水表至户内厨房。</w:t>
      </w:r>
    </w:p>
    <w:p w14:paraId="3B213582">
      <w:pPr>
        <w:spacing w:line="600" w:lineRule="exact"/>
        <w:ind w:firstLine="566" w:firstLineChars="236"/>
        <w:rPr>
          <w:rFonts w:hint="eastAsia" w:ascii="仿宋" w:hAnsi="仿宋" w:eastAsia="仿宋"/>
          <w:color w:val="auto"/>
          <w:highlight w:val="none"/>
          <w:lang w:val="zh-CN" w:eastAsia="zh-CN" w:bidi="zh-CN"/>
        </w:rPr>
      </w:pPr>
      <w:r>
        <w:rPr>
          <w:rFonts w:hint="eastAsia" w:ascii="仿宋" w:hAnsi="仿宋" w:eastAsia="仿宋"/>
          <w:color w:val="auto"/>
          <w:highlight w:val="none"/>
          <w:lang w:val="zh-CN" w:eastAsia="zh-CN" w:bidi="zh-CN"/>
        </w:rPr>
        <w:t>（</w:t>
      </w:r>
      <w:r>
        <w:rPr>
          <w:rFonts w:hint="eastAsia" w:ascii="仿宋" w:hAnsi="仿宋" w:eastAsia="仿宋"/>
          <w:color w:val="auto"/>
          <w:highlight w:val="none"/>
          <w:lang w:eastAsia="zh-CN" w:bidi="zh-CN"/>
        </w:rPr>
        <w:t>15.33</w:t>
      </w:r>
      <w:r>
        <w:rPr>
          <w:rFonts w:hint="eastAsia" w:ascii="仿宋" w:hAnsi="仿宋" w:eastAsia="仿宋"/>
          <w:color w:val="auto"/>
          <w:highlight w:val="none"/>
          <w:lang w:val="zh-CN" w:eastAsia="zh-CN" w:bidi="zh-CN"/>
        </w:rPr>
        <w:t>）设置智慧泵房，并根据《广州市自来水有限公司二次供水通信规范《GSEG》规定进行建设。</w:t>
      </w:r>
    </w:p>
    <w:p w14:paraId="1DBEF3C5">
      <w:pPr>
        <w:spacing w:line="360" w:lineRule="auto"/>
        <w:ind w:left="137" w:leftChars="57"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23.3 承包人实施工作</w:t>
      </w:r>
    </w:p>
    <w:p w14:paraId="6B454FB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承包人提供施工所需勘察资料、设计文件、劳务、工程材料、工程设备、施工设备和其他物品的约定：</w:t>
      </w:r>
      <w:r>
        <w:rPr>
          <w:rFonts w:hint="eastAsia" w:ascii="仿宋" w:hAnsi="仿宋" w:eastAsia="仿宋" w:cs="仿宋"/>
          <w:color w:val="auto"/>
          <w:highlight w:val="none"/>
          <w:u w:val="single"/>
          <w:lang w:eastAsia="zh-CN"/>
        </w:rPr>
        <w:t>按通用条款第23.3款约定执行。</w:t>
      </w:r>
    </w:p>
    <w:p w14:paraId="217F65AB">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olor w:val="auto"/>
          <w:highlight w:val="none"/>
          <w:lang w:eastAsia="zh-CN"/>
        </w:rPr>
        <w:t>23.4 承包人实施勘察、设计、施工等工作安排：</w:t>
      </w:r>
    </w:p>
    <w:p w14:paraId="0AF8CC94">
      <w:pPr>
        <w:spacing w:line="360" w:lineRule="auto"/>
        <w:ind w:left="197" w:leftChars="82" w:firstLine="122" w:firstLineChars="51"/>
        <w:rPr>
          <w:rFonts w:ascii="仿宋" w:hAnsi="仿宋" w:eastAsia="仿宋"/>
          <w:color w:val="auto"/>
          <w:highlight w:val="none"/>
          <w:lang w:eastAsia="zh-CN"/>
        </w:rPr>
      </w:pPr>
      <w:r>
        <w:rPr>
          <w:rFonts w:ascii="仿宋" w:hAnsi="仿宋" w:eastAsia="仿宋"/>
          <w:color w:val="auto"/>
          <w:highlight w:val="none"/>
          <w:lang w:eastAsia="zh-CN"/>
        </w:rPr>
        <w:t>（1）承包人应在</w:t>
      </w:r>
      <w:r>
        <w:rPr>
          <w:rFonts w:hint="eastAsia" w:ascii="仿宋" w:hAnsi="仿宋" w:eastAsia="仿宋"/>
          <w:color w:val="auto"/>
          <w:highlight w:val="none"/>
          <w:lang w:eastAsia="zh-CN"/>
        </w:rPr>
        <w:t>签订本合同</w:t>
      </w:r>
      <w:r>
        <w:rPr>
          <w:rFonts w:hint="eastAsia" w:ascii="仿宋" w:hAnsi="仿宋" w:eastAsia="仿宋" w:cs="仿宋"/>
          <w:color w:val="auto"/>
          <w:highlight w:val="none"/>
          <w:u w:val="single"/>
          <w:lang w:eastAsia="zh-CN"/>
        </w:rPr>
        <w:t>15</w:t>
      </w:r>
      <w:r>
        <w:rPr>
          <w:rFonts w:hint="eastAsia" w:ascii="仿宋" w:hAnsi="仿宋" w:eastAsia="仿宋"/>
          <w:color w:val="auto"/>
          <w:highlight w:val="none"/>
          <w:lang w:eastAsia="zh-CN"/>
        </w:rPr>
        <w:t>天内</w:t>
      </w:r>
      <w:r>
        <w:rPr>
          <w:rFonts w:ascii="仿宋" w:hAnsi="仿宋" w:eastAsia="仿宋"/>
          <w:color w:val="auto"/>
          <w:highlight w:val="none"/>
          <w:lang w:eastAsia="zh-CN"/>
        </w:rPr>
        <w:t>做出</w:t>
      </w:r>
      <w:r>
        <w:rPr>
          <w:rFonts w:hint="eastAsia" w:ascii="仿宋" w:hAnsi="仿宋" w:eastAsia="仿宋" w:cs="仿宋"/>
          <w:color w:val="auto"/>
          <w:highlight w:val="none"/>
          <w:lang w:eastAsia="zh-CN"/>
        </w:rPr>
        <w:t>勘察工作方案、设计工作方案、施工组织设计、设备及工器具购置方案（如果有）等的详细说明</w:t>
      </w:r>
      <w:r>
        <w:rPr>
          <w:rFonts w:ascii="仿宋" w:hAnsi="仿宋" w:eastAsia="仿宋"/>
          <w:color w:val="auto"/>
          <w:highlight w:val="none"/>
          <w:lang w:eastAsia="zh-CN"/>
        </w:rPr>
        <w:t>，报发包人及监理单位审批</w:t>
      </w:r>
      <w:r>
        <w:rPr>
          <w:rFonts w:hint="eastAsia" w:ascii="仿宋" w:hAnsi="仿宋" w:eastAsia="仿宋"/>
          <w:color w:val="auto"/>
          <w:highlight w:val="none"/>
          <w:lang w:eastAsia="zh-CN"/>
        </w:rPr>
        <w:t>。</w:t>
      </w:r>
      <w:r>
        <w:rPr>
          <w:rFonts w:ascii="仿宋" w:hAnsi="仿宋" w:eastAsia="仿宋"/>
          <w:color w:val="auto"/>
          <w:highlight w:val="none"/>
          <w:lang w:eastAsia="zh-CN"/>
        </w:rPr>
        <w:t>施工组织设计应包括设备材料、成品、半成品等供应进场计划</w:t>
      </w:r>
      <w:r>
        <w:rPr>
          <w:rFonts w:hint="eastAsia" w:ascii="仿宋" w:hAnsi="仿宋" w:eastAsia="仿宋"/>
          <w:color w:val="auto"/>
          <w:highlight w:val="none"/>
          <w:lang w:eastAsia="zh-CN"/>
        </w:rPr>
        <w:t>，</w:t>
      </w:r>
      <w:r>
        <w:rPr>
          <w:rFonts w:ascii="仿宋" w:hAnsi="仿宋" w:eastAsia="仿宋"/>
          <w:color w:val="auto"/>
          <w:highlight w:val="none"/>
          <w:lang w:eastAsia="zh-CN"/>
        </w:rPr>
        <w:t>材料及工程设备和构配件检验试验计划，施工总进度计划、人员安排、质保体系、</w:t>
      </w:r>
      <w:r>
        <w:rPr>
          <w:rFonts w:hint="eastAsia" w:ascii="仿宋" w:hAnsi="仿宋" w:eastAsia="仿宋" w:cs="仿宋"/>
          <w:color w:val="auto"/>
          <w:highlight w:val="none"/>
          <w:lang w:eastAsia="zh-CN"/>
        </w:rPr>
        <w:t>绿色施工安全防护措施</w:t>
      </w:r>
      <w:r>
        <w:rPr>
          <w:rFonts w:ascii="仿宋" w:hAnsi="仿宋" w:eastAsia="仿宋"/>
          <w:color w:val="auto"/>
          <w:highlight w:val="none"/>
          <w:lang w:eastAsia="zh-CN"/>
        </w:rPr>
        <w:t>、施工机械设备配置情况，以及施工现场优化布置等内容</w:t>
      </w:r>
      <w:r>
        <w:rPr>
          <w:rFonts w:hint="eastAsia" w:ascii="仿宋" w:hAnsi="仿宋" w:eastAsia="仿宋"/>
          <w:color w:val="auto"/>
          <w:highlight w:val="none"/>
          <w:lang w:eastAsia="zh-CN"/>
        </w:rPr>
        <w:t>，</w:t>
      </w:r>
      <w:r>
        <w:rPr>
          <w:rFonts w:ascii="仿宋" w:hAnsi="仿宋" w:eastAsia="仿宋"/>
          <w:color w:val="auto"/>
          <w:highlight w:val="none"/>
          <w:lang w:eastAsia="zh-CN"/>
        </w:rPr>
        <w:t>承包人必须按已批准的施工组织设计，将机械、设备、人员、材料等资源按时、按标准足额投入。</w:t>
      </w:r>
    </w:p>
    <w:p w14:paraId="016AC260">
      <w:pPr>
        <w:spacing w:line="360" w:lineRule="auto"/>
        <w:ind w:left="513" w:leftChars="165" w:hanging="117" w:hangingChars="49"/>
        <w:rPr>
          <w:rFonts w:ascii="仿宋" w:hAnsi="仿宋" w:eastAsia="仿宋"/>
          <w:color w:val="auto"/>
          <w:highlight w:val="none"/>
          <w:lang w:eastAsia="zh-CN"/>
        </w:rPr>
      </w:pPr>
      <w:r>
        <w:rPr>
          <w:rFonts w:ascii="仿宋" w:hAnsi="仿宋" w:eastAsia="仿宋"/>
          <w:color w:val="auto"/>
          <w:highlight w:val="none"/>
          <w:lang w:eastAsia="zh-CN"/>
        </w:rPr>
        <w:t>（2）施工组织设计属于承包人自身的施工措施，监理单位及发包人对施工组织设计的确认是对施工组织设计方案可行性的确认，并不是对所涉及费用的确认。</w:t>
      </w:r>
    </w:p>
    <w:p w14:paraId="1E5604A0">
      <w:pPr>
        <w:spacing w:line="360" w:lineRule="auto"/>
        <w:ind w:left="513" w:leftChars="165" w:hanging="117" w:hangingChars="49"/>
        <w:rPr>
          <w:rFonts w:ascii="仿宋" w:hAnsi="仿宋" w:eastAsia="仿宋"/>
          <w:bCs/>
          <w:color w:val="auto"/>
          <w:highlight w:val="none"/>
          <w:lang w:eastAsia="zh-CN"/>
        </w:rPr>
      </w:pPr>
      <w:r>
        <w:rPr>
          <w:rFonts w:ascii="仿宋" w:hAnsi="仿宋" w:eastAsia="仿宋"/>
          <w:bCs/>
          <w:color w:val="auto"/>
          <w:highlight w:val="none"/>
          <w:lang w:eastAsia="zh-CN"/>
        </w:rPr>
        <w:t>（3）</w:t>
      </w:r>
      <w:r>
        <w:rPr>
          <w:rFonts w:ascii="仿宋" w:hAnsi="仿宋" w:eastAsia="仿宋"/>
          <w:color w:val="auto"/>
          <w:highlight w:val="none"/>
          <w:lang w:eastAsia="zh-CN"/>
        </w:rPr>
        <w:t>施工过程中</w:t>
      </w:r>
      <w:r>
        <w:rPr>
          <w:rFonts w:ascii="仿宋" w:hAnsi="仿宋" w:eastAsia="仿宋"/>
          <w:bCs/>
          <w:color w:val="auto"/>
          <w:highlight w:val="none"/>
          <w:lang w:eastAsia="zh-CN"/>
        </w:rPr>
        <w:t>，承包人不得擅自调整施工组织设计。如确系情况特殊必须对人员安排、机械设备、施工方案等进行调整的，承包人须提前7天提出调整申请并附详细的调整计划和技术资料，报总监理工程师及发包人批准后方可实施。允许机械、设备调整的原则为：拟调换来的机械、设备，规格、标准只能比原计划提高，不能降低；数量上原则不允许减少，如确因更换先进设备提高了工效，可考虑在总工作效率不降低的前提下经监理单位、发包人同意后调整。</w:t>
      </w:r>
    </w:p>
    <w:p w14:paraId="7518A318">
      <w:pPr>
        <w:spacing w:line="360" w:lineRule="auto"/>
        <w:ind w:left="513" w:leftChars="165" w:hanging="117" w:hangingChars="49"/>
        <w:rPr>
          <w:rFonts w:ascii="仿宋" w:hAnsi="仿宋" w:eastAsia="仿宋"/>
          <w:bCs/>
          <w:color w:val="auto"/>
          <w:highlight w:val="none"/>
          <w:lang w:eastAsia="zh-CN"/>
        </w:rPr>
      </w:pPr>
      <w:r>
        <w:rPr>
          <w:rFonts w:ascii="仿宋" w:hAnsi="仿宋" w:eastAsia="仿宋"/>
          <w:bCs/>
          <w:color w:val="auto"/>
          <w:highlight w:val="none"/>
          <w:lang w:eastAsia="zh-CN"/>
        </w:rPr>
        <w:t>（4）</w:t>
      </w:r>
      <w:r>
        <w:rPr>
          <w:rFonts w:ascii="仿宋" w:hAnsi="仿宋" w:eastAsia="仿宋"/>
          <w:color w:val="auto"/>
          <w:highlight w:val="none"/>
          <w:lang w:eastAsia="zh-CN"/>
        </w:rPr>
        <w:t>由于设计变更</w:t>
      </w:r>
      <w:r>
        <w:rPr>
          <w:rFonts w:ascii="仿宋" w:hAnsi="仿宋" w:eastAsia="仿宋"/>
          <w:bCs/>
          <w:color w:val="auto"/>
          <w:highlight w:val="none"/>
          <w:lang w:eastAsia="zh-CN"/>
        </w:rPr>
        <w:t>、现场情况等变化造成工程内容、工程量变化，须调整机械、设备的规格、数量的，承包人须在变更或变化确定后3天内，提出完整的调整施工方案和资源投入调整计划，报监理单位及发包人审核批准后，才可做出调整。</w:t>
      </w:r>
    </w:p>
    <w:p w14:paraId="78A8316C">
      <w:pPr>
        <w:spacing w:line="360" w:lineRule="auto"/>
        <w:ind w:left="-2" w:leftChars="-1" w:firstLine="364" w:firstLineChars="152"/>
        <w:rPr>
          <w:rFonts w:ascii="仿宋" w:hAnsi="仿宋" w:eastAsia="仿宋"/>
          <w:bCs/>
          <w:color w:val="auto"/>
          <w:highlight w:val="none"/>
          <w:lang w:eastAsia="zh-CN"/>
        </w:rPr>
      </w:pPr>
      <w:r>
        <w:rPr>
          <w:rFonts w:ascii="仿宋" w:hAnsi="仿宋" w:eastAsia="仿宋"/>
          <w:bCs/>
          <w:color w:val="auto"/>
          <w:highlight w:val="none"/>
          <w:lang w:eastAsia="zh-CN"/>
        </w:rPr>
        <w:t>（5）</w:t>
      </w:r>
      <w:r>
        <w:rPr>
          <w:rFonts w:ascii="仿宋" w:hAnsi="仿宋" w:eastAsia="仿宋"/>
          <w:color w:val="auto"/>
          <w:highlight w:val="none"/>
          <w:lang w:eastAsia="zh-CN"/>
        </w:rPr>
        <w:t>现场资源投入的违约责任</w:t>
      </w:r>
      <w:r>
        <w:rPr>
          <w:rFonts w:ascii="仿宋" w:hAnsi="仿宋" w:eastAsia="仿宋"/>
          <w:bCs/>
          <w:color w:val="auto"/>
          <w:highlight w:val="none"/>
          <w:lang w:eastAsia="zh-CN"/>
        </w:rPr>
        <w:t>：</w:t>
      </w:r>
    </w:p>
    <w:p w14:paraId="56AA9144">
      <w:pPr>
        <w:tabs>
          <w:tab w:val="center" w:pos="180"/>
          <w:tab w:val="center" w:pos="540"/>
        </w:tabs>
        <w:spacing w:line="360" w:lineRule="auto"/>
        <w:ind w:left="398" w:leftChars="166" w:firstLine="480" w:firstLineChars="200"/>
        <w:rPr>
          <w:rFonts w:ascii="仿宋" w:hAnsi="仿宋" w:eastAsia="仿宋"/>
          <w:bCs/>
          <w:color w:val="auto"/>
          <w:highlight w:val="none"/>
          <w:lang w:eastAsia="zh-CN"/>
        </w:rPr>
      </w:pPr>
      <w:r>
        <w:rPr>
          <w:rFonts w:ascii="仿宋" w:hAnsi="仿宋" w:eastAsia="仿宋"/>
          <w:bCs/>
          <w:color w:val="auto"/>
          <w:highlight w:val="none"/>
          <w:lang w:eastAsia="zh-CN"/>
        </w:rPr>
        <w:t>承包人未经监理单位和发包人批准，擅自减少投标承诺以及经监理工程师和发包人审定的施工组织方案中要求的机械设备、人员、材料的投入数量（或降低投入规格、标准），一经发现，监理单位或发包人将书面通知承包人，承包人必须在3天内予以纠正，同时必须按每项与审定的施工组织方案不符的机械设备、人员、材料的数量（台套、人次），分别承担一般违约责任1次；如承包人未在规定期限内纠正，或以各种理由拒不纠正，承包人必须按每项与审定的施工组织方案不符的机械设备、人员、材料的数量（台套、人次）再次承担一般违约责任1次，监理单位或发包人将再次书面通知承包人，直至纠正。由于承包人未按审定的施工组织方案组织现场资源投入而造成工期延误的，承包人按通用条款</w:t>
      </w:r>
      <w:r>
        <w:rPr>
          <w:rFonts w:hint="eastAsia" w:ascii="仿宋" w:hAnsi="仿宋" w:eastAsia="仿宋"/>
          <w:bCs/>
          <w:color w:val="auto"/>
          <w:highlight w:val="none"/>
          <w:lang w:eastAsia="zh-CN"/>
        </w:rPr>
        <w:t>40</w:t>
      </w:r>
      <w:r>
        <w:rPr>
          <w:rFonts w:ascii="仿宋" w:hAnsi="仿宋" w:eastAsia="仿宋"/>
          <w:bCs/>
          <w:color w:val="auto"/>
          <w:highlight w:val="none"/>
          <w:lang w:eastAsia="zh-CN"/>
        </w:rPr>
        <w:t>.4条承担违约责任。</w:t>
      </w:r>
    </w:p>
    <w:p w14:paraId="71F8E5E8">
      <w:pPr>
        <w:pStyle w:val="3"/>
        <w:tabs>
          <w:tab w:val="left" w:pos="420"/>
        </w:tabs>
        <w:spacing w:line="360" w:lineRule="auto"/>
        <w:rPr>
          <w:rFonts w:hint="eastAsia"/>
          <w:i w:val="0"/>
          <w:iCs w:val="0"/>
          <w:color w:val="auto"/>
          <w:highlight w:val="none"/>
          <w:lang w:eastAsia="zh-CN"/>
        </w:rPr>
      </w:pPr>
      <w:bookmarkStart w:id="1485" w:name="_Toc2396"/>
      <w:bookmarkStart w:id="1486" w:name="_Toc10112"/>
      <w:bookmarkStart w:id="1487" w:name="_Toc8731"/>
      <w:bookmarkStart w:id="1488" w:name="_Toc7827"/>
      <w:bookmarkStart w:id="1489" w:name="_Toc27490"/>
      <w:bookmarkStart w:id="1490" w:name="_Toc4906"/>
      <w:bookmarkStart w:id="1491" w:name="_Toc26469"/>
      <w:r>
        <w:rPr>
          <w:rFonts w:hint="eastAsia" w:ascii="仿宋" w:hAnsi="仿宋" w:eastAsia="仿宋" w:cs="仿宋"/>
          <w:b w:val="0"/>
          <w:bCs w:val="0"/>
          <w:i w:val="0"/>
          <w:iCs w:val="0"/>
          <w:color w:val="auto"/>
          <w:sz w:val="24"/>
          <w:szCs w:val="24"/>
          <w:highlight w:val="none"/>
          <w:lang w:eastAsia="zh-CN"/>
        </w:rPr>
        <w:t>24.  现场管理人员任命和更换</w:t>
      </w:r>
      <w:bookmarkEnd w:id="1482"/>
      <w:bookmarkEnd w:id="1485"/>
      <w:bookmarkEnd w:id="1486"/>
      <w:bookmarkEnd w:id="1487"/>
      <w:bookmarkEnd w:id="1488"/>
      <w:bookmarkEnd w:id="1489"/>
      <w:bookmarkEnd w:id="1490"/>
      <w:bookmarkEnd w:id="1491"/>
    </w:p>
    <w:p w14:paraId="4A5D1BED">
      <w:pPr>
        <w:spacing w:line="360" w:lineRule="auto"/>
        <w:ind w:left="240" w:leftChars="100"/>
        <w:rPr>
          <w:rFonts w:hint="eastAsia" w:ascii="仿宋" w:hAnsi="仿宋" w:eastAsia="仿宋" w:cs="仿宋"/>
          <w:color w:val="auto"/>
          <w:highlight w:val="none"/>
          <w:lang w:eastAsia="zh-CN"/>
        </w:rPr>
      </w:pPr>
      <w:bookmarkStart w:id="1492" w:name="OLE_LINK12"/>
      <w:bookmarkStart w:id="1493" w:name="OLE_LINK13"/>
      <w:r>
        <w:rPr>
          <w:rFonts w:hint="eastAsia" w:ascii="仿宋" w:hAnsi="仿宋" w:eastAsia="仿宋" w:cs="仿宋"/>
          <w:color w:val="auto"/>
          <w:highlight w:val="none"/>
          <w:lang w:eastAsia="zh-CN"/>
        </w:rPr>
        <w:t>24.1 发包人现场管理人员任命和更换</w:t>
      </w:r>
    </w:p>
    <w:p w14:paraId="162A2A79">
      <w:pPr>
        <w:spacing w:line="360" w:lineRule="auto"/>
        <w:ind w:left="240" w:leftChars="100"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发包人现场管理人员任命和更换的约定：</w:t>
      </w:r>
      <w:r>
        <w:rPr>
          <w:rFonts w:hint="eastAsia" w:ascii="仿宋" w:hAnsi="仿宋" w:eastAsia="仿宋" w:cs="仿宋"/>
          <w:color w:val="auto"/>
          <w:highlight w:val="none"/>
          <w:u w:val="single"/>
          <w:lang w:eastAsia="zh-CN"/>
        </w:rPr>
        <w:t>按通用条款第24.1款执行。</w:t>
      </w:r>
    </w:p>
    <w:p w14:paraId="203EDF58">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24.2 承包人代表及专业负责人任命和更换</w:t>
      </w:r>
    </w:p>
    <w:p w14:paraId="3DD621CA">
      <w:pPr>
        <w:spacing w:line="360" w:lineRule="auto"/>
        <w:ind w:left="240" w:leftChars="100"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24.2.1 承包人代表及专业负责人任命和更换的约定</w:t>
      </w:r>
    </w:p>
    <w:p w14:paraId="6638F7E6">
      <w:pPr>
        <w:spacing w:line="360" w:lineRule="auto"/>
        <w:ind w:left="240" w:leftChars="100"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承包人代表：</w:t>
      </w:r>
      <w:r>
        <w:rPr>
          <w:rFonts w:hint="eastAsia" w:ascii="仿宋" w:hAnsi="仿宋" w:eastAsia="仿宋" w:cs="仿宋"/>
          <w:color w:val="auto"/>
          <w:highlight w:val="none"/>
          <w:u w:val="single"/>
          <w:lang w:eastAsia="zh-CN"/>
        </w:rPr>
        <w:t xml:space="preserve">  原则上不更换</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14:paraId="0B96E2BB">
      <w:pPr>
        <w:spacing w:line="360" w:lineRule="auto"/>
        <w:ind w:left="240" w:leftChars="100"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勘察负责人：</w:t>
      </w:r>
      <w:r>
        <w:rPr>
          <w:rFonts w:hint="eastAsia" w:ascii="仿宋" w:hAnsi="仿宋" w:eastAsia="仿宋" w:cs="仿宋"/>
          <w:color w:val="auto"/>
          <w:highlight w:val="none"/>
          <w:u w:val="single"/>
          <w:lang w:eastAsia="zh-CN"/>
        </w:rPr>
        <w:t xml:space="preserve">   原则上不更换                           </w:t>
      </w:r>
    </w:p>
    <w:p w14:paraId="34B62FA7">
      <w:pPr>
        <w:spacing w:line="360" w:lineRule="auto"/>
        <w:ind w:left="240" w:leftChars="10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设计负责人：</w:t>
      </w:r>
      <w:r>
        <w:rPr>
          <w:rFonts w:hint="eastAsia" w:ascii="仿宋" w:hAnsi="仿宋" w:eastAsia="仿宋" w:cs="仿宋"/>
          <w:color w:val="auto"/>
          <w:highlight w:val="none"/>
          <w:u w:val="single"/>
          <w:lang w:eastAsia="zh-CN"/>
        </w:rPr>
        <w:t xml:space="preserve">  原则上不更换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14:paraId="722F7186">
      <w:pPr>
        <w:spacing w:line="360" w:lineRule="auto"/>
        <w:ind w:left="240" w:leftChars="10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BIM技术负责人：</w:t>
      </w:r>
      <w:r>
        <w:rPr>
          <w:rFonts w:hint="eastAsia" w:ascii="仿宋" w:hAnsi="仿宋" w:eastAsia="仿宋" w:cs="仿宋"/>
          <w:color w:val="auto"/>
          <w:highlight w:val="none"/>
          <w:u w:val="single"/>
          <w:lang w:eastAsia="zh-CN"/>
        </w:rPr>
        <w:t xml:space="preserve">  /                       </w:t>
      </w:r>
    </w:p>
    <w:p w14:paraId="1C319EED">
      <w:pPr>
        <w:spacing w:line="360" w:lineRule="auto"/>
        <w:ind w:left="240" w:leftChars="100"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□设备及工器具购置负责人：</w:t>
      </w:r>
      <w:r>
        <w:rPr>
          <w:rFonts w:hint="eastAsia" w:ascii="仿宋" w:hAnsi="仿宋" w:eastAsia="仿宋" w:cs="仿宋"/>
          <w:color w:val="auto"/>
          <w:highlight w:val="none"/>
          <w:u w:val="single"/>
          <w:lang w:eastAsia="zh-CN"/>
        </w:rPr>
        <w:t xml:space="preserve">           /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14:paraId="53EA6520">
      <w:pPr>
        <w:spacing w:line="360" w:lineRule="auto"/>
        <w:ind w:left="240" w:leftChars="10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施工负责人：</w:t>
      </w:r>
      <w:r>
        <w:rPr>
          <w:rFonts w:hint="eastAsia" w:ascii="仿宋" w:hAnsi="仿宋" w:eastAsia="仿宋" w:cs="仿宋"/>
          <w:color w:val="auto"/>
          <w:highlight w:val="none"/>
          <w:u w:val="single"/>
          <w:lang w:eastAsia="zh-CN"/>
        </w:rPr>
        <w:t xml:space="preserve">  原则上不更换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14:paraId="2C88B303">
      <w:pPr>
        <w:spacing w:line="360" w:lineRule="auto"/>
        <w:ind w:left="240" w:leftChars="10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其他工作负责人：</w:t>
      </w:r>
      <w:r>
        <w:rPr>
          <w:rFonts w:hint="eastAsia" w:ascii="仿宋" w:hAnsi="仿宋" w:eastAsia="仿宋" w:cs="仿宋"/>
          <w:color w:val="auto"/>
          <w:highlight w:val="none"/>
          <w:u w:val="single"/>
          <w:lang w:eastAsia="zh-CN"/>
        </w:rPr>
        <w:t xml:space="preserve">  经发包人同意                        </w:t>
      </w:r>
    </w:p>
    <w:p w14:paraId="3E8C059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24.2.2 </w:t>
      </w:r>
      <w:r>
        <w:rPr>
          <w:rFonts w:ascii="仿宋" w:hAnsi="仿宋" w:eastAsia="仿宋"/>
          <w:bCs/>
          <w:color w:val="auto"/>
          <w:highlight w:val="none"/>
          <w:lang w:eastAsia="zh-CN"/>
        </w:rPr>
        <w:t>承包人现场管理机构有关规定及违约责任</w:t>
      </w:r>
    </w:p>
    <w:p w14:paraId="55C3D400">
      <w:pPr>
        <w:spacing w:line="360" w:lineRule="auto"/>
        <w:ind w:firstLine="480" w:firstLineChars="200"/>
        <w:rPr>
          <w:rFonts w:ascii="仿宋" w:hAnsi="仿宋" w:eastAsia="仿宋"/>
          <w:bCs/>
          <w:color w:val="auto"/>
          <w:highlight w:val="none"/>
          <w:lang w:eastAsia="zh-CN"/>
        </w:rPr>
      </w:pPr>
      <w:r>
        <w:rPr>
          <w:rFonts w:ascii="仿宋" w:hAnsi="仿宋" w:eastAsia="仿宋"/>
          <w:bCs/>
          <w:color w:val="auto"/>
          <w:highlight w:val="none"/>
          <w:lang w:eastAsia="zh-CN"/>
        </w:rPr>
        <w:t>承包人应当设立项目管理机构，组织管理所承包工程的施工活动。项目管理机构应当具有与承包工程的规模、技术复杂程度相适应的技术、经济管理人员。其中，</w:t>
      </w:r>
      <w:r>
        <w:rPr>
          <w:rFonts w:hint="eastAsia" w:ascii="仿宋" w:hAnsi="仿宋" w:eastAsia="仿宋" w:cs="仿宋"/>
          <w:bCs/>
          <w:color w:val="auto"/>
          <w:highlight w:val="none"/>
          <w:lang w:eastAsia="zh-CN"/>
        </w:rPr>
        <w:t>设计总负责人、总承包单位集团级领导（项目指挥长）、总承包单位分公司级分管领导、项目经理、项目副经理、项目生产经理、设计负责人、</w:t>
      </w:r>
      <w:r>
        <w:rPr>
          <w:rFonts w:ascii="仿宋" w:hAnsi="仿宋" w:eastAsia="仿宋"/>
          <w:bCs/>
          <w:color w:val="auto"/>
          <w:highlight w:val="none"/>
          <w:lang w:eastAsia="zh-CN"/>
        </w:rPr>
        <w:t>技术负责人、项目</w:t>
      </w:r>
      <w:r>
        <w:rPr>
          <w:rFonts w:hint="eastAsia" w:ascii="仿宋" w:hAnsi="仿宋" w:eastAsia="仿宋"/>
          <w:bCs/>
          <w:color w:val="auto"/>
          <w:highlight w:val="none"/>
          <w:lang w:eastAsia="zh-CN"/>
        </w:rPr>
        <w:t>商务（造价）</w:t>
      </w:r>
      <w:r>
        <w:rPr>
          <w:rFonts w:ascii="仿宋" w:hAnsi="仿宋" w:eastAsia="仿宋"/>
          <w:bCs/>
          <w:color w:val="auto"/>
          <w:highlight w:val="none"/>
          <w:lang w:eastAsia="zh-CN"/>
        </w:rPr>
        <w:t>负责人</w:t>
      </w:r>
      <w:r>
        <w:rPr>
          <w:rFonts w:hint="eastAsia" w:ascii="仿宋" w:hAnsi="仿宋" w:eastAsia="仿宋"/>
          <w:bCs/>
          <w:color w:val="auto"/>
          <w:highlight w:val="none"/>
          <w:lang w:eastAsia="zh-CN"/>
        </w:rPr>
        <w:t>、总承包管理部负责人</w:t>
      </w:r>
      <w:r>
        <w:rPr>
          <w:rFonts w:ascii="仿宋" w:hAnsi="仿宋" w:eastAsia="仿宋"/>
          <w:bCs/>
          <w:color w:val="auto"/>
          <w:highlight w:val="none"/>
          <w:lang w:eastAsia="zh-CN"/>
        </w:rPr>
        <w:t>以及安全</w:t>
      </w:r>
      <w:r>
        <w:rPr>
          <w:rFonts w:hint="eastAsia" w:ascii="仿宋" w:hAnsi="仿宋" w:eastAsia="仿宋"/>
          <w:bCs/>
          <w:color w:val="auto"/>
          <w:highlight w:val="none"/>
          <w:lang w:eastAsia="zh-CN"/>
        </w:rPr>
        <w:t>负责人、质量负责人</w:t>
      </w:r>
      <w:r>
        <w:rPr>
          <w:rFonts w:ascii="仿宋" w:hAnsi="仿宋" w:eastAsia="仿宋"/>
          <w:bCs/>
          <w:color w:val="auto"/>
          <w:highlight w:val="none"/>
          <w:lang w:eastAsia="zh-CN"/>
        </w:rPr>
        <w:t>等主要技术、管理人员必须是承包人本单位人员。上述的本单位人员，是指与承包人有合法的人事或者劳动合同、工资以及社会保险关系的人员</w:t>
      </w:r>
      <w:r>
        <w:rPr>
          <w:rFonts w:hint="eastAsia" w:ascii="仿宋" w:hAnsi="仿宋" w:eastAsia="仿宋"/>
          <w:bCs/>
          <w:color w:val="auto"/>
          <w:highlight w:val="none"/>
          <w:lang w:eastAsia="zh-CN"/>
        </w:rPr>
        <w:t>。 承包人应于申请开工前报告时向发包人提供上述人员资料文件，不提交上述文件的，前述人员无权履行职责，发包人有权要求更换人员，由此增加的费用和（或）延误的工期由承包人承担。同时</w:t>
      </w:r>
      <w:r>
        <w:rPr>
          <w:rFonts w:ascii="仿宋" w:hAnsi="仿宋" w:eastAsia="仿宋"/>
          <w:bCs/>
          <w:color w:val="auto"/>
          <w:highlight w:val="none"/>
          <w:lang w:eastAsia="zh-CN"/>
        </w:rPr>
        <w:t>承包人</w:t>
      </w:r>
      <w:r>
        <w:rPr>
          <w:rFonts w:hint="eastAsia" w:ascii="仿宋" w:hAnsi="仿宋" w:eastAsia="仿宋"/>
          <w:bCs/>
          <w:color w:val="auto"/>
          <w:highlight w:val="none"/>
          <w:lang w:eastAsia="zh-CN"/>
        </w:rPr>
        <w:t>需承担</w:t>
      </w:r>
      <w:r>
        <w:rPr>
          <w:rFonts w:ascii="仿宋" w:hAnsi="仿宋" w:eastAsia="仿宋"/>
          <w:bCs/>
          <w:color w:val="auto"/>
          <w:highlight w:val="none"/>
          <w:lang w:eastAsia="zh-CN"/>
        </w:rPr>
        <w:t>违约责任：</w:t>
      </w:r>
      <w:r>
        <w:rPr>
          <w:rFonts w:hint="eastAsia" w:ascii="仿宋" w:hAnsi="仿宋" w:eastAsia="仿宋"/>
          <w:bCs/>
          <w:color w:val="auto"/>
          <w:highlight w:val="none"/>
          <w:u w:val="single"/>
          <w:lang w:eastAsia="zh-CN"/>
        </w:rPr>
        <w:t>详见专用条款第</w:t>
      </w:r>
      <w:r>
        <w:rPr>
          <w:rFonts w:ascii="仿宋" w:hAnsi="仿宋" w:eastAsia="仿宋"/>
          <w:bCs/>
          <w:color w:val="auto"/>
          <w:highlight w:val="none"/>
          <w:u w:val="single"/>
          <w:lang w:eastAsia="zh-CN"/>
        </w:rPr>
        <w:t>95.</w:t>
      </w:r>
      <w:r>
        <w:rPr>
          <w:rFonts w:hint="eastAsia" w:ascii="仿宋" w:hAnsi="仿宋" w:eastAsia="仿宋"/>
          <w:bCs/>
          <w:color w:val="auto"/>
          <w:highlight w:val="none"/>
          <w:u w:val="single"/>
          <w:lang w:eastAsia="zh-CN"/>
        </w:rPr>
        <w:t>2</w:t>
      </w:r>
      <w:r>
        <w:rPr>
          <w:rFonts w:ascii="仿宋" w:hAnsi="仿宋" w:eastAsia="仿宋"/>
          <w:bCs/>
          <w:color w:val="auto"/>
          <w:highlight w:val="none"/>
          <w:u w:val="single"/>
          <w:lang w:eastAsia="zh-CN"/>
        </w:rPr>
        <w:t>款</w:t>
      </w:r>
      <w:r>
        <w:rPr>
          <w:rFonts w:hint="eastAsia" w:ascii="仿宋" w:hAnsi="仿宋" w:eastAsia="仿宋"/>
          <w:bCs/>
          <w:color w:val="auto"/>
          <w:highlight w:val="none"/>
          <w:lang w:eastAsia="zh-CN"/>
        </w:rPr>
        <w:t>。</w:t>
      </w:r>
    </w:p>
    <w:p w14:paraId="1A7CEDDD">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（1）承包人收到发包人进场通知后，承包人投标文件所报项目</w:t>
      </w:r>
      <w:r>
        <w:rPr>
          <w:rFonts w:hint="eastAsia" w:ascii="仿宋" w:hAnsi="仿宋" w:eastAsia="仿宋"/>
          <w:color w:val="auto"/>
          <w:highlight w:val="none"/>
          <w:lang w:eastAsia="zh-CN"/>
        </w:rPr>
        <w:t>管理机构</w:t>
      </w:r>
      <w:r>
        <w:rPr>
          <w:rFonts w:ascii="仿宋" w:hAnsi="仿宋" w:eastAsia="仿宋"/>
          <w:color w:val="auto"/>
          <w:highlight w:val="none"/>
          <w:lang w:eastAsia="zh-CN"/>
        </w:rPr>
        <w:t>主要成员</w:t>
      </w:r>
      <w:r>
        <w:rPr>
          <w:rFonts w:hint="eastAsia" w:ascii="仿宋" w:hAnsi="仿宋" w:eastAsia="仿宋"/>
          <w:color w:val="auto"/>
          <w:highlight w:val="none"/>
          <w:lang w:eastAsia="zh-CN"/>
        </w:rPr>
        <w:t>仍</w:t>
      </w:r>
      <w:r>
        <w:rPr>
          <w:rFonts w:ascii="仿宋" w:hAnsi="仿宋" w:eastAsia="仿宋"/>
          <w:color w:val="auto"/>
          <w:highlight w:val="none"/>
          <w:lang w:eastAsia="zh-CN"/>
        </w:rPr>
        <w:t>未按通知要求时间到位的，</w:t>
      </w:r>
      <w:r>
        <w:rPr>
          <w:rFonts w:hint="eastAsia" w:ascii="仿宋" w:hAnsi="仿宋" w:eastAsia="仿宋"/>
          <w:color w:val="auto"/>
          <w:highlight w:val="none"/>
          <w:lang w:eastAsia="zh-CN"/>
        </w:rPr>
        <w:t>现场不得开工，</w:t>
      </w:r>
      <w:r>
        <w:rPr>
          <w:rFonts w:ascii="仿宋" w:hAnsi="仿宋" w:eastAsia="仿宋"/>
          <w:color w:val="auto"/>
          <w:highlight w:val="none"/>
          <w:lang w:eastAsia="zh-CN"/>
        </w:rPr>
        <w:t>由此造成的工期延误不予顺延，承包人按</w:t>
      </w:r>
      <w:r>
        <w:rPr>
          <w:rFonts w:ascii="仿宋" w:hAnsi="仿宋" w:eastAsia="仿宋"/>
          <w:color w:val="auto"/>
          <w:highlight w:val="none"/>
          <w:u w:val="single"/>
          <w:lang w:eastAsia="zh-CN"/>
        </w:rPr>
        <w:t>专用条款第</w:t>
      </w:r>
      <w:r>
        <w:rPr>
          <w:rFonts w:hint="eastAsia" w:ascii="仿宋" w:hAnsi="仿宋" w:eastAsia="仿宋"/>
          <w:color w:val="auto"/>
          <w:highlight w:val="none"/>
          <w:u w:val="single"/>
          <w:lang w:eastAsia="zh-CN"/>
        </w:rPr>
        <w:t>95.3</w:t>
      </w:r>
      <w:r>
        <w:rPr>
          <w:rFonts w:ascii="仿宋" w:hAnsi="仿宋" w:eastAsia="仿宋"/>
          <w:color w:val="auto"/>
          <w:highlight w:val="none"/>
          <w:u w:val="single"/>
          <w:lang w:eastAsia="zh-CN"/>
        </w:rPr>
        <w:t>条</w:t>
      </w:r>
      <w:r>
        <w:rPr>
          <w:rFonts w:ascii="仿宋" w:hAnsi="仿宋" w:eastAsia="仿宋"/>
          <w:color w:val="auto"/>
          <w:highlight w:val="none"/>
          <w:lang w:eastAsia="zh-CN"/>
        </w:rPr>
        <w:t>承担违约责任。由此造成发包人损失的，发包人保留索赔权利。</w:t>
      </w:r>
    </w:p>
    <w:p w14:paraId="03B96814">
      <w:pPr>
        <w:widowControl w:val="0"/>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（2</w:t>
      </w:r>
      <w:r>
        <w:rPr>
          <w:rFonts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eastAsia="zh-CN"/>
        </w:rPr>
        <w:t>项目经理、项目副经理、项目生产经理、技术负责人、总承包管理部负责人、商务造价负责人、安全负责人、质量负责人等项目核心人员必须全职在现场办公，不得兼职或者擅自离岗。本工程严格执行签到制度,因特殊情况需短暂离岗的，应当事先通知监理工程师，并取得发包人的书面批准，且须妥善安排工作交接。</w:t>
      </w:r>
    </w:p>
    <w:p w14:paraId="5B7B718C">
      <w:pPr>
        <w:widowControl w:val="0"/>
        <w:spacing w:line="360" w:lineRule="auto"/>
        <w:ind w:firstLine="480" w:firstLineChars="200"/>
        <w:rPr>
          <w:rFonts w:ascii="仿宋" w:hAnsi="仿宋" w:eastAsia="仿宋"/>
          <w:b/>
          <w:bCs/>
          <w:color w:val="auto"/>
          <w:highlight w:val="none"/>
          <w:lang w:eastAsia="zh-CN"/>
        </w:rPr>
      </w:pPr>
      <w:r>
        <w:rPr>
          <w:rFonts w:hint="eastAsia" w:ascii="仿宋" w:hAnsi="仿宋" w:eastAsia="仿宋" w:cs="宋体"/>
          <w:snapToGrid w:val="0"/>
          <w:color w:val="auto"/>
          <w:highlight w:val="none"/>
          <w:lang w:eastAsia="zh-CN"/>
        </w:rPr>
        <w:t>（3）</w:t>
      </w:r>
      <w:r>
        <w:rPr>
          <w:rFonts w:ascii="仿宋" w:hAnsi="仿宋" w:eastAsia="仿宋" w:cs="宋体"/>
          <w:snapToGrid w:val="0"/>
          <w:color w:val="auto"/>
          <w:highlight w:val="none"/>
          <w:lang w:eastAsia="zh-CN"/>
        </w:rPr>
        <w:t>现场管理机构各部主要组织管理人员在开工前必须全部到位，并接受总监理工程师和发包人代表的查验。</w:t>
      </w:r>
      <w:r>
        <w:rPr>
          <w:rFonts w:hint="eastAsia" w:ascii="仿宋" w:hAnsi="仿宋" w:eastAsia="仿宋" w:cs="宋体"/>
          <w:snapToGrid w:val="0"/>
          <w:color w:val="auto"/>
          <w:highlight w:val="none"/>
          <w:lang w:eastAsia="zh-CN"/>
        </w:rPr>
        <w:t>承包人委派的现场管理机构各部主要组织管理人员不得有兼职情况存在，并需接受监理单位的监督。</w:t>
      </w:r>
    </w:p>
    <w:p w14:paraId="5019E40E">
      <w:pPr>
        <w:widowControl w:val="0"/>
        <w:spacing w:line="360" w:lineRule="auto"/>
        <w:ind w:firstLine="480" w:firstLineChars="200"/>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4）项目经理、技术负责人更换：本项目项目经理、技术负责人应与中标时招标文件中所明确的一致，原则上不允许更换。如确属特殊情况需更换的，须提前7天书面向总监理工程师及发包人申请，并附拟更换人员的详细资料，待监理单位及发包人审核批准后才可更换，并承担相应违约责任。承包人必须保证所更换人员的资质、资历、业绩、实际工作能力不低于原投标所承诺的人员素质。</w:t>
      </w:r>
    </w:p>
    <w:p w14:paraId="310F46B0">
      <w:pPr>
        <w:widowControl w:val="0"/>
        <w:spacing w:line="360" w:lineRule="auto"/>
        <w:ind w:firstLine="480" w:firstLineChars="200"/>
        <w:rPr>
          <w:rFonts w:hint="eastAsia"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前任项目经理约定的职责。</w:t>
      </w:r>
    </w:p>
    <w:p w14:paraId="5E764DD4">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（5）</w:t>
      </w:r>
      <w:r>
        <w:rPr>
          <w:rFonts w:hint="eastAsia" w:ascii="仿宋" w:hAnsi="仿宋" w:eastAsia="仿宋"/>
          <w:color w:val="auto"/>
          <w:highlight w:val="none"/>
          <w:lang w:eastAsia="zh-CN"/>
        </w:rPr>
        <w:t>关键人员更换</w:t>
      </w:r>
    </w:p>
    <w:p w14:paraId="3E24F907">
      <w:pPr>
        <w:widowControl w:val="0"/>
        <w:spacing w:line="360" w:lineRule="auto"/>
        <w:ind w:left="398" w:leftChars="166" w:firstLine="84" w:firstLineChars="35"/>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1）承包人擅自更换关键人员的违约责任：详见专用条款第95.2款。</w:t>
      </w:r>
    </w:p>
    <w:p w14:paraId="72916CF4">
      <w:pPr>
        <w:widowControl w:val="0"/>
        <w:spacing w:line="360" w:lineRule="auto"/>
        <w:ind w:left="398" w:leftChars="166" w:firstLine="84" w:firstLineChars="35"/>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2）承包人无正当理由拒绝撤换关键人员的违约责任：详见专用条款第95.2款。</w:t>
      </w:r>
    </w:p>
    <w:p w14:paraId="38880426">
      <w:pPr>
        <w:widowControl w:val="0"/>
        <w:spacing w:line="360" w:lineRule="auto"/>
        <w:ind w:left="398" w:leftChars="166" w:firstLine="84" w:firstLineChars="35"/>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3）现场管理机构各部主要组织管理人员应与投标文件保持一致，如因特殊情况需要更换的，</w:t>
      </w:r>
    </w:p>
    <w:p w14:paraId="346BEF03">
      <w:pPr>
        <w:widowControl w:val="0"/>
        <w:spacing w:line="360" w:lineRule="auto"/>
        <w:ind w:left="398" w:leftChars="166" w:firstLine="84" w:firstLineChars="35"/>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承包人应以书面形式向监理单位提出意向（附前任和后任人员的详细履历资料），经总监理工程师签署意见后向发包人提出申请，征得发包人书面同意后方可更换。承包人必须保证后任人员的资质、职称、实际工作能力不低于前任人员的素质。更换人员必须履行建设行政主管部门规定的人员变更手续，后任人员继续行使前任的职权，履行前任的义务。</w:t>
      </w:r>
    </w:p>
    <w:p w14:paraId="3250B334">
      <w:pPr>
        <w:widowControl w:val="0"/>
        <w:spacing w:line="360" w:lineRule="auto"/>
        <w:ind w:left="398" w:leftChars="166" w:firstLine="480" w:firstLineChars="200"/>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上述任何理由或程序更换的现场主要管理人员必须待更换人员到岗后，前任人员经工作交接方能离岗，若未经交接或批准擅自离岗，</w:t>
      </w:r>
      <w:r>
        <w:rPr>
          <w:rFonts w:hint="eastAsia" w:ascii="仿宋" w:hAnsi="仿宋" w:eastAsia="仿宋" w:cs="宋体"/>
          <w:snapToGrid w:val="0"/>
          <w:color w:val="auto"/>
          <w:highlight w:val="none"/>
          <w:lang w:eastAsia="zh-CN"/>
        </w:rPr>
        <w:t>发包人有权要求承包人承担一般违约责任处罚</w:t>
      </w:r>
      <w:r>
        <w:rPr>
          <w:rFonts w:ascii="仿宋" w:hAnsi="仿宋" w:eastAsia="仿宋" w:cs="宋体"/>
          <w:snapToGrid w:val="0"/>
          <w:color w:val="auto"/>
          <w:highlight w:val="none"/>
          <w:lang w:eastAsia="zh-CN"/>
        </w:rPr>
        <w:t>1</w:t>
      </w:r>
      <w:r>
        <w:rPr>
          <w:rFonts w:hint="eastAsia" w:ascii="仿宋" w:hAnsi="仿宋" w:eastAsia="仿宋" w:cs="宋体"/>
          <w:snapToGrid w:val="0"/>
          <w:color w:val="auto"/>
          <w:highlight w:val="none"/>
          <w:lang w:eastAsia="zh-CN"/>
        </w:rPr>
        <w:t>次</w:t>
      </w:r>
      <w:r>
        <w:rPr>
          <w:rFonts w:ascii="仿宋" w:hAnsi="仿宋" w:eastAsia="仿宋" w:cs="宋体"/>
          <w:snapToGrid w:val="0"/>
          <w:color w:val="auto"/>
          <w:highlight w:val="none"/>
          <w:lang w:eastAsia="zh-CN"/>
        </w:rPr>
        <w:t>。</w:t>
      </w:r>
    </w:p>
    <w:p w14:paraId="7CD24941">
      <w:pPr>
        <w:widowControl w:val="0"/>
        <w:spacing w:line="360" w:lineRule="auto"/>
        <w:ind w:left="398" w:leftChars="166" w:firstLine="84" w:firstLineChars="35"/>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4）现场管理机构各部主要组织管理人员的实际工作能力和工作效果达不到招标文件的明确要求或投标文件的承诺或工作态度存在严重不足，不适应现场工作需要的，发包人有权向承包人提出撤换。承包人可以提出整改意见，如发包人不予接受或认为整改效果不明显的，则承包人必须在发包人</w:t>
      </w:r>
      <w:r>
        <w:rPr>
          <w:rFonts w:hint="eastAsia" w:ascii="仿宋" w:hAnsi="仿宋" w:eastAsia="仿宋" w:cs="宋体"/>
          <w:snapToGrid w:val="0"/>
          <w:color w:val="auto"/>
          <w:highlight w:val="none"/>
          <w:lang w:eastAsia="zh-CN"/>
        </w:rPr>
        <w:t>作出不予接受或认为整改效果不明显的通知之日起</w:t>
      </w:r>
      <w:r>
        <w:rPr>
          <w:rFonts w:ascii="仿宋" w:hAnsi="仿宋" w:eastAsia="仿宋" w:cs="宋体"/>
          <w:snapToGrid w:val="0"/>
          <w:color w:val="auto"/>
          <w:highlight w:val="none"/>
          <w:lang w:eastAsia="zh-CN"/>
        </w:rPr>
        <w:t>7天内无条件撤换，并按</w:t>
      </w:r>
      <w:r>
        <w:rPr>
          <w:rFonts w:hint="eastAsia" w:ascii="仿宋" w:hAnsi="仿宋" w:eastAsia="仿宋" w:cs="宋体"/>
          <w:snapToGrid w:val="0"/>
          <w:color w:val="auto"/>
          <w:highlight w:val="none"/>
          <w:lang w:eastAsia="zh-CN"/>
        </w:rPr>
        <w:t>专用条款</w:t>
      </w:r>
      <w:r>
        <w:rPr>
          <w:rFonts w:ascii="仿宋" w:hAnsi="仿宋" w:eastAsia="仿宋" w:cs="宋体"/>
          <w:snapToGrid w:val="0"/>
          <w:color w:val="auto"/>
          <w:highlight w:val="none"/>
          <w:lang w:eastAsia="zh-CN"/>
        </w:rPr>
        <w:t>第95.</w:t>
      </w:r>
      <w:r>
        <w:rPr>
          <w:rFonts w:hint="eastAsia" w:ascii="仿宋" w:hAnsi="仿宋" w:eastAsia="仿宋" w:cs="宋体"/>
          <w:snapToGrid w:val="0"/>
          <w:color w:val="auto"/>
          <w:highlight w:val="none"/>
          <w:lang w:eastAsia="zh-CN"/>
        </w:rPr>
        <w:t>2</w:t>
      </w:r>
      <w:r>
        <w:rPr>
          <w:rFonts w:ascii="仿宋" w:hAnsi="仿宋" w:eastAsia="仿宋" w:cs="宋体"/>
          <w:snapToGrid w:val="0"/>
          <w:color w:val="auto"/>
          <w:highlight w:val="none"/>
          <w:lang w:eastAsia="zh-CN"/>
        </w:rPr>
        <w:t>（3）款的约定承担违约责任。所调换来人员的资质、职称、实际工作能力不低于投标文件中所承诺人员的素质，否则，按</w:t>
      </w:r>
      <w:r>
        <w:rPr>
          <w:rFonts w:hint="eastAsia" w:ascii="仿宋" w:hAnsi="仿宋" w:eastAsia="仿宋" w:cs="宋体"/>
          <w:snapToGrid w:val="0"/>
          <w:color w:val="auto"/>
          <w:highlight w:val="none"/>
          <w:lang w:eastAsia="zh-CN"/>
        </w:rPr>
        <w:t>专用条款</w:t>
      </w:r>
      <w:r>
        <w:rPr>
          <w:rFonts w:ascii="仿宋" w:hAnsi="仿宋" w:eastAsia="仿宋" w:cs="宋体"/>
          <w:snapToGrid w:val="0"/>
          <w:color w:val="auto"/>
          <w:highlight w:val="none"/>
          <w:lang w:eastAsia="zh-CN"/>
        </w:rPr>
        <w:t>第95.</w:t>
      </w:r>
      <w:r>
        <w:rPr>
          <w:rFonts w:hint="eastAsia" w:ascii="仿宋" w:hAnsi="仿宋" w:eastAsia="仿宋" w:cs="宋体"/>
          <w:snapToGrid w:val="0"/>
          <w:color w:val="auto"/>
          <w:highlight w:val="none"/>
          <w:lang w:eastAsia="zh-CN"/>
        </w:rPr>
        <w:t>2</w:t>
      </w:r>
      <w:r>
        <w:rPr>
          <w:rFonts w:ascii="仿宋" w:hAnsi="仿宋" w:eastAsia="仿宋" w:cs="宋体"/>
          <w:snapToGrid w:val="0"/>
          <w:color w:val="auto"/>
          <w:highlight w:val="none"/>
          <w:lang w:eastAsia="zh-CN"/>
        </w:rPr>
        <w:t>（3）款的约定承担违反投标承诺的违约责任。</w:t>
      </w:r>
    </w:p>
    <w:p w14:paraId="2530D9B1">
      <w:pPr>
        <w:widowControl w:val="0"/>
        <w:spacing w:line="360" w:lineRule="auto"/>
        <w:ind w:left="398" w:leftChars="166"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发包人要求承包人撤换不合格人员，如承包人既不立即撤换，也不在</w:t>
      </w:r>
      <w:r>
        <w:rPr>
          <w:rFonts w:ascii="仿宋" w:hAnsi="仿宋" w:eastAsia="仿宋" w:cs="宋体"/>
          <w:snapToGrid w:val="0"/>
          <w:color w:val="auto"/>
          <w:highlight w:val="none"/>
          <w:lang w:eastAsia="zh-CN"/>
        </w:rPr>
        <w:t>3天内提出整改意见，则视同拒绝执行发包人的指令，承包人需按</w:t>
      </w:r>
      <w:r>
        <w:rPr>
          <w:rFonts w:hint="eastAsia" w:ascii="仿宋" w:hAnsi="仿宋" w:eastAsia="仿宋" w:cs="宋体"/>
          <w:snapToGrid w:val="0"/>
          <w:color w:val="auto"/>
          <w:highlight w:val="none"/>
          <w:lang w:eastAsia="zh-CN"/>
        </w:rPr>
        <w:t>专用条款</w:t>
      </w:r>
      <w:r>
        <w:rPr>
          <w:rFonts w:ascii="仿宋" w:hAnsi="仿宋" w:eastAsia="仿宋" w:cs="宋体"/>
          <w:snapToGrid w:val="0"/>
          <w:color w:val="auto"/>
          <w:highlight w:val="none"/>
          <w:lang w:eastAsia="zh-CN"/>
        </w:rPr>
        <w:t>第95.</w:t>
      </w:r>
      <w:r>
        <w:rPr>
          <w:rFonts w:hint="eastAsia" w:ascii="仿宋" w:hAnsi="仿宋" w:eastAsia="仿宋" w:cs="宋体"/>
          <w:snapToGrid w:val="0"/>
          <w:color w:val="auto"/>
          <w:highlight w:val="none"/>
          <w:lang w:eastAsia="zh-CN"/>
        </w:rPr>
        <w:t>2</w:t>
      </w:r>
      <w:r>
        <w:rPr>
          <w:rFonts w:ascii="仿宋" w:hAnsi="仿宋" w:eastAsia="仿宋" w:cs="宋体"/>
          <w:snapToGrid w:val="0"/>
          <w:color w:val="auto"/>
          <w:highlight w:val="none"/>
          <w:lang w:eastAsia="zh-CN"/>
        </w:rPr>
        <w:t>（1）款的约定承担违约责任。</w:t>
      </w:r>
    </w:p>
    <w:p w14:paraId="48C127BB">
      <w:pPr>
        <w:widowControl w:val="0"/>
        <w:spacing w:line="360" w:lineRule="auto"/>
        <w:ind w:left="398" w:leftChars="166"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发包人要求承包人以实际工作能力较高的人员调换实际工作能力较低的现场人员、或者承包人主动要求以实际工作能力较高的人员调换实际工作能力较低的现场人员并经总监理工程师及发包人批准且经实践检验证实、或者承包人有合法的理由提出申请并经总监理工程师及发包人批准更换相关人员的，承包人可不承担违约责任。</w:t>
      </w:r>
    </w:p>
    <w:p w14:paraId="17B1F21A">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（6）</w:t>
      </w:r>
      <w:r>
        <w:rPr>
          <w:rFonts w:hint="eastAsia" w:ascii="仿宋" w:hAnsi="仿宋" w:eastAsia="仿宋"/>
          <w:color w:val="auto"/>
          <w:highlight w:val="none"/>
          <w:lang w:eastAsia="zh-CN"/>
        </w:rPr>
        <w:t>现场管理关键人员在岗要求</w:t>
      </w:r>
    </w:p>
    <w:p w14:paraId="6D09C016">
      <w:pPr>
        <w:spacing w:line="360" w:lineRule="auto"/>
        <w:ind w:left="398" w:leftChars="166"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承包人现场管理关键人员离开施工现场的批准要求：现场管理机构各部主要组织管理人员必须全职在现场办公，不得兼职或者擅自离岗。因特殊情况需短暂离岗的，应当事先报总监理工程师批准，且须妥善安排工作交接。项目负责人应当确保每月在现场带班生产的实际时间不少于本月施工时间的80%，如需请假按发包人相关规定办理。</w:t>
      </w:r>
    </w:p>
    <w:p w14:paraId="4BD20A82">
      <w:pPr>
        <w:spacing w:line="360" w:lineRule="auto"/>
        <w:ind w:left="396" w:leftChars="165" w:firstLine="120" w:firstLineChars="50"/>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7</w:t>
      </w:r>
      <w:r>
        <w:rPr>
          <w:rFonts w:ascii="仿宋" w:hAnsi="仿宋" w:eastAsia="仿宋"/>
          <w:color w:val="auto"/>
          <w:highlight w:val="none"/>
          <w:lang w:eastAsia="zh-CN"/>
        </w:rPr>
        <w:t>）人员离场：承包人必须保证所有项目管理人员全职现场办公，不得兼职或擅自离场。如因特殊情况须短暂离开的，必须妥善安排工地现场的工作交接，指定可以接替工作并能承担责任的临时负责人，并按以下规定执行：</w:t>
      </w:r>
    </w:p>
    <w:p w14:paraId="13EF7417">
      <w:pPr>
        <w:spacing w:line="360" w:lineRule="auto"/>
        <w:ind w:firstLine="720" w:firstLineChars="300"/>
        <w:rPr>
          <w:rFonts w:ascii="仿宋" w:hAnsi="仿宋" w:eastAsia="仿宋"/>
          <w:color w:val="auto"/>
          <w:highlight w:val="none"/>
          <w:lang w:eastAsia="zh-CN"/>
        </w:rPr>
      </w:pPr>
      <w:r>
        <w:rPr>
          <w:rFonts w:ascii="仿宋" w:hAnsi="仿宋" w:eastAsia="仿宋"/>
          <w:color w:val="auto"/>
          <w:highlight w:val="none"/>
          <w:lang w:eastAsia="zh-CN"/>
        </w:rPr>
        <w:t>离场1天内，须将工作交接情况报告现场监理工程师；</w:t>
      </w:r>
    </w:p>
    <w:p w14:paraId="47B93346">
      <w:pPr>
        <w:spacing w:line="360" w:lineRule="auto"/>
        <w:ind w:firstLine="720" w:firstLineChars="300"/>
        <w:rPr>
          <w:rFonts w:ascii="仿宋" w:hAnsi="仿宋" w:eastAsia="仿宋"/>
          <w:color w:val="auto"/>
          <w:highlight w:val="none"/>
          <w:lang w:eastAsia="zh-CN"/>
        </w:rPr>
      </w:pPr>
      <w:r>
        <w:rPr>
          <w:rFonts w:ascii="仿宋" w:hAnsi="仿宋" w:eastAsia="仿宋"/>
          <w:color w:val="auto"/>
          <w:highlight w:val="none"/>
          <w:lang w:eastAsia="zh-CN"/>
        </w:rPr>
        <w:t>离场2至3天，须将工作交接情况报告总监理工程师；</w:t>
      </w:r>
    </w:p>
    <w:p w14:paraId="209B7E6D">
      <w:pPr>
        <w:spacing w:line="360" w:lineRule="auto"/>
        <w:ind w:firstLine="720" w:firstLineChars="300"/>
        <w:rPr>
          <w:rFonts w:ascii="仿宋" w:hAnsi="仿宋" w:eastAsia="仿宋"/>
          <w:color w:val="auto"/>
          <w:highlight w:val="none"/>
          <w:lang w:eastAsia="zh-CN"/>
        </w:rPr>
      </w:pPr>
      <w:r>
        <w:rPr>
          <w:rFonts w:ascii="仿宋" w:hAnsi="仿宋" w:eastAsia="仿宋"/>
          <w:color w:val="auto"/>
          <w:highlight w:val="none"/>
          <w:lang w:eastAsia="zh-CN"/>
        </w:rPr>
        <w:t>离场3天以上，须将工作交接情报告发包人。</w:t>
      </w:r>
    </w:p>
    <w:p w14:paraId="49500ECF">
      <w:pPr>
        <w:spacing w:line="360" w:lineRule="auto"/>
        <w:ind w:left="199" w:leftChars="83" w:firstLine="480" w:firstLineChars="200"/>
        <w:rPr>
          <w:rFonts w:ascii="仿宋" w:hAnsi="仿宋" w:eastAsia="仿宋"/>
          <w:color w:val="auto"/>
          <w:highlight w:val="none"/>
          <w:lang w:eastAsia="zh-CN"/>
        </w:rPr>
      </w:pPr>
      <w:r>
        <w:rPr>
          <w:rFonts w:ascii="仿宋" w:hAnsi="仿宋" w:eastAsia="仿宋"/>
          <w:color w:val="auto"/>
          <w:highlight w:val="none"/>
          <w:lang w:eastAsia="zh-CN"/>
        </w:rPr>
        <w:t>但每月累计离场天数不得超过4天，否则，应向发包人支付违约金人民币3000元；若每月累计离场天数超过7天的，视为岗位空缺。</w:t>
      </w:r>
    </w:p>
    <w:p w14:paraId="7A5F37D3">
      <w:pPr>
        <w:spacing w:line="360" w:lineRule="auto"/>
        <w:ind w:left="197" w:leftChars="82" w:firstLine="122" w:firstLineChars="51"/>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8</w:t>
      </w:r>
      <w:r>
        <w:rPr>
          <w:rFonts w:ascii="仿宋" w:hAnsi="仿宋" w:eastAsia="仿宋"/>
          <w:color w:val="auto"/>
          <w:highlight w:val="none"/>
          <w:lang w:eastAsia="zh-CN"/>
        </w:rPr>
        <w:t>）现场办公的定义为：在工程实施过程中，无特殊情况必须保证在施工现场全职上班，负责工地各项工作，包括但不限于参加技术交底、协调例会、专题会议等主要工作会议。</w:t>
      </w:r>
    </w:p>
    <w:p w14:paraId="52B24836">
      <w:pPr>
        <w:spacing w:line="360" w:lineRule="auto"/>
        <w:ind w:firstLine="360" w:firstLineChars="150"/>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9</w:t>
      </w:r>
      <w:r>
        <w:rPr>
          <w:rFonts w:ascii="仿宋" w:hAnsi="仿宋" w:eastAsia="仿宋"/>
          <w:color w:val="auto"/>
          <w:highlight w:val="none"/>
          <w:lang w:eastAsia="zh-CN"/>
        </w:rPr>
        <w:t>）承包人现场造价人员的管理及违约责任</w:t>
      </w:r>
    </w:p>
    <w:p w14:paraId="4C241D6A">
      <w:pPr>
        <w:spacing w:line="360" w:lineRule="auto"/>
        <w:ind w:left="398" w:leftChars="166" w:firstLine="240" w:firstLineChars="100"/>
        <w:rPr>
          <w:rFonts w:ascii="仿宋" w:hAnsi="仿宋" w:eastAsia="仿宋"/>
          <w:color w:val="auto"/>
          <w:highlight w:val="none"/>
          <w:lang w:eastAsia="zh-CN"/>
        </w:rPr>
      </w:pPr>
      <w:r>
        <w:rPr>
          <w:rFonts w:ascii="仿宋" w:hAnsi="仿宋" w:eastAsia="仿宋"/>
          <w:color w:val="auto"/>
          <w:highlight w:val="none"/>
          <w:lang w:eastAsia="zh-CN"/>
        </w:rPr>
        <w:t>①承包人委派的项目组成员中,必须包含造价人员（具有造价工程师</w:t>
      </w:r>
      <w:r>
        <w:rPr>
          <w:rFonts w:hint="eastAsia" w:ascii="仿宋" w:hAnsi="仿宋" w:eastAsia="仿宋"/>
          <w:color w:val="auto"/>
          <w:highlight w:val="none"/>
          <w:lang w:eastAsia="zh-CN"/>
        </w:rPr>
        <w:t>以上</w:t>
      </w:r>
      <w:r>
        <w:rPr>
          <w:rFonts w:ascii="仿宋" w:hAnsi="仿宋" w:eastAsia="仿宋"/>
          <w:color w:val="auto"/>
          <w:highlight w:val="none"/>
          <w:lang w:eastAsia="zh-CN"/>
        </w:rPr>
        <w:t>资格）并授权为本项目的造价负责人，造价负责人在施工过程中必须驻工地，参加项目的月例会、周例会和造价专题会。项目的造价文件（工程预</w:t>
      </w:r>
      <w:r>
        <w:rPr>
          <w:rFonts w:hint="eastAsia" w:ascii="仿宋" w:hAnsi="仿宋" w:eastAsia="仿宋"/>
          <w:color w:val="auto"/>
          <w:highlight w:val="none"/>
          <w:lang w:eastAsia="zh-CN"/>
        </w:rPr>
        <w:t>算</w:t>
      </w:r>
      <w:r>
        <w:rPr>
          <w:rFonts w:ascii="仿宋" w:hAnsi="仿宋" w:eastAsia="仿宋"/>
          <w:color w:val="auto"/>
          <w:highlight w:val="none"/>
          <w:lang w:eastAsia="zh-CN"/>
        </w:rPr>
        <w:t>、结算书、签证）、进度款申请书等必须经指定的工程造价人员编制并签名盖章。</w:t>
      </w:r>
    </w:p>
    <w:p w14:paraId="23BB3AA1">
      <w:pPr>
        <w:spacing w:line="360" w:lineRule="auto"/>
        <w:ind w:left="598" w:leftChars="249" w:firstLine="0" w:firstLineChars="0"/>
        <w:rPr>
          <w:rFonts w:ascii="仿宋" w:hAnsi="仿宋" w:eastAsia="仿宋"/>
          <w:color w:val="auto"/>
          <w:highlight w:val="none"/>
          <w:lang w:eastAsia="zh-CN"/>
        </w:rPr>
      </w:pPr>
      <w:r>
        <w:rPr>
          <w:rFonts w:ascii="仿宋" w:hAnsi="仿宋" w:eastAsia="仿宋"/>
          <w:color w:val="auto"/>
          <w:highlight w:val="none"/>
          <w:lang w:eastAsia="zh-CN"/>
        </w:rPr>
        <w:t>②承包人提供的造价文件（工程预</w:t>
      </w:r>
      <w:r>
        <w:rPr>
          <w:rFonts w:hint="eastAsia" w:ascii="仿宋" w:hAnsi="仿宋" w:eastAsia="仿宋"/>
          <w:color w:val="auto"/>
          <w:highlight w:val="none"/>
          <w:lang w:eastAsia="zh-CN"/>
        </w:rPr>
        <w:t>算</w:t>
      </w:r>
      <w:r>
        <w:rPr>
          <w:rFonts w:ascii="仿宋" w:hAnsi="仿宋" w:eastAsia="仿宋"/>
          <w:color w:val="auto"/>
          <w:highlight w:val="none"/>
          <w:lang w:eastAsia="zh-CN"/>
        </w:rPr>
        <w:t>、结算书、签证）、进度款申请书等，未经指定的工程造价人员编制并签名盖章，每次</w:t>
      </w:r>
      <w:r>
        <w:rPr>
          <w:rFonts w:hint="eastAsia" w:ascii="仿宋" w:hAnsi="仿宋" w:eastAsia="仿宋"/>
          <w:color w:val="auto"/>
          <w:highlight w:val="none"/>
          <w:lang w:eastAsia="zh-CN"/>
        </w:rPr>
        <w:t>支付违约金1</w:t>
      </w:r>
      <w:r>
        <w:rPr>
          <w:rFonts w:ascii="仿宋" w:hAnsi="仿宋" w:eastAsia="仿宋"/>
          <w:color w:val="auto"/>
          <w:highlight w:val="none"/>
          <w:lang w:eastAsia="zh-CN"/>
        </w:rPr>
        <w:t>000元。同时，发包人有权退回，承包人须重新编报。</w:t>
      </w:r>
    </w:p>
    <w:p w14:paraId="67A48E2F">
      <w:pPr>
        <w:spacing w:line="360" w:lineRule="auto"/>
        <w:ind w:left="598" w:leftChars="249" w:firstLine="0" w:firstLineChars="0"/>
        <w:rPr>
          <w:rFonts w:ascii="仿宋" w:hAnsi="仿宋" w:eastAsia="仿宋"/>
          <w:color w:val="auto"/>
          <w:highlight w:val="none"/>
          <w:lang w:eastAsia="zh-CN"/>
        </w:rPr>
      </w:pPr>
      <w:r>
        <w:rPr>
          <w:rFonts w:ascii="仿宋" w:hAnsi="仿宋" w:eastAsia="仿宋"/>
          <w:color w:val="auto"/>
          <w:highlight w:val="none"/>
          <w:lang w:eastAsia="zh-CN"/>
        </w:rPr>
        <w:t>③承包人不得擅自更换项目造价负责人，否则发包人有权按</w:t>
      </w:r>
      <w:r>
        <w:rPr>
          <w:rFonts w:ascii="仿宋" w:hAnsi="仿宋" w:eastAsia="仿宋"/>
          <w:color w:val="auto"/>
          <w:highlight w:val="none"/>
          <w:u w:val="single"/>
          <w:lang w:eastAsia="zh-CN"/>
        </w:rPr>
        <w:t>详见专用条款第95.2款</w:t>
      </w:r>
      <w:r>
        <w:rPr>
          <w:rFonts w:ascii="仿宋" w:hAnsi="仿宋" w:eastAsia="仿宋"/>
          <w:color w:val="auto"/>
          <w:highlight w:val="none"/>
          <w:lang w:eastAsia="zh-CN"/>
        </w:rPr>
        <w:t>各技术负责人的约定计处违约金。若项目造价负责人因不可抗拒的原因不能担任须书面说明原因，并经发包人同意后才能更换，更换后的造价负责人不得低于原造价负责人的资质和相应资历。</w:t>
      </w:r>
    </w:p>
    <w:p w14:paraId="2587B426">
      <w:pPr>
        <w:spacing w:line="360" w:lineRule="auto"/>
        <w:ind w:left="197" w:leftChars="82" w:firstLine="122" w:firstLineChars="51"/>
        <w:rPr>
          <w:rFonts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0</w:t>
      </w:r>
      <w:r>
        <w:rPr>
          <w:rFonts w:ascii="仿宋" w:hAnsi="仿宋" w:eastAsia="仿宋"/>
          <w:color w:val="auto"/>
          <w:highlight w:val="none"/>
          <w:lang w:eastAsia="zh-CN"/>
        </w:rPr>
        <w:t>）项目指挥长须由承包人现任</w:t>
      </w:r>
      <w:r>
        <w:rPr>
          <w:rFonts w:hint="eastAsia" w:ascii="仿宋" w:hAnsi="仿宋" w:eastAsia="仿宋"/>
          <w:color w:val="auto"/>
          <w:highlight w:val="none"/>
          <w:lang w:val="en-US" w:eastAsia="zh-CN"/>
        </w:rPr>
        <w:t>主要</w:t>
      </w:r>
      <w:r>
        <w:rPr>
          <w:rFonts w:ascii="仿宋" w:hAnsi="仿宋" w:eastAsia="仿宋"/>
          <w:color w:val="auto"/>
          <w:highlight w:val="none"/>
          <w:lang w:eastAsia="zh-CN"/>
        </w:rPr>
        <w:t>领导担任，本项目承包人指挥长为</w:t>
      </w:r>
      <w:r>
        <w:rPr>
          <w:rFonts w:hint="eastAsia" w:ascii="仿宋" w:hAnsi="仿宋" w:eastAsia="仿宋"/>
          <w:color w:val="auto"/>
          <w:highlight w:val="none"/>
          <w:u w:val="single"/>
          <w:lang w:val="en-US" w:eastAsia="zh-CN"/>
        </w:rPr>
        <w:t xml:space="preserve">    </w:t>
      </w:r>
      <w:r>
        <w:rPr>
          <w:rFonts w:ascii="仿宋" w:hAnsi="仿宋" w:eastAsia="仿宋"/>
          <w:color w:val="auto"/>
          <w:highlight w:val="none"/>
          <w:lang w:eastAsia="zh-CN"/>
        </w:rPr>
        <w:t>。</w:t>
      </w:r>
      <w:r>
        <w:rPr>
          <w:rFonts w:ascii="仿宋" w:hAnsi="仿宋" w:eastAsia="仿宋"/>
          <w:color w:val="auto"/>
          <w:highlight w:val="none"/>
          <w:lang w:val="zh-CN" w:eastAsia="zh-CN"/>
        </w:rPr>
        <w:t>涉及项目施工质量、安全、进度及工期等重大施工问题，项目指挥长必须配合发包人及监理人，按要求出席相关工作会议，及时在项目现场进行指挥安排，贯彻落实发包人及监理人的指令。如果发包人或监理人认为有必要，可以要求承包人指挥长驻场指挥工作，直至现场存在问题得到改善。若项目指挥长未能有效履行以上职责的，此种情况每出现1次，承包人须向发包人支付违约金20000元。</w:t>
      </w:r>
    </w:p>
    <w:p w14:paraId="64D54335">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24.3 设计顾问人代表、监理人代表、造价咨询人代表任命和撤回</w:t>
      </w:r>
    </w:p>
    <w:p w14:paraId="50B89D63">
      <w:pPr>
        <w:spacing w:line="360" w:lineRule="auto"/>
        <w:ind w:left="240" w:leftChars="100"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设计顾问人代表任命和撤回的约定：</w:t>
      </w:r>
      <w:r>
        <w:rPr>
          <w:rFonts w:hint="eastAsia" w:ascii="仿宋" w:hAnsi="仿宋" w:eastAsia="仿宋" w:cs="仿宋"/>
          <w:color w:val="auto"/>
          <w:highlight w:val="none"/>
          <w:u w:val="single"/>
          <w:lang w:eastAsia="zh-CN"/>
        </w:rPr>
        <w:t xml:space="preserve">按通用条款执行               </w:t>
      </w:r>
    </w:p>
    <w:p w14:paraId="77A44F8B">
      <w:pPr>
        <w:spacing w:line="360" w:lineRule="auto"/>
        <w:ind w:left="240" w:leftChars="100"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监理人代表任命和撤回的约定：</w:t>
      </w:r>
      <w:r>
        <w:rPr>
          <w:rFonts w:hint="eastAsia" w:ascii="仿宋" w:hAnsi="仿宋" w:eastAsia="仿宋" w:cs="仿宋"/>
          <w:color w:val="auto"/>
          <w:highlight w:val="none"/>
          <w:u w:val="single"/>
          <w:lang w:eastAsia="zh-CN"/>
        </w:rPr>
        <w:t xml:space="preserve">按监理咨询服务合同的约定执行     </w:t>
      </w:r>
    </w:p>
    <w:p w14:paraId="3F41E3B9">
      <w:pPr>
        <w:spacing w:line="360" w:lineRule="auto"/>
        <w:ind w:left="240" w:leftChars="100"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造价咨询人代表任命和撤回的约定：</w:t>
      </w:r>
      <w:r>
        <w:rPr>
          <w:rFonts w:hint="eastAsia" w:ascii="仿宋" w:hAnsi="仿宋" w:eastAsia="仿宋" w:cs="仿宋"/>
          <w:color w:val="auto"/>
          <w:highlight w:val="none"/>
          <w:u w:val="single"/>
          <w:lang w:eastAsia="zh-CN"/>
        </w:rPr>
        <w:t xml:space="preserve">按通用条款执行               </w:t>
      </w:r>
    </w:p>
    <w:bookmarkEnd w:id="1492"/>
    <w:bookmarkEnd w:id="1493"/>
    <w:p w14:paraId="23FAEDB5">
      <w:pPr>
        <w:pStyle w:val="3"/>
        <w:tabs>
          <w:tab w:val="left" w:pos="420"/>
        </w:tabs>
        <w:spacing w:line="360" w:lineRule="auto"/>
        <w:ind w:firstLine="240" w:firstLineChars="100"/>
        <w:rPr>
          <w:rFonts w:hint="eastAsia"/>
          <w:i w:val="0"/>
          <w:iCs w:val="0"/>
          <w:color w:val="auto"/>
          <w:highlight w:val="none"/>
          <w:lang w:eastAsia="zh-CN"/>
        </w:rPr>
      </w:pPr>
      <w:bookmarkStart w:id="1494" w:name="_Toc21169"/>
      <w:bookmarkStart w:id="1495" w:name="_Toc14771"/>
      <w:bookmarkStart w:id="1496" w:name="_Toc30469"/>
      <w:bookmarkStart w:id="1497" w:name="_Toc4419"/>
      <w:bookmarkStart w:id="1498" w:name="_Toc15229"/>
      <w:bookmarkStart w:id="1499" w:name="_Toc32515"/>
      <w:bookmarkStart w:id="1500" w:name="_Toc47694400"/>
      <w:bookmarkStart w:id="1501" w:name="_Toc1859"/>
      <w:r>
        <w:rPr>
          <w:rFonts w:hint="eastAsia" w:ascii="仿宋" w:hAnsi="仿宋" w:eastAsia="仿宋" w:cs="仿宋"/>
          <w:b w:val="0"/>
          <w:bCs w:val="0"/>
          <w:i w:val="0"/>
          <w:iCs w:val="0"/>
          <w:color w:val="auto"/>
          <w:sz w:val="24"/>
          <w:szCs w:val="24"/>
          <w:highlight w:val="none"/>
          <w:lang w:eastAsia="zh-CN"/>
        </w:rPr>
        <w:t>25.  发包人代表</w:t>
      </w:r>
      <w:bookmarkEnd w:id="1494"/>
      <w:bookmarkEnd w:id="1495"/>
      <w:bookmarkEnd w:id="1496"/>
      <w:bookmarkEnd w:id="1497"/>
      <w:bookmarkEnd w:id="1498"/>
      <w:bookmarkEnd w:id="1499"/>
      <w:bookmarkEnd w:id="1500"/>
      <w:bookmarkEnd w:id="1501"/>
    </w:p>
    <w:p w14:paraId="3FD29EA5">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25.1 发包人对其代表授权</w:t>
      </w:r>
    </w:p>
    <w:p w14:paraId="44AFF003">
      <w:pPr>
        <w:spacing w:line="360" w:lineRule="auto"/>
        <w:ind w:left="240" w:leftChars="1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发包人代表及其权力的限制</w:t>
      </w:r>
    </w:p>
    <w:p w14:paraId="09B402DC">
      <w:pPr>
        <w:spacing w:line="360" w:lineRule="auto"/>
        <w:ind w:left="240" w:leftChars="1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①发包人任命（</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）为发包人代表，其通讯方式为</w:t>
      </w:r>
    </w:p>
    <w:p w14:paraId="1C49F667">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广州市白云区齐富路88号之五11层 </w:t>
      </w:r>
      <w:r>
        <w:rPr>
          <w:rFonts w:hint="eastAsia" w:ascii="仿宋" w:hAnsi="仿宋" w:eastAsia="仿宋" w:cs="仿宋"/>
          <w:color w:val="auto"/>
          <w:highlight w:val="none"/>
          <w:lang w:eastAsia="zh-CN"/>
        </w:rPr>
        <w:t>邮政编码：</w:t>
      </w:r>
      <w:r>
        <w:rPr>
          <w:rFonts w:hint="eastAsia" w:ascii="仿宋" w:hAnsi="仿宋" w:eastAsia="仿宋" w:cs="仿宋"/>
          <w:color w:val="auto"/>
          <w:highlight w:val="none"/>
          <w:u w:val="single"/>
          <w:lang w:eastAsia="zh-CN"/>
        </w:rPr>
        <w:t>510080</w:t>
      </w:r>
    </w:p>
    <w:p w14:paraId="090C99C2">
      <w:pPr>
        <w:spacing w:line="360" w:lineRule="auto"/>
        <w:ind w:left="120" w:firstLine="823" w:firstLineChars="34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          </w:t>
      </w:r>
    </w:p>
    <w:p w14:paraId="14C5DE5A">
      <w:pPr>
        <w:spacing w:line="360" w:lineRule="auto"/>
        <w:ind w:left="439" w:leftChars="183" w:firstLine="120" w:firstLineChars="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②发包人对发包人代表权力做如下限制：</w:t>
      </w:r>
      <w:r>
        <w:rPr>
          <w:rFonts w:ascii="仿宋" w:hAnsi="仿宋" w:eastAsia="仿宋"/>
          <w:color w:val="auto"/>
          <w:highlight w:val="none"/>
          <w:u w:val="single"/>
          <w:lang w:eastAsia="zh-CN"/>
        </w:rPr>
        <w:t>发包人代表仅在发包人授权范围内行使发包人的权力，按照发包人的规章制度履行相应职责，监督检查工程施工进度、质量及安全，对设计变更、现场签证及签证工程量的确认以及与本工程相关的所有文件、资料须由发包人盖章确认后方可生效。承包人已完全清楚了解发包人规章制度中对发包人代表的责任要求和授权限制，发包人代表超出授权范围的行为对双方均不具约束力。</w:t>
      </w:r>
    </w:p>
    <w:p w14:paraId="683D3BB4">
      <w:pPr>
        <w:pStyle w:val="3"/>
        <w:tabs>
          <w:tab w:val="left" w:pos="360"/>
          <w:tab w:val="left" w:pos="420"/>
        </w:tabs>
        <w:spacing w:line="360" w:lineRule="auto"/>
        <w:ind w:firstLine="105"/>
        <w:rPr>
          <w:rFonts w:eastAsia="仿宋"/>
          <w:i w:val="0"/>
          <w:iCs w:val="0"/>
          <w:color w:val="auto"/>
          <w:highlight w:val="none"/>
          <w:lang w:eastAsia="zh-CN"/>
        </w:rPr>
      </w:pPr>
      <w:bookmarkStart w:id="1502" w:name="_Toc7494"/>
      <w:bookmarkStart w:id="1503" w:name="_Toc12184"/>
      <w:bookmarkStart w:id="1504" w:name="_Toc4816"/>
      <w:bookmarkStart w:id="1505" w:name="_Toc47694401"/>
      <w:bookmarkStart w:id="1506" w:name="_Toc17547"/>
      <w:bookmarkStart w:id="1507" w:name="_Toc3431"/>
      <w:bookmarkStart w:id="1508" w:name="_Toc30424"/>
      <w:bookmarkStart w:id="1509" w:name="_Toc12541"/>
      <w:r>
        <w:rPr>
          <w:rFonts w:hint="eastAsia" w:ascii="仿宋" w:hAnsi="仿宋" w:eastAsia="仿宋" w:cs="仿宋"/>
          <w:b w:val="0"/>
          <w:bCs w:val="0"/>
          <w:i w:val="0"/>
          <w:iCs w:val="0"/>
          <w:color w:val="auto"/>
          <w:sz w:val="24"/>
          <w:szCs w:val="24"/>
          <w:highlight w:val="none"/>
          <w:lang w:eastAsia="zh-CN"/>
        </w:rPr>
        <w:t>26.  设计顾问人</w:t>
      </w:r>
      <w:bookmarkEnd w:id="1502"/>
      <w:bookmarkEnd w:id="1503"/>
      <w:bookmarkEnd w:id="1504"/>
      <w:bookmarkEnd w:id="1505"/>
      <w:bookmarkEnd w:id="1506"/>
      <w:bookmarkEnd w:id="1507"/>
      <w:bookmarkEnd w:id="1508"/>
      <w:bookmarkEnd w:id="1509"/>
    </w:p>
    <w:p w14:paraId="1EC88B66">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26.1 发包人对设计顾问人授权 (</w:t>
      </w:r>
      <w:r>
        <w:rPr>
          <w:rFonts w:hint="eastAsia" w:ascii="仿宋" w:hAnsi="仿宋" w:eastAsia="仿宋" w:cs="仿宋"/>
          <w:color w:val="auto"/>
          <w:highlight w:val="none"/>
          <w:u w:val="single"/>
          <w:lang w:eastAsia="zh-CN"/>
        </w:rPr>
        <w:t>待定，以发包人书面通知为准。</w:t>
      </w:r>
      <w:r>
        <w:rPr>
          <w:rFonts w:hint="eastAsia" w:ascii="仿宋" w:hAnsi="仿宋" w:eastAsia="仿宋" w:cs="仿宋"/>
          <w:color w:val="auto"/>
          <w:highlight w:val="none"/>
          <w:lang w:eastAsia="zh-CN"/>
        </w:rPr>
        <w:t>)</w:t>
      </w:r>
    </w:p>
    <w:p w14:paraId="2A3AAC0B">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负责合同工程的设计顾问人及任命的设计顾问人代表</w:t>
      </w:r>
    </w:p>
    <w:p w14:paraId="605DA993">
      <w:pPr>
        <w:spacing w:line="360" w:lineRule="auto"/>
        <w:ind w:left="240" w:leftChars="10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①设计顾问人： </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    </w:t>
      </w:r>
    </w:p>
    <w:p w14:paraId="56775C85">
      <w:pPr>
        <w:spacing w:line="360" w:lineRule="auto"/>
        <w:ind w:left="240" w:leftChars="10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②任命（      /         ）为设计顾问人代表，其通讯方式为</w:t>
      </w:r>
    </w:p>
    <w:p w14:paraId="47B7015B">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         </w:t>
      </w:r>
    </w:p>
    <w:p w14:paraId="421FE5F4">
      <w:pPr>
        <w:spacing w:line="360" w:lineRule="auto"/>
        <w:ind w:left="120" w:firstLine="823" w:firstLineChars="34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          </w:t>
      </w:r>
    </w:p>
    <w:p w14:paraId="3D606811">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26.3 设计顾问人职权限制</w:t>
      </w:r>
    </w:p>
    <w:p w14:paraId="7940A7A8">
      <w:pPr>
        <w:spacing w:line="360" w:lineRule="auto"/>
        <w:ind w:left="240" w:leftChars="100" w:firstLine="240" w:firstLineChars="1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(7)需要发包人批准的其他事项：</w:t>
      </w:r>
      <w:r>
        <w:rPr>
          <w:rFonts w:hint="eastAsia" w:ascii="仿宋" w:hAnsi="仿宋" w:eastAsia="仿宋" w:cs="仿宋"/>
          <w:color w:val="auto"/>
          <w:highlight w:val="none"/>
          <w:u w:val="single"/>
          <w:lang w:eastAsia="zh-CN"/>
        </w:rPr>
        <w:t xml:space="preserve">  /         </w:t>
      </w:r>
    </w:p>
    <w:p w14:paraId="7F5E9F59">
      <w:pPr>
        <w:pStyle w:val="3"/>
        <w:tabs>
          <w:tab w:val="left" w:pos="420"/>
        </w:tabs>
        <w:spacing w:line="360" w:lineRule="auto"/>
        <w:ind w:firstLine="105"/>
        <w:rPr>
          <w:rFonts w:hint="eastAsia" w:eastAsia="仿宋"/>
          <w:i w:val="0"/>
          <w:iCs w:val="0"/>
          <w:color w:val="auto"/>
          <w:highlight w:val="none"/>
          <w:lang w:eastAsia="zh-CN"/>
        </w:rPr>
      </w:pPr>
      <w:bookmarkStart w:id="1510" w:name="_Toc47694402"/>
      <w:bookmarkStart w:id="1511" w:name="_Toc24692"/>
      <w:bookmarkStart w:id="1512" w:name="_Toc11291"/>
      <w:bookmarkStart w:id="1513" w:name="_Toc22052"/>
      <w:bookmarkStart w:id="1514" w:name="_Toc31676"/>
      <w:bookmarkStart w:id="1515" w:name="_Toc14397"/>
      <w:bookmarkStart w:id="1516" w:name="_Toc11787"/>
      <w:bookmarkStart w:id="1517" w:name="_Toc8207"/>
      <w:r>
        <w:rPr>
          <w:rFonts w:hint="eastAsia" w:ascii="仿宋" w:hAnsi="仿宋" w:eastAsia="仿宋" w:cs="仿宋"/>
          <w:b w:val="0"/>
          <w:bCs w:val="0"/>
          <w:i w:val="0"/>
          <w:iCs w:val="0"/>
          <w:color w:val="auto"/>
          <w:sz w:val="24"/>
          <w:szCs w:val="24"/>
          <w:highlight w:val="none"/>
          <w:lang w:eastAsia="zh-CN"/>
        </w:rPr>
        <w:t>27.  监理人</w:t>
      </w:r>
      <w:bookmarkEnd w:id="1510"/>
      <w:bookmarkEnd w:id="1511"/>
      <w:bookmarkEnd w:id="1512"/>
      <w:bookmarkEnd w:id="1513"/>
      <w:bookmarkEnd w:id="1514"/>
      <w:bookmarkEnd w:id="1515"/>
      <w:bookmarkEnd w:id="1516"/>
      <w:bookmarkEnd w:id="1517"/>
    </w:p>
    <w:p w14:paraId="4858A2FC">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27.1 发包人对监理人授权(</w:t>
      </w:r>
      <w:r>
        <w:rPr>
          <w:rFonts w:hint="eastAsia" w:ascii="仿宋" w:hAnsi="仿宋" w:eastAsia="仿宋" w:cs="仿宋"/>
          <w:color w:val="auto"/>
          <w:highlight w:val="none"/>
          <w:u w:val="single"/>
          <w:lang w:eastAsia="zh-CN"/>
        </w:rPr>
        <w:t>待定，以发包人书面通知为准。</w:t>
      </w:r>
      <w:r>
        <w:rPr>
          <w:rFonts w:hint="eastAsia" w:ascii="仿宋" w:hAnsi="仿宋" w:eastAsia="仿宋" w:cs="仿宋"/>
          <w:color w:val="auto"/>
          <w:highlight w:val="none"/>
          <w:lang w:eastAsia="zh-CN"/>
        </w:rPr>
        <w:t>)</w:t>
      </w:r>
    </w:p>
    <w:p w14:paraId="051AFAB0">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负责合同工程的监理人及任命的监理人代表</w:t>
      </w:r>
    </w:p>
    <w:p w14:paraId="563410F7">
      <w:pPr>
        <w:spacing w:line="360" w:lineRule="auto"/>
        <w:ind w:left="240" w:leftChars="10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①监理人：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        </w:t>
      </w:r>
    </w:p>
    <w:p w14:paraId="1F01FC45">
      <w:pPr>
        <w:spacing w:line="360" w:lineRule="auto"/>
        <w:ind w:left="240" w:leftChars="10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②任命（          /      ）为监理人代表，其通讯方式为</w:t>
      </w:r>
    </w:p>
    <w:p w14:paraId="317A43A0">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         </w:t>
      </w:r>
    </w:p>
    <w:p w14:paraId="5D46D9CD">
      <w:pPr>
        <w:spacing w:line="360" w:lineRule="auto"/>
        <w:ind w:left="120" w:firstLine="823" w:firstLineChars="34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        </w:t>
      </w:r>
    </w:p>
    <w:p w14:paraId="6D34CC4A">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27.3 监理人职权限制</w:t>
      </w:r>
    </w:p>
    <w:p w14:paraId="70A9FD68">
      <w:pPr>
        <w:spacing w:line="360" w:lineRule="auto"/>
        <w:ind w:left="240" w:leftChars="100"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(12)需要发包人批准的其他事项：</w:t>
      </w:r>
      <w:r>
        <w:rPr>
          <w:rFonts w:hint="eastAsia" w:ascii="仿宋" w:hAnsi="仿宋" w:eastAsia="仿宋" w:cs="仿宋"/>
          <w:color w:val="auto"/>
          <w:highlight w:val="none"/>
          <w:u w:val="single"/>
          <w:lang w:eastAsia="zh-CN"/>
        </w:rPr>
        <w:t>（详见监理合同约定）</w:t>
      </w:r>
    </w:p>
    <w:p w14:paraId="0A064E31">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双方协商一致，27.7款修改为：</w:t>
      </w:r>
    </w:p>
    <w:p w14:paraId="3F6BC120">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27.7 由于发包人或监理人未能按合同约定发出指示、指示延误或指示错误而导致承包人费用增加和（或）工期延误的，发包人应承担由此增加的费用和（或）工期延误。关键工期节点延误累计在30天内的，发包人不承担，相关的费用已包含在合同价中。</w:t>
      </w:r>
    </w:p>
    <w:p w14:paraId="23526080">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双方协商一致，增加27.8、27.9款：</w:t>
      </w:r>
    </w:p>
    <w:p w14:paraId="7936F095">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27.8 除特别指明外，总监理工程师对承包人的任何工作、工程或其采用的材料和设备未提出否定意见的，不应视为已获批准，也不影响总监理工程师在以后拒绝该项工作、工程、材料设备的权利。</w:t>
      </w:r>
    </w:p>
    <w:p w14:paraId="23890ED1">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27.9 总监理工程师的指令应该有总监理工程师的签字，并加盖监理单位驻施工场地机构印章。</w:t>
      </w:r>
    </w:p>
    <w:p w14:paraId="0CD5FE5D">
      <w:pPr>
        <w:pStyle w:val="3"/>
        <w:tabs>
          <w:tab w:val="left" w:pos="420"/>
        </w:tabs>
        <w:spacing w:line="360" w:lineRule="auto"/>
        <w:ind w:firstLine="240" w:firstLineChars="100"/>
        <w:rPr>
          <w:rFonts w:hint="eastAsia" w:eastAsia="仿宋"/>
          <w:b w:val="0"/>
          <w:bCs w:val="0"/>
          <w:i w:val="0"/>
          <w:iCs w:val="0"/>
          <w:color w:val="auto"/>
          <w:highlight w:val="none"/>
          <w:lang w:eastAsia="zh-CN"/>
        </w:rPr>
      </w:pPr>
      <w:bookmarkStart w:id="1518" w:name="_Toc11320"/>
      <w:bookmarkStart w:id="1519" w:name="_Toc32171"/>
      <w:bookmarkStart w:id="1520" w:name="_Toc8996"/>
      <w:bookmarkStart w:id="1521" w:name="_Toc47694403"/>
      <w:bookmarkStart w:id="1522" w:name="_Toc29686"/>
      <w:bookmarkStart w:id="1523" w:name="_Toc14090"/>
      <w:bookmarkStart w:id="1524" w:name="_Toc14178"/>
      <w:bookmarkStart w:id="1525" w:name="_Toc1489"/>
      <w:r>
        <w:rPr>
          <w:rFonts w:hint="eastAsia" w:ascii="仿宋" w:hAnsi="仿宋" w:eastAsia="仿宋" w:cs="仿宋"/>
          <w:b w:val="0"/>
          <w:bCs w:val="0"/>
          <w:i w:val="0"/>
          <w:iCs w:val="0"/>
          <w:color w:val="auto"/>
          <w:sz w:val="24"/>
          <w:szCs w:val="24"/>
          <w:highlight w:val="none"/>
          <w:lang w:eastAsia="zh-CN"/>
        </w:rPr>
        <w:t>28.  造价咨询人</w:t>
      </w:r>
      <w:bookmarkEnd w:id="1518"/>
      <w:bookmarkEnd w:id="1519"/>
      <w:bookmarkEnd w:id="1520"/>
      <w:bookmarkEnd w:id="1521"/>
      <w:bookmarkEnd w:id="1522"/>
      <w:bookmarkEnd w:id="1523"/>
      <w:bookmarkEnd w:id="1524"/>
      <w:bookmarkEnd w:id="1525"/>
    </w:p>
    <w:p w14:paraId="6F23427C">
      <w:pPr>
        <w:spacing w:line="360" w:lineRule="auto"/>
        <w:ind w:firstLine="240" w:firstLineChars="100"/>
        <w:rPr>
          <w:rFonts w:hint="eastAsia" w:ascii="仿宋" w:hAnsi="仿宋" w:eastAsia="仿宋" w:cs="仿宋"/>
          <w:color w:val="auto"/>
          <w:highlight w:val="none"/>
          <w:lang w:eastAsia="zh-CN"/>
        </w:rPr>
      </w:pPr>
      <w:bookmarkStart w:id="1526" w:name="_Toc9789"/>
      <w:r>
        <w:rPr>
          <w:rFonts w:hint="eastAsia" w:ascii="仿宋" w:hAnsi="仿宋" w:eastAsia="仿宋" w:cs="仿宋"/>
          <w:color w:val="auto"/>
          <w:highlight w:val="none"/>
          <w:lang w:eastAsia="zh-CN"/>
        </w:rPr>
        <w:t>28.1 发包人对造价咨询人授权</w:t>
      </w:r>
      <w:bookmarkEnd w:id="1526"/>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待定，以发包人书面通知为准。</w:t>
      </w:r>
      <w:r>
        <w:rPr>
          <w:rFonts w:hint="eastAsia" w:ascii="仿宋" w:hAnsi="仿宋" w:eastAsia="仿宋" w:cs="仿宋"/>
          <w:color w:val="auto"/>
          <w:highlight w:val="none"/>
          <w:lang w:eastAsia="zh-CN"/>
        </w:rPr>
        <w:t>)</w:t>
      </w:r>
    </w:p>
    <w:p w14:paraId="20469C1A">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负责合同工程的造价咨询人及任命的造价咨询人代表</w:t>
      </w:r>
    </w:p>
    <w:p w14:paraId="2E98C250">
      <w:pPr>
        <w:spacing w:line="360" w:lineRule="auto"/>
        <w:ind w:left="240" w:leftChars="1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①造价咨询人：</w:t>
      </w:r>
      <w:r>
        <w:rPr>
          <w:rFonts w:hint="eastAsia" w:ascii="仿宋" w:hAnsi="仿宋" w:eastAsia="仿宋"/>
          <w:color w:val="auto"/>
          <w:highlight w:val="none"/>
          <w:u w:val="single"/>
          <w:lang w:eastAsia="zh-CN"/>
        </w:rPr>
        <w:t xml:space="preserve">  /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     </w:t>
      </w:r>
    </w:p>
    <w:p w14:paraId="699E01FB">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②任命（      /        ）为造价咨询人代表，其通讯方式为</w:t>
      </w:r>
    </w:p>
    <w:p w14:paraId="5755A8B6">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       </w:t>
      </w:r>
    </w:p>
    <w:p w14:paraId="4C6FBC69">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       </w:t>
      </w:r>
    </w:p>
    <w:p w14:paraId="155417CF">
      <w:pPr>
        <w:spacing w:line="360" w:lineRule="auto"/>
        <w:ind w:firstLine="240" w:firstLineChars="100"/>
        <w:rPr>
          <w:rFonts w:hint="eastAsia" w:ascii="仿宋" w:hAnsi="仿宋" w:eastAsia="仿宋" w:cs="仿宋"/>
          <w:color w:val="auto"/>
          <w:highlight w:val="none"/>
          <w:lang w:eastAsia="zh-CN"/>
        </w:rPr>
      </w:pPr>
      <w:bookmarkStart w:id="1527" w:name="_Toc22730"/>
      <w:r>
        <w:rPr>
          <w:rFonts w:hint="eastAsia" w:ascii="仿宋" w:hAnsi="仿宋" w:eastAsia="仿宋" w:cs="仿宋"/>
          <w:color w:val="auto"/>
          <w:highlight w:val="none"/>
          <w:lang w:eastAsia="zh-CN"/>
        </w:rPr>
        <w:t>28.3 造价咨询人职权限制</w:t>
      </w:r>
      <w:bookmarkEnd w:id="1527"/>
    </w:p>
    <w:p w14:paraId="3619BF5D">
      <w:pPr>
        <w:spacing w:line="360" w:lineRule="auto"/>
        <w:ind w:left="240" w:leftChars="1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（7）需要发包人批准的其他事项：</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w:t>
      </w:r>
    </w:p>
    <w:p w14:paraId="23D86E82">
      <w:pPr>
        <w:pStyle w:val="3"/>
        <w:tabs>
          <w:tab w:val="left" w:pos="420"/>
        </w:tabs>
        <w:spacing w:line="360" w:lineRule="auto"/>
        <w:rPr>
          <w:rFonts w:hint="eastAsia"/>
          <w:i w:val="0"/>
          <w:iCs w:val="0"/>
          <w:color w:val="auto"/>
          <w:highlight w:val="none"/>
          <w:lang w:eastAsia="zh-CN"/>
        </w:rPr>
      </w:pPr>
      <w:bookmarkStart w:id="1528" w:name="_Toc24071"/>
      <w:bookmarkStart w:id="1529" w:name="_Toc27245"/>
      <w:bookmarkStart w:id="1530" w:name="_Toc5246"/>
      <w:bookmarkStart w:id="1531" w:name="_Toc47694404"/>
      <w:bookmarkStart w:id="1532" w:name="_Toc1465"/>
      <w:bookmarkStart w:id="1533" w:name="_Toc22556"/>
      <w:bookmarkStart w:id="1534" w:name="_Toc14734"/>
      <w:bookmarkStart w:id="1535" w:name="_Toc19745"/>
      <w:r>
        <w:rPr>
          <w:rFonts w:hint="eastAsia" w:ascii="仿宋" w:hAnsi="仿宋" w:eastAsia="仿宋" w:cs="仿宋"/>
          <w:b w:val="0"/>
          <w:bCs w:val="0"/>
          <w:i w:val="0"/>
          <w:iCs w:val="0"/>
          <w:color w:val="auto"/>
          <w:sz w:val="24"/>
          <w:szCs w:val="24"/>
          <w:highlight w:val="none"/>
          <w:lang w:eastAsia="zh-CN"/>
        </w:rPr>
        <w:t>29.  承包人代表及其专业负责人</w:t>
      </w:r>
      <w:bookmarkEnd w:id="1528"/>
      <w:bookmarkEnd w:id="1529"/>
      <w:bookmarkEnd w:id="1530"/>
      <w:bookmarkEnd w:id="1531"/>
      <w:bookmarkEnd w:id="1532"/>
      <w:bookmarkEnd w:id="1533"/>
      <w:bookmarkEnd w:id="1534"/>
      <w:bookmarkEnd w:id="1535"/>
    </w:p>
    <w:p w14:paraId="1DEB819E">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29.1 承包人对其代表授权</w:t>
      </w:r>
    </w:p>
    <w:p w14:paraId="3B8544E7">
      <w:pPr>
        <w:spacing w:line="360" w:lineRule="auto"/>
        <w:ind w:left="240" w:leftChars="100"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☑承包人代表：承包人任命（）为承包人代表，其通讯方式为</w:t>
      </w:r>
    </w:p>
    <w:p w14:paraId="281CBC09">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p>
    <w:p w14:paraId="05C3E9A8">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p>
    <w:p w14:paraId="37466BDF">
      <w:pPr>
        <w:spacing w:line="360" w:lineRule="auto"/>
        <w:ind w:left="240" w:leftChars="100"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☑勘察负责人：承包人任命（）为勘察负责人，其通讯方式为</w:t>
      </w:r>
    </w:p>
    <w:p w14:paraId="03490F2E">
      <w:pPr>
        <w:spacing w:line="360" w:lineRule="auto"/>
        <w:ind w:left="120" w:firstLine="823" w:firstLineChars="34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0DD04B9E">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邮政编码：</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258BE396">
      <w:pPr>
        <w:spacing w:line="360" w:lineRule="auto"/>
        <w:ind w:left="240" w:leftChars="100"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☑设计负责人：承包人任命（）为设计负责人，其通讯方式为</w:t>
      </w:r>
    </w:p>
    <w:p w14:paraId="350FE26C">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p>
    <w:p w14:paraId="10A9C11C">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邮政编码：</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           </w:t>
      </w:r>
    </w:p>
    <w:p w14:paraId="0D7C2B7F">
      <w:pPr>
        <w:spacing w:line="360" w:lineRule="auto"/>
        <w:ind w:left="240" w:leftChars="100"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□BIM技术负责人：承包人任命（              ）为BIM技术负责人，其通讯方式为</w:t>
      </w:r>
    </w:p>
    <w:p w14:paraId="73CE47B3">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7D1E4C8D">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39DA93CC">
      <w:pPr>
        <w:spacing w:line="360" w:lineRule="auto"/>
        <w:ind w:left="924" w:leftChars="385"/>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□设备及工器具购置负责人：承包人任命（              ）为设备及工器具购置负责人，其通讯方式为</w:t>
      </w:r>
    </w:p>
    <w:p w14:paraId="451684D2">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336B8DC9">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39D1282D">
      <w:pPr>
        <w:spacing w:line="360" w:lineRule="auto"/>
        <w:ind w:left="240" w:leftChars="100"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☑施工负责人：承包人任命（）为施工负责人，其通讯方式为</w:t>
      </w:r>
    </w:p>
    <w:p w14:paraId="3E232321">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50E07898">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p>
    <w:p w14:paraId="085ACDF2">
      <w:pPr>
        <w:spacing w:line="360" w:lineRule="auto"/>
        <w:ind w:left="240" w:leftChars="100"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其他工作负责人：承包人任命（  ）为其他工作负责人，其通讯方式为</w:t>
      </w:r>
    </w:p>
    <w:p w14:paraId="78C343B6">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3F9C7965">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       </w:t>
      </w:r>
    </w:p>
    <w:p w14:paraId="42FED620">
      <w:pPr>
        <w:pStyle w:val="3"/>
        <w:tabs>
          <w:tab w:val="left" w:pos="420"/>
        </w:tabs>
        <w:spacing w:line="360" w:lineRule="auto"/>
        <w:ind w:firstLine="105"/>
        <w:rPr>
          <w:rFonts w:hint="eastAsia"/>
          <w:i w:val="0"/>
          <w:iCs w:val="0"/>
          <w:color w:val="auto"/>
          <w:highlight w:val="none"/>
        </w:rPr>
      </w:pPr>
      <w:bookmarkStart w:id="1536" w:name="_Toc24411"/>
      <w:bookmarkStart w:id="1537" w:name="_Toc12113"/>
      <w:bookmarkStart w:id="1538" w:name="_Toc47694405"/>
      <w:bookmarkStart w:id="1539" w:name="_Toc24044"/>
      <w:bookmarkStart w:id="1540" w:name="_Toc9610"/>
      <w:bookmarkStart w:id="1541" w:name="_Toc14475"/>
      <w:bookmarkStart w:id="1542" w:name="_Toc16252"/>
      <w:bookmarkStart w:id="1543" w:name="_Toc30445"/>
      <w:r>
        <w:rPr>
          <w:rFonts w:hint="eastAsia" w:ascii="仿宋" w:hAnsi="仿宋" w:eastAsia="仿宋" w:cs="仿宋"/>
          <w:b w:val="0"/>
          <w:bCs w:val="0"/>
          <w:i w:val="0"/>
          <w:iCs w:val="0"/>
          <w:color w:val="auto"/>
          <w:sz w:val="24"/>
          <w:szCs w:val="24"/>
          <w:highlight w:val="none"/>
        </w:rPr>
        <w:t>30.  指定分包人</w:t>
      </w:r>
      <w:bookmarkEnd w:id="1536"/>
      <w:bookmarkEnd w:id="1537"/>
      <w:bookmarkEnd w:id="1538"/>
      <w:bookmarkEnd w:id="1539"/>
      <w:bookmarkEnd w:id="1540"/>
      <w:bookmarkEnd w:id="1541"/>
      <w:bookmarkEnd w:id="1542"/>
      <w:bookmarkEnd w:id="1543"/>
    </w:p>
    <w:p w14:paraId="33152CC7">
      <w:pPr>
        <w:spacing w:line="360" w:lineRule="auto"/>
        <w:rPr>
          <w:rFonts w:hint="eastAsia" w:ascii="仿宋" w:hAnsi="仿宋" w:eastAsia="仿宋" w:cs="仿宋"/>
          <w:color w:val="auto"/>
          <w:highlight w:val="none"/>
          <w:lang w:eastAsia="zh-CN"/>
        </w:rPr>
      </w:pPr>
      <w:bookmarkStart w:id="1544" w:name="_Toc32745"/>
      <w:r>
        <w:rPr>
          <w:rFonts w:hint="eastAsia" w:ascii="仿宋" w:hAnsi="仿宋" w:eastAsia="仿宋" w:cs="仿宋"/>
          <w:color w:val="auto"/>
          <w:highlight w:val="none"/>
          <w:lang w:eastAsia="zh-CN"/>
        </w:rPr>
        <w:t>30.1 指定分包人工作</w:t>
      </w:r>
      <w:bookmarkEnd w:id="1544"/>
    </w:p>
    <w:p w14:paraId="0311041E">
      <w:pPr>
        <w:spacing w:line="360" w:lineRule="auto"/>
        <w:ind w:left="240" w:leftChars="1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依法指定的分包人</w:t>
      </w:r>
    </w:p>
    <w:p w14:paraId="0F4B0F7C">
      <w:pPr>
        <w:spacing w:line="360" w:lineRule="auto"/>
        <w:ind w:left="240" w:leftChars="10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（1）实施、完成部分永久工程的分包人：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w:t>
      </w:r>
    </w:p>
    <w:p w14:paraId="59634EA5">
      <w:pPr>
        <w:spacing w:line="360" w:lineRule="auto"/>
        <w:ind w:left="240" w:leftChars="10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（2）提供工程材料和工程设备供货的分包人：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w:t>
      </w:r>
    </w:p>
    <w:p w14:paraId="36A2769A">
      <w:pPr>
        <w:spacing w:line="360" w:lineRule="auto"/>
        <w:ind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（3）提供部分专业服务的分包人：</w:t>
      </w:r>
      <w:r>
        <w:rPr>
          <w:rFonts w:hint="eastAsia" w:ascii="仿宋" w:hAnsi="仿宋" w:eastAsia="仿宋" w:cs="仿宋"/>
          <w:color w:val="auto"/>
          <w:highlight w:val="none"/>
          <w:u w:val="single"/>
          <w:lang w:eastAsia="zh-CN"/>
        </w:rPr>
        <w:t xml:space="preserve">        /                                         </w:t>
      </w:r>
    </w:p>
    <w:p w14:paraId="209524EB">
      <w:pPr>
        <w:pStyle w:val="3"/>
        <w:rPr>
          <w:rFonts w:ascii="仿宋" w:hAnsi="仿宋" w:eastAsia="仿宋"/>
          <w:b w:val="0"/>
          <w:bCs w:val="0"/>
          <w:i w:val="0"/>
          <w:iCs w:val="0"/>
          <w:color w:val="auto"/>
          <w:sz w:val="24"/>
          <w:szCs w:val="24"/>
          <w:highlight w:val="none"/>
          <w:lang w:eastAsia="zh-CN"/>
        </w:rPr>
      </w:pPr>
      <w:bookmarkStart w:id="1545" w:name="_Toc32702"/>
      <w:bookmarkStart w:id="1546" w:name="_Toc7924"/>
      <w:bookmarkStart w:id="1547" w:name="_Toc373072734"/>
      <w:bookmarkStart w:id="1548" w:name="_Toc472695168"/>
      <w:bookmarkStart w:id="1549" w:name="_Toc21085"/>
      <w:bookmarkStart w:id="1550" w:name="_Toc13881"/>
      <w:bookmarkStart w:id="1551" w:name="_Toc16612"/>
      <w:bookmarkStart w:id="1552" w:name="_Toc27406"/>
      <w:bookmarkStart w:id="1553" w:name="_Toc373073273"/>
      <w:bookmarkStart w:id="1554" w:name="_Toc27344"/>
      <w:bookmarkStart w:id="1555" w:name="_Toc39746910"/>
      <w:bookmarkStart w:id="1556" w:name="_Toc47694406"/>
      <w:r>
        <w:rPr>
          <w:rFonts w:hint="eastAsia" w:ascii="仿宋" w:hAnsi="仿宋" w:eastAsia="仿宋"/>
          <w:b w:val="0"/>
          <w:bCs w:val="0"/>
          <w:i w:val="0"/>
          <w:iCs w:val="0"/>
          <w:color w:val="auto"/>
          <w:sz w:val="24"/>
          <w:szCs w:val="24"/>
          <w:highlight w:val="none"/>
          <w:lang w:eastAsia="zh-CN"/>
        </w:rPr>
        <w:t xml:space="preserve">31.  </w:t>
      </w:r>
      <w:r>
        <w:rPr>
          <w:rFonts w:ascii="仿宋" w:hAnsi="仿宋" w:eastAsia="仿宋"/>
          <w:b w:val="0"/>
          <w:bCs w:val="0"/>
          <w:i w:val="0"/>
          <w:iCs w:val="0"/>
          <w:color w:val="auto"/>
          <w:sz w:val="24"/>
          <w:szCs w:val="24"/>
          <w:highlight w:val="none"/>
          <w:lang w:eastAsia="zh-CN"/>
        </w:rPr>
        <w:t>承包人劳务</w:t>
      </w:r>
      <w:bookmarkEnd w:id="1545"/>
      <w:bookmarkEnd w:id="1546"/>
      <w:bookmarkEnd w:id="1547"/>
      <w:bookmarkEnd w:id="1548"/>
      <w:bookmarkEnd w:id="1549"/>
      <w:bookmarkEnd w:id="1550"/>
      <w:bookmarkEnd w:id="1551"/>
      <w:bookmarkEnd w:id="1552"/>
      <w:bookmarkEnd w:id="1553"/>
      <w:bookmarkEnd w:id="1554"/>
      <w:bookmarkEnd w:id="1555"/>
    </w:p>
    <w:p w14:paraId="7B064BF5">
      <w:pPr>
        <w:spacing w:line="360" w:lineRule="auto"/>
        <w:ind w:firstLine="480" w:firstLineChars="200"/>
        <w:rPr>
          <w:color w:val="auto"/>
          <w:highlight w:val="none"/>
          <w:lang w:eastAsia="zh-CN"/>
        </w:rPr>
      </w:pPr>
      <w:r>
        <w:rPr>
          <w:rFonts w:hint="eastAsia" w:ascii="仿宋" w:hAnsi="仿宋" w:eastAsia="仿宋" w:cs="仿宋"/>
          <w:color w:val="auto"/>
          <w:highlight w:val="none"/>
          <w:u w:val="single"/>
          <w:lang w:eastAsia="zh-CN"/>
        </w:rPr>
        <w:t>双方协商一致,补充条款</w:t>
      </w:r>
    </w:p>
    <w:p w14:paraId="4CCDF2B2">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31</w:t>
      </w:r>
      <w:r>
        <w:rPr>
          <w:rFonts w:ascii="仿宋" w:hAnsi="仿宋" w:eastAsia="仿宋" w:cs="仿宋"/>
          <w:color w:val="auto"/>
          <w:highlight w:val="none"/>
          <w:lang w:eastAsia="zh-CN"/>
        </w:rPr>
        <w:t>.5 补充条款</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承包人向雇员支付劳务工资</w:t>
      </w:r>
    </w:p>
    <w:p w14:paraId="45EC2B67">
      <w:pPr>
        <w:spacing w:line="360" w:lineRule="auto"/>
        <w:ind w:left="319" w:leftChars="83" w:hanging="120" w:hangingChars="50"/>
        <w:rPr>
          <w:rFonts w:ascii="仿宋" w:hAnsi="仿宋" w:eastAsia="仿宋" w:cs="仿宋"/>
          <w:color w:val="auto"/>
          <w:highlight w:val="none"/>
          <w:lang w:eastAsia="zh-CN"/>
        </w:rPr>
      </w:pPr>
      <w:r>
        <w:rPr>
          <w:rFonts w:ascii="仿宋" w:hAnsi="仿宋" w:eastAsia="仿宋" w:cs="仿宋"/>
          <w:color w:val="auto"/>
          <w:highlight w:val="none"/>
          <w:lang w:eastAsia="zh-CN"/>
        </w:rPr>
        <w:t>（1）承包人应当按照依法签订的集体合同或劳动合同约定的标准和日期，按月按时足额支付劳务工资，并不得低于当地最低工资标准。</w:t>
      </w:r>
    </w:p>
    <w:p w14:paraId="4B8AA1AF">
      <w:pPr>
        <w:spacing w:line="360" w:lineRule="auto"/>
        <w:ind w:left="319" w:leftChars="83" w:hanging="120" w:hangingChars="50"/>
        <w:rPr>
          <w:rFonts w:ascii="仿宋" w:hAnsi="仿宋" w:eastAsia="仿宋" w:cs="仿宋"/>
          <w:color w:val="auto"/>
          <w:highlight w:val="none"/>
          <w:lang w:eastAsia="zh-CN"/>
        </w:rPr>
      </w:pPr>
      <w:r>
        <w:rPr>
          <w:rFonts w:ascii="仿宋" w:hAnsi="仿宋" w:eastAsia="仿宋" w:cs="仿宋"/>
          <w:color w:val="auto"/>
          <w:highlight w:val="none"/>
          <w:lang w:eastAsia="zh-CN"/>
        </w:rPr>
        <w:t>（2）承包人支付雇员工资应编制工资支付表，如实记录支付表，支付时间、支付对象、支付数额等工资支付情况并在工地现场公示，并报发包人备查。</w:t>
      </w:r>
    </w:p>
    <w:p w14:paraId="04B07917">
      <w:pPr>
        <w:spacing w:line="360" w:lineRule="auto"/>
        <w:ind w:left="319" w:leftChars="83" w:hanging="120" w:hangingChars="50"/>
        <w:rPr>
          <w:rFonts w:ascii="仿宋" w:hAnsi="仿宋" w:eastAsia="仿宋" w:cs="仿宋"/>
          <w:color w:val="auto"/>
          <w:highlight w:val="none"/>
          <w:u w:val="single"/>
          <w:lang w:eastAsia="zh-CN"/>
        </w:rPr>
      </w:pP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3</w:t>
      </w:r>
      <w:r>
        <w:rPr>
          <w:rFonts w:ascii="仿宋" w:hAnsi="仿宋" w:eastAsia="仿宋" w:cs="仿宋"/>
          <w:color w:val="auto"/>
          <w:highlight w:val="none"/>
          <w:lang w:eastAsia="zh-CN"/>
        </w:rPr>
        <w:t>）因承包人拖欠其</w:t>
      </w:r>
      <w:r>
        <w:rPr>
          <w:rFonts w:hint="eastAsia" w:ascii="仿宋" w:hAnsi="仿宋" w:eastAsia="仿宋" w:cs="仿宋"/>
          <w:color w:val="auto"/>
          <w:highlight w:val="none"/>
          <w:lang w:val="en-US" w:eastAsia="zh-CN"/>
        </w:rPr>
        <w:t>项目人员</w:t>
      </w:r>
      <w:r>
        <w:rPr>
          <w:rFonts w:ascii="仿宋" w:hAnsi="仿宋" w:eastAsia="仿宋" w:cs="仿宋"/>
          <w:color w:val="auto"/>
          <w:highlight w:val="none"/>
          <w:lang w:eastAsia="zh-CN"/>
        </w:rPr>
        <w:t>工资而造成群体性示威、游行</w:t>
      </w:r>
      <w:r>
        <w:rPr>
          <w:rFonts w:hint="eastAsia" w:ascii="仿宋" w:hAnsi="仿宋" w:eastAsia="仿宋" w:cs="仿宋"/>
          <w:color w:val="auto"/>
          <w:highlight w:val="none"/>
          <w:lang w:eastAsia="zh-CN"/>
        </w:rPr>
        <w:t>、堵门、闹事</w:t>
      </w:r>
      <w:r>
        <w:rPr>
          <w:rFonts w:ascii="仿宋" w:hAnsi="仿宋" w:eastAsia="仿宋" w:cs="仿宋"/>
          <w:color w:val="auto"/>
          <w:highlight w:val="none"/>
          <w:lang w:eastAsia="zh-CN"/>
        </w:rPr>
        <w:t>等</w:t>
      </w:r>
      <w:r>
        <w:rPr>
          <w:rFonts w:hint="eastAsia" w:ascii="仿宋" w:hAnsi="仿宋" w:eastAsia="仿宋" w:cs="仿宋"/>
          <w:color w:val="auto"/>
          <w:highlight w:val="none"/>
          <w:lang w:eastAsia="zh-CN"/>
        </w:rPr>
        <w:t>行为的</w:t>
      </w:r>
      <w:r>
        <w:rPr>
          <w:rFonts w:ascii="仿宋" w:hAnsi="仿宋" w:eastAsia="仿宋" w:cs="仿宋"/>
          <w:color w:val="auto"/>
          <w:highlight w:val="none"/>
          <w:lang w:eastAsia="zh-CN"/>
        </w:rPr>
        <w:t>一切责任，由承包人承担。对发包人造成损失或导致工期延误的，</w:t>
      </w:r>
      <w:r>
        <w:rPr>
          <w:rFonts w:hint="eastAsia" w:ascii="仿宋" w:hAnsi="仿宋" w:eastAsia="仿宋" w:cs="仿宋"/>
          <w:color w:val="auto"/>
          <w:highlight w:val="none"/>
          <w:u w:val="single"/>
          <w:lang w:eastAsia="zh-CN"/>
        </w:rPr>
        <w:t>承包人</w:t>
      </w:r>
      <w:r>
        <w:rPr>
          <w:rFonts w:ascii="仿宋" w:hAnsi="仿宋" w:eastAsia="仿宋" w:cs="仿宋"/>
          <w:color w:val="auto"/>
          <w:highlight w:val="none"/>
          <w:u w:val="single"/>
          <w:lang w:eastAsia="zh-CN"/>
        </w:rPr>
        <w:t>应赔偿发包人的损失，工期不予顺延</w:t>
      </w:r>
      <w:r>
        <w:rPr>
          <w:rFonts w:hint="eastAsia" w:ascii="仿宋" w:hAnsi="仿宋" w:eastAsia="仿宋" w:cs="仿宋"/>
          <w:color w:val="auto"/>
          <w:highlight w:val="none"/>
          <w:u w:val="single"/>
          <w:lang w:eastAsia="zh-CN"/>
        </w:rPr>
        <w:t>并承担严重违约责任</w:t>
      </w:r>
      <w:r>
        <w:rPr>
          <w:rFonts w:hint="eastAsia" w:ascii="仿宋" w:hAnsi="仿宋" w:eastAsia="仿宋" w:cs="仿宋"/>
          <w:color w:val="auto"/>
          <w:highlight w:val="none"/>
          <w:u w:val="single"/>
          <w:lang w:val="en-US" w:eastAsia="zh-CN"/>
        </w:rPr>
        <w:t>每</w:t>
      </w:r>
      <w:r>
        <w:rPr>
          <w:rFonts w:hint="eastAsia" w:ascii="仿宋" w:hAnsi="仿宋" w:eastAsia="仿宋" w:cs="仿宋"/>
          <w:color w:val="auto"/>
          <w:highlight w:val="none"/>
          <w:u w:val="single"/>
          <w:lang w:eastAsia="zh-CN"/>
        </w:rPr>
        <w:t>次，并需承包人向发包人作出书面报告</w:t>
      </w:r>
      <w:r>
        <w:rPr>
          <w:rFonts w:ascii="仿宋" w:hAnsi="仿宋" w:eastAsia="仿宋" w:cs="仿宋"/>
          <w:color w:val="auto"/>
          <w:highlight w:val="none"/>
          <w:u w:val="single"/>
          <w:lang w:eastAsia="zh-CN"/>
        </w:rPr>
        <w:t>。</w:t>
      </w:r>
    </w:p>
    <w:p w14:paraId="5EAAD528">
      <w:pPr>
        <w:spacing w:line="360" w:lineRule="auto"/>
        <w:ind w:left="319" w:leftChars="83" w:hanging="120" w:hangingChars="50"/>
        <w:rPr>
          <w:rFonts w:ascii="仿宋" w:hAnsi="仿宋" w:eastAsia="仿宋" w:cs="仿宋"/>
          <w:color w:val="auto"/>
          <w:highlight w:val="none"/>
          <w:u w:val="single"/>
          <w:lang w:eastAsia="zh-CN"/>
        </w:rPr>
      </w:pP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）因承包人拖欠其</w:t>
      </w:r>
      <w:r>
        <w:rPr>
          <w:rFonts w:hint="eastAsia" w:ascii="仿宋" w:hAnsi="仿宋" w:eastAsia="仿宋" w:cs="仿宋"/>
          <w:color w:val="auto"/>
          <w:highlight w:val="none"/>
          <w:lang w:val="en-US" w:eastAsia="zh-CN"/>
        </w:rPr>
        <w:t>项目人</w:t>
      </w:r>
      <w:r>
        <w:rPr>
          <w:rFonts w:ascii="仿宋" w:hAnsi="仿宋" w:eastAsia="仿宋" w:cs="仿宋"/>
          <w:color w:val="auto"/>
          <w:highlight w:val="none"/>
          <w:lang w:eastAsia="zh-CN"/>
        </w:rPr>
        <w:t>员工资</w:t>
      </w:r>
      <w:r>
        <w:rPr>
          <w:rFonts w:hint="eastAsia" w:ascii="仿宋" w:hAnsi="仿宋" w:eastAsia="仿宋" w:cs="仿宋"/>
          <w:color w:val="auto"/>
          <w:highlight w:val="none"/>
          <w:lang w:eastAsia="zh-CN"/>
        </w:rPr>
        <w:t>，在网络平台、微信、微博、“12345热线”等平台上讨薪及散布不良信息，影响项目及发包人正面形象的，</w:t>
      </w:r>
      <w:r>
        <w:rPr>
          <w:rFonts w:ascii="仿宋" w:hAnsi="仿宋" w:eastAsia="仿宋" w:cs="仿宋"/>
          <w:color w:val="auto"/>
          <w:highlight w:val="none"/>
          <w:lang w:eastAsia="zh-CN"/>
        </w:rPr>
        <w:t>经发包人调查了解属实且确定为承包人责任的，每发生1次，</w:t>
      </w:r>
      <w:r>
        <w:rPr>
          <w:rFonts w:hint="eastAsia" w:ascii="仿宋" w:hAnsi="仿宋" w:eastAsia="仿宋" w:cs="仿宋"/>
          <w:color w:val="auto"/>
          <w:highlight w:val="none"/>
          <w:u w:val="single"/>
          <w:lang w:eastAsia="zh-CN"/>
        </w:rPr>
        <w:t>承包人</w:t>
      </w:r>
      <w:r>
        <w:rPr>
          <w:rFonts w:ascii="仿宋" w:hAnsi="仿宋" w:eastAsia="仿宋" w:cs="仿宋"/>
          <w:color w:val="auto"/>
          <w:highlight w:val="none"/>
          <w:u w:val="single"/>
          <w:lang w:eastAsia="zh-CN"/>
        </w:rPr>
        <w:t>应赔偿发包人的损失</w:t>
      </w:r>
      <w:r>
        <w:rPr>
          <w:rFonts w:hint="eastAsia" w:ascii="仿宋" w:hAnsi="仿宋" w:eastAsia="仿宋" w:cs="仿宋"/>
          <w:color w:val="auto"/>
          <w:highlight w:val="none"/>
          <w:u w:val="single"/>
          <w:lang w:eastAsia="zh-CN"/>
        </w:rPr>
        <w:t>，并</w:t>
      </w:r>
      <w:r>
        <w:rPr>
          <w:rFonts w:ascii="仿宋" w:hAnsi="仿宋" w:eastAsia="仿宋" w:cs="仿宋"/>
          <w:color w:val="auto"/>
          <w:highlight w:val="none"/>
          <w:u w:val="single"/>
          <w:lang w:eastAsia="zh-CN"/>
        </w:rPr>
        <w:t>承担</w:t>
      </w:r>
      <w:r>
        <w:rPr>
          <w:rFonts w:hint="eastAsia" w:ascii="仿宋" w:hAnsi="仿宋" w:eastAsia="仿宋" w:cs="仿宋"/>
          <w:color w:val="auto"/>
          <w:highlight w:val="none"/>
          <w:u w:val="single"/>
          <w:lang w:eastAsia="zh-CN"/>
        </w:rPr>
        <w:t>较大</w:t>
      </w:r>
      <w:r>
        <w:rPr>
          <w:rFonts w:ascii="仿宋" w:hAnsi="仿宋" w:eastAsia="仿宋" w:cs="仿宋"/>
          <w:color w:val="auto"/>
          <w:highlight w:val="none"/>
          <w:u w:val="single"/>
          <w:lang w:eastAsia="zh-CN"/>
        </w:rPr>
        <w:t>违约责任1次</w:t>
      </w:r>
      <w:r>
        <w:rPr>
          <w:rFonts w:hint="eastAsia" w:ascii="仿宋" w:hAnsi="仿宋" w:eastAsia="仿宋" w:cs="仿宋"/>
          <w:color w:val="auto"/>
          <w:highlight w:val="none"/>
          <w:u w:val="single"/>
          <w:lang w:eastAsia="zh-CN"/>
        </w:rPr>
        <w:t>，一年内累计3次记一次严重违约责任，并需承包人向发包人作出书面报告</w:t>
      </w:r>
      <w:r>
        <w:rPr>
          <w:rFonts w:ascii="仿宋" w:hAnsi="仿宋" w:eastAsia="仿宋" w:cs="仿宋"/>
          <w:color w:val="auto"/>
          <w:highlight w:val="none"/>
          <w:u w:val="single"/>
          <w:lang w:eastAsia="zh-CN"/>
        </w:rPr>
        <w:t>。</w:t>
      </w:r>
    </w:p>
    <w:p w14:paraId="2F877FF3">
      <w:pPr>
        <w:spacing w:line="360" w:lineRule="auto"/>
        <w:ind w:left="319" w:leftChars="83" w:hanging="120" w:hangingChars="50"/>
        <w:rPr>
          <w:rFonts w:ascii="仿宋" w:hAnsi="仿宋" w:eastAsia="仿宋" w:cs="仿宋"/>
          <w:color w:val="auto"/>
          <w:highlight w:val="none"/>
          <w:lang w:eastAsia="zh-CN"/>
        </w:rPr>
      </w:pP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5</w:t>
      </w:r>
      <w:r>
        <w:rPr>
          <w:rFonts w:ascii="仿宋" w:hAnsi="仿宋" w:eastAsia="仿宋" w:cs="仿宋"/>
          <w:color w:val="auto"/>
          <w:highlight w:val="none"/>
          <w:lang w:eastAsia="zh-CN"/>
        </w:rPr>
        <w:t>）因发包人拖欠承包人工程款而引起承包人拖欠其雇员工资的责任，由发包人在拖欠的工程款范围内承担。</w:t>
      </w:r>
    </w:p>
    <w:p w14:paraId="0ABD0FD4">
      <w:pPr>
        <w:pStyle w:val="3"/>
        <w:tabs>
          <w:tab w:val="left" w:pos="420"/>
        </w:tabs>
        <w:spacing w:line="360" w:lineRule="auto"/>
        <w:ind w:firstLine="105"/>
        <w:rPr>
          <w:rFonts w:hint="eastAsia"/>
          <w:i w:val="0"/>
          <w:iCs w:val="0"/>
          <w:color w:val="auto"/>
          <w:highlight w:val="none"/>
          <w:lang w:eastAsia="zh-CN"/>
        </w:rPr>
      </w:pPr>
      <w:bookmarkStart w:id="1557" w:name="_Toc943"/>
      <w:bookmarkStart w:id="1558" w:name="_Toc14223"/>
      <w:bookmarkStart w:id="1559" w:name="_Toc4789"/>
      <w:bookmarkStart w:id="1560" w:name="_Toc3358"/>
      <w:bookmarkStart w:id="1561" w:name="_Toc17889"/>
      <w:bookmarkStart w:id="1562" w:name="_Toc24771"/>
      <w:bookmarkStart w:id="1563" w:name="_Toc23775"/>
      <w:r>
        <w:rPr>
          <w:rFonts w:hint="eastAsia" w:ascii="仿宋" w:hAnsi="仿宋" w:eastAsia="仿宋" w:cs="仿宋"/>
          <w:b w:val="0"/>
          <w:bCs w:val="0"/>
          <w:i w:val="0"/>
          <w:iCs w:val="0"/>
          <w:color w:val="auto"/>
          <w:sz w:val="24"/>
          <w:szCs w:val="24"/>
          <w:highlight w:val="none"/>
          <w:lang w:eastAsia="zh-CN"/>
        </w:rPr>
        <w:t>32.  工程担保</w:t>
      </w:r>
      <w:bookmarkEnd w:id="1556"/>
      <w:bookmarkEnd w:id="1557"/>
      <w:bookmarkEnd w:id="1558"/>
      <w:bookmarkEnd w:id="1559"/>
      <w:bookmarkEnd w:id="1560"/>
      <w:bookmarkEnd w:id="1561"/>
      <w:bookmarkEnd w:id="1562"/>
      <w:bookmarkEnd w:id="1563"/>
    </w:p>
    <w:p w14:paraId="7E4A1A1C">
      <w:pPr>
        <w:spacing w:line="360" w:lineRule="auto"/>
        <w:ind w:left="240" w:left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32.1 承包人提供履约担保的约定</w:t>
      </w:r>
    </w:p>
    <w:p w14:paraId="12721211">
      <w:pPr>
        <w:spacing w:line="360" w:lineRule="auto"/>
        <w:ind w:left="840" w:leftChars="3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①履约担保的金额：合同价的10%，即为（大写）</w:t>
      </w:r>
      <w:r>
        <w:rPr>
          <w:rFonts w:hint="eastAsia" w:ascii="仿宋" w:hAnsi="仿宋" w:eastAsia="仿宋" w:cs="仿宋"/>
          <w:color w:val="auto"/>
          <w:highlight w:val="none"/>
          <w:u w:val="single"/>
          <w:lang w:eastAsia="zh-CN"/>
        </w:rPr>
        <w:t xml:space="preserve"> 人民币</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元整 </w:t>
      </w:r>
      <w:r>
        <w:rPr>
          <w:rFonts w:hint="eastAsia" w:ascii="仿宋" w:hAnsi="仿宋" w:eastAsia="仿宋" w:cs="仿宋"/>
          <w:color w:val="auto"/>
          <w:highlight w:val="none"/>
          <w:lang w:eastAsia="zh-CN"/>
        </w:rPr>
        <w:t>（小写</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元）</w:t>
      </w:r>
    </w:p>
    <w:p w14:paraId="236E03D1">
      <w:pPr>
        <w:spacing w:line="360" w:lineRule="auto"/>
        <w:ind w:left="840" w:leftChars="35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②提供履约担保的时间：</w:t>
      </w:r>
    </w:p>
    <w:p w14:paraId="2FB295AC">
      <w:pPr>
        <w:spacing w:line="360" w:lineRule="auto"/>
        <w:ind w:firstLine="1068" w:firstLineChars="445"/>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□签订本合同时</w:t>
      </w:r>
    </w:p>
    <w:p w14:paraId="36EC3117">
      <w:pPr>
        <w:spacing w:line="360" w:lineRule="auto"/>
        <w:ind w:firstLine="1068" w:firstLineChars="445"/>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另作约定：</w:t>
      </w:r>
      <w:r>
        <w:rPr>
          <w:rFonts w:ascii="仿宋" w:hAnsi="仿宋" w:eastAsia="仿宋"/>
          <w:color w:val="auto"/>
          <w:highlight w:val="none"/>
          <w:u w:val="single"/>
          <w:lang w:eastAsia="zh-CN"/>
        </w:rPr>
        <w:t>承包人必须在</w:t>
      </w:r>
      <w:r>
        <w:rPr>
          <w:rFonts w:hint="eastAsia" w:ascii="仿宋" w:hAnsi="仿宋" w:eastAsia="仿宋"/>
          <w:color w:val="auto"/>
          <w:highlight w:val="none"/>
          <w:u w:val="single"/>
          <w:lang w:eastAsia="zh-CN"/>
        </w:rPr>
        <w:t>签订合同后</w:t>
      </w:r>
      <w:r>
        <w:rPr>
          <w:rFonts w:ascii="仿宋" w:hAnsi="仿宋" w:eastAsia="仿宋"/>
          <w:color w:val="auto"/>
          <w:highlight w:val="none"/>
          <w:u w:val="single"/>
          <w:lang w:eastAsia="zh-CN"/>
        </w:rPr>
        <w:t>15天内</w:t>
      </w:r>
      <w:r>
        <w:rPr>
          <w:rFonts w:hint="eastAsia" w:ascii="仿宋" w:hAnsi="仿宋" w:eastAsia="仿宋"/>
          <w:color w:val="auto"/>
          <w:highlight w:val="none"/>
          <w:u w:val="single"/>
          <w:lang w:eastAsia="zh-CN"/>
        </w:rPr>
        <w:t>或工程预付款支付15天之前</w:t>
      </w:r>
      <w:r>
        <w:rPr>
          <w:rFonts w:ascii="仿宋" w:hAnsi="仿宋" w:eastAsia="仿宋"/>
          <w:color w:val="auto"/>
          <w:highlight w:val="none"/>
          <w:u w:val="single"/>
          <w:lang w:eastAsia="zh-CN"/>
        </w:rPr>
        <w:t>向发包人提交履约担保。</w:t>
      </w:r>
    </w:p>
    <w:p w14:paraId="2FA52335">
      <w:pPr>
        <w:spacing w:line="360" w:lineRule="auto"/>
        <w:ind w:left="840" w:left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③履约担保的形式</w:t>
      </w:r>
    </w:p>
    <w:p w14:paraId="06EFA47E">
      <w:pPr>
        <w:spacing w:line="360" w:lineRule="auto"/>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☑出具履约保函的担保人：</w:t>
      </w:r>
      <w:r>
        <w:rPr>
          <w:rFonts w:hint="eastAsia" w:ascii="仿宋" w:hAnsi="仿宋" w:eastAsia="仿宋"/>
          <w:color w:val="auto"/>
          <w:highlight w:val="none"/>
          <w:u w:val="single"/>
          <w:lang w:eastAsia="zh-CN"/>
        </w:rPr>
        <w:t>提供国内商业银行或担保机构不可撤销的无条件履约保函，</w:t>
      </w:r>
      <w:r>
        <w:rPr>
          <w:rFonts w:ascii="仿宋" w:hAnsi="仿宋" w:eastAsia="仿宋"/>
          <w:color w:val="auto"/>
          <w:highlight w:val="none"/>
          <w:u w:val="single"/>
          <w:lang w:eastAsia="zh-CN"/>
        </w:rPr>
        <w:t>履约保函内容、方式和责任等事项详见本合同</w:t>
      </w:r>
      <w:r>
        <w:rPr>
          <w:rFonts w:hint="eastAsia" w:ascii="仿宋" w:hAnsi="仿宋" w:eastAsia="仿宋"/>
          <w:color w:val="auto"/>
          <w:highlight w:val="none"/>
          <w:u w:val="single"/>
          <w:lang w:eastAsia="zh-CN"/>
        </w:rPr>
        <w:t>第四部分。</w:t>
      </w:r>
    </w:p>
    <w:p w14:paraId="3425925E">
      <w:p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□出具履约担保的担保人：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6FE6D6DA">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□出具履约保证保险的担保人：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45D84929">
      <w:pPr>
        <w:spacing w:line="360" w:lineRule="auto"/>
        <w:ind w:firstLine="1080" w:firstLineChars="4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其他：</w:t>
      </w:r>
      <w:r>
        <w:rPr>
          <w:rFonts w:hint="eastAsia" w:ascii="仿宋" w:hAnsi="仿宋" w:eastAsia="仿宋" w:cs="仿宋"/>
          <w:color w:val="auto"/>
          <w:highlight w:val="none"/>
          <w:u w:val="single"/>
          <w:lang w:eastAsia="zh-CN"/>
        </w:rPr>
        <w:t xml:space="preserve">采用其他履约担保形式的，须经发包人批准。                    </w:t>
      </w:r>
    </w:p>
    <w:p w14:paraId="71D1EE38">
      <w:pPr>
        <w:spacing w:line="360" w:lineRule="auto"/>
        <w:ind w:firstLine="240" w:firstLineChars="100"/>
        <w:rPr>
          <w:rFonts w:ascii="仿宋" w:hAnsi="仿宋" w:eastAsia="仿宋"/>
          <w:color w:val="auto"/>
          <w:highlight w:val="none"/>
          <w:lang w:eastAsia="zh-CN"/>
        </w:rPr>
      </w:pPr>
      <w:bookmarkStart w:id="1564" w:name="_Toc7964"/>
      <w:r>
        <w:rPr>
          <w:rFonts w:hint="eastAsia" w:ascii="仿宋" w:hAnsi="仿宋" w:eastAsia="仿宋" w:cs="仿宋"/>
          <w:color w:val="auto"/>
          <w:highlight w:val="none"/>
          <w:lang w:eastAsia="zh-CN"/>
        </w:rPr>
        <w:t xml:space="preserve">32.2 </w:t>
      </w:r>
      <w:r>
        <w:rPr>
          <w:rFonts w:ascii="仿宋" w:hAnsi="仿宋" w:eastAsia="仿宋"/>
          <w:color w:val="auto"/>
          <w:highlight w:val="none"/>
          <w:lang w:eastAsia="zh-CN"/>
        </w:rPr>
        <w:t>履约担保期限和退还</w:t>
      </w:r>
    </w:p>
    <w:p w14:paraId="34EA8CFC">
      <w:pPr>
        <w:spacing w:line="360" w:lineRule="auto"/>
        <w:ind w:left="-2" w:leftChars="-1" w:firstLine="364" w:firstLineChars="152"/>
        <w:rPr>
          <w:rFonts w:ascii="仿宋" w:hAnsi="仿宋" w:eastAsia="仿宋"/>
          <w:color w:val="auto"/>
          <w:highlight w:val="none"/>
          <w:u w:val="single"/>
          <w:lang w:eastAsia="zh-CN"/>
        </w:rPr>
      </w:pPr>
      <w:r>
        <w:rPr>
          <w:rFonts w:ascii="仿宋" w:hAnsi="仿宋" w:eastAsia="仿宋"/>
          <w:color w:val="auto"/>
          <w:highlight w:val="none"/>
          <w:lang w:eastAsia="zh-CN"/>
        </w:rPr>
        <w:t>（1）履约担保的期限：</w:t>
      </w:r>
      <w:r>
        <w:rPr>
          <w:rFonts w:hint="eastAsia" w:ascii="仿宋" w:hAnsi="仿宋" w:eastAsia="仿宋"/>
          <w:color w:val="auto"/>
          <w:highlight w:val="none"/>
          <w:u w:val="single"/>
          <w:lang w:eastAsia="zh-CN"/>
        </w:rPr>
        <w:t>从承包人向发包人提供履约担保之日起，至合同工程验收合格、承包人向发包人提交完整的结算资料后30天止。若承包人提供的履约担保在上述期限内到期，承包人应在履约担保到期之前将其续期，提供履约担保所发生的费用由承包人承担。否则发包人有权停止支付进度款并要求承包人支付与履约担保同等金额的违约金，由此造成的工程延误和损失由承包人承担。</w:t>
      </w:r>
    </w:p>
    <w:p w14:paraId="7C0125B2">
      <w:pPr>
        <w:spacing w:line="360" w:lineRule="auto"/>
        <w:ind w:left="-2" w:leftChars="-1" w:firstLine="364" w:firstLineChars="152"/>
        <w:rPr>
          <w:rFonts w:ascii="仿宋" w:hAnsi="仿宋" w:eastAsia="仿宋"/>
          <w:color w:val="auto"/>
          <w:highlight w:val="none"/>
          <w:u w:val="single"/>
          <w:lang w:eastAsia="zh-CN"/>
        </w:rPr>
      </w:pPr>
      <w:r>
        <w:rPr>
          <w:rFonts w:ascii="仿宋" w:hAnsi="仿宋" w:eastAsia="仿宋"/>
          <w:color w:val="auto"/>
          <w:highlight w:val="none"/>
          <w:lang w:eastAsia="zh-CN"/>
        </w:rPr>
        <w:t>（2）履约担保的退还：</w:t>
      </w:r>
      <w:r>
        <w:rPr>
          <w:rFonts w:hint="eastAsia" w:ascii="仿宋" w:hAnsi="仿宋" w:eastAsia="仿宋"/>
          <w:color w:val="auto"/>
          <w:highlight w:val="none"/>
          <w:u w:val="single"/>
          <w:lang w:eastAsia="zh-CN"/>
        </w:rPr>
        <w:t>承包人向发包人提供的履约担保，发包人在合同工程验收合格（取得验收合格文件）、工程已移交给发包人，且承包人向发包人提交完整的结算资料后30天内由承包人提出申请，经监理人和发包人同意，退回履约担保（不计利息）。</w:t>
      </w:r>
    </w:p>
    <w:p w14:paraId="575ADFE8">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32.4 发包人提供支付担保</w:t>
      </w:r>
      <w:bookmarkEnd w:id="1564"/>
    </w:p>
    <w:p w14:paraId="1CF517BC">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发包人提供支付担保的约定</w:t>
      </w:r>
    </w:p>
    <w:p w14:paraId="398CAAC0">
      <w:pPr>
        <w:spacing w:line="360" w:lineRule="auto"/>
        <w:ind w:firstLine="849" w:firstLineChars="354"/>
        <w:rPr>
          <w:rFonts w:hint="eastAsia" w:ascii="仿宋" w:hAnsi="仿宋" w:eastAsia="仿宋" w:cs="仿宋"/>
          <w:color w:val="auto"/>
          <w:highlight w:val="none"/>
          <w:lang w:eastAsia="zh-CN"/>
        </w:rPr>
      </w:pPr>
      <w:bookmarkStart w:id="1565" w:name="_Toc30432"/>
      <w:r>
        <w:rPr>
          <w:rFonts w:hint="eastAsia" w:ascii="仿宋" w:hAnsi="仿宋" w:eastAsia="仿宋" w:cs="仿宋"/>
          <w:color w:val="auto"/>
          <w:highlight w:val="none"/>
          <w:lang w:eastAsia="zh-CN"/>
        </w:rPr>
        <w:t>①支付担保的金额：（大写）</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元（小写</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bookmarkEnd w:id="1565"/>
    </w:p>
    <w:p w14:paraId="38D8F9FD">
      <w:pPr>
        <w:spacing w:line="360" w:lineRule="auto"/>
        <w:ind w:firstLine="849" w:firstLineChars="354"/>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②提供支付担保的时间：</w:t>
      </w:r>
    </w:p>
    <w:p w14:paraId="455AB69E">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签订本合同时</w:t>
      </w:r>
    </w:p>
    <w:p w14:paraId="55EA183D">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另作约定：</w:t>
      </w:r>
      <w:r>
        <w:rPr>
          <w:rFonts w:ascii="仿宋" w:hAnsi="仿宋" w:eastAsia="仿宋"/>
          <w:color w:val="auto"/>
          <w:highlight w:val="none"/>
          <w:u w:val="single"/>
          <w:lang w:eastAsia="zh-CN"/>
        </w:rPr>
        <w:t xml:space="preserve">发包人不提供支付担保。   </w:t>
      </w:r>
      <w:r>
        <w:rPr>
          <w:rFonts w:hint="eastAsia" w:ascii="仿宋" w:hAnsi="仿宋" w:eastAsia="仿宋" w:cs="仿宋"/>
          <w:color w:val="auto"/>
          <w:highlight w:val="none"/>
          <w:u w:val="single"/>
          <w:lang w:eastAsia="zh-CN"/>
        </w:rPr>
        <w:t xml:space="preserve">                                  </w:t>
      </w:r>
    </w:p>
    <w:p w14:paraId="4A2328DA">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bookmarkStart w:id="1566" w:name="_Toc22170"/>
      <w:r>
        <w:rPr>
          <w:rFonts w:hint="eastAsia" w:ascii="仿宋" w:hAnsi="仿宋" w:eastAsia="仿宋" w:cs="仿宋"/>
          <w:color w:val="auto"/>
          <w:highlight w:val="none"/>
          <w:lang w:eastAsia="zh-CN"/>
        </w:rPr>
        <w:t xml:space="preserve"> ③支付担保的形式</w:t>
      </w:r>
      <w:bookmarkEnd w:id="1566"/>
    </w:p>
    <w:p w14:paraId="0E2D0DDC">
      <w:pPr>
        <w:spacing w:line="360" w:lineRule="auto"/>
        <w:ind w:firstLine="1080" w:firstLineChars="4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出具支付保函的担保人：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44CD6055">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□出具支付担保的担保人：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60399BF0">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□出具支付保证保险的担保人：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177F1059">
      <w:pPr>
        <w:spacing w:line="360" w:lineRule="auto"/>
        <w:ind w:firstLine="1080" w:firstLineChars="4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其他：</w:t>
      </w:r>
      <w:r>
        <w:rPr>
          <w:rFonts w:hint="eastAsia" w:ascii="仿宋" w:hAnsi="仿宋" w:eastAsia="仿宋" w:cs="仿宋"/>
          <w:color w:val="auto"/>
          <w:highlight w:val="none"/>
          <w:u w:val="single"/>
          <w:lang w:eastAsia="zh-CN"/>
        </w:rPr>
        <w:t xml:space="preserve">    /                                                          </w:t>
      </w:r>
    </w:p>
    <w:p w14:paraId="257D8186">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32.8 约定担保事项</w:t>
      </w:r>
    </w:p>
    <w:p w14:paraId="292F9A89">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□担保内容、方式和责任等事项的约定：</w:t>
      </w:r>
      <w:r>
        <w:rPr>
          <w:rFonts w:hint="eastAsia" w:ascii="仿宋" w:hAnsi="仿宋" w:eastAsia="仿宋" w:cs="仿宋"/>
          <w:color w:val="auto"/>
          <w:highlight w:val="none"/>
          <w:u w:val="single"/>
          <w:lang w:eastAsia="zh-CN"/>
        </w:rPr>
        <w:t xml:space="preserve">    /                </w:t>
      </w:r>
    </w:p>
    <w:p w14:paraId="4CD8AA9C">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u w:val="single"/>
          <w:lang w:eastAsia="zh-CN"/>
        </w:rPr>
        <w:t>双方协商一致，增加32.9-32.14款：</w:t>
      </w:r>
    </w:p>
    <w:p w14:paraId="1B3B056C">
      <w:pPr>
        <w:autoSpaceDE w:val="0"/>
        <w:autoSpaceDN w:val="0"/>
        <w:spacing w:line="360" w:lineRule="auto"/>
        <w:ind w:firstLine="482" w:firstLineChars="200"/>
        <w:rPr>
          <w:rFonts w:ascii="仿宋" w:hAnsi="仿宋" w:eastAsia="仿宋" w:cs="宋体"/>
          <w:b/>
          <w:bCs/>
          <w:snapToGrid w:val="0"/>
          <w:color w:val="auto"/>
          <w:highlight w:val="none"/>
          <w:lang w:eastAsia="zh-CN"/>
        </w:rPr>
      </w:pPr>
      <w:r>
        <w:rPr>
          <w:rFonts w:ascii="仿宋" w:hAnsi="仿宋" w:eastAsia="仿宋"/>
          <w:b/>
          <w:bCs/>
          <w:color w:val="auto"/>
          <w:highlight w:val="none"/>
          <w:lang w:eastAsia="zh-CN"/>
        </w:rPr>
        <w:t>32.9</w:t>
      </w:r>
      <w:r>
        <w:rPr>
          <w:rFonts w:hint="eastAsia" w:ascii="仿宋" w:hAnsi="仿宋" w:eastAsia="仿宋"/>
          <w:b/>
          <w:bCs/>
          <w:color w:val="auto"/>
          <w:highlight w:val="none"/>
          <w:lang w:eastAsia="zh-CN"/>
        </w:rPr>
        <w:t xml:space="preserve"> </w:t>
      </w:r>
      <w:r>
        <w:rPr>
          <w:rFonts w:hint="eastAsia" w:ascii="仿宋" w:hAnsi="仿宋" w:eastAsia="仿宋" w:cs="宋体"/>
          <w:b/>
          <w:bCs/>
          <w:snapToGrid w:val="0"/>
          <w:color w:val="auto"/>
          <w:highlight w:val="none"/>
          <w:lang w:eastAsia="zh-CN"/>
        </w:rPr>
        <w:t>承包人提交的履约担保是对本合同约定的承包人的全部义务（包括但不限于承包人违约后应支付的违约金和赔偿金）的担保，承包人的任何一次不履行或不完全履行合同义务的行为，发包人均有权向担保机构提出索赔。</w:t>
      </w:r>
    </w:p>
    <w:p w14:paraId="2BE2657D">
      <w:pPr>
        <w:autoSpaceDE w:val="0"/>
        <w:autoSpaceDN w:val="0"/>
        <w:spacing w:line="360" w:lineRule="auto"/>
        <w:ind w:firstLine="482" w:firstLineChars="200"/>
        <w:rPr>
          <w:rFonts w:ascii="仿宋" w:hAnsi="仿宋" w:eastAsia="仿宋" w:cs="宋体"/>
          <w:b/>
          <w:bCs/>
          <w:snapToGrid w:val="0"/>
          <w:color w:val="auto"/>
          <w:highlight w:val="none"/>
          <w:lang w:eastAsia="zh-CN"/>
        </w:rPr>
      </w:pPr>
      <w:r>
        <w:rPr>
          <w:rFonts w:ascii="仿宋" w:hAnsi="仿宋" w:eastAsia="仿宋" w:cs="宋体"/>
          <w:b/>
          <w:bCs/>
          <w:snapToGrid w:val="0"/>
          <w:color w:val="auto"/>
          <w:highlight w:val="none"/>
          <w:lang w:eastAsia="zh-CN"/>
        </w:rPr>
        <w:t>32.10</w:t>
      </w:r>
      <w:r>
        <w:rPr>
          <w:rFonts w:hint="eastAsia" w:ascii="仿宋" w:hAnsi="仿宋" w:eastAsia="仿宋" w:cs="宋体"/>
          <w:b/>
          <w:bCs/>
          <w:snapToGrid w:val="0"/>
          <w:color w:val="auto"/>
          <w:highlight w:val="none"/>
          <w:lang w:eastAsia="zh-CN"/>
        </w:rPr>
        <w:t xml:space="preserve"> </w:t>
      </w:r>
      <w:r>
        <w:rPr>
          <w:rFonts w:ascii="仿宋" w:hAnsi="仿宋" w:eastAsia="仿宋" w:cs="宋体"/>
          <w:b/>
          <w:bCs/>
          <w:snapToGrid w:val="0"/>
          <w:color w:val="auto"/>
          <w:highlight w:val="none"/>
          <w:lang w:eastAsia="zh-CN"/>
        </w:rPr>
        <w:t>当出现下列情形时，发包人有权启用履约担保：</w:t>
      </w:r>
    </w:p>
    <w:p w14:paraId="547529EA">
      <w:pPr>
        <w:autoSpaceDE w:val="0"/>
        <w:autoSpaceDN w:val="0"/>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1）因承包人原因导致本项目进度比约定的节点工期滞后30天以上或因承包人原因导致本合同被解除的；</w:t>
      </w:r>
    </w:p>
    <w:p w14:paraId="346594B6">
      <w:pPr>
        <w:autoSpaceDE w:val="0"/>
        <w:autoSpaceDN w:val="0"/>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2）因承包人原因，导致本项目或发包人受到影响或损失的；</w:t>
      </w:r>
    </w:p>
    <w:p w14:paraId="0EBCEDC0">
      <w:pPr>
        <w:autoSpaceDE w:val="0"/>
        <w:autoSpaceDN w:val="0"/>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3）因承包人违约计扣的违约金或赔偿金累计超过当期应付</w:t>
      </w:r>
      <w:r>
        <w:rPr>
          <w:rFonts w:hint="eastAsia" w:ascii="仿宋" w:hAnsi="仿宋" w:eastAsia="仿宋" w:cs="宋体"/>
          <w:snapToGrid w:val="0"/>
          <w:color w:val="auto"/>
          <w:highlight w:val="none"/>
          <w:lang w:eastAsia="zh-CN"/>
        </w:rPr>
        <w:t>进度款</w:t>
      </w:r>
      <w:r>
        <w:rPr>
          <w:rFonts w:ascii="仿宋" w:hAnsi="仿宋" w:eastAsia="仿宋" w:cs="宋体"/>
          <w:snapToGrid w:val="0"/>
          <w:color w:val="auto"/>
          <w:highlight w:val="none"/>
          <w:lang w:eastAsia="zh-CN"/>
        </w:rPr>
        <w:t>总额的；</w:t>
      </w:r>
    </w:p>
    <w:p w14:paraId="4A57D164">
      <w:pPr>
        <w:autoSpaceDE w:val="0"/>
        <w:autoSpaceDN w:val="0"/>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4）发包人认为或本合同约定的其他部分或全部需要启动履约担保的情形；</w:t>
      </w:r>
    </w:p>
    <w:p w14:paraId="3815FEA2">
      <w:pPr>
        <w:autoSpaceDE w:val="0"/>
        <w:autoSpaceDN w:val="0"/>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5）承包人在履行合同过程中，由于以上且不仅限于以上的违约行为，发包人进行违约处罚，承包人及承包人的履约担保方须无条件执行。</w:t>
      </w:r>
    </w:p>
    <w:p w14:paraId="78ED4A6A">
      <w:pPr>
        <w:autoSpaceDE w:val="0"/>
        <w:autoSpaceDN w:val="0"/>
        <w:spacing w:line="360" w:lineRule="auto"/>
        <w:ind w:firstLine="480" w:firstLineChars="200"/>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32.11</w:t>
      </w:r>
      <w:r>
        <w:rPr>
          <w:rFonts w:hint="eastAsia" w:ascii="仿宋" w:hAnsi="仿宋" w:eastAsia="仿宋" w:cs="宋体"/>
          <w:snapToGrid w:val="0"/>
          <w:color w:val="auto"/>
          <w:highlight w:val="none"/>
          <w:lang w:eastAsia="zh-CN"/>
        </w:rPr>
        <w:t xml:space="preserve"> </w:t>
      </w:r>
      <w:r>
        <w:rPr>
          <w:rFonts w:ascii="仿宋" w:hAnsi="仿宋" w:eastAsia="仿宋" w:cs="宋体"/>
          <w:snapToGrid w:val="0"/>
          <w:color w:val="auto"/>
          <w:highlight w:val="none"/>
          <w:lang w:eastAsia="zh-CN"/>
        </w:rPr>
        <w:t>承包人不履行或不完全履行合同义务的行为导致发包人</w:t>
      </w:r>
      <w:r>
        <w:rPr>
          <w:rFonts w:hint="eastAsia" w:ascii="仿宋" w:hAnsi="仿宋" w:eastAsia="仿宋" w:cs="宋体"/>
          <w:snapToGrid w:val="0"/>
          <w:color w:val="auto"/>
          <w:highlight w:val="none"/>
          <w:lang w:eastAsia="zh-CN"/>
        </w:rPr>
        <w:t>依据履约担保</w:t>
      </w:r>
      <w:r>
        <w:rPr>
          <w:rFonts w:ascii="仿宋" w:hAnsi="仿宋" w:eastAsia="仿宋" w:cs="宋体"/>
          <w:snapToGrid w:val="0"/>
          <w:color w:val="auto"/>
          <w:highlight w:val="none"/>
          <w:lang w:eastAsia="zh-CN"/>
        </w:rPr>
        <w:t>向</w:t>
      </w:r>
      <w:r>
        <w:rPr>
          <w:rFonts w:hint="eastAsia" w:ascii="仿宋" w:hAnsi="仿宋" w:eastAsia="仿宋" w:cs="宋体"/>
          <w:snapToGrid w:val="0"/>
          <w:color w:val="auto"/>
          <w:highlight w:val="none"/>
          <w:lang w:eastAsia="zh-CN"/>
        </w:rPr>
        <w:t>担保机构</w:t>
      </w:r>
      <w:r>
        <w:rPr>
          <w:rFonts w:ascii="仿宋" w:hAnsi="仿宋" w:eastAsia="仿宋" w:cs="宋体"/>
          <w:snapToGrid w:val="0"/>
          <w:color w:val="auto"/>
          <w:highlight w:val="none"/>
          <w:lang w:eastAsia="zh-CN"/>
        </w:rPr>
        <w:t>索赔履约</w:t>
      </w:r>
      <w:r>
        <w:rPr>
          <w:rFonts w:hint="eastAsia" w:ascii="仿宋" w:hAnsi="仿宋" w:eastAsia="仿宋" w:cs="宋体"/>
          <w:snapToGrid w:val="0"/>
          <w:color w:val="auto"/>
          <w:highlight w:val="none"/>
          <w:lang w:eastAsia="zh-CN"/>
        </w:rPr>
        <w:t>担保</w:t>
      </w:r>
      <w:r>
        <w:rPr>
          <w:rFonts w:ascii="仿宋" w:hAnsi="仿宋" w:eastAsia="仿宋" w:cs="宋体"/>
          <w:snapToGrid w:val="0"/>
          <w:color w:val="auto"/>
          <w:highlight w:val="none"/>
          <w:lang w:eastAsia="zh-CN"/>
        </w:rPr>
        <w:t>金额的一部分或者全部的，承包人必须在发包人规定的时间内补充提交履约</w:t>
      </w:r>
      <w:r>
        <w:rPr>
          <w:rFonts w:hint="eastAsia" w:ascii="仿宋" w:hAnsi="仿宋" w:eastAsia="仿宋" w:cs="宋体"/>
          <w:snapToGrid w:val="0"/>
          <w:color w:val="auto"/>
          <w:highlight w:val="none"/>
          <w:lang w:eastAsia="zh-CN"/>
        </w:rPr>
        <w:t>担保</w:t>
      </w:r>
      <w:r>
        <w:rPr>
          <w:rFonts w:ascii="仿宋" w:hAnsi="仿宋" w:eastAsia="仿宋" w:cs="宋体"/>
          <w:snapToGrid w:val="0"/>
          <w:color w:val="auto"/>
          <w:highlight w:val="none"/>
          <w:lang w:eastAsia="zh-CN"/>
        </w:rPr>
        <w:t>，使得本合同履行期间有效的履约</w:t>
      </w:r>
      <w:r>
        <w:rPr>
          <w:rFonts w:hint="eastAsia" w:ascii="仿宋" w:hAnsi="仿宋" w:eastAsia="仿宋" w:cs="宋体"/>
          <w:snapToGrid w:val="0"/>
          <w:color w:val="auto"/>
          <w:highlight w:val="none"/>
          <w:lang w:eastAsia="zh-CN"/>
        </w:rPr>
        <w:t>担保</w:t>
      </w:r>
      <w:r>
        <w:rPr>
          <w:rFonts w:ascii="仿宋" w:hAnsi="仿宋" w:eastAsia="仿宋" w:cs="宋体"/>
          <w:snapToGrid w:val="0"/>
          <w:color w:val="auto"/>
          <w:highlight w:val="none"/>
          <w:lang w:eastAsia="zh-CN"/>
        </w:rPr>
        <w:t>金额等于承包人第一次提交的履约</w:t>
      </w:r>
      <w:r>
        <w:rPr>
          <w:rFonts w:hint="eastAsia" w:ascii="仿宋" w:hAnsi="仿宋" w:eastAsia="仿宋" w:cs="宋体"/>
          <w:snapToGrid w:val="0"/>
          <w:color w:val="auto"/>
          <w:highlight w:val="none"/>
          <w:lang w:eastAsia="zh-CN"/>
        </w:rPr>
        <w:t>担保</w:t>
      </w:r>
      <w:r>
        <w:rPr>
          <w:rFonts w:ascii="仿宋" w:hAnsi="仿宋" w:eastAsia="仿宋" w:cs="宋体"/>
          <w:snapToGrid w:val="0"/>
          <w:color w:val="auto"/>
          <w:highlight w:val="none"/>
          <w:lang w:eastAsia="zh-CN"/>
        </w:rPr>
        <w:t>金额。如果承包人不按发包人的要求及时补充提交履约</w:t>
      </w:r>
      <w:r>
        <w:rPr>
          <w:rFonts w:hint="eastAsia" w:ascii="仿宋" w:hAnsi="仿宋" w:eastAsia="仿宋" w:cs="宋体"/>
          <w:snapToGrid w:val="0"/>
          <w:color w:val="auto"/>
          <w:highlight w:val="none"/>
          <w:lang w:eastAsia="zh-CN"/>
        </w:rPr>
        <w:t>担保</w:t>
      </w:r>
      <w:r>
        <w:rPr>
          <w:rFonts w:ascii="仿宋" w:hAnsi="仿宋" w:eastAsia="仿宋" w:cs="宋体"/>
          <w:snapToGrid w:val="0"/>
          <w:color w:val="auto"/>
          <w:highlight w:val="none"/>
          <w:lang w:eastAsia="zh-CN"/>
        </w:rPr>
        <w:t>，则发包人有权单方面部分解除或解除本合同。</w:t>
      </w:r>
    </w:p>
    <w:p w14:paraId="31801199">
      <w:pPr>
        <w:autoSpaceDE w:val="0"/>
        <w:autoSpaceDN w:val="0"/>
        <w:spacing w:line="360" w:lineRule="auto"/>
        <w:ind w:firstLine="480" w:firstLineChars="200"/>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32.12</w:t>
      </w:r>
      <w:r>
        <w:rPr>
          <w:rFonts w:hint="eastAsia" w:ascii="仿宋" w:hAnsi="仿宋" w:eastAsia="仿宋" w:cs="宋体"/>
          <w:snapToGrid w:val="0"/>
          <w:color w:val="auto"/>
          <w:highlight w:val="none"/>
          <w:lang w:eastAsia="zh-CN"/>
        </w:rPr>
        <w:t xml:space="preserve"> </w:t>
      </w:r>
      <w:r>
        <w:rPr>
          <w:rFonts w:ascii="仿宋" w:hAnsi="仿宋" w:eastAsia="仿宋" w:cs="宋体"/>
          <w:snapToGrid w:val="0"/>
          <w:color w:val="auto"/>
          <w:highlight w:val="none"/>
          <w:lang w:eastAsia="zh-CN"/>
        </w:rPr>
        <w:t>履约</w:t>
      </w:r>
      <w:r>
        <w:rPr>
          <w:rFonts w:hint="eastAsia" w:ascii="仿宋" w:hAnsi="仿宋" w:eastAsia="仿宋" w:cs="宋体"/>
          <w:snapToGrid w:val="0"/>
          <w:color w:val="auto"/>
          <w:highlight w:val="none"/>
          <w:lang w:eastAsia="zh-CN"/>
        </w:rPr>
        <w:t>担保</w:t>
      </w:r>
      <w:r>
        <w:rPr>
          <w:rFonts w:ascii="仿宋" w:hAnsi="仿宋" w:eastAsia="仿宋" w:cs="宋体"/>
          <w:snapToGrid w:val="0"/>
          <w:color w:val="auto"/>
          <w:highlight w:val="none"/>
          <w:lang w:eastAsia="zh-CN"/>
        </w:rPr>
        <w:t>的保证范围为承包人按本合同的约定应履行的全部义务，履约保证期间从本合同生效之日起至履约</w:t>
      </w:r>
      <w:r>
        <w:rPr>
          <w:rFonts w:hint="eastAsia" w:ascii="仿宋" w:hAnsi="仿宋" w:eastAsia="仿宋" w:cs="宋体"/>
          <w:snapToGrid w:val="0"/>
          <w:color w:val="auto"/>
          <w:highlight w:val="none"/>
          <w:lang w:eastAsia="zh-CN"/>
        </w:rPr>
        <w:t>担保</w:t>
      </w:r>
      <w:r>
        <w:rPr>
          <w:rFonts w:ascii="仿宋" w:hAnsi="仿宋" w:eastAsia="仿宋" w:cs="宋体"/>
          <w:snapToGrid w:val="0"/>
          <w:color w:val="auto"/>
          <w:highlight w:val="none"/>
          <w:lang w:eastAsia="zh-CN"/>
        </w:rPr>
        <w:t>退回之日。</w:t>
      </w:r>
    </w:p>
    <w:p w14:paraId="19D034CB">
      <w:pPr>
        <w:autoSpaceDE w:val="0"/>
        <w:autoSpaceDN w:val="0"/>
        <w:spacing w:line="360" w:lineRule="auto"/>
        <w:ind w:firstLine="480" w:firstLineChars="200"/>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32.13</w:t>
      </w:r>
      <w:r>
        <w:rPr>
          <w:rFonts w:hint="eastAsia" w:ascii="仿宋" w:hAnsi="仿宋" w:eastAsia="仿宋" w:cs="宋体"/>
          <w:snapToGrid w:val="0"/>
          <w:color w:val="auto"/>
          <w:highlight w:val="none"/>
          <w:lang w:eastAsia="zh-CN"/>
        </w:rPr>
        <w:t xml:space="preserve"> </w:t>
      </w:r>
      <w:r>
        <w:rPr>
          <w:rFonts w:ascii="仿宋" w:hAnsi="仿宋" w:eastAsia="仿宋" w:cs="宋体"/>
          <w:snapToGrid w:val="0"/>
          <w:color w:val="auto"/>
          <w:highlight w:val="none"/>
          <w:lang w:eastAsia="zh-CN"/>
        </w:rPr>
        <w:t>在承包人按照合同要求实施和完成本合同工程之前，履约担保一直有效。如果履约</w:t>
      </w:r>
      <w:r>
        <w:rPr>
          <w:rFonts w:hint="eastAsia" w:ascii="仿宋" w:hAnsi="仿宋" w:eastAsia="仿宋" w:cs="宋体"/>
          <w:snapToGrid w:val="0"/>
          <w:color w:val="auto"/>
          <w:highlight w:val="none"/>
          <w:lang w:eastAsia="zh-CN"/>
        </w:rPr>
        <w:t>担保</w:t>
      </w:r>
      <w:r>
        <w:rPr>
          <w:rFonts w:ascii="仿宋" w:hAnsi="仿宋" w:eastAsia="仿宋" w:cs="宋体"/>
          <w:snapToGrid w:val="0"/>
          <w:color w:val="auto"/>
          <w:highlight w:val="none"/>
          <w:lang w:eastAsia="zh-CN"/>
        </w:rPr>
        <w:t>因有效期届满，致使履约</w:t>
      </w:r>
      <w:r>
        <w:rPr>
          <w:rFonts w:hint="eastAsia" w:ascii="仿宋" w:hAnsi="仿宋" w:eastAsia="仿宋" w:cs="宋体"/>
          <w:snapToGrid w:val="0"/>
          <w:color w:val="auto"/>
          <w:highlight w:val="none"/>
          <w:lang w:eastAsia="zh-CN"/>
        </w:rPr>
        <w:t>担保</w:t>
      </w:r>
      <w:r>
        <w:rPr>
          <w:rFonts w:ascii="仿宋" w:hAnsi="仿宋" w:eastAsia="仿宋" w:cs="宋体"/>
          <w:snapToGrid w:val="0"/>
          <w:color w:val="auto"/>
          <w:highlight w:val="none"/>
          <w:lang w:eastAsia="zh-CN"/>
        </w:rPr>
        <w:t>自动失效，而承包人尚未按合同要求实施和完成本合同工程的，承包人应在保函有效期满前3个月无条件办理</w:t>
      </w:r>
      <w:r>
        <w:rPr>
          <w:rFonts w:hint="eastAsia" w:ascii="仿宋" w:hAnsi="仿宋" w:eastAsia="仿宋" w:cs="宋体"/>
          <w:snapToGrid w:val="0"/>
          <w:color w:val="auto"/>
          <w:highlight w:val="none"/>
          <w:lang w:eastAsia="zh-CN"/>
        </w:rPr>
        <w:t>担保</w:t>
      </w:r>
      <w:r>
        <w:rPr>
          <w:rFonts w:ascii="仿宋" w:hAnsi="仿宋" w:eastAsia="仿宋" w:cs="宋体"/>
          <w:snapToGrid w:val="0"/>
          <w:color w:val="auto"/>
          <w:highlight w:val="none"/>
          <w:lang w:eastAsia="zh-CN"/>
        </w:rPr>
        <w:t>续保，并向发包人提交同样格式且更新日期后的有效</w:t>
      </w:r>
      <w:r>
        <w:rPr>
          <w:rFonts w:hint="eastAsia" w:ascii="仿宋" w:hAnsi="仿宋" w:eastAsia="仿宋" w:cs="宋体"/>
          <w:snapToGrid w:val="0"/>
          <w:color w:val="auto"/>
          <w:highlight w:val="none"/>
          <w:lang w:eastAsia="zh-CN"/>
        </w:rPr>
        <w:t>担保</w:t>
      </w:r>
      <w:r>
        <w:rPr>
          <w:rFonts w:ascii="仿宋" w:hAnsi="仿宋" w:eastAsia="仿宋" w:cs="宋体"/>
          <w:snapToGrid w:val="0"/>
          <w:color w:val="auto"/>
          <w:highlight w:val="none"/>
          <w:lang w:eastAsia="zh-CN"/>
        </w:rPr>
        <w:t>。否则发包人有权从</w:t>
      </w:r>
      <w:r>
        <w:rPr>
          <w:rFonts w:hint="eastAsia" w:ascii="仿宋" w:hAnsi="仿宋" w:eastAsia="仿宋" w:cs="宋体"/>
          <w:snapToGrid w:val="0"/>
          <w:color w:val="auto"/>
          <w:highlight w:val="none"/>
          <w:lang w:eastAsia="zh-CN"/>
        </w:rPr>
        <w:t>应付价款</w:t>
      </w:r>
      <w:r>
        <w:rPr>
          <w:rFonts w:ascii="仿宋" w:hAnsi="仿宋" w:eastAsia="仿宋" w:cs="宋体"/>
          <w:snapToGrid w:val="0"/>
          <w:color w:val="auto"/>
          <w:highlight w:val="none"/>
          <w:lang w:eastAsia="zh-CN"/>
        </w:rPr>
        <w:t>中扣除相应金额（</w:t>
      </w:r>
      <w:r>
        <w:rPr>
          <w:rFonts w:hint="eastAsia" w:ascii="仿宋" w:hAnsi="仿宋" w:eastAsia="仿宋" w:cs="宋体"/>
          <w:snapToGrid w:val="0"/>
          <w:color w:val="auto"/>
          <w:highlight w:val="none"/>
          <w:lang w:eastAsia="zh-CN"/>
        </w:rPr>
        <w:t>中标价的10%</w:t>
      </w:r>
      <w:r>
        <w:rPr>
          <w:rFonts w:ascii="仿宋" w:hAnsi="仿宋" w:eastAsia="仿宋" w:cs="宋体"/>
          <w:snapToGrid w:val="0"/>
          <w:color w:val="auto"/>
          <w:highlight w:val="none"/>
          <w:lang w:eastAsia="zh-CN"/>
        </w:rPr>
        <w:t>），作为履约担保。</w:t>
      </w:r>
    </w:p>
    <w:p w14:paraId="0E41C9AF">
      <w:pPr>
        <w:autoSpaceDE w:val="0"/>
        <w:autoSpaceDN w:val="0"/>
        <w:spacing w:line="360" w:lineRule="auto"/>
        <w:ind w:firstLine="480" w:firstLineChars="200"/>
        <w:rPr>
          <w:rFonts w:hint="eastAsia" w:ascii="仿宋" w:hAnsi="仿宋" w:eastAsia="仿宋" w:cs="仿宋"/>
          <w:color w:val="auto"/>
          <w:highlight w:val="none"/>
          <w:u w:val="single"/>
          <w:lang w:eastAsia="zh-CN"/>
        </w:rPr>
      </w:pPr>
      <w:r>
        <w:rPr>
          <w:rFonts w:ascii="仿宋" w:hAnsi="仿宋" w:eastAsia="仿宋" w:cs="宋体"/>
          <w:snapToGrid w:val="0"/>
          <w:color w:val="auto"/>
          <w:highlight w:val="none"/>
          <w:lang w:eastAsia="zh-CN"/>
        </w:rPr>
        <w:t>32.14</w:t>
      </w:r>
      <w:r>
        <w:rPr>
          <w:rFonts w:hint="eastAsia" w:ascii="仿宋" w:hAnsi="仿宋" w:eastAsia="仿宋" w:cs="宋体"/>
          <w:snapToGrid w:val="0"/>
          <w:color w:val="auto"/>
          <w:highlight w:val="none"/>
          <w:lang w:eastAsia="zh-CN"/>
        </w:rPr>
        <w:t xml:space="preserve"> </w:t>
      </w:r>
      <w:r>
        <w:rPr>
          <w:rFonts w:ascii="仿宋" w:hAnsi="仿宋" w:eastAsia="仿宋" w:cs="宋体"/>
          <w:snapToGrid w:val="0"/>
          <w:color w:val="auto"/>
          <w:highlight w:val="none"/>
          <w:lang w:eastAsia="zh-CN"/>
        </w:rPr>
        <w:t>承包人如约履行合同义务和责任的，在</w:t>
      </w:r>
      <w:r>
        <w:rPr>
          <w:rFonts w:hint="eastAsia" w:ascii="仿宋" w:hAnsi="仿宋" w:eastAsia="仿宋" w:cs="宋体"/>
          <w:snapToGrid w:val="0"/>
          <w:color w:val="auto"/>
          <w:highlight w:val="none"/>
          <w:lang w:eastAsia="zh-CN"/>
        </w:rPr>
        <w:t>竣工验收合格且承包人提交完整符合要求的竣工档案和完整的结算资料</w:t>
      </w:r>
      <w:r>
        <w:rPr>
          <w:rFonts w:ascii="仿宋" w:hAnsi="仿宋" w:eastAsia="仿宋" w:cs="宋体"/>
          <w:snapToGrid w:val="0"/>
          <w:color w:val="auto"/>
          <w:highlight w:val="none"/>
          <w:lang w:eastAsia="zh-CN"/>
        </w:rPr>
        <w:t>后，承包人向发包人提出履约</w:t>
      </w:r>
      <w:r>
        <w:rPr>
          <w:rFonts w:hint="eastAsia" w:ascii="仿宋" w:hAnsi="仿宋" w:eastAsia="仿宋" w:cs="宋体"/>
          <w:snapToGrid w:val="0"/>
          <w:color w:val="auto"/>
          <w:highlight w:val="none"/>
          <w:lang w:eastAsia="zh-CN"/>
        </w:rPr>
        <w:t>担保</w:t>
      </w:r>
      <w:r>
        <w:rPr>
          <w:rFonts w:ascii="仿宋" w:hAnsi="仿宋" w:eastAsia="仿宋" w:cs="宋体"/>
          <w:snapToGrid w:val="0"/>
          <w:color w:val="auto"/>
          <w:highlight w:val="none"/>
          <w:lang w:eastAsia="zh-CN"/>
        </w:rPr>
        <w:t>退还申请，发包人在</w:t>
      </w:r>
      <w:r>
        <w:rPr>
          <w:rFonts w:hint="eastAsia" w:ascii="仿宋" w:hAnsi="仿宋" w:eastAsia="仿宋" w:cs="宋体"/>
          <w:snapToGrid w:val="0"/>
          <w:color w:val="auto"/>
          <w:highlight w:val="none"/>
          <w:lang w:eastAsia="zh-CN"/>
        </w:rPr>
        <w:t>收到承包人退保申请后的14天内</w:t>
      </w:r>
      <w:r>
        <w:rPr>
          <w:rFonts w:ascii="仿宋" w:hAnsi="仿宋" w:eastAsia="仿宋" w:cs="宋体"/>
          <w:snapToGrid w:val="0"/>
          <w:color w:val="auto"/>
          <w:highlight w:val="none"/>
          <w:lang w:eastAsia="zh-CN"/>
        </w:rPr>
        <w:t>无息退回履约</w:t>
      </w:r>
      <w:r>
        <w:rPr>
          <w:rFonts w:hint="eastAsia" w:ascii="仿宋" w:hAnsi="仿宋" w:eastAsia="仿宋" w:cs="宋体"/>
          <w:snapToGrid w:val="0"/>
          <w:color w:val="auto"/>
          <w:highlight w:val="none"/>
          <w:lang w:eastAsia="zh-CN"/>
        </w:rPr>
        <w:t>担保</w:t>
      </w:r>
      <w:r>
        <w:rPr>
          <w:rFonts w:ascii="仿宋" w:hAnsi="仿宋" w:eastAsia="仿宋" w:cs="宋体"/>
          <w:snapToGrid w:val="0"/>
          <w:color w:val="auto"/>
          <w:highlight w:val="none"/>
          <w:lang w:eastAsia="zh-CN"/>
        </w:rPr>
        <w:t>。如承包人违反本合同约定的任何义务，发包人有权根据履约</w:t>
      </w:r>
      <w:r>
        <w:rPr>
          <w:rFonts w:hint="eastAsia" w:ascii="仿宋" w:hAnsi="仿宋" w:eastAsia="仿宋" w:cs="宋体"/>
          <w:snapToGrid w:val="0"/>
          <w:color w:val="auto"/>
          <w:highlight w:val="none"/>
          <w:lang w:eastAsia="zh-CN"/>
        </w:rPr>
        <w:t>担保</w:t>
      </w:r>
      <w:r>
        <w:rPr>
          <w:rFonts w:ascii="仿宋" w:hAnsi="仿宋" w:eastAsia="仿宋" w:cs="宋体"/>
          <w:snapToGrid w:val="0"/>
          <w:color w:val="auto"/>
          <w:highlight w:val="none"/>
          <w:lang w:eastAsia="zh-CN"/>
        </w:rPr>
        <w:t>申请获得承包人应向发包人支付的违约金或损失赔偿额，如有不足的，承包人应另行承担赔偿责任。</w:t>
      </w:r>
    </w:p>
    <w:p w14:paraId="406CE2EA">
      <w:pPr>
        <w:pStyle w:val="3"/>
        <w:tabs>
          <w:tab w:val="left" w:pos="420"/>
        </w:tabs>
        <w:spacing w:line="360" w:lineRule="auto"/>
        <w:ind w:firstLine="105"/>
        <w:rPr>
          <w:rFonts w:hint="eastAsia" w:ascii="仿宋" w:hAnsi="仿宋" w:eastAsia="仿宋" w:cs="仿宋"/>
          <w:b w:val="0"/>
          <w:bCs w:val="0"/>
          <w:i w:val="0"/>
          <w:iCs w:val="0"/>
          <w:color w:val="auto"/>
          <w:sz w:val="24"/>
          <w:szCs w:val="24"/>
          <w:highlight w:val="none"/>
          <w:lang w:eastAsia="zh-CN"/>
        </w:rPr>
      </w:pPr>
      <w:bookmarkStart w:id="1567" w:name="_Toc18472"/>
      <w:bookmarkStart w:id="1568" w:name="_Toc24976"/>
      <w:bookmarkStart w:id="1569" w:name="_Toc7160"/>
      <w:bookmarkStart w:id="1570" w:name="_Toc22881"/>
      <w:bookmarkStart w:id="1571" w:name="_Toc10910"/>
      <w:bookmarkStart w:id="1572" w:name="_Toc23074"/>
      <w:bookmarkStart w:id="1573" w:name="_Toc11953"/>
      <w:bookmarkStart w:id="1574" w:name="_Toc47694407"/>
      <w:r>
        <w:rPr>
          <w:rFonts w:hint="eastAsia" w:ascii="仿宋" w:hAnsi="仿宋" w:eastAsia="仿宋" w:cs="仿宋"/>
          <w:b w:val="0"/>
          <w:bCs w:val="0"/>
          <w:i w:val="0"/>
          <w:iCs w:val="0"/>
          <w:color w:val="auto"/>
          <w:sz w:val="24"/>
          <w:szCs w:val="24"/>
          <w:highlight w:val="none"/>
          <w:lang w:eastAsia="zh-CN"/>
        </w:rPr>
        <w:t>33.  发包人风险</w:t>
      </w:r>
      <w:bookmarkEnd w:id="1567"/>
      <w:bookmarkEnd w:id="1568"/>
      <w:bookmarkEnd w:id="1569"/>
      <w:bookmarkEnd w:id="1570"/>
      <w:bookmarkEnd w:id="1571"/>
      <w:bookmarkEnd w:id="1572"/>
      <w:bookmarkEnd w:id="1573"/>
    </w:p>
    <w:p w14:paraId="023E2FAF">
      <w:pPr>
        <w:spacing w:line="360" w:lineRule="auto"/>
        <w:ind w:left="240" w:leftChars="100"/>
        <w:rPr>
          <w:rFonts w:hint="eastAsia" w:ascii="仿宋" w:hAnsi="仿宋" w:eastAsia="仿宋" w:cs="仿宋"/>
          <w:bCs/>
          <w:color w:val="auto"/>
          <w:highlight w:val="none"/>
          <w:lang w:eastAsia="zh-CN"/>
        </w:rPr>
      </w:pPr>
      <w:r>
        <w:rPr>
          <w:rFonts w:hint="eastAsia" w:ascii="仿宋" w:hAnsi="仿宋" w:eastAsia="仿宋" w:cs="仿宋"/>
          <w:bCs/>
          <w:color w:val="auto"/>
          <w:highlight w:val="none"/>
          <w:lang w:eastAsia="zh-CN"/>
        </w:rPr>
        <w:t>33.2发包人风险</w:t>
      </w:r>
    </w:p>
    <w:p w14:paraId="5D8D3C3D">
      <w:pPr>
        <w:spacing w:line="360" w:lineRule="auto"/>
        <w:ind w:left="240" w:leftChars="100"/>
        <w:rPr>
          <w:rFonts w:hint="eastAsia" w:ascii="仿宋" w:hAnsi="仿宋" w:eastAsia="仿宋" w:cs="仿宋"/>
          <w:bCs/>
          <w:color w:val="auto"/>
          <w:highlight w:val="none"/>
          <w:lang w:eastAsia="zh-CN"/>
        </w:rPr>
      </w:pPr>
      <w:r>
        <w:rPr>
          <w:rFonts w:hint="eastAsia" w:ascii="仿宋" w:hAnsi="仿宋" w:eastAsia="仿宋" w:cs="仿宋"/>
          <w:bCs/>
          <w:color w:val="auto"/>
          <w:highlight w:val="none"/>
          <w:lang w:eastAsia="zh-CN"/>
        </w:rPr>
        <w:t xml:space="preserve">     （9）其他风险：</w:t>
      </w:r>
      <w:r>
        <w:rPr>
          <w:rFonts w:hint="eastAsia" w:ascii="仿宋" w:hAnsi="仿宋" w:eastAsia="仿宋" w:cs="仿宋"/>
          <w:color w:val="auto"/>
          <w:highlight w:val="none"/>
          <w:u w:val="single"/>
          <w:lang w:eastAsia="zh-CN"/>
        </w:rPr>
        <w:t xml:space="preserve">      /                                     </w:t>
      </w:r>
    </w:p>
    <w:p w14:paraId="56987122">
      <w:pPr>
        <w:pStyle w:val="3"/>
        <w:tabs>
          <w:tab w:val="left" w:pos="420"/>
        </w:tabs>
        <w:spacing w:line="360" w:lineRule="auto"/>
        <w:ind w:firstLine="105"/>
        <w:rPr>
          <w:rFonts w:hint="eastAsia"/>
          <w:i w:val="0"/>
          <w:iCs w:val="0"/>
          <w:color w:val="auto"/>
          <w:highlight w:val="none"/>
          <w:lang w:eastAsia="zh-CN"/>
        </w:rPr>
      </w:pPr>
      <w:bookmarkStart w:id="1575" w:name="_Toc4512"/>
      <w:bookmarkStart w:id="1576" w:name="_Toc369"/>
      <w:bookmarkStart w:id="1577" w:name="_Toc6796"/>
      <w:bookmarkStart w:id="1578" w:name="_Toc24600"/>
      <w:bookmarkStart w:id="1579" w:name="_Toc31429"/>
      <w:bookmarkStart w:id="1580" w:name="_Toc5823"/>
      <w:bookmarkStart w:id="1581" w:name="_Toc15883"/>
      <w:r>
        <w:rPr>
          <w:rFonts w:hint="eastAsia" w:ascii="仿宋" w:hAnsi="仿宋" w:eastAsia="仿宋" w:cs="仿宋"/>
          <w:b w:val="0"/>
          <w:bCs w:val="0"/>
          <w:i w:val="0"/>
          <w:iCs w:val="0"/>
          <w:color w:val="auto"/>
          <w:sz w:val="24"/>
          <w:szCs w:val="24"/>
          <w:highlight w:val="none"/>
          <w:lang w:eastAsia="zh-CN"/>
        </w:rPr>
        <w:t>35.  不可抗力</w:t>
      </w:r>
      <w:bookmarkEnd w:id="1574"/>
      <w:bookmarkEnd w:id="1575"/>
      <w:bookmarkEnd w:id="1576"/>
      <w:bookmarkEnd w:id="1577"/>
      <w:bookmarkEnd w:id="1578"/>
      <w:bookmarkEnd w:id="1579"/>
      <w:bookmarkEnd w:id="1580"/>
      <w:bookmarkEnd w:id="1581"/>
    </w:p>
    <w:p w14:paraId="18D95983">
      <w:pPr>
        <w:spacing w:line="360" w:lineRule="auto"/>
        <w:ind w:firstLine="480" w:firstLineChars="200"/>
        <w:rPr>
          <w:rFonts w:ascii="仿宋" w:hAnsi="仿宋" w:eastAsia="仿宋" w:cs="仿宋"/>
          <w:b/>
          <w:bCs/>
          <w:color w:val="auto"/>
          <w:highlight w:val="none"/>
          <w:lang w:eastAsia="zh-CN"/>
        </w:rPr>
      </w:pPr>
      <w:r>
        <w:rPr>
          <w:rFonts w:hint="eastAsia" w:ascii="仿宋" w:hAnsi="仿宋" w:eastAsia="仿宋" w:cs="仿宋"/>
          <w:bCs/>
          <w:color w:val="auto"/>
          <w:highlight w:val="none"/>
          <w:lang w:eastAsia="zh-CN"/>
        </w:rPr>
        <w:t>35.1</w:t>
      </w:r>
      <w:r>
        <w:rPr>
          <w:rFonts w:hint="eastAsia" w:ascii="仿宋" w:hAnsi="仿宋" w:eastAsia="仿宋" w:cs="仿宋"/>
          <w:color w:val="auto"/>
          <w:highlight w:val="none"/>
          <w:lang w:eastAsia="zh-CN"/>
        </w:rPr>
        <w:t>除通用合同条件约定的不可抗力事件之外，视为不可抗力的其他情形</w:t>
      </w:r>
      <w:r>
        <w:rPr>
          <w:rFonts w:hint="eastAsia" w:ascii="仿宋" w:hAnsi="仿宋" w:eastAsia="仿宋" w:cs="仿宋"/>
          <w:bCs/>
          <w:color w:val="auto"/>
          <w:highlight w:val="none"/>
          <w:lang w:eastAsia="zh-CN"/>
        </w:rPr>
        <w:t>：</w:t>
      </w:r>
      <w:r>
        <w:rPr>
          <w:rFonts w:hint="eastAsia" w:ascii="仿宋" w:hAnsi="仿宋" w:eastAsia="仿宋" w:cs="仿宋"/>
          <w:b/>
          <w:bCs/>
          <w:color w:val="auto"/>
          <w:highlight w:val="none"/>
          <w:u w:val="single"/>
          <w:lang w:eastAsia="zh-CN"/>
        </w:rPr>
        <w:t>政府对本工程的政策变化、计划的调整，导致本工程不能如期进行，也属不可抗力的范围。</w:t>
      </w:r>
    </w:p>
    <w:p w14:paraId="0B5E641D">
      <w:pPr>
        <w:pStyle w:val="3"/>
        <w:tabs>
          <w:tab w:val="left" w:pos="420"/>
        </w:tabs>
        <w:spacing w:line="360" w:lineRule="auto"/>
        <w:ind w:firstLine="105"/>
        <w:rPr>
          <w:rFonts w:hint="eastAsia"/>
          <w:i w:val="0"/>
          <w:iCs w:val="0"/>
          <w:color w:val="auto"/>
          <w:highlight w:val="none"/>
          <w:lang w:eastAsia="zh-CN"/>
        </w:rPr>
      </w:pPr>
      <w:bookmarkStart w:id="1582" w:name="_Toc23839"/>
      <w:bookmarkStart w:id="1583" w:name="_Toc19350"/>
      <w:bookmarkStart w:id="1584" w:name="_Toc47694408"/>
      <w:bookmarkStart w:id="1585" w:name="_Toc11514"/>
      <w:bookmarkStart w:id="1586" w:name="_Toc25457"/>
      <w:bookmarkStart w:id="1587" w:name="_Toc1912"/>
      <w:bookmarkStart w:id="1588" w:name="_Toc26291"/>
      <w:bookmarkStart w:id="1589" w:name="_Toc28702"/>
      <w:r>
        <w:rPr>
          <w:rFonts w:hint="eastAsia" w:ascii="仿宋" w:hAnsi="仿宋" w:eastAsia="仿宋" w:cs="仿宋"/>
          <w:b w:val="0"/>
          <w:bCs w:val="0"/>
          <w:i w:val="0"/>
          <w:iCs w:val="0"/>
          <w:color w:val="auto"/>
          <w:sz w:val="24"/>
          <w:szCs w:val="24"/>
          <w:highlight w:val="none"/>
          <w:lang w:eastAsia="zh-CN"/>
        </w:rPr>
        <w:t>36.  保险</w:t>
      </w:r>
      <w:bookmarkEnd w:id="1582"/>
      <w:bookmarkEnd w:id="1583"/>
      <w:bookmarkEnd w:id="1584"/>
      <w:bookmarkEnd w:id="1585"/>
      <w:bookmarkEnd w:id="1586"/>
      <w:bookmarkEnd w:id="1587"/>
      <w:bookmarkEnd w:id="1588"/>
      <w:bookmarkEnd w:id="1589"/>
    </w:p>
    <w:p w14:paraId="2CCA787C">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36.1 发包人办理保险</w:t>
      </w:r>
    </w:p>
    <w:p w14:paraId="680E0399">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委托承包人办理保险的事项有：</w:t>
      </w:r>
    </w:p>
    <w:p w14:paraId="6A500977">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通用条款第36.1款的第（1）项；</w:t>
      </w:r>
    </w:p>
    <w:p w14:paraId="3B1E8E49">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通用条款第36.1款的第（2）项；</w:t>
      </w:r>
    </w:p>
    <w:p w14:paraId="70A8D3C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通用条款第36.1款的第（3）项；</w:t>
      </w:r>
    </w:p>
    <w:p w14:paraId="6582E3B0">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通用条款第36.1款的第（4）项。</w:t>
      </w:r>
    </w:p>
    <w:p w14:paraId="0F0797B9">
      <w:pPr>
        <w:pStyle w:val="155"/>
        <w:spacing w:line="360" w:lineRule="auto"/>
        <w:ind w:firstLine="480" w:firstLineChars="200"/>
        <w:outlineLvl w:val="9"/>
        <w:rPr>
          <w:rFonts w:hint="eastAsia" w:ascii="宋体" w:eastAsia="宋体" w:cs="宋体"/>
          <w:bCs w:val="0"/>
          <w:color w:val="auto"/>
          <w:position w:val="0"/>
          <w:szCs w:val="24"/>
          <w:highlight w:val="none"/>
          <w:lang w:eastAsia="zh-CN"/>
        </w:rPr>
      </w:pPr>
      <w:bookmarkStart w:id="1590" w:name="_Toc18687"/>
      <w:r>
        <w:rPr>
          <w:rFonts w:hint="eastAsia" w:ascii="仿宋" w:hAnsi="仿宋" w:eastAsia="仿宋" w:cs="仿宋"/>
          <w:bCs w:val="0"/>
          <w:color w:val="auto"/>
          <w:position w:val="0"/>
          <w:szCs w:val="24"/>
          <w:highlight w:val="none"/>
          <w:lang w:eastAsia="zh-CN"/>
        </w:rPr>
        <w:t>补充内容：上述通用条款第36.1款的第(1)、(2)、(3)、(4)项内容，承包人负责办理上述四项保险业务，发包人提供协助，费用由承包人承担并包含在合同总价款内，保险费不再单独开项。保险期从办理保险之日起至工程竣工验收合格之日止</w:t>
      </w:r>
      <w:r>
        <w:rPr>
          <w:rFonts w:hint="eastAsia" w:ascii="宋体" w:eastAsia="宋体" w:cs="宋体"/>
          <w:bCs w:val="0"/>
          <w:color w:val="auto"/>
          <w:position w:val="0"/>
          <w:szCs w:val="24"/>
          <w:highlight w:val="none"/>
          <w:lang w:eastAsia="zh-CN"/>
        </w:rPr>
        <w:t>。</w:t>
      </w:r>
      <w:bookmarkEnd w:id="1590"/>
    </w:p>
    <w:p w14:paraId="2B2A59C5">
      <w:pPr>
        <w:pStyle w:val="23"/>
        <w:ind w:firstLine="400" w:firstLineChars="200"/>
        <w:rPr>
          <w:rFonts w:hint="eastAsia"/>
          <w:color w:val="auto"/>
          <w:highlight w:val="none"/>
          <w:lang w:eastAsia="zh-CN"/>
        </w:rPr>
      </w:pPr>
    </w:p>
    <w:p w14:paraId="16EC332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关于安全生产责任险的约定：</w:t>
      </w:r>
      <w:r>
        <w:rPr>
          <w:rFonts w:hint="eastAsia" w:ascii="仿宋" w:hAnsi="仿宋" w:eastAsia="仿宋"/>
          <w:color w:val="auto"/>
          <w:highlight w:val="none"/>
          <w:u w:val="single"/>
          <w:lang w:eastAsia="zh-CN"/>
        </w:rPr>
        <w:t>由承包人负责办理，发包人提供协助，费用由承包人承担，</w:t>
      </w:r>
      <w:r>
        <w:rPr>
          <w:rFonts w:hint="eastAsia" w:ascii="仿宋" w:hAnsi="仿宋" w:eastAsia="仿宋" w:cs="仿宋"/>
          <w:color w:val="auto"/>
          <w:highlight w:val="none"/>
          <w:u w:val="single"/>
          <w:lang w:eastAsia="zh-CN"/>
        </w:rPr>
        <w:t>相关费用已含在合同价款中，保险费不再单独开项。</w:t>
      </w:r>
    </w:p>
    <w:p w14:paraId="6A04B6F9">
      <w:pPr>
        <w:spacing w:line="360" w:lineRule="auto"/>
        <w:ind w:left="199" w:leftChars="83"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36.8 投保内容、保险金、保险期限和责任等事项的约定：</w:t>
      </w:r>
      <w:r>
        <w:rPr>
          <w:rFonts w:ascii="仿宋" w:hAnsi="仿宋" w:eastAsia="仿宋"/>
          <w:color w:val="auto"/>
          <w:highlight w:val="none"/>
          <w:u w:val="single"/>
          <w:lang w:eastAsia="zh-CN"/>
        </w:rPr>
        <w:t>承包人应当及时办理自身保险事项和受发包人委托办理的保险事项。除非发包人声明不需要，承包人应当在签署保险合同前，就保险合同的内容须征询发包人的意见。承包人应保证相关保险合同的有效性，否则，由此造成的损失由承包人承担。</w:t>
      </w:r>
    </w:p>
    <w:p w14:paraId="0E2A9FDF">
      <w:pPr>
        <w:pStyle w:val="3"/>
        <w:tabs>
          <w:tab w:val="left" w:pos="420"/>
        </w:tabs>
        <w:spacing w:line="360" w:lineRule="auto"/>
        <w:ind w:firstLine="105"/>
        <w:rPr>
          <w:rFonts w:hint="eastAsia" w:ascii="仿宋" w:hAnsi="仿宋" w:eastAsia="仿宋" w:cs="仿宋"/>
          <w:b w:val="0"/>
          <w:bCs w:val="0"/>
          <w:i w:val="0"/>
          <w:iCs w:val="0"/>
          <w:color w:val="auto"/>
          <w:sz w:val="24"/>
          <w:szCs w:val="24"/>
          <w:highlight w:val="none"/>
          <w:lang w:eastAsia="zh-CN"/>
        </w:rPr>
      </w:pPr>
      <w:bookmarkStart w:id="1591" w:name="_Toc25795"/>
      <w:bookmarkStart w:id="1592" w:name="_Toc26800"/>
      <w:bookmarkStart w:id="1593" w:name="_Toc16302"/>
      <w:bookmarkStart w:id="1594" w:name="_Toc30457"/>
      <w:bookmarkStart w:id="1595" w:name="_Toc47694409"/>
      <w:bookmarkStart w:id="1596" w:name="_Toc194"/>
      <w:bookmarkStart w:id="1597" w:name="_Toc30328"/>
      <w:bookmarkStart w:id="1598" w:name="_Toc4089"/>
      <w:r>
        <w:rPr>
          <w:rFonts w:hint="eastAsia" w:ascii="仿宋" w:hAnsi="仿宋" w:eastAsia="仿宋" w:cs="仿宋"/>
          <w:b w:val="0"/>
          <w:bCs w:val="0"/>
          <w:i w:val="0"/>
          <w:iCs w:val="0"/>
          <w:color w:val="auto"/>
          <w:sz w:val="24"/>
          <w:szCs w:val="24"/>
          <w:highlight w:val="none"/>
          <w:lang w:eastAsia="zh-CN"/>
        </w:rPr>
        <w:t>37.  工程勘察</w:t>
      </w:r>
      <w:bookmarkEnd w:id="1591"/>
      <w:bookmarkEnd w:id="1592"/>
      <w:bookmarkEnd w:id="1593"/>
      <w:bookmarkEnd w:id="1594"/>
      <w:bookmarkEnd w:id="1595"/>
      <w:bookmarkEnd w:id="1596"/>
      <w:bookmarkEnd w:id="1597"/>
      <w:bookmarkEnd w:id="1598"/>
    </w:p>
    <w:p w14:paraId="08F8B00F">
      <w:pPr>
        <w:spacing w:line="360" w:lineRule="auto"/>
        <w:ind w:left="240" w:leftChars="1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37.1 对发包人要求和项目基础资料的核实</w:t>
      </w:r>
    </w:p>
    <w:p w14:paraId="7B5E35EA">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通用条款第37.1款约定。</w:t>
      </w:r>
    </w:p>
    <w:p w14:paraId="53AFBAF1">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  </w:t>
      </w:r>
    </w:p>
    <w:p w14:paraId="09417B0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37.2勘察实施方案与应急预案</w:t>
      </w:r>
    </w:p>
    <w:p w14:paraId="5AF3A4DA">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①提供时间：中标后5个工作日内</w:t>
      </w:r>
    </w:p>
    <w:p w14:paraId="0C2AAE88">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②提供数量：</w:t>
      </w:r>
      <w:r>
        <w:rPr>
          <w:rFonts w:hint="eastAsia" w:ascii="仿宋" w:hAnsi="仿宋" w:eastAsia="仿宋" w:cs="仿宋"/>
          <w:color w:val="auto"/>
          <w:highlight w:val="none"/>
          <w:u w:val="single"/>
          <w:lang w:eastAsia="zh-CN"/>
        </w:rPr>
        <w:t xml:space="preserve"> 电子版+纸质文件5份（需盖章） </w:t>
      </w:r>
    </w:p>
    <w:p w14:paraId="486A274F">
      <w:pPr>
        <w:spacing w:line="360" w:lineRule="auto"/>
        <w:ind w:firstLine="48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37.4 承包人提供勘察成果</w:t>
      </w:r>
    </w:p>
    <w:p w14:paraId="31882924">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按照工程进展，探查后及时提供电子版用于设计、施工参考，全部完成后7个工作日提交正式报告 </w:t>
      </w:r>
    </w:p>
    <w:p w14:paraId="2B09EF4D">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电子版（PDF）+纸质文件（需盖章） </w:t>
      </w:r>
    </w:p>
    <w:p w14:paraId="758EA1B2">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正式纸质文件10份、电子文档3份，或按发包人要求提供（需签字盖章）</w:t>
      </w:r>
    </w:p>
    <w:p w14:paraId="42F33DDD">
      <w:pPr>
        <w:pStyle w:val="3"/>
        <w:tabs>
          <w:tab w:val="left" w:pos="420"/>
        </w:tabs>
        <w:spacing w:line="360" w:lineRule="auto"/>
        <w:rPr>
          <w:rFonts w:hint="eastAsia" w:ascii="仿宋" w:hAnsi="仿宋" w:eastAsia="仿宋" w:cs="仿宋"/>
          <w:b w:val="0"/>
          <w:bCs w:val="0"/>
          <w:i w:val="0"/>
          <w:iCs w:val="0"/>
          <w:color w:val="auto"/>
          <w:sz w:val="24"/>
          <w:szCs w:val="24"/>
          <w:highlight w:val="none"/>
          <w:lang w:eastAsia="zh-CN"/>
        </w:rPr>
      </w:pPr>
      <w:bookmarkStart w:id="1599" w:name="_Toc17967"/>
      <w:bookmarkStart w:id="1600" w:name="_Toc6774"/>
      <w:bookmarkStart w:id="1601" w:name="_Toc47694410"/>
      <w:bookmarkStart w:id="1602" w:name="_Toc29726"/>
      <w:bookmarkStart w:id="1603" w:name="_Toc29928"/>
      <w:bookmarkStart w:id="1604" w:name="_Toc7902"/>
      <w:bookmarkStart w:id="1605" w:name="_Toc23882"/>
      <w:bookmarkStart w:id="1606" w:name="_Toc18009"/>
      <w:r>
        <w:rPr>
          <w:rFonts w:hint="eastAsia" w:ascii="仿宋" w:hAnsi="仿宋" w:eastAsia="仿宋" w:cs="仿宋"/>
          <w:b w:val="0"/>
          <w:bCs w:val="0"/>
          <w:i w:val="0"/>
          <w:iCs w:val="0"/>
          <w:color w:val="auto"/>
          <w:sz w:val="24"/>
          <w:szCs w:val="24"/>
          <w:highlight w:val="none"/>
          <w:lang w:eastAsia="zh-CN"/>
        </w:rPr>
        <w:t>38.  工程设计</w:t>
      </w:r>
      <w:bookmarkEnd w:id="1599"/>
      <w:bookmarkEnd w:id="1600"/>
      <w:bookmarkEnd w:id="1601"/>
      <w:bookmarkEnd w:id="1602"/>
      <w:bookmarkEnd w:id="1603"/>
      <w:bookmarkEnd w:id="1604"/>
      <w:bookmarkEnd w:id="1605"/>
      <w:bookmarkEnd w:id="1606"/>
    </w:p>
    <w:p w14:paraId="69BF5530">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38.1 对发包人要求和项目基础资料的核实</w:t>
      </w:r>
    </w:p>
    <w:p w14:paraId="462F439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通用条款第38.1款约定。</w:t>
      </w:r>
    </w:p>
    <w:p w14:paraId="141B12AA">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p>
    <w:p w14:paraId="2CF3711F">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38.2初步设计和（或）施工图设计实施方案</w:t>
      </w:r>
    </w:p>
    <w:p w14:paraId="7B0B887A">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详见勘察设计任务书  </w:t>
      </w:r>
    </w:p>
    <w:p w14:paraId="25D03A9F">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详见勘察设计任务书   </w:t>
      </w:r>
    </w:p>
    <w:p w14:paraId="2AAF9D7C">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详见勘察设计任务书     </w:t>
      </w:r>
    </w:p>
    <w:p w14:paraId="056B486F">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38.3 设计实施</w:t>
      </w:r>
    </w:p>
    <w:p w14:paraId="06CEFC4E">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38.3.1 适用于发包人按单</w:t>
      </w:r>
      <w:r>
        <w:rPr>
          <w:rFonts w:hint="eastAsia" w:ascii="仿宋" w:hAnsi="仿宋" w:eastAsia="仿宋"/>
          <w:color w:val="auto"/>
          <w:highlight w:val="none"/>
          <w:lang w:eastAsia="zh-CN"/>
        </w:rPr>
        <w:t>项</w:t>
      </w:r>
      <w:r>
        <w:rPr>
          <w:rFonts w:ascii="仿宋" w:hAnsi="仿宋" w:eastAsia="仿宋"/>
          <w:color w:val="auto"/>
          <w:highlight w:val="none"/>
          <w:lang w:eastAsia="zh-CN"/>
        </w:rPr>
        <w:t>工程接收和（或）整个工程接收</w:t>
      </w:r>
      <w:r>
        <w:rPr>
          <w:rFonts w:hint="eastAsia" w:ascii="仿宋" w:hAnsi="仿宋" w:eastAsia="仿宋"/>
          <w:color w:val="auto"/>
          <w:highlight w:val="none"/>
          <w:lang w:eastAsia="zh-CN"/>
        </w:rPr>
        <w:t>的标准和规范：</w:t>
      </w:r>
      <w:r>
        <w:rPr>
          <w:rFonts w:ascii="仿宋" w:hAnsi="仿宋" w:eastAsia="仿宋"/>
          <w:color w:val="auto"/>
          <w:highlight w:val="none"/>
          <w:lang w:eastAsia="zh-CN"/>
        </w:rPr>
        <w:t>承包人应根据发包人审查批准或备案的设计实施方案、发包人要求指示并遵守有关法律、技术标准进行</w:t>
      </w:r>
      <w:r>
        <w:rPr>
          <w:rFonts w:hint="eastAsia" w:ascii="仿宋" w:hAnsi="仿宋" w:eastAsia="仿宋"/>
          <w:color w:val="auto"/>
          <w:highlight w:val="none"/>
          <w:lang w:eastAsia="zh-CN"/>
        </w:rPr>
        <w:t>初步设计、</w:t>
      </w:r>
      <w:r>
        <w:rPr>
          <w:rFonts w:ascii="仿宋" w:hAnsi="仿宋" w:eastAsia="仿宋"/>
          <w:color w:val="auto"/>
          <w:highlight w:val="none"/>
          <w:lang w:eastAsia="zh-CN"/>
        </w:rPr>
        <w:t>施工图设计</w:t>
      </w:r>
      <w:r>
        <w:rPr>
          <w:rFonts w:hint="eastAsia" w:ascii="仿宋" w:hAnsi="仿宋" w:eastAsia="仿宋"/>
          <w:color w:val="auto"/>
          <w:highlight w:val="none"/>
          <w:lang w:eastAsia="zh-CN"/>
        </w:rPr>
        <w:t>等</w:t>
      </w:r>
      <w:r>
        <w:rPr>
          <w:rFonts w:ascii="仿宋" w:hAnsi="仿宋" w:eastAsia="仿宋"/>
          <w:color w:val="auto"/>
          <w:highlight w:val="none"/>
          <w:lang w:eastAsia="zh-CN"/>
        </w:rPr>
        <w:t>。</w:t>
      </w:r>
    </w:p>
    <w:p w14:paraId="5FA4376F">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38.3.4 承包人的设计应满足生产或运营设备的工艺流程、配置要求，需要专利人、供应商或发包人提供资料的约定</w:t>
      </w:r>
      <w:r>
        <w:rPr>
          <w:rFonts w:hint="eastAsia" w:ascii="仿宋" w:hAnsi="仿宋" w:eastAsia="仿宋"/>
          <w:color w:val="auto"/>
          <w:highlight w:val="none"/>
          <w:lang w:eastAsia="zh-CN"/>
        </w:rPr>
        <w:t>：</w:t>
      </w:r>
      <w:r>
        <w:rPr>
          <w:rFonts w:ascii="仿宋" w:hAnsi="仿宋" w:eastAsia="仿宋"/>
          <w:color w:val="auto"/>
          <w:highlight w:val="none"/>
          <w:u w:val="single"/>
          <w:lang w:eastAsia="zh-CN"/>
        </w:rPr>
        <w:t xml:space="preserve">        /                                         </w:t>
      </w:r>
    </w:p>
    <w:p w14:paraId="41A90542">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38.3.6 承包人的合理化建议被采纳，节约投资成本显著或预期产生显著的经济效益，发包人按以下约定给予承包人奖励：</w:t>
      </w:r>
    </w:p>
    <w:p w14:paraId="38DB49CE">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□优化设计降低造价奖励：</w:t>
      </w:r>
      <w:r>
        <w:rPr>
          <w:rFonts w:ascii="仿宋" w:hAnsi="仿宋" w:eastAsia="仿宋"/>
          <w:color w:val="auto"/>
          <w:highlight w:val="none"/>
          <w:u w:val="single"/>
          <w:lang w:eastAsia="zh-CN"/>
        </w:rPr>
        <w:t xml:space="preserve">                    /                            </w:t>
      </w:r>
    </w:p>
    <w:p w14:paraId="63C95152">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其他</w:t>
      </w:r>
      <w:r>
        <w:rPr>
          <w:rFonts w:ascii="仿宋" w:hAnsi="仿宋" w:eastAsia="仿宋"/>
          <w:color w:val="auto"/>
          <w:highlight w:val="none"/>
          <w:lang w:eastAsia="zh-CN"/>
        </w:rPr>
        <w:t>合理化建议奖励：</w:t>
      </w:r>
      <w:r>
        <w:rPr>
          <w:rFonts w:ascii="仿宋" w:hAnsi="仿宋" w:eastAsia="仿宋"/>
          <w:color w:val="auto"/>
          <w:highlight w:val="none"/>
          <w:u w:val="single"/>
          <w:lang w:eastAsia="zh-CN"/>
        </w:rPr>
        <w:t xml:space="preserve">                     /                             </w:t>
      </w:r>
    </w:p>
    <w:p w14:paraId="647D518D">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sym w:font="Wingdings 2" w:char="0052"/>
      </w:r>
      <w:r>
        <w:rPr>
          <w:rFonts w:ascii="仿宋" w:hAnsi="仿宋" w:eastAsia="仿宋"/>
          <w:color w:val="auto"/>
          <w:highlight w:val="none"/>
          <w:lang w:eastAsia="zh-CN"/>
        </w:rPr>
        <w:t>双方协商一致，增加以下38.3.7-38.3.</w:t>
      </w:r>
      <w:r>
        <w:rPr>
          <w:rFonts w:hint="eastAsia" w:ascii="仿宋" w:hAnsi="仿宋" w:eastAsia="仿宋"/>
          <w:color w:val="auto"/>
          <w:highlight w:val="none"/>
          <w:lang w:val="en-US" w:eastAsia="zh-CN"/>
        </w:rPr>
        <w:t>30</w:t>
      </w:r>
      <w:r>
        <w:rPr>
          <w:rFonts w:ascii="仿宋" w:hAnsi="仿宋" w:eastAsia="仿宋"/>
          <w:color w:val="auto"/>
          <w:highlight w:val="none"/>
          <w:lang w:eastAsia="zh-CN"/>
        </w:rPr>
        <w:t>款：</w:t>
      </w:r>
    </w:p>
    <w:p w14:paraId="0A487658">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38.3.7</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承包人应按照国家有关部门、行业工程建设标准规范中设计深度的规定，遵循限额设计原则开展工程设计。承包人的设计应做到功能合理、技术先进、质量可靠、施工安全、绿色环保、经济合理。</w:t>
      </w:r>
    </w:p>
    <w:p w14:paraId="5F136290">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38.3.8</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在合同实施过程中国家颁布了新的标准或规范时，承包人应向发包人提交有关新标准、新规范的建议书。对其中的强制性标准、规范，承包人应严格遵守，发包人作为变更处理；对于非强制性的标准、规范，在结构超限审查、初步设计审查、施工图审</w:t>
      </w:r>
      <w:r>
        <w:rPr>
          <w:rFonts w:hint="eastAsia" w:ascii="仿宋" w:hAnsi="仿宋" w:eastAsia="仿宋"/>
          <w:color w:val="auto"/>
          <w:highlight w:val="none"/>
          <w:lang w:eastAsia="zh-CN"/>
        </w:rPr>
        <w:t>查、工程验收等无风险的情况下，发包人可决定采用或不采用，决定采用时，作为变更处理。</w:t>
      </w:r>
    </w:p>
    <w:p w14:paraId="019FBF66">
      <w:pPr>
        <w:spacing w:line="360" w:lineRule="auto"/>
        <w:ind w:firstLine="424" w:firstLineChars="177"/>
        <w:rPr>
          <w:rFonts w:ascii="仿宋" w:hAnsi="仿宋" w:eastAsia="仿宋"/>
          <w:color w:val="auto"/>
          <w:highlight w:val="none"/>
          <w:u w:val="single"/>
          <w:lang w:eastAsia="zh-CN"/>
        </w:rPr>
      </w:pPr>
      <w:r>
        <w:rPr>
          <w:rFonts w:ascii="仿宋" w:hAnsi="仿宋" w:eastAsia="仿宋"/>
          <w:color w:val="auto"/>
          <w:highlight w:val="none"/>
          <w:lang w:eastAsia="zh-CN"/>
        </w:rPr>
        <w:t>38.3.9</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承包人负责其设计工作内容满足发包人提供的招标技术要求、现行国家相关规范、规划报批相关要求。承包人应对发包人提供的文件、资料进行认真研究，对本项目的特点和不确定因素进行认真考虑，并提出合理建议和评价。</w:t>
      </w:r>
    </w:p>
    <w:p w14:paraId="06B872F6">
      <w:pPr>
        <w:spacing w:line="360" w:lineRule="auto"/>
        <w:ind w:firstLine="424" w:firstLineChars="177"/>
        <w:rPr>
          <w:rFonts w:ascii="仿宋" w:hAnsi="仿宋" w:eastAsia="仿宋"/>
          <w:color w:val="auto"/>
          <w:highlight w:val="none"/>
          <w:lang w:eastAsia="zh-CN"/>
        </w:rPr>
      </w:pPr>
      <w:r>
        <w:rPr>
          <w:rFonts w:ascii="仿宋" w:hAnsi="仿宋" w:eastAsia="仿宋"/>
          <w:color w:val="auto"/>
          <w:highlight w:val="none"/>
          <w:lang w:eastAsia="zh-CN"/>
        </w:rPr>
        <w:t>38.3.10</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对涉及建筑安全或对投资影响重大的有关数据，在发包人提出要求时，承包人必须提供设计输入条件、基础数据、计算原理和方法以及计算成果，方便发包人在必要时用其他计算程序进行验算。承包人有解释的义务，不得以专利和知识产权为借口拒绝配合。</w:t>
      </w:r>
    </w:p>
    <w:p w14:paraId="230D9F68">
      <w:pPr>
        <w:spacing w:line="360" w:lineRule="auto"/>
        <w:ind w:firstLine="424" w:firstLineChars="177"/>
        <w:rPr>
          <w:rFonts w:ascii="仿宋" w:hAnsi="仿宋" w:eastAsia="仿宋"/>
          <w:color w:val="auto"/>
          <w:highlight w:val="none"/>
          <w:lang w:eastAsia="zh-CN"/>
        </w:rPr>
      </w:pPr>
      <w:r>
        <w:rPr>
          <w:rFonts w:ascii="仿宋" w:hAnsi="仿宋" w:eastAsia="仿宋"/>
          <w:color w:val="auto"/>
          <w:highlight w:val="none"/>
          <w:lang w:eastAsia="zh-CN"/>
        </w:rPr>
        <w:t>38.3.11</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未经发包人书面同意，承包人不得对已批准的初步设计重大修改、增减或删除。</w:t>
      </w:r>
    </w:p>
    <w:p w14:paraId="611FBA25">
      <w:pPr>
        <w:spacing w:line="360" w:lineRule="auto"/>
        <w:ind w:firstLine="424" w:firstLineChars="177"/>
        <w:rPr>
          <w:rFonts w:ascii="仿宋" w:hAnsi="仿宋" w:eastAsia="仿宋"/>
          <w:color w:val="auto"/>
          <w:highlight w:val="none"/>
          <w:lang w:eastAsia="zh-CN"/>
        </w:rPr>
      </w:pPr>
      <w:r>
        <w:rPr>
          <w:rFonts w:ascii="仿宋" w:hAnsi="仿宋" w:eastAsia="仿宋"/>
          <w:color w:val="auto"/>
          <w:highlight w:val="none"/>
          <w:lang w:eastAsia="zh-CN"/>
        </w:rPr>
        <w:t>38.3.12</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在设计及施工过程中，承包人应充分尊重和理解发包人对设计提出的书面意见与要求，如无充分的否定理由应尽快予以处理和实施。对合同没有约定的部分和没有描述的部分，双方应另行协商。</w:t>
      </w:r>
    </w:p>
    <w:p w14:paraId="6429A273">
      <w:pPr>
        <w:spacing w:line="360" w:lineRule="auto"/>
        <w:ind w:firstLine="424" w:firstLineChars="177"/>
        <w:rPr>
          <w:rFonts w:ascii="仿宋" w:hAnsi="仿宋" w:eastAsia="仿宋"/>
          <w:color w:val="auto"/>
          <w:highlight w:val="none"/>
          <w:lang w:eastAsia="zh-CN"/>
        </w:rPr>
      </w:pPr>
      <w:r>
        <w:rPr>
          <w:rFonts w:ascii="仿宋" w:hAnsi="仿宋" w:eastAsia="仿宋"/>
          <w:color w:val="auto"/>
          <w:highlight w:val="none"/>
          <w:lang w:eastAsia="zh-CN"/>
        </w:rPr>
        <w:t>38.3.13</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承包人应积极主动协助发包人进行与项目有关的内、外协调工作。积极协助发包人与规划、市政、交通、消防、建委、人防、环保、卫生等一切相关部门和单位的协调，并负责向有关部门办理本合同约定的需承包方办理的设计文件报审工作，保证设计文件通过各主管部门的审查。承包人应根据发包人或政府主管部门的意见，及时修改、完善设计，负责完成由于设计失误未获政府主管部门批准而出现的反复修改的工作。</w:t>
      </w:r>
    </w:p>
    <w:p w14:paraId="0D6CE7BC">
      <w:pPr>
        <w:spacing w:line="360" w:lineRule="auto"/>
        <w:ind w:firstLine="424" w:firstLineChars="177"/>
        <w:rPr>
          <w:rFonts w:ascii="仿宋" w:hAnsi="仿宋" w:eastAsia="仿宋"/>
          <w:color w:val="auto"/>
          <w:highlight w:val="none"/>
          <w:lang w:eastAsia="zh-CN"/>
        </w:rPr>
      </w:pPr>
      <w:r>
        <w:rPr>
          <w:rFonts w:hint="eastAsia" w:ascii="仿宋" w:hAnsi="仿宋" w:eastAsia="仿宋"/>
          <w:color w:val="auto"/>
          <w:highlight w:val="none"/>
          <w:lang w:eastAsia="zh-CN"/>
        </w:rPr>
        <w:t>修改和完善后的设计成果需征得发包人书面认可且通过行政主管部门审查审批。施工图出图后，因承包人原因造成的重新报规，由承包人应完成方案报规所需资料准备（包括方案文本、总图及光盘等），并负责办理相关手续且承担相关费用（含公示费用、三维模型制作费（若有时）。</w:t>
      </w:r>
    </w:p>
    <w:p w14:paraId="3ED974E4">
      <w:pPr>
        <w:spacing w:line="360" w:lineRule="auto"/>
        <w:ind w:firstLine="424" w:firstLineChars="177"/>
        <w:rPr>
          <w:rFonts w:ascii="仿宋" w:hAnsi="仿宋" w:eastAsia="仿宋"/>
          <w:color w:val="auto"/>
          <w:highlight w:val="none"/>
          <w:lang w:eastAsia="zh-CN"/>
        </w:rPr>
      </w:pPr>
      <w:r>
        <w:rPr>
          <w:rFonts w:hint="eastAsia" w:ascii="仿宋" w:hAnsi="仿宋" w:eastAsia="仿宋"/>
          <w:color w:val="auto"/>
          <w:highlight w:val="none"/>
          <w:lang w:eastAsia="zh-CN"/>
        </w:rPr>
        <w:t>承包人应负责协助完成各项施工图机构审查及行政审查工作，并承担施工图机构审查中人防、消防、防疫等主管部门审查过程中的相关费用（若有）和行政审查过程中相关费用；应配合发包人完成水电气主管部门对专项设计的审查，根据主管部门的意见修改原设计，承担审查过程中的相关费用。</w:t>
      </w:r>
    </w:p>
    <w:p w14:paraId="1049C559">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38.3.14</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发包人可要求承包人对相关设计进行优化或承包人可自行进行优化设计，优化后的设计需通过发包人认可，发包人不再为此另行支付任何费用。</w:t>
      </w:r>
    </w:p>
    <w:p w14:paraId="03EDA683">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38.3.15</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为保证项目品质，承包人应严格按照招标技术要求、</w:t>
      </w:r>
      <w:r>
        <w:rPr>
          <w:rFonts w:hint="eastAsia" w:ascii="仿宋" w:hAnsi="仿宋" w:eastAsia="仿宋"/>
          <w:color w:val="auto"/>
          <w:highlight w:val="none"/>
          <w:lang w:eastAsia="zh-CN"/>
        </w:rPr>
        <w:t>勘察设计任务书</w:t>
      </w:r>
      <w:r>
        <w:rPr>
          <w:rFonts w:ascii="仿宋" w:hAnsi="仿宋" w:eastAsia="仿宋"/>
          <w:color w:val="auto"/>
          <w:highlight w:val="none"/>
          <w:lang w:eastAsia="zh-CN"/>
        </w:rPr>
        <w:t>等发包人的要求进行设计，不得擅自降低标准。承包人在设计阶段应随时与发包人进行沟通，确保项目的品质，充分体现发包人的意图。</w:t>
      </w:r>
    </w:p>
    <w:p w14:paraId="029CF56A">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38.3.16</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承包人的所有设计工作均要按发包人批准的限额设计指标要求进行设计。发包人委托的造价咨询人审核的施工图预算超过该限额的，或承包人设计成果不能满足发包人要求的，承包人应无条件修改设计并控制在限额设计范围内，直至满足发包人的限额设计要求，承包人须承担由此造成的一切责任。</w:t>
      </w:r>
    </w:p>
    <w:p w14:paraId="4962DF53">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承包人应承诺有关设计的任何修改、变动或由于修改设计所引起的工艺、技术、材料、设备的变更均须经过发包人的同意。</w:t>
      </w:r>
    </w:p>
    <w:p w14:paraId="64562654">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（2）</w:t>
      </w:r>
      <w:r>
        <w:rPr>
          <w:rFonts w:hint="eastAsia" w:ascii="仿宋" w:hAnsi="仿宋" w:eastAsia="仿宋"/>
          <w:color w:val="auto"/>
          <w:highlight w:val="none"/>
          <w:lang w:eastAsia="zh-CN"/>
        </w:rPr>
        <w:t>承包人承诺在交付项目的部分或全部设计文件后，如有更好的新工艺、新技术、新材料、新设备等适用于本项目，将及时向发包人推荐并提供科学的评估。</w:t>
      </w:r>
    </w:p>
    <w:p w14:paraId="2B477E18">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本工程项目投资必须按照发包人制定的投资限额要求严格控制，实行限额设计。在保证设计质量的前提下，设计人应按投资限额进行设计，严格控制施工图设计的变更，确保工程预算不突破限额目标。（注：具体限额设计指标届时将以经发包人专题审批下达的限额设计指标为准，承包人应当服从并按要求执行）</w:t>
      </w:r>
    </w:p>
    <w:p w14:paraId="47E31179">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（4）对于超设计限额的，应在保证设计质量的前提下自行修改，如确实需要增加的，必须报发包人审查，取得发包人书面同意后，方可修正。</w:t>
      </w:r>
    </w:p>
    <w:p w14:paraId="2F3436C0">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5）承包人进行经济指标分析时，应提出所采用经济分析的单项指标、综合指标及相应的依据、理由，对主要设备、材料的选用，应经过充分的询价、分析，积累技术经济资料；推荐选用的设备、材料，应注明规格、型号、性能、技术指标等，并提出质量、功能方面的要求，确保投资概算的合理与稳定。对特殊情况需追加投资的，应遵循合理、经济、科学、有效的原则，严格控制。无确切、合理理由，并未经发包人审批的，不得随意突破限额。</w:t>
      </w:r>
    </w:p>
    <w:p w14:paraId="41312C67">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38.3.17</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承包人提供的施工图设计说明应标明主要材料和设备的技术规格参数。设计材料选购及施工组织配合：</w:t>
      </w:r>
    </w:p>
    <w:p w14:paraId="56AA5074">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设计所选用的建筑材料（包括采用的材料、构配件），在进行性能价格的分析后，原则上优先采用国内的产品；国内没有的建筑材料或国内材料性能（功能）不能达到设计要求或价格高时，应与发包人协商解决。设计中采用的材料均需按国家、广东省、广州市有关法律和行政法规、规章的要求，提供明确的技术资料（包括性能指标、技术参数等方面的资料）。</w:t>
      </w:r>
    </w:p>
    <w:p w14:paraId="72210F96">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（2）</w:t>
      </w:r>
      <w:r>
        <w:rPr>
          <w:rFonts w:hint="eastAsia" w:ascii="仿宋" w:hAnsi="仿宋" w:eastAsia="仿宋"/>
          <w:color w:val="auto"/>
          <w:highlight w:val="none"/>
          <w:lang w:eastAsia="zh-CN"/>
        </w:rPr>
        <w:t>承包人作为设计参考所采用的国内外建筑材料、设备等，应保证可供货的国内外厂商在三家以上，并向发包人提交可供货名称、产品质量标准、价格资料等，并提出评估意见（必要时提供供货厂商以往业绩）。评估意见不能含倾向性和排他性，承包人不得推荐或选用具有唯一知识产权特征的独家产品。如确有必要，承包人应提前取得发包人的书面认可。</w:t>
      </w:r>
    </w:p>
    <w:p w14:paraId="63C0B350">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（3）协助发包人进行特定设备或材料的采购工作，对发包人所采购的设备、材料应进行技术复核，并对设备、材料的深化图纸予以确认。</w:t>
      </w:r>
    </w:p>
    <w:p w14:paraId="1E616906">
      <w:pPr>
        <w:spacing w:line="360" w:lineRule="auto"/>
        <w:ind w:firstLine="424" w:firstLineChars="177"/>
        <w:rPr>
          <w:rFonts w:ascii="仿宋" w:hAnsi="仿宋" w:eastAsia="仿宋"/>
          <w:color w:val="auto"/>
          <w:highlight w:val="none"/>
          <w:lang w:eastAsia="zh-CN"/>
        </w:rPr>
      </w:pPr>
      <w:r>
        <w:rPr>
          <w:rFonts w:ascii="仿宋" w:hAnsi="仿宋" w:eastAsia="仿宋"/>
          <w:color w:val="auto"/>
          <w:highlight w:val="none"/>
          <w:lang w:eastAsia="zh-CN"/>
        </w:rPr>
        <w:t>（4）承包人对上述条款提供的相应咨询及评估意见供发包人参考，决策权在发包人，但承包人应承担相应的责任。</w:t>
      </w:r>
    </w:p>
    <w:p w14:paraId="21649CF4">
      <w:pPr>
        <w:spacing w:line="360" w:lineRule="auto"/>
        <w:ind w:firstLine="424" w:firstLineChars="177"/>
        <w:rPr>
          <w:rFonts w:ascii="仿宋" w:hAnsi="仿宋" w:eastAsia="仿宋"/>
          <w:color w:val="auto"/>
          <w:highlight w:val="none"/>
          <w:lang w:eastAsia="zh-CN"/>
        </w:rPr>
      </w:pPr>
      <w:r>
        <w:rPr>
          <w:rFonts w:ascii="仿宋" w:hAnsi="仿宋" w:eastAsia="仿宋"/>
          <w:color w:val="auto"/>
          <w:highlight w:val="none"/>
          <w:lang w:eastAsia="zh-CN"/>
        </w:rPr>
        <w:t>（5）承包人需要对所有发出的图纸、资料进行审查，以控制设计产品的品质。</w:t>
      </w:r>
    </w:p>
    <w:p w14:paraId="27194572">
      <w:pPr>
        <w:spacing w:line="360" w:lineRule="auto"/>
        <w:ind w:firstLine="424" w:firstLineChars="177"/>
        <w:rPr>
          <w:rFonts w:ascii="仿宋" w:hAnsi="仿宋" w:eastAsia="仿宋"/>
          <w:color w:val="auto"/>
          <w:highlight w:val="none"/>
          <w:lang w:eastAsia="zh-CN"/>
        </w:rPr>
      </w:pPr>
      <w:r>
        <w:rPr>
          <w:rFonts w:ascii="仿宋" w:hAnsi="仿宋" w:eastAsia="仿宋"/>
          <w:color w:val="auto"/>
          <w:highlight w:val="none"/>
          <w:lang w:eastAsia="zh-CN"/>
        </w:rPr>
        <w:t>（6）在外立面施工过程中，承包人承诺应按发包人要求委派承担本项目设计的专业设计负责人作为设计代表参加重要工程例会，参与材料选样工作，以控制立面效果。</w:t>
      </w:r>
    </w:p>
    <w:p w14:paraId="7B1ABAB3">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38.3.18</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因承包人原因，造成施工图存在遗漏、错误和不足的，承包人应补充、修正和完善，由此产生的费用由承包人承担。因此对后续设计、采购、施工等造成的工期延误及费用增加由承包人承担。</w:t>
      </w:r>
    </w:p>
    <w:p w14:paraId="6E2269A1">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38.3.19</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承包人应按发包人要求提供所有施工图excel版图纸目录。</w:t>
      </w:r>
    </w:p>
    <w:p w14:paraId="1F776564">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38.3.20</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施工期间承包人根据发包人要求进行设计变更时，承包人在接到通知后24小时内，可以先通过邮件方式</w:t>
      </w:r>
      <w:r>
        <w:rPr>
          <w:rFonts w:hint="eastAsia" w:ascii="仿宋" w:hAnsi="仿宋" w:eastAsia="仿宋"/>
          <w:color w:val="auto"/>
          <w:highlight w:val="none"/>
          <w:lang w:eastAsia="zh-CN"/>
        </w:rPr>
        <w:t>或书面形式</w:t>
      </w:r>
      <w:r>
        <w:rPr>
          <w:rFonts w:ascii="仿宋" w:hAnsi="仿宋" w:eastAsia="仿宋"/>
          <w:color w:val="auto"/>
          <w:highlight w:val="none"/>
          <w:lang w:eastAsia="zh-CN"/>
        </w:rPr>
        <w:t>对设计变更和设计修改进行确认或者回复，之后签字盖章（节假日先签字，后补盖章），承包人出图时间需全力保证现场施工需要，正式变更出图时间最迟为收到发包人通知后14个日历天，承包人出图时间需全力保证现场施工需要。所有设计变更都必须经发包人同意并书面确认后方可变更。承包人应负责根据发包人资料管理的要求，提供建设过程中各种变更的电子文档的汇总，</w:t>
      </w:r>
      <w:r>
        <w:rPr>
          <w:rFonts w:hint="eastAsia" w:ascii="仿宋" w:hAnsi="仿宋" w:eastAsia="仿宋"/>
          <w:color w:val="auto"/>
          <w:highlight w:val="none"/>
          <w:lang w:eastAsia="zh-CN"/>
        </w:rPr>
        <w:t>并晒印蓝图。</w:t>
      </w:r>
    </w:p>
    <w:p w14:paraId="7E0FB6CE">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38.3.21</w:t>
      </w:r>
      <w:r>
        <w:rPr>
          <w:rFonts w:hint="eastAsia" w:ascii="仿宋" w:hAnsi="仿宋" w:eastAsia="仿宋"/>
          <w:color w:val="auto"/>
          <w:highlight w:val="none"/>
          <w:lang w:eastAsia="zh-CN"/>
        </w:rPr>
        <w:t xml:space="preserve"> 施工深化图纸的确认并加盖审核章</w:t>
      </w:r>
      <w:r>
        <w:rPr>
          <w:rFonts w:ascii="仿宋" w:hAnsi="仿宋" w:eastAsia="仿宋"/>
          <w:color w:val="auto"/>
          <w:highlight w:val="none"/>
          <w:lang w:eastAsia="zh-CN"/>
        </w:rPr>
        <w:t>作为施工图设计文件的一个部分，该部分不再另行计费。</w:t>
      </w:r>
      <w:r>
        <w:rPr>
          <w:rFonts w:hint="eastAsia" w:ascii="仿宋" w:hAnsi="仿宋" w:eastAsia="仿宋"/>
          <w:color w:val="auto"/>
          <w:highlight w:val="none"/>
          <w:lang w:eastAsia="zh-CN"/>
        </w:rPr>
        <w:t>配合</w:t>
      </w:r>
      <w:r>
        <w:rPr>
          <w:rFonts w:ascii="仿宋" w:hAnsi="仿宋" w:eastAsia="仿宋"/>
          <w:color w:val="auto"/>
          <w:highlight w:val="none"/>
          <w:lang w:eastAsia="zh-CN"/>
        </w:rPr>
        <w:t>深化设计工作内容全部完成，满足施工需求并经发包人书面认可。</w:t>
      </w:r>
    </w:p>
    <w:p w14:paraId="540C4D13">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38.3.22</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承包人未按照发包人要求在规定时间内提供经发包人认可，以及按规定需通过审查审批的所有专项设计最终成果，由此造成的一切责任和损失由承包人承担。</w:t>
      </w:r>
    </w:p>
    <w:p w14:paraId="2FDC681F">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38.3.23</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承包人应负责工程设计的组织、协调、进度控制等所有工作，并负责对该工程的所有设计工作进行审查，对所有相关设计文件的正确性承担责任。并按合同中对承包</w:t>
      </w:r>
      <w:r>
        <w:rPr>
          <w:rFonts w:hint="eastAsia" w:ascii="仿宋" w:hAnsi="仿宋" w:eastAsia="仿宋"/>
          <w:color w:val="auto"/>
          <w:highlight w:val="none"/>
          <w:lang w:eastAsia="zh-CN"/>
        </w:rPr>
        <w:t>人文件的有关要求，提供全部的设计文件最终版。承包人应负责协调并办理取得相关部门意见，包含但不限于超限高层建筑抗震设防专项审查意见。</w:t>
      </w:r>
    </w:p>
    <w:p w14:paraId="633F4E86">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38.3.24</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设计变更</w:t>
      </w:r>
    </w:p>
    <w:p w14:paraId="4DDB564B">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1）工程建设过程中因各种原因发生的设计变更，承包人应以书面或图纸进行设计变更并盖印和签字确认，还须按发包人事先向承包人明示的制定的有关设计变更管理办法进行规范，明确设计变更的原因、种类、责任认定和说明。所有设计变更均需报发包人，发包人应进行盖印和签字确认。由于发包人原因造成的设计变更，发包人应以书面方式提供承包人，明确设计变更的原因、种类、责任认定和说明，并协商合理的修改时间。</w:t>
      </w:r>
    </w:p>
    <w:p w14:paraId="037500DE">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（2）由于承包人设计错误、对设计基础资料选用不当、专业间接口出现矛盾等情况造成的设计更改，承包人应在3天内（或经双方协商后签订时间）提交设计变更</w:t>
      </w:r>
      <w:r>
        <w:rPr>
          <w:rFonts w:hint="eastAsia" w:ascii="仿宋" w:hAnsi="仿宋" w:eastAsia="仿宋"/>
          <w:color w:val="auto"/>
          <w:highlight w:val="none"/>
          <w:lang w:eastAsia="zh-CN"/>
        </w:rPr>
        <w:t>，并承担由此产生的一切责任</w:t>
      </w:r>
      <w:r>
        <w:rPr>
          <w:rFonts w:ascii="仿宋" w:hAnsi="仿宋" w:eastAsia="仿宋"/>
          <w:color w:val="auto"/>
          <w:highlight w:val="none"/>
          <w:lang w:eastAsia="zh-CN"/>
        </w:rPr>
        <w:t>。</w:t>
      </w:r>
    </w:p>
    <w:p w14:paraId="12058CEE">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（3）遇到国家设计规范发生修订与变更时，承包人依照新规范或修订后的规范进行必要的修改。</w:t>
      </w:r>
    </w:p>
    <w:p w14:paraId="4F6ED73C">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（4）承包人应充分考虑中国现行的施工安装条件和水平、材料供应的条件，若由于设计自身过错导致无法施工或采购材料，承包人应无条件修改设计</w:t>
      </w:r>
      <w:r>
        <w:rPr>
          <w:rFonts w:hint="eastAsia" w:ascii="仿宋" w:hAnsi="仿宋" w:eastAsia="仿宋"/>
          <w:color w:val="auto"/>
          <w:highlight w:val="none"/>
          <w:lang w:eastAsia="zh-CN"/>
        </w:rPr>
        <w:t>，并承担由此产生的一切责任</w:t>
      </w:r>
      <w:r>
        <w:rPr>
          <w:rFonts w:ascii="仿宋" w:hAnsi="仿宋" w:eastAsia="仿宋"/>
          <w:color w:val="auto"/>
          <w:highlight w:val="none"/>
          <w:lang w:eastAsia="zh-CN"/>
        </w:rPr>
        <w:t>。</w:t>
      </w:r>
    </w:p>
    <w:p w14:paraId="64F18B9C">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（5）承包人承诺在</w:t>
      </w:r>
      <w:r>
        <w:rPr>
          <w:rFonts w:hint="eastAsia" w:ascii="仿宋" w:hAnsi="仿宋" w:eastAsia="仿宋"/>
          <w:color w:val="auto"/>
          <w:highlight w:val="none"/>
          <w:lang w:eastAsia="zh-CN"/>
        </w:rPr>
        <w:t>勘察设计任务书</w:t>
      </w:r>
      <w:r>
        <w:rPr>
          <w:rFonts w:ascii="仿宋" w:hAnsi="仿宋" w:eastAsia="仿宋"/>
          <w:color w:val="auto"/>
          <w:highlight w:val="none"/>
          <w:lang w:eastAsia="zh-CN"/>
        </w:rPr>
        <w:t>原定范围内能够根据工程需要修改设计，对所承担项目设计的完整性负责，且修改设计完成时限应满足工程建设需要并符合本合同要求。</w:t>
      </w:r>
    </w:p>
    <w:p w14:paraId="516DA9ED">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38.3.25</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其他设计要求</w:t>
      </w:r>
    </w:p>
    <w:p w14:paraId="79C49C20">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（1）设计文件必须做到清晰、完整、尺寸齐全、准确，按国家有关对工程图纸绘制规格的要求进行，同类图纸规格统一。</w:t>
      </w:r>
    </w:p>
    <w:p w14:paraId="53A46CED">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2）承包人对本项目的设计进度、设计质量、施工服务等工作的完整性、连贯性和可靠性负责。</w:t>
      </w:r>
    </w:p>
    <w:p w14:paraId="33FF732A">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（3）发包人要求承包人在设计过程中考虑工程实施时的实际可操作性。承包人必须保证设计成果不会在供电、给排水、</w:t>
      </w:r>
      <w:r>
        <w:rPr>
          <w:rFonts w:hint="eastAsia" w:ascii="仿宋" w:hAnsi="仿宋" w:eastAsia="仿宋"/>
          <w:color w:val="auto"/>
          <w:highlight w:val="none"/>
          <w:lang w:eastAsia="zh-CN"/>
        </w:rPr>
        <w:t>燃</w:t>
      </w:r>
      <w:r>
        <w:rPr>
          <w:rFonts w:ascii="仿宋" w:hAnsi="仿宋" w:eastAsia="仿宋"/>
          <w:color w:val="auto"/>
          <w:highlight w:val="none"/>
          <w:lang w:eastAsia="zh-CN"/>
        </w:rPr>
        <w:t>气、设备安装等方面相互矛盾；不会在申报用电、用水、用气和通信配套等方面违反规划和违反安全规范、规定的要求。承包人应对方案的实施工序提出相应的技术要求，特别是关键工序，应明确提出工艺要求、质量控制要求。超越目前国内施工单位平均技术水平的设计方案、施工方法，承包人应提出合理理</w:t>
      </w:r>
      <w:r>
        <w:rPr>
          <w:rFonts w:hint="eastAsia" w:ascii="仿宋" w:hAnsi="仿宋" w:eastAsia="仿宋"/>
          <w:color w:val="auto"/>
          <w:highlight w:val="none"/>
          <w:lang w:eastAsia="zh-CN"/>
        </w:rPr>
        <w:t>由和可行的实施方案，报发包人同意后方可采用，否则，发包人有权要求承包人修改设计且无须另外支付费用。</w:t>
      </w:r>
    </w:p>
    <w:p w14:paraId="16AB0774">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4</w:t>
      </w:r>
      <w:r>
        <w:rPr>
          <w:rFonts w:ascii="仿宋" w:hAnsi="仿宋" w:eastAsia="仿宋"/>
          <w:color w:val="auto"/>
          <w:highlight w:val="none"/>
          <w:lang w:eastAsia="zh-CN"/>
        </w:rPr>
        <w:t>）设备原则上要求所采用的设备和系统技术是成熟的，对于新技术、新成果的运用承包人必须有把握，并有相应的工程实践和实际应用经验供参考，且经发包人同意方可使用。</w:t>
      </w:r>
    </w:p>
    <w:p w14:paraId="1235744E">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5</w:t>
      </w:r>
      <w:r>
        <w:rPr>
          <w:rFonts w:ascii="仿宋" w:hAnsi="仿宋" w:eastAsia="仿宋"/>
          <w:color w:val="auto"/>
          <w:highlight w:val="none"/>
          <w:lang w:eastAsia="zh-CN"/>
        </w:rPr>
        <w:t>）</w:t>
      </w:r>
      <w:r>
        <w:rPr>
          <w:rFonts w:hint="eastAsia" w:ascii="仿宋" w:hAnsi="仿宋" w:eastAsia="仿宋"/>
          <w:color w:val="auto"/>
          <w:highlight w:val="none"/>
          <w:lang w:eastAsia="zh-CN"/>
        </w:rPr>
        <w:t>如果承包人交付的文件或图纸不符合本合同的约定和要求，发包人有权拒收，承包人应在收到发包人通知后于规定时间内将所有符合规定的设计文件交付给发包人，且文件交付时间仍应符合合同约定的时间，如未能及时交付图纸影响工程进度，发包人有权要求承包人承担一般违约责任处罚</w:t>
      </w:r>
      <w:r>
        <w:rPr>
          <w:rFonts w:ascii="仿宋" w:hAnsi="仿宋" w:eastAsia="仿宋"/>
          <w:color w:val="auto"/>
          <w:highlight w:val="none"/>
          <w:lang w:eastAsia="zh-CN"/>
        </w:rPr>
        <w:t>1</w:t>
      </w:r>
      <w:r>
        <w:rPr>
          <w:rFonts w:hint="eastAsia" w:ascii="仿宋" w:hAnsi="仿宋" w:eastAsia="仿宋"/>
          <w:color w:val="auto"/>
          <w:highlight w:val="none"/>
          <w:lang w:eastAsia="zh-CN"/>
        </w:rPr>
        <w:t>次。</w:t>
      </w:r>
    </w:p>
    <w:p w14:paraId="7350D81F">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6</w:t>
      </w:r>
      <w:r>
        <w:rPr>
          <w:rFonts w:ascii="仿宋" w:hAnsi="仿宋" w:eastAsia="仿宋"/>
          <w:color w:val="auto"/>
          <w:highlight w:val="none"/>
          <w:lang w:eastAsia="zh-CN"/>
        </w:rPr>
        <w:t>）承包人应重视处理好投资、设计费和设计质量之间的关系，充分重视发挥承包人员在保证项目质量，投资控制方面的积极性。</w:t>
      </w:r>
    </w:p>
    <w:p w14:paraId="3953C5C5">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7</w:t>
      </w:r>
      <w:r>
        <w:rPr>
          <w:rFonts w:ascii="仿宋" w:hAnsi="仿宋" w:eastAsia="仿宋"/>
          <w:color w:val="auto"/>
          <w:highlight w:val="none"/>
          <w:lang w:eastAsia="zh-CN"/>
        </w:rPr>
        <w:t>）承包人在施工图设计的时候应要求设计人员熟悉报价清单的项目特征描述，在保证功能造价的前提下尽量采用或者优于报价清单的相关内容。</w:t>
      </w:r>
    </w:p>
    <w:p w14:paraId="1E294D5A">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38.3.2</w:t>
      </w:r>
      <w:r>
        <w:rPr>
          <w:rFonts w:hint="eastAsia" w:ascii="仿宋" w:hAnsi="仿宋" w:eastAsia="仿宋"/>
          <w:color w:val="auto"/>
          <w:highlight w:val="none"/>
          <w:lang w:eastAsia="zh-CN"/>
        </w:rPr>
        <w:t xml:space="preserve">6 </w:t>
      </w:r>
      <w:r>
        <w:rPr>
          <w:rFonts w:ascii="仿宋" w:hAnsi="仿宋" w:eastAsia="仿宋"/>
          <w:color w:val="auto"/>
          <w:highlight w:val="none"/>
          <w:lang w:eastAsia="zh-CN"/>
        </w:rPr>
        <w:t>承包人应严格执行国家、广东省及广州市有关绿色建筑标准和规定执行。</w:t>
      </w:r>
    </w:p>
    <w:p w14:paraId="6B11262A">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38.3.2</w:t>
      </w:r>
      <w:r>
        <w:rPr>
          <w:rFonts w:hint="eastAsia" w:ascii="仿宋" w:hAnsi="仿宋" w:eastAsia="仿宋"/>
          <w:color w:val="auto"/>
          <w:highlight w:val="none"/>
          <w:lang w:eastAsia="zh-CN"/>
        </w:rPr>
        <w:t xml:space="preserve">7 </w:t>
      </w:r>
      <w:r>
        <w:rPr>
          <w:rFonts w:ascii="仿宋" w:hAnsi="仿宋" w:eastAsia="仿宋"/>
          <w:color w:val="auto"/>
          <w:highlight w:val="none"/>
          <w:lang w:eastAsia="zh-CN"/>
        </w:rPr>
        <w:t>装配式建筑设计要求。发包人要求采用装配式建筑的，承包人应本着工厂化、标准化、模块化、集成化、体系化、绿色环保、经济合理等原则，遵守国家、广东省及广州市有关装配式技术标准与规范进行设计。</w:t>
      </w:r>
      <w:r>
        <w:rPr>
          <w:rFonts w:hint="eastAsia" w:ascii="仿宋" w:hAnsi="仿宋" w:eastAsia="仿宋"/>
          <w:color w:val="auto"/>
          <w:highlight w:val="none"/>
          <w:lang w:eastAsia="zh-CN"/>
        </w:rPr>
        <w:t>模块化建筑设计参照此条执行。</w:t>
      </w:r>
    </w:p>
    <w:p w14:paraId="14191235">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38.3.2</w:t>
      </w:r>
      <w:r>
        <w:rPr>
          <w:rFonts w:hint="eastAsia" w:ascii="仿宋" w:hAnsi="仿宋" w:eastAsia="仿宋"/>
          <w:color w:val="auto"/>
          <w:highlight w:val="none"/>
          <w:lang w:eastAsia="zh-CN"/>
        </w:rPr>
        <w:t xml:space="preserve">8 </w:t>
      </w:r>
      <w:r>
        <w:rPr>
          <w:rFonts w:ascii="仿宋" w:hAnsi="仿宋" w:eastAsia="仿宋"/>
          <w:color w:val="auto"/>
          <w:highlight w:val="none"/>
          <w:lang w:eastAsia="zh-CN"/>
        </w:rPr>
        <w:t>承包人应任命本单位具有结构设计类执业资格的注册人员担任承包人代表（承包人为联合体时，应由具有符合项目规模要求的设计单位委派专业人员担任），统筹装配式构件的设计、生产、运输、吊装和拼接，加强协同管理，保证工程质量。</w:t>
      </w:r>
      <w:r>
        <w:rPr>
          <w:rFonts w:hint="eastAsia" w:ascii="仿宋" w:hAnsi="仿宋" w:eastAsia="仿宋"/>
          <w:color w:val="auto"/>
          <w:highlight w:val="none"/>
          <w:lang w:eastAsia="zh-CN"/>
        </w:rPr>
        <w:t>模块化建筑设计参照此条执行。</w:t>
      </w:r>
    </w:p>
    <w:p w14:paraId="4D34B663">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38.3.</w:t>
      </w:r>
      <w:r>
        <w:rPr>
          <w:rFonts w:hint="eastAsia" w:ascii="仿宋" w:hAnsi="仿宋" w:eastAsia="仿宋"/>
          <w:color w:val="auto"/>
          <w:highlight w:val="none"/>
          <w:lang w:eastAsia="zh-CN"/>
        </w:rPr>
        <w:t>29 考虑到电力进线与</w:t>
      </w:r>
      <w:r>
        <w:rPr>
          <w:rFonts w:ascii="仿宋" w:hAnsi="仿宋" w:eastAsia="仿宋"/>
          <w:color w:val="auto"/>
          <w:highlight w:val="none"/>
          <w:lang w:eastAsia="zh-CN"/>
        </w:rPr>
        <w:t>10k</w:t>
      </w:r>
      <w:r>
        <w:rPr>
          <w:rFonts w:hint="eastAsia" w:ascii="仿宋" w:hAnsi="仿宋" w:eastAsia="仿宋"/>
          <w:color w:val="auto"/>
          <w:highlight w:val="none"/>
          <w:lang w:eastAsia="zh-CN"/>
        </w:rPr>
        <w:t>V</w:t>
      </w:r>
      <w:r>
        <w:rPr>
          <w:rFonts w:ascii="仿宋" w:hAnsi="仿宋" w:eastAsia="仿宋"/>
          <w:color w:val="auto"/>
          <w:highlight w:val="none"/>
          <w:lang w:eastAsia="zh-CN"/>
        </w:rPr>
        <w:t>供配电工程、给水与燃气等专业设计的特殊性，若承包人的专业能力不满足要求或不能得到相关专业主管部门的认可，则承包人需经发包人批准后委托专业单位设计，设计费含在本合同价款中，发包人</w:t>
      </w:r>
      <w:r>
        <w:rPr>
          <w:rFonts w:hint="eastAsia" w:ascii="仿宋" w:hAnsi="仿宋" w:eastAsia="仿宋"/>
          <w:color w:val="auto"/>
          <w:highlight w:val="none"/>
          <w:lang w:eastAsia="zh-CN"/>
        </w:rPr>
        <w:t>不另行支付。</w:t>
      </w:r>
    </w:p>
    <w:p w14:paraId="25D53986">
      <w:pPr>
        <w:spacing w:line="360" w:lineRule="auto"/>
        <w:ind w:firstLine="480" w:firstLineChars="200"/>
        <w:rPr>
          <w:rFonts w:hint="default" w:ascii="仿宋" w:hAnsi="仿宋" w:eastAsia="仿宋"/>
          <w:color w:val="auto"/>
          <w:highlight w:val="none"/>
          <w:lang w:val="en-US" w:eastAsia="zh-CN"/>
        </w:rPr>
      </w:pPr>
      <w:r>
        <w:rPr>
          <w:rFonts w:ascii="仿宋" w:hAnsi="仿宋" w:eastAsia="仿宋"/>
          <w:color w:val="auto"/>
          <w:highlight w:val="none"/>
          <w:lang w:eastAsia="zh-CN"/>
        </w:rPr>
        <w:t>38.3.</w:t>
      </w:r>
      <w:r>
        <w:rPr>
          <w:rFonts w:hint="eastAsia" w:ascii="仿宋" w:hAnsi="仿宋" w:eastAsia="仿宋"/>
          <w:color w:val="auto"/>
          <w:highlight w:val="none"/>
          <w:lang w:val="en-US" w:eastAsia="zh-CN"/>
        </w:rPr>
        <w:t>30 在项目开工后竣工验收前期间，承包人承诺委派不少于2名设计人员（中级及以上职称）驻场协助发包人进行设计管理工作。</w:t>
      </w:r>
    </w:p>
    <w:p w14:paraId="2A628F3A">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38.4 设计文件</w:t>
      </w:r>
    </w:p>
    <w:p w14:paraId="324CCB45">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38.4.1承包人向发包人提交设计文件的方式、数量和时间</w:t>
      </w:r>
    </w:p>
    <w:p w14:paraId="61F5AFA9">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按专用条款第7.2条约定。     </w:t>
      </w:r>
    </w:p>
    <w:p w14:paraId="50B5AAB8">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书面送达。                   </w:t>
      </w:r>
    </w:p>
    <w:p w14:paraId="077EBD60">
      <w:pPr>
        <w:spacing w:line="360" w:lineRule="auto"/>
        <w:ind w:left="274" w:leftChars="114"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详见勘察设计任务书。   </w:t>
      </w:r>
    </w:p>
    <w:p w14:paraId="5DBACA2F">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olor w:val="auto"/>
          <w:highlight w:val="none"/>
          <w:lang w:eastAsia="zh-CN"/>
        </w:rPr>
        <w:t>38.5 装配式建筑</w:t>
      </w:r>
    </w:p>
    <w:p w14:paraId="6A5AC3F9">
      <w:pPr>
        <w:spacing w:line="360" w:lineRule="auto"/>
        <w:ind w:left="684" w:leftChars="285"/>
        <w:rPr>
          <w:rFonts w:hint="eastAsia" w:ascii="仿宋" w:hAnsi="仿宋" w:eastAsia="仿宋"/>
          <w:color w:val="auto"/>
          <w:highlight w:val="none"/>
          <w:lang w:eastAsia="zh-CN"/>
        </w:rPr>
      </w:pPr>
      <w:r>
        <w:rPr>
          <w:rFonts w:hint="eastAsia" w:ascii="仿宋" w:hAnsi="仿宋" w:eastAsia="仿宋"/>
          <w:color w:val="auto"/>
          <w:highlight w:val="none"/>
          <w:lang w:eastAsia="zh-CN"/>
        </w:rPr>
        <w:t>38.5.1（1）装配式</w:t>
      </w:r>
      <w:r>
        <w:rPr>
          <w:rFonts w:hint="eastAsia" w:ascii="仿宋" w:hAnsi="仿宋" w:eastAsia="仿宋" w:cs="仿宋"/>
          <w:color w:val="auto"/>
          <w:highlight w:val="none"/>
          <w:lang w:eastAsia="zh-CN"/>
        </w:rPr>
        <w:t>建筑采用的</w:t>
      </w:r>
      <w:r>
        <w:rPr>
          <w:rFonts w:hint="eastAsia" w:ascii="仿宋" w:hAnsi="仿宋" w:eastAsia="仿宋"/>
          <w:color w:val="auto"/>
          <w:highlight w:val="none"/>
          <w:lang w:eastAsia="zh-CN"/>
        </w:rPr>
        <w:t>技术标准、规范及要求：</w:t>
      </w:r>
    </w:p>
    <w:p w14:paraId="497D0DB6">
      <w:pPr>
        <w:spacing w:line="360" w:lineRule="auto"/>
        <w:ind w:left="1231" w:leftChars="51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国家《装配式混凝土建筑技术标准》（GB/T51231-2016）、《装配式钢结构建筑技术标准》（GB/T51232-2016）、《钢筋套筒灌浆连接应用技术规程》（JGJ355-2015）。</w:t>
      </w:r>
    </w:p>
    <w:p w14:paraId="427FD4EE">
      <w:pPr>
        <w:spacing w:line="360" w:lineRule="auto"/>
        <w:ind w:left="1231" w:leftChars="513"/>
        <w:rPr>
          <w:rFonts w:hint="eastAsia" w:ascii="仿宋" w:hAnsi="仿宋" w:eastAsia="仿宋"/>
          <w:color w:val="auto"/>
          <w:highlight w:val="none"/>
          <w:lang w:eastAsia="zh-CN"/>
        </w:rPr>
      </w:pPr>
      <w:r>
        <w:rPr>
          <w:rFonts w:hint="eastAsia" w:ascii="仿宋" w:hAnsi="仿宋" w:eastAsia="仿宋"/>
          <w:color w:val="auto"/>
          <w:highlight w:val="none"/>
          <w:lang w:eastAsia="zh-CN"/>
        </w:rPr>
        <w:t>《装配式钢结构建筑技术规程》（</w:t>
      </w:r>
      <w:r>
        <w:rPr>
          <w:rFonts w:ascii="仿宋" w:hAnsi="仿宋" w:eastAsia="仿宋"/>
          <w:color w:val="auto"/>
          <w:highlight w:val="none"/>
          <w:lang w:eastAsia="zh-CN"/>
        </w:rPr>
        <w:t>DBJ/T 15-177-2020</w:t>
      </w:r>
      <w:r>
        <w:rPr>
          <w:rFonts w:hint="eastAsia" w:ascii="仿宋" w:hAnsi="仿宋" w:eastAsia="仿宋"/>
          <w:color w:val="auto"/>
          <w:highlight w:val="none"/>
          <w:lang w:eastAsia="zh-CN"/>
        </w:rPr>
        <w:t>）、《装配式混凝土结构工程预制构件生产质量验收规程》（T/GZBC10-2019）、《装配式混凝土结构工程施工质量验收规程》(DB4401/T16-2019)。</w:t>
      </w:r>
    </w:p>
    <w:p w14:paraId="0D5C41BE">
      <w:pPr>
        <w:spacing w:line="360" w:lineRule="auto"/>
        <w:ind w:left="1231" w:leftChars="51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《广州市住房和城乡建设委员会关于印发广州市装配式建筑工程质量安全管理指引(试行)的通知》（穗建质[2018]477号）。</w:t>
      </w:r>
    </w:p>
    <w:p w14:paraId="5682C1E6">
      <w:pPr>
        <w:spacing w:line="360" w:lineRule="auto"/>
        <w:ind w:left="684" w:leftChars="285"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□其他标准、规范及文件：</w:t>
      </w:r>
      <w:r>
        <w:rPr>
          <w:rFonts w:hint="eastAsia" w:ascii="仿宋" w:hAnsi="仿宋" w:eastAsia="仿宋" w:cs="仿宋"/>
          <w:color w:val="auto"/>
          <w:highlight w:val="none"/>
          <w:u w:val="single"/>
          <w:lang w:eastAsia="zh-CN"/>
        </w:rPr>
        <w:t xml:space="preserve">                                                 </w:t>
      </w:r>
    </w:p>
    <w:p w14:paraId="4C2969BA">
      <w:pPr>
        <w:spacing w:line="360" w:lineRule="auto"/>
        <w:ind w:left="684" w:leftChars="285"/>
        <w:rPr>
          <w:rFonts w:hint="eastAsia" w:ascii="仿宋" w:hAnsi="仿宋" w:eastAsia="仿宋"/>
          <w:color w:val="auto"/>
          <w:highlight w:val="none"/>
          <w:lang w:eastAsia="zh-CN"/>
        </w:rPr>
      </w:pPr>
      <w:r>
        <w:rPr>
          <w:rFonts w:hint="eastAsia" w:ascii="仿宋" w:hAnsi="仿宋" w:eastAsia="仿宋"/>
          <w:color w:val="auto"/>
          <w:highlight w:val="none"/>
          <w:lang w:eastAsia="zh-CN"/>
        </w:rPr>
        <w:t>（2）本项目装配式</w:t>
      </w:r>
      <w:r>
        <w:rPr>
          <w:rFonts w:hint="eastAsia" w:ascii="仿宋" w:hAnsi="仿宋" w:eastAsia="仿宋" w:cs="仿宋"/>
          <w:color w:val="auto"/>
          <w:highlight w:val="none"/>
          <w:lang w:eastAsia="zh-CN"/>
        </w:rPr>
        <w:t>建筑选用的评价</w:t>
      </w:r>
      <w:r>
        <w:rPr>
          <w:rFonts w:hint="eastAsia" w:ascii="仿宋" w:hAnsi="仿宋" w:eastAsia="仿宋"/>
          <w:color w:val="auto"/>
          <w:highlight w:val="none"/>
          <w:lang w:eastAsia="zh-CN"/>
        </w:rPr>
        <w:t>标准：</w:t>
      </w:r>
    </w:p>
    <w:p w14:paraId="27434393">
      <w:pPr>
        <w:spacing w:line="360" w:lineRule="auto"/>
        <w:ind w:left="684" w:leftChars="285"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国家《装配式混凝土建筑技术标准》（GB/T51231-2016）。</w:t>
      </w:r>
    </w:p>
    <w:p w14:paraId="53CB8593">
      <w:pPr>
        <w:spacing w:line="360" w:lineRule="auto"/>
        <w:ind w:left="684" w:leftChars="285"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广东省《装配式建筑评价标准》（DBJ/T15-163-2019）。</w:t>
      </w:r>
    </w:p>
    <w:p w14:paraId="6C3F2AA6">
      <w:pPr>
        <w:spacing w:line="360" w:lineRule="auto"/>
        <w:ind w:left="684" w:leftChars="285"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各装配式单体工程的名称及装配率（或评价等级）要求：</w:t>
      </w:r>
      <w:r>
        <w:rPr>
          <w:rFonts w:hint="eastAsia" w:ascii="仿宋" w:hAnsi="仿宋" w:eastAsia="仿宋"/>
          <w:color w:val="auto"/>
          <w:highlight w:val="none"/>
          <w:u w:val="single"/>
          <w:lang w:eastAsia="zh-CN"/>
        </w:rPr>
        <w:t>按合同第一部分协议书相关要求。</w:t>
      </w:r>
    </w:p>
    <w:p w14:paraId="4AE1D209">
      <w:pPr>
        <w:pStyle w:val="23"/>
        <w:spacing w:line="360" w:lineRule="auto"/>
        <w:ind w:left="480"/>
        <w:rPr>
          <w:rFonts w:hint="eastAsia"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（3）本项目开展模块化技术建造，采用的标准和技术规定</w:t>
      </w:r>
      <w:r>
        <w:rPr>
          <w:rFonts w:hint="eastAsia" w:ascii="仿宋" w:hAnsi="仿宋" w:eastAsia="仿宋"/>
          <w:color w:val="auto"/>
          <w:sz w:val="24"/>
          <w:szCs w:val="24"/>
          <w:highlight w:val="none"/>
          <w:u w:val="none"/>
          <w:lang w:val="en-US" w:eastAsia="zh-CN"/>
        </w:rPr>
        <w:t>按现行文件要求。</w:t>
      </w:r>
    </w:p>
    <w:p w14:paraId="5D2BE30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（4）本项目开展装配式装修技术建造，采用的标准和技术规定</w:t>
      </w:r>
      <w:r>
        <w:rPr>
          <w:rFonts w:hint="eastAsia" w:ascii="仿宋" w:hAnsi="仿宋" w:eastAsia="仿宋"/>
          <w:color w:val="auto"/>
          <w:sz w:val="24"/>
          <w:szCs w:val="24"/>
          <w:highlight w:val="none"/>
          <w:u w:val="none"/>
          <w:lang w:val="en-US" w:eastAsia="zh-CN"/>
        </w:rPr>
        <w:t>按现行文件要求。</w:t>
      </w:r>
    </w:p>
    <w:p w14:paraId="7281843D">
      <w:pPr>
        <w:pStyle w:val="23"/>
        <w:ind w:left="480"/>
        <w:rPr>
          <w:rFonts w:hint="eastAsia" w:ascii="仿宋" w:hAnsi="仿宋" w:eastAsia="仿宋"/>
          <w:color w:val="auto"/>
          <w:sz w:val="24"/>
          <w:szCs w:val="24"/>
          <w:highlight w:val="none"/>
          <w:lang w:eastAsia="zh-CN"/>
        </w:rPr>
      </w:pPr>
    </w:p>
    <w:p w14:paraId="4254425E">
      <w:pPr>
        <w:pStyle w:val="23"/>
        <w:rPr>
          <w:rFonts w:hint="eastAsia" w:ascii="仿宋" w:hAnsi="仿宋" w:eastAsia="仿宋"/>
          <w:color w:val="auto"/>
          <w:sz w:val="24"/>
          <w:szCs w:val="24"/>
          <w:highlight w:val="none"/>
          <w:lang w:eastAsia="zh-CN"/>
        </w:rPr>
      </w:pPr>
    </w:p>
    <w:p w14:paraId="14CD2C23">
      <w:pPr>
        <w:spacing w:line="360" w:lineRule="auto"/>
        <w:ind w:left="274" w:leftChars="114"/>
        <w:rPr>
          <w:rFonts w:hint="eastAsia" w:ascii="仿宋" w:hAnsi="仿宋" w:eastAsia="仿宋"/>
          <w:color w:val="auto"/>
          <w:highlight w:val="none"/>
          <w:lang w:eastAsia="zh-CN"/>
        </w:rPr>
      </w:pPr>
      <w:r>
        <w:rPr>
          <w:rFonts w:hint="eastAsia" w:ascii="仿宋" w:hAnsi="仿宋" w:eastAsia="仿宋"/>
          <w:color w:val="auto"/>
          <w:highlight w:val="none"/>
          <w:lang w:eastAsia="zh-CN"/>
        </w:rPr>
        <w:t>38.6 设计审查</w:t>
      </w:r>
    </w:p>
    <w:p w14:paraId="14136507">
      <w:pPr>
        <w:spacing w:line="360" w:lineRule="auto"/>
        <w:ind w:left="274" w:leftChars="114" w:firstLine="360" w:firstLineChars="150"/>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38.6.1.1发包人对承包人设计文件审查的范围、内容的约定</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发包人已按国家相关规定聘请施工图设计审查单位，承包人应接受该施工图审查单位按照相关法律、法规和发包人赋予的权利所进行的施工图审查工作。</w:t>
      </w:r>
    </w:p>
    <w:p w14:paraId="7E62CE2C">
      <w:pPr>
        <w:tabs>
          <w:tab w:val="left" w:pos="4970"/>
        </w:tabs>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38.6.1.2发包人对承包人设计文件的审查期限</w:t>
      </w:r>
      <w:r>
        <w:rPr>
          <w:rFonts w:hint="eastAsia" w:ascii="仿宋" w:hAnsi="仿宋" w:eastAsia="仿宋" w:cs="仿宋"/>
          <w:color w:val="auto"/>
          <w:highlight w:val="none"/>
          <w:lang w:eastAsia="zh-CN"/>
        </w:rPr>
        <w:t>：</w:t>
      </w:r>
    </w:p>
    <w:p w14:paraId="7624E9F7">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通用条款第38.6.1.2款约定；</w:t>
      </w:r>
    </w:p>
    <w:p w14:paraId="4340A96F">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                    </w:t>
      </w:r>
    </w:p>
    <w:p w14:paraId="52B30F1C">
      <w:pPr>
        <w:tabs>
          <w:tab w:val="left" w:pos="4970"/>
        </w:tabs>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38.6.3.2发包人需要组织审查会议的，审查会议的审查形式和时间</w:t>
      </w:r>
      <w:r>
        <w:rPr>
          <w:rFonts w:hint="eastAsia" w:ascii="仿宋" w:hAnsi="仿宋" w:eastAsia="仿宋" w:cs="仿宋"/>
          <w:color w:val="auto"/>
          <w:highlight w:val="none"/>
          <w:lang w:eastAsia="zh-CN"/>
        </w:rPr>
        <w:t>：</w:t>
      </w:r>
    </w:p>
    <w:p w14:paraId="4785E951">
      <w:pPr>
        <w:spacing w:line="360" w:lineRule="auto"/>
        <w:ind w:firstLine="720" w:firstLineChars="300"/>
        <w:rPr>
          <w:rFonts w:ascii="仿宋" w:hAnsi="仿宋" w:eastAsia="仿宋" w:cs="仿宋"/>
          <w:color w:val="auto"/>
          <w:highlight w:val="none"/>
          <w:u w:val="single"/>
          <w:lang w:eastAsia="zh-CN"/>
        </w:rPr>
      </w:pPr>
      <w:bookmarkStart w:id="1607" w:name="_Toc47694411"/>
      <w:r>
        <w:rPr>
          <w:rFonts w:hint="eastAsia" w:ascii="仿宋" w:hAnsi="仿宋" w:eastAsia="仿宋" w:cs="仿宋"/>
          <w:color w:val="auto"/>
          <w:highlight w:val="none"/>
          <w:lang w:eastAsia="zh-CN"/>
        </w:rPr>
        <w:t>①审查形式：</w:t>
      </w:r>
      <w:r>
        <w:rPr>
          <w:rFonts w:hint="eastAsia" w:ascii="仿宋" w:hAnsi="仿宋" w:eastAsia="仿宋" w:cs="仿宋"/>
          <w:color w:val="auto"/>
          <w:highlight w:val="none"/>
          <w:u w:val="single"/>
          <w:lang w:eastAsia="zh-CN"/>
        </w:rPr>
        <w:t xml:space="preserve"> 对承包人设计成果文件（含模块化）评审包括相关行政主管部门及行业主管部门的审查、施工图审查单位（设计咨询单位）的审查、发包人或发包人组织的专家评审。涉及重大设计技术问题的，承包人应及时向发包人提出书面审查申请；承包人向发包人送审施工图（含模块化）前，应组织相关专家对设计文件进行评审，通知发包人及监理人、造价咨询人等相关方参加，根据专家评审意见修正设计文件。相关会议及评审费用由承包人承担。</w:t>
      </w:r>
    </w:p>
    <w:p w14:paraId="49E2ABBE">
      <w:pPr>
        <w:pStyle w:val="5"/>
        <w:spacing w:before="0" w:after="0"/>
        <w:ind w:firstLine="480" w:firstLineChars="200"/>
        <w:rPr>
          <w:rFonts w:hint="eastAsia" w:ascii="仿宋" w:hAnsi="仿宋" w:eastAsia="仿宋" w:cs="仿宋"/>
          <w:b w:val="0"/>
          <w:bCs w:val="0"/>
          <w:color w:val="auto"/>
          <w:sz w:val="24"/>
          <w:szCs w:val="24"/>
          <w:highlight w:val="none"/>
          <w:lang w:eastAsia="zh-CN" w:bidi="en-US"/>
        </w:rPr>
      </w:pPr>
      <w:bookmarkStart w:id="1608" w:name="_Toc17925"/>
      <w:bookmarkStart w:id="1609" w:name="_Toc23392"/>
      <w:r>
        <w:rPr>
          <w:rFonts w:hint="eastAsia" w:ascii="仿宋" w:hAnsi="仿宋" w:eastAsia="仿宋" w:cs="仿宋"/>
          <w:b w:val="0"/>
          <w:bCs w:val="0"/>
          <w:color w:val="auto"/>
          <w:sz w:val="24"/>
          <w:szCs w:val="24"/>
          <w:highlight w:val="none"/>
          <w:lang w:eastAsia="zh-CN" w:bidi="en-US"/>
        </w:rPr>
        <w:t>②审查时间：</w:t>
      </w:r>
      <w:r>
        <w:rPr>
          <w:rFonts w:hint="eastAsia" w:ascii="仿宋" w:hAnsi="仿宋" w:eastAsia="仿宋" w:cs="仿宋"/>
          <w:b w:val="0"/>
          <w:bCs w:val="0"/>
          <w:color w:val="auto"/>
          <w:sz w:val="24"/>
          <w:szCs w:val="24"/>
          <w:highlight w:val="none"/>
          <w:u w:val="single"/>
          <w:lang w:eastAsia="zh-CN" w:bidi="en-US"/>
        </w:rPr>
        <w:t xml:space="preserve">  按通用条款执行。</w:t>
      </w:r>
      <w:bookmarkEnd w:id="1608"/>
      <w:bookmarkEnd w:id="1609"/>
      <w:r>
        <w:rPr>
          <w:rFonts w:hint="eastAsia" w:ascii="仿宋" w:hAnsi="仿宋" w:eastAsia="仿宋" w:cs="仿宋"/>
          <w:b w:val="0"/>
          <w:bCs w:val="0"/>
          <w:color w:val="auto"/>
          <w:sz w:val="24"/>
          <w:szCs w:val="24"/>
          <w:highlight w:val="none"/>
          <w:u w:val="single"/>
          <w:lang w:eastAsia="zh-CN" w:bidi="en-US"/>
        </w:rPr>
        <w:t xml:space="preserve">     </w:t>
      </w:r>
    </w:p>
    <w:p w14:paraId="10439F1B">
      <w:pPr>
        <w:pStyle w:val="3"/>
        <w:tabs>
          <w:tab w:val="left" w:pos="420"/>
        </w:tabs>
        <w:spacing w:line="360" w:lineRule="auto"/>
        <w:rPr>
          <w:rFonts w:hint="eastAsia" w:ascii="仿宋" w:hAnsi="仿宋" w:eastAsia="仿宋" w:cs="仿宋"/>
          <w:b w:val="0"/>
          <w:bCs w:val="0"/>
          <w:i w:val="0"/>
          <w:iCs w:val="0"/>
          <w:color w:val="auto"/>
          <w:sz w:val="24"/>
          <w:szCs w:val="24"/>
          <w:highlight w:val="none"/>
          <w:lang w:eastAsia="zh-CN"/>
        </w:rPr>
      </w:pPr>
      <w:bookmarkStart w:id="1610" w:name="_Toc32012"/>
      <w:bookmarkStart w:id="1611" w:name="_Toc8231"/>
      <w:bookmarkStart w:id="1612" w:name="_Toc21533"/>
      <w:bookmarkStart w:id="1613" w:name="_Toc17915"/>
      <w:bookmarkStart w:id="1614" w:name="_Toc20855"/>
      <w:bookmarkStart w:id="1615" w:name="_Toc31348"/>
      <w:bookmarkStart w:id="1616" w:name="_Toc11367"/>
      <w:r>
        <w:rPr>
          <w:rFonts w:hint="eastAsia" w:ascii="仿宋" w:hAnsi="仿宋" w:eastAsia="仿宋" w:cs="仿宋"/>
          <w:b w:val="0"/>
          <w:bCs w:val="0"/>
          <w:i w:val="0"/>
          <w:iCs w:val="0"/>
          <w:color w:val="auto"/>
          <w:sz w:val="24"/>
          <w:szCs w:val="24"/>
          <w:highlight w:val="none"/>
          <w:lang w:eastAsia="zh-CN"/>
        </w:rPr>
        <w:t>39.  BIM技术应用</w:t>
      </w:r>
      <w:bookmarkEnd w:id="1607"/>
      <w:bookmarkEnd w:id="1610"/>
      <w:bookmarkEnd w:id="1611"/>
      <w:bookmarkEnd w:id="1612"/>
      <w:bookmarkEnd w:id="1613"/>
      <w:bookmarkEnd w:id="1614"/>
      <w:bookmarkEnd w:id="1615"/>
      <w:bookmarkEnd w:id="1616"/>
    </w:p>
    <w:p w14:paraId="34D46518">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39.1 对发包人要求和项目基础资料的核实</w:t>
      </w:r>
    </w:p>
    <w:p w14:paraId="277D6F79">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通用条款第39.1款约定。</w:t>
      </w:r>
    </w:p>
    <w:p w14:paraId="6D696664">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p>
    <w:p w14:paraId="6AD3236C">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39.2.1 BIM技术应用工作方案</w:t>
      </w:r>
    </w:p>
    <w:p w14:paraId="1565B32B">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签订本合同后15天内   </w:t>
      </w:r>
    </w:p>
    <w:p w14:paraId="62C31657">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纸质和电子文件  </w:t>
      </w:r>
    </w:p>
    <w:p w14:paraId="5CF4F49C">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纸质和电子文件各</w:t>
      </w:r>
      <w:r>
        <w:rPr>
          <w:rFonts w:hint="eastAsia" w:ascii="仿宋" w:hAnsi="仿宋" w:eastAsia="仿宋" w:cs="仿宋"/>
          <w:color w:val="auto"/>
          <w:highlight w:val="none"/>
          <w:u w:val="single"/>
          <w:lang w:val="en-US" w:eastAsia="zh-CN"/>
        </w:rPr>
        <w:t>5</w:t>
      </w:r>
      <w:r>
        <w:rPr>
          <w:rFonts w:hint="eastAsia" w:ascii="仿宋" w:hAnsi="仿宋" w:eastAsia="仿宋" w:cs="仿宋"/>
          <w:color w:val="auto"/>
          <w:highlight w:val="none"/>
          <w:u w:val="single"/>
          <w:lang w:eastAsia="zh-CN"/>
        </w:rPr>
        <w:t xml:space="preserve">份  </w:t>
      </w:r>
    </w:p>
    <w:p w14:paraId="19902D9E">
      <w:pPr>
        <w:spacing w:line="360" w:lineRule="auto"/>
        <w:ind w:left="0" w:leftChars="0" w:firstLine="240" w:firstLineChars="100"/>
        <w:rPr>
          <w:rFonts w:hint="eastAsia" w:ascii="仿宋" w:hAnsi="仿宋" w:eastAsia="仿宋" w:cs="仿宋"/>
          <w:color w:val="auto"/>
          <w:highlight w:val="none"/>
          <w:u w:val="single"/>
          <w:lang w:val="en-US" w:eastAsia="zh-CN"/>
        </w:rPr>
      </w:pPr>
      <w:r>
        <w:rPr>
          <w:rFonts w:hint="eastAsia" w:ascii="仿宋" w:hAnsi="仿宋" w:eastAsia="仿宋"/>
          <w:color w:val="auto"/>
          <w:highlight w:val="none"/>
          <w:lang w:eastAsia="zh-CN"/>
        </w:rPr>
        <w:t>39.3.1 BIM技术</w:t>
      </w:r>
      <w:r>
        <w:rPr>
          <w:rFonts w:hint="eastAsia" w:ascii="仿宋" w:hAnsi="仿宋" w:eastAsia="仿宋" w:cs="仿宋"/>
          <w:color w:val="auto"/>
          <w:highlight w:val="none"/>
          <w:lang w:eastAsia="zh-CN"/>
        </w:rPr>
        <w:t>应用内容和要求的约定：</w:t>
      </w:r>
      <w:r>
        <w:rPr>
          <w:rFonts w:hint="eastAsia" w:ascii="仿宋" w:hAnsi="仿宋" w:eastAsia="仿宋" w:cs="仿宋"/>
          <w:color w:val="auto"/>
          <w:highlight w:val="none"/>
          <w:u w:val="single"/>
          <w:lang w:val="en-US" w:eastAsia="zh-CN"/>
        </w:rPr>
        <w:t xml:space="preserve">  /  </w:t>
      </w:r>
    </w:p>
    <w:p w14:paraId="2CC5B7B3">
      <w:pPr>
        <w:spacing w:line="360" w:lineRule="auto"/>
        <w:ind w:left="199" w:leftChars="8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w:t>
      </w:r>
      <w:r>
        <w:rPr>
          <w:rFonts w:hint="eastAsia" w:ascii="仿宋" w:hAnsi="仿宋" w:eastAsia="仿宋"/>
          <w:color w:val="auto"/>
          <w:highlight w:val="none"/>
          <w:u w:val="single"/>
          <w:lang w:eastAsia="zh-CN"/>
        </w:rPr>
        <w:t>符合国家、地方及行业现行设计施工规范、规程、质量验收标准及工程建设标准等强制性条文。</w:t>
      </w:r>
      <w:r>
        <w:rPr>
          <w:rFonts w:hint="eastAsia" w:ascii="仿宋" w:hAnsi="仿宋" w:eastAsia="仿宋" w:cs="仿宋"/>
          <w:color w:val="auto"/>
          <w:highlight w:val="none"/>
          <w:lang w:eastAsia="zh-CN"/>
        </w:rPr>
        <w:t>②</w:t>
      </w:r>
      <w:r>
        <w:rPr>
          <w:rFonts w:hint="eastAsia" w:ascii="仿宋" w:hAnsi="仿宋" w:eastAsia="仿宋"/>
          <w:color w:val="auto"/>
          <w:highlight w:val="none"/>
          <w:u w:val="single"/>
          <w:lang w:eastAsia="zh-CN"/>
        </w:rPr>
        <w:t>施工阶段的所有BIM模型应满足施工需要的精度要求。</w:t>
      </w:r>
    </w:p>
    <w:p w14:paraId="2F8CC6D7">
      <w:pPr>
        <w:spacing w:line="360" w:lineRule="auto"/>
        <w:ind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39.3.7 承包人提供运营维护所需建筑信息模型（BIM）的约定：</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预留运营阶段的数据接入条件。 </w:t>
      </w:r>
    </w:p>
    <w:p w14:paraId="2F22723D">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39.4.1 承包人提供建筑信息模型（BIM）及技术应用成果</w:t>
      </w:r>
    </w:p>
    <w:p w14:paraId="76427331">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施工图审核合格后30天内  </w:t>
      </w:r>
    </w:p>
    <w:p w14:paraId="3E80403B">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电子文件     </w:t>
      </w:r>
    </w:p>
    <w:p w14:paraId="202D588E">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39.6 </w:t>
      </w:r>
      <w:r>
        <w:rPr>
          <w:rFonts w:hint="eastAsia" w:ascii="仿宋" w:hAnsi="仿宋" w:eastAsia="仿宋"/>
          <w:color w:val="auto"/>
          <w:highlight w:val="none"/>
          <w:lang w:eastAsia="zh-CN"/>
        </w:rPr>
        <w:t>BIM技术应用在各阶段应用的建筑信息模（BIM）交付标准的约定：</w:t>
      </w:r>
      <w:r>
        <w:rPr>
          <w:rFonts w:hint="eastAsia" w:ascii="仿宋" w:hAnsi="仿宋" w:eastAsia="仿宋" w:cs="仿宋"/>
          <w:color w:val="auto"/>
          <w:highlight w:val="none"/>
          <w:u w:val="single"/>
          <w:lang w:eastAsia="zh-CN"/>
        </w:rPr>
        <w:t xml:space="preserve"> BIM建模成果能反映施工图设计模型、检验构件、管线冲突碰撞情况，模拟施工过程和优化施工方案等</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w:t>
      </w:r>
    </w:p>
    <w:p w14:paraId="499EFFBF">
      <w:pPr>
        <w:pStyle w:val="23"/>
        <w:spacing w:line="360" w:lineRule="auto"/>
        <w:ind w:firstLine="240" w:firstLineChars="100"/>
        <w:rPr>
          <w:rFonts w:hint="eastAsia" w:ascii="仿宋" w:hAnsi="仿宋" w:eastAsia="仿宋"/>
          <w:color w:val="auto"/>
          <w:sz w:val="24"/>
          <w:szCs w:val="24"/>
          <w:highlight w:val="none"/>
          <w:lang w:eastAsia="zh-CN" w:bidi="en-US"/>
        </w:rPr>
      </w:pPr>
      <w:r>
        <w:rPr>
          <w:rFonts w:hint="eastAsia" w:ascii="仿宋" w:hAnsi="仿宋" w:eastAsia="仿宋"/>
          <w:color w:val="auto"/>
          <w:sz w:val="24"/>
          <w:szCs w:val="24"/>
          <w:highlight w:val="none"/>
          <w:lang w:eastAsia="zh-CN" w:bidi="en-US"/>
        </w:rPr>
        <w:t>39.7智能建造相关要求</w:t>
      </w:r>
    </w:p>
    <w:p w14:paraId="47582AC8">
      <w:pPr>
        <w:pStyle w:val="23"/>
        <w:spacing w:line="360" w:lineRule="auto"/>
        <w:ind w:firstLine="240" w:firstLineChars="100"/>
        <w:rPr>
          <w:rFonts w:hint="eastAsia" w:ascii="仿宋" w:hAnsi="仿宋" w:eastAsia="仿宋"/>
          <w:color w:val="auto"/>
          <w:sz w:val="24"/>
          <w:szCs w:val="24"/>
          <w:highlight w:val="none"/>
          <w:lang w:eastAsia="zh-CN" w:bidi="en-US"/>
        </w:rPr>
      </w:pPr>
      <w:r>
        <w:rPr>
          <w:rFonts w:hint="eastAsia" w:ascii="仿宋" w:hAnsi="仿宋" w:eastAsia="仿宋"/>
          <w:color w:val="auto"/>
          <w:sz w:val="24"/>
          <w:szCs w:val="24"/>
          <w:highlight w:val="none"/>
          <w:lang w:eastAsia="zh-CN" w:bidi="en-US"/>
        </w:rPr>
        <w:t>①本项目采用全阶段、全专业的BIM正向设计;编制集成化、模块化建筑部品部件标准三维图集，实施建筑平面、立面和部品部件、接口标准化设计；建立基于BIM技术的项目级标准化族库,明确部品部件分类编码规则；制定BIM模型质量评价规则，开展BIM模型质量检查，确保模型数据与图纸数据一致；基于 BIM 设计模型，实现构件模型全自动解析，钢筋、埋件碰撞检查等工作，减少设计强度及出错概率。</w:t>
      </w:r>
    </w:p>
    <w:p w14:paraId="3A93975E">
      <w:pPr>
        <w:pStyle w:val="23"/>
        <w:spacing w:line="360" w:lineRule="auto"/>
        <w:ind w:firstLine="240" w:firstLineChars="100"/>
        <w:rPr>
          <w:rFonts w:hint="eastAsia" w:ascii="仿宋" w:hAnsi="仿宋" w:eastAsia="仿宋"/>
          <w:color w:val="auto"/>
          <w:sz w:val="24"/>
          <w:szCs w:val="24"/>
          <w:highlight w:val="none"/>
          <w:lang w:eastAsia="zh-CN" w:bidi="en-US"/>
        </w:rPr>
      </w:pPr>
      <w:r>
        <w:rPr>
          <w:rFonts w:hint="eastAsia" w:ascii="仿宋" w:hAnsi="仿宋" w:eastAsia="仿宋"/>
          <w:color w:val="auto"/>
          <w:sz w:val="24"/>
          <w:szCs w:val="24"/>
          <w:highlight w:val="none"/>
          <w:lang w:eastAsia="zh-CN" w:bidi="en-US"/>
        </w:rPr>
        <w:t>②本项目将正向设计BIM模型传递给构件生产单位，以数字化、智能化驱动生产线，实现 BIM 解析自动化、平台化协同、生产工艺数字化、生产驱动自动化。建立质量追溯系统，质检数字化、管理在线化，实现预制构件全过程质量责任可追溯。</w:t>
      </w:r>
    </w:p>
    <w:p w14:paraId="124D02CA">
      <w:pPr>
        <w:pStyle w:val="23"/>
        <w:spacing w:line="360" w:lineRule="auto"/>
        <w:ind w:firstLine="240" w:firstLineChars="100"/>
        <w:rPr>
          <w:rFonts w:hint="eastAsia" w:ascii="仿宋" w:hAnsi="仿宋" w:eastAsia="仿宋"/>
          <w:color w:val="auto"/>
          <w:sz w:val="24"/>
          <w:szCs w:val="24"/>
          <w:highlight w:val="none"/>
          <w:lang w:eastAsia="zh-CN" w:bidi="en-US"/>
        </w:rPr>
      </w:pPr>
      <w:r>
        <w:rPr>
          <w:rFonts w:hint="eastAsia" w:ascii="仿宋" w:hAnsi="仿宋" w:eastAsia="仿宋"/>
          <w:color w:val="auto"/>
          <w:sz w:val="24"/>
          <w:szCs w:val="24"/>
          <w:highlight w:val="none"/>
          <w:lang w:eastAsia="zh-CN" w:bidi="en-US"/>
        </w:rPr>
        <w:t>③本项目统筹建立工程全过程质量数字化记录制度，实现部品部件进场信息的智能管理、模拟装配和产品质量溯源；应用数字化智慧工地管理平台，应用 BIM、互联网+、物联网、大数据、人工智能、5G 移动通讯、云计算及虚拟现实等信息技术打造智慧工地，对现场“人、机、料、法、环、测、能源”等各关键要素全面感知和实时互联，实现全周期全要素数字化管控赋能项目管理；通过数据在线、平台可视、施工仿真、智能装备，全面监控施工工期、质量、安全和成本。加强智能设备、“机器代人”等应用场景建设，提升工程安全、质量管控能力。</w:t>
      </w:r>
    </w:p>
    <w:p w14:paraId="1E7550C1">
      <w:pPr>
        <w:pStyle w:val="23"/>
        <w:spacing w:line="360" w:lineRule="auto"/>
        <w:ind w:firstLine="240" w:firstLineChars="100"/>
        <w:rPr>
          <w:rFonts w:hint="eastAsia" w:ascii="仿宋" w:hAnsi="仿宋" w:eastAsia="仿宋"/>
          <w:color w:val="auto"/>
          <w:sz w:val="24"/>
          <w:szCs w:val="24"/>
          <w:highlight w:val="none"/>
          <w:lang w:eastAsia="zh-CN" w:bidi="en-US"/>
        </w:rPr>
      </w:pPr>
      <w:r>
        <w:rPr>
          <w:rFonts w:hint="eastAsia" w:ascii="仿宋" w:hAnsi="仿宋" w:eastAsia="仿宋"/>
          <w:color w:val="auto"/>
          <w:sz w:val="24"/>
          <w:szCs w:val="24"/>
          <w:highlight w:val="none"/>
          <w:lang w:eastAsia="zh-CN" w:bidi="en-US"/>
        </w:rPr>
        <w:t>④本项目在设计、施工阶段充分考虑智慧运维需求，在不增加投资的前提下，部署基于BIM的资产管理、物业管理、运维管理、智慧社区管理。</w:t>
      </w:r>
    </w:p>
    <w:p w14:paraId="1F399D8F">
      <w:pPr>
        <w:pStyle w:val="23"/>
        <w:spacing w:line="360" w:lineRule="auto"/>
        <w:ind w:firstLine="240" w:firstLineChars="100"/>
        <w:rPr>
          <w:rFonts w:hint="eastAsia" w:ascii="仿宋" w:hAnsi="仿宋" w:eastAsia="仿宋"/>
          <w:color w:val="auto"/>
          <w:sz w:val="24"/>
          <w:szCs w:val="24"/>
          <w:highlight w:val="none"/>
          <w:lang w:eastAsia="zh-CN" w:bidi="en-US"/>
        </w:rPr>
      </w:pPr>
      <w:r>
        <w:rPr>
          <w:rFonts w:hint="eastAsia" w:ascii="仿宋" w:hAnsi="仿宋" w:eastAsia="仿宋"/>
          <w:color w:val="auto"/>
          <w:sz w:val="24"/>
          <w:szCs w:val="24"/>
          <w:highlight w:val="none"/>
          <w:lang w:eastAsia="zh-CN" w:bidi="en-US"/>
        </w:rPr>
        <w:t>39.8建设项目全生命期数字化管理平台</w:t>
      </w:r>
    </w:p>
    <w:p w14:paraId="482A30A8">
      <w:pPr>
        <w:pStyle w:val="23"/>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olor w:val="auto"/>
          <w:sz w:val="24"/>
          <w:szCs w:val="24"/>
          <w:highlight w:val="none"/>
          <w:lang w:eastAsia="zh-CN" w:bidi="en-US"/>
        </w:rPr>
        <w:t>承包人搭建项目全生命期数字化管理平台，促进数据自由流动，实现设计、生产、施工、运营的一站式管理，对项目建造全过程的关键数据收集、筛选、分析和应用。同时统一数据标准，可以满足其他安置区项目接入管理平台的需求，工程竣工时同时交付实体建筑与“数字建筑”，对接广州市CIM平台，为数字城市提供底层数据。</w:t>
      </w:r>
    </w:p>
    <w:p w14:paraId="208D208F">
      <w:pPr>
        <w:tabs>
          <w:tab w:val="left" w:pos="420"/>
        </w:tabs>
        <w:spacing w:line="360" w:lineRule="auto"/>
        <w:ind w:left="240" w:leftChars="100"/>
        <w:rPr>
          <w:rFonts w:hint="eastAsia" w:ascii="仿宋" w:hAnsi="仿宋" w:eastAsia="仿宋"/>
          <w:b/>
          <w:bCs/>
          <w:i w:val="0"/>
          <w:iCs w:val="0"/>
          <w:color w:val="auto"/>
          <w:sz w:val="24"/>
          <w:szCs w:val="24"/>
          <w:highlight w:val="none"/>
          <w:lang w:eastAsia="zh-CN"/>
        </w:rPr>
      </w:pPr>
      <w:bookmarkStart w:id="1617" w:name="_Toc20604"/>
      <w:bookmarkStart w:id="1618" w:name="_Toc10829"/>
      <w:bookmarkStart w:id="1619" w:name="_Toc8709"/>
      <w:bookmarkStart w:id="1620" w:name="_Toc20032"/>
      <w:bookmarkStart w:id="1621" w:name="_Toc47694412"/>
      <w:bookmarkStart w:id="1622" w:name="_Toc8132"/>
      <w:bookmarkStart w:id="1623" w:name="_Toc24307"/>
      <w:bookmarkStart w:id="1624" w:name="_Toc31224"/>
      <w:r>
        <w:rPr>
          <w:rFonts w:hint="eastAsia" w:ascii="仿宋" w:hAnsi="仿宋" w:eastAsia="仿宋" w:cs="仿宋"/>
          <w:b/>
          <w:bCs/>
          <w:i w:val="0"/>
          <w:iCs w:val="0"/>
          <w:color w:val="auto"/>
          <w:sz w:val="24"/>
          <w:szCs w:val="24"/>
          <w:highlight w:val="none"/>
          <w:lang w:eastAsia="zh-CN"/>
        </w:rPr>
        <w:t>40.  进度计划和报告</w:t>
      </w:r>
      <w:bookmarkEnd w:id="1617"/>
      <w:bookmarkEnd w:id="1618"/>
      <w:bookmarkEnd w:id="1619"/>
      <w:bookmarkEnd w:id="1620"/>
      <w:bookmarkEnd w:id="1621"/>
      <w:bookmarkEnd w:id="1622"/>
      <w:bookmarkEnd w:id="1623"/>
      <w:bookmarkEnd w:id="1624"/>
    </w:p>
    <w:p w14:paraId="0FEAAD11">
      <w:pPr>
        <w:spacing w:line="360" w:lineRule="auto"/>
        <w:ind w:firstLine="480" w:firstLineChars="200"/>
        <w:rPr>
          <w:rFonts w:hint="eastAsia" w:ascii="仿宋" w:hAnsi="仿宋" w:eastAsia="仿宋" w:cs="仿宋"/>
          <w:color w:val="auto"/>
          <w:highlight w:val="none"/>
          <w:lang w:eastAsia="zh-CN"/>
        </w:rPr>
      </w:pPr>
      <w:bookmarkStart w:id="1625" w:name="_Toc9737"/>
      <w:r>
        <w:rPr>
          <w:rFonts w:hint="eastAsia" w:ascii="仿宋" w:hAnsi="仿宋" w:eastAsia="仿宋"/>
          <w:color w:val="auto"/>
          <w:highlight w:val="none"/>
          <w:lang w:eastAsia="zh-CN"/>
        </w:rPr>
        <w:t>40</w:t>
      </w:r>
      <w:r>
        <w:rPr>
          <w:rFonts w:ascii="仿宋" w:hAnsi="仿宋" w:eastAsia="仿宋"/>
          <w:color w:val="auto"/>
          <w:highlight w:val="none"/>
          <w:lang w:eastAsia="zh-CN"/>
        </w:rPr>
        <w:t>.1 提交工程进度计划要求：</w:t>
      </w:r>
      <w:r>
        <w:rPr>
          <w:rFonts w:ascii="仿宋" w:hAnsi="仿宋" w:eastAsia="仿宋"/>
          <w:color w:val="auto"/>
          <w:highlight w:val="none"/>
          <w:u w:val="single"/>
          <w:lang w:eastAsia="zh-CN"/>
        </w:rPr>
        <w:t>承包人在</w:t>
      </w:r>
      <w:r>
        <w:rPr>
          <w:rFonts w:hint="eastAsia" w:ascii="仿宋" w:hAnsi="仿宋" w:eastAsia="仿宋" w:cs="仿宋"/>
          <w:color w:val="auto"/>
          <w:highlight w:val="none"/>
          <w:u w:val="single"/>
          <w:lang w:eastAsia="zh-CN"/>
        </w:rPr>
        <w:t>本合同</w:t>
      </w:r>
      <w:r>
        <w:rPr>
          <w:rFonts w:hint="eastAsia" w:ascii="仿宋" w:hAnsi="仿宋" w:eastAsia="仿宋" w:cs="仿宋"/>
          <w:color w:val="auto"/>
          <w:highlight w:val="none"/>
          <w:u w:val="single"/>
          <w:lang w:val="en-US" w:eastAsia="zh-CN"/>
        </w:rPr>
        <w:t>签订</w:t>
      </w:r>
      <w:r>
        <w:rPr>
          <w:rFonts w:hint="eastAsia" w:ascii="仿宋" w:hAnsi="仿宋" w:eastAsia="仿宋" w:cs="仿宋"/>
          <w:color w:val="auto"/>
          <w:highlight w:val="none"/>
          <w:u w:val="single"/>
          <w:lang w:eastAsia="zh-CN"/>
        </w:rPr>
        <w:t>后</w:t>
      </w:r>
      <w:r>
        <w:rPr>
          <w:rFonts w:hint="eastAsia" w:ascii="仿宋" w:hAnsi="仿宋" w:eastAsia="仿宋" w:cs="仿宋"/>
          <w:color w:val="auto"/>
          <w:highlight w:val="none"/>
          <w:u w:val="single"/>
          <w:shd w:val="clear" w:color="auto" w:fill="auto"/>
          <w:lang w:eastAsia="zh-CN"/>
        </w:rPr>
        <w:t>的</w:t>
      </w:r>
      <w:r>
        <w:rPr>
          <w:rFonts w:hint="eastAsia" w:ascii="仿宋" w:hAnsi="仿宋" w:eastAsia="仿宋" w:cs="仿宋"/>
          <w:color w:val="auto"/>
          <w:highlight w:val="none"/>
          <w:u w:val="single"/>
          <w:shd w:val="clear" w:color="auto" w:fill="auto"/>
          <w:lang w:val="en-US" w:eastAsia="zh-CN"/>
        </w:rPr>
        <w:t>30</w:t>
      </w:r>
      <w:r>
        <w:rPr>
          <w:rFonts w:hint="eastAsia" w:ascii="仿宋" w:hAnsi="仿宋" w:eastAsia="仿宋" w:cs="仿宋"/>
          <w:color w:val="auto"/>
          <w:highlight w:val="none"/>
          <w:u w:val="single"/>
          <w:shd w:val="clear" w:color="auto" w:fill="auto"/>
          <w:lang w:eastAsia="zh-CN"/>
        </w:rPr>
        <w:t>天</w:t>
      </w:r>
      <w:r>
        <w:rPr>
          <w:rFonts w:hint="eastAsia" w:ascii="仿宋" w:hAnsi="仿宋" w:eastAsia="仿宋" w:cs="仿宋"/>
          <w:color w:val="auto"/>
          <w:highlight w:val="none"/>
          <w:u w:val="single"/>
          <w:lang w:eastAsia="zh-CN"/>
        </w:rPr>
        <w:t>内</w:t>
      </w: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按照合同工期</w:t>
      </w:r>
      <w:r>
        <w:rPr>
          <w:rFonts w:hint="eastAsia" w:ascii="仿宋" w:hAnsi="仿宋" w:eastAsia="仿宋" w:cs="仿宋"/>
          <w:color w:val="auto"/>
          <w:highlight w:val="none"/>
          <w:lang w:eastAsia="zh-CN"/>
        </w:rPr>
        <w:t>向发包人提交工程进度计划，包括勘察工作计划、初步设计和施工图设计工作计划、设备及工器具购置工作计划（如果有）、施工组织设计和施工进度计划、工程</w:t>
      </w:r>
      <w:r>
        <w:rPr>
          <w:rFonts w:ascii="仿宋" w:hAnsi="仿宋" w:eastAsia="仿宋"/>
          <w:color w:val="auto"/>
          <w:highlight w:val="none"/>
          <w:lang w:eastAsia="zh-CN"/>
        </w:rPr>
        <w:t>形象进度控制节点计划（</w:t>
      </w:r>
      <w:r>
        <w:rPr>
          <w:rFonts w:hint="eastAsia" w:ascii="仿宋" w:hAnsi="仿宋" w:eastAsia="仿宋"/>
          <w:color w:val="auto"/>
          <w:highlight w:val="none"/>
          <w:lang w:eastAsia="zh-CN"/>
        </w:rPr>
        <w:t>包括基坑支护及土石方工程完成时间、工程桩完成时间</w:t>
      </w:r>
      <w:r>
        <w:rPr>
          <w:rFonts w:ascii="仿宋" w:hAnsi="仿宋" w:eastAsia="仿宋"/>
          <w:color w:val="auto"/>
          <w:highlight w:val="none"/>
          <w:lang w:eastAsia="zh-CN"/>
        </w:rPr>
        <w:t>、±0.0</w:t>
      </w:r>
      <w:r>
        <w:rPr>
          <w:rFonts w:hint="eastAsia" w:ascii="仿宋" w:hAnsi="仿宋" w:eastAsia="仿宋"/>
          <w:color w:val="auto"/>
          <w:highlight w:val="none"/>
          <w:lang w:eastAsia="zh-CN"/>
        </w:rPr>
        <w:t>0</w:t>
      </w:r>
      <w:r>
        <w:rPr>
          <w:rFonts w:ascii="仿宋" w:hAnsi="仿宋" w:eastAsia="仿宋"/>
          <w:color w:val="auto"/>
          <w:highlight w:val="none"/>
          <w:lang w:eastAsia="zh-CN"/>
        </w:rPr>
        <w:t>结构板完成时间、主体结构封顶完成时间、</w:t>
      </w:r>
      <w:r>
        <w:rPr>
          <w:rFonts w:hint="eastAsia" w:ascii="仿宋" w:hAnsi="仿宋" w:eastAsia="仿宋"/>
          <w:color w:val="auto"/>
          <w:highlight w:val="none"/>
          <w:lang w:eastAsia="zh-CN"/>
        </w:rPr>
        <w:t>脚手架拆除完成时间、室内装饰</w:t>
      </w:r>
      <w:r>
        <w:rPr>
          <w:rFonts w:ascii="仿宋" w:hAnsi="仿宋" w:eastAsia="仿宋"/>
          <w:color w:val="auto"/>
          <w:highlight w:val="none"/>
          <w:lang w:eastAsia="zh-CN"/>
        </w:rPr>
        <w:t>完成时间</w:t>
      </w:r>
      <w:r>
        <w:rPr>
          <w:rFonts w:hint="eastAsia" w:ascii="仿宋" w:hAnsi="仿宋" w:eastAsia="仿宋"/>
          <w:color w:val="auto"/>
          <w:highlight w:val="none"/>
          <w:lang w:eastAsia="zh-CN"/>
        </w:rPr>
        <w:t>、规划验收完成时间、人防工程验收完成时间、永水永电及燃气工程完成时间、消防验收完成时间、市政道路工程完成时间、竣工验收备案完成时间</w:t>
      </w:r>
      <w:r>
        <w:rPr>
          <w:rFonts w:ascii="仿宋" w:hAnsi="仿宋" w:eastAsia="仿宋"/>
          <w:color w:val="auto"/>
          <w:highlight w:val="none"/>
          <w:lang w:eastAsia="zh-CN"/>
        </w:rPr>
        <w:t>等）及工程进度用款计划，报监理</w:t>
      </w:r>
      <w:r>
        <w:rPr>
          <w:rFonts w:hint="eastAsia" w:ascii="仿宋" w:hAnsi="仿宋" w:eastAsia="仿宋"/>
          <w:color w:val="auto"/>
          <w:highlight w:val="none"/>
          <w:lang w:eastAsia="zh-CN"/>
        </w:rPr>
        <w:t>人</w:t>
      </w:r>
      <w:r>
        <w:rPr>
          <w:rFonts w:ascii="仿宋" w:hAnsi="仿宋" w:eastAsia="仿宋"/>
          <w:color w:val="auto"/>
          <w:highlight w:val="none"/>
          <w:lang w:eastAsia="zh-CN"/>
        </w:rPr>
        <w:t>及发包人审批；批准后的工程进度计划及工程进度用款计划作为合同</w:t>
      </w:r>
      <w:r>
        <w:rPr>
          <w:rFonts w:hint="eastAsia" w:ascii="仿宋" w:hAnsi="仿宋" w:eastAsia="仿宋"/>
          <w:color w:val="auto"/>
          <w:highlight w:val="none"/>
          <w:lang w:eastAsia="zh-CN"/>
        </w:rPr>
        <w:t>组成文件</w:t>
      </w:r>
      <w:r>
        <w:rPr>
          <w:rFonts w:ascii="仿宋" w:hAnsi="仿宋" w:eastAsia="仿宋"/>
          <w:color w:val="auto"/>
          <w:highlight w:val="none"/>
          <w:lang w:eastAsia="zh-CN"/>
        </w:rPr>
        <w:t>，按合同份数送各方存档。若承包人未按本规定在约定的时间内上报上述计划，则承包人承担一般违约责任1次。</w:t>
      </w:r>
    </w:p>
    <w:p w14:paraId="55BB787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40.3 提交工程进度报告和修订进度计划</w:t>
      </w:r>
      <w:bookmarkEnd w:id="1625"/>
    </w:p>
    <w:p w14:paraId="7201FECF">
      <w:pPr>
        <w:spacing w:line="360" w:lineRule="auto"/>
        <w:ind w:left="240" w:leftChars="1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☑承包人编制月勘察进度报告和修订进度计划的约定：</w:t>
      </w:r>
      <w:r>
        <w:rPr>
          <w:rFonts w:hint="eastAsia" w:ascii="仿宋" w:hAnsi="仿宋" w:eastAsia="仿宋" w:cs="仿宋"/>
          <w:color w:val="auto"/>
          <w:highlight w:val="none"/>
          <w:u w:val="single"/>
          <w:lang w:eastAsia="zh-CN"/>
        </w:rPr>
        <w:t xml:space="preserve"> 按发包人要求。                     </w:t>
      </w:r>
    </w:p>
    <w:p w14:paraId="3A3467F0">
      <w:pPr>
        <w:spacing w:line="360" w:lineRule="auto"/>
        <w:ind w:left="240" w:leftChars="1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☑承包人编制月初步设计进度报告和修订进度计划的约定：</w:t>
      </w:r>
      <w:r>
        <w:rPr>
          <w:rFonts w:hint="eastAsia" w:ascii="仿宋" w:hAnsi="仿宋" w:eastAsia="仿宋" w:cs="仿宋"/>
          <w:color w:val="auto"/>
          <w:highlight w:val="none"/>
          <w:u w:val="single"/>
          <w:lang w:eastAsia="zh-CN"/>
        </w:rPr>
        <w:t xml:space="preserve">  按发包人要求。                    </w:t>
      </w:r>
    </w:p>
    <w:p w14:paraId="4D729C3F">
      <w:pPr>
        <w:spacing w:line="360" w:lineRule="auto"/>
        <w:ind w:left="240" w:leftChars="1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承包人编制月施工图设计进度报告和修订进度计划的约定：</w:t>
      </w:r>
      <w:r>
        <w:rPr>
          <w:rFonts w:hint="eastAsia" w:ascii="仿宋" w:hAnsi="仿宋" w:eastAsia="仿宋" w:cs="仿宋"/>
          <w:color w:val="auto"/>
          <w:highlight w:val="none"/>
          <w:u w:val="single"/>
          <w:lang w:eastAsia="zh-CN"/>
        </w:rPr>
        <w:t xml:space="preserve"> 按发包人要求。           </w:t>
      </w:r>
    </w:p>
    <w:p w14:paraId="4F49315C">
      <w:pPr>
        <w:spacing w:line="360" w:lineRule="auto"/>
        <w:ind w:left="240" w:leftChars="1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承包人编制月BIM技术应用进度报告和修订进度计划的约定：</w:t>
      </w:r>
      <w:r>
        <w:rPr>
          <w:rFonts w:hint="eastAsia" w:ascii="仿宋" w:hAnsi="仿宋" w:eastAsia="仿宋" w:cs="仿宋"/>
          <w:color w:val="auto"/>
          <w:highlight w:val="none"/>
          <w:u w:val="single"/>
          <w:lang w:eastAsia="zh-CN"/>
        </w:rPr>
        <w:t xml:space="preserve"> 按发包人要求。 </w:t>
      </w:r>
    </w:p>
    <w:p w14:paraId="05FCA93C">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承包人编制月施工进度报告和修订进度计划的约定：</w:t>
      </w:r>
      <w:r>
        <w:rPr>
          <w:rFonts w:ascii="仿宋" w:hAnsi="仿宋" w:eastAsia="仿宋"/>
          <w:color w:val="auto"/>
          <w:highlight w:val="none"/>
          <w:u w:val="single"/>
          <w:lang w:eastAsia="zh-CN"/>
        </w:rPr>
        <w:t>承包人应按约定时间和要求,完成以下工作:</w:t>
      </w:r>
    </w:p>
    <w:p w14:paraId="3B398C50">
      <w:pPr>
        <w:spacing w:line="360" w:lineRule="auto"/>
        <w:ind w:right="11" w:firstLine="424" w:firstLineChars="177"/>
        <w:rPr>
          <w:rFonts w:ascii="仿宋" w:hAnsi="仿宋" w:eastAsia="仿宋"/>
          <w:color w:val="auto"/>
          <w:highlight w:val="none"/>
          <w:lang w:eastAsia="zh-CN"/>
        </w:rPr>
      </w:pPr>
      <w:r>
        <w:rPr>
          <w:rFonts w:ascii="仿宋" w:hAnsi="仿宋" w:eastAsia="仿宋"/>
          <w:color w:val="auto"/>
          <w:highlight w:val="none"/>
          <w:lang w:eastAsia="zh-CN"/>
        </w:rPr>
        <w:t>（1）在整个合同期间每周向监理工程师提交工程进度周报告（一式三份），记录施工现场工程的进度、主要开展的工作项目、每个项目雇用工人的数量、运到施工现场的材料数量、施工现场的机械和设备投入情况、天气状况以及安全生产工作情况等内容；</w:t>
      </w:r>
    </w:p>
    <w:p w14:paraId="5F707171">
      <w:pPr>
        <w:spacing w:line="360" w:lineRule="auto"/>
        <w:ind w:right="11" w:firstLine="424" w:firstLineChars="177"/>
        <w:rPr>
          <w:rFonts w:ascii="仿宋" w:hAnsi="仿宋" w:eastAsia="仿宋" w:cs="宋体"/>
          <w:snapToGrid w:val="0"/>
          <w:color w:val="auto"/>
          <w:highlight w:val="none"/>
          <w:lang w:eastAsia="zh-CN"/>
        </w:rPr>
      </w:pPr>
      <w:r>
        <w:rPr>
          <w:rFonts w:ascii="仿宋" w:hAnsi="仿宋" w:eastAsia="仿宋"/>
          <w:color w:val="auto"/>
          <w:highlight w:val="none"/>
          <w:lang w:eastAsia="zh-CN"/>
        </w:rPr>
        <w:t>（2）每月</w:t>
      </w:r>
      <w:r>
        <w:rPr>
          <w:rFonts w:ascii="仿宋" w:hAnsi="仿宋" w:eastAsia="仿宋"/>
          <w:color w:val="auto"/>
          <w:highlight w:val="none"/>
          <w:u w:val="single"/>
          <w:lang w:eastAsia="zh-CN"/>
        </w:rPr>
        <w:t>22日</w:t>
      </w:r>
      <w:r>
        <w:rPr>
          <w:rFonts w:ascii="仿宋" w:hAnsi="仿宋" w:eastAsia="仿宋"/>
          <w:color w:val="auto"/>
          <w:highlight w:val="none"/>
          <w:lang w:eastAsia="zh-CN"/>
        </w:rPr>
        <w:t>向监理工程师提交工程进度月报告和下月计划（一式三份），</w:t>
      </w:r>
      <w:r>
        <w:rPr>
          <w:rFonts w:hint="eastAsia" w:ascii="仿宋" w:hAnsi="仿宋" w:eastAsia="仿宋"/>
          <w:color w:val="auto"/>
          <w:highlight w:val="none"/>
          <w:lang w:eastAsia="zh-CN"/>
        </w:rPr>
        <w:t>内容包括：</w:t>
      </w:r>
      <w:r>
        <w:rPr>
          <w:rFonts w:ascii="仿宋" w:hAnsi="仿宋" w:eastAsia="仿宋" w:cs="宋体"/>
          <w:snapToGrid w:val="0"/>
          <w:color w:val="auto"/>
          <w:highlight w:val="none"/>
          <w:lang w:eastAsia="zh-CN"/>
        </w:rPr>
        <w:t>当月应完成的工程进度和实际完成进度统计报表，当月完成的工程量申报（要求分细项申报，并含有完成金额），当月工程进度分析（滞后或超前），进度滞后的补救措施，当月工程质量、安全生产、文明施工情况报告，当月工程事故报告（如果发生时，须同时报政府相关部门），当月</w:t>
      </w:r>
      <w:r>
        <w:rPr>
          <w:rFonts w:hint="eastAsia" w:ascii="仿宋" w:hAnsi="仿宋" w:eastAsia="仿宋" w:cs="宋体"/>
          <w:snapToGrid w:val="0"/>
          <w:color w:val="auto"/>
          <w:highlight w:val="none"/>
          <w:lang w:eastAsia="zh-CN"/>
        </w:rPr>
        <w:t>其管理范围内各专业间的组织管理、协调、配合等方面情况及所出现问题的专项报告。</w:t>
      </w:r>
      <w:r>
        <w:rPr>
          <w:rFonts w:ascii="仿宋" w:hAnsi="仿宋" w:eastAsia="仿宋"/>
          <w:color w:val="auto"/>
          <w:highlight w:val="none"/>
          <w:lang w:eastAsia="zh-CN"/>
        </w:rPr>
        <w:t>汇总当月运到施工现场的材料、设备数量，人工、材料、机械的施工完成量，提供工程进度照片；对工程施工中存在的问题，要分析原因、总结教训，制定整改措施。所提交的报告内容和格式除按合同规定内容外，还需达到监理公司关于工程进度报表内容和格式的要求，经监理单位审核后，报发包人批准后实施。</w:t>
      </w:r>
      <w:r>
        <w:rPr>
          <w:rFonts w:hint="eastAsia" w:ascii="仿宋" w:hAnsi="仿宋" w:eastAsia="仿宋" w:cs="宋体"/>
          <w:snapToGrid w:val="0"/>
          <w:color w:val="auto"/>
          <w:highlight w:val="none"/>
          <w:lang w:eastAsia="zh-CN"/>
        </w:rPr>
        <w:t>（统计时段从上月22</w:t>
      </w:r>
      <w:r>
        <w:rPr>
          <w:rFonts w:ascii="仿宋" w:hAnsi="仿宋" w:eastAsia="仿宋" w:cs="宋体"/>
          <w:snapToGrid w:val="0"/>
          <w:color w:val="auto"/>
          <w:highlight w:val="none"/>
          <w:lang w:eastAsia="zh-CN"/>
        </w:rPr>
        <w:t>日至当月2</w:t>
      </w:r>
      <w:r>
        <w:rPr>
          <w:rFonts w:hint="eastAsia" w:ascii="仿宋" w:hAnsi="仿宋" w:eastAsia="仿宋" w:cs="宋体"/>
          <w:snapToGrid w:val="0"/>
          <w:color w:val="auto"/>
          <w:highlight w:val="none"/>
          <w:lang w:eastAsia="zh-CN"/>
        </w:rPr>
        <w:t>1</w:t>
      </w:r>
      <w:r>
        <w:rPr>
          <w:rFonts w:ascii="仿宋" w:hAnsi="仿宋" w:eastAsia="仿宋" w:cs="宋体"/>
          <w:snapToGrid w:val="0"/>
          <w:color w:val="auto"/>
          <w:highlight w:val="none"/>
          <w:lang w:eastAsia="zh-CN"/>
        </w:rPr>
        <w:t>日）。</w:t>
      </w:r>
    </w:p>
    <w:p w14:paraId="49F43A57">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①当月应完成的工程进度和实际完成进度统计报表一式四份（说明提前或拖延原因）（时间从上月22日至当月21日）；</w:t>
      </w:r>
    </w:p>
    <w:p w14:paraId="3C1C2F2F">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②当月完成的工程量申报，要求分细项申报，并注明完成金额一式四份（时间从上月22日至当月21日）；</w:t>
      </w:r>
    </w:p>
    <w:p w14:paraId="433417B5">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③下</w:t>
      </w:r>
      <w:r>
        <w:rPr>
          <w:rFonts w:hint="eastAsia" w:ascii="仿宋" w:hAnsi="仿宋" w:eastAsia="仿宋"/>
          <w:color w:val="auto"/>
          <w:highlight w:val="none"/>
          <w:lang w:eastAsia="zh-CN"/>
        </w:rPr>
        <w:t>期</w:t>
      </w:r>
      <w:r>
        <w:rPr>
          <w:rFonts w:ascii="仿宋" w:hAnsi="仿宋" w:eastAsia="仿宋"/>
          <w:color w:val="auto"/>
          <w:highlight w:val="none"/>
          <w:lang w:eastAsia="zh-CN"/>
        </w:rPr>
        <w:t>资金使用计划一式四份（时间从当月22日至下月21日）；</w:t>
      </w:r>
    </w:p>
    <w:p w14:paraId="6A04799A">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④下</w:t>
      </w:r>
      <w:r>
        <w:rPr>
          <w:rFonts w:hint="eastAsia" w:ascii="仿宋" w:hAnsi="仿宋" w:eastAsia="仿宋"/>
          <w:color w:val="auto"/>
          <w:highlight w:val="none"/>
          <w:lang w:eastAsia="zh-CN"/>
        </w:rPr>
        <w:t>期</w:t>
      </w:r>
      <w:r>
        <w:rPr>
          <w:rFonts w:ascii="仿宋" w:hAnsi="仿宋" w:eastAsia="仿宋"/>
          <w:color w:val="auto"/>
          <w:highlight w:val="none"/>
          <w:lang w:eastAsia="zh-CN"/>
        </w:rPr>
        <w:t>施工进度计划一式四份（时间从当月22日至下月21日）；</w:t>
      </w:r>
    </w:p>
    <w:p w14:paraId="30E302B1">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⑤下</w:t>
      </w:r>
      <w:r>
        <w:rPr>
          <w:rFonts w:hint="eastAsia" w:ascii="仿宋" w:hAnsi="仿宋" w:eastAsia="仿宋"/>
          <w:color w:val="auto"/>
          <w:highlight w:val="none"/>
          <w:lang w:eastAsia="zh-CN"/>
        </w:rPr>
        <w:t>期</w:t>
      </w:r>
      <w:r>
        <w:rPr>
          <w:rFonts w:ascii="仿宋" w:hAnsi="仿宋" w:eastAsia="仿宋"/>
          <w:color w:val="auto"/>
          <w:highlight w:val="none"/>
          <w:lang w:eastAsia="zh-CN"/>
        </w:rPr>
        <w:t>施工拟投入设备、劳动力计划一式四份（时间从当月22日至下月21日）；</w:t>
      </w:r>
    </w:p>
    <w:p w14:paraId="1712017C">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⑥当月工程质量、安全生产、文明施工情况报告一式四份（时间从上月22日至当月21日）；</w:t>
      </w:r>
    </w:p>
    <w:p w14:paraId="4D9167E9">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⑦承包人负责向发包人提供工程事故报告一式四份（如果发生时）；</w:t>
      </w:r>
    </w:p>
    <w:p w14:paraId="6669BC77">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⑧承包人应在每月22日前递交上月工程进度款（资金使用反馈表），由监理工程师核实确认资金落实情况，保证承包人及平行分包专业应将工程进度款专用于实施本合同工程各单体建筑所需的材料及人工费用、施工机械、工程设备。</w:t>
      </w:r>
    </w:p>
    <w:p w14:paraId="49F13A92">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⑨承包人应在每月22日前向发包人提交对各专业间的组织管理、协调、配合等方面情况及所出现问题的专项报告。</w:t>
      </w:r>
    </w:p>
    <w:p w14:paraId="210F3EA4">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⑩现场签证管理的要求为：如遇到需要现场签证的工程项目，发包人和承包人必须做好工程量记录。承包人应在该项工程发生后7天内办理签证（</w:t>
      </w:r>
      <w:r>
        <w:rPr>
          <w:rFonts w:ascii="仿宋" w:hAnsi="仿宋" w:eastAsia="仿宋"/>
          <w:color w:val="auto"/>
          <w:highlight w:val="none"/>
          <w:u w:val="single"/>
          <w:lang w:eastAsia="zh-CN"/>
        </w:rPr>
        <w:t>以监理单位签收的时间为准）</w:t>
      </w:r>
      <w:r>
        <w:rPr>
          <w:rFonts w:ascii="仿宋" w:hAnsi="仿宋" w:eastAsia="仿宋"/>
          <w:color w:val="auto"/>
          <w:highlight w:val="none"/>
          <w:lang w:eastAsia="zh-CN"/>
        </w:rPr>
        <w:t>，过期发包人不予签认。</w:t>
      </w:r>
    </w:p>
    <w:p w14:paraId="7E599D5F">
      <w:pPr>
        <w:spacing w:line="360" w:lineRule="auto"/>
        <w:ind w:left="240" w:leftChars="1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承包人编制月设备及工器具购置进度报告和修订进度计划的约定：</w:t>
      </w:r>
      <w:r>
        <w:rPr>
          <w:rFonts w:hint="eastAsia" w:ascii="仿宋" w:hAnsi="仿宋" w:eastAsia="仿宋" w:cs="仿宋"/>
          <w:color w:val="auto"/>
          <w:highlight w:val="none"/>
          <w:u w:val="single"/>
          <w:lang w:eastAsia="zh-CN"/>
        </w:rPr>
        <w:t xml:space="preserve"> 按发包人要求。    </w:t>
      </w:r>
    </w:p>
    <w:p w14:paraId="2F11E449">
      <w:pPr>
        <w:spacing w:line="360" w:lineRule="auto"/>
        <w:ind w:left="240" w:leftChars="1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承包人编制月其他服务进度报告和修订进度计划的约定：</w:t>
      </w:r>
      <w:r>
        <w:rPr>
          <w:rFonts w:hint="eastAsia" w:ascii="仿宋" w:hAnsi="仿宋" w:eastAsia="仿宋" w:cs="仿宋"/>
          <w:color w:val="auto"/>
          <w:highlight w:val="none"/>
          <w:u w:val="single"/>
          <w:lang w:eastAsia="zh-CN"/>
        </w:rPr>
        <w:t xml:space="preserve"> 按发包人要求。            </w:t>
      </w:r>
    </w:p>
    <w:p w14:paraId="6DBFD247">
      <w:pPr>
        <w:spacing w:line="360" w:lineRule="auto"/>
        <w:rPr>
          <w:rFonts w:ascii="仿宋" w:hAnsi="仿宋" w:eastAsia="仿宋"/>
          <w:color w:val="auto"/>
          <w:highlight w:val="none"/>
          <w:lang w:eastAsia="zh-CN"/>
        </w:rPr>
      </w:pPr>
      <w:bookmarkStart w:id="1626" w:name="_Toc472695176"/>
      <w:bookmarkStart w:id="1627" w:name="_Toc445392618"/>
      <w:bookmarkStart w:id="1628" w:name="_Toc437441245"/>
      <w:bookmarkStart w:id="1629" w:name="_Toc450206791"/>
      <w:bookmarkStart w:id="1630" w:name="_Toc47694413"/>
      <w:r>
        <w:rPr>
          <w:rFonts w:hint="eastAsia" w:ascii="仿宋" w:hAnsi="仿宋" w:eastAsia="仿宋"/>
          <w:color w:val="auto"/>
          <w:highlight w:val="none"/>
          <w:lang w:eastAsia="zh-CN"/>
        </w:rPr>
        <w:t>40</w:t>
      </w:r>
      <w:r>
        <w:rPr>
          <w:rFonts w:ascii="仿宋" w:hAnsi="仿宋" w:eastAsia="仿宋"/>
          <w:color w:val="auto"/>
          <w:highlight w:val="none"/>
          <w:lang w:eastAsia="zh-CN"/>
        </w:rPr>
        <w:t>.</w:t>
      </w:r>
      <w:r>
        <w:rPr>
          <w:rFonts w:hint="eastAsia" w:ascii="仿宋" w:hAnsi="仿宋" w:eastAsia="仿宋"/>
          <w:color w:val="auto"/>
          <w:highlight w:val="none"/>
          <w:lang w:eastAsia="zh-CN"/>
        </w:rPr>
        <w:t>4</w:t>
      </w:r>
      <w:r>
        <w:rPr>
          <w:rFonts w:ascii="仿宋" w:hAnsi="仿宋" w:eastAsia="仿宋"/>
          <w:color w:val="auto"/>
          <w:highlight w:val="none"/>
          <w:lang w:eastAsia="zh-CN"/>
        </w:rPr>
        <w:t xml:space="preserve"> </w:t>
      </w:r>
      <w:bookmarkEnd w:id="1626"/>
      <w:bookmarkEnd w:id="1627"/>
      <w:bookmarkEnd w:id="1628"/>
      <w:bookmarkEnd w:id="1629"/>
      <w:r>
        <w:rPr>
          <w:rFonts w:hint="eastAsia" w:ascii="仿宋" w:hAnsi="仿宋" w:eastAsia="仿宋"/>
          <w:color w:val="auto"/>
          <w:highlight w:val="none"/>
          <w:lang w:eastAsia="zh-CN"/>
        </w:rPr>
        <w:t>实际进度与进度计划不符时的处理</w:t>
      </w:r>
      <w:r>
        <w:rPr>
          <w:rFonts w:ascii="仿宋" w:hAnsi="仿宋" w:eastAsia="仿宋"/>
          <w:color w:val="auto"/>
          <w:highlight w:val="none"/>
          <w:lang w:eastAsia="zh-CN"/>
        </w:rPr>
        <w:t xml:space="preserve"> </w:t>
      </w:r>
    </w:p>
    <w:p w14:paraId="4D002F4B">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40.4.1 施工总控进度考核</w:t>
      </w:r>
    </w:p>
    <w:p w14:paraId="7D98DBB3">
      <w:pPr>
        <w:spacing w:line="360" w:lineRule="auto"/>
        <w:ind w:left="485" w:leftChars="202" w:firstLine="532" w:firstLineChars="222"/>
        <w:rPr>
          <w:rFonts w:hint="eastAsia" w:ascii="仿宋" w:hAnsi="仿宋" w:eastAsia="仿宋"/>
          <w:color w:val="auto"/>
          <w:highlight w:val="none"/>
          <w:lang w:eastAsia="zh-CN"/>
        </w:rPr>
      </w:pPr>
      <w:r>
        <w:rPr>
          <w:rFonts w:hint="eastAsia" w:ascii="仿宋" w:hAnsi="仿宋" w:eastAsia="仿宋"/>
          <w:color w:val="auto"/>
          <w:highlight w:val="none"/>
          <w:lang w:eastAsia="zh-CN"/>
        </w:rPr>
        <w:t>承包人应严格按照进度控制节点要求组织施工，发包人将按进度控制节点进行考核，如因承包人原因发生工期滞后情况：</w:t>
      </w:r>
    </w:p>
    <w:p w14:paraId="0B1D58EE">
      <w:pPr>
        <w:spacing w:line="360" w:lineRule="auto"/>
        <w:ind w:left="485" w:leftChars="202" w:firstLine="532" w:firstLineChars="222"/>
        <w:rPr>
          <w:rFonts w:hint="eastAsia"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前后两个进度控制节点之间</w:t>
      </w:r>
      <w:r>
        <w:rPr>
          <w:rFonts w:ascii="仿宋" w:hAnsi="仿宋" w:eastAsia="仿宋"/>
          <w:color w:val="auto"/>
          <w:highlight w:val="none"/>
          <w:lang w:eastAsia="zh-CN"/>
        </w:rPr>
        <w:t>延误</w:t>
      </w:r>
      <w:r>
        <w:rPr>
          <w:rFonts w:hint="eastAsia" w:ascii="仿宋" w:hAnsi="仿宋" w:eastAsia="仿宋"/>
          <w:color w:val="auto"/>
          <w:highlight w:val="none"/>
          <w:lang w:eastAsia="zh-CN"/>
        </w:rPr>
        <w:t>5</w:t>
      </w:r>
      <w:r>
        <w:rPr>
          <w:rFonts w:ascii="仿宋" w:hAnsi="仿宋" w:eastAsia="仿宋"/>
          <w:color w:val="auto"/>
          <w:highlight w:val="none"/>
          <w:lang w:eastAsia="zh-CN"/>
        </w:rPr>
        <w:t>天以内的，</w:t>
      </w:r>
      <w:r>
        <w:rPr>
          <w:rFonts w:hint="eastAsia" w:ascii="仿宋" w:hAnsi="仿宋" w:eastAsia="仿宋"/>
          <w:color w:val="auto"/>
          <w:highlight w:val="none"/>
          <w:lang w:eastAsia="zh-CN"/>
        </w:rPr>
        <w:t>发包人对承包人进行</w:t>
      </w:r>
      <w:r>
        <w:rPr>
          <w:rFonts w:ascii="仿宋" w:hAnsi="仿宋" w:eastAsia="仿宋"/>
          <w:color w:val="auto"/>
          <w:highlight w:val="none"/>
          <w:lang w:eastAsia="zh-CN"/>
        </w:rPr>
        <w:t>书面警告；</w:t>
      </w:r>
    </w:p>
    <w:p w14:paraId="190D839C">
      <w:pPr>
        <w:spacing w:line="360" w:lineRule="auto"/>
        <w:ind w:left="485" w:leftChars="202" w:firstLine="532" w:firstLineChars="222"/>
        <w:rPr>
          <w:rFonts w:hint="eastAsia" w:ascii="仿宋" w:hAnsi="仿宋" w:eastAsia="仿宋"/>
          <w:color w:val="auto"/>
          <w:highlight w:val="none"/>
          <w:u w:val="single"/>
          <w:lang w:eastAsia="zh-CN"/>
        </w:rPr>
      </w:pPr>
      <w:r>
        <w:rPr>
          <w:rFonts w:ascii="仿宋" w:hAnsi="仿宋" w:eastAsia="仿宋"/>
          <w:color w:val="auto"/>
          <w:highlight w:val="none"/>
          <w:lang w:eastAsia="zh-CN"/>
        </w:rPr>
        <w:t>（2）</w:t>
      </w:r>
      <w:r>
        <w:rPr>
          <w:rFonts w:hint="eastAsia" w:ascii="仿宋" w:hAnsi="仿宋" w:eastAsia="仿宋"/>
          <w:color w:val="auto"/>
          <w:highlight w:val="none"/>
          <w:lang w:eastAsia="zh-CN"/>
        </w:rPr>
        <w:t>前后两个进度控制节点之间</w:t>
      </w:r>
      <w:r>
        <w:rPr>
          <w:rFonts w:ascii="仿宋" w:hAnsi="仿宋" w:eastAsia="仿宋"/>
          <w:color w:val="auto"/>
          <w:highlight w:val="none"/>
          <w:lang w:eastAsia="zh-CN"/>
        </w:rPr>
        <w:t>延误</w:t>
      </w:r>
      <w:r>
        <w:rPr>
          <w:rFonts w:hint="eastAsia" w:ascii="仿宋" w:hAnsi="仿宋" w:eastAsia="仿宋"/>
          <w:color w:val="auto"/>
          <w:highlight w:val="none"/>
          <w:lang w:eastAsia="zh-CN"/>
        </w:rPr>
        <w:t>5～1</w:t>
      </w:r>
      <w:r>
        <w:rPr>
          <w:rFonts w:ascii="仿宋" w:hAnsi="仿宋" w:eastAsia="仿宋"/>
          <w:color w:val="auto"/>
          <w:highlight w:val="none"/>
          <w:lang w:eastAsia="zh-CN"/>
        </w:rPr>
        <w:t>0天的，</w:t>
      </w:r>
      <w:r>
        <w:rPr>
          <w:rFonts w:hint="eastAsia" w:ascii="仿宋" w:hAnsi="仿宋" w:eastAsia="仿宋"/>
          <w:color w:val="auto"/>
          <w:highlight w:val="none"/>
          <w:u w:val="single"/>
          <w:lang w:eastAsia="zh-CN"/>
        </w:rPr>
        <w:t>发包人有权要求承包人支付违约金2</w:t>
      </w:r>
      <w:r>
        <w:rPr>
          <w:rFonts w:ascii="仿宋" w:hAnsi="仿宋" w:eastAsia="仿宋"/>
          <w:color w:val="auto"/>
          <w:highlight w:val="none"/>
          <w:u w:val="single"/>
          <w:lang w:eastAsia="zh-CN"/>
        </w:rPr>
        <w:t>万元</w:t>
      </w:r>
      <w:r>
        <w:rPr>
          <w:rFonts w:hint="eastAsia" w:ascii="仿宋" w:hAnsi="仿宋" w:eastAsia="仿宋"/>
          <w:color w:val="auto"/>
          <w:highlight w:val="none"/>
          <w:u w:val="single"/>
          <w:lang w:eastAsia="zh-CN"/>
        </w:rPr>
        <w:t>/天</w:t>
      </w:r>
      <w:r>
        <w:rPr>
          <w:rFonts w:ascii="仿宋" w:hAnsi="仿宋" w:eastAsia="仿宋"/>
          <w:color w:val="auto"/>
          <w:highlight w:val="none"/>
          <w:u w:val="single"/>
          <w:lang w:eastAsia="zh-CN"/>
        </w:rPr>
        <w:t>；</w:t>
      </w:r>
    </w:p>
    <w:p w14:paraId="55F7B2C8">
      <w:pPr>
        <w:spacing w:line="360" w:lineRule="auto"/>
        <w:ind w:left="485" w:leftChars="202" w:firstLine="532" w:firstLineChars="222"/>
        <w:rPr>
          <w:rFonts w:ascii="仿宋" w:hAnsi="仿宋" w:eastAsia="仿宋"/>
          <w:color w:val="auto"/>
          <w:highlight w:val="none"/>
          <w:u w:val="single"/>
          <w:lang w:eastAsia="zh-CN"/>
        </w:rPr>
      </w:pPr>
      <w:r>
        <w:rPr>
          <w:rFonts w:ascii="仿宋" w:hAnsi="仿宋" w:eastAsia="仿宋"/>
          <w:color w:val="auto"/>
          <w:highlight w:val="none"/>
          <w:lang w:eastAsia="zh-CN"/>
        </w:rPr>
        <w:t>（3）</w:t>
      </w:r>
      <w:r>
        <w:rPr>
          <w:rFonts w:hint="eastAsia" w:ascii="仿宋" w:hAnsi="仿宋" w:eastAsia="仿宋"/>
          <w:color w:val="auto"/>
          <w:highlight w:val="none"/>
          <w:lang w:eastAsia="zh-CN"/>
        </w:rPr>
        <w:t>前后两个进度控制节点之间</w:t>
      </w:r>
      <w:r>
        <w:rPr>
          <w:rFonts w:ascii="仿宋" w:hAnsi="仿宋" w:eastAsia="仿宋"/>
          <w:color w:val="auto"/>
          <w:highlight w:val="none"/>
          <w:lang w:eastAsia="zh-CN"/>
        </w:rPr>
        <w:t>延误</w:t>
      </w:r>
      <w:r>
        <w:rPr>
          <w:rFonts w:hint="eastAsia" w:ascii="仿宋" w:hAnsi="仿宋" w:eastAsia="仿宋"/>
          <w:color w:val="auto"/>
          <w:highlight w:val="none"/>
          <w:lang w:eastAsia="zh-CN"/>
        </w:rPr>
        <w:t>10～2</w:t>
      </w:r>
      <w:r>
        <w:rPr>
          <w:rFonts w:ascii="仿宋" w:hAnsi="仿宋" w:eastAsia="仿宋"/>
          <w:color w:val="auto"/>
          <w:highlight w:val="none"/>
          <w:lang w:eastAsia="zh-CN"/>
        </w:rPr>
        <w:t>0天的，</w:t>
      </w:r>
      <w:r>
        <w:rPr>
          <w:rFonts w:ascii="仿宋" w:hAnsi="仿宋" w:eastAsia="仿宋"/>
          <w:color w:val="auto"/>
          <w:highlight w:val="none"/>
          <w:u w:val="single"/>
          <w:lang w:eastAsia="zh-CN"/>
        </w:rPr>
        <w:t>发包人</w:t>
      </w:r>
      <w:r>
        <w:rPr>
          <w:rFonts w:hint="eastAsia" w:ascii="仿宋" w:hAnsi="仿宋" w:eastAsia="仿宋"/>
          <w:color w:val="auto"/>
          <w:highlight w:val="none"/>
          <w:u w:val="single"/>
          <w:lang w:eastAsia="zh-CN"/>
        </w:rPr>
        <w:t>有权要求承包人支付违约金5</w:t>
      </w:r>
      <w:r>
        <w:rPr>
          <w:rFonts w:ascii="仿宋" w:hAnsi="仿宋" w:eastAsia="仿宋"/>
          <w:color w:val="auto"/>
          <w:highlight w:val="none"/>
          <w:u w:val="single"/>
          <w:lang w:eastAsia="zh-CN"/>
        </w:rPr>
        <w:t>万元</w:t>
      </w:r>
      <w:r>
        <w:rPr>
          <w:rFonts w:hint="eastAsia" w:ascii="仿宋" w:hAnsi="仿宋" w:eastAsia="仿宋"/>
          <w:color w:val="auto"/>
          <w:highlight w:val="none"/>
          <w:u w:val="single"/>
          <w:lang w:eastAsia="zh-CN"/>
        </w:rPr>
        <w:t>/天，并有权要求承包人提出整改方案并提供加盖公司公章书面道歉函</w:t>
      </w:r>
      <w:r>
        <w:rPr>
          <w:rFonts w:ascii="仿宋" w:hAnsi="仿宋" w:eastAsia="仿宋"/>
          <w:color w:val="auto"/>
          <w:highlight w:val="none"/>
          <w:u w:val="single"/>
          <w:lang w:eastAsia="zh-CN"/>
        </w:rPr>
        <w:t>；</w:t>
      </w:r>
    </w:p>
    <w:p w14:paraId="3D8C8BF4">
      <w:pPr>
        <w:spacing w:line="360" w:lineRule="auto"/>
        <w:ind w:left="485" w:leftChars="202" w:firstLine="532" w:firstLineChars="222"/>
        <w:rPr>
          <w:rFonts w:hint="eastAsia" w:ascii="仿宋" w:hAnsi="仿宋" w:eastAsia="仿宋"/>
          <w:color w:val="auto"/>
          <w:highlight w:val="none"/>
          <w:u w:val="singl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4</w:t>
      </w:r>
      <w:r>
        <w:rPr>
          <w:rFonts w:ascii="仿宋" w:hAnsi="仿宋" w:eastAsia="仿宋"/>
          <w:color w:val="auto"/>
          <w:highlight w:val="none"/>
          <w:lang w:eastAsia="zh-CN"/>
        </w:rPr>
        <w:t>）</w:t>
      </w:r>
      <w:r>
        <w:rPr>
          <w:rFonts w:hint="eastAsia" w:ascii="仿宋" w:hAnsi="仿宋" w:eastAsia="仿宋"/>
          <w:color w:val="auto"/>
          <w:highlight w:val="none"/>
          <w:lang w:eastAsia="zh-CN"/>
        </w:rPr>
        <w:t>前后两个进度控制节点之间</w:t>
      </w:r>
      <w:r>
        <w:rPr>
          <w:rFonts w:ascii="仿宋" w:hAnsi="仿宋" w:eastAsia="仿宋"/>
          <w:color w:val="auto"/>
          <w:highlight w:val="none"/>
          <w:lang w:eastAsia="zh-CN"/>
        </w:rPr>
        <w:t>延误</w:t>
      </w:r>
      <w:r>
        <w:rPr>
          <w:rFonts w:hint="eastAsia" w:ascii="仿宋" w:hAnsi="仿宋" w:eastAsia="仿宋"/>
          <w:color w:val="auto"/>
          <w:highlight w:val="none"/>
          <w:lang w:eastAsia="zh-CN"/>
        </w:rPr>
        <w:t>20～3</w:t>
      </w:r>
      <w:r>
        <w:rPr>
          <w:rFonts w:ascii="仿宋" w:hAnsi="仿宋" w:eastAsia="仿宋"/>
          <w:color w:val="auto"/>
          <w:highlight w:val="none"/>
          <w:lang w:eastAsia="zh-CN"/>
        </w:rPr>
        <w:t>0天的，</w:t>
      </w:r>
      <w:r>
        <w:rPr>
          <w:rFonts w:hint="eastAsia" w:ascii="仿宋" w:hAnsi="仿宋" w:eastAsia="仿宋"/>
          <w:color w:val="auto"/>
          <w:highlight w:val="none"/>
          <w:u w:val="single"/>
          <w:lang w:eastAsia="zh-CN"/>
        </w:rPr>
        <w:t>发包人有权要求承包人支付违约金10</w:t>
      </w:r>
      <w:r>
        <w:rPr>
          <w:rFonts w:ascii="仿宋" w:hAnsi="仿宋" w:eastAsia="仿宋"/>
          <w:color w:val="auto"/>
          <w:highlight w:val="none"/>
          <w:u w:val="single"/>
          <w:lang w:eastAsia="zh-CN"/>
        </w:rPr>
        <w:t>万元</w:t>
      </w:r>
      <w:r>
        <w:rPr>
          <w:rFonts w:hint="eastAsia" w:ascii="仿宋" w:hAnsi="仿宋" w:eastAsia="仿宋"/>
          <w:color w:val="auto"/>
          <w:highlight w:val="none"/>
          <w:u w:val="single"/>
          <w:lang w:eastAsia="zh-CN"/>
        </w:rPr>
        <w:t>/天，并有权要求撤换承包人项目部主要管理人员及约谈公司主要负责人</w:t>
      </w:r>
      <w:r>
        <w:rPr>
          <w:rFonts w:ascii="仿宋" w:hAnsi="仿宋" w:eastAsia="仿宋"/>
          <w:color w:val="auto"/>
          <w:highlight w:val="none"/>
          <w:u w:val="single"/>
          <w:lang w:eastAsia="zh-CN"/>
        </w:rPr>
        <w:t>；</w:t>
      </w:r>
    </w:p>
    <w:p w14:paraId="17403BD9">
      <w:pPr>
        <w:spacing w:line="360" w:lineRule="auto"/>
        <w:ind w:left="485" w:leftChars="202" w:firstLine="532" w:firstLineChars="222"/>
        <w:rPr>
          <w:rFonts w:hint="eastAsia" w:ascii="仿宋" w:hAnsi="仿宋" w:eastAsia="仿宋"/>
          <w:color w:val="auto"/>
          <w:highlight w:val="none"/>
          <w:lang w:eastAsia="zh-CN"/>
        </w:rPr>
      </w:pPr>
      <w:r>
        <w:rPr>
          <w:rFonts w:hint="eastAsia" w:ascii="仿宋" w:hAnsi="仿宋" w:eastAsia="仿宋"/>
          <w:color w:val="auto"/>
          <w:highlight w:val="none"/>
          <w:lang w:eastAsia="zh-CN"/>
        </w:rPr>
        <w:t>（5）</w:t>
      </w:r>
      <w:r>
        <w:rPr>
          <w:rFonts w:hint="eastAsia" w:ascii="仿宋" w:hAnsi="仿宋" w:eastAsia="仿宋"/>
          <w:color w:val="auto"/>
          <w:highlight w:val="none"/>
          <w:u w:val="single"/>
          <w:lang w:eastAsia="zh-CN"/>
        </w:rPr>
        <w:t>前后两个进度控制节点之间</w:t>
      </w:r>
      <w:r>
        <w:rPr>
          <w:rFonts w:ascii="仿宋" w:hAnsi="仿宋" w:eastAsia="仿宋"/>
          <w:color w:val="auto"/>
          <w:highlight w:val="none"/>
          <w:u w:val="single"/>
          <w:lang w:eastAsia="zh-CN"/>
        </w:rPr>
        <w:t>延误</w:t>
      </w:r>
      <w:r>
        <w:rPr>
          <w:rFonts w:hint="eastAsia" w:ascii="仿宋" w:hAnsi="仿宋" w:eastAsia="仿宋"/>
          <w:color w:val="auto"/>
          <w:highlight w:val="none"/>
          <w:u w:val="single"/>
          <w:lang w:eastAsia="zh-CN"/>
        </w:rPr>
        <w:t>超过30天的，承担违约责任，发包人有权要求承包人支付违约金25</w:t>
      </w:r>
      <w:r>
        <w:rPr>
          <w:rFonts w:ascii="仿宋" w:hAnsi="仿宋" w:eastAsia="仿宋"/>
          <w:color w:val="auto"/>
          <w:highlight w:val="none"/>
          <w:u w:val="single"/>
          <w:lang w:eastAsia="zh-CN"/>
        </w:rPr>
        <w:t>万元</w:t>
      </w:r>
      <w:r>
        <w:rPr>
          <w:rFonts w:hint="eastAsia" w:ascii="仿宋" w:hAnsi="仿宋" w:eastAsia="仿宋"/>
          <w:color w:val="auto"/>
          <w:highlight w:val="none"/>
          <w:u w:val="single"/>
          <w:lang w:eastAsia="zh-CN"/>
        </w:rPr>
        <w:t>/天，且发包人有权解除合同；</w:t>
      </w:r>
    </w:p>
    <w:p w14:paraId="042B15FE">
      <w:pPr>
        <w:spacing w:line="360" w:lineRule="auto"/>
        <w:ind w:left="485" w:leftChars="202" w:firstLine="532" w:firstLineChars="222"/>
        <w:rPr>
          <w:rFonts w:hint="eastAsia" w:ascii="仿宋" w:hAnsi="仿宋" w:eastAsia="仿宋"/>
          <w:color w:val="auto"/>
          <w:highlight w:val="none"/>
          <w:lang w:eastAsia="zh-CN"/>
        </w:rPr>
      </w:pPr>
      <w:r>
        <w:rPr>
          <w:rFonts w:hint="eastAsia" w:ascii="仿宋" w:hAnsi="仿宋" w:eastAsia="仿宋"/>
          <w:color w:val="auto"/>
          <w:highlight w:val="none"/>
          <w:lang w:eastAsia="zh-CN"/>
        </w:rPr>
        <w:t>（6）以上违约金发包人有权在考核当期进度款中扣除，若前段工期滞后，而承包人通过优化施工组织方案下一阶段考核时未发生工期滞后，则上述一阶段工期滞后的违约金可以在考核下一期进度款中返还。</w:t>
      </w:r>
    </w:p>
    <w:p w14:paraId="00130EC7">
      <w:pPr>
        <w:spacing w:line="360" w:lineRule="auto"/>
        <w:ind w:right="11" w:firstLine="900" w:firstLineChars="375"/>
        <w:rPr>
          <w:rFonts w:hint="default" w:ascii="仿宋" w:hAnsi="仿宋" w:eastAsia="仿宋"/>
          <w:color w:val="auto"/>
          <w:highlight w:val="none"/>
          <w:lang w:val="en-US" w:eastAsia="zh-CN"/>
        </w:rPr>
      </w:pPr>
      <w:r>
        <w:rPr>
          <w:rFonts w:hint="eastAsia" w:ascii="仿宋" w:hAnsi="仿宋" w:eastAsia="仿宋"/>
          <w:color w:val="auto"/>
          <w:highlight w:val="none"/>
          <w:lang w:eastAsia="zh-CN"/>
        </w:rPr>
        <w:t>（</w:t>
      </w:r>
      <w:r>
        <w:rPr>
          <w:rFonts w:hint="eastAsia" w:ascii="仿宋" w:hAnsi="仿宋" w:eastAsia="仿宋"/>
          <w:color w:val="auto"/>
          <w:highlight w:val="none"/>
          <w:lang w:val="en-US" w:eastAsia="zh-CN"/>
        </w:rPr>
        <w:t>7）竣工验收及交付节点工期滞后按本合同第</w:t>
      </w:r>
      <w:r>
        <w:rPr>
          <w:rFonts w:ascii="仿宋" w:hAnsi="仿宋" w:eastAsia="仿宋" w:cs="宋体"/>
          <w:bCs/>
          <w:snapToGrid w:val="0"/>
          <w:color w:val="auto"/>
          <w:highlight w:val="none"/>
          <w:lang w:eastAsia="zh-CN"/>
        </w:rPr>
        <w:t>95.</w:t>
      </w:r>
      <w:r>
        <w:rPr>
          <w:rFonts w:hint="eastAsia" w:ascii="仿宋" w:hAnsi="仿宋" w:eastAsia="仿宋" w:cs="宋体"/>
          <w:bCs/>
          <w:snapToGrid w:val="0"/>
          <w:color w:val="auto"/>
          <w:highlight w:val="none"/>
          <w:lang w:eastAsia="zh-CN"/>
        </w:rPr>
        <w:t xml:space="preserve">3 </w:t>
      </w:r>
      <w:r>
        <w:rPr>
          <w:rFonts w:hint="eastAsia" w:ascii="仿宋" w:hAnsi="仿宋" w:eastAsia="仿宋" w:cs="宋体"/>
          <w:bCs/>
          <w:snapToGrid w:val="0"/>
          <w:color w:val="auto"/>
          <w:highlight w:val="none"/>
          <w:lang w:val="en-US" w:eastAsia="zh-CN"/>
        </w:rPr>
        <w:t>（1）款约定</w:t>
      </w:r>
      <w:r>
        <w:rPr>
          <w:rFonts w:hint="eastAsia" w:ascii="仿宋" w:hAnsi="仿宋" w:eastAsia="仿宋"/>
          <w:color w:val="auto"/>
          <w:highlight w:val="none"/>
          <w:lang w:val="en-US" w:eastAsia="zh-CN"/>
        </w:rPr>
        <w:t>执行。</w:t>
      </w:r>
    </w:p>
    <w:p w14:paraId="65C95919">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40.4.2 前后两个进度控制节点之间月进度考核</w:t>
      </w:r>
    </w:p>
    <w:p w14:paraId="381A7C8D">
      <w:pPr>
        <w:spacing w:line="360" w:lineRule="auto"/>
        <w:ind w:left="485" w:leftChars="202" w:firstLine="532" w:firstLineChars="222"/>
        <w:rPr>
          <w:rFonts w:ascii="仿宋" w:hAnsi="仿宋" w:eastAsia="仿宋"/>
          <w:color w:val="auto"/>
          <w:highlight w:val="none"/>
          <w:lang w:eastAsia="zh-CN"/>
        </w:rPr>
      </w:pPr>
      <w:r>
        <w:rPr>
          <w:rFonts w:hint="eastAsia" w:ascii="仿宋" w:hAnsi="仿宋" w:eastAsia="仿宋"/>
          <w:color w:val="auto"/>
          <w:highlight w:val="none"/>
          <w:lang w:eastAsia="zh-CN"/>
        </w:rPr>
        <w:t>前后两个进度控制节点之间</w:t>
      </w:r>
      <w:r>
        <w:rPr>
          <w:rFonts w:ascii="仿宋" w:hAnsi="仿宋" w:eastAsia="仿宋"/>
          <w:color w:val="auto"/>
          <w:highlight w:val="none"/>
          <w:lang w:eastAsia="zh-CN"/>
        </w:rPr>
        <w:t>，</w:t>
      </w:r>
      <w:r>
        <w:rPr>
          <w:rFonts w:hint="eastAsia" w:ascii="仿宋" w:hAnsi="仿宋" w:eastAsia="仿宋"/>
          <w:color w:val="auto"/>
          <w:highlight w:val="none"/>
          <w:lang w:eastAsia="zh-CN"/>
        </w:rPr>
        <w:t>发包人授权并要求监理人严格审查</w:t>
      </w:r>
      <w:r>
        <w:rPr>
          <w:rFonts w:ascii="仿宋" w:hAnsi="仿宋" w:eastAsia="仿宋"/>
          <w:color w:val="auto"/>
          <w:highlight w:val="none"/>
          <w:lang w:eastAsia="zh-CN"/>
        </w:rPr>
        <w:t>月施工进度报告</w:t>
      </w:r>
      <w:r>
        <w:rPr>
          <w:rFonts w:hint="eastAsia" w:ascii="仿宋" w:hAnsi="仿宋" w:eastAsia="仿宋"/>
          <w:color w:val="auto"/>
          <w:highlight w:val="none"/>
          <w:lang w:eastAsia="zh-CN"/>
        </w:rPr>
        <w:t>与月度计划</w:t>
      </w:r>
      <w:r>
        <w:rPr>
          <w:rFonts w:ascii="仿宋" w:hAnsi="仿宋" w:eastAsia="仿宋"/>
          <w:color w:val="auto"/>
          <w:highlight w:val="none"/>
          <w:lang w:eastAsia="zh-CN"/>
        </w:rPr>
        <w:t>，</w:t>
      </w:r>
      <w:r>
        <w:rPr>
          <w:rFonts w:hint="eastAsia" w:ascii="仿宋" w:hAnsi="仿宋" w:eastAsia="仿宋"/>
          <w:color w:val="auto"/>
          <w:highlight w:val="none"/>
          <w:lang w:eastAsia="zh-CN"/>
        </w:rPr>
        <w:t>若</w:t>
      </w:r>
      <w:r>
        <w:rPr>
          <w:rFonts w:ascii="仿宋" w:hAnsi="仿宋" w:eastAsia="仿宋"/>
          <w:color w:val="auto"/>
          <w:highlight w:val="none"/>
          <w:lang w:eastAsia="zh-CN"/>
        </w:rPr>
        <w:t>因承包人原因，造成实际工期与</w:t>
      </w:r>
      <w:r>
        <w:rPr>
          <w:rFonts w:hint="eastAsia" w:ascii="仿宋" w:hAnsi="仿宋" w:eastAsia="仿宋"/>
          <w:color w:val="auto"/>
          <w:highlight w:val="none"/>
          <w:lang w:eastAsia="zh-CN"/>
        </w:rPr>
        <w:t>月度</w:t>
      </w:r>
      <w:r>
        <w:rPr>
          <w:rFonts w:ascii="仿宋" w:hAnsi="仿宋" w:eastAsia="仿宋"/>
          <w:color w:val="auto"/>
          <w:highlight w:val="none"/>
          <w:lang w:eastAsia="zh-CN"/>
        </w:rPr>
        <w:t>计划工期比较：</w:t>
      </w:r>
    </w:p>
    <w:p w14:paraId="41E975A5">
      <w:pPr>
        <w:tabs>
          <w:tab w:val="left" w:pos="993"/>
        </w:tabs>
        <w:spacing w:line="360" w:lineRule="auto"/>
        <w:ind w:firstLine="991" w:firstLineChars="413"/>
        <w:rPr>
          <w:rFonts w:hint="eastAsia" w:ascii="仿宋" w:hAnsi="仿宋" w:eastAsia="仿宋"/>
          <w:color w:val="auto"/>
          <w:highlight w:val="none"/>
          <w:lang w:eastAsia="zh-CN"/>
        </w:rPr>
      </w:pPr>
      <w:r>
        <w:rPr>
          <w:rFonts w:ascii="仿宋" w:hAnsi="仿宋" w:eastAsia="仿宋"/>
          <w:color w:val="auto"/>
          <w:highlight w:val="none"/>
          <w:lang w:eastAsia="zh-CN"/>
        </w:rPr>
        <w:t>（1）延误</w:t>
      </w:r>
      <w:r>
        <w:rPr>
          <w:rFonts w:hint="eastAsia" w:ascii="仿宋" w:hAnsi="仿宋" w:eastAsia="仿宋"/>
          <w:color w:val="auto"/>
          <w:highlight w:val="none"/>
          <w:lang w:eastAsia="zh-CN"/>
        </w:rPr>
        <w:t>3</w:t>
      </w:r>
      <w:r>
        <w:rPr>
          <w:rFonts w:ascii="仿宋" w:hAnsi="仿宋" w:eastAsia="仿宋"/>
          <w:color w:val="auto"/>
          <w:highlight w:val="none"/>
          <w:lang w:eastAsia="zh-CN"/>
        </w:rPr>
        <w:t>天以内的，监理工程师</w:t>
      </w:r>
      <w:r>
        <w:rPr>
          <w:rFonts w:hint="eastAsia" w:ascii="仿宋" w:hAnsi="仿宋" w:eastAsia="仿宋"/>
          <w:color w:val="auto"/>
          <w:highlight w:val="none"/>
          <w:lang w:eastAsia="zh-CN"/>
        </w:rPr>
        <w:t>对承包人进行</w:t>
      </w:r>
      <w:r>
        <w:rPr>
          <w:rFonts w:ascii="仿宋" w:hAnsi="仿宋" w:eastAsia="仿宋"/>
          <w:color w:val="auto"/>
          <w:highlight w:val="none"/>
          <w:lang w:eastAsia="zh-CN"/>
        </w:rPr>
        <w:t>书面警告；</w:t>
      </w:r>
    </w:p>
    <w:p w14:paraId="438C6578">
      <w:pPr>
        <w:tabs>
          <w:tab w:val="left" w:pos="993"/>
        </w:tabs>
        <w:spacing w:line="360" w:lineRule="auto"/>
        <w:ind w:firstLine="991" w:firstLineChars="413"/>
        <w:rPr>
          <w:rFonts w:hint="eastAsia" w:ascii="仿宋" w:hAnsi="仿宋" w:eastAsia="仿宋"/>
          <w:color w:val="auto"/>
          <w:highlight w:val="none"/>
          <w:lang w:eastAsia="zh-CN"/>
        </w:rPr>
      </w:pPr>
      <w:r>
        <w:rPr>
          <w:rFonts w:ascii="仿宋" w:hAnsi="仿宋" w:eastAsia="仿宋"/>
          <w:color w:val="auto"/>
          <w:highlight w:val="none"/>
          <w:lang w:eastAsia="zh-CN"/>
        </w:rPr>
        <w:t>（2）延误</w:t>
      </w:r>
      <w:r>
        <w:rPr>
          <w:rFonts w:hint="eastAsia" w:ascii="仿宋" w:hAnsi="仿宋" w:eastAsia="仿宋"/>
          <w:color w:val="auto"/>
          <w:highlight w:val="none"/>
          <w:lang w:eastAsia="zh-CN"/>
        </w:rPr>
        <w:t>4～7</w:t>
      </w:r>
      <w:r>
        <w:rPr>
          <w:rFonts w:ascii="仿宋" w:hAnsi="仿宋" w:eastAsia="仿宋"/>
          <w:color w:val="auto"/>
          <w:highlight w:val="none"/>
          <w:lang w:eastAsia="zh-CN"/>
        </w:rPr>
        <w:t>天的，监理工程师</w:t>
      </w:r>
      <w:r>
        <w:rPr>
          <w:rFonts w:hint="eastAsia" w:ascii="仿宋" w:hAnsi="仿宋" w:eastAsia="仿宋"/>
          <w:color w:val="auto"/>
          <w:highlight w:val="none"/>
          <w:lang w:eastAsia="zh-CN"/>
        </w:rPr>
        <w:t>有权要求承包人支付违约金1</w:t>
      </w:r>
      <w:r>
        <w:rPr>
          <w:rFonts w:ascii="仿宋" w:hAnsi="仿宋" w:eastAsia="仿宋"/>
          <w:color w:val="auto"/>
          <w:highlight w:val="none"/>
          <w:lang w:eastAsia="zh-CN"/>
        </w:rPr>
        <w:t>万元；</w:t>
      </w:r>
    </w:p>
    <w:p w14:paraId="34A4DD18">
      <w:pPr>
        <w:tabs>
          <w:tab w:val="left" w:pos="993"/>
        </w:tabs>
        <w:spacing w:line="360" w:lineRule="auto"/>
        <w:ind w:left="410" w:leftChars="171" w:firstLine="628" w:firstLineChars="262"/>
        <w:rPr>
          <w:rFonts w:ascii="仿宋" w:hAnsi="仿宋" w:eastAsia="仿宋"/>
          <w:color w:val="auto"/>
          <w:highlight w:val="none"/>
          <w:lang w:eastAsia="zh-CN"/>
        </w:rPr>
      </w:pPr>
      <w:r>
        <w:rPr>
          <w:rFonts w:ascii="仿宋" w:hAnsi="仿宋" w:eastAsia="仿宋"/>
          <w:color w:val="auto"/>
          <w:highlight w:val="none"/>
          <w:lang w:eastAsia="zh-CN"/>
        </w:rPr>
        <w:t>（3）延误</w:t>
      </w:r>
      <w:r>
        <w:rPr>
          <w:rFonts w:hint="eastAsia" w:ascii="仿宋" w:hAnsi="仿宋" w:eastAsia="仿宋"/>
          <w:color w:val="auto"/>
          <w:highlight w:val="none"/>
          <w:lang w:eastAsia="zh-CN"/>
        </w:rPr>
        <w:t>8</w:t>
      </w:r>
      <w:r>
        <w:rPr>
          <w:rFonts w:ascii="仿宋" w:hAnsi="仿宋" w:eastAsia="仿宋"/>
          <w:color w:val="auto"/>
          <w:highlight w:val="none"/>
          <w:lang w:eastAsia="zh-CN"/>
        </w:rPr>
        <w:t>天</w:t>
      </w:r>
      <w:r>
        <w:rPr>
          <w:rFonts w:hint="eastAsia" w:ascii="仿宋" w:hAnsi="仿宋" w:eastAsia="仿宋"/>
          <w:color w:val="auto"/>
          <w:highlight w:val="none"/>
          <w:lang w:eastAsia="zh-CN"/>
        </w:rPr>
        <w:t>以上</w:t>
      </w:r>
      <w:r>
        <w:rPr>
          <w:rFonts w:ascii="仿宋" w:hAnsi="仿宋" w:eastAsia="仿宋"/>
          <w:color w:val="auto"/>
          <w:highlight w:val="none"/>
          <w:lang w:eastAsia="zh-CN"/>
        </w:rPr>
        <w:t>的，监理工程师</w:t>
      </w:r>
      <w:r>
        <w:rPr>
          <w:rFonts w:hint="eastAsia" w:ascii="仿宋" w:hAnsi="仿宋" w:eastAsia="仿宋"/>
          <w:color w:val="auto"/>
          <w:highlight w:val="none"/>
          <w:lang w:eastAsia="zh-CN"/>
        </w:rPr>
        <w:t>有权要求承包人支付违约金2</w:t>
      </w:r>
      <w:r>
        <w:rPr>
          <w:rFonts w:ascii="仿宋" w:hAnsi="仿宋" w:eastAsia="仿宋"/>
          <w:color w:val="auto"/>
          <w:highlight w:val="none"/>
          <w:lang w:eastAsia="zh-CN"/>
        </w:rPr>
        <w:t>万元</w:t>
      </w:r>
      <w:r>
        <w:rPr>
          <w:rFonts w:hint="eastAsia" w:ascii="仿宋" w:hAnsi="仿宋" w:eastAsia="仿宋"/>
          <w:color w:val="auto"/>
          <w:highlight w:val="none"/>
          <w:lang w:eastAsia="zh-CN"/>
        </w:rPr>
        <w:t>，并有权要求撤换承包方项目部相关管理人员</w:t>
      </w:r>
      <w:r>
        <w:rPr>
          <w:rFonts w:ascii="仿宋" w:hAnsi="仿宋" w:eastAsia="仿宋"/>
          <w:color w:val="auto"/>
          <w:highlight w:val="none"/>
          <w:lang w:eastAsia="zh-CN"/>
        </w:rPr>
        <w:t>；</w:t>
      </w:r>
    </w:p>
    <w:p w14:paraId="7BD9A6E3">
      <w:pPr>
        <w:spacing w:line="360" w:lineRule="auto"/>
        <w:ind w:left="410" w:leftChars="171" w:firstLine="600" w:firstLineChars="250"/>
        <w:rPr>
          <w:rFonts w:hint="eastAsia" w:ascii="仿宋" w:hAnsi="仿宋" w:eastAsia="仿宋"/>
          <w:color w:val="auto"/>
          <w:highlight w:val="none"/>
          <w:lang w:eastAsia="zh-CN"/>
        </w:rPr>
      </w:pPr>
      <w:r>
        <w:rPr>
          <w:rFonts w:hint="eastAsia" w:ascii="仿宋" w:hAnsi="仿宋" w:eastAsia="仿宋"/>
          <w:color w:val="auto"/>
          <w:highlight w:val="none"/>
          <w:lang w:eastAsia="zh-CN"/>
        </w:rPr>
        <w:t>（4）以上违约金监理人有权在当期进度款中扣除。若当月工期发生延误，而承包人在下个月按月度计划赶回工期，则被扣除的工期延误违约金可以在下一期进度款中返还。</w:t>
      </w:r>
    </w:p>
    <w:p w14:paraId="399A924B">
      <w:pPr>
        <w:spacing w:line="360" w:lineRule="auto"/>
        <w:ind w:left="410" w:leftChars="171" w:firstLine="600" w:firstLineChars="250"/>
        <w:rPr>
          <w:rFonts w:hint="eastAsia" w:ascii="仿宋" w:hAnsi="仿宋" w:eastAsia="仿宋"/>
          <w:color w:val="auto"/>
          <w:highlight w:val="none"/>
          <w:lang w:eastAsia="zh-CN"/>
        </w:rPr>
      </w:pPr>
      <w:r>
        <w:rPr>
          <w:rFonts w:hint="eastAsia" w:ascii="仿宋" w:hAnsi="仿宋" w:eastAsia="仿宋"/>
          <w:color w:val="auto"/>
          <w:highlight w:val="none"/>
          <w:lang w:eastAsia="zh-CN"/>
        </w:rPr>
        <w:t>月进度考核时支付的违约金为施工总控进度考核时支付违约金其中的一部分，即施工总控进度考核时月进度考核支付的违约金并入施工总控进度考核支付的违约金，两者不重复计算。</w:t>
      </w:r>
    </w:p>
    <w:p w14:paraId="0E26D157">
      <w:pPr>
        <w:spacing w:line="360" w:lineRule="auto"/>
        <w:ind w:left="480" w:leftChars="200"/>
        <w:rPr>
          <w:rFonts w:ascii="仿宋" w:hAnsi="仿宋" w:eastAsia="仿宋"/>
          <w:color w:val="auto"/>
          <w:highlight w:val="none"/>
          <w:lang w:eastAsia="zh-CN"/>
        </w:rPr>
      </w:pPr>
      <w:r>
        <w:rPr>
          <w:rFonts w:hint="eastAsia" w:ascii="仿宋" w:hAnsi="仿宋" w:eastAsia="仿宋"/>
          <w:color w:val="auto"/>
          <w:highlight w:val="none"/>
          <w:lang w:eastAsia="zh-CN"/>
        </w:rPr>
        <w:t xml:space="preserve">40.4.3 </w:t>
      </w:r>
      <w:r>
        <w:rPr>
          <w:rFonts w:ascii="仿宋" w:hAnsi="仿宋" w:eastAsia="仿宋"/>
          <w:color w:val="auto"/>
          <w:highlight w:val="none"/>
          <w:lang w:eastAsia="zh-CN"/>
        </w:rPr>
        <w:t>因承包人原因导致实际进度落后于计划进度的，承包人无权因增加整改措施要求发包人支付任何费用</w:t>
      </w:r>
      <w:r>
        <w:rPr>
          <w:rFonts w:hint="eastAsia" w:ascii="仿宋" w:hAnsi="仿宋" w:eastAsia="仿宋"/>
          <w:color w:val="auto"/>
          <w:highlight w:val="none"/>
          <w:lang w:eastAsia="zh-CN"/>
        </w:rPr>
        <w:t>；</w:t>
      </w:r>
      <w:r>
        <w:rPr>
          <w:rFonts w:ascii="仿宋" w:hAnsi="仿宋" w:eastAsia="仿宋"/>
          <w:color w:val="auto"/>
          <w:highlight w:val="none"/>
          <w:lang w:eastAsia="zh-CN"/>
        </w:rPr>
        <w:t xml:space="preserve">工程进度计划即使经监理工程师及发包人确认，也不能免除承包人根据合同约定应承担的任何责任和义务。 </w:t>
      </w:r>
    </w:p>
    <w:p w14:paraId="26311C65">
      <w:pPr>
        <w:pStyle w:val="3"/>
        <w:tabs>
          <w:tab w:val="left" w:pos="420"/>
        </w:tabs>
        <w:spacing w:line="360" w:lineRule="auto"/>
        <w:ind w:firstLine="105"/>
        <w:rPr>
          <w:rFonts w:hint="eastAsia"/>
          <w:i w:val="0"/>
          <w:iCs w:val="0"/>
          <w:color w:val="auto"/>
          <w:highlight w:val="none"/>
          <w:lang w:eastAsia="zh-CN"/>
        </w:rPr>
      </w:pPr>
      <w:bookmarkStart w:id="1631" w:name="_Toc2206"/>
      <w:bookmarkStart w:id="1632" w:name="_Toc2912"/>
      <w:bookmarkStart w:id="1633" w:name="_Toc25465"/>
      <w:bookmarkStart w:id="1634" w:name="_Toc18349"/>
      <w:bookmarkStart w:id="1635" w:name="_Toc12165"/>
      <w:bookmarkStart w:id="1636" w:name="_Toc28720"/>
      <w:bookmarkStart w:id="1637" w:name="_Toc30480"/>
      <w:r>
        <w:rPr>
          <w:rFonts w:hint="eastAsia" w:ascii="仿宋" w:hAnsi="仿宋" w:eastAsia="仿宋" w:cs="仿宋"/>
          <w:b w:val="0"/>
          <w:bCs w:val="0"/>
          <w:i w:val="0"/>
          <w:iCs w:val="0"/>
          <w:color w:val="auto"/>
          <w:sz w:val="24"/>
          <w:szCs w:val="24"/>
          <w:highlight w:val="none"/>
          <w:lang w:eastAsia="zh-CN"/>
        </w:rPr>
        <w:t>41.  开始工作或开工</w:t>
      </w:r>
      <w:bookmarkEnd w:id="1630"/>
      <w:bookmarkEnd w:id="1631"/>
      <w:bookmarkEnd w:id="1632"/>
      <w:bookmarkEnd w:id="1633"/>
      <w:bookmarkEnd w:id="1634"/>
      <w:bookmarkEnd w:id="1635"/>
      <w:bookmarkEnd w:id="1636"/>
      <w:bookmarkEnd w:id="1637"/>
    </w:p>
    <w:p w14:paraId="51AC9F66">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41.2.1 开始工作</w:t>
      </w:r>
    </w:p>
    <w:p w14:paraId="3F22361D">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①发包人签发开始勘察工作指令的时间要求：</w:t>
      </w:r>
    </w:p>
    <w:p w14:paraId="3A0DB22E">
      <w:pPr>
        <w:spacing w:line="360" w:lineRule="auto"/>
        <w:ind w:firstLine="1200" w:firstLineChars="5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按通用条款约定的时间。</w:t>
      </w:r>
    </w:p>
    <w:p w14:paraId="20D8C3EF">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勘察开始工作时间，自合同生效之日起计。</w:t>
      </w:r>
    </w:p>
    <w:p w14:paraId="2EDE0737">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②发包人签发开始设计工作指令的时间要求：</w:t>
      </w:r>
    </w:p>
    <w:p w14:paraId="18FEC929">
      <w:pPr>
        <w:spacing w:line="360" w:lineRule="auto"/>
        <w:ind w:left="1200" w:leftChars="5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□按通用条款约定的时间。</w:t>
      </w:r>
    </w:p>
    <w:p w14:paraId="279A325E">
      <w:pPr>
        <w:spacing w:line="360" w:lineRule="auto"/>
        <w:ind w:left="1200" w:left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设计开始工作时间，自合同生效之日起计。</w:t>
      </w:r>
    </w:p>
    <w:p w14:paraId="546A5E45">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③发包人签发开始BIM技术应用工作指令的时间要求：</w:t>
      </w:r>
    </w:p>
    <w:p w14:paraId="36D0AF8F">
      <w:pPr>
        <w:spacing w:line="360" w:lineRule="auto"/>
        <w:ind w:left="1200" w:leftChars="5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☑按通用条款约定的时间。</w:t>
      </w:r>
    </w:p>
    <w:p w14:paraId="128BB0BF">
      <w:pPr>
        <w:spacing w:line="360" w:lineRule="auto"/>
        <w:ind w:left="1200" w:left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31D5EA3C">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④发包人签发开始设备及工器具购置工作指令的时间要求：</w:t>
      </w:r>
    </w:p>
    <w:p w14:paraId="2160B989">
      <w:pPr>
        <w:spacing w:line="360" w:lineRule="auto"/>
        <w:ind w:left="1200" w:leftChars="5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□按通用条款约定的时间。</w:t>
      </w:r>
    </w:p>
    <w:p w14:paraId="0AA74C39">
      <w:pPr>
        <w:spacing w:line="360" w:lineRule="auto"/>
        <w:ind w:left="1200" w:left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16E70617">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41.2.2 开工</w:t>
      </w:r>
    </w:p>
    <w:p w14:paraId="0D56F40C">
      <w:pPr>
        <w:spacing w:line="360" w:lineRule="auto"/>
        <w:ind w:firstLine="1200" w:firstLineChars="5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发包人签发开工令的时间要求：</w:t>
      </w:r>
    </w:p>
    <w:p w14:paraId="4BAA8E1B">
      <w:pPr>
        <w:spacing w:line="360" w:lineRule="auto"/>
        <w:ind w:left="1200" w:left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□按通用条款约定的时间。</w:t>
      </w:r>
    </w:p>
    <w:p w14:paraId="1745E59B">
      <w:pPr>
        <w:spacing w:line="360" w:lineRule="auto"/>
        <w:ind w:firstLine="482" w:firstLineChars="200"/>
        <w:rPr>
          <w:rFonts w:ascii="仿宋" w:hAnsi="仿宋" w:eastAsia="仿宋" w:cs="仿宋"/>
          <w:color w:val="auto"/>
          <w:highlight w:val="none"/>
          <w:u w:val="single"/>
          <w:lang w:eastAsia="zh-CN"/>
        </w:rPr>
      </w:pPr>
      <w:r>
        <w:rPr>
          <w:rFonts w:hint="eastAsia" w:ascii="仿宋" w:hAnsi="仿宋" w:eastAsia="仿宋" w:cs="仿宋"/>
          <w:b/>
          <w:bCs/>
          <w:color w:val="auto"/>
          <w:highlight w:val="none"/>
          <w:lang w:eastAsia="zh-CN"/>
        </w:rPr>
        <w:t xml:space="preserve"> </w:t>
      </w:r>
      <w:r>
        <w:rPr>
          <w:rFonts w:ascii="仿宋" w:hAnsi="仿宋" w:eastAsia="仿宋" w:cs="仿宋"/>
          <w:b/>
          <w:bCs/>
          <w:color w:val="auto"/>
          <w:highlight w:val="none"/>
          <w:lang w:eastAsia="zh-CN"/>
        </w:rPr>
        <w:t xml:space="preserve">     </w:t>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施工开工时间以监理人向承包人发出开工令为准。</w:t>
      </w:r>
    </w:p>
    <w:p w14:paraId="5B0F6621">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双方协商一致，41.3款、41.4款修改为：</w:t>
      </w:r>
    </w:p>
    <w:p w14:paraId="7F62E608">
      <w:pPr>
        <w:pStyle w:val="23"/>
        <w:spacing w:line="360" w:lineRule="auto"/>
        <w:ind w:right="3" w:firstLine="480" w:firstLineChars="200"/>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41.3 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color w:val="auto"/>
          <w:sz w:val="24"/>
          <w:szCs w:val="24"/>
          <w:highlight w:val="none"/>
          <w:lang w:eastAsia="zh-CN"/>
        </w:rPr>
        <w:t>72</w:t>
      </w:r>
      <w:r>
        <w:rPr>
          <w:rFonts w:hint="eastAsia" w:ascii="仿宋" w:hAnsi="仿宋" w:eastAsia="仿宋" w:cs="仿宋"/>
          <w:color w:val="auto"/>
          <w:sz w:val="24"/>
          <w:szCs w:val="24"/>
          <w:highlight w:val="none"/>
          <w:lang w:eastAsia="zh-CN"/>
        </w:rPr>
        <w:t>小时内书面予以答复，否则视为同意。承包人没有合理理由而延期开始工作或开工的，由此造成的损失和延误的工期由承包人承担。</w:t>
      </w:r>
    </w:p>
    <w:p w14:paraId="6FC854A9">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41.4 因发包人的原因不能在第41</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款约定的时间内发出开始工作指令或开工令的，发包人或监理人应至少提前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天以书面形式通知承包人推迟开始工作或开工。开始工作或开工日期相应顺延。发包人、设计顾问人或监理人未能提前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天通知承包人推迟开工的，由此造成损失的扩大由发包人承担。</w:t>
      </w:r>
      <w:r>
        <w:rPr>
          <w:rFonts w:ascii="仿宋" w:hAnsi="仿宋" w:eastAsia="仿宋"/>
          <w:color w:val="auto"/>
          <w:highlight w:val="none"/>
          <w:lang w:eastAsia="zh-CN"/>
        </w:rPr>
        <w:t>因</w:t>
      </w:r>
      <w:r>
        <w:rPr>
          <w:rFonts w:hint="eastAsia" w:ascii="仿宋" w:hAnsi="仿宋" w:eastAsia="仿宋"/>
          <w:color w:val="auto"/>
          <w:highlight w:val="none"/>
          <w:lang w:eastAsia="zh-CN"/>
        </w:rPr>
        <w:t>不可抗力</w:t>
      </w:r>
      <w:r>
        <w:rPr>
          <w:rFonts w:ascii="仿宋" w:hAnsi="仿宋" w:eastAsia="仿宋"/>
          <w:color w:val="auto"/>
          <w:highlight w:val="none"/>
          <w:lang w:eastAsia="zh-CN"/>
        </w:rPr>
        <w:t>原因导致开工延期的，工期顺延，发包人不予</w:t>
      </w:r>
      <w:r>
        <w:rPr>
          <w:rFonts w:hint="eastAsia" w:ascii="仿宋" w:hAnsi="仿宋" w:eastAsia="仿宋"/>
          <w:color w:val="auto"/>
          <w:highlight w:val="none"/>
          <w:lang w:eastAsia="zh-CN"/>
        </w:rPr>
        <w:t>其他</w:t>
      </w:r>
      <w:r>
        <w:rPr>
          <w:rFonts w:ascii="仿宋" w:hAnsi="仿宋" w:eastAsia="仿宋"/>
          <w:color w:val="auto"/>
          <w:highlight w:val="none"/>
          <w:lang w:eastAsia="zh-CN"/>
        </w:rPr>
        <w:t>补偿且不承担</w:t>
      </w:r>
      <w:r>
        <w:rPr>
          <w:rFonts w:hint="eastAsia" w:ascii="仿宋" w:hAnsi="仿宋" w:eastAsia="仿宋"/>
          <w:color w:val="auto"/>
          <w:highlight w:val="none"/>
          <w:lang w:eastAsia="zh-CN"/>
        </w:rPr>
        <w:t>其他</w:t>
      </w:r>
      <w:r>
        <w:rPr>
          <w:rFonts w:ascii="仿宋" w:hAnsi="仿宋" w:eastAsia="仿宋"/>
          <w:color w:val="auto"/>
          <w:highlight w:val="none"/>
          <w:lang w:eastAsia="zh-CN"/>
        </w:rPr>
        <w:t>违约责任。</w:t>
      </w:r>
    </w:p>
    <w:p w14:paraId="012F8063">
      <w:pPr>
        <w:pStyle w:val="3"/>
        <w:tabs>
          <w:tab w:val="left" w:pos="420"/>
        </w:tabs>
        <w:spacing w:line="360" w:lineRule="auto"/>
        <w:ind w:firstLine="105"/>
        <w:rPr>
          <w:rFonts w:hint="eastAsia"/>
          <w:i w:val="0"/>
          <w:iCs w:val="0"/>
          <w:color w:val="auto"/>
          <w:highlight w:val="none"/>
          <w:lang w:eastAsia="zh-CN"/>
        </w:rPr>
      </w:pPr>
      <w:bookmarkStart w:id="1638" w:name="_Toc21396"/>
      <w:bookmarkStart w:id="1639" w:name="_Toc47694414"/>
      <w:bookmarkStart w:id="1640" w:name="_Toc668"/>
      <w:bookmarkStart w:id="1641" w:name="_Toc11829"/>
      <w:bookmarkStart w:id="1642" w:name="_Toc13963"/>
      <w:bookmarkStart w:id="1643" w:name="_Toc6537"/>
      <w:bookmarkStart w:id="1644" w:name="_Toc26173"/>
      <w:bookmarkStart w:id="1645" w:name="_Toc5319"/>
      <w:r>
        <w:rPr>
          <w:rFonts w:hint="eastAsia" w:ascii="仿宋" w:hAnsi="仿宋" w:eastAsia="仿宋" w:cs="仿宋"/>
          <w:b w:val="0"/>
          <w:bCs w:val="0"/>
          <w:i w:val="0"/>
          <w:iCs w:val="0"/>
          <w:color w:val="auto"/>
          <w:sz w:val="24"/>
          <w:szCs w:val="24"/>
          <w:highlight w:val="none"/>
          <w:lang w:eastAsia="zh-CN"/>
        </w:rPr>
        <w:t>42.  暂停工作、暂停施工和复工</w:t>
      </w:r>
      <w:bookmarkEnd w:id="1638"/>
      <w:bookmarkEnd w:id="1639"/>
      <w:bookmarkEnd w:id="1640"/>
      <w:bookmarkEnd w:id="1641"/>
      <w:bookmarkEnd w:id="1642"/>
      <w:bookmarkEnd w:id="1643"/>
      <w:bookmarkEnd w:id="1644"/>
      <w:bookmarkEnd w:id="1645"/>
    </w:p>
    <w:p w14:paraId="5F7F1EC4">
      <w:pPr>
        <w:spacing w:line="360" w:lineRule="auto"/>
        <w:ind w:left="240" w:leftChars="1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42.4 发包人、承包人原因和不可抗力因素造成暂停施工的责任</w:t>
      </w:r>
    </w:p>
    <w:p w14:paraId="67CC319C">
      <w:pPr>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（4）承包人原因造成暂停施工的其他原因：</w:t>
      </w:r>
      <w:r>
        <w:rPr>
          <w:rFonts w:ascii="仿宋" w:hAnsi="仿宋" w:eastAsia="仿宋"/>
          <w:color w:val="auto"/>
          <w:highlight w:val="none"/>
          <w:u w:val="single"/>
          <w:lang w:eastAsia="zh-CN"/>
        </w:rPr>
        <w:t>为了保证工程质量安全，凡出现下列情形之一（不限于此）的，总监理工程师有权下达停工令，责令承包人停工整改，由此造成的损失由承包人自行负责；造成工期延误的，由承包人承担违约责任。</w:t>
      </w:r>
    </w:p>
    <w:p w14:paraId="21A240EB">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①拒绝监理单位管理；</w:t>
      </w:r>
    </w:p>
    <w:p w14:paraId="13DA5742">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②施工组织设计（方案）未获总监理工程师批准而擅自施工；</w:t>
      </w:r>
    </w:p>
    <w:p w14:paraId="616D0050">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③未经监理单位检验而进行下一道工序作业；</w:t>
      </w:r>
    </w:p>
    <w:p w14:paraId="3A62D48E">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④擅自采用未经监理工程师及发包人认可或批准的材料</w:t>
      </w:r>
      <w:r>
        <w:rPr>
          <w:rFonts w:hint="eastAsia" w:ascii="仿宋" w:hAnsi="仿宋" w:eastAsia="仿宋"/>
          <w:color w:val="auto"/>
          <w:highlight w:val="none"/>
          <w:lang w:eastAsia="zh-CN"/>
        </w:rPr>
        <w:t>、设备</w:t>
      </w:r>
      <w:r>
        <w:rPr>
          <w:rFonts w:ascii="仿宋" w:hAnsi="仿宋" w:eastAsia="仿宋"/>
          <w:color w:val="auto"/>
          <w:highlight w:val="none"/>
          <w:lang w:eastAsia="zh-CN"/>
        </w:rPr>
        <w:t>；或者使用的材料、设备、构配件不合格或未经检查确认；或者擅自采用未经认可的代用材料；</w:t>
      </w:r>
    </w:p>
    <w:p w14:paraId="7EDC8502">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⑤未按设计图纸施工；</w:t>
      </w:r>
    </w:p>
    <w:p w14:paraId="7C1477DA">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⑥转包、非法分包工程；</w:t>
      </w:r>
    </w:p>
    <w:p w14:paraId="139D98F5">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⑦擅自让未经总监理工程师和发包人批准的分包单位进场作业；</w:t>
      </w:r>
    </w:p>
    <w:p w14:paraId="4CAFC01C">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⑧存在安全隐患，未按监理工程师要求及时整改或发生了安全事故；</w:t>
      </w:r>
    </w:p>
    <w:p w14:paraId="2608707A">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⑨未按双方约定上报有关资料。</w:t>
      </w:r>
    </w:p>
    <w:p w14:paraId="477E4282">
      <w:pPr>
        <w:pStyle w:val="3"/>
        <w:tabs>
          <w:tab w:val="left" w:pos="420"/>
        </w:tabs>
        <w:spacing w:line="360" w:lineRule="auto"/>
        <w:ind w:firstLine="105"/>
        <w:rPr>
          <w:rFonts w:hint="eastAsia"/>
          <w:i w:val="0"/>
          <w:iCs w:val="0"/>
          <w:color w:val="auto"/>
          <w:highlight w:val="none"/>
          <w:lang w:eastAsia="zh-CN"/>
        </w:rPr>
      </w:pPr>
      <w:bookmarkStart w:id="1646" w:name="_Toc5499"/>
      <w:bookmarkStart w:id="1647" w:name="_Toc28700"/>
      <w:bookmarkStart w:id="1648" w:name="_Toc47694415"/>
      <w:bookmarkStart w:id="1649" w:name="_Toc22504"/>
      <w:bookmarkStart w:id="1650" w:name="_Toc4293"/>
      <w:bookmarkStart w:id="1651" w:name="_Toc13631"/>
      <w:bookmarkStart w:id="1652" w:name="_Toc12476"/>
      <w:bookmarkStart w:id="1653" w:name="_Toc7707"/>
      <w:r>
        <w:rPr>
          <w:rFonts w:hint="eastAsia" w:ascii="仿宋" w:hAnsi="仿宋" w:eastAsia="仿宋" w:cs="仿宋"/>
          <w:b w:val="0"/>
          <w:bCs w:val="0"/>
          <w:i w:val="0"/>
          <w:iCs w:val="0"/>
          <w:color w:val="auto"/>
          <w:sz w:val="24"/>
          <w:szCs w:val="24"/>
          <w:highlight w:val="none"/>
          <w:lang w:eastAsia="zh-CN"/>
        </w:rPr>
        <w:t>43.  工期和工期延误</w:t>
      </w:r>
      <w:bookmarkEnd w:id="1646"/>
      <w:bookmarkEnd w:id="1647"/>
      <w:bookmarkEnd w:id="1648"/>
      <w:bookmarkEnd w:id="1649"/>
      <w:bookmarkEnd w:id="1650"/>
      <w:bookmarkEnd w:id="1651"/>
      <w:bookmarkEnd w:id="1652"/>
      <w:bookmarkEnd w:id="1653"/>
    </w:p>
    <w:p w14:paraId="674B0593">
      <w:pPr>
        <w:spacing w:line="360" w:lineRule="auto"/>
        <w:ind w:firstLine="480" w:firstLineChars="200"/>
        <w:rPr>
          <w:rFonts w:hint="eastAsia" w:ascii="仿宋" w:hAnsi="仿宋" w:eastAsia="仿宋" w:cs="仿宋"/>
          <w:color w:val="auto"/>
          <w:highlight w:val="none"/>
          <w:lang w:eastAsia="zh-CN"/>
        </w:rPr>
      </w:pPr>
      <w:bookmarkStart w:id="1654" w:name="_Toc2299"/>
      <w:r>
        <w:rPr>
          <w:rFonts w:hint="eastAsia" w:ascii="仿宋" w:hAnsi="仿宋" w:eastAsia="仿宋" w:cs="仿宋"/>
          <w:color w:val="auto"/>
          <w:highlight w:val="none"/>
          <w:lang w:eastAsia="zh-CN"/>
        </w:rPr>
        <w:t>43.1 工期计算</w:t>
      </w:r>
      <w:bookmarkEnd w:id="1654"/>
    </w:p>
    <w:p w14:paraId="05D90B28">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u w:val="single"/>
          <w:lang w:eastAsia="zh-CN"/>
        </w:rPr>
        <w:t>本合同工期详见协议书第七条。</w:t>
      </w:r>
    </w:p>
    <w:p w14:paraId="015C2AE7">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43.2 工期约定的要求</w:t>
      </w:r>
    </w:p>
    <w:p w14:paraId="1C1A860E">
      <w:pPr>
        <w:spacing w:line="360" w:lineRule="auto"/>
        <w:ind w:right="11"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双方协商一致，本条款补充以下：</w:t>
      </w:r>
    </w:p>
    <w:p w14:paraId="342C9AC1">
      <w:pPr>
        <w:spacing w:line="360" w:lineRule="auto"/>
        <w:ind w:right="11"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1）本工程工期分为关键节点工期和一般节点工期两类，承包人必须在施工组织设计文件中分专业详细区分和列明本工程</w:t>
      </w:r>
      <w:r>
        <w:rPr>
          <w:rFonts w:hint="eastAsia" w:ascii="仿宋" w:hAnsi="仿宋" w:eastAsia="仿宋" w:cs="宋体"/>
          <w:bCs/>
          <w:snapToGrid w:val="0"/>
          <w:color w:val="auto"/>
          <w:highlight w:val="none"/>
          <w:lang w:eastAsia="zh-CN"/>
        </w:rPr>
        <w:t>总体及各单体工程</w:t>
      </w:r>
      <w:r>
        <w:rPr>
          <w:rFonts w:hint="eastAsia" w:ascii="仿宋" w:hAnsi="仿宋" w:eastAsia="仿宋" w:cs="宋体"/>
          <w:snapToGrid w:val="0"/>
          <w:color w:val="auto"/>
          <w:highlight w:val="none"/>
          <w:lang w:eastAsia="zh-CN"/>
        </w:rPr>
        <w:t>的关键节点工期和一般节点工期，并报总监理工程师和发包人批准后实施。</w:t>
      </w:r>
    </w:p>
    <w:p w14:paraId="38EACAD3">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2）工期调整的原则：对于承包人原因造成的工期延误，工期一概不得顺延；对于非承包人原因造成的工期延误，执行本</w:t>
      </w:r>
      <w:r>
        <w:rPr>
          <w:rFonts w:hint="eastAsia" w:ascii="仿宋" w:hAnsi="仿宋" w:eastAsia="仿宋" w:cs="宋体"/>
          <w:snapToGrid w:val="0"/>
          <w:color w:val="auto"/>
          <w:highlight w:val="none"/>
          <w:lang w:eastAsia="zh-CN"/>
        </w:rPr>
        <w:t>专用条款</w:t>
      </w:r>
      <w:r>
        <w:rPr>
          <w:rFonts w:ascii="仿宋" w:hAnsi="仿宋" w:eastAsia="仿宋" w:cs="宋体"/>
          <w:snapToGrid w:val="0"/>
          <w:color w:val="auto"/>
          <w:highlight w:val="none"/>
          <w:lang w:eastAsia="zh-CN"/>
        </w:rPr>
        <w:t>第</w:t>
      </w:r>
      <w:r>
        <w:rPr>
          <w:rFonts w:ascii="仿宋" w:hAnsi="仿宋" w:eastAsia="仿宋" w:cs="宋体"/>
          <w:bCs/>
          <w:snapToGrid w:val="0"/>
          <w:color w:val="auto"/>
          <w:highlight w:val="none"/>
          <w:lang w:eastAsia="zh-CN"/>
        </w:rPr>
        <w:t>43.3</w:t>
      </w:r>
      <w:r>
        <w:rPr>
          <w:rFonts w:hint="eastAsia" w:ascii="仿宋" w:hAnsi="仿宋" w:eastAsia="仿宋" w:cs="宋体"/>
          <w:snapToGrid w:val="0"/>
          <w:color w:val="auto"/>
          <w:highlight w:val="none"/>
          <w:lang w:eastAsia="zh-CN"/>
        </w:rPr>
        <w:t>款。一般节点工期可以相应顺延，但该项顺延以不对关键节点工期和总工期构成不利影响为限。关键节点工期一般不予调整，承包人应当采取合理有效的赶工措施予以消化，而且这些合理有效的赶工措施费已包括在投标总报价中，发包人不予补偿。</w:t>
      </w:r>
    </w:p>
    <w:p w14:paraId="5476415A">
      <w:pPr>
        <w:spacing w:line="360" w:lineRule="auto"/>
        <w:ind w:firstLine="424" w:firstLineChars="177"/>
        <w:rPr>
          <w:rFonts w:ascii="仿宋" w:hAnsi="仿宋" w:eastAsia="仿宋" w:cs="宋体"/>
          <w:snapToGrid w:val="0"/>
          <w:color w:val="auto"/>
          <w:highlight w:val="none"/>
          <w:u w:val="single"/>
          <w:lang w:eastAsia="zh-CN"/>
        </w:rPr>
      </w:pPr>
      <w:r>
        <w:rPr>
          <w:rFonts w:hint="eastAsia" w:ascii="仿宋" w:hAnsi="仿宋" w:eastAsia="仿宋" w:cs="宋体"/>
          <w:snapToGrid w:val="0"/>
          <w:color w:val="auto"/>
          <w:highlight w:val="none"/>
          <w:u w:val="single"/>
          <w:lang w:eastAsia="zh-CN"/>
        </w:rPr>
        <w:t>在特殊情况下，关键节点工期确需调整的，承包人必须重新编制总工期控制计划和关键节点工期调整计划并报请总监理工程师和发包人审核。经总监理工程师、发包人审核，确认承包人编制的关键节点工期调整计划已符合要求，且已采取了合理的赶工措施足以确保工程按期竣工的，应当同意工期调整。</w:t>
      </w:r>
      <w:r>
        <w:rPr>
          <w:rFonts w:hint="eastAsia" w:ascii="仿宋" w:hAnsi="仿宋" w:eastAsia="仿宋" w:cs="宋体"/>
          <w:bCs/>
          <w:snapToGrid w:val="0"/>
          <w:color w:val="auto"/>
          <w:highlight w:val="none"/>
          <w:u w:val="single"/>
          <w:lang w:eastAsia="zh-CN"/>
        </w:rPr>
        <w:t>承包人必须按照调整后的总工期控制计划和关键节点工期计划执行。</w:t>
      </w:r>
    </w:p>
    <w:p w14:paraId="3E4EEFC2">
      <w:pPr>
        <w:spacing w:line="360" w:lineRule="auto"/>
        <w:ind w:right="11" w:firstLine="424" w:firstLineChars="177"/>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（3）合同中包括有多个单项工程的，各单项工程的工期约定：</w:t>
      </w:r>
      <w:r>
        <w:rPr>
          <w:rFonts w:hint="eastAsia" w:ascii="仿宋" w:hAnsi="仿宋" w:eastAsia="仿宋" w:cs="仿宋"/>
          <w:color w:val="auto"/>
          <w:highlight w:val="none"/>
          <w:u w:val="single"/>
          <w:lang w:eastAsia="zh-CN"/>
        </w:rPr>
        <w:t>（详见经监理人批准的施工组织设计）</w:t>
      </w:r>
    </w:p>
    <w:p w14:paraId="4F87797D">
      <w:pPr>
        <w:spacing w:line="360" w:lineRule="auto"/>
        <w:ind w:right="11" w:firstLine="424" w:firstLineChars="177"/>
        <w:rPr>
          <w:rFonts w:hint="eastAsia" w:ascii="仿宋" w:hAnsi="仿宋" w:eastAsia="仿宋" w:cs="仿宋"/>
          <w:color w:val="auto"/>
          <w:highlight w:val="none"/>
          <w:u w:val="single"/>
          <w:lang w:eastAsia="zh-CN"/>
        </w:rPr>
      </w:pPr>
    </w:p>
    <w:p w14:paraId="56723350">
      <w:pPr>
        <w:spacing w:line="360" w:lineRule="auto"/>
        <w:ind w:firstLine="424" w:firstLineChars="177"/>
        <w:rPr>
          <w:rFonts w:ascii="仿宋" w:hAnsi="仿宋" w:eastAsia="仿宋" w:cs="仿宋"/>
          <w:color w:val="auto"/>
          <w:highlight w:val="none"/>
          <w:lang w:eastAsia="zh-CN"/>
        </w:rPr>
      </w:pPr>
      <w:r>
        <w:rPr>
          <w:rFonts w:hint="eastAsia" w:ascii="仿宋" w:hAnsi="仿宋" w:eastAsia="仿宋" w:cs="仿宋"/>
          <w:color w:val="auto"/>
          <w:highlight w:val="none"/>
          <w:lang w:eastAsia="zh-CN"/>
        </w:rPr>
        <w:t>43.3 非承包人工期延误</w:t>
      </w:r>
    </w:p>
    <w:p w14:paraId="221BEFAD">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1）</w:t>
      </w:r>
      <w:r>
        <w:rPr>
          <w:rFonts w:hint="eastAsia" w:ascii="仿宋" w:hAnsi="仿宋" w:eastAsia="仿宋" w:cs="宋体"/>
          <w:snapToGrid w:val="0"/>
          <w:color w:val="auto"/>
          <w:highlight w:val="none"/>
          <w:lang w:eastAsia="zh-CN"/>
        </w:rPr>
        <w:t>非承包人原因造成的工期延误，是指有确凿证据证实因下列原因而直接造成承包人的原定工期计划延误：</w:t>
      </w:r>
    </w:p>
    <w:p w14:paraId="1A3A5997">
      <w:pPr>
        <w:spacing w:line="360" w:lineRule="auto"/>
        <w:ind w:firstLine="424" w:firstLineChars="177"/>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1）不可抗力；</w:t>
      </w:r>
    </w:p>
    <w:p w14:paraId="71DE139A">
      <w:pPr>
        <w:spacing w:line="360" w:lineRule="auto"/>
        <w:ind w:firstLine="424" w:firstLineChars="177"/>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2）发包人延期交付施工场地</w:t>
      </w:r>
      <w:r>
        <w:rPr>
          <w:rFonts w:hint="eastAsia" w:ascii="仿宋" w:hAnsi="仿宋" w:eastAsia="仿宋" w:cs="宋体"/>
          <w:b/>
          <w:bCs/>
          <w:snapToGrid w:val="0"/>
          <w:color w:val="auto"/>
          <w:highlight w:val="none"/>
          <w:lang w:eastAsia="zh-CN"/>
        </w:rPr>
        <w:t>(合同协议中有明确由于征拆进度、管线迁移受影响，按协议条款)</w:t>
      </w:r>
      <w:r>
        <w:rPr>
          <w:rFonts w:ascii="仿宋" w:hAnsi="仿宋" w:eastAsia="仿宋" w:cs="宋体"/>
          <w:b/>
          <w:bCs/>
          <w:snapToGrid w:val="0"/>
          <w:color w:val="auto"/>
          <w:highlight w:val="none"/>
          <w:lang w:eastAsia="zh-CN"/>
        </w:rPr>
        <w:t>；</w:t>
      </w:r>
    </w:p>
    <w:p w14:paraId="69E538D7">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val="en-US" w:eastAsia="zh-CN"/>
        </w:rPr>
        <w:t>3</w:t>
      </w:r>
      <w:r>
        <w:rPr>
          <w:rFonts w:ascii="仿宋" w:hAnsi="仿宋" w:eastAsia="仿宋" w:cs="宋体"/>
          <w:snapToGrid w:val="0"/>
          <w:color w:val="auto"/>
          <w:highlight w:val="none"/>
          <w:lang w:eastAsia="zh-CN"/>
        </w:rPr>
        <w:t>）发包人</w:t>
      </w:r>
      <w:r>
        <w:rPr>
          <w:rFonts w:hint="eastAsia" w:ascii="仿宋" w:hAnsi="仿宋" w:eastAsia="仿宋" w:cs="宋体"/>
          <w:iCs/>
          <w:snapToGrid w:val="0"/>
          <w:color w:val="auto"/>
          <w:highlight w:val="none"/>
          <w:lang w:eastAsia="zh-CN"/>
        </w:rPr>
        <w:t>不按合同约定</w:t>
      </w:r>
      <w:r>
        <w:rPr>
          <w:rFonts w:hint="eastAsia" w:ascii="仿宋" w:hAnsi="仿宋" w:eastAsia="仿宋" w:cs="宋体"/>
          <w:snapToGrid w:val="0"/>
          <w:color w:val="auto"/>
          <w:highlight w:val="none"/>
          <w:lang w:eastAsia="zh-CN"/>
        </w:rPr>
        <w:t>支付工程款而影响工期进度，并经总监理工程师确认的；</w:t>
      </w:r>
    </w:p>
    <w:p w14:paraId="2049DBD7">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val="en-US" w:eastAsia="zh-CN"/>
        </w:rPr>
        <w:t>4</w:t>
      </w:r>
      <w:r>
        <w:rPr>
          <w:rFonts w:ascii="仿宋" w:hAnsi="仿宋" w:eastAsia="仿宋" w:cs="宋体"/>
          <w:snapToGrid w:val="0"/>
          <w:color w:val="auto"/>
          <w:highlight w:val="none"/>
          <w:lang w:eastAsia="zh-CN"/>
        </w:rPr>
        <w:t>）发包人（或政府职能部门）指令（非承包人原因）引起的停工；</w:t>
      </w:r>
    </w:p>
    <w:p w14:paraId="3F97184E">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val="en-US" w:eastAsia="zh-CN"/>
        </w:rPr>
        <w:t>5</w:t>
      </w:r>
      <w:r>
        <w:rPr>
          <w:rFonts w:ascii="仿宋" w:hAnsi="仿宋" w:eastAsia="仿宋" w:cs="宋体"/>
          <w:snapToGrid w:val="0"/>
          <w:color w:val="auto"/>
          <w:highlight w:val="none"/>
          <w:lang w:eastAsia="zh-CN"/>
        </w:rPr>
        <w:t>）发包人其他违约行为造成工期延误并经总监理工程师确认的。</w:t>
      </w:r>
    </w:p>
    <w:p w14:paraId="2C273D3A">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除上述原因之外，其他所有工期延误均为承包人原因造成的延误。</w:t>
      </w:r>
    </w:p>
    <w:p w14:paraId="11FC34CC">
      <w:pPr>
        <w:spacing w:line="360" w:lineRule="auto"/>
        <w:ind w:right="11" w:firstLine="424" w:firstLineChars="177"/>
        <w:rPr>
          <w:rFonts w:ascii="仿宋" w:hAnsi="仿宋" w:eastAsia="仿宋" w:cs="宋体"/>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2）</w:t>
      </w:r>
      <w:r>
        <w:rPr>
          <w:rFonts w:hint="eastAsia" w:ascii="仿宋" w:hAnsi="仿宋" w:eastAsia="仿宋" w:cs="宋体"/>
          <w:snapToGrid w:val="0"/>
          <w:color w:val="auto"/>
          <w:highlight w:val="none"/>
          <w:lang w:eastAsia="zh-CN"/>
        </w:rPr>
        <w:t>因承包人原因造成的工期延误，工期一概不得顺延。承包人还应当按照专用条款第</w:t>
      </w:r>
      <w:r>
        <w:rPr>
          <w:rFonts w:ascii="仿宋" w:hAnsi="仿宋" w:eastAsia="仿宋" w:cs="宋体"/>
          <w:snapToGrid w:val="0"/>
          <w:color w:val="auto"/>
          <w:highlight w:val="none"/>
          <w:lang w:eastAsia="zh-CN"/>
        </w:rPr>
        <w:t>95.</w:t>
      </w:r>
      <w:r>
        <w:rPr>
          <w:rFonts w:hint="eastAsia" w:ascii="仿宋" w:hAnsi="仿宋" w:eastAsia="仿宋" w:cs="宋体"/>
          <w:snapToGrid w:val="0"/>
          <w:color w:val="auto"/>
          <w:highlight w:val="none"/>
          <w:lang w:eastAsia="zh-CN"/>
        </w:rPr>
        <w:t>3款的有关约定承担违约责任。</w:t>
      </w:r>
    </w:p>
    <w:p w14:paraId="06E3FA9A">
      <w:pPr>
        <w:spacing w:line="360" w:lineRule="auto"/>
        <w:ind w:right="11" w:firstLine="424" w:firstLineChars="177"/>
        <w:rPr>
          <w:rFonts w:ascii="仿宋" w:hAnsi="仿宋" w:eastAsia="仿宋" w:cs="宋体"/>
          <w:snapToGrid w:val="0"/>
          <w:color w:val="auto"/>
          <w:highlight w:val="none"/>
          <w:u w:val="single"/>
          <w:lang w:eastAsia="zh-CN"/>
        </w:rPr>
      </w:pPr>
      <w:r>
        <w:rPr>
          <w:rFonts w:hint="eastAsia" w:ascii="仿宋" w:hAnsi="仿宋" w:eastAsia="仿宋" w:cs="宋体"/>
          <w:snapToGrid w:val="0"/>
          <w:color w:val="auto"/>
          <w:highlight w:val="none"/>
          <w:u w:val="single"/>
          <w:lang w:eastAsia="zh-CN"/>
        </w:rPr>
        <w:t>（</w:t>
      </w:r>
      <w:r>
        <w:rPr>
          <w:rFonts w:ascii="仿宋" w:hAnsi="仿宋" w:eastAsia="仿宋" w:cs="宋体"/>
          <w:snapToGrid w:val="0"/>
          <w:color w:val="auto"/>
          <w:highlight w:val="none"/>
          <w:u w:val="single"/>
          <w:lang w:eastAsia="zh-CN"/>
        </w:rPr>
        <w:t>3）因承包人对</w:t>
      </w:r>
      <w:r>
        <w:rPr>
          <w:rFonts w:hint="eastAsia" w:ascii="仿宋" w:hAnsi="仿宋" w:eastAsia="仿宋" w:cs="宋体"/>
          <w:bCs/>
          <w:snapToGrid w:val="0"/>
          <w:color w:val="auto"/>
          <w:highlight w:val="none"/>
          <w:u w:val="single"/>
          <w:lang w:eastAsia="zh-CN"/>
        </w:rPr>
        <w:t>现场组织管理不力或未能提供协调、配合服务，以致专业工程的进度影响工期，承包人不得以此为由提出延长工期的要求。</w:t>
      </w:r>
    </w:p>
    <w:p w14:paraId="766F361B">
      <w:pPr>
        <w:spacing w:line="360" w:lineRule="auto"/>
        <w:ind w:firstLine="424" w:firstLineChars="177"/>
        <w:rPr>
          <w:rFonts w:ascii="仿宋" w:hAnsi="仿宋" w:eastAsia="仿宋" w:cs="宋体"/>
          <w:snapToGrid w:val="0"/>
          <w:color w:val="auto"/>
          <w:highlight w:val="none"/>
          <w:u w:val="single"/>
          <w:lang w:eastAsia="zh-CN"/>
        </w:rPr>
      </w:pPr>
      <w:r>
        <w:rPr>
          <w:rFonts w:ascii="仿宋" w:hAnsi="仿宋" w:eastAsia="仿宋" w:cs="宋体"/>
          <w:bCs/>
          <w:snapToGrid w:val="0"/>
          <w:color w:val="auto"/>
          <w:highlight w:val="none"/>
          <w:u w:val="single"/>
          <w:lang w:eastAsia="zh-CN"/>
        </w:rPr>
        <w:t>（4）</w:t>
      </w:r>
      <w:r>
        <w:rPr>
          <w:rFonts w:hint="eastAsia" w:ascii="仿宋" w:hAnsi="仿宋" w:eastAsia="仿宋" w:cs="宋体"/>
          <w:snapToGrid w:val="0"/>
          <w:color w:val="auto"/>
          <w:highlight w:val="none"/>
          <w:u w:val="single"/>
          <w:lang w:eastAsia="zh-CN"/>
        </w:rPr>
        <w:t>非因承包人原因造成关键节点工期延误，一次性延误不满10</w:t>
      </w:r>
      <w:r>
        <w:rPr>
          <w:rFonts w:ascii="仿宋" w:hAnsi="仿宋" w:eastAsia="仿宋" w:cs="宋体"/>
          <w:snapToGrid w:val="0"/>
          <w:color w:val="auto"/>
          <w:highlight w:val="none"/>
          <w:u w:val="single"/>
          <w:lang w:eastAsia="zh-CN"/>
        </w:rPr>
        <w:t>天的，工期不予顺延，由承包人采取措施自行消化；一次性延</w:t>
      </w:r>
      <w:r>
        <w:rPr>
          <w:rFonts w:hint="eastAsia" w:ascii="仿宋" w:hAnsi="仿宋" w:eastAsia="仿宋" w:cs="宋体"/>
          <w:iCs/>
          <w:snapToGrid w:val="0"/>
          <w:color w:val="auto"/>
          <w:highlight w:val="none"/>
          <w:u w:val="single"/>
          <w:lang w:eastAsia="zh-CN"/>
        </w:rPr>
        <w:t>误达到</w:t>
      </w:r>
      <w:r>
        <w:rPr>
          <w:rFonts w:ascii="仿宋" w:hAnsi="仿宋" w:eastAsia="仿宋" w:cs="宋体"/>
          <w:iCs/>
          <w:snapToGrid w:val="0"/>
          <w:color w:val="auto"/>
          <w:highlight w:val="none"/>
          <w:u w:val="single"/>
          <w:lang w:eastAsia="zh-CN"/>
        </w:rPr>
        <w:t>10天不满20天的</w:t>
      </w:r>
      <w:r>
        <w:rPr>
          <w:rFonts w:hint="eastAsia" w:ascii="仿宋" w:hAnsi="仿宋" w:eastAsia="仿宋" w:cs="宋体"/>
          <w:snapToGrid w:val="0"/>
          <w:color w:val="auto"/>
          <w:highlight w:val="none"/>
          <w:u w:val="single"/>
          <w:lang w:eastAsia="zh-CN"/>
        </w:rPr>
        <w:t>，该节点工期可顺延</w:t>
      </w:r>
      <w:r>
        <w:rPr>
          <w:rFonts w:ascii="仿宋" w:hAnsi="仿宋" w:eastAsia="仿宋" w:cs="宋体"/>
          <w:snapToGrid w:val="0"/>
          <w:color w:val="auto"/>
          <w:highlight w:val="none"/>
          <w:u w:val="single"/>
          <w:lang w:eastAsia="zh-CN"/>
        </w:rPr>
        <w:t>5天，承包人应采取措施在下一个节点工期内消化；一次</w:t>
      </w:r>
      <w:r>
        <w:rPr>
          <w:rFonts w:hint="eastAsia" w:ascii="仿宋" w:hAnsi="仿宋" w:eastAsia="仿宋" w:cs="宋体"/>
          <w:iCs/>
          <w:snapToGrid w:val="0"/>
          <w:color w:val="auto"/>
          <w:highlight w:val="none"/>
          <w:u w:val="single"/>
          <w:lang w:eastAsia="zh-CN"/>
        </w:rPr>
        <w:t>性延误达到</w:t>
      </w:r>
      <w:r>
        <w:rPr>
          <w:rFonts w:ascii="仿宋" w:hAnsi="仿宋" w:eastAsia="仿宋" w:cs="宋体"/>
          <w:iCs/>
          <w:snapToGrid w:val="0"/>
          <w:color w:val="auto"/>
          <w:highlight w:val="none"/>
          <w:u w:val="single"/>
          <w:lang w:eastAsia="zh-CN"/>
        </w:rPr>
        <w:t>20天不满30天的</w:t>
      </w:r>
      <w:r>
        <w:rPr>
          <w:rFonts w:hint="eastAsia" w:ascii="仿宋" w:hAnsi="仿宋" w:eastAsia="仿宋" w:cs="宋体"/>
          <w:snapToGrid w:val="0"/>
          <w:color w:val="auto"/>
          <w:highlight w:val="none"/>
          <w:u w:val="single"/>
          <w:lang w:eastAsia="zh-CN"/>
        </w:rPr>
        <w:t>，节点工期可顺延</w:t>
      </w:r>
      <w:r>
        <w:rPr>
          <w:rFonts w:ascii="仿宋" w:hAnsi="仿宋" w:eastAsia="仿宋" w:cs="宋体"/>
          <w:iCs/>
          <w:snapToGrid w:val="0"/>
          <w:color w:val="auto"/>
          <w:highlight w:val="none"/>
          <w:u w:val="single"/>
          <w:lang w:eastAsia="zh-CN"/>
        </w:rPr>
        <w:t>10</w:t>
      </w:r>
      <w:r>
        <w:rPr>
          <w:rFonts w:hint="eastAsia" w:ascii="仿宋" w:hAnsi="仿宋" w:eastAsia="仿宋" w:cs="宋体"/>
          <w:snapToGrid w:val="0"/>
          <w:color w:val="auto"/>
          <w:highlight w:val="none"/>
          <w:u w:val="single"/>
          <w:lang w:eastAsia="zh-CN"/>
        </w:rPr>
        <w:t>天，但承包人必须在总工期内采取措施消化被延误工期（此延误发生在最后一个节点工期内的除外）；一次性延误达到</w:t>
      </w:r>
      <w:r>
        <w:rPr>
          <w:rFonts w:ascii="仿宋" w:hAnsi="仿宋" w:eastAsia="仿宋" w:cs="宋体"/>
          <w:snapToGrid w:val="0"/>
          <w:color w:val="auto"/>
          <w:highlight w:val="none"/>
          <w:u w:val="single"/>
          <w:lang w:eastAsia="zh-CN"/>
        </w:rPr>
        <w:t>30天以上的，工期可以顺延15天（经发包人特别批准的除外）。</w:t>
      </w:r>
    </w:p>
    <w:p w14:paraId="704B4E3F">
      <w:pPr>
        <w:spacing w:line="360" w:lineRule="auto"/>
        <w:ind w:right="11" w:firstLine="424" w:firstLineChars="177"/>
        <w:rPr>
          <w:rFonts w:hint="eastAsia" w:ascii="仿宋" w:hAnsi="仿宋" w:eastAsia="仿宋" w:cs="仿宋"/>
          <w:color w:val="auto"/>
          <w:highlight w:val="none"/>
          <w:u w:val="single"/>
          <w:lang w:eastAsia="zh-CN"/>
        </w:rPr>
      </w:pPr>
      <w:r>
        <w:rPr>
          <w:rFonts w:ascii="仿宋" w:hAnsi="仿宋" w:eastAsia="仿宋" w:cs="宋体"/>
          <w:bCs/>
          <w:snapToGrid w:val="0"/>
          <w:color w:val="auto"/>
          <w:highlight w:val="none"/>
          <w:lang w:eastAsia="zh-CN"/>
        </w:rPr>
        <w:t>（5）对于非因承包人原因发生的工期延误，承包人应当在工期延误发生之日起及时（原则上为10天内）就延误的内容和因此发生的经济支出向</w:t>
      </w:r>
      <w:r>
        <w:rPr>
          <w:rFonts w:hint="eastAsia" w:ascii="仿宋" w:hAnsi="仿宋" w:eastAsia="仿宋" w:cs="宋体"/>
          <w:snapToGrid w:val="0"/>
          <w:color w:val="auto"/>
          <w:highlight w:val="none"/>
          <w:lang w:eastAsia="zh-CN"/>
        </w:rPr>
        <w:t>总监理工程师及</w:t>
      </w:r>
      <w:r>
        <w:rPr>
          <w:rFonts w:hint="eastAsia" w:ascii="仿宋" w:hAnsi="仿宋" w:eastAsia="仿宋" w:cs="宋体"/>
          <w:bCs/>
          <w:snapToGrid w:val="0"/>
          <w:color w:val="auto"/>
          <w:highlight w:val="none"/>
          <w:lang w:eastAsia="zh-CN"/>
        </w:rPr>
        <w:t>发包人提出书面报告及申请，</w:t>
      </w:r>
      <w:r>
        <w:rPr>
          <w:rFonts w:hint="eastAsia" w:ascii="仿宋" w:hAnsi="仿宋" w:eastAsia="仿宋" w:cs="宋体"/>
          <w:snapToGrid w:val="0"/>
          <w:color w:val="auto"/>
          <w:highlight w:val="none"/>
          <w:lang w:eastAsia="zh-CN"/>
        </w:rPr>
        <w:t>总监理工程师及</w:t>
      </w:r>
      <w:r>
        <w:rPr>
          <w:rFonts w:hint="eastAsia" w:ascii="仿宋" w:hAnsi="仿宋" w:eastAsia="仿宋" w:cs="宋体"/>
          <w:bCs/>
          <w:snapToGrid w:val="0"/>
          <w:color w:val="auto"/>
          <w:highlight w:val="none"/>
          <w:lang w:eastAsia="zh-CN"/>
        </w:rPr>
        <w:t>发包人按程序审批。</w:t>
      </w:r>
    </w:p>
    <w:p w14:paraId="3AB3C82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43</w:t>
      </w:r>
      <w:r>
        <w:rPr>
          <w:rFonts w:ascii="仿宋" w:hAnsi="仿宋" w:eastAsia="仿宋"/>
          <w:color w:val="auto"/>
          <w:highlight w:val="none"/>
          <w:lang w:eastAsia="zh-CN"/>
        </w:rPr>
        <w:t>.3 补充条款：关于工期顺延的其他约定</w:t>
      </w:r>
    </w:p>
    <w:p w14:paraId="028D7F82">
      <w:pPr>
        <w:spacing w:line="360" w:lineRule="auto"/>
        <w:ind w:left="-2" w:leftChars="-1" w:firstLine="364" w:firstLineChars="152"/>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 xml:space="preserve"> </w:t>
      </w:r>
      <w:r>
        <w:rPr>
          <w:rFonts w:ascii="仿宋" w:hAnsi="仿宋" w:eastAsia="仿宋"/>
          <w:color w:val="auto"/>
          <w:highlight w:val="none"/>
          <w:u w:val="single"/>
          <w:lang w:eastAsia="zh-CN"/>
        </w:rPr>
        <w:t>承包人不得以与发包人有争议或争议未解决为由而单方面停工，因此原因而暂停施工，工期不予顺延,由此产生的费用由承包人自行承担，此外发包人还有权要求承包人承担一次严重违约责任。</w:t>
      </w:r>
    </w:p>
    <w:p w14:paraId="5E4DBF0B">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43.9 赶工措施费</w:t>
      </w:r>
    </w:p>
    <w:p w14:paraId="51E01DDC">
      <w:pPr>
        <w:spacing w:line="360" w:lineRule="auto"/>
        <w:ind w:firstLine="424" w:firstLineChars="177"/>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合同工期较《广东省建设工程施工工期定额（2022年）》标准工期定额计算的工期有所压缩，需增加赶工措施的，相关费用已包含在投标报价中综合考虑，不另计取赶工费。</w:t>
      </w:r>
    </w:p>
    <w:p w14:paraId="3B300656">
      <w:pPr>
        <w:spacing w:line="360" w:lineRule="auto"/>
        <w:ind w:firstLine="424" w:firstLineChars="177"/>
        <w:rPr>
          <w:rFonts w:hint="eastAsia" w:ascii="仿宋" w:hAnsi="仿宋" w:eastAsia="仿宋" w:cs="仿宋"/>
          <w:snapToGrid w:val="0"/>
          <w:color w:val="auto"/>
          <w:highlight w:val="none"/>
          <w:lang w:eastAsia="zh-CN"/>
        </w:rPr>
      </w:pPr>
      <w:r>
        <w:rPr>
          <w:rFonts w:hint="eastAsia" w:ascii="仿宋" w:hAnsi="仿宋" w:eastAsia="仿宋" w:cs="仿宋"/>
          <w:snapToGrid w:val="0"/>
          <w:color w:val="auto"/>
          <w:highlight w:val="none"/>
          <w:lang w:eastAsia="zh-CN"/>
        </w:rPr>
        <w:t>发包人根据工程实际情况，有权对本工程中的工序及关键节点工期、施工顺序进行适当合理调整，承包人必须采取一切有效措施配合并保证关键节点工期的调整，不得延误总工期，并不得要求另行增加费用。本工程赶工措施费用应在投标报价中综合考虑，发包人不再另行计量支付。</w:t>
      </w:r>
    </w:p>
    <w:p w14:paraId="1BF8B00F">
      <w:pPr>
        <w:spacing w:line="360" w:lineRule="auto"/>
        <w:ind w:firstLine="480"/>
        <w:rPr>
          <w:rFonts w:ascii="仿宋" w:hAnsi="仿宋" w:eastAsia="仿宋" w:cs="仿宋"/>
          <w:color w:val="auto"/>
          <w:highlight w:val="none"/>
          <w:lang w:eastAsia="zh-CN"/>
        </w:rPr>
      </w:pPr>
      <w:r>
        <w:rPr>
          <w:rFonts w:hint="eastAsia" w:ascii="仿宋" w:hAnsi="仿宋" w:eastAsia="仿宋" w:cs="仿宋"/>
          <w:color w:val="auto"/>
          <w:highlight w:val="none"/>
          <w:lang w:eastAsia="zh-CN"/>
        </w:rPr>
        <w:t>若因非承包人原因引起的暂停施工、开工，且需缩短工期，则发生的赶工措施费双方协商解决。</w:t>
      </w:r>
    </w:p>
    <w:p w14:paraId="0D2A80A0">
      <w:pPr>
        <w:pStyle w:val="3"/>
        <w:tabs>
          <w:tab w:val="left" w:pos="420"/>
        </w:tabs>
        <w:spacing w:line="360" w:lineRule="auto"/>
        <w:ind w:firstLine="105"/>
        <w:rPr>
          <w:rFonts w:hint="eastAsia"/>
          <w:i w:val="0"/>
          <w:iCs w:val="0"/>
          <w:color w:val="auto"/>
          <w:highlight w:val="none"/>
          <w:lang w:eastAsia="zh-CN"/>
        </w:rPr>
      </w:pPr>
      <w:bookmarkStart w:id="1655" w:name="_Toc1079"/>
      <w:bookmarkStart w:id="1656" w:name="_Toc24292"/>
      <w:bookmarkStart w:id="1657" w:name="_Toc4341"/>
      <w:bookmarkStart w:id="1658" w:name="_Toc26901"/>
      <w:bookmarkStart w:id="1659" w:name="_Toc47694416"/>
      <w:bookmarkStart w:id="1660" w:name="_Toc26696"/>
      <w:bookmarkStart w:id="1661" w:name="_Toc32141"/>
      <w:bookmarkStart w:id="1662" w:name="_Toc20444"/>
      <w:r>
        <w:rPr>
          <w:rFonts w:hint="eastAsia" w:ascii="仿宋" w:hAnsi="仿宋" w:eastAsia="仿宋" w:cs="仿宋"/>
          <w:b w:val="0"/>
          <w:bCs w:val="0"/>
          <w:i w:val="0"/>
          <w:iCs w:val="0"/>
          <w:color w:val="auto"/>
          <w:sz w:val="24"/>
          <w:szCs w:val="24"/>
          <w:highlight w:val="none"/>
          <w:lang w:eastAsia="zh-CN"/>
        </w:rPr>
        <w:t>45.  竣工日期</w:t>
      </w:r>
      <w:bookmarkEnd w:id="1655"/>
      <w:bookmarkEnd w:id="1656"/>
      <w:bookmarkEnd w:id="1657"/>
      <w:bookmarkEnd w:id="1658"/>
      <w:bookmarkEnd w:id="1659"/>
      <w:bookmarkEnd w:id="1660"/>
      <w:bookmarkEnd w:id="1661"/>
      <w:bookmarkEnd w:id="1662"/>
    </w:p>
    <w:p w14:paraId="0303F27D">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45.1 约定计划竣工日期</w:t>
      </w:r>
    </w:p>
    <w:p w14:paraId="773E144B">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计划竣工日期：</w:t>
      </w:r>
      <w:r>
        <w:rPr>
          <w:rFonts w:ascii="仿宋" w:hAnsi="仿宋" w:eastAsia="仿宋"/>
          <w:color w:val="auto"/>
          <w:highlight w:val="none"/>
          <w:u w:val="single"/>
          <w:lang w:eastAsia="zh-CN"/>
        </w:rPr>
        <w:t>按协议书第</w:t>
      </w:r>
      <w:r>
        <w:rPr>
          <w:rFonts w:hint="eastAsia" w:ascii="仿宋" w:hAnsi="仿宋" w:eastAsia="仿宋"/>
          <w:color w:val="auto"/>
          <w:highlight w:val="none"/>
          <w:u w:val="single"/>
          <w:lang w:eastAsia="zh-CN"/>
        </w:rPr>
        <w:t>七</w:t>
      </w:r>
      <w:r>
        <w:rPr>
          <w:rFonts w:ascii="仿宋" w:hAnsi="仿宋" w:eastAsia="仿宋"/>
          <w:color w:val="auto"/>
          <w:highlight w:val="none"/>
          <w:u w:val="single"/>
          <w:lang w:eastAsia="zh-CN"/>
        </w:rPr>
        <w:t>条约定。</w:t>
      </w:r>
    </w:p>
    <w:p w14:paraId="4E10ECDA">
      <w:pPr>
        <w:pStyle w:val="3"/>
        <w:tabs>
          <w:tab w:val="left" w:pos="420"/>
        </w:tabs>
        <w:spacing w:line="360" w:lineRule="auto"/>
        <w:ind w:firstLine="105"/>
        <w:rPr>
          <w:rFonts w:hint="eastAsia"/>
          <w:i w:val="0"/>
          <w:iCs w:val="0"/>
          <w:color w:val="auto"/>
          <w:highlight w:val="none"/>
          <w:lang w:eastAsia="zh-CN"/>
        </w:rPr>
      </w:pPr>
      <w:bookmarkStart w:id="1663" w:name="_Toc9457"/>
      <w:bookmarkStart w:id="1664" w:name="_Toc28957"/>
      <w:bookmarkStart w:id="1665" w:name="_Toc47694417"/>
      <w:bookmarkStart w:id="1666" w:name="_Toc17314"/>
      <w:bookmarkStart w:id="1667" w:name="_Toc31607"/>
      <w:bookmarkStart w:id="1668" w:name="_Toc17629"/>
      <w:bookmarkStart w:id="1669" w:name="_Toc2106"/>
      <w:bookmarkStart w:id="1670" w:name="_Toc25373"/>
      <w:r>
        <w:rPr>
          <w:rFonts w:hint="eastAsia" w:ascii="仿宋" w:hAnsi="仿宋" w:eastAsia="仿宋" w:cs="仿宋"/>
          <w:b w:val="0"/>
          <w:bCs w:val="0"/>
          <w:i w:val="0"/>
          <w:iCs w:val="0"/>
          <w:color w:val="auto"/>
          <w:sz w:val="24"/>
          <w:szCs w:val="24"/>
          <w:highlight w:val="none"/>
          <w:lang w:eastAsia="zh-CN"/>
        </w:rPr>
        <w:t>★49.  质量标准</w:t>
      </w:r>
      <w:bookmarkEnd w:id="1663"/>
      <w:bookmarkEnd w:id="1664"/>
      <w:bookmarkEnd w:id="1665"/>
      <w:bookmarkEnd w:id="1666"/>
      <w:bookmarkEnd w:id="1667"/>
      <w:bookmarkEnd w:id="1668"/>
      <w:bookmarkEnd w:id="1669"/>
      <w:bookmarkEnd w:id="1670"/>
    </w:p>
    <w:p w14:paraId="79BA09B0">
      <w:pPr>
        <w:spacing w:line="360" w:lineRule="auto"/>
        <w:ind w:left="240" w:left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★49.1 约定工作质量或工程质量标准</w:t>
      </w:r>
    </w:p>
    <w:p w14:paraId="578145BC">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详见协议书第三条及发包人要求、设计和施工规范。</w:t>
      </w:r>
    </w:p>
    <w:p w14:paraId="67D8AEF4">
      <w:pPr>
        <w:spacing w:line="360" w:lineRule="auto"/>
        <w:ind w:firstLine="480" w:firstLineChars="200"/>
        <w:rPr>
          <w:rFonts w:hint="eastAsia" w:ascii="仿宋" w:hAnsi="仿宋" w:eastAsia="仿宋" w:cs="仿宋"/>
          <w:color w:val="auto"/>
          <w:highlight w:val="none"/>
          <w:lang w:eastAsia="zh-CN"/>
        </w:rPr>
      </w:pPr>
      <w:bookmarkStart w:id="1671" w:name="_Toc47694418"/>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9</w:t>
      </w:r>
      <w:r>
        <w:rPr>
          <w:rFonts w:ascii="仿宋" w:hAnsi="仿宋" w:eastAsia="仿宋" w:cs="仿宋"/>
          <w:color w:val="auto"/>
          <w:highlight w:val="none"/>
          <w:lang w:eastAsia="zh-CN"/>
        </w:rPr>
        <w:t xml:space="preserve">.3 </w:t>
      </w:r>
      <w:r>
        <w:rPr>
          <w:rFonts w:hint="eastAsia" w:ascii="仿宋" w:hAnsi="仿宋" w:eastAsia="仿宋" w:cs="仿宋"/>
          <w:color w:val="auto"/>
          <w:highlight w:val="none"/>
          <w:lang w:eastAsia="zh-CN"/>
        </w:rPr>
        <w:t>质量保证体系</w:t>
      </w:r>
    </w:p>
    <w:p w14:paraId="3C4F03DB">
      <w:pPr>
        <w:spacing w:line="360" w:lineRule="auto"/>
        <w:ind w:firstLine="480" w:firstLineChars="200"/>
        <w:rPr>
          <w:rFonts w:ascii="仿宋" w:hAnsi="仿宋" w:eastAsia="仿宋" w:cs="仿宋"/>
          <w:b/>
          <w:bCs/>
          <w:color w:val="auto"/>
          <w:highlight w:val="none"/>
          <w:u w:val="single"/>
          <w:lang w:eastAsia="zh-CN"/>
        </w:rPr>
      </w:pPr>
      <w:r>
        <w:rPr>
          <w:rFonts w:hint="eastAsia" w:ascii="仿宋" w:hAnsi="仿宋" w:eastAsia="仿宋" w:cs="仿宋"/>
          <w:color w:val="auto"/>
          <w:highlight w:val="none"/>
          <w:lang w:eastAsia="zh-CN"/>
        </w:rPr>
        <w:t>承包人应当完善质量管理制度，建立质量控制流程，建立并保持一个有效的工程质量管理体系，经</w:t>
      </w:r>
      <w:r>
        <w:rPr>
          <w:rFonts w:hint="eastAsia" w:ascii="仿宋" w:hAnsi="仿宋" w:eastAsia="仿宋" w:cs="仿宋"/>
          <w:b/>
          <w:bCs/>
          <w:color w:val="auto"/>
          <w:highlight w:val="none"/>
          <w:u w:val="single"/>
          <w:lang w:eastAsia="zh-CN"/>
        </w:rPr>
        <w:t>双方协商一致，49.3款补充以下条款：</w:t>
      </w:r>
    </w:p>
    <w:p w14:paraId="37D27507">
      <w:pPr>
        <w:spacing w:line="360" w:lineRule="auto"/>
        <w:ind w:firstLine="564" w:firstLineChars="235"/>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3）建立完整的质量保证体系，委派专人负责工程质量管理，现场管理机构、工区（段）设有专职质检人员，班组设质检员，必须附有项目架构人员名单，各类人员必须持有上岗资格证，于本合同签订</w:t>
      </w:r>
      <w:r>
        <w:rPr>
          <w:rFonts w:hint="eastAsia" w:ascii="仿宋" w:hAnsi="仿宋" w:eastAsia="仿宋" w:cs="宋体"/>
          <w:bCs/>
          <w:snapToGrid w:val="0"/>
          <w:color w:val="auto"/>
          <w:highlight w:val="none"/>
          <w:lang w:eastAsia="zh-CN"/>
        </w:rPr>
        <w:t>之日起</w:t>
      </w:r>
      <w:r>
        <w:rPr>
          <w:rFonts w:ascii="仿宋" w:hAnsi="仿宋" w:eastAsia="仿宋" w:cs="宋体"/>
          <w:snapToGrid w:val="0"/>
          <w:color w:val="auto"/>
          <w:highlight w:val="none"/>
          <w:lang w:eastAsia="zh-CN"/>
        </w:rPr>
        <w:t>5天内将上述人员报总监理工程师备查。承包人还应建立并完善各项目质量管理检查制度及企业质量管理文件等。</w:t>
      </w:r>
      <w:r>
        <w:rPr>
          <w:rFonts w:hint="eastAsia" w:ascii="仿宋" w:hAnsi="仿宋" w:eastAsia="仿宋" w:cs="宋体"/>
          <w:bCs/>
          <w:snapToGrid w:val="0"/>
          <w:color w:val="auto"/>
          <w:highlight w:val="none"/>
          <w:lang w:eastAsia="zh-CN"/>
        </w:rPr>
        <w:t>同时，承包人应积极配合工程质量第三方检测工作，并积极采用新材料、新工艺、新技术。</w:t>
      </w:r>
    </w:p>
    <w:p w14:paraId="62BE07DE">
      <w:pPr>
        <w:spacing w:line="360" w:lineRule="auto"/>
        <w:ind w:firstLine="564" w:firstLineChars="235"/>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4）承包人提交总监理工程师批准的施工组织设计或者施工方案必须附有完备的工程质量保证措施，包括：工程质量预控措施，</w:t>
      </w:r>
      <w:r>
        <w:rPr>
          <w:rFonts w:hint="eastAsia" w:ascii="仿宋" w:hAnsi="仿宋" w:eastAsia="仿宋" w:cs="宋体"/>
          <w:iCs/>
          <w:snapToGrid w:val="0"/>
          <w:color w:val="auto"/>
          <w:highlight w:val="none"/>
          <w:lang w:eastAsia="zh-CN"/>
        </w:rPr>
        <w:t>工序质量控制点，</w:t>
      </w:r>
      <w:r>
        <w:rPr>
          <w:rFonts w:hint="eastAsia" w:ascii="仿宋" w:hAnsi="仿宋" w:eastAsia="仿宋" w:cs="宋体"/>
          <w:snapToGrid w:val="0"/>
          <w:color w:val="auto"/>
          <w:highlight w:val="none"/>
          <w:lang w:eastAsia="zh-CN"/>
        </w:rPr>
        <w:t>工程的标准工艺流程图和技术、组织措施，工程各分部、分项的关键工序、特殊工序控制、样板间制度等，以及重点分部（项）工程的施工方法，材料、制品试件取样及送检试验的方法或检测方案，成品保护的措施和方法，质量报表和质量事故的报告制度，等等。</w:t>
      </w:r>
    </w:p>
    <w:p w14:paraId="09128CA8">
      <w:pPr>
        <w:spacing w:line="360" w:lineRule="auto"/>
        <w:ind w:firstLine="564" w:firstLineChars="235"/>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5）单项工程开工前，承包人必须按要求对职工分级进行技术交底，组织学习有关规程、标准、规范和工艺要求（规程包括但不限于施工企业标准和作业指导书），在施工中必须按规程及工艺进行操作。</w:t>
      </w:r>
    </w:p>
    <w:p w14:paraId="15C94A27">
      <w:pPr>
        <w:spacing w:line="360" w:lineRule="auto"/>
        <w:ind w:firstLine="564" w:firstLineChars="235"/>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6）单项工程和重要部位必须遵循先</w:t>
      </w:r>
      <w:r>
        <w:rPr>
          <w:rFonts w:hint="eastAsia" w:ascii="仿宋" w:hAnsi="仿宋" w:eastAsia="仿宋" w:cs="宋体"/>
          <w:snapToGrid w:val="0"/>
          <w:color w:val="auto"/>
          <w:highlight w:val="none"/>
          <w:lang w:eastAsia="zh-CN"/>
        </w:rPr>
        <w:t>样板、</w:t>
      </w:r>
      <w:r>
        <w:rPr>
          <w:rFonts w:ascii="仿宋" w:hAnsi="仿宋" w:eastAsia="仿宋" w:cs="宋体"/>
          <w:snapToGrid w:val="0"/>
          <w:color w:val="auto"/>
          <w:highlight w:val="none"/>
          <w:lang w:eastAsia="zh-CN"/>
        </w:rPr>
        <w:t>试验后铺开施工的程序，即关键分项工程必须先施工实体样板，实体样板经各方验收合格方能用于现场交底和大面积施工。开工前承包人应熟悉施工图纸会审和设计变更内容并完成施工组织设计和必要的施工准备，</w:t>
      </w:r>
      <w:r>
        <w:rPr>
          <w:rFonts w:hint="eastAsia" w:ascii="仿宋" w:hAnsi="仿宋" w:eastAsia="仿宋" w:cs="宋体"/>
          <w:snapToGrid w:val="0"/>
          <w:color w:val="auto"/>
          <w:highlight w:val="none"/>
          <w:lang w:eastAsia="zh-CN"/>
        </w:rPr>
        <w:t>送总监理工程师审查批准后方可进行试验性施工，完工后由总监理工程师检验，符合要求后才能铺开施工或者批量生产。</w:t>
      </w:r>
    </w:p>
    <w:p w14:paraId="5C843D60">
      <w:pPr>
        <w:spacing w:line="360" w:lineRule="auto"/>
        <w:ind w:firstLine="564" w:firstLineChars="235"/>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7）按照《广州市住房和城乡建设委员会关于加强房屋建筑和市政基础设施工程混凝土试件标准养护管理的通知》（穗建</w:t>
      </w:r>
      <w:r>
        <w:rPr>
          <w:rFonts w:hint="eastAsia" w:ascii="仿宋" w:hAnsi="仿宋" w:eastAsia="仿宋" w:cs="宋体"/>
          <w:snapToGrid w:val="0"/>
          <w:color w:val="auto"/>
          <w:highlight w:val="none"/>
          <w:lang w:eastAsia="zh-CN"/>
        </w:rPr>
        <w:t>规字〔</w:t>
      </w:r>
      <w:r>
        <w:rPr>
          <w:rFonts w:ascii="仿宋" w:hAnsi="仿宋" w:eastAsia="仿宋" w:cs="宋体"/>
          <w:snapToGrid w:val="0"/>
          <w:color w:val="auto"/>
          <w:highlight w:val="none"/>
          <w:lang w:eastAsia="zh-CN"/>
        </w:rPr>
        <w:t>2020〕29号），在建房屋建筑和市政基础设施工程，现场有混凝土结构施工部位的，必须在施工现场建立混凝土试件标准</w:t>
      </w:r>
      <w:r>
        <w:rPr>
          <w:rFonts w:hint="eastAsia" w:ascii="仿宋" w:hAnsi="仿宋" w:eastAsia="仿宋" w:cs="宋体"/>
          <w:snapToGrid w:val="0"/>
          <w:color w:val="auto"/>
          <w:highlight w:val="none"/>
          <w:lang w:eastAsia="zh-CN"/>
        </w:rPr>
        <w:t>养护室或放置标准养护箱。施工企业应建立施工现场混凝土标准养护试件管理制度，指定专人负责，建立混凝土试件管理台帐，台帐应记录混凝土试件编号、所代表混凝土等级和批次、浇筑时间和部位、试件制作时间、送检时间、见证人员、监理单位抽查记录和预拌混凝土企业跟踪记录等内容。混凝土标准养护试件取样、制作、芯片植入、标识和养护严格按照相关技术标准和操作规程进行。监理单位应按照住建部《房屋建筑工程和市政基础设施工程实行见证取样和送检的规定》（建建字〔2000〕211号）规定，加强对混凝土标准养护试件的取样、制样、芯片植入、养护、送检的全过程的监管，确保试件的真实性和代表性。</w:t>
      </w:r>
    </w:p>
    <w:p w14:paraId="4B1ACAE1">
      <w:pPr>
        <w:pStyle w:val="3"/>
        <w:tabs>
          <w:tab w:val="left" w:pos="420"/>
        </w:tabs>
        <w:spacing w:line="360" w:lineRule="auto"/>
        <w:ind w:left="576" w:hanging="576"/>
        <w:rPr>
          <w:rFonts w:ascii="仿宋" w:hAnsi="仿宋" w:eastAsia="仿宋"/>
          <w:b w:val="0"/>
          <w:bCs w:val="0"/>
          <w:i w:val="0"/>
          <w:iCs w:val="0"/>
          <w:color w:val="auto"/>
          <w:sz w:val="24"/>
          <w:szCs w:val="24"/>
          <w:highlight w:val="none"/>
          <w:lang w:eastAsia="zh-CN"/>
        </w:rPr>
      </w:pPr>
      <w:bookmarkStart w:id="1672" w:name="_Toc16276"/>
      <w:bookmarkStart w:id="1673" w:name="_Toc9598"/>
      <w:bookmarkStart w:id="1674" w:name="_Toc3486"/>
      <w:bookmarkStart w:id="1675" w:name="_Toc23080"/>
      <w:bookmarkStart w:id="1676" w:name="_Toc30065"/>
      <w:bookmarkStart w:id="1677" w:name="_Toc5392"/>
      <w:bookmarkStart w:id="1678" w:name="_Toc8586"/>
      <w:r>
        <w:rPr>
          <w:rFonts w:hint="eastAsia" w:ascii="仿宋" w:hAnsi="仿宋" w:eastAsia="仿宋" w:cs="仿宋"/>
          <w:b w:val="0"/>
          <w:bCs w:val="0"/>
          <w:i w:val="0"/>
          <w:iCs w:val="0"/>
          <w:color w:val="auto"/>
          <w:sz w:val="24"/>
          <w:szCs w:val="24"/>
          <w:highlight w:val="none"/>
          <w:lang w:eastAsia="zh-CN"/>
        </w:rPr>
        <w:t>★50.  工程质量创优</w:t>
      </w:r>
      <w:bookmarkEnd w:id="1671"/>
      <w:bookmarkEnd w:id="1672"/>
      <w:bookmarkEnd w:id="1673"/>
      <w:bookmarkEnd w:id="1674"/>
      <w:bookmarkEnd w:id="1675"/>
      <w:bookmarkEnd w:id="1676"/>
      <w:bookmarkEnd w:id="1677"/>
      <w:bookmarkEnd w:id="1678"/>
    </w:p>
    <w:p w14:paraId="3BCDFC6C">
      <w:pPr>
        <w:autoSpaceDE w:val="0"/>
        <w:autoSpaceDN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50.1 发包人鼓励承包人实施工程质量创优，本工程的质量创优目标及评价标准为：</w:t>
      </w:r>
    </w:p>
    <w:p w14:paraId="592CE1A9">
      <w:pPr>
        <w:autoSpaceDE w:val="0"/>
        <w:autoSpaceDN w:val="0"/>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详见协议书第四条。</w:t>
      </w:r>
    </w:p>
    <w:p w14:paraId="21A10929">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1679" w:name="_Toc6801"/>
      <w:bookmarkStart w:id="1680" w:name="_Toc10796"/>
      <w:bookmarkStart w:id="1681" w:name="_Toc32130"/>
      <w:bookmarkStart w:id="1682" w:name="_Toc626"/>
      <w:bookmarkStart w:id="1683" w:name="_Toc47694419"/>
      <w:bookmarkStart w:id="1684" w:name="_Toc20859"/>
      <w:bookmarkStart w:id="1685" w:name="_Toc13200"/>
      <w:bookmarkStart w:id="1686" w:name="_Toc973"/>
      <w:r>
        <w:rPr>
          <w:rFonts w:hint="eastAsia" w:ascii="仿宋" w:hAnsi="仿宋" w:eastAsia="仿宋" w:cs="仿宋"/>
          <w:b w:val="0"/>
          <w:bCs w:val="0"/>
          <w:i w:val="0"/>
          <w:iCs w:val="0"/>
          <w:color w:val="auto"/>
          <w:sz w:val="24"/>
          <w:szCs w:val="24"/>
          <w:highlight w:val="none"/>
          <w:lang w:eastAsia="zh-CN"/>
        </w:rPr>
        <w:t>★52.  绿色施工安全防护</w:t>
      </w:r>
      <w:bookmarkEnd w:id="1679"/>
      <w:bookmarkEnd w:id="1680"/>
      <w:bookmarkEnd w:id="1681"/>
      <w:bookmarkEnd w:id="1682"/>
      <w:bookmarkEnd w:id="1683"/>
      <w:bookmarkEnd w:id="1684"/>
      <w:bookmarkEnd w:id="1685"/>
      <w:bookmarkEnd w:id="1686"/>
    </w:p>
    <w:p w14:paraId="76927238">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52.1绿色施工安全防护的要求</w:t>
      </w:r>
    </w:p>
    <w:p w14:paraId="3DBC2183">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按通用条款的约定。</w:t>
      </w:r>
    </w:p>
    <w:p w14:paraId="513256E8">
      <w:pPr>
        <w:spacing w:line="360" w:lineRule="auto"/>
        <w:ind w:firstLine="120" w:firstLineChars="5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olor w:val="auto"/>
          <w:highlight w:val="none"/>
          <w:u w:val="single"/>
          <w:lang w:eastAsia="zh-CN"/>
        </w:rPr>
        <w:t>本项目工程现场文明施工必须严格按照国家、省市最新颁布的法律法规、规章制度及委建设行政主管部门最新发布的相关文件等执行，还应满足以下要求。</w:t>
      </w:r>
    </w:p>
    <w:p w14:paraId="4F690437">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（1）承包人应</w:t>
      </w:r>
      <w:r>
        <w:rPr>
          <w:rFonts w:hint="eastAsia" w:ascii="仿宋" w:hAnsi="仿宋" w:eastAsia="仿宋" w:cs="宋体"/>
          <w:snapToGrid w:val="0"/>
          <w:color w:val="auto"/>
          <w:highlight w:val="none"/>
          <w:lang w:eastAsia="zh-CN"/>
        </w:rPr>
        <w:t>明确扬尘污染防治责任，</w:t>
      </w:r>
      <w:r>
        <w:rPr>
          <w:rFonts w:hint="eastAsia" w:ascii="仿宋" w:hAnsi="仿宋" w:eastAsia="仿宋" w:cs="宋体"/>
          <w:bCs/>
          <w:snapToGrid w:val="0"/>
          <w:color w:val="auto"/>
          <w:highlight w:val="none"/>
          <w:lang w:eastAsia="zh-CN"/>
        </w:rPr>
        <w:t>应制定具体的施工扬尘污染防治实施方案，在施工工地公示扬尘污染防治措施、负责人、扬尘监督管理主管部门等信息。施工单位应当采取有效防尘降尘措施，减少施工作业过程扬尘污染，并做好扬尘污染防治工作：</w:t>
      </w:r>
    </w:p>
    <w:p w14:paraId="467FE1F6">
      <w:pPr>
        <w:spacing w:line="360" w:lineRule="auto"/>
        <w:ind w:right="11" w:firstLine="480" w:firstLineChars="200"/>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1）对施工现场实行封闭管理。城市范围内主要路段的施工工地应设置高度不小于</w:t>
      </w:r>
      <w:r>
        <w:rPr>
          <w:rFonts w:hint="eastAsia" w:ascii="仿宋" w:hAnsi="仿宋" w:eastAsia="仿宋" w:cs="宋体"/>
          <w:bCs/>
          <w:snapToGrid w:val="0"/>
          <w:color w:val="auto"/>
          <w:highlight w:val="none"/>
          <w:lang w:eastAsia="zh-CN"/>
        </w:rPr>
        <w:t>3</w:t>
      </w:r>
      <w:r>
        <w:rPr>
          <w:rFonts w:ascii="仿宋" w:hAnsi="仿宋" w:eastAsia="仿宋" w:cs="宋体"/>
          <w:bCs/>
          <w:snapToGrid w:val="0"/>
          <w:color w:val="auto"/>
          <w:highlight w:val="none"/>
          <w:lang w:eastAsia="zh-CN"/>
        </w:rPr>
        <w:t>m的封闭围挡，一般路段的施工工地应设置高度不小于1.8m的封闭围挡。施工工地的封闭围挡应坚固、稳定、整洁、美观。</w:t>
      </w:r>
    </w:p>
    <w:p w14:paraId="3AED5C83">
      <w:pPr>
        <w:spacing w:line="360" w:lineRule="auto"/>
        <w:ind w:right="11" w:firstLine="480" w:firstLineChars="200"/>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2）加强物料管理。施工现场的建筑材料、构件、料具应按总平面布局进行码放。在规定区域内的施工现场应使用预拌混凝土及预拌砂浆；水泥和</w:t>
      </w:r>
      <w:r>
        <w:rPr>
          <w:rFonts w:hint="eastAsia" w:ascii="仿宋" w:hAnsi="仿宋" w:eastAsia="仿宋" w:cs="宋体"/>
          <w:bCs/>
          <w:snapToGrid w:val="0"/>
          <w:color w:val="auto"/>
          <w:highlight w:val="none"/>
          <w:lang w:eastAsia="zh-CN"/>
        </w:rPr>
        <w:t>其他</w:t>
      </w:r>
      <w:r>
        <w:rPr>
          <w:rFonts w:ascii="仿宋" w:hAnsi="仿宋" w:eastAsia="仿宋" w:cs="宋体"/>
          <w:bCs/>
          <w:snapToGrid w:val="0"/>
          <w:color w:val="auto"/>
          <w:highlight w:val="none"/>
          <w:lang w:eastAsia="zh-CN"/>
        </w:rPr>
        <w:t>易飞扬的细颗粒建筑材料应密闭存放或采取覆盖等措施。</w:t>
      </w:r>
    </w:p>
    <w:p w14:paraId="151522E3">
      <w:pPr>
        <w:spacing w:line="360" w:lineRule="auto"/>
        <w:ind w:right="11" w:firstLine="480" w:firstLineChars="200"/>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3）注重降尘作业。施工现场土方作业应采取防止扬尘措施，主要道路应定期清扫、洒水。拆除建筑物或构筑物时，应采用隔离、洒水等降噪、降尘措施，并应及时清理废弃物。施工进行铣刨、切割等作业时，应采取有效防扬尘措施；灰土和无机料应采用预拌进场，碾压过程中应洒水降尘。</w:t>
      </w:r>
    </w:p>
    <w:p w14:paraId="58625CDE">
      <w:pPr>
        <w:spacing w:line="360" w:lineRule="auto"/>
        <w:ind w:right="11" w:firstLine="480" w:firstLineChars="200"/>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4）硬化路面和清洗车辆。施工现场的主要道路及材料加工区地面应进行硬化处理，道路应畅通，路面应平整坚实。裸露的场地和堆放的土方应采取覆盖、固化或绿化等措施。施工现场出入口应设置车辆冲洗设施，并对驶出车辆进行清洗。</w:t>
      </w:r>
    </w:p>
    <w:p w14:paraId="53A82D1E">
      <w:pPr>
        <w:spacing w:line="360" w:lineRule="auto"/>
        <w:ind w:right="11" w:firstLine="480" w:firstLineChars="200"/>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5）清运建筑垃圾。土方和建筑垃圾的运输应采用封闭式运输车辆或采取覆盖措施。建筑物内施工垃圾的清运，应采用器具或管道运输，严禁随意抛掷。施工现场严禁焚烧各类废弃物。</w:t>
      </w:r>
    </w:p>
    <w:p w14:paraId="27C44A38">
      <w:pPr>
        <w:spacing w:line="360" w:lineRule="auto"/>
        <w:ind w:right="11" w:firstLine="480" w:firstLineChars="200"/>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6）加强监测监控。要求施工工地安装在线监测和视频监控设备，并与当地有关主管部门联网。当环境空气质量指数达到中度及以上污染时，施工现场应增加洒水频次，加强覆盖措施，减少易造成大气污染的施工作业。</w:t>
      </w:r>
    </w:p>
    <w:p w14:paraId="775E24B5">
      <w:pPr>
        <w:spacing w:line="360" w:lineRule="auto"/>
        <w:ind w:firstLine="424" w:firstLineChars="177"/>
        <w:rPr>
          <w:rFonts w:ascii="仿宋" w:hAnsi="仿宋" w:eastAsia="仿宋" w:cs="宋体"/>
          <w:snapToGrid w:val="0"/>
          <w:color w:val="auto"/>
          <w:highlight w:val="none"/>
          <w:u w:val="single"/>
          <w:lang w:eastAsia="zh-CN"/>
        </w:rPr>
      </w:pPr>
      <w:r>
        <w:rPr>
          <w:rFonts w:hint="eastAsia" w:ascii="仿宋" w:hAnsi="仿宋" w:eastAsia="仿宋" w:cs="宋体"/>
          <w:snapToGrid w:val="0"/>
          <w:color w:val="auto"/>
          <w:highlight w:val="none"/>
          <w:lang w:eastAsia="zh-CN"/>
        </w:rPr>
        <w:t>承包人在钻冲孔桩、搅拌桩等施工过程中产生的泥浆，应按发包人要求处理，相关费用已含在合同价款中。对于承包人施工过程中造成的环境污染问题，经发包人或者总监理工程师指出后，承包人未能在</w:t>
      </w:r>
      <w:r>
        <w:rPr>
          <w:rFonts w:ascii="仿宋" w:hAnsi="仿宋" w:eastAsia="仿宋" w:cs="宋体"/>
          <w:snapToGrid w:val="0"/>
          <w:color w:val="auto"/>
          <w:highlight w:val="none"/>
          <w:lang w:eastAsia="zh-CN"/>
        </w:rPr>
        <w:t>24小时之内采取整治措施，</w:t>
      </w:r>
      <w:r>
        <w:rPr>
          <w:rFonts w:ascii="仿宋" w:hAnsi="仿宋" w:eastAsia="仿宋" w:cs="宋体"/>
          <w:snapToGrid w:val="0"/>
          <w:color w:val="auto"/>
          <w:highlight w:val="none"/>
          <w:u w:val="single"/>
          <w:lang w:eastAsia="zh-CN"/>
        </w:rPr>
        <w:t>或者所采取的整治措施未能有效消除污染的，发包人可以自行或者委托他人代为整治，由此所产生的一切损失、费用均由承包人承担。</w:t>
      </w:r>
    </w:p>
    <w:p w14:paraId="3C3F2A65">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对于发包人直接发包的专业承包单位(若有)在施工过程中造成的环境污染（包括文明施工混乱），承包人必须配合发包人及监理单位，督促该专业承包单位立即采取整治措施，如果该专业承包单位不服从承包人的整治要求，承包人必须自行组织及时完成环境污染的整治工作并向总监理工程师及发包人书面汇报其过程及效果，由此产生的费用经总监理工程师及发包人审核确认，从该专业承包单位的工程款项中扣除，由发包人将该笔款项直接支付给承包人。由于承包人管理督促不力或漠视不理，以致专业承包单位未能及时整治或不进行整治而造成的一切损失均由承包人承担，同时承包人还必须按专用条款第</w:t>
      </w:r>
      <w:r>
        <w:rPr>
          <w:rFonts w:ascii="仿宋" w:hAnsi="仿宋" w:eastAsia="仿宋" w:cs="宋体"/>
          <w:snapToGrid w:val="0"/>
          <w:color w:val="auto"/>
          <w:highlight w:val="none"/>
          <w:lang w:eastAsia="zh-CN"/>
        </w:rPr>
        <w:t>95.</w:t>
      </w:r>
      <w:r>
        <w:rPr>
          <w:rFonts w:hint="eastAsia" w:ascii="仿宋" w:hAnsi="仿宋" w:eastAsia="仿宋" w:cs="宋体"/>
          <w:snapToGrid w:val="0"/>
          <w:color w:val="auto"/>
          <w:highlight w:val="none"/>
          <w:lang w:eastAsia="zh-CN"/>
        </w:rPr>
        <w:t>7</w:t>
      </w:r>
      <w:r>
        <w:rPr>
          <w:rFonts w:ascii="仿宋" w:hAnsi="仿宋" w:eastAsia="仿宋" w:cs="宋体"/>
          <w:snapToGrid w:val="0"/>
          <w:color w:val="auto"/>
          <w:highlight w:val="none"/>
          <w:lang w:eastAsia="zh-CN"/>
        </w:rPr>
        <w:t>款的约定承担相应的违约责任。</w:t>
      </w:r>
    </w:p>
    <w:p w14:paraId="5A4CB90F">
      <w:pPr>
        <w:spacing w:line="360" w:lineRule="auto"/>
        <w:ind w:right="11" w:firstLine="424" w:firstLineChars="177"/>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7）承包人承诺：所有施工的安全设施、机具以及围网、护栏、临边防护、施工通道等全部按发包人的要求统一标准、统一标识。安全防护、文明施工的内容按中标后承包人向发包人提交且经发包人批准的详细的施工组织设计实施，</w:t>
      </w:r>
      <w:r>
        <w:rPr>
          <w:rFonts w:hint="eastAsia" w:ascii="仿宋" w:hAnsi="仿宋" w:eastAsia="仿宋" w:cs="宋体"/>
          <w:bCs/>
          <w:snapToGrid w:val="0"/>
          <w:color w:val="auto"/>
          <w:highlight w:val="none"/>
          <w:lang w:eastAsia="zh-CN"/>
        </w:rPr>
        <w:t>安全防护、文明施工费用按专用条款8.5.3的规定执行。</w:t>
      </w:r>
    </w:p>
    <w:p w14:paraId="1336C293">
      <w:pPr>
        <w:spacing w:line="360" w:lineRule="auto"/>
        <w:ind w:right="11" w:firstLine="424" w:firstLineChars="177"/>
        <w:rPr>
          <w:rFonts w:ascii="仿宋" w:hAnsi="仿宋" w:eastAsia="仿宋" w:cs="宋体"/>
          <w:snapToGrid w:val="0"/>
          <w:color w:val="auto"/>
          <w:highlight w:val="none"/>
          <w:lang w:eastAsia="zh-CN"/>
        </w:rPr>
      </w:pPr>
      <w:r>
        <w:rPr>
          <w:rFonts w:hint="eastAsia" w:ascii="仿宋" w:hAnsi="仿宋" w:eastAsia="仿宋" w:cs="宋体"/>
          <w:bCs/>
          <w:snapToGrid w:val="0"/>
          <w:color w:val="auto"/>
          <w:highlight w:val="none"/>
          <w:lang w:eastAsia="zh-CN"/>
        </w:rPr>
        <w:t>在合同工期内，发包人、总监理工程师对承包人的安全文明施工及环境保护措施</w:t>
      </w:r>
      <w:r>
        <w:rPr>
          <w:rFonts w:hint="eastAsia" w:ascii="仿宋" w:hAnsi="仿宋" w:eastAsia="仿宋" w:cs="宋体"/>
          <w:snapToGrid w:val="0"/>
          <w:color w:val="auto"/>
          <w:highlight w:val="none"/>
          <w:lang w:eastAsia="zh-CN"/>
        </w:rPr>
        <w:t>进行定期检查，并按招标文件规定的项目和款项执行奖罚。</w:t>
      </w:r>
    </w:p>
    <w:p w14:paraId="54F56965">
      <w:pPr>
        <w:pStyle w:val="171"/>
        <w:tabs>
          <w:tab w:val="clear" w:pos="851"/>
        </w:tabs>
        <w:ind w:left="0"/>
        <w:rPr>
          <w:rFonts w:ascii="仿宋" w:hAnsi="仿宋" w:eastAsia="仿宋"/>
          <w:color w:val="auto"/>
          <w:szCs w:val="24"/>
          <w:highlight w:val="none"/>
        </w:rPr>
      </w:pPr>
      <w:r>
        <w:rPr>
          <w:rFonts w:ascii="仿宋" w:hAnsi="仿宋" w:eastAsia="仿宋"/>
          <w:color w:val="auto"/>
          <w:szCs w:val="24"/>
          <w:highlight w:val="none"/>
        </w:rPr>
        <w:t>（</w:t>
      </w:r>
      <w:r>
        <w:rPr>
          <w:rFonts w:hint="eastAsia" w:ascii="仿宋" w:hAnsi="仿宋" w:eastAsia="仿宋"/>
          <w:color w:val="auto"/>
          <w:szCs w:val="24"/>
          <w:highlight w:val="none"/>
        </w:rPr>
        <w:t>2</w:t>
      </w:r>
      <w:r>
        <w:rPr>
          <w:rFonts w:ascii="仿宋" w:hAnsi="仿宋" w:eastAsia="仿宋"/>
          <w:color w:val="auto"/>
          <w:szCs w:val="24"/>
          <w:highlight w:val="none"/>
        </w:rPr>
        <w:t>）</w:t>
      </w:r>
      <w:r>
        <w:rPr>
          <w:rFonts w:hint="eastAsia" w:ascii="仿宋" w:hAnsi="仿宋" w:eastAsia="仿宋" w:cs="宋体"/>
          <w:iCs/>
          <w:snapToGrid w:val="0"/>
          <w:color w:val="auto"/>
          <w:kern w:val="0"/>
          <w:szCs w:val="24"/>
          <w:highlight w:val="none"/>
        </w:rPr>
        <w:t>其他要求：</w:t>
      </w:r>
    </w:p>
    <w:p w14:paraId="69B2D2CD">
      <w:pPr>
        <w:spacing w:line="360" w:lineRule="auto"/>
        <w:ind w:firstLine="424" w:firstLineChars="177"/>
        <w:rPr>
          <w:rFonts w:ascii="仿宋" w:hAnsi="仿宋" w:eastAsia="仿宋"/>
          <w:color w:val="auto"/>
          <w:highlight w:val="none"/>
          <w:lang w:eastAsia="zh-CN"/>
        </w:rPr>
      </w:pPr>
      <w:r>
        <w:rPr>
          <w:rFonts w:ascii="仿宋" w:hAnsi="仿宋" w:eastAsia="仿宋"/>
          <w:color w:val="auto"/>
          <w:highlight w:val="none"/>
          <w:lang w:eastAsia="zh-CN"/>
        </w:rPr>
        <w:t>1）承包人应当按照施工图设计文件和绿色建筑强制性标准进行施工。对不符合施工图设计文件要求的墙体材料、保温材料、门窗、供暖制冷系统、照明设备、非传统水源利用设施、可再生能源利用设施、节水器具等建筑材料、建筑构配件和设施设备，不得使用。</w:t>
      </w:r>
    </w:p>
    <w:p w14:paraId="3A66D3A3">
      <w:pPr>
        <w:spacing w:line="360" w:lineRule="auto"/>
        <w:ind w:firstLine="424" w:firstLineChars="177"/>
        <w:rPr>
          <w:rFonts w:ascii="仿宋" w:hAnsi="仿宋" w:eastAsia="仿宋"/>
          <w:color w:val="auto"/>
          <w:highlight w:val="none"/>
          <w:lang w:eastAsia="zh-CN"/>
        </w:rPr>
      </w:pPr>
      <w:r>
        <w:rPr>
          <w:rFonts w:ascii="仿宋" w:hAnsi="仿宋" w:eastAsia="仿宋"/>
          <w:color w:val="auto"/>
          <w:highlight w:val="none"/>
          <w:lang w:eastAsia="zh-CN"/>
        </w:rPr>
        <w:t>2）承包人应当在施工中采取降低施工能耗、水耗，减少废弃物排放、减少噪声污染和防治扬尘等节能减排和环境保护措施。</w:t>
      </w:r>
    </w:p>
    <w:p w14:paraId="1C0FA42C">
      <w:pPr>
        <w:spacing w:line="360" w:lineRule="auto"/>
        <w:ind w:firstLine="424" w:firstLineChars="177"/>
        <w:rPr>
          <w:rFonts w:ascii="仿宋" w:hAnsi="仿宋" w:eastAsia="仿宋"/>
          <w:color w:val="auto"/>
          <w:highlight w:val="none"/>
          <w:lang w:eastAsia="zh-CN"/>
        </w:rPr>
      </w:pPr>
      <w:r>
        <w:rPr>
          <w:rFonts w:ascii="仿宋" w:hAnsi="仿宋" w:eastAsia="仿宋"/>
          <w:color w:val="auto"/>
          <w:highlight w:val="none"/>
          <w:lang w:eastAsia="zh-CN"/>
        </w:rPr>
        <w:t>3）发包人组织承包人、监理等有关单位进行竣工验收时，应当对民用建筑围护结构、节能和节水设施设备等是否符合施工图设计文件要求和绿色建筑强制性标准进行查验；不符合施工图设计文件要求或者绿色建筑强制性标准的，不得通过竣工验收。</w:t>
      </w:r>
    </w:p>
    <w:p w14:paraId="08E650BB">
      <w:pPr>
        <w:spacing w:line="360" w:lineRule="auto"/>
        <w:ind w:firstLine="424" w:firstLineChars="177"/>
        <w:rPr>
          <w:rFonts w:ascii="仿宋" w:hAnsi="仿宋" w:eastAsia="仿宋"/>
          <w:color w:val="auto"/>
          <w:highlight w:val="none"/>
          <w:lang w:eastAsia="zh-CN"/>
        </w:rPr>
      </w:pPr>
      <w:r>
        <w:rPr>
          <w:rFonts w:hint="eastAsia" w:ascii="仿宋" w:hAnsi="仿宋" w:eastAsia="仿宋"/>
          <w:color w:val="auto"/>
          <w:highlight w:val="none"/>
          <w:lang w:eastAsia="zh-CN"/>
        </w:rPr>
        <w:t>4）工程施工扬尘污染防治措施、用工实名管理费用，已包含于合同价款内，甲方不再另行承担和支付，且结算时不作调增。乙方仍应按照有关文件的规定采取工程施工扬尘污染防治措施，及进行用工实名管理。</w:t>
      </w:r>
    </w:p>
    <w:p w14:paraId="57EB76FB">
      <w:pPr>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52.2 用工实名制、工人工资支付分账管理</w:t>
      </w:r>
    </w:p>
    <w:p w14:paraId="70DA6955">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按通用条款的约定以及以下文件规定：</w:t>
      </w:r>
    </w:p>
    <w:p w14:paraId="2D65B4DE">
      <w:pPr>
        <w:spacing w:line="360" w:lineRule="auto"/>
        <w:ind w:left="960" w:leftChars="4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①《保障农民工工资支付条例》（国务院令第7</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号）</w:t>
      </w:r>
    </w:p>
    <w:p w14:paraId="509E776D">
      <w:pPr>
        <w:spacing w:line="360" w:lineRule="auto"/>
        <w:ind w:left="960" w:leftChars="400"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 《广州市住房和城乡建设局 广州市人力资源和社会保障局 广州市交通运输局 广州市水务局 广州市林业和园林局 中国人民银行广州分行营业管理部关于印发广州市建设领域工人工资支付分账管理实施细则的通知》（穗建规字【2020】37号）</w:t>
      </w:r>
    </w:p>
    <w:p w14:paraId="65555DCA">
      <w:pPr>
        <w:spacing w:line="360" w:lineRule="auto"/>
        <w:ind w:left="960" w:leftChars="4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③《广州市住房和城乡建设局关于印发广州市建筑施工实名制管理办法的通知》（穗建规字【2020】18号）</w:t>
      </w:r>
    </w:p>
    <w:p w14:paraId="19C4D8C8">
      <w:pPr>
        <w:spacing w:line="360" w:lineRule="auto"/>
        <w:ind w:left="960" w:leftChars="4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④其他文件：</w:t>
      </w:r>
      <w:r>
        <w:rPr>
          <w:rFonts w:hint="eastAsia" w:ascii="仿宋" w:hAnsi="仿宋" w:eastAsia="仿宋" w:cs="仿宋"/>
          <w:color w:val="auto"/>
          <w:highlight w:val="none"/>
          <w:u w:val="single"/>
          <w:lang w:eastAsia="zh-CN"/>
        </w:rPr>
        <w:t>承包人根据《广州市根治拖欠农民工工资工作领导小组办公室关于广州市建设领域工程项目全面实施农民工工资总包代发制度的通知》《广州市住房和城乡建设局关于落实广州市建设领域工程项目全面实施农民工工资总包代发制度的通知》（穗建筑〔2020〕431号）等文件要求，进行分包工程工人工资支付。</w:t>
      </w:r>
    </w:p>
    <w:p w14:paraId="68DF1EBC">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s="仿宋"/>
          <w:color w:val="auto"/>
          <w:highlight w:val="none"/>
          <w:u w:val="single"/>
          <w:lang w:eastAsia="zh-CN"/>
        </w:rPr>
        <w:t>双方协商一致，本条增加52.2.1-52.2.2款：</w:t>
      </w:r>
    </w:p>
    <w:p w14:paraId="4A759AD0">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52.2.1</w:t>
      </w:r>
      <w:r>
        <w:rPr>
          <w:rFonts w:hint="eastAsia" w:ascii="仿宋" w:hAnsi="仿宋" w:eastAsia="仿宋"/>
          <w:color w:val="auto"/>
          <w:highlight w:val="none"/>
          <w:lang w:eastAsia="zh-CN"/>
        </w:rPr>
        <w:t xml:space="preserve"> 合同当事人对建筑工人工资清偿事宜和违约责任的约定：</w:t>
      </w:r>
    </w:p>
    <w:p w14:paraId="1FDA7920">
      <w:pPr>
        <w:spacing w:line="360" w:lineRule="auto"/>
        <w:ind w:left="398" w:leftChars="166"/>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1）承包人应当根据《国务院办公厅关于全面治理拖欠农民工工资问题的意见》（国办发〔2016〕1号）、《广东省人民政府办公厅关于全面治理拖欠异地务工人员工资问题的实施意见》（粤府办〔2016〕111号）、劳动合同约定的农民工工资标准等内容，按照依法签订的集体合同或劳动合同约定的日期按月支付工资，并不得低于当地最低工资标准。</w:t>
      </w:r>
    </w:p>
    <w:p w14:paraId="2E66E367">
      <w:pPr>
        <w:spacing w:line="360" w:lineRule="auto"/>
        <w:ind w:left="199" w:leftChars="83" w:firstLine="240" w:firstLineChars="1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2）承包人应每月编制农民工工资支付表，如实记录支付时间、支付对象、支付金额等工资支付情况，并于每月底提交</w:t>
      </w:r>
      <w:r>
        <w:rPr>
          <w:rFonts w:hint="eastAsia" w:ascii="仿宋" w:hAnsi="仿宋" w:eastAsia="仿宋"/>
          <w:color w:val="auto"/>
          <w:highlight w:val="none"/>
          <w:lang w:eastAsia="zh-CN"/>
        </w:rPr>
        <w:t>监理</w:t>
      </w:r>
      <w:r>
        <w:rPr>
          <w:rFonts w:ascii="仿宋" w:hAnsi="仿宋" w:eastAsia="仿宋"/>
          <w:color w:val="auto"/>
          <w:highlight w:val="none"/>
          <w:lang w:eastAsia="zh-CN"/>
        </w:rPr>
        <w:t>工程师备案，并在其现场管理机构办公场所显眼位置公示，接受监督。</w:t>
      </w:r>
    </w:p>
    <w:p w14:paraId="53984AAC">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3）承包人应按上述</w:t>
      </w:r>
      <w:r>
        <w:rPr>
          <w:rFonts w:hint="eastAsia" w:ascii="仿宋" w:hAnsi="仿宋" w:eastAsia="仿宋"/>
          <w:color w:val="auto"/>
          <w:highlight w:val="none"/>
          <w:lang w:eastAsia="zh-CN"/>
        </w:rPr>
        <w:t>（</w:t>
      </w:r>
      <w:r>
        <w:rPr>
          <w:rFonts w:ascii="仿宋" w:hAnsi="仿宋" w:eastAsia="仿宋"/>
          <w:color w:val="auto"/>
          <w:highlight w:val="none"/>
          <w:lang w:eastAsia="zh-CN"/>
        </w:rPr>
        <w:t>1）、</w:t>
      </w:r>
      <w:r>
        <w:rPr>
          <w:rFonts w:hint="eastAsia" w:ascii="仿宋" w:hAnsi="仿宋" w:eastAsia="仿宋"/>
          <w:color w:val="auto"/>
          <w:highlight w:val="none"/>
          <w:lang w:eastAsia="zh-CN"/>
        </w:rPr>
        <w:t>（</w:t>
      </w:r>
      <w:r>
        <w:rPr>
          <w:rFonts w:ascii="仿宋" w:hAnsi="仿宋" w:eastAsia="仿宋"/>
          <w:color w:val="auto"/>
          <w:highlight w:val="none"/>
          <w:lang w:eastAsia="zh-CN"/>
        </w:rPr>
        <w:t>2）点要求对其专业分包或劳务分包单位工资支付进行监督，每月收集分包单位编制农民工工资支付表，并于每月底提交</w:t>
      </w:r>
      <w:r>
        <w:rPr>
          <w:rFonts w:hint="eastAsia" w:ascii="仿宋" w:hAnsi="仿宋" w:eastAsia="仿宋"/>
          <w:color w:val="auto"/>
          <w:highlight w:val="none"/>
          <w:lang w:eastAsia="zh-CN"/>
        </w:rPr>
        <w:t>监理</w:t>
      </w:r>
      <w:r>
        <w:rPr>
          <w:rFonts w:ascii="仿宋" w:hAnsi="仿宋" w:eastAsia="仿宋"/>
          <w:color w:val="auto"/>
          <w:highlight w:val="none"/>
          <w:lang w:eastAsia="zh-CN"/>
        </w:rPr>
        <w:t>工程师备案，督促其依法支付农民工工资。</w:t>
      </w:r>
    </w:p>
    <w:p w14:paraId="3F41AA6B">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4）承包人必须以高度负责的态度，对存在的可能引发劳资纠纷的各种因素进行排查，及时化解、处理可能发生劳资纠纷的不稳定因素；尤其是对恶意煽动民工集体上访、集聚围阻的行为，要善于及时发现并敢于揭露、制止。</w:t>
      </w:r>
    </w:p>
    <w:p w14:paraId="123896E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52.2.2 用工实名管理</w:t>
      </w:r>
    </w:p>
    <w:p w14:paraId="32179A42">
      <w:pPr>
        <w:pStyle w:val="23"/>
        <w:spacing w:line="360" w:lineRule="auto"/>
        <w:ind w:firstLine="424" w:firstLineChars="177"/>
        <w:rPr>
          <w:rFonts w:ascii="仿宋" w:hAnsi="仿宋" w:eastAsia="仿宋"/>
          <w:b/>
          <w:iCs/>
          <w:snapToGrid w:val="0"/>
          <w:color w:val="auto"/>
          <w:sz w:val="24"/>
          <w:szCs w:val="24"/>
          <w:highlight w:val="none"/>
          <w:lang w:eastAsia="zh-CN"/>
        </w:rPr>
      </w:pPr>
      <w:r>
        <w:rPr>
          <w:rFonts w:hint="eastAsia" w:ascii="仿宋" w:hAnsi="仿宋" w:eastAsia="仿宋"/>
          <w:bCs/>
          <w:iCs/>
          <w:snapToGrid w:val="0"/>
          <w:color w:val="auto"/>
          <w:sz w:val="24"/>
          <w:szCs w:val="24"/>
          <w:highlight w:val="none"/>
          <w:lang w:eastAsia="zh-CN"/>
        </w:rPr>
        <w:t>（</w:t>
      </w:r>
      <w:r>
        <w:rPr>
          <w:rFonts w:ascii="仿宋" w:hAnsi="仿宋" w:eastAsia="仿宋"/>
          <w:bCs/>
          <w:iCs/>
          <w:snapToGrid w:val="0"/>
          <w:color w:val="auto"/>
          <w:sz w:val="24"/>
          <w:szCs w:val="24"/>
          <w:highlight w:val="none"/>
          <w:lang w:eastAsia="zh-CN"/>
        </w:rPr>
        <w:t>1）承包人应利用信息技术手段，建立用工实名管理制度，对施工现场人员登记并进行监管，开展实名管理所</w:t>
      </w:r>
      <w:r>
        <w:rPr>
          <w:rFonts w:hint="eastAsia" w:ascii="仿宋" w:hAnsi="仿宋" w:eastAsia="仿宋"/>
          <w:bCs/>
          <w:iCs/>
          <w:snapToGrid w:val="0"/>
          <w:color w:val="auto"/>
          <w:sz w:val="24"/>
          <w:szCs w:val="24"/>
          <w:highlight w:val="none"/>
          <w:lang w:eastAsia="zh-CN"/>
        </w:rPr>
        <w:t>需数据的提取、登记、审核、报送和档案管理等工作；</w:t>
      </w:r>
    </w:p>
    <w:p w14:paraId="21BDB7BF">
      <w:pPr>
        <w:pStyle w:val="23"/>
        <w:spacing w:line="360" w:lineRule="auto"/>
        <w:ind w:firstLine="424" w:firstLineChars="177"/>
        <w:rPr>
          <w:rFonts w:ascii="仿宋" w:hAnsi="仿宋" w:eastAsia="仿宋"/>
          <w:bCs/>
          <w:iCs/>
          <w:snapToGrid w:val="0"/>
          <w:color w:val="auto"/>
          <w:sz w:val="24"/>
          <w:szCs w:val="24"/>
          <w:highlight w:val="none"/>
          <w:lang w:eastAsia="zh-CN"/>
        </w:rPr>
      </w:pPr>
      <w:r>
        <w:rPr>
          <w:rFonts w:hint="eastAsia" w:ascii="仿宋" w:hAnsi="仿宋" w:eastAsia="仿宋"/>
          <w:bCs/>
          <w:iCs/>
          <w:snapToGrid w:val="0"/>
          <w:color w:val="auto"/>
          <w:sz w:val="24"/>
          <w:szCs w:val="24"/>
          <w:highlight w:val="none"/>
          <w:lang w:eastAsia="zh-CN"/>
        </w:rPr>
        <w:t>（</w:t>
      </w:r>
      <w:r>
        <w:rPr>
          <w:rFonts w:ascii="仿宋" w:hAnsi="仿宋" w:eastAsia="仿宋"/>
          <w:bCs/>
          <w:iCs/>
          <w:snapToGrid w:val="0"/>
          <w:color w:val="auto"/>
          <w:sz w:val="24"/>
          <w:szCs w:val="24"/>
          <w:highlight w:val="none"/>
          <w:lang w:eastAsia="zh-CN"/>
        </w:rPr>
        <w:t>2）在施工区域安装电子信息卡等门禁设施，用于施工现场人员的日常考勤和工作情况记录；</w:t>
      </w:r>
    </w:p>
    <w:p w14:paraId="0BCDC200">
      <w:pPr>
        <w:pStyle w:val="23"/>
        <w:spacing w:line="360" w:lineRule="auto"/>
        <w:ind w:firstLine="424" w:firstLineChars="177"/>
        <w:rPr>
          <w:rFonts w:ascii="仿宋" w:hAnsi="仿宋" w:eastAsia="仿宋"/>
          <w:bCs/>
          <w:iCs/>
          <w:snapToGrid w:val="0"/>
          <w:color w:val="auto"/>
          <w:sz w:val="24"/>
          <w:szCs w:val="24"/>
          <w:highlight w:val="none"/>
          <w:lang w:eastAsia="zh-CN"/>
        </w:rPr>
      </w:pPr>
      <w:r>
        <w:rPr>
          <w:rFonts w:hint="eastAsia" w:ascii="仿宋" w:hAnsi="仿宋" w:eastAsia="仿宋"/>
          <w:bCs/>
          <w:iCs/>
          <w:snapToGrid w:val="0"/>
          <w:color w:val="auto"/>
          <w:sz w:val="24"/>
          <w:szCs w:val="24"/>
          <w:highlight w:val="none"/>
          <w:lang w:eastAsia="zh-CN"/>
        </w:rPr>
        <w:t>（</w:t>
      </w:r>
      <w:r>
        <w:rPr>
          <w:rFonts w:ascii="仿宋" w:hAnsi="仿宋" w:eastAsia="仿宋"/>
          <w:bCs/>
          <w:iCs/>
          <w:snapToGrid w:val="0"/>
          <w:color w:val="auto"/>
          <w:sz w:val="24"/>
          <w:szCs w:val="24"/>
          <w:highlight w:val="none"/>
          <w:lang w:eastAsia="zh-CN"/>
        </w:rPr>
        <w:t>3）在项目现场设置公示牌，将每月考勤、工资支付等信息在公示牌上进行公示。</w:t>
      </w:r>
    </w:p>
    <w:p w14:paraId="363FA43F">
      <w:pPr>
        <w:pStyle w:val="23"/>
        <w:spacing w:line="360" w:lineRule="auto"/>
        <w:ind w:firstLine="424" w:firstLineChars="177"/>
        <w:rPr>
          <w:rFonts w:ascii="仿宋" w:hAnsi="仿宋" w:eastAsia="仿宋"/>
          <w:bCs/>
          <w:iCs/>
          <w:snapToGrid w:val="0"/>
          <w:color w:val="auto"/>
          <w:sz w:val="24"/>
          <w:szCs w:val="24"/>
          <w:highlight w:val="none"/>
          <w:lang w:eastAsia="zh-CN"/>
        </w:rPr>
      </w:pPr>
      <w:r>
        <w:rPr>
          <w:rFonts w:hint="eastAsia" w:ascii="仿宋" w:hAnsi="仿宋" w:eastAsia="仿宋"/>
          <w:bCs/>
          <w:iCs/>
          <w:snapToGrid w:val="0"/>
          <w:color w:val="auto"/>
          <w:sz w:val="24"/>
          <w:szCs w:val="24"/>
          <w:highlight w:val="none"/>
          <w:lang w:eastAsia="zh-CN"/>
        </w:rPr>
        <w:t>（</w:t>
      </w:r>
      <w:r>
        <w:rPr>
          <w:rFonts w:ascii="仿宋" w:hAnsi="仿宋" w:eastAsia="仿宋"/>
          <w:bCs/>
          <w:iCs/>
          <w:snapToGrid w:val="0"/>
          <w:color w:val="auto"/>
          <w:sz w:val="24"/>
          <w:szCs w:val="24"/>
          <w:highlight w:val="none"/>
          <w:lang w:eastAsia="zh-CN"/>
        </w:rPr>
        <w:t>4）落实工程建设领域人工费用与其他工程款分账管理制度，设立工资支付专用账户，</w:t>
      </w:r>
      <w:r>
        <w:rPr>
          <w:rFonts w:hint="eastAsia" w:ascii="仿宋" w:hAnsi="仿宋" w:eastAsia="仿宋"/>
          <w:bCs/>
          <w:iCs/>
          <w:snapToGrid w:val="0"/>
          <w:color w:val="auto"/>
          <w:sz w:val="24"/>
          <w:szCs w:val="24"/>
          <w:highlight w:val="none"/>
          <w:lang w:eastAsia="zh-CN"/>
        </w:rPr>
        <w:t>统一</w:t>
      </w:r>
      <w:r>
        <w:rPr>
          <w:rFonts w:ascii="仿宋" w:hAnsi="仿宋" w:eastAsia="仿宋"/>
          <w:bCs/>
          <w:iCs/>
          <w:snapToGrid w:val="0"/>
          <w:color w:val="auto"/>
          <w:sz w:val="24"/>
          <w:szCs w:val="24"/>
          <w:highlight w:val="none"/>
          <w:lang w:eastAsia="zh-CN"/>
        </w:rPr>
        <w:t>为已实名信息采集的施工现场人员办理银行卡，并通过银行卡足额发放工资；</w:t>
      </w:r>
    </w:p>
    <w:p w14:paraId="0453C92C">
      <w:pPr>
        <w:pStyle w:val="23"/>
        <w:spacing w:line="360" w:lineRule="auto"/>
        <w:ind w:firstLine="424" w:firstLineChars="177"/>
        <w:rPr>
          <w:rFonts w:ascii="仿宋" w:hAnsi="仿宋" w:eastAsia="仿宋"/>
          <w:bCs/>
          <w:iCs/>
          <w:snapToGrid w:val="0"/>
          <w:color w:val="auto"/>
          <w:sz w:val="24"/>
          <w:szCs w:val="24"/>
          <w:highlight w:val="none"/>
          <w:lang w:eastAsia="zh-CN"/>
        </w:rPr>
      </w:pPr>
      <w:r>
        <w:rPr>
          <w:rFonts w:hint="eastAsia" w:ascii="仿宋" w:hAnsi="仿宋" w:eastAsia="仿宋"/>
          <w:bCs/>
          <w:iCs/>
          <w:snapToGrid w:val="0"/>
          <w:color w:val="auto"/>
          <w:sz w:val="24"/>
          <w:szCs w:val="24"/>
          <w:highlight w:val="none"/>
          <w:lang w:eastAsia="zh-CN"/>
        </w:rPr>
        <w:t>（</w:t>
      </w:r>
      <w:r>
        <w:rPr>
          <w:rFonts w:ascii="仿宋" w:hAnsi="仿宋" w:eastAsia="仿宋"/>
          <w:bCs/>
          <w:iCs/>
          <w:snapToGrid w:val="0"/>
          <w:color w:val="auto"/>
          <w:sz w:val="24"/>
          <w:szCs w:val="24"/>
          <w:highlight w:val="none"/>
          <w:lang w:eastAsia="zh-CN"/>
        </w:rPr>
        <w:t>5）自行或提请银行将银行卡发放信息、工资支付信息归集后上传至实名监督系统，并</w:t>
      </w:r>
      <w:r>
        <w:rPr>
          <w:rFonts w:hint="eastAsia" w:ascii="仿宋" w:hAnsi="仿宋" w:eastAsia="仿宋"/>
          <w:bCs/>
          <w:iCs/>
          <w:snapToGrid w:val="0"/>
          <w:color w:val="auto"/>
          <w:sz w:val="24"/>
          <w:szCs w:val="24"/>
          <w:highlight w:val="none"/>
          <w:lang w:eastAsia="zh-CN"/>
        </w:rPr>
        <w:t>向施工现场人员反馈其工资收入信息；</w:t>
      </w:r>
    </w:p>
    <w:p w14:paraId="09DF18C2">
      <w:pPr>
        <w:pStyle w:val="23"/>
        <w:spacing w:line="360" w:lineRule="auto"/>
        <w:ind w:firstLine="424" w:firstLineChars="177"/>
        <w:rPr>
          <w:color w:val="auto"/>
          <w:highlight w:val="none"/>
          <w:lang w:eastAsia="zh-CN"/>
        </w:rPr>
      </w:pPr>
      <w:r>
        <w:rPr>
          <w:rFonts w:hint="eastAsia" w:ascii="仿宋" w:hAnsi="仿宋" w:eastAsia="仿宋"/>
          <w:bCs/>
          <w:iCs/>
          <w:snapToGrid w:val="0"/>
          <w:color w:val="auto"/>
          <w:sz w:val="24"/>
          <w:szCs w:val="24"/>
          <w:highlight w:val="none"/>
          <w:lang w:eastAsia="zh-CN"/>
        </w:rPr>
        <w:t>（</w:t>
      </w:r>
      <w:r>
        <w:rPr>
          <w:rFonts w:ascii="仿宋" w:hAnsi="仿宋" w:eastAsia="仿宋"/>
          <w:bCs/>
          <w:iCs/>
          <w:snapToGrid w:val="0"/>
          <w:color w:val="auto"/>
          <w:sz w:val="24"/>
          <w:szCs w:val="24"/>
          <w:highlight w:val="none"/>
          <w:lang w:eastAsia="zh-CN"/>
        </w:rPr>
        <w:t xml:space="preserve">6）承包人用工实名制应符合《住房城乡建设部 </w:t>
      </w:r>
      <w:r>
        <w:rPr>
          <w:rFonts w:hint="eastAsia" w:ascii="仿宋" w:hAnsi="仿宋" w:eastAsia="仿宋"/>
          <w:bCs/>
          <w:iCs/>
          <w:snapToGrid w:val="0"/>
          <w:color w:val="auto"/>
          <w:sz w:val="24"/>
          <w:szCs w:val="24"/>
          <w:highlight w:val="none"/>
          <w:lang w:eastAsia="zh-CN"/>
        </w:rPr>
        <w:t>人力资源社会保障部关于印发建筑工人实名制管理办法（试行）的通知》（建市〔</w:t>
      </w:r>
      <w:r>
        <w:rPr>
          <w:rFonts w:ascii="仿宋" w:hAnsi="仿宋" w:eastAsia="仿宋"/>
          <w:bCs/>
          <w:iCs/>
          <w:snapToGrid w:val="0"/>
          <w:color w:val="auto"/>
          <w:sz w:val="24"/>
          <w:szCs w:val="24"/>
          <w:highlight w:val="none"/>
          <w:lang w:eastAsia="zh-CN"/>
        </w:rPr>
        <w:t>2019〕18号）、《广州市住房和城乡建设委员会关于转发&lt;广东省住房和城乡建设厅关于房屋建筑和市政基础设施工程用工实名管理暂行办法</w:t>
      </w:r>
      <w:r>
        <w:rPr>
          <w:rFonts w:hint="eastAsia" w:ascii="仿宋" w:hAnsi="仿宋" w:eastAsia="仿宋"/>
          <w:bCs/>
          <w:iCs/>
          <w:snapToGrid w:val="0"/>
          <w:color w:val="auto"/>
          <w:sz w:val="24"/>
          <w:szCs w:val="24"/>
          <w:highlight w:val="none"/>
          <w:lang w:eastAsia="zh-CN"/>
        </w:rPr>
        <w:t>〉的通知》</w:t>
      </w:r>
      <w:r>
        <w:rPr>
          <w:rFonts w:ascii="仿宋" w:hAnsi="仿宋" w:eastAsia="仿宋"/>
          <w:bCs/>
          <w:iCs/>
          <w:snapToGrid w:val="0"/>
          <w:color w:val="auto"/>
          <w:sz w:val="24"/>
          <w:szCs w:val="24"/>
          <w:highlight w:val="none"/>
          <w:lang w:eastAsia="zh-CN"/>
        </w:rPr>
        <w:t>（</w:t>
      </w:r>
      <w:r>
        <w:rPr>
          <w:rFonts w:hint="eastAsia" w:ascii="仿宋" w:hAnsi="仿宋" w:eastAsia="仿宋"/>
          <w:bCs/>
          <w:iCs/>
          <w:snapToGrid w:val="0"/>
          <w:color w:val="auto"/>
          <w:sz w:val="24"/>
          <w:szCs w:val="24"/>
          <w:highlight w:val="none"/>
          <w:lang w:eastAsia="zh-CN"/>
        </w:rPr>
        <w:t>穗建筑〔</w:t>
      </w:r>
      <w:r>
        <w:rPr>
          <w:rFonts w:ascii="仿宋" w:hAnsi="仿宋" w:eastAsia="仿宋"/>
          <w:bCs/>
          <w:iCs/>
          <w:snapToGrid w:val="0"/>
          <w:color w:val="auto"/>
          <w:sz w:val="24"/>
          <w:szCs w:val="24"/>
          <w:highlight w:val="none"/>
          <w:lang w:eastAsia="zh-CN"/>
        </w:rPr>
        <w:t>2018〕981号）、《广州市住房和城乡建设局关于</w:t>
      </w:r>
      <w:r>
        <w:rPr>
          <w:rFonts w:hint="eastAsia" w:ascii="仿宋" w:hAnsi="仿宋" w:eastAsia="仿宋"/>
          <w:bCs/>
          <w:iCs/>
          <w:snapToGrid w:val="0"/>
          <w:color w:val="auto"/>
          <w:sz w:val="24"/>
          <w:szCs w:val="24"/>
          <w:highlight w:val="none"/>
          <w:lang w:eastAsia="zh-CN"/>
        </w:rPr>
        <w:t>印发广州市建筑施工实名制管理办法的通知》（穗建规字〔</w:t>
      </w:r>
      <w:r>
        <w:rPr>
          <w:rFonts w:ascii="仿宋" w:hAnsi="仿宋" w:eastAsia="仿宋"/>
          <w:bCs/>
          <w:iCs/>
          <w:snapToGrid w:val="0"/>
          <w:color w:val="auto"/>
          <w:sz w:val="24"/>
          <w:szCs w:val="24"/>
          <w:highlight w:val="none"/>
          <w:lang w:eastAsia="zh-CN"/>
        </w:rPr>
        <w:t>2020〕18号）</w:t>
      </w:r>
      <w:r>
        <w:rPr>
          <w:rFonts w:hint="eastAsia" w:ascii="仿宋" w:hAnsi="仿宋" w:eastAsia="仿宋"/>
          <w:bCs/>
          <w:iCs/>
          <w:snapToGrid w:val="0"/>
          <w:color w:val="auto"/>
          <w:sz w:val="24"/>
          <w:szCs w:val="24"/>
          <w:highlight w:val="none"/>
          <w:lang w:eastAsia="zh-CN"/>
        </w:rPr>
        <w:t>、《广州市人力资源和社会保障局广州市住房和城乡建设局 广州市交通运输局 广州市水务局 中国人民银行广州分行 关于印发广州市建设领域施工企业工人工资支付保证金管理办法的通知》（穗人社规字〔2019〕7号）</w:t>
      </w:r>
      <w:r>
        <w:rPr>
          <w:rFonts w:ascii="仿宋" w:hAnsi="仿宋" w:eastAsia="仿宋"/>
          <w:bCs/>
          <w:iCs/>
          <w:snapToGrid w:val="0"/>
          <w:color w:val="auto"/>
          <w:sz w:val="24"/>
          <w:szCs w:val="24"/>
          <w:highlight w:val="none"/>
          <w:lang w:eastAsia="zh-CN"/>
        </w:rPr>
        <w:t>等政策文件的要求。</w:t>
      </w:r>
    </w:p>
    <w:p w14:paraId="73B1E361">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52.3 发包人责任</w:t>
      </w:r>
    </w:p>
    <w:p w14:paraId="1FF53F3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双方协商一致，52.3款修改为如下：</w:t>
      </w:r>
    </w:p>
    <w:p w14:paraId="635A1C7C">
      <w:pPr>
        <w:spacing w:line="360" w:lineRule="auto"/>
        <w:ind w:firstLine="480" w:firstLineChars="20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在合同工程实施、完成及保修期间，发包人承担下列责任：</w:t>
      </w:r>
    </w:p>
    <w:p w14:paraId="7665C47F">
      <w:pPr>
        <w:spacing w:line="360" w:lineRule="auto"/>
        <w:ind w:firstLine="480" w:firstLineChars="20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）发包人应配合承包人做好绿色施工安全防护工作，定期对其现场机构全部人员进行绿色施工安全防护教育和培训。</w:t>
      </w:r>
    </w:p>
    <w:p w14:paraId="513D8018">
      <w:pPr>
        <w:spacing w:line="360" w:lineRule="auto"/>
        <w:ind w:firstLine="480" w:firstLineChars="20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）发包人应对其现场机构全部人员的安全事故承担责任，但由于承包人原因造成发包人人员安全事故的，应由承包人承担责任。</w:t>
      </w:r>
    </w:p>
    <w:p w14:paraId="013EF04C">
      <w:pPr>
        <w:spacing w:line="360" w:lineRule="auto"/>
        <w:ind w:firstLine="480" w:firstLineChars="20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）发包人有下列行为之一或由于发包人原因造成安全事故的，由发包人承担责任，由此增加的费用和延误的工期由发包人承担。</w:t>
      </w:r>
    </w:p>
    <w:p w14:paraId="4033BB21">
      <w:pPr>
        <w:tabs>
          <w:tab w:val="left" w:pos="1980"/>
        </w:tabs>
        <w:spacing w:line="360" w:lineRule="auto"/>
        <w:ind w:firstLine="480" w:firstLineChars="20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①要求承包人违反绿色施工安全防护操作规程施工的；</w:t>
      </w:r>
    </w:p>
    <w:p w14:paraId="4DC5EFD7">
      <w:pPr>
        <w:tabs>
          <w:tab w:val="left" w:pos="1980"/>
        </w:tabs>
        <w:spacing w:line="360" w:lineRule="auto"/>
        <w:ind w:firstLine="480" w:firstLineChars="20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②对承包人提出不符合国家、省有关绿色施工安全防护法律和强制性标准规定要求的；</w:t>
      </w:r>
    </w:p>
    <w:p w14:paraId="2D909559">
      <w:pPr>
        <w:tabs>
          <w:tab w:val="left" w:pos="1980"/>
        </w:tabs>
        <w:spacing w:line="360" w:lineRule="auto"/>
        <w:ind w:firstLine="480" w:firstLineChars="200"/>
        <w:jc w:val="both"/>
        <w:rPr>
          <w:rFonts w:ascii="仿宋" w:hAnsi="仿宋" w:eastAsia="仿宋" w:cs="仿宋"/>
          <w:color w:val="auto"/>
          <w:highlight w:val="none"/>
          <w:lang w:eastAsia="zh-CN"/>
        </w:rPr>
      </w:pPr>
      <w:r>
        <w:rPr>
          <w:rFonts w:hint="eastAsia" w:ascii="宋体" w:hAnsi="宋体" w:cs="仿宋"/>
          <w:color w:val="auto"/>
          <w:highlight w:val="none"/>
          <w:lang w:eastAsia="zh-CN"/>
        </w:rPr>
        <w:t>③</w:t>
      </w:r>
      <w:r>
        <w:rPr>
          <w:rFonts w:hint="eastAsia" w:ascii="仿宋" w:hAnsi="仿宋" w:eastAsia="仿宋" w:cs="仿宋"/>
          <w:color w:val="auto"/>
          <w:highlight w:val="none"/>
          <w:lang w:eastAsia="zh-CN"/>
        </w:rPr>
        <w:t>明示或暗示承包人购买、租赁、使用不符合安全施工要求的安全防护用具、施工机具的。</w:t>
      </w:r>
    </w:p>
    <w:p w14:paraId="2B12E5A5">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52.4 承包人责任</w:t>
      </w:r>
    </w:p>
    <w:p w14:paraId="7B5DB9F5">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双方协商一致，本条增加以下条款：</w:t>
      </w:r>
    </w:p>
    <w:p w14:paraId="04DDC749">
      <w:pPr>
        <w:spacing w:line="360" w:lineRule="auto"/>
        <w:ind w:right="11" w:firstLine="480" w:firstLineChars="200"/>
        <w:rPr>
          <w:rFonts w:ascii="仿宋" w:hAnsi="仿宋" w:eastAsia="仿宋" w:cs="宋体"/>
          <w:snapToGrid w:val="0"/>
          <w:color w:val="auto"/>
          <w:highlight w:val="none"/>
          <w:lang w:eastAsia="zh-CN"/>
        </w:rPr>
      </w:pPr>
      <w:r>
        <w:rPr>
          <w:rFonts w:hint="eastAsia" w:ascii="仿宋" w:hAnsi="仿宋" w:eastAsia="仿宋" w:cs="仿宋"/>
          <w:color w:val="auto"/>
          <w:highlight w:val="none"/>
          <w:lang w:eastAsia="zh-CN"/>
        </w:rPr>
        <w:t>（8）</w:t>
      </w:r>
      <w:r>
        <w:rPr>
          <w:rFonts w:ascii="仿宋" w:hAnsi="仿宋" w:eastAsia="仿宋" w:cs="宋体"/>
          <w:snapToGrid w:val="0"/>
          <w:color w:val="auto"/>
          <w:highlight w:val="none"/>
          <w:lang w:eastAsia="zh-CN"/>
        </w:rPr>
        <w:t>承包人应采取适当措施，确保其工作人员和劳务人员的身体健康，遵照当地卫生部门的要求保证在施工的全过程中，在工地、宿舍和工棚，备有医疗人员、急救设施、药品和治疗室等，并为预防传染病和一切必要的福利、卫生要求</w:t>
      </w:r>
      <w:r>
        <w:rPr>
          <w:rFonts w:hint="eastAsia" w:ascii="仿宋" w:hAnsi="仿宋" w:eastAsia="仿宋" w:cs="宋体"/>
          <w:snapToGrid w:val="0"/>
          <w:color w:val="auto"/>
          <w:highlight w:val="none"/>
          <w:lang w:eastAsia="zh-CN"/>
        </w:rPr>
        <w:t>作出安排，建立“疾病应急小组”，制订应急措施。若出现任何重大或恶性传染性的疾病时，承包人必须遵守并执行省市卫生部门为处理和控制上述传染病而制定的规章、命令和要求，迅速向发包人和工程所在地疾病控制中心报告。</w:t>
      </w:r>
    </w:p>
    <w:p w14:paraId="4C23A460">
      <w:pPr>
        <w:spacing w:line="360" w:lineRule="auto"/>
        <w:ind w:right="11"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9）网络视频监控要求（</w:t>
      </w:r>
      <w:r>
        <w:rPr>
          <w:b/>
          <w:snapToGrid w:val="0"/>
          <w:color w:val="auto"/>
          <w:highlight w:val="none"/>
          <w:bdr w:val="single" w:color="auto" w:sz="4" w:space="0"/>
          <w:lang w:eastAsia="zh-CN"/>
        </w:rPr>
        <w:t>√</w:t>
      </w:r>
      <w:r>
        <w:rPr>
          <w:rFonts w:ascii="仿宋" w:hAnsi="仿宋" w:eastAsia="仿宋" w:cs="宋体"/>
          <w:snapToGrid w:val="0"/>
          <w:color w:val="auto"/>
          <w:highlight w:val="none"/>
          <w:lang w:eastAsia="zh-CN"/>
        </w:rPr>
        <w:t xml:space="preserve"> 需满足</w:t>
      </w:r>
      <w:r>
        <w:rPr>
          <w:rFonts w:hint="eastAsia" w:ascii="仿宋" w:hAnsi="仿宋" w:eastAsia="仿宋" w:cs="宋体"/>
          <w:iCs/>
          <w:snapToGrid w:val="0"/>
          <w:color w:val="auto"/>
          <w:highlight w:val="none"/>
          <w:lang w:eastAsia="zh-CN"/>
        </w:rPr>
        <w:t>广州市住房和城乡建设局</w:t>
      </w:r>
      <w:r>
        <w:rPr>
          <w:rFonts w:hint="eastAsia" w:ascii="仿宋" w:hAnsi="仿宋" w:eastAsia="仿宋" w:cs="宋体"/>
          <w:snapToGrid w:val="0"/>
          <w:color w:val="auto"/>
          <w:highlight w:val="none"/>
          <w:lang w:eastAsia="zh-CN"/>
        </w:rPr>
        <w:t>要求的视频监控</w:t>
      </w:r>
      <w:r>
        <w:rPr>
          <w:b/>
          <w:snapToGrid w:val="0"/>
          <w:color w:val="auto"/>
          <w:highlight w:val="none"/>
          <w:bdr w:val="single" w:color="auto" w:sz="4" w:space="0"/>
          <w:lang w:eastAsia="zh-CN"/>
        </w:rPr>
        <w:t>√</w:t>
      </w:r>
      <w:r>
        <w:rPr>
          <w:rFonts w:ascii="仿宋" w:hAnsi="仿宋" w:eastAsia="仿宋" w:cs="宋体"/>
          <w:snapToGrid w:val="0"/>
          <w:color w:val="auto"/>
          <w:highlight w:val="none"/>
          <w:lang w:eastAsia="zh-CN"/>
        </w:rPr>
        <w:t xml:space="preserve"> 及需满足发包人调度使用的远程工地视频监控系统）</w:t>
      </w:r>
    </w:p>
    <w:p w14:paraId="2A6ACDB4">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1）承包人必须遵照《广州市住房和城乡建设委员会关于建设工地纳入视频监控的通知》（</w:t>
      </w:r>
      <w:r>
        <w:rPr>
          <w:rFonts w:hint="eastAsia" w:ascii="仿宋" w:hAnsi="仿宋" w:eastAsia="仿宋" w:cs="宋体"/>
          <w:bCs/>
          <w:iCs/>
          <w:snapToGrid w:val="0"/>
          <w:color w:val="auto"/>
          <w:highlight w:val="none"/>
          <w:lang w:eastAsia="zh-CN"/>
        </w:rPr>
        <w:t>穗建质〔</w:t>
      </w:r>
      <w:r>
        <w:rPr>
          <w:rFonts w:ascii="仿宋" w:hAnsi="仿宋" w:eastAsia="仿宋" w:cs="宋体"/>
          <w:bCs/>
          <w:iCs/>
          <w:snapToGrid w:val="0"/>
          <w:color w:val="auto"/>
          <w:highlight w:val="none"/>
          <w:lang w:eastAsia="zh-CN"/>
        </w:rPr>
        <w:t>2017〕1166号），《广州市住房和城乡建设委员会关于印发广州市建设工程视频监控工作要求及管理指引的通知》（</w:t>
      </w:r>
      <w:r>
        <w:rPr>
          <w:rFonts w:hint="eastAsia" w:ascii="仿宋" w:hAnsi="仿宋" w:eastAsia="仿宋" w:cs="宋体"/>
          <w:bCs/>
          <w:iCs/>
          <w:snapToGrid w:val="0"/>
          <w:color w:val="auto"/>
          <w:highlight w:val="none"/>
          <w:lang w:eastAsia="zh-CN"/>
        </w:rPr>
        <w:t>穗建质〔</w:t>
      </w:r>
      <w:r>
        <w:rPr>
          <w:rFonts w:ascii="仿宋" w:hAnsi="仿宋" w:eastAsia="仿宋" w:cs="宋体"/>
          <w:bCs/>
          <w:iCs/>
          <w:snapToGrid w:val="0"/>
          <w:color w:val="auto"/>
          <w:highlight w:val="none"/>
          <w:lang w:eastAsia="zh-CN"/>
        </w:rPr>
        <w:t>2018〕2078号）的要求，建立满足隐蔽工程和关键工序质量监控、安全文明施工监控、验收监控等需要的视频监控系统（以通过发包人验收为准）。</w:t>
      </w:r>
    </w:p>
    <w:p w14:paraId="0CE4DDB2">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2）施工现场视频监控的部位应当覆盖以下基本部位：大门及围墙、临时用电设施、深基坑、高支摸体系、附着式升降脚手架（整体提升架或爬架）、外用电梯、塔吊、物料提升机（龙门架、井字架）等。</w:t>
      </w:r>
    </w:p>
    <w:p w14:paraId="3AD55711">
      <w:pPr>
        <w:spacing w:line="360" w:lineRule="auto"/>
        <w:ind w:right="11" w:firstLine="566" w:firstLineChars="236"/>
        <w:rPr>
          <w:rFonts w:hint="eastAsia" w:ascii="仿宋" w:hAnsi="仿宋" w:eastAsia="仿宋"/>
          <w:color w:val="auto"/>
          <w:highlight w:val="none"/>
          <w:lang w:eastAsia="zh-CN"/>
        </w:rPr>
      </w:pPr>
      <w:r>
        <w:rPr>
          <w:rFonts w:ascii="仿宋" w:hAnsi="仿宋" w:eastAsia="仿宋" w:cs="宋体"/>
          <w:bCs/>
          <w:iCs/>
          <w:snapToGrid w:val="0"/>
          <w:color w:val="auto"/>
          <w:highlight w:val="none"/>
          <w:lang w:eastAsia="zh-CN"/>
        </w:rPr>
        <w:t>3）承包人应建立视频监控系统资料的收集、查阅、检索等档案系统，并安排专人负责。</w:t>
      </w:r>
    </w:p>
    <w:p w14:paraId="3B3F894B">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52.6 治安管理</w:t>
      </w:r>
    </w:p>
    <w:p w14:paraId="66FCD996">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□按通用条款的约定。</w:t>
      </w:r>
    </w:p>
    <w:p w14:paraId="18ACCB1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承包人应在工程开工后，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4460FC3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52.8 发包人鼓励创建文明工地，创文明工地目标：</w:t>
      </w:r>
      <w:r>
        <w:rPr>
          <w:rFonts w:hint="eastAsia" w:ascii="仿宋" w:hAnsi="仿宋" w:eastAsia="仿宋" w:cs="仿宋"/>
          <w:color w:val="auto"/>
          <w:highlight w:val="none"/>
          <w:u w:val="single"/>
          <w:lang w:eastAsia="zh-CN"/>
        </w:rPr>
        <w:t>详见协议书第五条。</w:t>
      </w:r>
    </w:p>
    <w:p w14:paraId="3B35D513">
      <w:pPr>
        <w:spacing w:line="360" w:lineRule="auto"/>
        <w:ind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52.9 特别安全生产事项</w:t>
      </w:r>
    </w:p>
    <w:p w14:paraId="197FBDC1">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危险性较大分部分项专项工程施工技术措施标准、要求：</w:t>
      </w:r>
      <w:r>
        <w:rPr>
          <w:rFonts w:hint="eastAsia" w:ascii="仿宋" w:hAnsi="仿宋" w:eastAsia="仿宋" w:cs="仿宋"/>
          <w:color w:val="auto"/>
          <w:highlight w:val="none"/>
          <w:u w:val="single"/>
          <w:lang w:eastAsia="zh-CN"/>
        </w:rPr>
        <w:t>由承包人在施工组织设计中编列</w:t>
      </w:r>
      <w:r>
        <w:rPr>
          <w:rFonts w:hint="eastAsia" w:ascii="仿宋" w:hAnsi="仿宋" w:eastAsia="仿宋" w:cs="仿宋"/>
          <w:color w:val="auto"/>
          <w:highlight w:val="none"/>
          <w:lang w:eastAsia="zh-CN"/>
        </w:rPr>
        <w:t>；</w:t>
      </w:r>
      <w:r>
        <w:rPr>
          <w:rFonts w:hint="eastAsia" w:ascii="仿宋" w:hAnsi="仿宋" w:eastAsia="仿宋"/>
          <w:color w:val="auto"/>
          <w:highlight w:val="none"/>
          <w:u w:val="single"/>
          <w:lang w:eastAsia="zh-CN"/>
        </w:rPr>
        <w:t xml:space="preserve">按 </w:t>
      </w:r>
      <w:r>
        <w:rPr>
          <w:rFonts w:ascii="仿宋" w:hAnsi="仿宋" w:eastAsia="仿宋"/>
          <w:color w:val="auto"/>
          <w:highlight w:val="none"/>
          <w:u w:val="single"/>
          <w:lang w:eastAsia="zh-CN"/>
        </w:rPr>
        <w:t xml:space="preserve">    </w:t>
      </w:r>
      <w:r>
        <w:rPr>
          <w:rFonts w:hint="eastAsia" w:ascii="仿宋" w:hAnsi="仿宋" w:eastAsia="仿宋"/>
          <w:color w:val="auto"/>
          <w:highlight w:val="none"/>
          <w:u w:val="single"/>
          <w:lang w:eastAsia="zh-CN"/>
        </w:rPr>
        <w:t>《危险性较大分部分项工程安全管理规定》执行</w:t>
      </w:r>
      <w:r>
        <w:rPr>
          <w:rFonts w:hint="eastAsia" w:ascii="仿宋" w:hAnsi="仿宋" w:eastAsia="仿宋" w:cs="仿宋"/>
          <w:color w:val="auto"/>
          <w:highlight w:val="none"/>
          <w:lang w:eastAsia="zh-CN"/>
        </w:rPr>
        <w:t>；</w:t>
      </w:r>
    </w:p>
    <w:p w14:paraId="5FEA2AC0">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危险性较大分部分项专项工程施工技术措施费：</w:t>
      </w:r>
      <w:r>
        <w:rPr>
          <w:rFonts w:hint="eastAsia" w:ascii="仿宋" w:hAnsi="仿宋" w:eastAsia="仿宋" w:cs="仿宋"/>
          <w:color w:val="auto"/>
          <w:highlight w:val="none"/>
          <w:u w:val="single"/>
          <w:lang w:eastAsia="zh-CN"/>
        </w:rPr>
        <w:t>已含在合同价款中</w:t>
      </w:r>
      <w:r>
        <w:rPr>
          <w:rFonts w:hint="eastAsia" w:ascii="仿宋" w:hAnsi="仿宋" w:eastAsia="仿宋" w:cs="仿宋"/>
          <w:color w:val="auto"/>
          <w:highlight w:val="none"/>
          <w:lang w:eastAsia="zh-CN"/>
        </w:rPr>
        <w:t>。</w:t>
      </w:r>
    </w:p>
    <w:p w14:paraId="01809AD8">
      <w:pPr>
        <w:spacing w:line="360" w:lineRule="auto"/>
        <w:ind w:firstLine="360" w:firstLineChars="150"/>
        <w:rPr>
          <w:rFonts w:hint="eastAsia" w:ascii="仿宋" w:hAnsi="仿宋" w:eastAsia="仿宋"/>
          <w:color w:val="auto"/>
          <w:highlight w:val="none"/>
          <w:lang w:eastAsia="zh-CN"/>
        </w:rPr>
      </w:pPr>
      <w:bookmarkStart w:id="1687" w:name="_Toc472695186"/>
      <w:bookmarkStart w:id="1688" w:name="_Toc450206801"/>
      <w:r>
        <w:rPr>
          <w:rFonts w:hint="eastAsia" w:ascii="仿宋" w:hAnsi="仿宋" w:eastAsia="仿宋"/>
          <w:color w:val="auto"/>
          <w:highlight w:val="none"/>
          <w:lang w:eastAsia="zh-CN"/>
        </w:rPr>
        <w:t>52</w:t>
      </w:r>
      <w:r>
        <w:rPr>
          <w:rFonts w:ascii="仿宋" w:hAnsi="仿宋" w:eastAsia="仿宋"/>
          <w:color w:val="auto"/>
          <w:highlight w:val="none"/>
          <w:lang w:eastAsia="zh-CN"/>
        </w:rPr>
        <w:t>.1</w:t>
      </w:r>
      <w:r>
        <w:rPr>
          <w:rFonts w:hint="eastAsia" w:ascii="仿宋" w:hAnsi="仿宋" w:eastAsia="仿宋"/>
          <w:color w:val="auto"/>
          <w:highlight w:val="none"/>
          <w:lang w:eastAsia="zh-CN"/>
        </w:rPr>
        <w:t>3</w:t>
      </w:r>
      <w:r>
        <w:rPr>
          <w:rFonts w:ascii="仿宋" w:hAnsi="仿宋" w:eastAsia="仿宋"/>
          <w:color w:val="auto"/>
          <w:highlight w:val="none"/>
          <w:lang w:eastAsia="zh-CN"/>
        </w:rPr>
        <w:t xml:space="preserve"> 补充条款：安全总结报告</w:t>
      </w:r>
      <w:bookmarkEnd w:id="1687"/>
      <w:bookmarkEnd w:id="1688"/>
    </w:p>
    <w:p w14:paraId="01BCDB47">
      <w:pPr>
        <w:spacing w:line="360" w:lineRule="auto"/>
        <w:ind w:firstLine="360" w:firstLineChars="150"/>
        <w:rPr>
          <w:rFonts w:hint="eastAsia" w:ascii="仿宋" w:hAnsi="仿宋" w:eastAsia="仿宋"/>
          <w:bCs/>
          <w:color w:val="auto"/>
          <w:highlight w:val="none"/>
          <w:lang w:eastAsia="zh-CN"/>
        </w:rPr>
      </w:pPr>
      <w:r>
        <w:rPr>
          <w:rFonts w:ascii="仿宋" w:hAnsi="仿宋" w:eastAsia="仿宋"/>
          <w:bCs/>
          <w:color w:val="auto"/>
          <w:highlight w:val="none"/>
          <w:lang w:eastAsia="zh-CN"/>
        </w:rPr>
        <w:t>承包人按月、季、年编制安全总结报告，分别在每月、季、年结束后的7天内一式三份提交给监理工程师。要求体现以下内容：</w:t>
      </w:r>
    </w:p>
    <w:p w14:paraId="6F6B6AEF">
      <w:pPr>
        <w:spacing w:line="360" w:lineRule="auto"/>
        <w:ind w:firstLine="360" w:firstLineChars="150"/>
        <w:rPr>
          <w:rFonts w:hint="eastAsia" w:ascii="仿宋" w:hAnsi="仿宋" w:eastAsia="仿宋"/>
          <w:bCs/>
          <w:color w:val="auto"/>
          <w:highlight w:val="none"/>
          <w:lang w:eastAsia="zh-CN"/>
        </w:rPr>
      </w:pPr>
      <w:r>
        <w:rPr>
          <w:rFonts w:ascii="仿宋" w:hAnsi="仿宋" w:eastAsia="仿宋"/>
          <w:color w:val="auto"/>
          <w:highlight w:val="none"/>
          <w:lang w:eastAsia="zh-CN"/>
        </w:rPr>
        <w:t>（1）安全技术措施</w:t>
      </w:r>
      <w:r>
        <w:rPr>
          <w:rFonts w:ascii="仿宋" w:hAnsi="仿宋" w:eastAsia="仿宋"/>
          <w:bCs/>
          <w:color w:val="auto"/>
          <w:highlight w:val="none"/>
          <w:lang w:eastAsia="zh-CN"/>
        </w:rPr>
        <w:t>、</w:t>
      </w:r>
      <w:r>
        <w:rPr>
          <w:rFonts w:hint="eastAsia" w:ascii="仿宋" w:hAnsi="仿宋" w:eastAsia="仿宋" w:cs="仿宋"/>
          <w:color w:val="auto"/>
          <w:highlight w:val="none"/>
          <w:lang w:eastAsia="zh-CN"/>
        </w:rPr>
        <w:t>绿色施工安全防护措施</w:t>
      </w:r>
      <w:r>
        <w:rPr>
          <w:rFonts w:ascii="仿宋" w:hAnsi="仿宋" w:eastAsia="仿宋"/>
          <w:bCs/>
          <w:color w:val="auto"/>
          <w:highlight w:val="none"/>
          <w:lang w:eastAsia="zh-CN"/>
        </w:rPr>
        <w:t>等实施进展情况的说明；</w:t>
      </w:r>
    </w:p>
    <w:p w14:paraId="109586DD">
      <w:pPr>
        <w:spacing w:line="360" w:lineRule="auto"/>
        <w:ind w:firstLine="360" w:firstLineChars="150"/>
        <w:rPr>
          <w:rFonts w:hint="eastAsia" w:ascii="仿宋" w:hAnsi="仿宋" w:eastAsia="仿宋"/>
          <w:bCs/>
          <w:color w:val="auto"/>
          <w:highlight w:val="none"/>
          <w:lang w:eastAsia="zh-CN"/>
        </w:rPr>
      </w:pPr>
      <w:r>
        <w:rPr>
          <w:rFonts w:ascii="仿宋" w:hAnsi="仿宋" w:eastAsia="仿宋"/>
          <w:color w:val="auto"/>
          <w:highlight w:val="none"/>
          <w:lang w:eastAsia="zh-CN"/>
        </w:rPr>
        <w:t>（2）对于监理工程师发现的未遵守安全生产和文明施工规定或施工现场存在安全事故隐患的整改进展情况的说明</w:t>
      </w:r>
      <w:r>
        <w:rPr>
          <w:rFonts w:ascii="仿宋" w:hAnsi="仿宋" w:eastAsia="仿宋"/>
          <w:bCs/>
          <w:color w:val="auto"/>
          <w:highlight w:val="none"/>
          <w:lang w:eastAsia="zh-CN"/>
        </w:rPr>
        <w:t>；</w:t>
      </w:r>
    </w:p>
    <w:p w14:paraId="4946A155">
      <w:pPr>
        <w:spacing w:line="360" w:lineRule="auto"/>
        <w:ind w:firstLine="360" w:firstLineChars="150"/>
        <w:rPr>
          <w:rFonts w:ascii="仿宋" w:hAnsi="仿宋" w:eastAsia="仿宋"/>
          <w:bCs/>
          <w:color w:val="auto"/>
          <w:highlight w:val="none"/>
          <w:lang w:eastAsia="zh-CN"/>
        </w:rPr>
      </w:pPr>
      <w:r>
        <w:rPr>
          <w:rFonts w:ascii="仿宋" w:hAnsi="仿宋" w:eastAsia="仿宋"/>
          <w:color w:val="auto"/>
          <w:highlight w:val="none"/>
          <w:lang w:eastAsia="zh-CN"/>
        </w:rPr>
        <w:t>（3）安全情况统计</w:t>
      </w:r>
      <w:r>
        <w:rPr>
          <w:rFonts w:ascii="仿宋" w:hAnsi="仿宋" w:eastAsia="仿宋"/>
          <w:bCs/>
          <w:color w:val="auto"/>
          <w:highlight w:val="none"/>
          <w:lang w:eastAsia="zh-CN"/>
        </w:rPr>
        <w:t>。</w:t>
      </w:r>
    </w:p>
    <w:p w14:paraId="7C91F5A0">
      <w:pPr>
        <w:pStyle w:val="3"/>
        <w:tabs>
          <w:tab w:val="left" w:pos="420"/>
        </w:tabs>
        <w:spacing w:line="360" w:lineRule="auto"/>
        <w:ind w:firstLine="105"/>
        <w:rPr>
          <w:rFonts w:hint="eastAsia"/>
          <w:i w:val="0"/>
          <w:iCs w:val="0"/>
          <w:color w:val="auto"/>
          <w:highlight w:val="none"/>
          <w:lang w:eastAsia="zh-CN"/>
        </w:rPr>
      </w:pPr>
      <w:bookmarkStart w:id="1689" w:name="_Toc10961"/>
      <w:bookmarkStart w:id="1690" w:name="_Toc16347"/>
      <w:bookmarkStart w:id="1691" w:name="_Toc47694420"/>
      <w:bookmarkStart w:id="1692" w:name="_Toc27172"/>
      <w:bookmarkStart w:id="1693" w:name="_Toc28809"/>
      <w:bookmarkStart w:id="1694" w:name="_Toc30299"/>
      <w:bookmarkStart w:id="1695" w:name="_Toc236"/>
      <w:bookmarkStart w:id="1696" w:name="_Toc1295"/>
      <w:r>
        <w:rPr>
          <w:rFonts w:hint="eastAsia" w:ascii="仿宋" w:hAnsi="仿宋" w:eastAsia="仿宋" w:cs="仿宋"/>
          <w:b w:val="0"/>
          <w:bCs w:val="0"/>
          <w:i w:val="0"/>
          <w:iCs w:val="0"/>
          <w:color w:val="auto"/>
          <w:sz w:val="24"/>
          <w:szCs w:val="24"/>
          <w:highlight w:val="none"/>
          <w:lang w:eastAsia="zh-CN"/>
        </w:rPr>
        <w:t>53.  测量放线</w:t>
      </w:r>
      <w:bookmarkEnd w:id="1689"/>
      <w:bookmarkEnd w:id="1690"/>
      <w:bookmarkEnd w:id="1691"/>
      <w:bookmarkEnd w:id="1692"/>
      <w:bookmarkEnd w:id="1693"/>
      <w:bookmarkEnd w:id="1694"/>
      <w:bookmarkEnd w:id="1695"/>
      <w:bookmarkEnd w:id="1696"/>
    </w:p>
    <w:p w14:paraId="3DCCCCDF">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53.1 测设施工控制网</w:t>
      </w:r>
    </w:p>
    <w:p w14:paraId="40CC1934">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承包人提交施工控制网资料的时间：</w:t>
      </w:r>
      <w:r>
        <w:rPr>
          <w:rFonts w:ascii="仿宋" w:hAnsi="仿宋" w:eastAsia="仿宋"/>
          <w:bCs/>
          <w:color w:val="auto"/>
          <w:highlight w:val="none"/>
          <w:u w:val="single"/>
          <w:lang w:eastAsia="zh-CN"/>
        </w:rPr>
        <w:t>开工之前</w:t>
      </w:r>
      <w:r>
        <w:rPr>
          <w:rFonts w:hint="eastAsia" w:ascii="仿宋" w:hAnsi="仿宋" w:eastAsia="仿宋"/>
          <w:bCs/>
          <w:color w:val="auto"/>
          <w:highlight w:val="none"/>
          <w:u w:val="single"/>
          <w:lang w:eastAsia="zh-CN"/>
        </w:rPr>
        <w:t>（按具体需求提供），</w:t>
      </w:r>
      <w:r>
        <w:rPr>
          <w:rFonts w:ascii="仿宋" w:hAnsi="仿宋" w:eastAsia="仿宋"/>
          <w:bCs/>
          <w:color w:val="auto"/>
          <w:highlight w:val="none"/>
          <w:u w:val="single"/>
          <w:lang w:eastAsia="zh-CN"/>
        </w:rPr>
        <w:t>承包人应该核实图纸所示的所有尺寸和地面标高。当实际尺寸或标高与图纸所示出现任何不一致时，应立即提交给发包人澄清。发包人对任何此类不一致的澄清指令视为最终的决定。</w:t>
      </w:r>
    </w:p>
    <w:p w14:paraId="50D85E3B">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53.4 施工控制网（点）管理与使用</w:t>
      </w:r>
    </w:p>
    <w:p w14:paraId="2E877297">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测量放线误差的约定：</w:t>
      </w:r>
      <w:r>
        <w:rPr>
          <w:rFonts w:hint="eastAsia" w:ascii="仿宋" w:hAnsi="仿宋" w:eastAsia="仿宋" w:cs="仿宋"/>
          <w:color w:val="auto"/>
          <w:highlight w:val="none"/>
          <w:u w:val="single"/>
          <w:lang w:eastAsia="zh-CN"/>
        </w:rPr>
        <w:t>按设计及施工规范要求执行。</w:t>
      </w:r>
    </w:p>
    <w:p w14:paraId="766E43AC">
      <w:pPr>
        <w:pStyle w:val="3"/>
        <w:tabs>
          <w:tab w:val="left" w:pos="420"/>
        </w:tabs>
        <w:spacing w:line="360" w:lineRule="auto"/>
        <w:ind w:firstLine="105"/>
        <w:rPr>
          <w:rFonts w:hint="eastAsia"/>
          <w:i w:val="0"/>
          <w:iCs w:val="0"/>
          <w:color w:val="auto"/>
          <w:highlight w:val="none"/>
          <w:lang w:eastAsia="zh-CN"/>
        </w:rPr>
      </w:pPr>
      <w:bookmarkStart w:id="1697" w:name="_Toc12926"/>
      <w:bookmarkStart w:id="1698" w:name="_Toc47694421"/>
      <w:bookmarkStart w:id="1699" w:name="_Toc17196"/>
      <w:bookmarkStart w:id="1700" w:name="_Toc1563"/>
      <w:bookmarkStart w:id="1701" w:name="_Toc18992"/>
      <w:bookmarkStart w:id="1702" w:name="_Toc20102"/>
      <w:bookmarkStart w:id="1703" w:name="_Toc9935"/>
      <w:bookmarkStart w:id="1704" w:name="_Toc5179"/>
      <w:r>
        <w:rPr>
          <w:rFonts w:hint="eastAsia" w:ascii="仿宋" w:hAnsi="仿宋" w:eastAsia="仿宋" w:cs="仿宋"/>
          <w:b w:val="0"/>
          <w:bCs w:val="0"/>
          <w:i w:val="0"/>
          <w:iCs w:val="0"/>
          <w:color w:val="auto"/>
          <w:sz w:val="24"/>
          <w:szCs w:val="24"/>
          <w:highlight w:val="none"/>
          <w:lang w:eastAsia="zh-CN"/>
        </w:rPr>
        <w:t>55.  发包人供应工程材料和工程设备</w:t>
      </w:r>
      <w:bookmarkEnd w:id="1697"/>
      <w:bookmarkEnd w:id="1698"/>
      <w:bookmarkEnd w:id="1699"/>
      <w:bookmarkEnd w:id="1700"/>
      <w:bookmarkEnd w:id="1701"/>
      <w:bookmarkEnd w:id="1702"/>
      <w:bookmarkEnd w:id="1703"/>
      <w:bookmarkEnd w:id="1704"/>
    </w:p>
    <w:p w14:paraId="011F1C7F">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55.1 约定供应的工程材料和工程设备</w:t>
      </w:r>
    </w:p>
    <w:p w14:paraId="70893DF8">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☑发包人不供应工程材料和工程设备，本条不适用。</w:t>
      </w:r>
    </w:p>
    <w:p w14:paraId="70A6749D">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□发包人供应工程材料和工程设备的，应与承包人约定“发包人供应工程材料和工程设备一览表”，作为本合同的附件。</w:t>
      </w:r>
    </w:p>
    <w:p w14:paraId="3D71CA12">
      <w:pPr>
        <w:spacing w:line="360" w:lineRule="auto"/>
        <w:ind w:firstLine="360" w:firstLineChars="150"/>
        <w:rPr>
          <w:rFonts w:hint="eastAsia" w:ascii="仿宋" w:hAnsi="仿宋" w:eastAsia="仿宋" w:cs="仿宋"/>
          <w:color w:val="auto"/>
          <w:highlight w:val="none"/>
          <w:lang w:eastAsia="zh-CN"/>
        </w:rPr>
      </w:pPr>
      <w:bookmarkStart w:id="1705" w:name="_Toc32448"/>
      <w:r>
        <w:rPr>
          <w:rFonts w:hint="eastAsia" w:ascii="仿宋" w:hAnsi="仿宋" w:eastAsia="仿宋" w:cs="仿宋"/>
          <w:color w:val="auto"/>
          <w:highlight w:val="none"/>
          <w:lang w:eastAsia="zh-CN"/>
        </w:rPr>
        <w:t>55.8 约定结算方式</w:t>
      </w:r>
      <w:bookmarkEnd w:id="1705"/>
    </w:p>
    <w:p w14:paraId="74F9C859">
      <w:pPr>
        <w:spacing w:line="360" w:lineRule="auto"/>
        <w:ind w:firstLine="360" w:firstLineChars="150"/>
        <w:rPr>
          <w:rFonts w:hint="eastAsia"/>
          <w:color w:val="auto"/>
          <w:highlight w:val="none"/>
          <w:lang w:eastAsia="zh-CN"/>
        </w:rPr>
      </w:pPr>
      <w:r>
        <w:rPr>
          <w:rFonts w:hint="eastAsia" w:ascii="仿宋" w:hAnsi="仿宋" w:eastAsia="仿宋" w:cs="仿宋"/>
          <w:color w:val="auto"/>
          <w:highlight w:val="none"/>
          <w:lang w:eastAsia="zh-CN"/>
        </w:rPr>
        <w:t>发包人供应工程材料和工程设备的结算方式：</w:t>
      </w:r>
      <w:r>
        <w:rPr>
          <w:rFonts w:hint="eastAsia" w:ascii="仿宋" w:hAnsi="仿宋" w:eastAsia="仿宋" w:cs="仿宋"/>
          <w:color w:val="auto"/>
          <w:highlight w:val="none"/>
          <w:u w:val="single"/>
          <w:lang w:eastAsia="zh-CN"/>
        </w:rPr>
        <w:t xml:space="preserve"> 无。            </w:t>
      </w:r>
    </w:p>
    <w:p w14:paraId="47200838">
      <w:pPr>
        <w:pStyle w:val="3"/>
        <w:tabs>
          <w:tab w:val="left" w:pos="420"/>
        </w:tabs>
        <w:spacing w:line="360" w:lineRule="auto"/>
        <w:ind w:firstLine="105"/>
        <w:rPr>
          <w:rFonts w:hint="eastAsia" w:ascii="仿宋" w:hAnsi="仿宋" w:eastAsia="仿宋" w:cs="仿宋"/>
          <w:b w:val="0"/>
          <w:bCs w:val="0"/>
          <w:i w:val="0"/>
          <w:iCs w:val="0"/>
          <w:color w:val="auto"/>
          <w:sz w:val="24"/>
          <w:szCs w:val="24"/>
          <w:highlight w:val="none"/>
          <w:lang w:eastAsia="zh-CN"/>
        </w:rPr>
      </w:pPr>
      <w:bookmarkStart w:id="1706" w:name="_Toc9927"/>
      <w:bookmarkStart w:id="1707" w:name="_Toc23194"/>
      <w:bookmarkStart w:id="1708" w:name="_Toc14706"/>
      <w:bookmarkStart w:id="1709" w:name="_Toc47694422"/>
      <w:bookmarkStart w:id="1710" w:name="_Toc7569"/>
      <w:bookmarkStart w:id="1711" w:name="_Toc7329"/>
      <w:bookmarkStart w:id="1712" w:name="_Toc31613"/>
      <w:bookmarkStart w:id="1713" w:name="_Toc21546"/>
      <w:r>
        <w:rPr>
          <w:rFonts w:hint="eastAsia" w:ascii="仿宋" w:hAnsi="仿宋" w:eastAsia="仿宋" w:cs="仿宋"/>
          <w:b w:val="0"/>
          <w:bCs w:val="0"/>
          <w:i w:val="0"/>
          <w:iCs w:val="0"/>
          <w:color w:val="auto"/>
          <w:sz w:val="24"/>
          <w:szCs w:val="24"/>
          <w:highlight w:val="none"/>
          <w:lang w:eastAsia="zh-CN"/>
        </w:rPr>
        <w:t>56.  承包人购置设备及工器具、采购工程材料和工程设备</w:t>
      </w:r>
      <w:bookmarkEnd w:id="1706"/>
      <w:bookmarkEnd w:id="1707"/>
      <w:bookmarkEnd w:id="1708"/>
      <w:bookmarkEnd w:id="1709"/>
      <w:bookmarkEnd w:id="1710"/>
      <w:bookmarkEnd w:id="1711"/>
      <w:bookmarkEnd w:id="1712"/>
      <w:bookmarkEnd w:id="1713"/>
    </w:p>
    <w:p w14:paraId="6877BDB8">
      <w:pPr>
        <w:spacing w:line="360" w:lineRule="auto"/>
        <w:ind w:left="240" w:leftChars="1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56.1 承包人购置设备及工器具</w:t>
      </w:r>
    </w:p>
    <w:p w14:paraId="1BD40A12">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☑发包人不委托承包人购置设备及工器具，本条不适用。</w:t>
      </w:r>
    </w:p>
    <w:p w14:paraId="7230F8F4">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□发包人委托承包人购置设备及工器具</w:t>
      </w:r>
    </w:p>
    <w:p w14:paraId="41CEBB92">
      <w:pPr>
        <w:spacing w:line="360" w:lineRule="auto"/>
        <w:ind w:firstLine="1200" w:firstLineChars="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①具体内容：</w:t>
      </w:r>
      <w:r>
        <w:rPr>
          <w:rFonts w:hint="eastAsia" w:ascii="仿宋" w:hAnsi="仿宋" w:eastAsia="仿宋" w:cs="仿宋"/>
          <w:color w:val="auto"/>
          <w:highlight w:val="none"/>
          <w:u w:val="single"/>
          <w:lang w:eastAsia="zh-CN"/>
        </w:rPr>
        <w:t xml:space="preserve">                        /                            </w:t>
      </w:r>
    </w:p>
    <w:p w14:paraId="70178D98">
      <w:pPr>
        <w:spacing w:line="360" w:lineRule="auto"/>
        <w:ind w:firstLine="1200" w:firstLineChars="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②购置清单（详见合同附件）：</w:t>
      </w:r>
      <w:r>
        <w:rPr>
          <w:rFonts w:hint="eastAsia" w:ascii="仿宋" w:hAnsi="仿宋" w:eastAsia="仿宋" w:cs="仿宋"/>
          <w:color w:val="auto"/>
          <w:highlight w:val="none"/>
          <w:u w:val="single"/>
          <w:lang w:eastAsia="zh-CN"/>
        </w:rPr>
        <w:t xml:space="preserve">         /                      </w:t>
      </w:r>
    </w:p>
    <w:p w14:paraId="5D48B9E0">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③购置要求（详见发包人要求）：</w:t>
      </w:r>
      <w:r>
        <w:rPr>
          <w:rFonts w:hint="eastAsia" w:ascii="仿宋" w:hAnsi="仿宋" w:eastAsia="仿宋" w:cs="仿宋"/>
          <w:color w:val="auto"/>
          <w:highlight w:val="none"/>
          <w:u w:val="single"/>
          <w:lang w:eastAsia="zh-CN"/>
        </w:rPr>
        <w:t xml:space="preserve">        /                                     </w:t>
      </w:r>
    </w:p>
    <w:p w14:paraId="73457460">
      <w:pPr>
        <w:spacing w:line="360" w:lineRule="auto"/>
        <w:ind w:left="240" w:leftChars="100"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56.2 承包人采购工程材料和工程设备</w:t>
      </w:r>
    </w:p>
    <w:p w14:paraId="09AEDD13">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按通用条款约定，由承包人负责运输和保管。</w:t>
      </w:r>
    </w:p>
    <w:p w14:paraId="25CA4762">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□运输和保管另作约定：</w:t>
      </w:r>
      <w:r>
        <w:rPr>
          <w:rFonts w:hint="eastAsia" w:ascii="仿宋" w:hAnsi="仿宋" w:eastAsia="仿宋" w:cs="仿宋"/>
          <w:color w:val="auto"/>
          <w:highlight w:val="none"/>
          <w:u w:val="single"/>
          <w:lang w:eastAsia="zh-CN"/>
        </w:rPr>
        <w:t xml:space="preserve">                    /                                   </w:t>
      </w:r>
    </w:p>
    <w:p w14:paraId="61EC704C">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□通过“广州市集群采购管理服务综合平台”采购：</w:t>
      </w:r>
      <w:r>
        <w:rPr>
          <w:rFonts w:hint="eastAsia" w:ascii="仿宋" w:hAnsi="仿宋" w:eastAsia="仿宋" w:cs="仿宋"/>
          <w:color w:val="auto"/>
          <w:highlight w:val="none"/>
          <w:u w:val="single"/>
          <w:lang w:eastAsia="zh-CN"/>
        </w:rPr>
        <w:t xml:space="preserve">           /                                     </w:t>
      </w:r>
    </w:p>
    <w:p w14:paraId="216AB266">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□采购方式另作约定：</w:t>
      </w:r>
      <w:r>
        <w:rPr>
          <w:rFonts w:hint="eastAsia" w:ascii="仿宋" w:hAnsi="仿宋" w:eastAsia="仿宋" w:cs="仿宋"/>
          <w:color w:val="auto"/>
          <w:highlight w:val="none"/>
          <w:u w:val="single"/>
          <w:lang w:eastAsia="zh-CN"/>
        </w:rPr>
        <w:t xml:space="preserve">                          /                               </w:t>
      </w:r>
    </w:p>
    <w:p w14:paraId="12B60700">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双方协商一致，补充以下条款：</w:t>
      </w:r>
    </w:p>
    <w:p w14:paraId="6BC742A8">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本工程使用的材料、构配件、半成品、成品和工程设备等，订货前承包人应按合同相关约定提供样板（品）及生产厂家的合格证书及试验报告，经监理人、</w:t>
      </w:r>
      <w:r>
        <w:rPr>
          <w:rFonts w:hint="eastAsia" w:ascii="仿宋" w:hAnsi="仿宋" w:eastAsia="仿宋" w:cs="仿宋"/>
          <w:color w:val="auto"/>
          <w:highlight w:val="none"/>
          <w:lang w:val="en-US" w:eastAsia="zh-CN"/>
        </w:rPr>
        <w:t>第三方</w:t>
      </w:r>
      <w:r>
        <w:rPr>
          <w:rFonts w:hint="eastAsia" w:ascii="仿宋" w:hAnsi="仿宋" w:eastAsia="仿宋" w:cs="仿宋"/>
          <w:color w:val="auto"/>
          <w:highlight w:val="none"/>
          <w:lang w:eastAsia="zh-CN"/>
        </w:rPr>
        <w:t xml:space="preserve">造价咨询单位、建设管理单位、发包人审核通过后，方可正式批量采购。货到时如发生货不对板，发包人有权拒用，并由承包人承担损失。 </w:t>
      </w:r>
    </w:p>
    <w:p w14:paraId="37FB926B">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承包人供货要求：</w:t>
      </w:r>
    </w:p>
    <w:p w14:paraId="07DB3A58">
      <w:pPr>
        <w:spacing w:line="360" w:lineRule="auto"/>
        <w:ind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承包人提供的材料、设备品牌均需相关参建方看样定板，同一种材料、设备需提供同等档次不少于3家看样，经发包人、建设管理单位、设计单位、监理单位、承包人现场签名定板封样。最终每一种材料、设备品牌由发包人确定，承包人无异议。（2）主要施工材料、设备（暖通空调、电梯等）均应提供样板（品）报设计、监理、建设管理单位、发包人签名定板同意后采购；部分量少重要的材料设备可提供产品图片、技术参数、生产商信息等资料报设计、监理、建设管理单位、发包人审核，必要时需提供实地考察审核同意后采购；同类型材料设备宜选用同一品牌或生产厂。</w:t>
      </w:r>
    </w:p>
    <w:p w14:paraId="70C98BE2">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（3）本项目所有装饰材料的材质、颜色、规格，包括墙面、楼地面、油漆等，承包人应先做样板，经设计、监理、建设管理单位、发包人审核同意现场签名定板封样后，方可订货和大面积施工。</w:t>
      </w:r>
    </w:p>
    <w:p w14:paraId="5D7082F2">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工程的材料和工程设备由承包人严格按设计要求的规格、型号及国家相关标准采购，其质量档次必须不低于本合同的约定。本工程使用的工程材料，须有建材质检部门的产品合格证、生产许可证及出厂合格证的优等品。</w:t>
      </w:r>
    </w:p>
    <w:p w14:paraId="4608738B">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承包人至少应在采购材料设备前1个月或相应材料设备的正常排产期前15天完成向发包人、建设管理单位提供并确认样板的工作，否则因确认样板的时间滞后所导致材料设备排产期不足影响施工进度的责任由承包人负责并执行相应工期延误的扣罚。</w:t>
      </w:r>
    </w:p>
    <w:p w14:paraId="19DE0699">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（6）材料、设备参考品牌的变更</w:t>
      </w:r>
    </w:p>
    <w:p w14:paraId="47C07274">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本工程材料、设备经发包人、建设管理单位、设计单位、监理单位、承包人现场定板封样。需变更参考品牌或厂家的，按同质同档次的原则，由施工单位提出申请，经相关单位确认后封样。参考品牌变更未办理申请手续或未确认的，结算时执行发包人、建设管理单位与</w:t>
      </w:r>
      <w:r>
        <w:rPr>
          <w:rFonts w:hint="eastAsia" w:ascii="仿宋" w:hAnsi="仿宋" w:eastAsia="仿宋" w:cs="仿宋"/>
          <w:color w:val="auto"/>
          <w:highlight w:val="none"/>
          <w:lang w:val="en-US" w:eastAsia="zh-CN"/>
        </w:rPr>
        <w:t>第三方</w:t>
      </w:r>
      <w:r>
        <w:rPr>
          <w:rFonts w:hint="eastAsia" w:ascii="仿宋" w:hAnsi="仿宋" w:eastAsia="仿宋" w:cs="仿宋"/>
          <w:color w:val="auto"/>
          <w:highlight w:val="none"/>
          <w:lang w:eastAsia="zh-CN"/>
        </w:rPr>
        <w:t>造价咨询单位共同确定的价格，承包人不得有任何异议。</w:t>
      </w:r>
    </w:p>
    <w:p w14:paraId="5B27B59C">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56.3 承包人供货与清点要求</w:t>
      </w:r>
    </w:p>
    <w:p w14:paraId="441EF49D">
      <w:pPr>
        <w:spacing w:line="360" w:lineRule="auto"/>
        <w:ind w:firstLine="720" w:firstLineChars="3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承包人供货要求：</w:t>
      </w:r>
      <w:r>
        <w:rPr>
          <w:rFonts w:ascii="仿宋" w:hAnsi="仿宋" w:eastAsia="仿宋"/>
          <w:color w:val="auto"/>
          <w:highlight w:val="none"/>
          <w:u w:val="single"/>
          <w:lang w:eastAsia="zh-CN"/>
        </w:rPr>
        <w:t>本工程使用</w:t>
      </w:r>
      <w:r>
        <w:rPr>
          <w:rFonts w:hint="eastAsia" w:ascii="仿宋" w:hAnsi="仿宋" w:eastAsia="仿宋"/>
          <w:color w:val="auto"/>
          <w:highlight w:val="none"/>
          <w:u w:val="single"/>
          <w:lang w:eastAsia="zh-CN"/>
        </w:rPr>
        <w:t>的各项材料和工程设备</w:t>
      </w:r>
      <w:r>
        <w:rPr>
          <w:rFonts w:ascii="仿宋" w:hAnsi="仿宋" w:eastAsia="仿宋"/>
          <w:color w:val="auto"/>
          <w:highlight w:val="none"/>
          <w:u w:val="single"/>
          <w:lang w:eastAsia="zh-CN"/>
        </w:rPr>
        <w:t>必须符合设计及招投标文件要求。</w:t>
      </w:r>
    </w:p>
    <w:p w14:paraId="0D25F64B">
      <w:pPr>
        <w:spacing w:line="360" w:lineRule="auto"/>
        <w:ind w:left="-2" w:leftChars="-1" w:firstLine="364" w:firstLineChars="152"/>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1</w:t>
      </w:r>
      <w:r>
        <w:rPr>
          <w:rFonts w:ascii="仿宋" w:hAnsi="仿宋" w:eastAsia="仿宋"/>
          <w:color w:val="auto"/>
          <w:highlight w:val="none"/>
          <w:lang w:eastAsia="zh-CN"/>
        </w:rPr>
        <w:t>）</w:t>
      </w:r>
      <w:r>
        <w:rPr>
          <w:rFonts w:hint="eastAsia" w:ascii="仿宋" w:hAnsi="仿宋" w:eastAsia="仿宋" w:cs="仿宋"/>
          <w:color w:val="auto"/>
          <w:highlight w:val="none"/>
          <w:lang w:eastAsia="zh-CN"/>
        </w:rPr>
        <w:t>承包人所有材料进场均需进行申报验收，如材料进场如与材料样板不一致或是以次充好的，需无条件退场处理；发现以次充好每发现一次按伍万元一次进行处罚，第二次予以拾万元处罚，每次叠加伍万元，以此类推，并自行承担工程整改费用及工期滞后处罚费用。</w:t>
      </w:r>
    </w:p>
    <w:p w14:paraId="4E269EC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双方协商一致，56.5款补充以下约定：</w:t>
      </w:r>
    </w:p>
    <w:p w14:paraId="4E033F5D">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监理人</w:t>
      </w:r>
      <w:r>
        <w:rPr>
          <w:rFonts w:ascii="仿宋" w:hAnsi="仿宋" w:eastAsia="仿宋"/>
          <w:color w:val="auto"/>
          <w:highlight w:val="none"/>
          <w:lang w:eastAsia="zh-CN"/>
        </w:rPr>
        <w:t>对承包人采购的工程材料、设备及采用的工艺的查验，</w:t>
      </w:r>
      <w:r>
        <w:rPr>
          <w:rFonts w:hint="eastAsia" w:ascii="仿宋" w:hAnsi="仿宋" w:eastAsia="仿宋"/>
          <w:color w:val="auto"/>
          <w:highlight w:val="none"/>
          <w:lang w:eastAsia="zh-CN"/>
        </w:rPr>
        <w:t>具体工作包括但不限于以下：</w:t>
      </w:r>
    </w:p>
    <w:p w14:paraId="74E2A7DE">
      <w:pPr>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实施工程的一切材料、设备及工艺，都必须符合工程设计及技术标准、规范的要求，并应当在用于工程之前经过检验或试验，不合格的不得使用。承包人要建立检验、试验制度，随时按总监理工程师的要求，在材料、设备的制造、加工或制配地点，或施</w:t>
      </w:r>
      <w:r>
        <w:rPr>
          <w:rFonts w:hint="eastAsia" w:ascii="仿宋" w:hAnsi="仿宋" w:eastAsia="仿宋" w:cs="宋体"/>
          <w:snapToGrid w:val="0"/>
          <w:color w:val="auto"/>
          <w:highlight w:val="none"/>
          <w:lang w:eastAsia="zh-CN"/>
        </w:rPr>
        <w:t>工场地进行检验或试验，并应提供一切正常需要的手段，在材料、设备及工艺用于工程之前提供样品、样件，按照总监理工程师的选择和要求进行检验或试验。</w:t>
      </w:r>
    </w:p>
    <w:p w14:paraId="04257659">
      <w:pPr>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2）监理工程师有权在施工场地、库房以及为工程生产、加工、制配材料、设备的地点（无论这些地点是否属于承包人管辖）检查和</w:t>
      </w:r>
      <w:r>
        <w:rPr>
          <w:rFonts w:hint="eastAsia" w:ascii="仿宋" w:hAnsi="仿宋" w:eastAsia="仿宋" w:cs="宋体"/>
          <w:snapToGrid w:val="0"/>
          <w:color w:val="auto"/>
          <w:highlight w:val="none"/>
          <w:lang w:eastAsia="zh-CN"/>
        </w:rPr>
        <w:t>检验按合同提供的材料、设备。承包人应为总监理工程师的检查和检验提供一切便利，包括提供人员和设备、材料等。总监理工程师的检查结果证明该材料、设备不符合合同要求的，必须拒绝这些材料、设备的使用，立即通知承包人并说明拒绝的理由。承包人在接到总监理工程师的通知后必须立即更换被拒绝的材料、设备。承包人拒不执行上述指令的，则发包人有权雇佣他人代为实施，由此产生的相关费用由承包人承担。</w:t>
      </w:r>
    </w:p>
    <w:p w14:paraId="6F329142">
      <w:pPr>
        <w:spacing w:line="360" w:lineRule="auto"/>
        <w:ind w:right="11" w:firstLine="480" w:firstLineChars="200"/>
        <w:rPr>
          <w:rFonts w:ascii="仿宋" w:hAnsi="仿宋" w:eastAsia="仿宋" w:cs="宋体"/>
          <w:snapToGrid w:val="0"/>
          <w:color w:val="auto"/>
          <w:highlight w:val="none"/>
          <w:lang w:eastAsia="zh-CN"/>
        </w:rPr>
      </w:pPr>
      <w:r>
        <w:rPr>
          <w:rFonts w:hint="eastAsia" w:ascii="仿宋" w:hAnsi="仿宋" w:eastAsia="仿宋" w:cs="宋体"/>
          <w:bCs/>
          <w:snapToGrid w:val="0"/>
          <w:color w:val="auto"/>
          <w:highlight w:val="none"/>
          <w:lang w:eastAsia="zh-CN"/>
        </w:rPr>
        <w:t>发包人和监理工程师认为有必要的，有权对已检查、检验过的材料、设备进行重复检查、检验，承包人应遵照执行。重复检查、检验的程序和内容适用前述约定。</w:t>
      </w:r>
    </w:p>
    <w:p w14:paraId="023D834F">
      <w:pPr>
        <w:spacing w:line="360" w:lineRule="auto"/>
        <w:ind w:firstLine="480" w:firstLineChars="200"/>
        <w:rPr>
          <w:rFonts w:ascii="仿宋" w:hAnsi="仿宋" w:eastAsia="仿宋" w:cs="宋体"/>
          <w:i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3）</w:t>
      </w:r>
      <w:r>
        <w:rPr>
          <w:rFonts w:hint="eastAsia" w:ascii="仿宋" w:hAnsi="仿宋" w:eastAsia="仿宋" w:cs="宋体"/>
          <w:snapToGrid w:val="0"/>
          <w:color w:val="auto"/>
          <w:highlight w:val="none"/>
          <w:lang w:eastAsia="zh-CN"/>
        </w:rPr>
        <w:t>在施工过程中，监理工程师有权随时对工程材料、设备的使用进行抽查。抽查范围、比例、数量、批次及检查深度可比国家</w:t>
      </w:r>
      <w:r>
        <w:rPr>
          <w:rFonts w:hint="eastAsia" w:ascii="仿宋" w:hAnsi="仿宋" w:eastAsia="仿宋" w:cs="宋体"/>
          <w:iCs/>
          <w:snapToGrid w:val="0"/>
          <w:color w:val="auto"/>
          <w:highlight w:val="none"/>
          <w:lang w:eastAsia="zh-CN"/>
        </w:rPr>
        <w:t>现行施工质量验收规范和</w:t>
      </w:r>
      <w:r>
        <w:rPr>
          <w:rFonts w:hint="eastAsia" w:ascii="仿宋" w:hAnsi="仿宋" w:eastAsia="仿宋" w:cs="宋体"/>
          <w:snapToGrid w:val="0"/>
          <w:color w:val="auto"/>
          <w:highlight w:val="none"/>
          <w:lang w:eastAsia="zh-CN"/>
        </w:rPr>
        <w:t>相关规定有所提高。</w:t>
      </w:r>
    </w:p>
    <w:p w14:paraId="01BD4CEC">
      <w:pPr>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工程材料、设备的质量依据下列顺序之标准认定（排序在前者优先）：</w:t>
      </w:r>
    </w:p>
    <w:p w14:paraId="7FB1F735">
      <w:pPr>
        <w:spacing w:line="360" w:lineRule="auto"/>
        <w:ind w:firstLine="480" w:firstLineChars="200"/>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1）本工程设计图纸规定的设计标准和发包人制定的材料标准及技术要求[不符合下列第4）</w:t>
      </w:r>
      <w:r>
        <w:rPr>
          <w:rFonts w:hint="eastAsia" w:ascii="仿宋" w:hAnsi="仿宋" w:eastAsia="仿宋" w:cs="宋体"/>
          <w:snapToGrid w:val="0"/>
          <w:color w:val="auto"/>
          <w:highlight w:val="none"/>
          <w:lang w:eastAsia="zh-CN"/>
        </w:rPr>
        <w:t>项标准要求的除外</w:t>
      </w:r>
      <w:r>
        <w:rPr>
          <w:rFonts w:ascii="仿宋" w:hAnsi="仿宋" w:eastAsia="仿宋" w:cs="宋体"/>
          <w:snapToGrid w:val="0"/>
          <w:color w:val="auto"/>
          <w:highlight w:val="none"/>
          <w:lang w:eastAsia="zh-CN"/>
        </w:rPr>
        <w:t>]；</w:t>
      </w:r>
    </w:p>
    <w:p w14:paraId="012AE75E">
      <w:pPr>
        <w:spacing w:line="360" w:lineRule="auto"/>
        <w:ind w:firstLine="480" w:firstLineChars="200"/>
        <w:rPr>
          <w:rFonts w:ascii="仿宋" w:hAnsi="仿宋" w:eastAsia="仿宋" w:cs="宋体"/>
          <w:iCs/>
          <w:snapToGrid w:val="0"/>
          <w:color w:val="auto"/>
          <w:highlight w:val="none"/>
          <w:lang w:eastAsia="zh-CN"/>
        </w:rPr>
      </w:pPr>
      <w:r>
        <w:rPr>
          <w:rFonts w:ascii="仿宋" w:hAnsi="仿宋" w:eastAsia="仿宋" w:cs="宋体"/>
          <w:iCs/>
          <w:snapToGrid w:val="0"/>
          <w:color w:val="auto"/>
          <w:highlight w:val="none"/>
          <w:lang w:eastAsia="zh-CN"/>
        </w:rPr>
        <w:t>2）招投标时确定的规格、技术指标、质量标准、品牌等</w:t>
      </w:r>
      <w:r>
        <w:rPr>
          <w:rFonts w:ascii="仿宋" w:hAnsi="仿宋" w:eastAsia="仿宋" w:cs="宋体"/>
          <w:snapToGrid w:val="0"/>
          <w:color w:val="auto"/>
          <w:highlight w:val="none"/>
          <w:lang w:eastAsia="zh-CN"/>
        </w:rPr>
        <w:t>[不符合下列第4）</w:t>
      </w:r>
      <w:r>
        <w:rPr>
          <w:rFonts w:hint="eastAsia" w:ascii="仿宋" w:hAnsi="仿宋" w:eastAsia="仿宋" w:cs="宋体"/>
          <w:snapToGrid w:val="0"/>
          <w:color w:val="auto"/>
          <w:highlight w:val="none"/>
          <w:lang w:eastAsia="zh-CN"/>
        </w:rPr>
        <w:t>项标准要求的除外</w:t>
      </w:r>
      <w:r>
        <w:rPr>
          <w:rFonts w:ascii="仿宋" w:hAnsi="仿宋" w:eastAsia="仿宋" w:cs="宋体"/>
          <w:snapToGrid w:val="0"/>
          <w:color w:val="auto"/>
          <w:highlight w:val="none"/>
          <w:lang w:eastAsia="zh-CN"/>
        </w:rPr>
        <w:t>]</w:t>
      </w:r>
      <w:r>
        <w:rPr>
          <w:rFonts w:hint="eastAsia" w:ascii="仿宋" w:hAnsi="仿宋" w:eastAsia="仿宋" w:cs="宋体"/>
          <w:iCs/>
          <w:snapToGrid w:val="0"/>
          <w:color w:val="auto"/>
          <w:highlight w:val="none"/>
          <w:lang w:eastAsia="zh-CN"/>
        </w:rPr>
        <w:t>；</w:t>
      </w:r>
    </w:p>
    <w:p w14:paraId="59D596AF">
      <w:pPr>
        <w:spacing w:line="360" w:lineRule="auto"/>
        <w:ind w:firstLine="480" w:firstLineChars="200"/>
        <w:rPr>
          <w:rFonts w:ascii="仿宋" w:hAnsi="仿宋" w:eastAsia="仿宋" w:cs="宋体"/>
          <w:iCs/>
          <w:snapToGrid w:val="0"/>
          <w:color w:val="auto"/>
          <w:highlight w:val="none"/>
          <w:lang w:eastAsia="zh-CN"/>
        </w:rPr>
      </w:pPr>
      <w:r>
        <w:rPr>
          <w:rFonts w:ascii="仿宋" w:hAnsi="仿宋" w:eastAsia="仿宋" w:cs="宋体"/>
          <w:iCs/>
          <w:snapToGrid w:val="0"/>
          <w:color w:val="auto"/>
          <w:highlight w:val="none"/>
          <w:lang w:eastAsia="zh-CN"/>
        </w:rPr>
        <w:t>3）经监理单位、承包人、发包人共同认定的产品封样、样板</w:t>
      </w:r>
      <w:r>
        <w:rPr>
          <w:rFonts w:ascii="仿宋" w:hAnsi="仿宋" w:eastAsia="仿宋" w:cs="宋体"/>
          <w:snapToGrid w:val="0"/>
          <w:color w:val="auto"/>
          <w:highlight w:val="none"/>
          <w:lang w:eastAsia="zh-CN"/>
        </w:rPr>
        <w:t>[不符合下列第4）</w:t>
      </w:r>
      <w:r>
        <w:rPr>
          <w:rFonts w:hint="eastAsia" w:ascii="仿宋" w:hAnsi="仿宋" w:eastAsia="仿宋" w:cs="宋体"/>
          <w:snapToGrid w:val="0"/>
          <w:color w:val="auto"/>
          <w:highlight w:val="none"/>
          <w:lang w:eastAsia="zh-CN"/>
        </w:rPr>
        <w:t>项标准要求的除外</w:t>
      </w:r>
      <w:r>
        <w:rPr>
          <w:rFonts w:ascii="仿宋" w:hAnsi="仿宋" w:eastAsia="仿宋" w:cs="宋体"/>
          <w:snapToGrid w:val="0"/>
          <w:color w:val="auto"/>
          <w:highlight w:val="none"/>
          <w:lang w:eastAsia="zh-CN"/>
        </w:rPr>
        <w:t>]</w:t>
      </w:r>
      <w:r>
        <w:rPr>
          <w:rFonts w:hint="eastAsia" w:ascii="仿宋" w:hAnsi="仿宋" w:eastAsia="仿宋" w:cs="宋体"/>
          <w:iCs/>
          <w:snapToGrid w:val="0"/>
          <w:color w:val="auto"/>
          <w:highlight w:val="none"/>
          <w:lang w:eastAsia="zh-CN"/>
        </w:rPr>
        <w:t>；</w:t>
      </w:r>
    </w:p>
    <w:p w14:paraId="38B312F7">
      <w:pPr>
        <w:spacing w:line="360" w:lineRule="auto"/>
        <w:ind w:firstLine="480" w:firstLineChars="200"/>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4）国家或行业强制执行的技术标准、技术规范。</w:t>
      </w:r>
    </w:p>
    <w:p w14:paraId="770A2B35">
      <w:pPr>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工程材料、设备的抽查、检验结果与前款约定不符的，监理工程师必须扩大对该批材料的抽查范围、增加数量抽检，同时，涉及工程结构安全和使用功能的检测必须委托有资质的第三方检测试验单位进行检测试验并执行《建筑节能工程施工质量验收标准》（</w:t>
      </w:r>
      <w:r>
        <w:rPr>
          <w:rFonts w:ascii="仿宋" w:hAnsi="仿宋" w:eastAsia="仿宋" w:cs="宋体"/>
          <w:snapToGrid w:val="0"/>
          <w:color w:val="auto"/>
          <w:highlight w:val="none"/>
          <w:lang w:eastAsia="zh-CN"/>
        </w:rPr>
        <w:t>GB50411-2019）、</w:t>
      </w: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广东省建筑节能与绿色建筑工程施工质量验收规范</w:t>
      </w: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DBJ15-65-2021</w:t>
      </w: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。承包人必须在发包人或监理单位书面通知的限期内将不符合要求的材料、设备全部无条件拆除、更换，并运出施工现场，由此所造成的工期延误、费用增加等一切损失均由承包人承担；同时，承包人还应当按照</w:t>
      </w:r>
      <w:r>
        <w:rPr>
          <w:rFonts w:hint="eastAsia" w:ascii="仿宋" w:hAnsi="仿宋" w:eastAsia="仿宋" w:cs="宋体"/>
          <w:snapToGrid w:val="0"/>
          <w:color w:val="auto"/>
          <w:highlight w:val="none"/>
          <w:lang w:eastAsia="zh-CN"/>
        </w:rPr>
        <w:t>专用条款</w:t>
      </w:r>
      <w:r>
        <w:rPr>
          <w:rFonts w:ascii="仿宋" w:hAnsi="仿宋" w:eastAsia="仿宋" w:cs="宋体"/>
          <w:snapToGrid w:val="0"/>
          <w:color w:val="auto"/>
          <w:highlight w:val="none"/>
          <w:lang w:eastAsia="zh-CN"/>
        </w:rPr>
        <w:t>第95.</w:t>
      </w:r>
      <w:r>
        <w:rPr>
          <w:rFonts w:hint="eastAsia" w:ascii="仿宋" w:hAnsi="仿宋" w:eastAsia="仿宋" w:cs="宋体"/>
          <w:snapToGrid w:val="0"/>
          <w:color w:val="auto"/>
          <w:highlight w:val="none"/>
          <w:lang w:eastAsia="zh-CN"/>
        </w:rPr>
        <w:t>4</w:t>
      </w:r>
      <w:r>
        <w:rPr>
          <w:rFonts w:ascii="仿宋" w:hAnsi="仿宋" w:eastAsia="仿宋" w:cs="宋体"/>
          <w:snapToGrid w:val="0"/>
          <w:color w:val="auto"/>
          <w:highlight w:val="none"/>
          <w:lang w:eastAsia="zh-CN"/>
        </w:rPr>
        <w:t>款的约定承担违约责任。</w:t>
      </w:r>
    </w:p>
    <w:p w14:paraId="0BBD55C9">
      <w:pPr>
        <w:spacing w:line="360" w:lineRule="auto"/>
        <w:ind w:right="11" w:firstLine="480" w:firstLineChars="200"/>
        <w:rPr>
          <w:rFonts w:hint="eastAsia" w:ascii="仿宋" w:hAnsi="仿宋" w:eastAsia="仿宋"/>
          <w:color w:val="auto"/>
          <w:highlight w:val="none"/>
          <w:lang w:eastAsia="zh-CN"/>
        </w:rPr>
      </w:pPr>
      <w:r>
        <w:rPr>
          <w:rFonts w:hint="eastAsia" w:ascii="仿宋" w:hAnsi="仿宋" w:eastAsia="仿宋" w:cs="宋体"/>
          <w:iCs/>
          <w:snapToGrid w:val="0"/>
          <w:color w:val="auto"/>
          <w:highlight w:val="none"/>
          <w:lang w:eastAsia="zh-CN"/>
        </w:rPr>
        <w:t>（</w:t>
      </w:r>
      <w:r>
        <w:rPr>
          <w:rFonts w:ascii="仿宋" w:hAnsi="仿宋" w:eastAsia="仿宋" w:cs="宋体"/>
          <w:iCs/>
          <w:snapToGrid w:val="0"/>
          <w:color w:val="auto"/>
          <w:highlight w:val="none"/>
          <w:lang w:eastAsia="zh-CN"/>
        </w:rPr>
        <w:t>4）监理工程师或发包人或相关职能部门对材料、设备或工程进行检查、检验的费用由发包人负担。如果检测不合格，监理工程师或发包人或相关职能部门要求进</w:t>
      </w:r>
      <w:r>
        <w:rPr>
          <w:rFonts w:hint="eastAsia" w:ascii="仿宋" w:hAnsi="仿宋" w:eastAsia="仿宋" w:cs="宋体"/>
          <w:snapToGrid w:val="0"/>
          <w:color w:val="auto"/>
          <w:highlight w:val="none"/>
          <w:lang w:eastAsia="zh-CN"/>
        </w:rPr>
        <w:t>行</w:t>
      </w:r>
      <w:r>
        <w:rPr>
          <w:rFonts w:hint="eastAsia" w:ascii="仿宋" w:hAnsi="仿宋" w:eastAsia="仿宋" w:cs="宋体"/>
          <w:bCs/>
          <w:snapToGrid w:val="0"/>
          <w:color w:val="auto"/>
          <w:highlight w:val="none"/>
          <w:lang w:eastAsia="zh-CN"/>
        </w:rPr>
        <w:t>重复检查、检验的，费用由承包人承担。</w:t>
      </w:r>
    </w:p>
    <w:p w14:paraId="3C634E78">
      <w:pPr>
        <w:spacing w:line="360" w:lineRule="auto"/>
        <w:ind w:left="-2" w:leftChars="-1" w:firstLine="364" w:firstLineChars="152"/>
        <w:rPr>
          <w:rFonts w:hint="eastAsia" w:ascii="仿宋" w:hAnsi="仿宋" w:eastAsia="仿宋"/>
          <w:color w:val="auto"/>
          <w:highlight w:val="none"/>
          <w:lang w:eastAsia="zh-CN"/>
        </w:rPr>
      </w:pPr>
      <w:r>
        <w:rPr>
          <w:rFonts w:hint="eastAsia" w:ascii="仿宋" w:hAnsi="仿宋" w:eastAsia="仿宋"/>
          <w:color w:val="auto"/>
          <w:highlight w:val="none"/>
          <w:lang w:eastAsia="zh-CN"/>
        </w:rPr>
        <w:t>56.7 使用替换材料的申请与批准的补充约定：</w:t>
      </w:r>
    </w:p>
    <w:p w14:paraId="214D0B7D">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56.7.1 出现下列情况，承包人方可使用替代材料和工程设备，并应按照第49.6.2条约定的程序执行：</w:t>
      </w:r>
    </w:p>
    <w:p w14:paraId="274168E4">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1</w:t>
      </w:r>
      <w:r>
        <w:rPr>
          <w:rFonts w:hint="eastAsia" w:ascii="仿宋" w:hAnsi="仿宋" w:eastAsia="仿宋"/>
          <w:color w:val="auto"/>
          <w:highlight w:val="none"/>
          <w:u w:val="single"/>
          <w:lang w:eastAsia="zh-CN"/>
        </w:rPr>
        <w:t>）基准日期后生效的法律规定禁止使用的；</w:t>
      </w:r>
    </w:p>
    <w:p w14:paraId="089C51CF">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2</w:t>
      </w:r>
      <w:r>
        <w:rPr>
          <w:rFonts w:hint="eastAsia" w:ascii="仿宋" w:hAnsi="仿宋" w:eastAsia="仿宋"/>
          <w:color w:val="auto"/>
          <w:highlight w:val="none"/>
          <w:u w:val="single"/>
          <w:lang w:eastAsia="zh-CN"/>
        </w:rPr>
        <w:t>）发包人要求使用替代品的；</w:t>
      </w:r>
    </w:p>
    <w:p w14:paraId="3A0441F3">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3</w:t>
      </w:r>
      <w:r>
        <w:rPr>
          <w:rFonts w:hint="eastAsia" w:ascii="仿宋" w:hAnsi="仿宋" w:eastAsia="仿宋"/>
          <w:color w:val="auto"/>
          <w:highlight w:val="none"/>
          <w:u w:val="single"/>
          <w:lang w:eastAsia="zh-CN"/>
        </w:rPr>
        <w:t>）因其他原因必须使用替代品的。</w:t>
      </w:r>
    </w:p>
    <w:p w14:paraId="72D53420">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56.7.2 承包人应在使用替代材料设备28天前书面通知监理工程师，并报发包人审批同意。通知应附下列文件：</w:t>
      </w:r>
    </w:p>
    <w:p w14:paraId="15AEF7F9">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1</w:t>
      </w:r>
      <w:r>
        <w:rPr>
          <w:rFonts w:hint="eastAsia" w:ascii="仿宋" w:hAnsi="仿宋" w:eastAsia="仿宋"/>
          <w:color w:val="auto"/>
          <w:highlight w:val="none"/>
          <w:u w:val="single"/>
          <w:lang w:eastAsia="zh-CN"/>
        </w:rPr>
        <w:t>）被替代的材料和工程设备的名称、数量、规格、型号、品牌、性能、价格及其他相关资料；</w:t>
      </w:r>
    </w:p>
    <w:p w14:paraId="5938DFB9">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2</w:t>
      </w:r>
      <w:r>
        <w:rPr>
          <w:rFonts w:hint="eastAsia" w:ascii="仿宋" w:hAnsi="仿宋" w:eastAsia="仿宋"/>
          <w:color w:val="auto"/>
          <w:highlight w:val="none"/>
          <w:u w:val="single"/>
          <w:lang w:eastAsia="zh-CN"/>
        </w:rPr>
        <w:t>）替代品的名称、数量、规格、型号、品牌、性能、价格及其他相关资料；</w:t>
      </w:r>
    </w:p>
    <w:p w14:paraId="2CC42ACE">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3</w:t>
      </w:r>
      <w:r>
        <w:rPr>
          <w:rFonts w:hint="eastAsia" w:ascii="仿宋" w:hAnsi="仿宋" w:eastAsia="仿宋"/>
          <w:color w:val="auto"/>
          <w:highlight w:val="none"/>
          <w:u w:val="single"/>
          <w:lang w:eastAsia="zh-CN"/>
        </w:rPr>
        <w:t>）替代品与被替代产品之间的差异以及使用替代品可能对工程产生的影响；</w:t>
      </w:r>
    </w:p>
    <w:p w14:paraId="61D8D223">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4</w:t>
      </w:r>
      <w:r>
        <w:rPr>
          <w:rFonts w:hint="eastAsia" w:ascii="仿宋" w:hAnsi="仿宋" w:eastAsia="仿宋"/>
          <w:color w:val="auto"/>
          <w:highlight w:val="none"/>
          <w:u w:val="single"/>
          <w:lang w:eastAsia="zh-CN"/>
        </w:rPr>
        <w:t>）替代品与被替代产品的价格差异；</w:t>
      </w:r>
    </w:p>
    <w:p w14:paraId="7FCD8A0A">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5</w:t>
      </w:r>
      <w:r>
        <w:rPr>
          <w:rFonts w:hint="eastAsia" w:ascii="仿宋" w:hAnsi="仿宋" w:eastAsia="仿宋"/>
          <w:color w:val="auto"/>
          <w:highlight w:val="none"/>
          <w:u w:val="single"/>
          <w:lang w:eastAsia="zh-CN"/>
        </w:rPr>
        <w:t>）使用替代品的理由和原因说明；</w:t>
      </w:r>
    </w:p>
    <w:p w14:paraId="74ECC7E0">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6</w:t>
      </w:r>
      <w:r>
        <w:rPr>
          <w:rFonts w:hint="eastAsia" w:ascii="仿宋" w:hAnsi="仿宋" w:eastAsia="仿宋"/>
          <w:color w:val="auto"/>
          <w:highlight w:val="none"/>
          <w:u w:val="single"/>
          <w:lang w:eastAsia="zh-CN"/>
        </w:rPr>
        <w:t>）监理工程师要求的其他文件。</w:t>
      </w:r>
    </w:p>
    <w:p w14:paraId="2DB213CB">
      <w:pPr>
        <w:spacing w:line="360" w:lineRule="auto"/>
        <w:ind w:left="-2" w:leftChars="-1" w:firstLine="364" w:firstLineChars="152"/>
        <w:rPr>
          <w:rFonts w:hint="eastAsia" w:ascii="仿宋" w:hAnsi="仿宋" w:eastAsia="仿宋"/>
          <w:color w:val="auto"/>
          <w:highlight w:val="none"/>
          <w:lang w:eastAsia="zh-CN"/>
        </w:rPr>
      </w:pPr>
      <w:bookmarkStart w:id="1714" w:name="_Toc29009"/>
      <w:r>
        <w:rPr>
          <w:rFonts w:hint="eastAsia" w:ascii="仿宋" w:hAnsi="仿宋" w:eastAsia="仿宋"/>
          <w:color w:val="auto"/>
          <w:highlight w:val="none"/>
          <w:lang w:eastAsia="zh-CN"/>
        </w:rPr>
        <w:t>56.9 禁止指定采购工程材料和工程设备</w:t>
      </w:r>
      <w:bookmarkEnd w:id="1714"/>
    </w:p>
    <w:p w14:paraId="11CFFB58">
      <w:pPr>
        <w:spacing w:line="360" w:lineRule="auto"/>
        <w:ind w:left="-2" w:leftChars="-1" w:firstLine="364" w:firstLineChars="152"/>
        <w:rPr>
          <w:rFonts w:ascii="仿宋" w:hAnsi="仿宋" w:eastAsia="仿宋"/>
          <w:color w:val="auto"/>
          <w:highlight w:val="none"/>
          <w:u w:val="single"/>
          <w:lang w:eastAsia="zh-CN"/>
        </w:rPr>
      </w:pPr>
      <w:r>
        <w:rPr>
          <w:rFonts w:hint="eastAsia" w:ascii="仿宋" w:hAnsi="仿宋" w:eastAsia="仿宋"/>
          <w:color w:val="auto"/>
          <w:highlight w:val="none"/>
          <w:lang w:eastAsia="zh-CN"/>
        </w:rPr>
        <w:t>发包人依法指定的生产厂家和供应商：</w:t>
      </w:r>
      <w:r>
        <w:rPr>
          <w:rFonts w:hint="eastAsia" w:ascii="仿宋" w:hAnsi="仿宋" w:eastAsia="仿宋"/>
          <w:color w:val="auto"/>
          <w:highlight w:val="none"/>
          <w:u w:val="single"/>
          <w:lang w:eastAsia="zh-CN"/>
        </w:rPr>
        <w:t xml:space="preserve">    /     </w:t>
      </w:r>
    </w:p>
    <w:p w14:paraId="2BF64D28">
      <w:pPr>
        <w:spacing w:line="360" w:lineRule="auto"/>
        <w:ind w:left="-2" w:leftChars="-1" w:firstLine="364" w:firstLineChars="152"/>
        <w:rPr>
          <w:rFonts w:hint="eastAsia" w:ascii="仿宋" w:hAnsi="仿宋" w:eastAsia="仿宋"/>
          <w:color w:val="auto"/>
          <w:highlight w:val="none"/>
          <w:u w:val="single"/>
          <w:lang w:eastAsia="zh-CN"/>
        </w:rPr>
      </w:pPr>
      <w:r>
        <w:rPr>
          <w:rFonts w:hint="eastAsia" w:ascii="仿宋" w:hAnsi="仿宋" w:eastAsia="仿宋"/>
          <w:color w:val="auto"/>
          <w:highlight w:val="none"/>
          <w:lang w:eastAsia="zh-CN"/>
        </w:rPr>
        <w:t>发包人要求的工程材料和工程设备质量标准、质量等级：</w:t>
      </w:r>
      <w:r>
        <w:rPr>
          <w:rFonts w:hint="eastAsia" w:ascii="仿宋" w:hAnsi="仿宋" w:eastAsia="仿宋"/>
          <w:color w:val="auto"/>
          <w:highlight w:val="none"/>
          <w:u w:val="single"/>
          <w:lang w:eastAsia="zh-CN"/>
        </w:rPr>
        <w:t xml:space="preserve">   详见附件七   </w:t>
      </w:r>
      <w:bookmarkStart w:id="1715" w:name="_Toc47694423"/>
    </w:p>
    <w:p w14:paraId="351DA155">
      <w:pPr>
        <w:spacing w:line="360" w:lineRule="auto"/>
        <w:ind w:left="-2" w:leftChars="-1" w:firstLine="364" w:firstLineChars="152"/>
        <w:rPr>
          <w:rFonts w:hint="eastAsia" w:ascii="仿宋" w:hAnsi="仿宋" w:eastAsia="仿宋"/>
          <w:color w:val="auto"/>
          <w:highlight w:val="none"/>
          <w:lang w:eastAsia="zh-CN"/>
        </w:rPr>
      </w:pPr>
      <w:r>
        <w:rPr>
          <w:rFonts w:hint="eastAsia" w:ascii="仿宋" w:hAnsi="仿宋" w:eastAsia="仿宋"/>
          <w:color w:val="auto"/>
          <w:highlight w:val="none"/>
          <w:lang w:eastAsia="zh-CN"/>
        </w:rPr>
        <w:t>56.10 补充条款：承包人未按本合同规定的程序申报拟选用的材料设备,未经监理工程师和发包人批准擅自组织材料进场,或未经监理工程师和发包人批准擅自使用的材料,承包人应就每批次擅自组织进场或使用的材料设备承担严重违约责任一次。</w:t>
      </w:r>
    </w:p>
    <w:p w14:paraId="358342CF">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1716" w:name="_Toc12217"/>
      <w:bookmarkStart w:id="1717" w:name="_Toc19084"/>
      <w:bookmarkStart w:id="1718" w:name="_Toc14389"/>
      <w:bookmarkStart w:id="1719" w:name="_Toc13779"/>
      <w:bookmarkStart w:id="1720" w:name="_Toc2697"/>
      <w:bookmarkStart w:id="1721" w:name="_Toc8839"/>
      <w:bookmarkStart w:id="1722" w:name="_Toc6905"/>
      <w:r>
        <w:rPr>
          <w:rFonts w:hint="eastAsia" w:ascii="仿宋" w:hAnsi="仿宋" w:eastAsia="仿宋" w:cs="仿宋"/>
          <w:b w:val="0"/>
          <w:bCs w:val="0"/>
          <w:i w:val="0"/>
          <w:iCs w:val="0"/>
          <w:color w:val="auto"/>
          <w:sz w:val="24"/>
          <w:szCs w:val="24"/>
          <w:highlight w:val="none"/>
          <w:lang w:eastAsia="zh-CN"/>
        </w:rPr>
        <w:t>57.  设备及工器具的验收、工程材料和工程设备的检验试验</w:t>
      </w:r>
      <w:bookmarkEnd w:id="1715"/>
      <w:bookmarkEnd w:id="1716"/>
      <w:bookmarkEnd w:id="1717"/>
      <w:bookmarkEnd w:id="1718"/>
      <w:bookmarkEnd w:id="1719"/>
      <w:bookmarkEnd w:id="1720"/>
      <w:bookmarkEnd w:id="1721"/>
      <w:bookmarkEnd w:id="1722"/>
    </w:p>
    <w:p w14:paraId="116FB5B0">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57.1 设备及工器具的验收</w:t>
      </w:r>
    </w:p>
    <w:p w14:paraId="784A563B">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☑发包人不委托承包人购置设备及工器具，本条不适用。</w:t>
      </w:r>
    </w:p>
    <w:p w14:paraId="3C17204B">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□发包人委托承包人购置设备及工器具</w:t>
      </w:r>
    </w:p>
    <w:p w14:paraId="166D39AC">
      <w:pPr>
        <w:spacing w:line="360" w:lineRule="auto"/>
        <w:ind w:firstLine="960" w:firstLineChars="4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□按通用条款约定。</w:t>
      </w:r>
    </w:p>
    <w:p w14:paraId="473D4C8E">
      <w:pPr>
        <w:spacing w:line="360" w:lineRule="auto"/>
        <w:ind w:firstLine="960" w:firstLineChars="400"/>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                 </w:t>
      </w:r>
    </w:p>
    <w:p w14:paraId="4C57B9E2">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57.3 工程</w:t>
      </w:r>
      <w:r>
        <w:rPr>
          <w:rFonts w:hint="eastAsia" w:ascii="仿宋" w:hAnsi="仿宋" w:eastAsia="仿宋" w:cs="仿宋"/>
          <w:bCs/>
          <w:color w:val="auto"/>
          <w:highlight w:val="none"/>
          <w:lang w:eastAsia="zh-CN"/>
        </w:rPr>
        <w:t>材料和工程设备的见证取样与不见证取样检验试验</w:t>
      </w:r>
    </w:p>
    <w:p w14:paraId="33D478ED">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见证取样检验试验的工程材料和工程设备约定：</w:t>
      </w:r>
    </w:p>
    <w:p w14:paraId="2915D702">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（1）种类：</w:t>
      </w:r>
      <w:r>
        <w:rPr>
          <w:rFonts w:ascii="仿宋" w:hAnsi="仿宋" w:eastAsia="仿宋"/>
          <w:color w:val="auto"/>
          <w:highlight w:val="none"/>
          <w:u w:val="single"/>
          <w:lang w:eastAsia="zh-CN"/>
        </w:rPr>
        <w:t>依据有关法律、法规、规范和工程建设强制性标准以及结构安全有要求进行见证取样的进入施工现场的建筑材料、设备和构配件。</w:t>
      </w:r>
    </w:p>
    <w:p w14:paraId="47933897">
      <w:pPr>
        <w:spacing w:line="360" w:lineRule="auto"/>
        <w:ind w:firstLine="120" w:firstLineChars="5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（2）检测机构：</w:t>
      </w:r>
      <w:r>
        <w:rPr>
          <w:rFonts w:ascii="仿宋" w:hAnsi="仿宋" w:eastAsia="仿宋"/>
          <w:color w:val="auto"/>
          <w:highlight w:val="none"/>
          <w:u w:val="single"/>
          <w:lang w:eastAsia="zh-CN"/>
        </w:rPr>
        <w:t>由发包人委托具有相应资格的检测机构实施。</w:t>
      </w:r>
    </w:p>
    <w:p w14:paraId="18EFAA2B">
      <w:pPr>
        <w:spacing w:line="360" w:lineRule="auto"/>
        <w:ind w:left="-2" w:leftChars="-1" w:firstLine="364" w:firstLineChars="152"/>
        <w:rPr>
          <w:rFonts w:ascii="仿宋" w:hAnsi="仿宋" w:eastAsia="仿宋"/>
          <w:color w:val="auto"/>
          <w:highlight w:val="none"/>
          <w:lang w:eastAsia="zh-CN"/>
        </w:rPr>
      </w:pPr>
      <w:r>
        <w:rPr>
          <w:rFonts w:hint="eastAsia" w:ascii="仿宋" w:hAnsi="仿宋" w:eastAsia="仿宋"/>
          <w:color w:val="auto"/>
          <w:highlight w:val="none"/>
          <w:lang w:eastAsia="zh-CN"/>
        </w:rPr>
        <w:t xml:space="preserve">  </w:t>
      </w:r>
      <w:r>
        <w:rPr>
          <w:rFonts w:hint="eastAsia" w:ascii="Calibri" w:hAnsi="Calibri" w:eastAsia="仿宋" w:cs="Calibri"/>
          <w:color w:val="auto"/>
          <w:highlight w:val="none"/>
          <w:lang w:eastAsia="zh-CN"/>
        </w:rPr>
        <w:t>（</w:t>
      </w:r>
      <w:r>
        <w:rPr>
          <w:rFonts w:hint="eastAsia" w:ascii="仿宋" w:hAnsi="仿宋" w:eastAsia="仿宋" w:cs="仿宋"/>
          <w:color w:val="auto"/>
          <w:highlight w:val="none"/>
          <w:lang w:eastAsia="zh-CN"/>
        </w:rPr>
        <w:t>3</w:t>
      </w:r>
      <w:r>
        <w:rPr>
          <w:rFonts w:hint="eastAsia" w:ascii="Calibri" w:hAnsi="Calibri" w:eastAsia="仿宋" w:cs="Calibri"/>
          <w:color w:val="auto"/>
          <w:highlight w:val="none"/>
          <w:lang w:eastAsia="zh-CN"/>
        </w:rPr>
        <w:t>）</w:t>
      </w:r>
      <w:r>
        <w:rPr>
          <w:rFonts w:ascii="仿宋" w:hAnsi="仿宋" w:eastAsia="仿宋"/>
          <w:color w:val="auto"/>
          <w:highlight w:val="none"/>
          <w:lang w:eastAsia="zh-CN"/>
        </w:rPr>
        <w:t>补充条款：</w:t>
      </w:r>
      <w:r>
        <w:rPr>
          <w:rFonts w:ascii="仿宋" w:hAnsi="仿宋" w:eastAsia="仿宋"/>
          <w:color w:val="auto"/>
          <w:highlight w:val="none"/>
          <w:u w:val="single"/>
          <w:lang w:eastAsia="zh-CN"/>
        </w:rPr>
        <w:t>承包人采购的材料需在材料到货前三天将进场计划报发包人和监理工程师，</w:t>
      </w:r>
      <w:r>
        <w:rPr>
          <w:rFonts w:ascii="仿宋" w:hAnsi="仿宋" w:eastAsia="仿宋"/>
          <w:color w:val="auto"/>
          <w:highlight w:val="none"/>
          <w:lang w:eastAsia="zh-CN"/>
        </w:rPr>
        <w:t>由监理工程师按规定确定材料检验抽样方案；材料到场后，承包人按监理工程师确定的抽样方案，在监理见证人员见证下抽样，</w:t>
      </w:r>
      <w:r>
        <w:rPr>
          <w:rFonts w:ascii="仿宋" w:hAnsi="仿宋" w:eastAsia="仿宋"/>
          <w:color w:val="auto"/>
          <w:highlight w:val="none"/>
          <w:u w:val="single"/>
          <w:lang w:eastAsia="zh-CN"/>
        </w:rPr>
        <w:t>按发包人与检测机构约定的格式要求打印检测委托清单一式四份</w:t>
      </w:r>
      <w:r>
        <w:rPr>
          <w:rFonts w:ascii="仿宋" w:hAnsi="仿宋" w:eastAsia="仿宋"/>
          <w:color w:val="auto"/>
          <w:highlight w:val="none"/>
          <w:lang w:eastAsia="zh-CN"/>
        </w:rPr>
        <w:t>；监理和发包人负责监督、见证抽样，在样品抽取后贴封条，签发检测委托清单；样品封条方式根据具体情况确定，监理负责对抽样、加封过程进行拍照；承包人负责将已加封条的样品送达检测机构，运送样品所需的费用由承包人负责，包含在合同总价中；承包人需及时将样品送达检测机构，确保不因此而影响工程施工。</w:t>
      </w:r>
    </w:p>
    <w:p w14:paraId="7E8A8A55">
      <w:pPr>
        <w:spacing w:line="360" w:lineRule="auto"/>
        <w:ind w:left="-2" w:leftChars="-1" w:firstLine="364" w:firstLineChars="152"/>
        <w:rPr>
          <w:rFonts w:ascii="仿宋" w:hAnsi="仿宋" w:eastAsia="仿宋"/>
          <w:color w:val="auto"/>
          <w:highlight w:val="none"/>
          <w:lang w:eastAsia="zh-CN"/>
        </w:rPr>
      </w:pPr>
      <w:r>
        <w:rPr>
          <w:rFonts w:hint="eastAsia" w:ascii="仿宋" w:hAnsi="仿宋" w:eastAsia="仿宋"/>
          <w:color w:val="auto"/>
          <w:highlight w:val="none"/>
          <w:lang w:eastAsia="zh-CN"/>
        </w:rPr>
        <w:t xml:space="preserve"> （4）</w:t>
      </w:r>
      <w:r>
        <w:rPr>
          <w:rFonts w:ascii="仿宋" w:hAnsi="仿宋" w:eastAsia="仿宋"/>
          <w:color w:val="auto"/>
          <w:highlight w:val="none"/>
          <w:lang w:eastAsia="zh-CN"/>
        </w:rPr>
        <w:t>补充条款：样品检验合格的材料，经监理工程师审核同意后方可在合同工程使用，检验报告交给承包人作为质量验收资料；样品检验不合格的，按规定扩大抽样检验或退场处理。</w:t>
      </w:r>
    </w:p>
    <w:p w14:paraId="4CC31BDE">
      <w:pPr>
        <w:spacing w:line="360" w:lineRule="auto"/>
        <w:ind w:firstLine="480" w:firstLineChars="200"/>
        <w:rPr>
          <w:rFonts w:ascii="仿宋" w:hAnsi="仿宋" w:eastAsia="仿宋"/>
          <w:color w:val="auto"/>
          <w:highlight w:val="none"/>
          <w:u w:val="single"/>
          <w:lang w:eastAsia="zh-CN"/>
        </w:rPr>
      </w:pPr>
      <w:bookmarkStart w:id="1723" w:name="_Toc47694424"/>
      <w:r>
        <w:rPr>
          <w:rFonts w:hint="eastAsia" w:ascii="仿宋" w:hAnsi="仿宋" w:eastAsia="仿宋"/>
          <w:color w:val="auto"/>
          <w:highlight w:val="none"/>
          <w:lang w:eastAsia="zh-CN"/>
        </w:rPr>
        <w:t>57.5</w:t>
      </w:r>
      <w:r>
        <w:rPr>
          <w:rFonts w:ascii="仿宋" w:hAnsi="仿宋" w:eastAsia="仿宋"/>
          <w:color w:val="auto"/>
          <w:highlight w:val="none"/>
          <w:lang w:eastAsia="zh-CN"/>
        </w:rPr>
        <w:t xml:space="preserve"> </w:t>
      </w:r>
      <w:r>
        <w:rPr>
          <w:rFonts w:hint="eastAsia" w:ascii="仿宋" w:hAnsi="仿宋" w:eastAsia="仿宋"/>
          <w:color w:val="auto"/>
          <w:highlight w:val="none"/>
          <w:lang w:eastAsia="zh-CN"/>
        </w:rPr>
        <w:t>工程</w:t>
      </w:r>
      <w:r>
        <w:rPr>
          <w:rFonts w:ascii="仿宋" w:hAnsi="仿宋" w:eastAsia="仿宋"/>
          <w:color w:val="auto"/>
          <w:highlight w:val="none"/>
          <w:lang w:eastAsia="zh-CN"/>
        </w:rPr>
        <w:t>材料和工程设备的检验试验费</w:t>
      </w:r>
    </w:p>
    <w:p w14:paraId="3D2E5B87">
      <w:pPr>
        <w:spacing w:line="360" w:lineRule="auto"/>
        <w:ind w:left="-2" w:leftChars="-1" w:firstLine="364" w:firstLineChars="152"/>
        <w:rPr>
          <w:rFonts w:ascii="仿宋" w:hAnsi="仿宋" w:eastAsia="仿宋"/>
          <w:color w:val="auto"/>
          <w:highlight w:val="none"/>
          <w:lang w:eastAsia="zh-CN"/>
        </w:rPr>
      </w:pPr>
      <w:r>
        <w:rPr>
          <w:rFonts w:ascii="仿宋" w:hAnsi="仿宋" w:eastAsia="仿宋"/>
          <w:color w:val="auto"/>
          <w:highlight w:val="none"/>
          <w:lang w:eastAsia="zh-CN"/>
        </w:rPr>
        <w:t>（1）根据</w:t>
      </w:r>
      <w:r>
        <w:rPr>
          <w:rFonts w:hint="eastAsia" w:ascii="仿宋" w:hAnsi="仿宋" w:eastAsia="仿宋"/>
          <w:color w:val="auto"/>
          <w:highlight w:val="none"/>
          <w:lang w:eastAsia="zh-CN"/>
        </w:rPr>
        <w:t>建设行政主管部门相关</w:t>
      </w:r>
      <w:r>
        <w:rPr>
          <w:rFonts w:ascii="仿宋" w:hAnsi="仿宋" w:eastAsia="仿宋"/>
          <w:color w:val="auto"/>
          <w:highlight w:val="none"/>
          <w:lang w:eastAsia="zh-CN"/>
        </w:rPr>
        <w:t>规定，建设工程质量、材料及安全检测业务应由发包人依法委托。承包人应按专用条款第2</w:t>
      </w:r>
      <w:r>
        <w:rPr>
          <w:rFonts w:hint="eastAsia" w:ascii="仿宋" w:hAnsi="仿宋" w:eastAsia="仿宋"/>
          <w:color w:val="auto"/>
          <w:highlight w:val="none"/>
          <w:lang w:eastAsia="zh-CN"/>
        </w:rPr>
        <w:t>3.2</w:t>
      </w:r>
      <w:r>
        <w:rPr>
          <w:rFonts w:ascii="仿宋" w:hAnsi="仿宋" w:eastAsia="仿宋"/>
          <w:color w:val="auto"/>
          <w:highlight w:val="none"/>
          <w:lang w:eastAsia="zh-CN"/>
        </w:rPr>
        <w:t>款约定，在施工组织设计中报送材料设备进场计划、</w:t>
      </w:r>
      <w:r>
        <w:rPr>
          <w:rFonts w:ascii="仿宋" w:hAnsi="仿宋" w:eastAsia="仿宋"/>
          <w:bCs/>
          <w:color w:val="auto"/>
          <w:highlight w:val="none"/>
          <w:lang w:eastAsia="zh-CN"/>
        </w:rPr>
        <w:t>材料及工程设备和构配件检验试验计划，按经批准的</w:t>
      </w:r>
      <w:r>
        <w:rPr>
          <w:rFonts w:ascii="仿宋" w:hAnsi="仿宋" w:eastAsia="仿宋"/>
          <w:color w:val="auto"/>
          <w:highlight w:val="none"/>
          <w:lang w:eastAsia="zh-CN"/>
        </w:rPr>
        <w:t>施工组织设计方案组织材料</w:t>
      </w:r>
      <w:r>
        <w:rPr>
          <w:rFonts w:ascii="仿宋" w:hAnsi="仿宋" w:eastAsia="仿宋"/>
          <w:bCs/>
          <w:color w:val="auto"/>
          <w:highlight w:val="none"/>
          <w:lang w:eastAsia="zh-CN"/>
        </w:rPr>
        <w:t>及工程设备进场，配合</w:t>
      </w:r>
      <w:r>
        <w:rPr>
          <w:rFonts w:ascii="仿宋" w:hAnsi="仿宋" w:eastAsia="仿宋"/>
          <w:color w:val="auto"/>
          <w:highlight w:val="none"/>
          <w:lang w:eastAsia="zh-CN"/>
        </w:rPr>
        <w:t>发包人进行送检。承包人未按批准的计划组织材料、工程设备和构配件进场的，由此造成的检验试验费增加由承包人承担。</w:t>
      </w:r>
    </w:p>
    <w:p w14:paraId="75427A8E">
      <w:pPr>
        <w:spacing w:line="360" w:lineRule="auto"/>
        <w:ind w:left="-2" w:leftChars="-1" w:firstLine="364" w:firstLineChars="152"/>
        <w:jc w:val="left"/>
        <w:rPr>
          <w:rFonts w:ascii="仿宋" w:hAnsi="仿宋" w:eastAsia="仿宋"/>
          <w:color w:val="auto"/>
          <w:highlight w:val="none"/>
          <w:lang w:eastAsia="zh-CN"/>
        </w:rPr>
      </w:pPr>
      <w:r>
        <w:rPr>
          <w:rFonts w:ascii="仿宋" w:hAnsi="仿宋" w:eastAsia="仿宋"/>
          <w:color w:val="auto"/>
          <w:highlight w:val="none"/>
          <w:lang w:eastAsia="zh-CN"/>
        </w:rPr>
        <w:t>（2）承包人采购的材料和设备等产品见证取样检验试验合格的，检验试验费由发包人承担；见证取样检验试验不合格的，检验试验费用由承包人承担；见证取样检验试验不合格但扩大见证取样检验试验合格，且经监理工程师批准该批次材料和设备产品可用于合同工程的，发包人承担正常见证取样数量的检验试验费用，因扩大见证取样而额外增加的检验试验费用由承包人承担。</w:t>
      </w:r>
    </w:p>
    <w:p w14:paraId="3DF821A2">
      <w:pPr>
        <w:spacing w:line="360" w:lineRule="auto"/>
        <w:ind w:left="-2" w:leftChars="-1" w:firstLine="364" w:firstLineChars="152"/>
        <w:rPr>
          <w:rFonts w:hint="eastAsia" w:ascii="仿宋" w:hAnsi="仿宋" w:eastAsia="仿宋"/>
          <w:color w:val="auto"/>
          <w:highlight w:val="none"/>
          <w:lang w:eastAsia="zh-CN"/>
        </w:rPr>
      </w:pPr>
      <w:bookmarkStart w:id="1724" w:name="_Toc437441260"/>
      <w:bookmarkStart w:id="1725" w:name="_Toc450206808"/>
      <w:bookmarkStart w:id="1726" w:name="_Toc472695193"/>
      <w:bookmarkStart w:id="1727" w:name="_Toc445392633"/>
      <w:r>
        <w:rPr>
          <w:rFonts w:ascii="仿宋" w:hAnsi="仿宋" w:eastAsia="仿宋"/>
          <w:color w:val="auto"/>
          <w:highlight w:val="none"/>
          <w:lang w:eastAsia="zh-CN"/>
        </w:rPr>
        <w:t>5</w:t>
      </w:r>
      <w:r>
        <w:rPr>
          <w:rFonts w:hint="eastAsia" w:ascii="仿宋" w:hAnsi="仿宋" w:eastAsia="仿宋"/>
          <w:color w:val="auto"/>
          <w:highlight w:val="none"/>
          <w:lang w:eastAsia="zh-CN"/>
        </w:rPr>
        <w:t>7</w:t>
      </w:r>
      <w:r>
        <w:rPr>
          <w:rFonts w:ascii="仿宋" w:hAnsi="仿宋" w:eastAsia="仿宋"/>
          <w:color w:val="auto"/>
          <w:highlight w:val="none"/>
          <w:lang w:eastAsia="zh-CN"/>
        </w:rPr>
        <w:t>.</w:t>
      </w:r>
      <w:r>
        <w:rPr>
          <w:rFonts w:hint="eastAsia" w:ascii="仿宋" w:hAnsi="仿宋" w:eastAsia="仿宋"/>
          <w:color w:val="auto"/>
          <w:highlight w:val="none"/>
          <w:lang w:eastAsia="zh-CN"/>
        </w:rPr>
        <w:t>6</w:t>
      </w:r>
      <w:r>
        <w:rPr>
          <w:rFonts w:ascii="仿宋" w:hAnsi="仿宋" w:eastAsia="仿宋"/>
          <w:color w:val="auto"/>
          <w:highlight w:val="none"/>
          <w:lang w:eastAsia="zh-CN"/>
        </w:rPr>
        <w:t xml:space="preserve"> 再次检验及其责任承担</w:t>
      </w:r>
      <w:bookmarkEnd w:id="1724"/>
      <w:bookmarkEnd w:id="1725"/>
      <w:bookmarkEnd w:id="1726"/>
      <w:bookmarkEnd w:id="1727"/>
      <w:r>
        <w:rPr>
          <w:rFonts w:ascii="仿宋" w:hAnsi="仿宋" w:eastAsia="仿宋"/>
          <w:color w:val="auto"/>
          <w:highlight w:val="none"/>
          <w:lang w:eastAsia="zh-CN"/>
        </w:rPr>
        <w:t>补充条款：</w:t>
      </w:r>
    </w:p>
    <w:p w14:paraId="220542D6">
      <w:pPr>
        <w:spacing w:line="360" w:lineRule="auto"/>
        <w:ind w:left="-2" w:leftChars="-1" w:firstLine="364" w:firstLineChars="152"/>
        <w:rPr>
          <w:rFonts w:hint="eastAsia" w:ascii="仿宋" w:hAnsi="仿宋" w:eastAsia="仿宋"/>
          <w:color w:val="auto"/>
          <w:spacing w:val="4"/>
          <w:highlight w:val="none"/>
          <w:lang w:eastAsia="zh-CN"/>
        </w:rPr>
      </w:pPr>
      <w:r>
        <w:rPr>
          <w:rFonts w:ascii="仿宋" w:hAnsi="仿宋" w:eastAsia="仿宋"/>
          <w:color w:val="auto"/>
          <w:highlight w:val="none"/>
          <w:lang w:eastAsia="zh-CN"/>
        </w:rPr>
        <w:t>5</w:t>
      </w:r>
      <w:r>
        <w:rPr>
          <w:rFonts w:hint="eastAsia" w:ascii="仿宋" w:hAnsi="仿宋" w:eastAsia="仿宋"/>
          <w:color w:val="auto"/>
          <w:highlight w:val="none"/>
          <w:lang w:eastAsia="zh-CN"/>
        </w:rPr>
        <w:t>7.6</w:t>
      </w:r>
      <w:r>
        <w:rPr>
          <w:rFonts w:ascii="仿宋" w:hAnsi="仿宋" w:eastAsia="仿宋"/>
          <w:color w:val="auto"/>
          <w:highlight w:val="none"/>
          <w:lang w:eastAsia="zh-CN"/>
        </w:rPr>
        <w:t xml:space="preserve">.1 </w:t>
      </w:r>
      <w:r>
        <w:rPr>
          <w:rFonts w:ascii="仿宋" w:hAnsi="仿宋" w:eastAsia="仿宋"/>
          <w:color w:val="auto"/>
          <w:spacing w:val="4"/>
          <w:highlight w:val="none"/>
          <w:lang w:eastAsia="zh-CN"/>
        </w:rPr>
        <w:t>在施工过程中，总监理工程师有权随时对工程材料、设备的使用进行抽查，包括成品、半成品、器具、设备、附件、小五金等。抽查范围、比例、数量、批次及检查深度可比照国家现行施工质量验收规范和相关规定，且比相应规范要求有所提高。</w:t>
      </w:r>
    </w:p>
    <w:p w14:paraId="7DE9880A">
      <w:pPr>
        <w:spacing w:line="360" w:lineRule="auto"/>
        <w:ind w:left="-2" w:leftChars="-1" w:firstLine="364" w:firstLineChars="152"/>
        <w:rPr>
          <w:rFonts w:hint="eastAsia" w:ascii="仿宋" w:hAnsi="仿宋" w:eastAsia="仿宋"/>
          <w:color w:val="auto"/>
          <w:highlight w:val="none"/>
          <w:lang w:eastAsia="zh-CN"/>
        </w:rPr>
      </w:pPr>
      <w:r>
        <w:rPr>
          <w:rFonts w:ascii="仿宋" w:hAnsi="仿宋" w:eastAsia="仿宋"/>
          <w:color w:val="auto"/>
          <w:highlight w:val="none"/>
          <w:lang w:eastAsia="zh-CN"/>
        </w:rPr>
        <w:t>工程材料、设备的质量依据下列标准的先后顺序认定：</w:t>
      </w:r>
    </w:p>
    <w:p w14:paraId="3F82665A">
      <w:pPr>
        <w:spacing w:line="360" w:lineRule="auto"/>
        <w:ind w:left="-2" w:leftChars="-1" w:firstLine="364" w:firstLineChars="152"/>
        <w:rPr>
          <w:rFonts w:hint="eastAsia" w:ascii="仿宋" w:hAnsi="仿宋" w:eastAsia="仿宋"/>
          <w:color w:val="auto"/>
          <w:highlight w:val="none"/>
          <w:lang w:eastAsia="zh-CN"/>
        </w:rPr>
      </w:pPr>
      <w:r>
        <w:rPr>
          <w:rFonts w:ascii="仿宋" w:hAnsi="仿宋" w:eastAsia="仿宋"/>
          <w:color w:val="auto"/>
          <w:highlight w:val="none"/>
          <w:lang w:eastAsia="zh-CN"/>
        </w:rPr>
        <w:t>（1）本工程设计图纸规定的设计标准；</w:t>
      </w:r>
    </w:p>
    <w:p w14:paraId="5623F58C">
      <w:pPr>
        <w:spacing w:line="360" w:lineRule="auto"/>
        <w:ind w:left="-2" w:leftChars="-1" w:firstLine="364" w:firstLineChars="152"/>
        <w:rPr>
          <w:rFonts w:hint="eastAsia" w:ascii="仿宋" w:hAnsi="仿宋" w:eastAsia="仿宋"/>
          <w:color w:val="auto"/>
          <w:highlight w:val="none"/>
          <w:lang w:eastAsia="zh-CN"/>
        </w:rPr>
      </w:pPr>
      <w:r>
        <w:rPr>
          <w:rFonts w:ascii="仿宋" w:hAnsi="仿宋" w:eastAsia="仿宋"/>
          <w:color w:val="auto"/>
          <w:highlight w:val="none"/>
          <w:lang w:eastAsia="zh-CN"/>
        </w:rPr>
        <w:t>（2）经设计单位、监理单位、承包人、发包人共同认定的产品封样、样板；</w:t>
      </w:r>
    </w:p>
    <w:p w14:paraId="5CDE2515">
      <w:pPr>
        <w:spacing w:line="360" w:lineRule="auto"/>
        <w:ind w:left="-2" w:leftChars="-1" w:firstLine="364" w:firstLineChars="152"/>
        <w:rPr>
          <w:rFonts w:hint="eastAsia" w:ascii="仿宋" w:hAnsi="仿宋" w:eastAsia="仿宋"/>
          <w:color w:val="auto"/>
          <w:highlight w:val="none"/>
          <w:lang w:eastAsia="zh-CN"/>
        </w:rPr>
      </w:pPr>
      <w:r>
        <w:rPr>
          <w:rFonts w:ascii="仿宋" w:hAnsi="仿宋" w:eastAsia="仿宋"/>
          <w:color w:val="auto"/>
          <w:highlight w:val="none"/>
          <w:lang w:eastAsia="zh-CN"/>
        </w:rPr>
        <w:t>（3）招投标时确定的规格、技术指标、质量标准、品牌等；</w:t>
      </w:r>
    </w:p>
    <w:p w14:paraId="1060024A">
      <w:pPr>
        <w:spacing w:line="360" w:lineRule="auto"/>
        <w:ind w:left="-2" w:leftChars="-1" w:firstLine="364" w:firstLineChars="152"/>
        <w:rPr>
          <w:rFonts w:hint="eastAsia" w:ascii="仿宋" w:hAnsi="仿宋" w:eastAsia="仿宋"/>
          <w:color w:val="auto"/>
          <w:highlight w:val="none"/>
          <w:lang w:eastAsia="zh-CN"/>
        </w:rPr>
      </w:pPr>
      <w:r>
        <w:rPr>
          <w:rFonts w:ascii="仿宋" w:hAnsi="仿宋" w:eastAsia="仿宋"/>
          <w:color w:val="auto"/>
          <w:highlight w:val="none"/>
          <w:lang w:eastAsia="zh-CN"/>
        </w:rPr>
        <w:t>（4）国家或行业强制执行的技术标准、技术规范。</w:t>
      </w:r>
    </w:p>
    <w:p w14:paraId="1ABF8C89">
      <w:pPr>
        <w:spacing w:line="360" w:lineRule="auto"/>
        <w:ind w:left="-2" w:leftChars="-1" w:firstLine="364" w:firstLineChars="152"/>
        <w:rPr>
          <w:rFonts w:hint="eastAsia" w:ascii="仿宋" w:hAnsi="仿宋" w:eastAsia="仿宋"/>
          <w:color w:val="auto"/>
          <w:highlight w:val="none"/>
          <w:lang w:eastAsia="zh-CN"/>
        </w:rPr>
      </w:pPr>
      <w:r>
        <w:rPr>
          <w:rFonts w:ascii="仿宋" w:hAnsi="仿宋" w:eastAsia="仿宋"/>
          <w:color w:val="auto"/>
          <w:highlight w:val="none"/>
          <w:lang w:eastAsia="zh-CN"/>
        </w:rPr>
        <w:t>工程材料、设备的抽查、检验结果达不到上述标准和规范的，总监理工程师必须扩大对该批材料的抽查范围并增加抽检数量。若工程材料、设备复检结果仍达不到上述标准和规范的，无论工程材料、设备是否已施工或安装，承包人必须在发包人联合总监理工程师书面通知的限期内全部无条件拆除、更换，并运出施工现场；由此造成的工期延误、费用增加等一切损失均由承包人承担。同时，承包人还应按本专用条款第95.</w:t>
      </w:r>
      <w:r>
        <w:rPr>
          <w:rFonts w:hint="eastAsia" w:ascii="仿宋" w:hAnsi="仿宋" w:eastAsia="仿宋"/>
          <w:color w:val="auto"/>
          <w:highlight w:val="none"/>
          <w:lang w:eastAsia="zh-CN"/>
        </w:rPr>
        <w:t>4</w:t>
      </w:r>
      <w:r>
        <w:rPr>
          <w:rFonts w:ascii="仿宋" w:hAnsi="仿宋" w:eastAsia="仿宋"/>
          <w:color w:val="auto"/>
          <w:highlight w:val="none"/>
          <w:lang w:eastAsia="zh-CN"/>
        </w:rPr>
        <w:t>款承担违约责任。</w:t>
      </w:r>
    </w:p>
    <w:p w14:paraId="2CCC9981">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1728" w:name="_Toc5021"/>
      <w:bookmarkStart w:id="1729" w:name="_Toc1223"/>
      <w:bookmarkStart w:id="1730" w:name="_Toc360"/>
      <w:bookmarkStart w:id="1731" w:name="_Toc28821"/>
      <w:bookmarkStart w:id="1732" w:name="_Toc5805"/>
      <w:bookmarkStart w:id="1733" w:name="_Toc4597"/>
      <w:bookmarkStart w:id="1734" w:name="_Toc21252"/>
      <w:r>
        <w:rPr>
          <w:rFonts w:hint="eastAsia" w:ascii="仿宋" w:hAnsi="仿宋" w:eastAsia="仿宋" w:cs="仿宋"/>
          <w:b w:val="0"/>
          <w:bCs w:val="0"/>
          <w:i w:val="0"/>
          <w:iCs w:val="0"/>
          <w:color w:val="auto"/>
          <w:sz w:val="24"/>
          <w:szCs w:val="24"/>
          <w:highlight w:val="none"/>
          <w:lang w:eastAsia="zh-CN"/>
        </w:rPr>
        <w:t>58.  施工设备和临时设施</w:t>
      </w:r>
      <w:bookmarkEnd w:id="1723"/>
      <w:bookmarkEnd w:id="1728"/>
      <w:bookmarkEnd w:id="1729"/>
      <w:bookmarkEnd w:id="1730"/>
      <w:bookmarkEnd w:id="1731"/>
      <w:bookmarkEnd w:id="1732"/>
      <w:bookmarkEnd w:id="1733"/>
      <w:bookmarkEnd w:id="1734"/>
    </w:p>
    <w:p w14:paraId="294FE727">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58.1 承包人配置的施工设备和临时设施</w:t>
      </w:r>
    </w:p>
    <w:p w14:paraId="5EE0380F">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按通用条款约定，承包人承担修建临时设施的费用。</w:t>
      </w:r>
    </w:p>
    <w:p w14:paraId="7CEF5285">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另作约定：</w:t>
      </w:r>
    </w:p>
    <w:p w14:paraId="2831FB2E">
      <w:pPr>
        <w:numPr>
          <w:ilvl w:val="0"/>
          <w:numId w:val="25"/>
        </w:num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承包人应按合同工程进度计划的要求，及时配置施工设备和修建临时设施并自行承担修建临时设施的费用。如红线范围内临时场地不能满足施工需要，无论发包人是否可协调红线外场地给承包人使用，所有的费用均由承包人承担。</w:t>
      </w:r>
    </w:p>
    <w:p w14:paraId="564D2B9F">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需要临时占地的，应由承包人办理申请手续并承担相应费用，相关费用已含在合同价中；由承包人应合理考虑施工现场平面布置图，后期因临时设施（包含办公用房、道路等）多次搬迁而产生的费用，由承包人承担，相关费用已含在合同价中。</w:t>
      </w:r>
    </w:p>
    <w:p w14:paraId="643DF7FA">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（3）进入施工场地的承包人施工设备，需经监理人核查后才能投入使用。承包人更换合同约定范围施工设备的，应经监理人同意并由其报发包人批准后方可实施。</w:t>
      </w:r>
    </w:p>
    <w:p w14:paraId="06CC4B82">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highlight w:val="none"/>
          <w:u w:val="single"/>
          <w:lang w:eastAsia="zh-CN"/>
        </w:rPr>
        <w:t>（4）施工水电费（包括承包人管理范围内的专业单位、分包单位的水电费）由承包人向有关部门缴纳，发包人协助办理相关手续，承包人不得向发包人或其他单位收取费用。</w:t>
      </w:r>
    </w:p>
    <w:p w14:paraId="5FD48DD9">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bookmarkStart w:id="1735" w:name="_Toc31018"/>
      <w:r>
        <w:rPr>
          <w:rFonts w:hint="eastAsia" w:ascii="仿宋" w:hAnsi="仿宋" w:eastAsia="仿宋" w:cs="仿宋"/>
          <w:color w:val="auto"/>
          <w:highlight w:val="none"/>
          <w:lang w:eastAsia="zh-CN"/>
        </w:rPr>
        <w:t>58.2 发包人提供的施工设备和临时设施</w:t>
      </w:r>
      <w:bookmarkEnd w:id="1735"/>
    </w:p>
    <w:p w14:paraId="009958FD">
      <w:pPr>
        <w:spacing w:line="360" w:lineRule="auto"/>
        <w:ind w:firstLine="600" w:firstLineChars="250"/>
        <w:rPr>
          <w:rFonts w:hint="eastAsia" w:ascii="仿宋" w:hAnsi="仿宋" w:eastAsia="仿宋" w:cs="仿宋"/>
          <w:strike/>
          <w:color w:val="auto"/>
          <w:highlight w:val="none"/>
          <w:u w:val="single"/>
          <w:lang w:eastAsia="zh-CN"/>
        </w:rPr>
      </w:pPr>
      <w:r>
        <w:rPr>
          <w:rFonts w:hint="eastAsia" w:ascii="仿宋" w:hAnsi="仿宋" w:eastAsia="仿宋" w:cs="仿宋"/>
          <w:color w:val="auto"/>
          <w:highlight w:val="none"/>
          <w:lang w:eastAsia="zh-CN"/>
        </w:rPr>
        <w:t>发包人提供施工设备和临时设施的约定：</w:t>
      </w:r>
      <w:r>
        <w:rPr>
          <w:rFonts w:hint="eastAsia" w:ascii="仿宋" w:hAnsi="仿宋" w:eastAsia="仿宋" w:cs="仿宋"/>
          <w:color w:val="auto"/>
          <w:highlight w:val="none"/>
          <w:u w:val="single"/>
          <w:lang w:eastAsia="zh-CN"/>
        </w:rPr>
        <w:t>无。</w:t>
      </w:r>
    </w:p>
    <w:p w14:paraId="2FBDF27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双方协商一致，58.2款补充以下约定：</w:t>
      </w:r>
    </w:p>
    <w:p w14:paraId="5866FEF7">
      <w:pPr>
        <w:spacing w:line="360" w:lineRule="auto"/>
        <w:ind w:left="-2" w:leftChars="-1" w:firstLine="364" w:firstLineChars="152"/>
        <w:rPr>
          <w:rFonts w:ascii="仿宋" w:hAnsi="仿宋" w:eastAsia="仿宋"/>
          <w:color w:val="auto"/>
          <w:highlight w:val="none"/>
          <w:lang w:eastAsia="zh-CN"/>
        </w:rPr>
      </w:pPr>
      <w:r>
        <w:rPr>
          <w:rFonts w:ascii="仿宋" w:hAnsi="仿宋" w:eastAsia="仿宋"/>
          <w:color w:val="auto"/>
          <w:highlight w:val="none"/>
          <w:lang w:eastAsia="zh-CN"/>
        </w:rPr>
        <w:t>1、承包人需自</w:t>
      </w:r>
      <w:r>
        <w:rPr>
          <w:rFonts w:hint="eastAsia" w:ascii="仿宋" w:hAnsi="仿宋" w:eastAsia="仿宋"/>
          <w:color w:val="auto"/>
          <w:highlight w:val="none"/>
          <w:lang w:eastAsia="zh-CN"/>
        </w:rPr>
        <w:t>行</w:t>
      </w:r>
      <w:r>
        <w:rPr>
          <w:rFonts w:ascii="仿宋" w:hAnsi="仿宋" w:eastAsia="仿宋"/>
          <w:color w:val="auto"/>
          <w:highlight w:val="none"/>
          <w:lang w:eastAsia="zh-CN"/>
        </w:rPr>
        <w:t>负责基础施工质量,不能以地质勘探报告不详等理由推卸责任，因各种原因（包括地质原因）造成桩质量不合格需要复打、补桩或采取其他处理措施的，均由承包人负责承担。</w:t>
      </w:r>
    </w:p>
    <w:p w14:paraId="35C6FEBF">
      <w:pPr>
        <w:tabs>
          <w:tab w:val="left" w:pos="425"/>
        </w:tabs>
        <w:spacing w:line="360" w:lineRule="auto"/>
        <w:ind w:left="-2" w:leftChars="-1" w:firstLine="364" w:firstLineChars="152"/>
        <w:rPr>
          <w:rFonts w:ascii="仿宋" w:hAnsi="仿宋" w:eastAsia="仿宋"/>
          <w:color w:val="auto"/>
          <w:highlight w:val="none"/>
          <w:lang w:eastAsia="zh-CN"/>
        </w:rPr>
      </w:pPr>
      <w:r>
        <w:rPr>
          <w:rFonts w:ascii="仿宋" w:hAnsi="仿宋" w:eastAsia="仿宋"/>
          <w:color w:val="auto"/>
          <w:highlight w:val="none"/>
          <w:lang w:eastAsia="zh-CN"/>
        </w:rPr>
        <w:t>2、施工用水、用电及排水</w:t>
      </w:r>
      <w:r>
        <w:rPr>
          <w:rFonts w:hint="eastAsia" w:ascii="仿宋" w:hAnsi="仿宋" w:eastAsia="仿宋"/>
          <w:color w:val="auto"/>
          <w:highlight w:val="none"/>
          <w:lang w:eastAsia="zh-CN"/>
        </w:rPr>
        <w:t>、</w:t>
      </w:r>
      <w:r>
        <w:rPr>
          <w:rFonts w:ascii="仿宋" w:hAnsi="仿宋" w:eastAsia="仿宋"/>
          <w:color w:val="auto"/>
          <w:highlight w:val="none"/>
          <w:lang w:eastAsia="zh-CN"/>
        </w:rPr>
        <w:t>排污情况：</w:t>
      </w:r>
    </w:p>
    <w:p w14:paraId="4718FAEC">
      <w:pPr>
        <w:spacing w:before="120" w:after="120" w:line="360" w:lineRule="auto"/>
        <w:ind w:firstLine="480" w:firstLineChars="20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eastAsia="zh-CN"/>
        </w:rPr>
        <w:t>1）施工临时供电:</w:t>
      </w:r>
    </w:p>
    <w:p w14:paraId="3DD7B200">
      <w:pPr>
        <w:spacing w:before="120" w:after="120" w:line="360" w:lineRule="auto"/>
        <w:ind w:firstLine="480" w:firstLineChars="200"/>
        <w:rPr>
          <w:rFonts w:hint="eastAsia" w:ascii="宋体" w:hAnsi="宋体"/>
          <w:bCs/>
          <w:color w:val="auto"/>
          <w:szCs w:val="21"/>
          <w:highlight w:val="none"/>
          <w:lang w:eastAsia="zh-CN"/>
        </w:rPr>
      </w:pPr>
      <w:r>
        <w:rPr>
          <w:rFonts w:hint="eastAsia" w:ascii="仿宋" w:hAnsi="仿宋" w:eastAsia="仿宋"/>
          <w:color w:val="auto"/>
          <w:highlight w:val="none"/>
          <w:lang w:eastAsia="zh-CN"/>
        </w:rPr>
        <w:t>若</w:t>
      </w:r>
      <w:r>
        <w:rPr>
          <w:rFonts w:ascii="仿宋" w:hAnsi="仿宋" w:eastAsia="仿宋"/>
          <w:color w:val="auto"/>
          <w:highlight w:val="none"/>
          <w:lang w:eastAsia="zh-CN"/>
        </w:rPr>
        <w:t>前期临电暂未开通前承包人须自备发电机供电</w:t>
      </w:r>
      <w:r>
        <w:rPr>
          <w:rFonts w:hint="eastAsia" w:ascii="仿宋" w:hAnsi="仿宋" w:eastAsia="仿宋"/>
          <w:color w:val="auto"/>
          <w:highlight w:val="none"/>
          <w:lang w:eastAsia="zh-CN"/>
        </w:rPr>
        <w:t>或自行协调采取其他接电方案</w:t>
      </w:r>
      <w:r>
        <w:rPr>
          <w:rFonts w:ascii="仿宋" w:hAnsi="仿宋" w:eastAsia="仿宋"/>
          <w:color w:val="auto"/>
          <w:highlight w:val="none"/>
          <w:lang w:eastAsia="zh-CN"/>
        </w:rPr>
        <w:t>，有关费用已包含在合同价款内。由承包人负责临电设备（高压室及箱式变、高压电缆走廊等）的日常管理，负责电费缴交及收取其他单位电费（若总表与各分表读数出现偏差则按各分表读数按比例折算），对场内原有电缆进行保护的费用在总报价中综合考虑。</w:t>
      </w:r>
    </w:p>
    <w:p w14:paraId="2E88176B">
      <w:pPr>
        <w:spacing w:before="120" w:after="120" w:line="360" w:lineRule="auto"/>
        <w:ind w:firstLine="480" w:firstLineChars="20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eastAsia="zh-CN"/>
        </w:rPr>
        <w:t>2）施工临时供水：</w:t>
      </w:r>
    </w:p>
    <w:p w14:paraId="05C378B8">
      <w:pPr>
        <w:spacing w:before="120" w:after="120" w:line="360" w:lineRule="auto"/>
        <w:ind w:firstLine="48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为满足施工临水及保证工地用水，承包人需考虑在施工现场设置储水池，确保用水高峰期有水用。后期办理完成市政临水，由承包人负责管理，对外缴交水费。如在进场施工初期，发包人不能提供临水时或提供的临水不能满足现场施工需要，则需承包人自行解决用水问题。相关费用由投标人在投标报价中综合考虑。由承包人负责给水设施的日常管理，负责水费缴交及收取其他单位水费（若总表与各分表读数出现偏差则按各分表读数按比例折算），由此产生的费用承包人在总报价中综合考虑。</w:t>
      </w:r>
    </w:p>
    <w:p w14:paraId="225CF935">
      <w:pPr>
        <w:spacing w:before="120" w:after="120" w:line="360" w:lineRule="auto"/>
        <w:ind w:firstLine="480" w:firstLineChars="200"/>
        <w:rPr>
          <w:rFonts w:hint="eastAsia" w:ascii="宋体" w:hAnsi="宋体"/>
          <w:color w:val="auto"/>
          <w:szCs w:val="21"/>
          <w:highlight w:val="none"/>
          <w:lang w:eastAsia="zh-CN"/>
        </w:rPr>
      </w:pPr>
      <w:r>
        <w:rPr>
          <w:rFonts w:hint="eastAsia" w:ascii="仿宋" w:hAnsi="仿宋" w:eastAsia="仿宋" w:cs="仿宋"/>
          <w:color w:val="auto"/>
          <w:highlight w:val="none"/>
          <w:lang w:eastAsia="zh-CN"/>
        </w:rPr>
        <w:t>3）水电费管理及缴纳由承包人负责，直至备案移交物业管理单位。</w:t>
      </w:r>
    </w:p>
    <w:p w14:paraId="551DAAF8">
      <w:pPr>
        <w:pStyle w:val="3"/>
        <w:tabs>
          <w:tab w:val="left" w:pos="420"/>
        </w:tabs>
        <w:spacing w:line="360" w:lineRule="auto"/>
        <w:ind w:firstLine="105"/>
        <w:rPr>
          <w:rFonts w:hint="eastAsia"/>
          <w:i w:val="0"/>
          <w:iCs w:val="0"/>
          <w:color w:val="auto"/>
          <w:highlight w:val="none"/>
          <w:lang w:eastAsia="zh-CN"/>
        </w:rPr>
      </w:pPr>
      <w:bookmarkStart w:id="1736" w:name="_Toc677"/>
      <w:bookmarkStart w:id="1737" w:name="_Toc26097"/>
      <w:bookmarkStart w:id="1738" w:name="_Toc30436"/>
      <w:bookmarkStart w:id="1739" w:name="_Toc32288"/>
      <w:bookmarkStart w:id="1740" w:name="_Toc7722"/>
      <w:bookmarkStart w:id="1741" w:name="_Toc31513"/>
      <w:bookmarkStart w:id="1742" w:name="_Toc47694425"/>
      <w:bookmarkStart w:id="1743" w:name="_Toc18394"/>
      <w:r>
        <w:rPr>
          <w:rFonts w:hint="eastAsia" w:ascii="仿宋" w:hAnsi="仿宋" w:eastAsia="仿宋" w:cs="仿宋"/>
          <w:bCs w:val="0"/>
          <w:i w:val="0"/>
          <w:iCs w:val="0"/>
          <w:color w:val="auto"/>
          <w:sz w:val="24"/>
          <w:szCs w:val="24"/>
          <w:highlight w:val="none"/>
          <w:lang w:eastAsia="zh-CN"/>
        </w:rPr>
        <w:t>★</w:t>
      </w:r>
      <w:r>
        <w:rPr>
          <w:rFonts w:hint="eastAsia" w:ascii="仿宋" w:hAnsi="仿宋" w:eastAsia="仿宋" w:cs="仿宋"/>
          <w:b w:val="0"/>
          <w:bCs w:val="0"/>
          <w:i w:val="0"/>
          <w:iCs w:val="0"/>
          <w:color w:val="auto"/>
          <w:sz w:val="24"/>
          <w:szCs w:val="24"/>
          <w:highlight w:val="none"/>
          <w:lang w:eastAsia="zh-CN"/>
        </w:rPr>
        <w:t>60.  隐蔽工程和中间验收</w:t>
      </w:r>
      <w:bookmarkEnd w:id="1736"/>
      <w:bookmarkEnd w:id="1737"/>
      <w:bookmarkEnd w:id="1738"/>
      <w:bookmarkEnd w:id="1739"/>
      <w:bookmarkEnd w:id="1740"/>
      <w:bookmarkEnd w:id="1741"/>
      <w:bookmarkEnd w:id="1742"/>
      <w:bookmarkEnd w:id="1743"/>
    </w:p>
    <w:p w14:paraId="13787084">
      <w:pPr>
        <w:spacing w:line="360" w:lineRule="auto"/>
        <w:ind w:left="137" w:leftChars="57"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60.1 隐蔽工程或中间验收的通知</w:t>
      </w:r>
    </w:p>
    <w:p w14:paraId="776CC6D2">
      <w:pPr>
        <w:spacing w:line="360" w:lineRule="auto"/>
        <w:ind w:left="137" w:leftChars="57"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隐蔽工程或中间验收部位未经专业监理工程师验收合格，不得隐蔽或继续施工，否则该部分工程被视为不合格，由此所产生的返工费用由承包人承担。</w:t>
      </w:r>
    </w:p>
    <w:p w14:paraId="37212A50">
      <w:pPr>
        <w:tabs>
          <w:tab w:val="left" w:pos="720"/>
        </w:tabs>
        <w:spacing w:line="360" w:lineRule="auto"/>
        <w:ind w:firstLine="48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中间验收的部位有：</w:t>
      </w:r>
      <w:r>
        <w:rPr>
          <w:rFonts w:hint="eastAsia" w:ascii="仿宋" w:hAnsi="仿宋" w:eastAsia="仿宋" w:cs="仿宋"/>
          <w:color w:val="auto"/>
          <w:highlight w:val="none"/>
          <w:u w:val="single"/>
          <w:lang w:eastAsia="zh-CN"/>
        </w:rPr>
        <w:t>本项目中间验收的部位及程序按照国家、省、市现行标准执行。</w:t>
      </w:r>
    </w:p>
    <w:p w14:paraId="06234088">
      <w:pPr>
        <w:spacing w:line="360" w:lineRule="auto"/>
        <w:ind w:firstLine="480" w:firstLineChars="200"/>
        <w:rPr>
          <w:rFonts w:ascii="仿宋" w:hAnsi="仿宋" w:eastAsia="仿宋"/>
          <w:color w:val="auto"/>
          <w:highlight w:val="none"/>
          <w:lang w:eastAsia="zh-CN"/>
        </w:rPr>
      </w:pPr>
      <w:bookmarkStart w:id="1744" w:name="_Toc450206814"/>
      <w:bookmarkStart w:id="1745" w:name="_Toc437441265"/>
      <w:bookmarkStart w:id="1746" w:name="_Toc472695199"/>
      <w:bookmarkStart w:id="1747" w:name="_Toc445392638"/>
      <w:r>
        <w:rPr>
          <w:rFonts w:hint="eastAsia" w:ascii="仿宋" w:hAnsi="仿宋" w:eastAsia="仿宋"/>
          <w:color w:val="auto"/>
          <w:highlight w:val="none"/>
          <w:lang w:eastAsia="zh-CN"/>
        </w:rPr>
        <w:t>6</w:t>
      </w:r>
      <w:r>
        <w:rPr>
          <w:rFonts w:ascii="仿宋" w:hAnsi="仿宋" w:eastAsia="仿宋"/>
          <w:color w:val="auto"/>
          <w:highlight w:val="none"/>
          <w:lang w:eastAsia="zh-CN"/>
        </w:rPr>
        <w:t>1.3 补充条款：</w:t>
      </w:r>
      <w:bookmarkEnd w:id="1744"/>
      <w:bookmarkEnd w:id="1745"/>
      <w:bookmarkEnd w:id="1746"/>
      <w:bookmarkEnd w:id="1747"/>
    </w:p>
    <w:p w14:paraId="6802FB14">
      <w:pPr>
        <w:spacing w:line="360" w:lineRule="auto"/>
        <w:ind w:firstLine="480" w:firstLineChars="200"/>
        <w:rPr>
          <w:rFonts w:ascii="仿宋" w:hAnsi="仿宋" w:eastAsia="仿宋"/>
          <w:color w:val="auto"/>
          <w:spacing w:val="-4"/>
          <w:highlight w:val="none"/>
          <w:lang w:eastAsia="zh-CN"/>
        </w:rPr>
      </w:pPr>
      <w:r>
        <w:rPr>
          <w:rFonts w:ascii="仿宋" w:hAnsi="仿宋" w:eastAsia="仿宋"/>
          <w:color w:val="auto"/>
          <w:highlight w:val="none"/>
          <w:lang w:eastAsia="zh-CN"/>
        </w:rPr>
        <w:t>（1</w:t>
      </w:r>
      <w:r>
        <w:rPr>
          <w:rFonts w:ascii="仿宋" w:hAnsi="仿宋" w:eastAsia="仿宋"/>
          <w:color w:val="auto"/>
          <w:spacing w:val="-4"/>
          <w:highlight w:val="none"/>
          <w:lang w:eastAsia="zh-CN"/>
        </w:rPr>
        <w:t>）</w:t>
      </w:r>
      <w:r>
        <w:rPr>
          <w:rFonts w:ascii="仿宋" w:hAnsi="仿宋" w:eastAsia="仿宋"/>
          <w:color w:val="auto"/>
          <w:highlight w:val="none"/>
          <w:lang w:eastAsia="zh-CN"/>
        </w:rPr>
        <w:t>本工程采用的主要材料</w:t>
      </w:r>
      <w:r>
        <w:rPr>
          <w:rFonts w:ascii="仿宋" w:hAnsi="仿宋" w:eastAsia="仿宋"/>
          <w:color w:val="auto"/>
          <w:spacing w:val="-4"/>
          <w:highlight w:val="none"/>
          <w:lang w:eastAsia="zh-CN"/>
        </w:rPr>
        <w:t>、半成品、成品、建筑配件、器具和设备应进行现场验收。凡涉及安全、功能的有关产品，应按各专业工程质量验收规范及国家和省、市建设行政管理部门规定进行专项检测，检测结果合格并经监理工程师检查认可才能使用。</w:t>
      </w:r>
    </w:p>
    <w:p w14:paraId="698DA3B4">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2）做好自检和工序交接检查，符合质量要求后方能进行下一工序的施工。工程质量的验收均应在承包人自行检查评定、确认符合合同约定质量要求的基础上进行，如果监理工程师发现承包人所报项目不符合合同约定质量要求，承包人须无条件返工或修补直至达到合同约定质量要求为止，如这一部分工程产生永久缺陷，发包人保留索赔的权利。</w:t>
      </w:r>
    </w:p>
    <w:p w14:paraId="19596542">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（3）相关各专业工种之间，应进行交接检验，并形成记录。未经监理工程师检查认可，不得进行下一道工序施工。</w:t>
      </w:r>
    </w:p>
    <w:p w14:paraId="1452254F">
      <w:pPr>
        <w:spacing w:line="360" w:lineRule="auto"/>
        <w:ind w:right="11" w:firstLine="480" w:firstLineChars="200"/>
        <w:rPr>
          <w:rFonts w:ascii="仿宋" w:hAnsi="仿宋" w:eastAsia="仿宋"/>
          <w:color w:val="auto"/>
          <w:highlight w:val="none"/>
          <w:lang w:eastAsia="zh-CN"/>
        </w:rPr>
      </w:pPr>
      <w:r>
        <w:rPr>
          <w:rFonts w:ascii="仿宋" w:hAnsi="仿宋" w:eastAsia="仿宋"/>
          <w:color w:val="auto"/>
          <w:highlight w:val="none"/>
          <w:lang w:eastAsia="zh-CN"/>
        </w:rPr>
        <w:t>（4）</w:t>
      </w:r>
      <w:r>
        <w:rPr>
          <w:rFonts w:hint="eastAsia" w:ascii="仿宋" w:hAnsi="仿宋" w:eastAsia="仿宋" w:cs="宋体"/>
          <w:snapToGrid w:val="0"/>
          <w:color w:val="auto"/>
          <w:highlight w:val="none"/>
          <w:u w:val="single"/>
          <w:lang w:eastAsia="zh-CN"/>
        </w:rPr>
        <w:t>承包人不得委托专业分包或劳务分包管理人员代为验收，监理工程师发现可不承认其完成自检，并可拒绝验收，</w:t>
      </w:r>
      <w:r>
        <w:rPr>
          <w:rFonts w:hint="eastAsia" w:ascii="仿宋" w:hAnsi="仿宋" w:eastAsia="仿宋"/>
          <w:color w:val="auto"/>
          <w:highlight w:val="none"/>
          <w:u w:val="single"/>
          <w:lang w:eastAsia="zh-CN"/>
        </w:rPr>
        <w:t>由此增加的费用和（或）延误的工期由承包人承担。</w:t>
      </w:r>
    </w:p>
    <w:p w14:paraId="7C941463">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5</w:t>
      </w:r>
      <w:r>
        <w:rPr>
          <w:rFonts w:ascii="仿宋" w:hAnsi="仿宋" w:eastAsia="仿宋"/>
          <w:color w:val="auto"/>
          <w:highlight w:val="none"/>
          <w:lang w:eastAsia="zh-CN"/>
        </w:rPr>
        <w:t>）承包人应按规定及时向监理工程师提供有关工程质量保证资料（包括材料合格证，试验、试压、测试报告等）。</w:t>
      </w:r>
    </w:p>
    <w:p w14:paraId="07734297">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6</w:t>
      </w:r>
      <w:r>
        <w:rPr>
          <w:rFonts w:ascii="仿宋" w:hAnsi="仿宋" w:eastAsia="仿宋"/>
          <w:color w:val="auto"/>
          <w:highlight w:val="none"/>
          <w:lang w:eastAsia="zh-CN"/>
        </w:rPr>
        <w:t>）承包人委托进行主要材料、半成品、成品、建筑配件、器具、设备和合同约定由承包人负责检测的，其检测单位应具有相应资质并报经监理工程师审查认可。</w:t>
      </w:r>
    </w:p>
    <w:p w14:paraId="11A347CF">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7</w:t>
      </w:r>
      <w:r>
        <w:rPr>
          <w:rFonts w:ascii="仿宋" w:hAnsi="仿宋" w:eastAsia="仿宋"/>
          <w:color w:val="auto"/>
          <w:highlight w:val="none"/>
          <w:lang w:eastAsia="zh-CN"/>
        </w:rPr>
        <w:t>）进场施工材料、设备的检测及其费用的承担按广州市城乡建设委员会相关文件规定执行；对于监理工程师额外要求的检测项目，若检验合格，其费用由发包人承担，所产生的工期延误予以顺延；若检验不合格，有关费用和责任全部由承包人承担，工期不予顺延。</w:t>
      </w:r>
    </w:p>
    <w:p w14:paraId="4E9EC05A">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8</w:t>
      </w:r>
      <w:r>
        <w:rPr>
          <w:rFonts w:ascii="仿宋" w:hAnsi="仿宋" w:eastAsia="仿宋"/>
          <w:color w:val="auto"/>
          <w:highlight w:val="none"/>
          <w:lang w:eastAsia="zh-CN"/>
        </w:rPr>
        <w:t>）当监理工程师发现工程上存在重大质量问题时，应以书面形式通知承包人，承包人须在通知规定的时间内采取有效措施纠正，否则发包人有权停止拨付工程进度款、责令停工直至解除合同。由此造成的工期延误不予顺延，对发包人造成的实际损失由承包人赔偿。若承包人未在发包人规定时间内补救、抢修，则发包人可以另行委托其他单位进行抢修，抢修费用由承包人承担。</w:t>
      </w:r>
    </w:p>
    <w:p w14:paraId="4AA97A41">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9</w:t>
      </w:r>
      <w:r>
        <w:rPr>
          <w:rFonts w:ascii="仿宋" w:hAnsi="仿宋" w:eastAsia="仿宋"/>
          <w:color w:val="auto"/>
          <w:highlight w:val="none"/>
          <w:lang w:eastAsia="zh-CN"/>
        </w:rPr>
        <w:t>）发包人对承包人的材料、设备、半成品等质量存在怀疑时，将委托有资质的产品质量监督检验机构进行现场抽样检验，检验结果为最终结果。当发包人的检验结论为不合格时，检验费用由承包人承担。</w:t>
      </w:r>
    </w:p>
    <w:p w14:paraId="268AF6CA">
      <w:pPr>
        <w:pStyle w:val="3"/>
        <w:tabs>
          <w:tab w:val="left" w:pos="420"/>
        </w:tabs>
        <w:spacing w:line="360" w:lineRule="auto"/>
        <w:ind w:firstLine="105"/>
        <w:rPr>
          <w:rFonts w:hint="eastAsia" w:ascii="仿宋" w:hAnsi="仿宋" w:eastAsia="仿宋"/>
          <w:b w:val="0"/>
          <w:bCs w:val="0"/>
          <w:i w:val="0"/>
          <w:iCs w:val="0"/>
          <w:color w:val="auto"/>
          <w:sz w:val="24"/>
          <w:szCs w:val="24"/>
          <w:highlight w:val="none"/>
          <w:lang w:eastAsia="zh-CN"/>
        </w:rPr>
      </w:pPr>
      <w:bookmarkStart w:id="1748" w:name="_Toc32093"/>
      <w:bookmarkStart w:id="1749" w:name="_Toc9322"/>
      <w:bookmarkStart w:id="1750" w:name="_Toc8629"/>
      <w:bookmarkStart w:id="1751" w:name="_Toc22891"/>
      <w:bookmarkStart w:id="1752" w:name="_Toc6591"/>
      <w:bookmarkStart w:id="1753" w:name="_Toc47694426"/>
      <w:bookmarkStart w:id="1754" w:name="_Toc7085"/>
      <w:bookmarkStart w:id="1755" w:name="_Toc18840"/>
      <w:r>
        <w:rPr>
          <w:rFonts w:hint="eastAsia" w:ascii="仿宋" w:hAnsi="仿宋" w:eastAsia="仿宋" w:cs="仿宋"/>
          <w:b w:val="0"/>
          <w:bCs w:val="0"/>
          <w:i w:val="0"/>
          <w:iCs w:val="0"/>
          <w:color w:val="auto"/>
          <w:sz w:val="24"/>
          <w:szCs w:val="24"/>
          <w:highlight w:val="none"/>
          <w:lang w:eastAsia="zh-CN"/>
        </w:rPr>
        <w:t>62.  工程试车</w:t>
      </w:r>
      <w:bookmarkEnd w:id="1748"/>
      <w:bookmarkEnd w:id="1749"/>
      <w:bookmarkEnd w:id="1750"/>
      <w:bookmarkEnd w:id="1751"/>
      <w:bookmarkEnd w:id="1752"/>
      <w:bookmarkEnd w:id="1753"/>
      <w:bookmarkEnd w:id="1754"/>
      <w:bookmarkEnd w:id="1755"/>
    </w:p>
    <w:p w14:paraId="57DE2F29">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62.1 试车内容</w:t>
      </w:r>
    </w:p>
    <w:p w14:paraId="5D8CA492">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☑不需要试车的，本条不适用。</w:t>
      </w:r>
    </w:p>
    <w:p w14:paraId="24EC05C2">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 需要试车的，试车的内容和要求：</w:t>
      </w:r>
      <w:r>
        <w:rPr>
          <w:rFonts w:hint="eastAsia" w:ascii="仿宋" w:hAnsi="仿宋" w:eastAsia="仿宋" w:cs="仿宋"/>
          <w:color w:val="auto"/>
          <w:highlight w:val="none"/>
          <w:u w:val="single"/>
          <w:lang w:eastAsia="zh-CN"/>
        </w:rPr>
        <w:t xml:space="preserve">      /                </w:t>
      </w:r>
    </w:p>
    <w:p w14:paraId="41499C37">
      <w:pPr>
        <w:pStyle w:val="3"/>
        <w:tabs>
          <w:tab w:val="left" w:pos="420"/>
        </w:tabs>
        <w:spacing w:line="360" w:lineRule="auto"/>
        <w:ind w:firstLine="105"/>
        <w:rPr>
          <w:rFonts w:hint="eastAsia" w:ascii="仿宋" w:hAnsi="仿宋" w:eastAsia="仿宋"/>
          <w:b w:val="0"/>
          <w:bCs w:val="0"/>
          <w:i w:val="0"/>
          <w:iCs w:val="0"/>
          <w:color w:val="auto"/>
          <w:sz w:val="24"/>
          <w:szCs w:val="24"/>
          <w:highlight w:val="none"/>
          <w:lang w:eastAsia="zh-CN"/>
        </w:rPr>
      </w:pPr>
      <w:bookmarkStart w:id="1756" w:name="_Toc29500"/>
      <w:bookmarkStart w:id="1757" w:name="_Toc11091"/>
      <w:bookmarkStart w:id="1758" w:name="_Toc4442"/>
      <w:bookmarkStart w:id="1759" w:name="_Toc17524"/>
      <w:bookmarkStart w:id="1760" w:name="_Toc31097"/>
      <w:bookmarkStart w:id="1761" w:name="_Toc47694427"/>
      <w:bookmarkStart w:id="1762" w:name="_Toc6065"/>
      <w:bookmarkStart w:id="1763" w:name="_Toc2893"/>
      <w:r>
        <w:rPr>
          <w:rFonts w:hint="eastAsia" w:ascii="仿宋" w:hAnsi="仿宋" w:eastAsia="仿宋" w:cs="仿宋"/>
          <w:b w:val="0"/>
          <w:bCs w:val="0"/>
          <w:i w:val="0"/>
          <w:iCs w:val="0"/>
          <w:color w:val="auto"/>
          <w:sz w:val="24"/>
          <w:szCs w:val="24"/>
          <w:highlight w:val="none"/>
          <w:lang w:eastAsia="zh-CN"/>
        </w:rPr>
        <w:t>★63.  工程变更</w:t>
      </w:r>
      <w:bookmarkEnd w:id="1756"/>
      <w:bookmarkEnd w:id="1757"/>
      <w:bookmarkEnd w:id="1758"/>
      <w:bookmarkEnd w:id="1759"/>
      <w:bookmarkEnd w:id="1760"/>
      <w:bookmarkEnd w:id="1761"/>
      <w:bookmarkEnd w:id="1762"/>
      <w:bookmarkEnd w:id="1763"/>
    </w:p>
    <w:p w14:paraId="4F0D9773">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1764" w:name="_Toc287"/>
      <w:r>
        <w:rPr>
          <w:rFonts w:hint="eastAsia" w:ascii="仿宋" w:hAnsi="仿宋" w:eastAsia="仿宋" w:cs="仿宋"/>
          <w:color w:val="auto"/>
          <w:highlight w:val="none"/>
          <w:lang w:eastAsia="zh-CN"/>
        </w:rPr>
        <w:t>63.4 承包人提出工程变更建议</w:t>
      </w:r>
      <w:bookmarkEnd w:id="1764"/>
    </w:p>
    <w:p w14:paraId="4B4A40BD">
      <w:pPr>
        <w:spacing w:line="360" w:lineRule="auto"/>
        <w:ind w:firstLine="120" w:firstLineChars="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发包人采纳承包人建议带来利益的计奖方法：</w:t>
      </w:r>
      <w:r>
        <w:rPr>
          <w:rFonts w:ascii="仿宋" w:hAnsi="仿宋" w:eastAsia="仿宋"/>
          <w:color w:val="auto"/>
          <w:highlight w:val="none"/>
          <w:u w:val="single"/>
          <w:lang w:eastAsia="zh-CN"/>
        </w:rPr>
        <w:t>发包人采纳承包人建议带来利益归发包人所有。</w:t>
      </w:r>
    </w:p>
    <w:p w14:paraId="5D198CB8">
      <w:pPr>
        <w:spacing w:line="360" w:lineRule="auto"/>
        <w:ind w:firstLine="240" w:firstLineChars="100"/>
        <w:rPr>
          <w:rFonts w:ascii="仿宋" w:hAnsi="仿宋" w:eastAsia="仿宋"/>
          <w:color w:val="auto"/>
          <w:highlight w:val="none"/>
          <w:lang w:eastAsia="zh-CN"/>
        </w:rPr>
      </w:pPr>
      <w:bookmarkStart w:id="1765" w:name="_Toc450206818"/>
      <w:bookmarkStart w:id="1766" w:name="_Toc445392642"/>
      <w:bookmarkStart w:id="1767" w:name="_Toc437441269"/>
      <w:bookmarkStart w:id="1768" w:name="_Toc472695203"/>
      <w:r>
        <w:rPr>
          <w:rFonts w:hint="eastAsia" w:ascii="仿宋" w:hAnsi="仿宋" w:eastAsia="仿宋" w:cs="仿宋"/>
          <w:color w:val="auto"/>
          <w:highlight w:val="none"/>
          <w:lang w:eastAsia="zh-CN"/>
        </w:rPr>
        <w:t>63.5 承包人提出工程变更建议</w:t>
      </w:r>
    </w:p>
    <w:p w14:paraId="0A220FA0">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双方协商一致，63.5款增加以下约定：</w:t>
      </w:r>
    </w:p>
    <w:p w14:paraId="5FAE5843">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以下工程变更由承包人自行承担变更增加费用，工期也不予顺延：</w:t>
      </w:r>
    </w:p>
    <w:p w14:paraId="40557A79">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（1）因承包人自身的设计、采购、施工、概预算编制质量、竣工试验、竣工后试验存在的缺陷，由承包人自费修正、调整和完善等问题所导致的变更，</w:t>
      </w:r>
      <w:r>
        <w:rPr>
          <w:rFonts w:ascii="仿宋" w:hAnsi="仿宋" w:eastAsia="仿宋"/>
          <w:color w:val="auto"/>
          <w:highlight w:val="none"/>
          <w:u w:val="single"/>
          <w:lang w:eastAsia="zh-CN"/>
        </w:rPr>
        <w:t>如费用增加的结算时不予增加费用，费用减少的，结算时按实结算</w:t>
      </w:r>
      <w:r>
        <w:rPr>
          <w:rFonts w:hint="eastAsia" w:ascii="仿宋" w:hAnsi="仿宋" w:eastAsia="仿宋"/>
          <w:color w:val="auto"/>
          <w:highlight w:val="none"/>
          <w:u w:val="single"/>
          <w:lang w:eastAsia="zh-CN"/>
        </w:rPr>
        <w:t>，其他设计变更指令，按合同约定的变更结算原则计算</w:t>
      </w:r>
      <w:r>
        <w:rPr>
          <w:rFonts w:ascii="仿宋" w:hAnsi="仿宋" w:eastAsia="仿宋"/>
          <w:color w:val="auto"/>
          <w:highlight w:val="none"/>
          <w:u w:val="single"/>
          <w:lang w:eastAsia="zh-CN"/>
        </w:rPr>
        <w:t>。</w:t>
      </w:r>
    </w:p>
    <w:p w14:paraId="48B069EC">
      <w:pPr>
        <w:spacing w:line="360" w:lineRule="auto"/>
        <w:ind w:firstLine="566" w:firstLineChars="236"/>
        <w:rPr>
          <w:rFonts w:ascii="仿宋" w:hAnsi="仿宋" w:eastAsia="仿宋"/>
          <w:color w:val="auto"/>
          <w:highlight w:val="none"/>
          <w:u w:val="single"/>
          <w:lang w:eastAsia="zh-CN"/>
        </w:rPr>
      </w:pPr>
      <w:r>
        <w:rPr>
          <w:rFonts w:ascii="仿宋" w:hAnsi="仿宋" w:eastAsia="仿宋"/>
          <w:color w:val="auto"/>
          <w:highlight w:val="none"/>
          <w:u w:val="single"/>
          <w:lang w:eastAsia="zh-CN"/>
        </w:rPr>
        <w:t>（2）设计质量造成的工程变更，包括</w:t>
      </w:r>
      <w:r>
        <w:rPr>
          <w:rFonts w:hint="eastAsia" w:ascii="仿宋" w:hAnsi="仿宋" w:eastAsia="仿宋"/>
          <w:color w:val="auto"/>
          <w:highlight w:val="none"/>
          <w:u w:val="single"/>
          <w:lang w:eastAsia="zh-CN"/>
        </w:rPr>
        <w:t>但不限于</w:t>
      </w:r>
      <w:r>
        <w:rPr>
          <w:rFonts w:ascii="仿宋" w:hAnsi="仿宋" w:eastAsia="仿宋"/>
          <w:color w:val="auto"/>
          <w:highlight w:val="none"/>
          <w:u w:val="single"/>
          <w:lang w:eastAsia="zh-CN"/>
        </w:rPr>
        <w:t>设计成果不完善、设计图纸不准确、设计文件有错误、设计图纸不详细等；</w:t>
      </w:r>
    </w:p>
    <w:p w14:paraId="2C135B1A">
      <w:pPr>
        <w:spacing w:line="360" w:lineRule="auto"/>
        <w:ind w:firstLine="566" w:firstLineChars="236"/>
        <w:rPr>
          <w:rFonts w:ascii="仿宋" w:hAnsi="仿宋" w:eastAsia="仿宋"/>
          <w:color w:val="auto"/>
          <w:highlight w:val="none"/>
          <w:u w:val="single"/>
          <w:lang w:eastAsia="zh-CN"/>
        </w:rPr>
      </w:pPr>
      <w:r>
        <w:rPr>
          <w:rFonts w:ascii="仿宋" w:hAnsi="仿宋" w:eastAsia="仿宋"/>
          <w:color w:val="auto"/>
          <w:highlight w:val="none"/>
          <w:u w:val="single"/>
          <w:lang w:eastAsia="zh-CN"/>
        </w:rPr>
        <w:t>（3）</w:t>
      </w:r>
      <w:r>
        <w:rPr>
          <w:rFonts w:hint="eastAsia" w:ascii="仿宋" w:hAnsi="仿宋" w:eastAsia="仿宋"/>
          <w:color w:val="auto"/>
          <w:highlight w:val="none"/>
          <w:u w:val="single"/>
          <w:lang w:eastAsia="zh-CN"/>
        </w:rPr>
        <w:t>概</w:t>
      </w:r>
      <w:r>
        <w:rPr>
          <w:rFonts w:ascii="仿宋" w:hAnsi="仿宋" w:eastAsia="仿宋"/>
          <w:color w:val="auto"/>
          <w:highlight w:val="none"/>
          <w:u w:val="single"/>
          <w:lang w:eastAsia="zh-CN"/>
        </w:rPr>
        <w:t>预算编制质量，包括</w:t>
      </w:r>
      <w:r>
        <w:rPr>
          <w:rFonts w:hint="eastAsia" w:ascii="仿宋" w:hAnsi="仿宋" w:eastAsia="仿宋"/>
          <w:color w:val="auto"/>
          <w:highlight w:val="none"/>
          <w:u w:val="single"/>
          <w:lang w:eastAsia="zh-CN"/>
        </w:rPr>
        <w:t>但不限于概</w:t>
      </w:r>
      <w:r>
        <w:rPr>
          <w:rFonts w:ascii="仿宋" w:hAnsi="仿宋" w:eastAsia="仿宋"/>
          <w:color w:val="auto"/>
          <w:highlight w:val="none"/>
          <w:u w:val="single"/>
          <w:lang w:eastAsia="zh-CN"/>
        </w:rPr>
        <w:t>预算综合单价、人工工日、机械台班及主材价格偏低，施工方案及施工措施不合理等情况。</w:t>
      </w:r>
    </w:p>
    <w:p w14:paraId="164ADC31">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u w:val="single"/>
          <w:lang w:eastAsia="zh-CN"/>
        </w:rPr>
        <w:t>上述变更，如费用增加，发包人不另行增加费用；费用减少，结算时按实结算。</w:t>
      </w:r>
    </w:p>
    <w:p w14:paraId="11C6D303">
      <w:pPr>
        <w:pStyle w:val="42"/>
        <w:spacing w:after="0"/>
        <w:ind w:firstLine="360" w:firstLineChars="150"/>
        <w:rPr>
          <w:rFonts w:ascii="仿宋" w:hAnsi="仿宋" w:eastAsia="仿宋"/>
          <w:color w:val="auto"/>
          <w:sz w:val="24"/>
          <w:highlight w:val="none"/>
        </w:rPr>
      </w:pPr>
      <w:r>
        <w:rPr>
          <w:rFonts w:hint="eastAsia" w:ascii="仿宋" w:hAnsi="仿宋" w:eastAsia="仿宋"/>
          <w:color w:val="auto"/>
          <w:sz w:val="24"/>
          <w:highlight w:val="none"/>
        </w:rPr>
        <w:t>63</w:t>
      </w:r>
      <w:r>
        <w:rPr>
          <w:rFonts w:ascii="仿宋" w:hAnsi="仿宋" w:eastAsia="仿宋"/>
          <w:color w:val="auto"/>
          <w:sz w:val="24"/>
          <w:highlight w:val="none"/>
        </w:rPr>
        <w:t>.6 补充条款:工程变更的确认</w:t>
      </w:r>
      <w:bookmarkEnd w:id="1765"/>
      <w:bookmarkEnd w:id="1766"/>
      <w:bookmarkEnd w:id="1767"/>
      <w:bookmarkEnd w:id="1768"/>
    </w:p>
    <w:p w14:paraId="4033C823">
      <w:pPr>
        <w:spacing w:line="360" w:lineRule="auto"/>
        <w:ind w:firstLine="360" w:firstLineChars="150"/>
        <w:rPr>
          <w:rFonts w:hint="eastAsia" w:ascii="仿宋" w:hAnsi="仿宋" w:eastAsia="仿宋"/>
          <w:color w:val="auto"/>
          <w:highlight w:val="none"/>
          <w:u w:val="single"/>
          <w:lang w:eastAsia="zh-CN"/>
        </w:rPr>
      </w:pPr>
      <w:r>
        <w:rPr>
          <w:rFonts w:hint="eastAsia" w:ascii="仿宋" w:hAnsi="仿宋" w:eastAsia="仿宋"/>
          <w:color w:val="auto"/>
          <w:highlight w:val="none"/>
          <w:lang w:eastAsia="zh-CN"/>
        </w:rPr>
        <w:t>63.6.1 所有的设计变更及现场签证都需经过事前审批方可实施。</w:t>
      </w:r>
    </w:p>
    <w:p w14:paraId="02E46BAA">
      <w:pPr>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olor w:val="auto"/>
          <w:highlight w:val="none"/>
          <w:lang w:eastAsia="zh-CN"/>
        </w:rPr>
        <w:t>63.6.2 设计变更文件必须盖有设计单位的出图章和发包人代表签字并盖公章；</w:t>
      </w:r>
    </w:p>
    <w:p w14:paraId="319A5062">
      <w:pPr>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olor w:val="auto"/>
          <w:highlight w:val="none"/>
          <w:lang w:eastAsia="zh-CN"/>
        </w:rPr>
        <w:t>63.6.3 发包人书面通知变更的指令性文件应有发包人代表签字并盖有公章；</w:t>
      </w:r>
    </w:p>
    <w:p w14:paraId="23499CE9">
      <w:pPr>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olor w:val="auto"/>
          <w:highlight w:val="none"/>
          <w:lang w:eastAsia="zh-CN"/>
        </w:rPr>
        <w:t>63.6.4 施工变更文件必须由承包人项目经理签字和加盖项目部印章、监理单位总监代表以上监理人员出具审核意见和签字，并加盖监理单位印章以及发包人现场代表签字并加盖发包人公章；施工变更文件涉及合同价款调整或工期变动时，必须随变更报告附变更工程价款或工期计算书，除履行上述手续外，还需经总监理工程师和发包人的有关审核人签字并盖公章。</w:t>
      </w:r>
    </w:p>
    <w:p w14:paraId="60554AE7">
      <w:pPr>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olor w:val="auto"/>
          <w:highlight w:val="none"/>
          <w:lang w:eastAsia="zh-CN"/>
        </w:rPr>
        <w:t>63.6.5 设计变更文件（或指令）涉及合同价款和工期调整时，承包人接到设计变更（或指令）有效文件后在14天内申报涉及变更的工程价款和工期调整报告，否则应视作变更不涉及价款和工期增加。</w:t>
      </w:r>
    </w:p>
    <w:p w14:paraId="31E45FFA">
      <w:pPr>
        <w:spacing w:line="360" w:lineRule="auto"/>
        <w:ind w:firstLine="360" w:firstLineChars="150"/>
        <w:rPr>
          <w:rFonts w:ascii="仿宋" w:hAnsi="仿宋" w:eastAsia="仿宋"/>
          <w:color w:val="auto"/>
          <w:highlight w:val="none"/>
          <w:u w:val="single"/>
          <w:lang w:eastAsia="zh-CN"/>
        </w:rPr>
      </w:pPr>
      <w:r>
        <w:rPr>
          <w:rFonts w:hint="eastAsia" w:ascii="仿宋" w:hAnsi="仿宋" w:eastAsia="仿宋"/>
          <w:color w:val="auto"/>
          <w:highlight w:val="none"/>
          <w:lang w:eastAsia="zh-CN"/>
        </w:rPr>
        <w:t xml:space="preserve">63.6.6 </w:t>
      </w:r>
      <w:r>
        <w:rPr>
          <w:rFonts w:hint="eastAsia" w:ascii="仿宋" w:hAnsi="仿宋" w:eastAsia="仿宋"/>
          <w:color w:val="auto"/>
          <w:highlight w:val="none"/>
          <w:u w:val="single"/>
          <w:lang w:eastAsia="zh-CN"/>
        </w:rPr>
        <w:t>发包人有增减项目的权力，减少的项目，发包人不予补偿。</w:t>
      </w:r>
      <w:r>
        <w:rPr>
          <w:rFonts w:ascii="仿宋" w:hAnsi="仿宋" w:eastAsia="仿宋"/>
          <w:color w:val="auto"/>
          <w:highlight w:val="none"/>
          <w:u w:val="single"/>
          <w:lang w:eastAsia="zh-CN"/>
        </w:rPr>
        <w:t>所有的工程变更必须以发包人、监理单位的书面意见为实施依据，严格执行发包人制定的工程变更管理办法，否则所增加的工程造价发包人有权不予承认。</w:t>
      </w:r>
    </w:p>
    <w:p w14:paraId="2C7CA3EA">
      <w:pPr>
        <w:spacing w:line="360" w:lineRule="auto"/>
        <w:ind w:firstLine="360" w:firstLineChars="150"/>
        <w:rPr>
          <w:rFonts w:ascii="仿宋" w:hAnsi="仿宋" w:eastAsia="仿宋"/>
          <w:color w:val="auto"/>
          <w:highlight w:val="none"/>
          <w:lang w:eastAsia="zh-CN"/>
        </w:rPr>
      </w:pPr>
      <w:r>
        <w:rPr>
          <w:rFonts w:hint="eastAsia" w:ascii="仿宋" w:hAnsi="仿宋" w:eastAsia="仿宋"/>
          <w:color w:val="auto"/>
          <w:highlight w:val="none"/>
          <w:lang w:eastAsia="zh-CN"/>
        </w:rPr>
        <w:t>63.6.7 承包人应根据完成施工图审查备案后的施工图设计进行施工，如果施工过程中出现的由于施工图文件的错、漏、碰等原因造成的需进行设计更改（包括专项工程设计更改）以及为了完善相关工程施工组织文件内容、设计规范、验收规范等而进行的设计调整或增补，承包人应自行承担由此导致的工程费用的增加；导致减少的工程费用则按完善变更程序后进行费用核减。如发包人或批准设计后新实施的规范要求的原因导致的设计变更，发包人承担因相应设计变更导致的工程费用增加。</w:t>
      </w:r>
    </w:p>
    <w:p w14:paraId="413654C4">
      <w:pPr>
        <w:spacing w:line="360" w:lineRule="auto"/>
        <w:ind w:firstLine="360" w:firstLineChars="150"/>
        <w:rPr>
          <w:rFonts w:ascii="仿宋" w:hAnsi="仿宋" w:eastAsia="仿宋"/>
          <w:color w:val="auto"/>
          <w:highlight w:val="none"/>
          <w:lang w:eastAsia="zh-CN"/>
        </w:rPr>
      </w:pPr>
      <w:r>
        <w:rPr>
          <w:rFonts w:hint="eastAsia" w:ascii="仿宋" w:hAnsi="仿宋" w:eastAsia="仿宋"/>
          <w:color w:val="auto"/>
          <w:highlight w:val="none"/>
          <w:lang w:eastAsia="zh-CN"/>
        </w:rPr>
        <w:t>63.6.8 在施工中如发包人需对经完成施工图审查备案的设计文件进行变更，应提前14天以书面形式向承包人发出变更通知。承包人应对相应变更编制预算，用以成本控制，若由发包人提出的变更导致施工费超出经有权审核部门审定的工程概算相应金额，承包人应及时优化设计。</w:t>
      </w:r>
    </w:p>
    <w:p w14:paraId="29EE198D">
      <w:pPr>
        <w:spacing w:line="360" w:lineRule="auto"/>
        <w:ind w:firstLine="360" w:firstLineChars="150"/>
        <w:rPr>
          <w:rFonts w:ascii="仿宋" w:hAnsi="仿宋" w:eastAsia="仿宋"/>
          <w:color w:val="auto"/>
          <w:highlight w:val="none"/>
          <w:lang w:eastAsia="zh-CN"/>
        </w:rPr>
      </w:pPr>
      <w:r>
        <w:rPr>
          <w:rFonts w:hint="eastAsia" w:ascii="仿宋" w:hAnsi="仿宋" w:eastAsia="仿宋"/>
          <w:color w:val="auto"/>
          <w:highlight w:val="none"/>
          <w:lang w:eastAsia="zh-CN"/>
        </w:rPr>
        <w:t>63.6.9 施工中承包人不得擅自对发包人已评审确认的施工设计图纸进行变更。因承包人擅自变更设计发生的费用和由此导致发包人的直接损失，由承包人承担，延误的工期不予顺延。</w:t>
      </w:r>
    </w:p>
    <w:p w14:paraId="406054E7">
      <w:pPr>
        <w:spacing w:line="360" w:lineRule="auto"/>
        <w:ind w:firstLine="360" w:firstLineChars="150"/>
        <w:rPr>
          <w:rFonts w:ascii="仿宋" w:hAnsi="仿宋" w:eastAsia="仿宋"/>
          <w:color w:val="auto"/>
          <w:highlight w:val="none"/>
          <w:lang w:eastAsia="zh-CN"/>
        </w:rPr>
      </w:pPr>
      <w:r>
        <w:rPr>
          <w:rFonts w:hint="eastAsia" w:ascii="仿宋" w:hAnsi="仿宋" w:eastAsia="仿宋"/>
          <w:color w:val="auto"/>
          <w:highlight w:val="none"/>
          <w:lang w:eastAsia="zh-CN"/>
        </w:rPr>
        <w:t>63.6.10 承包人在施工中提出的合理化建议涉及到对设计图纸或施工组织设计的更改及对材料、设备的换用，须经总监理工程师及发包人同意。未经同意擅自更改或换用时，承包人承担由此发生的费用，并赔偿发包人的有关损失，延误的工期不予顺延。</w:t>
      </w:r>
    </w:p>
    <w:p w14:paraId="2109FB2E">
      <w:pPr>
        <w:spacing w:line="360" w:lineRule="auto"/>
        <w:ind w:firstLine="360" w:firstLineChars="150"/>
        <w:rPr>
          <w:rFonts w:ascii="仿宋" w:hAnsi="仿宋" w:eastAsia="仿宋"/>
          <w:color w:val="auto"/>
          <w:highlight w:val="none"/>
          <w:lang w:eastAsia="zh-CN"/>
        </w:rPr>
      </w:pPr>
      <w:r>
        <w:rPr>
          <w:rFonts w:hint="eastAsia" w:ascii="仿宋" w:hAnsi="仿宋" w:eastAsia="仿宋"/>
          <w:color w:val="auto"/>
          <w:highlight w:val="none"/>
          <w:lang w:eastAsia="zh-CN"/>
        </w:rPr>
        <w:t>63.6.11 承包人对自身的设计、采购、施工、工程质量存在的缺陷，应自费修正、调整和完善，不属于变更。</w:t>
      </w:r>
    </w:p>
    <w:p w14:paraId="4BB78D72">
      <w:pPr>
        <w:spacing w:line="360" w:lineRule="auto"/>
        <w:ind w:firstLine="360" w:firstLineChars="150"/>
        <w:rPr>
          <w:rFonts w:ascii="仿宋" w:hAnsi="仿宋" w:eastAsia="仿宋"/>
          <w:color w:val="auto"/>
          <w:highlight w:val="none"/>
          <w:lang w:eastAsia="zh-CN"/>
        </w:rPr>
      </w:pPr>
      <w:r>
        <w:rPr>
          <w:rFonts w:hint="eastAsia" w:ascii="仿宋" w:hAnsi="仿宋" w:eastAsia="仿宋"/>
          <w:color w:val="auto"/>
          <w:highlight w:val="none"/>
          <w:lang w:eastAsia="zh-CN"/>
        </w:rPr>
        <w:t>因本项目为勘察设计施工总承包项目，若因承包人设计工作原因导致发生缺项、漏项等工程责任事件，则即使相应的图纸、造价文件等已经过监理及发包人的审核，发包人仍有权要求承包人按经合同主体各方确认的工程使用要求（设计要求）进行修改、完善，相应费用已包含在本合同价款中，发包人不再另行计量支付。</w:t>
      </w:r>
    </w:p>
    <w:p w14:paraId="3200A7A8">
      <w:pPr>
        <w:pStyle w:val="3"/>
        <w:tabs>
          <w:tab w:val="left" w:pos="420"/>
        </w:tabs>
        <w:spacing w:line="360" w:lineRule="auto"/>
        <w:ind w:firstLine="105"/>
        <w:rPr>
          <w:rFonts w:ascii="仿宋" w:hAnsi="仿宋" w:eastAsia="仿宋"/>
          <w:b w:val="0"/>
          <w:bCs w:val="0"/>
          <w:i w:val="0"/>
          <w:iCs w:val="0"/>
          <w:color w:val="auto"/>
          <w:sz w:val="24"/>
          <w:szCs w:val="24"/>
          <w:highlight w:val="none"/>
          <w:lang w:eastAsia="zh-CN"/>
        </w:rPr>
      </w:pPr>
      <w:bookmarkStart w:id="1769" w:name="_Toc31440"/>
      <w:bookmarkStart w:id="1770" w:name="_Toc22495"/>
      <w:bookmarkStart w:id="1771" w:name="_Toc23970"/>
      <w:bookmarkStart w:id="1772" w:name="_Toc27422"/>
      <w:bookmarkStart w:id="1773" w:name="_Toc12584"/>
      <w:bookmarkStart w:id="1774" w:name="_Toc25016"/>
      <w:bookmarkStart w:id="1775" w:name="_Toc14162"/>
      <w:r>
        <w:rPr>
          <w:rFonts w:hint="eastAsia" w:ascii="仿宋" w:hAnsi="仿宋" w:eastAsia="仿宋" w:cs="仿宋"/>
          <w:b w:val="0"/>
          <w:bCs w:val="0"/>
          <w:i w:val="0"/>
          <w:iCs w:val="0"/>
          <w:color w:val="auto"/>
          <w:sz w:val="24"/>
          <w:szCs w:val="24"/>
          <w:highlight w:val="none"/>
          <w:lang w:eastAsia="zh-CN"/>
        </w:rPr>
        <w:t>64.  竣工验收条件</w:t>
      </w:r>
      <w:bookmarkEnd w:id="1769"/>
      <w:bookmarkEnd w:id="1770"/>
      <w:bookmarkEnd w:id="1771"/>
      <w:bookmarkEnd w:id="1772"/>
      <w:bookmarkEnd w:id="1773"/>
      <w:bookmarkEnd w:id="1774"/>
      <w:bookmarkEnd w:id="1775"/>
    </w:p>
    <w:p w14:paraId="0548FA14">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64.1 竣工验收条件</w:t>
      </w:r>
    </w:p>
    <w:p w14:paraId="57C02FF7">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（6）竣工资料应当符合基本建设项目档案管理的要求：</w:t>
      </w:r>
    </w:p>
    <w:p w14:paraId="2559C375">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国家档案局、国家计委关于印发《基本建设项目档案资料管理暂行规定》的通知（国档发［1988］4号）；</w:t>
      </w:r>
    </w:p>
    <w:p w14:paraId="2931C2D9">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广东省档案局实施《基本建设项目档案资料管理暂行规定》细则；</w:t>
      </w:r>
    </w:p>
    <w:p w14:paraId="4BAD33AB">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其它约定：</w:t>
      </w:r>
      <w:r>
        <w:rPr>
          <w:rFonts w:hint="eastAsia" w:ascii="仿宋" w:hAnsi="仿宋" w:eastAsia="仿宋" w:cs="仿宋"/>
          <w:color w:val="auto"/>
          <w:highlight w:val="none"/>
          <w:u w:val="single"/>
          <w:lang w:eastAsia="zh-CN"/>
        </w:rPr>
        <w:t>广州市城建档案部门相关规定。</w:t>
      </w:r>
    </w:p>
    <w:p w14:paraId="345FB636">
      <w:pPr>
        <w:pStyle w:val="3"/>
        <w:tabs>
          <w:tab w:val="left" w:pos="420"/>
        </w:tabs>
        <w:spacing w:line="360" w:lineRule="auto"/>
        <w:ind w:firstLine="105"/>
        <w:rPr>
          <w:rFonts w:hint="eastAsia"/>
          <w:i w:val="0"/>
          <w:iCs w:val="0"/>
          <w:color w:val="auto"/>
          <w:highlight w:val="none"/>
          <w:lang w:eastAsia="zh-CN"/>
        </w:rPr>
      </w:pPr>
      <w:bookmarkStart w:id="1776" w:name="_Toc25360"/>
      <w:bookmarkStart w:id="1777" w:name="_Toc1553"/>
      <w:bookmarkStart w:id="1778" w:name="_Toc18628"/>
      <w:bookmarkStart w:id="1779" w:name="_Toc28834"/>
      <w:bookmarkStart w:id="1780" w:name="_Toc15301"/>
      <w:bookmarkStart w:id="1781" w:name="_Toc5896"/>
      <w:bookmarkStart w:id="1782" w:name="_Toc3102"/>
      <w:bookmarkStart w:id="1783" w:name="_Toc47694428"/>
      <w:r>
        <w:rPr>
          <w:rFonts w:hint="eastAsia" w:ascii="仿宋" w:hAnsi="仿宋" w:eastAsia="仿宋" w:cs="仿宋"/>
          <w:b w:val="0"/>
          <w:bCs w:val="0"/>
          <w:i w:val="0"/>
          <w:iCs w:val="0"/>
          <w:color w:val="auto"/>
          <w:sz w:val="24"/>
          <w:szCs w:val="24"/>
          <w:highlight w:val="none"/>
          <w:lang w:eastAsia="zh-CN"/>
        </w:rPr>
        <w:t>★65.  竣工验收</w:t>
      </w:r>
    </w:p>
    <w:p w14:paraId="7915CE82">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 xml:space="preserve"> 65.1 竣工验收标准</w:t>
      </w:r>
    </w:p>
    <w:p w14:paraId="27459397">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65.1</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交付时间</w:t>
      </w:r>
    </w:p>
    <w:p w14:paraId="0B9407C5">
      <w:pPr>
        <w:spacing w:line="360" w:lineRule="auto"/>
        <w:ind w:firstLine="420"/>
        <w:rPr>
          <w:rFonts w:ascii="仿宋" w:hAnsi="仿宋" w:eastAsia="仿宋" w:cs="仿宋"/>
          <w:color w:val="auto"/>
          <w:highlight w:val="none"/>
          <w:lang w:eastAsia="zh-CN"/>
        </w:rPr>
      </w:pPr>
      <w:r>
        <w:rPr>
          <w:rFonts w:hint="eastAsia" w:ascii="仿宋" w:hAnsi="仿宋" w:eastAsia="仿宋" w:cs="仿宋"/>
          <w:color w:val="auto"/>
          <w:highlight w:val="none"/>
          <w:lang w:eastAsia="zh-CN"/>
        </w:rPr>
        <w:t>须在合同工期期满后15天内交付。</w:t>
      </w:r>
    </w:p>
    <w:p w14:paraId="1A99446E">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65.</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2交付验收标准</w:t>
      </w:r>
    </w:p>
    <w:p w14:paraId="3D150292">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合同工程竣工验收标准：</w:t>
      </w:r>
      <w:r>
        <w:rPr>
          <w:rFonts w:ascii="仿宋" w:hAnsi="仿宋" w:eastAsia="仿宋"/>
          <w:color w:val="auto"/>
          <w:highlight w:val="none"/>
          <w:u w:val="single"/>
          <w:lang w:eastAsia="zh-CN"/>
        </w:rPr>
        <w:t>按照国家、行业和广东省</w:t>
      </w:r>
      <w:r>
        <w:rPr>
          <w:rFonts w:hint="eastAsia" w:ascii="仿宋" w:hAnsi="仿宋" w:eastAsia="仿宋"/>
          <w:color w:val="auto"/>
          <w:highlight w:val="none"/>
          <w:u w:val="single"/>
          <w:lang w:eastAsia="zh-CN"/>
        </w:rPr>
        <w:t>、广州市</w:t>
      </w:r>
      <w:r>
        <w:rPr>
          <w:rFonts w:ascii="仿宋" w:hAnsi="仿宋" w:eastAsia="仿宋"/>
          <w:color w:val="auto"/>
          <w:highlight w:val="none"/>
          <w:u w:val="single"/>
          <w:lang w:eastAsia="zh-CN"/>
        </w:rPr>
        <w:t>有关规定执行。</w:t>
      </w:r>
    </w:p>
    <w:p w14:paraId="4D18D15B">
      <w:pPr>
        <w:numPr>
          <w:ilvl w:val="0"/>
          <w:numId w:val="0"/>
        </w:numPr>
        <w:spacing w:line="360" w:lineRule="auto"/>
        <w:ind w:left="480" w:leftChars="0"/>
        <w:rPr>
          <w:rFonts w:ascii="仿宋" w:hAnsi="仿宋" w:eastAsia="仿宋"/>
          <w:color w:val="auto"/>
          <w:highlight w:val="none"/>
          <w:u w:val="single"/>
          <w:lang w:eastAsia="zh-CN"/>
        </w:rPr>
      </w:pPr>
      <w:r>
        <w:rPr>
          <w:rFonts w:ascii="仿宋" w:hAnsi="仿宋" w:eastAsia="仿宋" w:cs="Times New Roman"/>
          <w:color w:val="auto"/>
          <w:sz w:val="24"/>
          <w:szCs w:val="24"/>
          <w:highlight w:val="none"/>
          <w:lang w:val="en-US" w:eastAsia="zh-CN" w:bidi="en-US"/>
        </w:rPr>
        <w:t>（1）</w:t>
      </w:r>
      <w:r>
        <w:rPr>
          <w:rFonts w:hint="eastAsia" w:ascii="仿宋" w:hAnsi="仿宋" w:eastAsia="仿宋" w:cs="仿宋"/>
          <w:color w:val="auto"/>
          <w:highlight w:val="none"/>
          <w:lang w:eastAsia="zh-CN"/>
        </w:rPr>
        <w:t>本工程约定的房屋接收标准见附件十六《房屋质量交付验收标准》约定及</w:t>
      </w:r>
      <w:r>
        <w:rPr>
          <w:rFonts w:ascii="仿宋" w:hAnsi="仿宋" w:eastAsia="仿宋"/>
          <w:color w:val="auto"/>
          <w:highlight w:val="none"/>
          <w:u w:val="single"/>
          <w:lang w:eastAsia="zh-CN"/>
        </w:rPr>
        <w:t>国家、行业和广东省</w:t>
      </w:r>
      <w:r>
        <w:rPr>
          <w:rFonts w:hint="eastAsia" w:ascii="仿宋" w:hAnsi="仿宋" w:eastAsia="仿宋"/>
          <w:color w:val="auto"/>
          <w:highlight w:val="none"/>
          <w:u w:val="single"/>
          <w:lang w:eastAsia="zh-CN"/>
        </w:rPr>
        <w:t>、广州市</w:t>
      </w:r>
      <w:r>
        <w:rPr>
          <w:rFonts w:ascii="仿宋" w:hAnsi="仿宋" w:eastAsia="仿宋"/>
          <w:color w:val="auto"/>
          <w:highlight w:val="none"/>
          <w:u w:val="single"/>
          <w:lang w:eastAsia="zh-CN"/>
        </w:rPr>
        <w:t>有关规定执行。</w:t>
      </w:r>
    </w:p>
    <w:p w14:paraId="73C78BBC">
      <w:pPr>
        <w:numPr>
          <w:ilvl w:val="0"/>
          <w:numId w:val="0"/>
        </w:numPr>
        <w:spacing w:line="360" w:lineRule="auto"/>
        <w:ind w:left="480" w:leftChars="0"/>
        <w:rPr>
          <w:rFonts w:hint="eastAsia" w:ascii="仿宋" w:hAnsi="仿宋" w:eastAsia="仿宋"/>
          <w:color w:val="auto"/>
          <w:highlight w:val="none"/>
          <w:u w:val="single"/>
          <w:lang w:eastAsia="zh-CN"/>
        </w:rPr>
      </w:pPr>
      <w:r>
        <w:rPr>
          <w:rFonts w:hint="eastAsia" w:ascii="仿宋" w:hAnsi="仿宋" w:eastAsia="仿宋" w:cs="Times New Roman"/>
          <w:color w:val="auto"/>
          <w:sz w:val="24"/>
          <w:szCs w:val="24"/>
          <w:highlight w:val="none"/>
          <w:lang w:val="en-US" w:eastAsia="zh-CN" w:bidi="en-US"/>
        </w:rPr>
        <w:t>（2）</w:t>
      </w:r>
      <w:r>
        <w:rPr>
          <w:rFonts w:hint="eastAsia" w:ascii="仿宋" w:hAnsi="仿宋" w:eastAsia="仿宋"/>
          <w:color w:val="auto"/>
          <w:highlight w:val="none"/>
          <w:u w:val="single"/>
          <w:lang w:eastAsia="zh-CN"/>
        </w:rPr>
        <w:t>工程具备竣工验收条件，乙方按国家工程竣工验收有关规定，提前 15 日向监理提供完整竣工资料、竣工验收报告及工程质量保修书。监理认为符合验收条件后组织甲方及相关单位初步验收,对每栋、每单元、每套房间进行验收，不合格处必须整改并达到复验合格标准。</w:t>
      </w:r>
    </w:p>
    <w:p w14:paraId="2D26C72D">
      <w:pPr>
        <w:numPr>
          <w:ilvl w:val="0"/>
          <w:numId w:val="0"/>
        </w:numPr>
        <w:spacing w:line="360" w:lineRule="auto"/>
        <w:ind w:left="480" w:leftChars="0"/>
        <w:rPr>
          <w:rFonts w:hint="eastAsia" w:ascii="仿宋" w:hAnsi="仿宋" w:eastAsia="仿宋"/>
          <w:color w:val="auto"/>
          <w:highlight w:val="none"/>
          <w:u w:val="single"/>
          <w:lang w:eastAsia="zh-CN"/>
        </w:rPr>
      </w:pPr>
      <w:r>
        <w:rPr>
          <w:rFonts w:hint="eastAsia" w:ascii="仿宋" w:hAnsi="仿宋" w:eastAsia="仿宋" w:cs="Times New Roman"/>
          <w:color w:val="auto"/>
          <w:sz w:val="24"/>
          <w:szCs w:val="24"/>
          <w:highlight w:val="none"/>
          <w:lang w:val="en-US" w:eastAsia="zh-CN" w:bidi="en-US"/>
        </w:rPr>
        <w:t>（3）</w:t>
      </w:r>
      <w:r>
        <w:rPr>
          <w:rFonts w:hint="eastAsia" w:ascii="仿宋" w:hAnsi="仿宋" w:eastAsia="仿宋"/>
          <w:color w:val="auto"/>
          <w:highlight w:val="none"/>
          <w:u w:val="single"/>
          <w:lang w:eastAsia="zh-CN"/>
        </w:rPr>
        <w:t>合同约定的单位工程竣工必须符合以下条件:</w:t>
      </w:r>
    </w:p>
    <w:p w14:paraId="3798FBE4">
      <w:pPr>
        <w:numPr>
          <w:ilvl w:val="0"/>
          <w:numId w:val="26"/>
        </w:numPr>
        <w:spacing w:line="360" w:lineRule="auto"/>
        <w:ind w:left="480" w:firstLine="419"/>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工程项目全部按设计和合同约定施工完毕，现场必须正式通水、正式通电、正式通气、正式通信及信号覆盖、电梯，排水、三网及有线电视接通，相关手续必须完备;</w:t>
      </w:r>
    </w:p>
    <w:p w14:paraId="401A2B19">
      <w:pPr>
        <w:numPr>
          <w:ilvl w:val="0"/>
          <w:numId w:val="26"/>
        </w:numPr>
        <w:spacing w:line="360" w:lineRule="auto"/>
        <w:ind w:left="480" w:firstLine="419"/>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项目交付前甲方组织的各项检查和功能检验完毕，对检查中提出的质量问题已全部整改完成,并移交物业公司，项管单位签署的物业移交单:</w:t>
      </w:r>
    </w:p>
    <w:p w14:paraId="0A05B42C">
      <w:pPr>
        <w:numPr>
          <w:ilvl w:val="0"/>
          <w:numId w:val="26"/>
        </w:numPr>
        <w:spacing w:line="360" w:lineRule="auto"/>
        <w:ind w:left="480" w:firstLine="419"/>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按合同要求及档案验收标准的竣工资料(技术资料、质保资料、施工资料、质量验收资料、竣工图等)已经装订成册，经监理及有关部门核定签字认可,数量齐全。乙方向甲方提交六套有效竣工档案资料;</w:t>
      </w:r>
    </w:p>
    <w:p w14:paraId="151AD14F">
      <w:pPr>
        <w:numPr>
          <w:ilvl w:val="0"/>
          <w:numId w:val="26"/>
        </w:numPr>
        <w:spacing w:line="360" w:lineRule="auto"/>
        <w:ind w:left="480" w:firstLine="419"/>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经单位工程竣工质量验收合格，已签订项目工程质量保修书。</w:t>
      </w:r>
    </w:p>
    <w:p w14:paraId="7CC3319C">
      <w:pPr>
        <w:numPr>
          <w:ilvl w:val="0"/>
          <w:numId w:val="0"/>
        </w:numPr>
        <w:spacing w:line="360" w:lineRule="auto"/>
        <w:ind w:left="480" w:leftChars="0"/>
        <w:rPr>
          <w:rFonts w:hint="eastAsia" w:ascii="仿宋" w:hAnsi="仿宋" w:eastAsia="仿宋"/>
          <w:color w:val="auto"/>
          <w:highlight w:val="none"/>
          <w:u w:val="single"/>
          <w:lang w:eastAsia="zh-CN"/>
        </w:rPr>
      </w:pPr>
      <w:r>
        <w:rPr>
          <w:rFonts w:hint="eastAsia" w:ascii="仿宋" w:hAnsi="仿宋" w:eastAsia="仿宋" w:cs="Times New Roman"/>
          <w:color w:val="auto"/>
          <w:sz w:val="24"/>
          <w:szCs w:val="24"/>
          <w:highlight w:val="none"/>
          <w:lang w:val="en-US" w:eastAsia="zh-CN" w:bidi="en-US"/>
        </w:rPr>
        <w:t>（4）</w:t>
      </w:r>
      <w:r>
        <w:rPr>
          <w:rFonts w:hint="eastAsia" w:ascii="仿宋" w:hAnsi="仿宋" w:eastAsia="仿宋"/>
          <w:color w:val="auto"/>
          <w:highlight w:val="none"/>
          <w:u w:val="single"/>
          <w:lang w:eastAsia="zh-CN"/>
        </w:rPr>
        <w:t>单位工程竣工质量验收:待土建、设备安装等工程全部完工后，乙方提交工程竣工报告，甲方组织总监理工程师进行工程竣工预验收，甲方组织预验收后七天以内，给予批准或提出修改意见。如初次验收未通过，乙方应按各验收单位所提整改意见整改并承担整改费用，完成后再次申报，直至工程质量达到所有的设计要求和技术规范、标准的规定。</w:t>
      </w:r>
    </w:p>
    <w:p w14:paraId="57B254A4">
      <w:pPr>
        <w:numPr>
          <w:ilvl w:val="0"/>
          <w:numId w:val="0"/>
        </w:numPr>
        <w:spacing w:line="360" w:lineRule="auto"/>
        <w:ind w:left="480" w:leftChars="0"/>
        <w:rPr>
          <w:rFonts w:ascii="仿宋" w:hAnsi="仿宋" w:eastAsia="仿宋"/>
          <w:color w:val="auto"/>
          <w:highlight w:val="none"/>
          <w:u w:val="single"/>
          <w:lang w:eastAsia="zh-CN"/>
        </w:rPr>
      </w:pPr>
      <w:r>
        <w:rPr>
          <w:rFonts w:ascii="仿宋" w:hAnsi="仿宋" w:eastAsia="仿宋" w:cs="Times New Roman"/>
          <w:color w:val="auto"/>
          <w:sz w:val="24"/>
          <w:szCs w:val="24"/>
          <w:highlight w:val="none"/>
          <w:lang w:val="en-US" w:eastAsia="zh-CN" w:bidi="en-US"/>
        </w:rPr>
        <w:t>（5）</w:t>
      </w:r>
      <w:r>
        <w:rPr>
          <w:rFonts w:hint="eastAsia" w:ascii="仿宋" w:hAnsi="仿宋" w:eastAsia="仿宋"/>
          <w:color w:val="auto"/>
          <w:highlight w:val="none"/>
          <w:u w:val="single"/>
          <w:lang w:eastAsia="zh-CN"/>
        </w:rPr>
        <w:t>单位工程交付验收:甲方召集的验收部门和技术验收组验收认为符合本合同约定的质量标准，并且通过政府相关部门验收(消防工程、电梯安装和配电设备工程的相关配合备案要求的资料由甲方协助提供)，乙方即进行全面的清理工作,包括清洁本工程的所有部位,完成清洁工作以后,将工程移交给甲方，并签署“项目交付验收记录表”，该工程移交之日期也即为本工程约定的工程保修期开始即正式竣工。</w:t>
      </w:r>
    </w:p>
    <w:p w14:paraId="2E9E85EA">
      <w:pPr>
        <w:numPr>
          <w:ilvl w:val="0"/>
          <w:numId w:val="0"/>
        </w:numPr>
        <w:spacing w:line="360" w:lineRule="auto"/>
        <w:ind w:left="480" w:leftChars="0"/>
        <w:rPr>
          <w:rFonts w:hint="eastAsia" w:ascii="仿宋" w:hAnsi="仿宋" w:eastAsia="仿宋"/>
          <w:color w:val="auto"/>
          <w:highlight w:val="none"/>
          <w:u w:val="single"/>
          <w:lang w:eastAsia="zh-CN"/>
        </w:rPr>
      </w:pPr>
      <w:r>
        <w:rPr>
          <w:rFonts w:hint="eastAsia" w:ascii="仿宋" w:hAnsi="仿宋" w:eastAsia="仿宋" w:cs="Times New Roman"/>
          <w:color w:val="auto"/>
          <w:sz w:val="24"/>
          <w:szCs w:val="24"/>
          <w:highlight w:val="none"/>
          <w:lang w:val="en-US" w:eastAsia="zh-CN" w:bidi="en-US"/>
        </w:rPr>
        <w:t>（6）</w:t>
      </w:r>
      <w:r>
        <w:rPr>
          <w:rFonts w:hint="eastAsia" w:ascii="仿宋" w:hAnsi="仿宋" w:eastAsia="仿宋"/>
          <w:color w:val="auto"/>
          <w:highlight w:val="none"/>
          <w:u w:val="single"/>
          <w:lang w:eastAsia="zh-CN"/>
        </w:rPr>
        <w:t>工程竣工验收之后和物业接管之前,甲方有权多次组织本公司专业人员,及有关单位对工程质量进行 100%全面检查验收，对检查过程中发现的质量问题，乙方必须组织有关单位在限定的期限内整改完毕，达到本合同约定的质量标准，如因乙方原因导致房屋无法交付导致业主索赔或退房等一切损失由乙方负责,并按每户2万元向甲方交付违约金。</w:t>
      </w:r>
    </w:p>
    <w:p w14:paraId="0E034952">
      <w:pPr>
        <w:numPr>
          <w:ilvl w:val="0"/>
          <w:numId w:val="0"/>
        </w:numPr>
        <w:spacing w:line="360" w:lineRule="auto"/>
        <w:ind w:left="480"/>
        <w:rPr>
          <w:rFonts w:ascii="仿宋" w:hAnsi="仿宋" w:eastAsia="仿宋"/>
          <w:color w:val="auto"/>
          <w:highlight w:val="none"/>
          <w:u w:val="single"/>
          <w:lang w:eastAsia="zh-CN"/>
        </w:rPr>
      </w:pPr>
      <w:r>
        <w:rPr>
          <w:rFonts w:ascii="仿宋" w:hAnsi="仿宋" w:eastAsia="仿宋" w:cs="Times New Roman"/>
          <w:color w:val="auto"/>
          <w:sz w:val="24"/>
          <w:szCs w:val="24"/>
          <w:highlight w:val="none"/>
          <w:lang w:val="en-US" w:eastAsia="zh-CN" w:bidi="en-US"/>
        </w:rPr>
        <w:t>（</w:t>
      </w:r>
      <w:r>
        <w:rPr>
          <w:rFonts w:hint="eastAsia" w:ascii="仿宋" w:hAnsi="仿宋" w:eastAsia="仿宋" w:cs="Times New Roman"/>
          <w:color w:val="auto"/>
          <w:sz w:val="24"/>
          <w:szCs w:val="24"/>
          <w:highlight w:val="none"/>
          <w:lang w:val="en-US" w:eastAsia="zh-CN" w:bidi="en-US"/>
        </w:rPr>
        <w:t>7</w:t>
      </w:r>
      <w:r>
        <w:rPr>
          <w:rFonts w:ascii="仿宋" w:hAnsi="仿宋" w:eastAsia="仿宋" w:cs="Times New Roman"/>
          <w:color w:val="auto"/>
          <w:sz w:val="24"/>
          <w:szCs w:val="24"/>
          <w:highlight w:val="none"/>
          <w:lang w:val="en-US" w:eastAsia="zh-CN" w:bidi="en-US"/>
        </w:rPr>
        <w:t>）</w:t>
      </w:r>
      <w:r>
        <w:rPr>
          <w:rFonts w:hint="eastAsia" w:ascii="仿宋" w:hAnsi="仿宋" w:eastAsia="仿宋"/>
          <w:color w:val="auto"/>
          <w:highlight w:val="none"/>
          <w:u w:val="single"/>
          <w:lang w:eastAsia="zh-CN"/>
        </w:rPr>
        <w:t>由于乙方施工质量原因，出现以下质量问题，乙方除按要求进行整改外并承担相应责任，还应向甲方支付违约金。建筑物交付业主投入使用后五年内，屋面、厨房、卫生间、地下室、外墙(含门窗框周围)等地方出现渗漏水，或两年内出现结平板、墙体开裂，每处每次由责任方支付 10000 元违约金，因乙方施工原因引起的结构砼强度达不到设计要求的,除必须整改外,每次每处支付1万元违约金。</w:t>
      </w:r>
      <w:bookmarkEnd w:id="1776"/>
      <w:bookmarkEnd w:id="1777"/>
      <w:bookmarkEnd w:id="1778"/>
      <w:bookmarkEnd w:id="1779"/>
      <w:bookmarkEnd w:id="1780"/>
      <w:bookmarkEnd w:id="1781"/>
      <w:bookmarkEnd w:id="1782"/>
      <w:bookmarkEnd w:id="1783"/>
    </w:p>
    <w:p w14:paraId="03A722A6">
      <w:pPr>
        <w:spacing w:line="360" w:lineRule="auto"/>
        <w:ind w:firstLine="120"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65.</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 xml:space="preserve"> 接收工程</w:t>
      </w:r>
    </w:p>
    <w:p w14:paraId="6DB4456A">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双方协商一致，增加65.2.1、65.2.2款：</w:t>
      </w:r>
    </w:p>
    <w:p w14:paraId="52CA3531">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 xml:space="preserve">65.2.1 </w:t>
      </w:r>
      <w:r>
        <w:rPr>
          <w:rFonts w:ascii="仿宋" w:hAnsi="仿宋" w:eastAsia="仿宋" w:cs="宋体"/>
          <w:snapToGrid w:val="0"/>
          <w:color w:val="auto"/>
          <w:highlight w:val="none"/>
          <w:lang w:eastAsia="zh-CN"/>
        </w:rPr>
        <w:t>承包人应于工程竣工验收合格之日起15天内按要求提供相关资料，整理汇编</w:t>
      </w:r>
      <w:r>
        <w:rPr>
          <w:rFonts w:hint="eastAsia" w:ascii="仿宋" w:hAnsi="仿宋" w:eastAsia="仿宋" w:cs="宋体"/>
          <w:snapToGrid w:val="0"/>
          <w:color w:val="auto"/>
          <w:highlight w:val="none"/>
          <w:lang w:eastAsia="zh-CN"/>
        </w:rPr>
        <w:t>成工程移交手册，协助项目产权管理单位尽快熟悉工程项目各部分（建筑单体、小区市政、周边管线等）、各系统（电梯、消防、空调、供水、供电、弱电等）、市政道路的情况，为项目产权管理单位的接收、使用、维护、管理作准备。移交手册包括但不限于以下内容：</w:t>
      </w:r>
    </w:p>
    <w:p w14:paraId="04E9C101">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1）工程项目各部分、各系统的工程概况；</w:t>
      </w:r>
    </w:p>
    <w:p w14:paraId="06ACB966">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2）工程项目全部的图纸及清单；</w:t>
      </w:r>
    </w:p>
    <w:p w14:paraId="778A2A9F">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3）工程项目的承包人、主要材料设备供货商清单、联系人及电话；</w:t>
      </w:r>
    </w:p>
    <w:p w14:paraId="5AC7D45C">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4）主要材料设备的数量；</w:t>
      </w:r>
    </w:p>
    <w:p w14:paraId="542A3552">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5）工程、材料、设备的保修书（包括保修内容、期限、联系人、电话等）；</w:t>
      </w:r>
    </w:p>
    <w:p w14:paraId="0F6937DB">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6）各系统的设计功能、使用功能或使用说明；</w:t>
      </w:r>
    </w:p>
    <w:p w14:paraId="0ED33CB2">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7）电梯、空调、发电机等主要设备的运行参数。</w:t>
      </w:r>
    </w:p>
    <w:p w14:paraId="5CD89EA7">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 xml:space="preserve">65.2.2 </w:t>
      </w:r>
      <w:r>
        <w:rPr>
          <w:rFonts w:ascii="仿宋" w:hAnsi="仿宋" w:eastAsia="仿宋" w:cs="宋体"/>
          <w:snapToGrid w:val="0"/>
          <w:color w:val="auto"/>
          <w:highlight w:val="none"/>
          <w:lang w:eastAsia="zh-CN"/>
        </w:rPr>
        <w:t>承包人应在进行本条第</w:t>
      </w:r>
      <w:r>
        <w:rPr>
          <w:rFonts w:hint="eastAsia" w:ascii="仿宋" w:hAnsi="仿宋" w:eastAsia="仿宋" w:cs="宋体"/>
          <w:snapToGrid w:val="0"/>
          <w:color w:val="auto"/>
          <w:highlight w:val="none"/>
          <w:lang w:eastAsia="zh-CN"/>
        </w:rPr>
        <w:t>65.6.1</w:t>
      </w:r>
      <w:r>
        <w:rPr>
          <w:rFonts w:ascii="仿宋" w:hAnsi="仿宋" w:eastAsia="仿宋" w:cs="宋体"/>
          <w:snapToGrid w:val="0"/>
          <w:color w:val="auto"/>
          <w:highlight w:val="none"/>
          <w:lang w:eastAsia="zh-CN"/>
        </w:rPr>
        <w:t>款工作的同时编写工程项目移交计划，并于本条第65.</w:t>
      </w:r>
      <w:r>
        <w:rPr>
          <w:rFonts w:hint="eastAsia" w:ascii="仿宋" w:hAnsi="仿宋" w:eastAsia="仿宋" w:cs="宋体"/>
          <w:snapToGrid w:val="0"/>
          <w:color w:val="auto"/>
          <w:highlight w:val="none"/>
          <w:lang w:val="en-US" w:eastAsia="zh-CN"/>
        </w:rPr>
        <w:t>2</w:t>
      </w:r>
      <w:r>
        <w:rPr>
          <w:rFonts w:ascii="仿宋" w:hAnsi="仿宋" w:eastAsia="仿宋" w:cs="宋体"/>
          <w:snapToGrid w:val="0"/>
          <w:color w:val="auto"/>
          <w:highlight w:val="none"/>
          <w:lang w:eastAsia="zh-CN"/>
        </w:rPr>
        <w:t>.1款工作完成之日起3天内组织发包人、承包人、项目产权管理单位按如下程序进行工程项目移交：</w:t>
      </w:r>
    </w:p>
    <w:p w14:paraId="1600BEBB">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1）按移交手册的资料清单移交图纸、资料；</w:t>
      </w:r>
    </w:p>
    <w:p w14:paraId="3D75A297">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2）按移交手册的数量清单清点主要材料设备的数量；</w:t>
      </w:r>
    </w:p>
    <w:p w14:paraId="428E7413">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3）按移交手册的设计、使用功能说明进行必要的功能性试验（或组织各方参加政府指定机构、第三方检测机构进行的功能性试验）；</w:t>
      </w:r>
    </w:p>
    <w:p w14:paraId="04603070">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4）按移交手册的说明进行系统的试运行（或组织各方参加政府指定机构、第三方检测机构进行的功能性试验），测试主要设备的运行参数；</w:t>
      </w:r>
    </w:p>
    <w:p w14:paraId="4431DCA9">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5）组织发包人、承包人、项目产权管理单位各方对上述移交过程进行签认；</w:t>
      </w:r>
    </w:p>
    <w:p w14:paraId="2BBC9ECA">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6）对移交过程中发现的质量问题进行记录并及时组织责任方进行维修，验收合格后重新组织移交；</w:t>
      </w:r>
    </w:p>
    <w:p w14:paraId="588A20DF">
      <w:pPr>
        <w:spacing w:line="360" w:lineRule="auto"/>
        <w:ind w:right="11" w:firstLine="460" w:firstLineChars="192"/>
        <w:rPr>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7）对于某些在操作上有专门要求的机电系统（如消防、智能化等）编制培训计划，并按合同要求对项目产权管理单位人员进行培训。</w:t>
      </w:r>
    </w:p>
    <w:p w14:paraId="0E1CCC5E">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65.3 单项工程和工程部位验收</w:t>
      </w:r>
    </w:p>
    <w:p w14:paraId="64C21E71">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 合同工程无单项工程、无工程部位提前验收的，本款不适用。</w:t>
      </w:r>
    </w:p>
    <w:p w14:paraId="40D6FD46">
      <w:pPr>
        <w:spacing w:line="360" w:lineRule="auto"/>
        <w:ind w:left="634" w:leftChars="114" w:hanging="360" w:hanging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 合同工程单项工程或工程部位需提前验收的，各单项工程或工程部位的名称、竣工验收时间和范围如下：</w:t>
      </w:r>
    </w:p>
    <w:p w14:paraId="07E9EF09">
      <w:pPr>
        <w:spacing w:line="360" w:lineRule="auto"/>
        <w:ind w:left="634" w:leftChars="114" w:hanging="360" w:hangingChars="1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①</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（名称）工程或部位，竣工验收时间为 </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，其范围包括：</w:t>
      </w:r>
      <w:r>
        <w:rPr>
          <w:rFonts w:hint="eastAsia" w:ascii="仿宋" w:hAnsi="仿宋" w:eastAsia="仿宋" w:cs="仿宋"/>
          <w:color w:val="auto"/>
          <w:highlight w:val="none"/>
          <w:u w:val="single"/>
          <w:lang w:eastAsia="zh-CN"/>
        </w:rPr>
        <w:t xml:space="preserve">   /                                 </w:t>
      </w:r>
    </w:p>
    <w:p w14:paraId="72BBDD42">
      <w:pPr>
        <w:spacing w:line="360" w:lineRule="auto"/>
        <w:ind w:left="720" w:hanging="720" w:hanging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②</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（名称）工程或部位，竣工验收时间为  </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，其范围包括：</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w:t>
      </w:r>
    </w:p>
    <w:p w14:paraId="1023EB22">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65.4 施工期运行</w:t>
      </w:r>
    </w:p>
    <w:p w14:paraId="5B693842">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合同工程无单项工程、无工程部位在施工期运行的，本款不适用。</w:t>
      </w:r>
    </w:p>
    <w:p w14:paraId="59B1B964">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合同工程单项工程或工程部位需在施工期运行的，各单项工程或工程部位的名称、运行</w:t>
      </w:r>
    </w:p>
    <w:p w14:paraId="2255416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时间如下：</w:t>
      </w:r>
    </w:p>
    <w:p w14:paraId="5512F797">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①</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（名称）工程或部位，运行时间为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14:paraId="45210F63">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②</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（名称）工程或部位，运行时间为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14:paraId="2D8CD080">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1784" w:name="_Toc18461"/>
      <w:r>
        <w:rPr>
          <w:rFonts w:hint="eastAsia" w:ascii="仿宋" w:hAnsi="仿宋" w:eastAsia="仿宋" w:cs="仿宋"/>
          <w:color w:val="auto"/>
          <w:highlight w:val="none"/>
          <w:lang w:eastAsia="zh-CN"/>
        </w:rPr>
        <w:t>65.5 竣工清场</w:t>
      </w:r>
      <w:bookmarkEnd w:id="1784"/>
    </w:p>
    <w:p w14:paraId="674D304C">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按通用条款约定。</w:t>
      </w:r>
    </w:p>
    <w:p w14:paraId="2894E78C">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另作约定： </w:t>
      </w:r>
    </w:p>
    <w:p w14:paraId="562B1E3F">
      <w:pPr>
        <w:widowControl w:val="0"/>
        <w:spacing w:line="360" w:lineRule="auto"/>
        <w:ind w:firstLine="480" w:firstLineChars="20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u w:val="single"/>
          <w:lang w:eastAsia="zh-CN"/>
        </w:rPr>
        <w:t>除按通用条款约定执行外，还须符合精保洁要求，精保洁次数按发包人要求次数为准，费用由承包人承担。</w:t>
      </w:r>
    </w:p>
    <w:p w14:paraId="37EF2805">
      <w:pPr>
        <w:spacing w:line="360" w:lineRule="auto"/>
        <w:ind w:firstLine="480" w:firstLineChars="200"/>
        <w:rPr>
          <w:rFonts w:ascii="仿宋" w:hAnsi="仿宋" w:eastAsia="仿宋" w:cs="宋体"/>
          <w:snapToGrid w:val="0"/>
          <w:color w:val="auto"/>
          <w:highlight w:val="none"/>
          <w:u w:val="single"/>
          <w:lang w:eastAsia="zh-CN"/>
        </w:rPr>
      </w:pPr>
      <w:r>
        <w:rPr>
          <w:rFonts w:ascii="仿宋" w:hAnsi="仿宋" w:eastAsia="仿宋"/>
          <w:color w:val="auto"/>
          <w:highlight w:val="none"/>
          <w:lang w:eastAsia="zh-CN"/>
        </w:rPr>
        <w:t>（2）</w:t>
      </w:r>
      <w:r>
        <w:rPr>
          <w:rFonts w:hint="eastAsia" w:ascii="仿宋" w:hAnsi="仿宋" w:eastAsia="仿宋" w:cs="宋体"/>
          <w:snapToGrid w:val="0"/>
          <w:color w:val="auto"/>
          <w:highlight w:val="none"/>
          <w:lang w:eastAsia="zh-CN"/>
        </w:rPr>
        <w:t>承包人必须在工程竣工初验之日起30天内或发包人规定的时间内（发包人将提前通知承包人），无条件清退所有施工场地。拒不清退的，</w:t>
      </w:r>
      <w:r>
        <w:rPr>
          <w:rFonts w:hint="eastAsia" w:ascii="仿宋" w:hAnsi="仿宋" w:eastAsia="仿宋" w:cs="宋体"/>
          <w:snapToGrid w:val="0"/>
          <w:color w:val="auto"/>
          <w:highlight w:val="none"/>
          <w:u w:val="single"/>
          <w:lang w:eastAsia="zh-CN"/>
        </w:rPr>
        <w:t>发包人有权要求承包人承担1次较大违约责任处罚，发包人还有权暂停计价支付、工程结算等工作，并由承包人承担由此而产生的一切后果（包括发包人因此而被第三方索赔所产生的损失）。</w:t>
      </w:r>
    </w:p>
    <w:p w14:paraId="6478FA90">
      <w:pPr>
        <w:spacing w:line="360" w:lineRule="auto"/>
        <w:rPr>
          <w:rFonts w:hint="eastAsia" w:ascii="仿宋" w:hAnsi="仿宋" w:eastAsia="仿宋" w:cs="仿宋"/>
          <w:color w:val="auto"/>
          <w:highlight w:val="none"/>
          <w:lang w:eastAsia="zh-CN"/>
        </w:rPr>
      </w:pPr>
      <w:r>
        <w:rPr>
          <w:rFonts w:hint="eastAsia" w:ascii="仿宋" w:hAnsi="仿宋" w:eastAsia="仿宋" w:cs="宋体"/>
          <w:snapToGrid w:val="0"/>
          <w:color w:val="auto"/>
          <w:highlight w:val="none"/>
          <w:u w:val="single"/>
          <w:lang w:eastAsia="zh-CN"/>
        </w:rPr>
        <w:t>对于临时房屋及设施，发包人认为有必要保留的，承包人在清退场地时应无条件保持完好并移交给发包人使用，并不得提出任何费用要求及其他要求。</w:t>
      </w:r>
    </w:p>
    <w:p w14:paraId="68DEDCEF">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65.6施工队伍的撤离</w:t>
      </w:r>
    </w:p>
    <w:p w14:paraId="518BACBB">
      <w:pPr>
        <w:spacing w:line="360" w:lineRule="auto"/>
        <w:ind w:firstLine="120" w:firstLineChars="5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u w:val="single"/>
          <w:lang w:eastAsia="zh-CN"/>
        </w:rPr>
        <w:t>按通用条款约定，承包人的人员和施工设备全部撤离施工现场。</w:t>
      </w:r>
    </w:p>
    <w:p w14:paraId="6DBDE573">
      <w:pPr>
        <w:widowControl w:val="0"/>
        <w:spacing w:line="360" w:lineRule="auto"/>
        <w:ind w:firstLine="480" w:firstLineChars="200"/>
        <w:jc w:val="both"/>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另作约定：</w:t>
      </w:r>
    </w:p>
    <w:p w14:paraId="774C1981">
      <w:pPr>
        <w:pStyle w:val="3"/>
        <w:tabs>
          <w:tab w:val="left" w:pos="420"/>
        </w:tabs>
        <w:spacing w:line="360" w:lineRule="auto"/>
        <w:ind w:firstLine="105"/>
        <w:rPr>
          <w:rFonts w:hint="eastAsia" w:ascii="仿宋" w:hAnsi="仿宋" w:eastAsia="仿宋"/>
          <w:b w:val="0"/>
          <w:bCs w:val="0"/>
          <w:i w:val="0"/>
          <w:iCs w:val="0"/>
          <w:color w:val="auto"/>
          <w:sz w:val="24"/>
          <w:szCs w:val="24"/>
          <w:highlight w:val="none"/>
          <w:lang w:eastAsia="zh-CN"/>
        </w:rPr>
      </w:pPr>
      <w:bookmarkStart w:id="1785" w:name="_Toc47694429"/>
      <w:bookmarkStart w:id="1786" w:name="_Toc4836"/>
      <w:bookmarkStart w:id="1787" w:name="_Toc11647"/>
      <w:bookmarkStart w:id="1788" w:name="_Toc26703"/>
      <w:bookmarkStart w:id="1789" w:name="_Toc28209"/>
      <w:bookmarkStart w:id="1790" w:name="_Toc29583"/>
      <w:bookmarkStart w:id="1791" w:name="_Toc27979"/>
      <w:bookmarkStart w:id="1792" w:name="_Toc2339"/>
      <w:r>
        <w:rPr>
          <w:rFonts w:hint="eastAsia" w:ascii="仿宋" w:hAnsi="仿宋" w:eastAsia="仿宋" w:cs="仿宋"/>
          <w:b w:val="0"/>
          <w:bCs w:val="0"/>
          <w:i w:val="0"/>
          <w:iCs w:val="0"/>
          <w:color w:val="auto"/>
          <w:sz w:val="24"/>
          <w:szCs w:val="24"/>
          <w:highlight w:val="none"/>
          <w:lang w:eastAsia="zh-CN"/>
        </w:rPr>
        <w:t>66.  缺陷责任与质量保修</w:t>
      </w:r>
      <w:bookmarkEnd w:id="1785"/>
      <w:bookmarkEnd w:id="1786"/>
      <w:bookmarkEnd w:id="1787"/>
      <w:bookmarkEnd w:id="1788"/>
      <w:bookmarkEnd w:id="1789"/>
      <w:bookmarkEnd w:id="1790"/>
      <w:bookmarkEnd w:id="1791"/>
      <w:bookmarkEnd w:id="1792"/>
    </w:p>
    <w:p w14:paraId="28DF1C94">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1793" w:name="_Toc23091"/>
      <w:r>
        <w:rPr>
          <w:rFonts w:hint="eastAsia" w:ascii="仿宋" w:hAnsi="仿宋" w:eastAsia="仿宋" w:cs="仿宋"/>
          <w:color w:val="auto"/>
          <w:highlight w:val="none"/>
          <w:lang w:eastAsia="zh-CN"/>
        </w:rPr>
        <w:t xml:space="preserve">  66.1 缺陷责任期计算</w:t>
      </w:r>
      <w:bookmarkEnd w:id="1793"/>
    </w:p>
    <w:p w14:paraId="479179E2">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缺陷责任期：</w:t>
      </w:r>
      <w:r>
        <w:rPr>
          <w:rFonts w:ascii="仿宋" w:hAnsi="仿宋" w:eastAsia="仿宋"/>
          <w:color w:val="auto"/>
          <w:highlight w:val="none"/>
          <w:u w:val="single"/>
          <w:lang w:eastAsia="zh-CN"/>
        </w:rPr>
        <w:t>本工程缺陷责任期自实际竣工且按照合同</w:t>
      </w:r>
      <w:r>
        <w:rPr>
          <w:rFonts w:hint="eastAsia" w:ascii="仿宋" w:hAnsi="仿宋" w:eastAsia="仿宋"/>
          <w:color w:val="auto"/>
          <w:highlight w:val="none"/>
          <w:u w:val="single"/>
          <w:lang w:eastAsia="zh-CN"/>
        </w:rPr>
        <w:t>约定</w:t>
      </w:r>
      <w:r>
        <w:rPr>
          <w:rFonts w:ascii="仿宋" w:hAnsi="仿宋" w:eastAsia="仿宋"/>
          <w:color w:val="auto"/>
          <w:highlight w:val="none"/>
          <w:u w:val="single"/>
          <w:lang w:eastAsia="zh-CN"/>
        </w:rPr>
        <w:t>移交之日起计算，缺陷责任期</w:t>
      </w:r>
      <w:r>
        <w:rPr>
          <w:rFonts w:hint="eastAsia" w:ascii="仿宋" w:hAnsi="仿宋" w:eastAsia="仿宋"/>
          <w:color w:val="auto"/>
          <w:highlight w:val="none"/>
          <w:u w:val="single"/>
          <w:lang w:eastAsia="zh-CN"/>
        </w:rPr>
        <w:t>二</w:t>
      </w:r>
      <w:r>
        <w:rPr>
          <w:rFonts w:ascii="仿宋" w:hAnsi="仿宋" w:eastAsia="仿宋"/>
          <w:color w:val="auto"/>
          <w:highlight w:val="none"/>
          <w:u w:val="single"/>
          <w:lang w:eastAsia="zh-CN"/>
        </w:rPr>
        <w:t>年</w:t>
      </w:r>
      <w:r>
        <w:rPr>
          <w:rFonts w:hint="eastAsia" w:ascii="仿宋" w:hAnsi="仿宋" w:eastAsia="仿宋"/>
          <w:color w:val="auto"/>
          <w:highlight w:val="none"/>
          <w:u w:val="single"/>
          <w:lang w:eastAsia="zh-CN"/>
        </w:rPr>
        <w:t>（</w:t>
      </w:r>
      <w:r>
        <w:rPr>
          <w:rFonts w:hint="eastAsia" w:ascii="仿宋" w:hAnsi="仿宋" w:eastAsia="仿宋"/>
          <w:color w:val="auto"/>
          <w:highlight w:val="none"/>
          <w:u w:val="single"/>
          <w:lang w:val="en-US" w:eastAsia="zh-CN"/>
        </w:rPr>
        <w:t>24</w:t>
      </w:r>
      <w:r>
        <w:rPr>
          <w:rFonts w:hint="eastAsia" w:ascii="仿宋" w:hAnsi="仿宋" w:eastAsia="仿宋"/>
          <w:color w:val="auto"/>
          <w:highlight w:val="none"/>
          <w:u w:val="single"/>
          <w:lang w:eastAsia="zh-CN"/>
        </w:rPr>
        <w:t>个月）</w:t>
      </w:r>
      <w:r>
        <w:rPr>
          <w:rFonts w:ascii="仿宋" w:hAnsi="仿宋" w:eastAsia="仿宋"/>
          <w:color w:val="auto"/>
          <w:highlight w:val="none"/>
          <w:u w:val="single"/>
          <w:lang w:eastAsia="zh-CN"/>
        </w:rPr>
        <w:t>，质量保证金的返还按合同专用条款第</w:t>
      </w:r>
      <w:r>
        <w:rPr>
          <w:rFonts w:hint="eastAsia" w:ascii="仿宋" w:hAnsi="仿宋" w:eastAsia="仿宋"/>
          <w:color w:val="auto"/>
          <w:highlight w:val="none"/>
          <w:u w:val="single"/>
          <w:lang w:eastAsia="zh-CN"/>
        </w:rPr>
        <w:t>89</w:t>
      </w:r>
      <w:r>
        <w:rPr>
          <w:rFonts w:ascii="仿宋" w:hAnsi="仿宋" w:eastAsia="仿宋"/>
          <w:color w:val="auto"/>
          <w:highlight w:val="none"/>
          <w:u w:val="single"/>
          <w:lang w:eastAsia="zh-CN"/>
        </w:rPr>
        <w:t>.3款约定执行。</w:t>
      </w:r>
    </w:p>
    <w:p w14:paraId="328411DE">
      <w:pPr>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1794" w:name="_Toc437441274"/>
      <w:bookmarkStart w:id="1795" w:name="_Toc450206823"/>
      <w:bookmarkStart w:id="1796" w:name="_Toc445392647"/>
      <w:bookmarkStart w:id="1797" w:name="_Toc472695208"/>
      <w:r>
        <w:rPr>
          <w:rFonts w:hint="eastAsia" w:ascii="仿宋" w:hAnsi="仿宋" w:eastAsia="仿宋" w:cs="仿宋"/>
          <w:color w:val="auto"/>
          <w:highlight w:val="none"/>
          <w:lang w:eastAsia="zh-CN"/>
        </w:rPr>
        <w:t>66</w:t>
      </w:r>
      <w:r>
        <w:rPr>
          <w:rFonts w:ascii="仿宋" w:hAnsi="仿宋" w:eastAsia="仿宋"/>
          <w:color w:val="auto"/>
          <w:highlight w:val="none"/>
          <w:lang w:eastAsia="zh-CN"/>
        </w:rPr>
        <w:t>.3 补充条款</w:t>
      </w:r>
      <w:bookmarkEnd w:id="1794"/>
      <w:bookmarkEnd w:id="1795"/>
      <w:bookmarkEnd w:id="1796"/>
      <w:bookmarkEnd w:id="1797"/>
    </w:p>
    <w:p w14:paraId="0AD173E2">
      <w:pPr>
        <w:spacing w:line="360" w:lineRule="auto"/>
        <w:ind w:firstLine="240" w:firstLineChars="100"/>
        <w:rPr>
          <w:rFonts w:ascii="仿宋" w:hAnsi="仿宋" w:eastAsia="仿宋"/>
          <w:color w:val="auto"/>
          <w:highlight w:val="none"/>
          <w:u w:val="single"/>
          <w:lang w:eastAsia="zh-CN"/>
        </w:rPr>
      </w:pPr>
      <w:r>
        <w:rPr>
          <w:rFonts w:ascii="仿宋" w:hAnsi="仿宋" w:eastAsia="仿宋"/>
          <w:color w:val="auto"/>
          <w:highlight w:val="none"/>
          <w:lang w:eastAsia="zh-CN"/>
        </w:rPr>
        <w:t>（4）</w:t>
      </w:r>
      <w:r>
        <w:rPr>
          <w:rFonts w:ascii="仿宋" w:hAnsi="仿宋" w:eastAsia="仿宋"/>
          <w:color w:val="auto"/>
          <w:highlight w:val="none"/>
          <w:u w:val="single"/>
          <w:lang w:eastAsia="zh-CN"/>
        </w:rPr>
        <w:t>对在质量保修期内或结束后14天内发包人通知承包人需修正的质量缺陷，承包人应当在规定的时间内完成。如果承包人未能在规定时间内修正质量缺陷，则发包人有权按下列其中的任一种方法处理：</w:t>
      </w:r>
    </w:p>
    <w:p w14:paraId="1BA1D177">
      <w:pPr>
        <w:spacing w:line="360" w:lineRule="auto"/>
        <w:ind w:firstLine="240" w:firstLineChars="100"/>
        <w:rPr>
          <w:rFonts w:ascii="仿宋" w:hAnsi="仿宋" w:eastAsia="仿宋"/>
          <w:color w:val="auto"/>
          <w:highlight w:val="none"/>
          <w:u w:val="single"/>
          <w:lang w:eastAsia="zh-CN"/>
        </w:rPr>
      </w:pPr>
      <w:r>
        <w:rPr>
          <w:rFonts w:ascii="仿宋" w:hAnsi="仿宋" w:eastAsia="仿宋"/>
          <w:color w:val="auto"/>
          <w:highlight w:val="none"/>
          <w:lang w:eastAsia="zh-CN"/>
        </w:rPr>
        <w:t>（4.1）</w:t>
      </w:r>
      <w:r>
        <w:rPr>
          <w:rFonts w:ascii="仿宋" w:hAnsi="仿宋" w:eastAsia="仿宋"/>
          <w:color w:val="auto"/>
          <w:highlight w:val="none"/>
          <w:u w:val="single"/>
          <w:lang w:eastAsia="zh-CN"/>
        </w:rPr>
        <w:t>可自行或指派第三方修正缺陷，因此产生的费用由承包人承担。该缺陷的修正费用经造价工程师或监理工程师核实，由承包人支付；</w:t>
      </w:r>
    </w:p>
    <w:p w14:paraId="1F73E019">
      <w:pPr>
        <w:spacing w:line="360" w:lineRule="auto"/>
        <w:ind w:firstLine="240" w:firstLineChars="100"/>
        <w:rPr>
          <w:rFonts w:ascii="仿宋" w:hAnsi="仿宋" w:eastAsia="仿宋"/>
          <w:color w:val="auto"/>
          <w:highlight w:val="none"/>
          <w:lang w:eastAsia="zh-CN"/>
        </w:rPr>
      </w:pPr>
      <w:r>
        <w:rPr>
          <w:rFonts w:ascii="仿宋" w:hAnsi="仿宋" w:eastAsia="仿宋"/>
          <w:color w:val="auto"/>
          <w:highlight w:val="none"/>
          <w:lang w:eastAsia="zh-CN"/>
        </w:rPr>
        <w:t>（4.2）</w:t>
      </w:r>
      <w:r>
        <w:rPr>
          <w:rFonts w:ascii="仿宋" w:hAnsi="仿宋" w:eastAsia="仿宋"/>
          <w:color w:val="auto"/>
          <w:highlight w:val="none"/>
          <w:u w:val="single"/>
          <w:lang w:eastAsia="zh-CN"/>
        </w:rPr>
        <w:t>在合同价款中对此项工作所需的费用做相应的扣除。</w:t>
      </w:r>
    </w:p>
    <w:p w14:paraId="09D53E4B">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1798" w:name="_Toc28346"/>
      <w:r>
        <w:rPr>
          <w:rFonts w:hint="eastAsia" w:ascii="仿宋" w:hAnsi="仿宋" w:eastAsia="仿宋" w:cs="仿宋"/>
          <w:color w:val="auto"/>
          <w:highlight w:val="none"/>
          <w:lang w:eastAsia="zh-CN"/>
        </w:rPr>
        <w:t xml:space="preserve">   66.8 质量保修期计算</w:t>
      </w:r>
      <w:bookmarkEnd w:id="1798"/>
    </w:p>
    <w:p w14:paraId="4BD93B2E">
      <w:pPr>
        <w:spacing w:line="360" w:lineRule="auto"/>
        <w:ind w:firstLine="48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质量保修期：</w:t>
      </w:r>
      <w:r>
        <w:rPr>
          <w:rFonts w:ascii="仿宋" w:hAnsi="仿宋" w:eastAsia="仿宋"/>
          <w:color w:val="auto"/>
          <w:highlight w:val="none"/>
          <w:u w:val="single"/>
          <w:lang w:eastAsia="zh-CN"/>
        </w:rPr>
        <w:t>质量保修期</w:t>
      </w:r>
      <w:r>
        <w:rPr>
          <w:rFonts w:hint="eastAsia" w:ascii="仿宋" w:hAnsi="仿宋" w:eastAsia="仿宋"/>
          <w:color w:val="auto"/>
          <w:highlight w:val="none"/>
          <w:u w:val="single"/>
          <w:lang w:eastAsia="zh-CN"/>
        </w:rPr>
        <w:t>自总承包工程竣工验收合格、移交物业公司及交付公告中明确的交付之日（以三个日期中最晚日期，但不超过政府竣工验收合格后6个月）起计算，保修期不得低于法定最低保修年限，其中燃气工程为通过验收两年。</w:t>
      </w:r>
    </w:p>
    <w:p w14:paraId="750B3890">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66.9 工程质量保修</w:t>
      </w:r>
    </w:p>
    <w:p w14:paraId="0D77DC22">
      <w:pPr>
        <w:spacing w:line="360" w:lineRule="auto"/>
        <w:ind w:firstLine="48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双方协商一致，本条增加以下条款：</w:t>
      </w:r>
    </w:p>
    <w:p w14:paraId="78E0EB45">
      <w:pPr>
        <w:spacing w:line="360" w:lineRule="auto"/>
        <w:ind w:firstLine="424" w:firstLineChars="177"/>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在工程质量缺陷责任期内，因工程质量缺陷承包人维修一次后，同一部位再出现类似问题，承包人除再次进行维修外，发包人有权要求承包人承担1次一般违约责任处罚；若历经两次（含两次）以上维修，仍然不能解决问题，发包人有权要求承包人承担1次较大违约责任处罚，发包人有权委托其他施工单位进行维修且处理结果不再经承包人确认（发包人将处理情况知会承包人），由此引起的一切费用和责任由承包人负责；若维修过程中给发包人造成损失的，由承包人负责赔偿。</w:t>
      </w:r>
    </w:p>
    <w:p w14:paraId="01C8EE47">
      <w:pPr>
        <w:spacing w:line="360" w:lineRule="auto"/>
        <w:ind w:firstLine="424" w:firstLineChars="177"/>
        <w:rPr>
          <w:rFonts w:hint="eastAsia" w:ascii="仿宋" w:hAnsi="仿宋" w:eastAsia="仿宋"/>
          <w:b/>
          <w:bCs/>
          <w:color w:val="auto"/>
          <w:highlight w:val="none"/>
          <w:u w:val="single"/>
          <w:lang w:eastAsia="zh-CN"/>
        </w:rPr>
      </w:pPr>
      <w:r>
        <w:rPr>
          <w:rFonts w:hint="eastAsia" w:ascii="仿宋" w:hAnsi="仿宋" w:eastAsia="仿宋"/>
          <w:color w:val="auto"/>
          <w:highlight w:val="none"/>
          <w:u w:val="single"/>
          <w:lang w:eastAsia="zh-CN"/>
        </w:rPr>
        <w:t>（2）在工程质量缺陷责任期内，承包人违反工程质量缺陷维修时限约定，视为承包人同意发包人处理。发包人委托他方处理，处理结果由发包人签字认可后即行生效，不再经承包人确认（发包人将处理情况知会承包人），由此所发生的一切费用均按发包人与他方结算价款数，由承包人承担。发生紧急抢修事故的，承包人接到事故通知后，应立即到达事故现场抢修。</w:t>
      </w:r>
    </w:p>
    <w:p w14:paraId="566CEC8E">
      <w:pPr>
        <w:spacing w:line="360" w:lineRule="auto"/>
        <w:ind w:firstLine="240" w:firstLineChars="100"/>
        <w:rPr>
          <w:rFonts w:ascii="仿宋" w:hAnsi="仿宋" w:eastAsia="仿宋"/>
          <w:color w:val="auto"/>
          <w:highlight w:val="none"/>
          <w:u w:val="single"/>
          <w:lang w:eastAsia="zh-CN"/>
        </w:rPr>
      </w:pPr>
      <w:bookmarkStart w:id="1799" w:name="_Toc47694430"/>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66</w:t>
      </w:r>
      <w:r>
        <w:rPr>
          <w:rFonts w:ascii="仿宋" w:hAnsi="仿宋" w:eastAsia="仿宋"/>
          <w:color w:val="auto"/>
          <w:highlight w:val="none"/>
          <w:lang w:eastAsia="zh-CN"/>
        </w:rPr>
        <w:t>.10 承包人承担通用条款第59.10款所述属于修复质量缺陷以外的工作，但如果该项工作是由于下述方面引起的，则全部费用均由承包人承担：</w:t>
      </w:r>
    </w:p>
    <w:p w14:paraId="0C6F377C">
      <w:pPr>
        <w:spacing w:line="360" w:lineRule="auto"/>
        <w:rPr>
          <w:rFonts w:ascii="仿宋" w:hAnsi="仿宋" w:eastAsia="仿宋"/>
          <w:color w:val="auto"/>
          <w:highlight w:val="none"/>
          <w:u w:val="single"/>
          <w:lang w:eastAsia="zh-CN"/>
        </w:rPr>
      </w:pPr>
      <w:r>
        <w:rPr>
          <w:rFonts w:ascii="仿宋" w:hAnsi="仿宋" w:eastAsia="仿宋"/>
          <w:color w:val="auto"/>
          <w:highlight w:val="none"/>
          <w:lang w:eastAsia="zh-CN"/>
        </w:rPr>
        <w:t>（1）</w:t>
      </w:r>
      <w:r>
        <w:rPr>
          <w:rFonts w:ascii="仿宋" w:hAnsi="仿宋" w:eastAsia="仿宋"/>
          <w:color w:val="auto"/>
          <w:highlight w:val="none"/>
          <w:u w:val="single"/>
          <w:lang w:eastAsia="zh-CN"/>
        </w:rPr>
        <w:t>使用不符合合同规定的材料、设备装置或工艺；</w:t>
      </w:r>
    </w:p>
    <w:p w14:paraId="38829943">
      <w:pPr>
        <w:spacing w:line="360" w:lineRule="auto"/>
        <w:rPr>
          <w:rFonts w:ascii="仿宋" w:hAnsi="仿宋" w:eastAsia="仿宋"/>
          <w:color w:val="auto"/>
          <w:highlight w:val="none"/>
          <w:u w:val="single"/>
          <w:lang w:eastAsia="zh-CN"/>
        </w:rPr>
      </w:pPr>
      <w:r>
        <w:rPr>
          <w:rFonts w:ascii="仿宋" w:hAnsi="仿宋" w:eastAsia="仿宋"/>
          <w:color w:val="auto"/>
          <w:highlight w:val="none"/>
          <w:lang w:eastAsia="zh-CN"/>
        </w:rPr>
        <w:t>（2）</w:t>
      </w:r>
      <w:r>
        <w:rPr>
          <w:rFonts w:ascii="仿宋" w:hAnsi="仿宋" w:eastAsia="仿宋"/>
          <w:color w:val="auto"/>
          <w:highlight w:val="none"/>
          <w:u w:val="single"/>
          <w:lang w:eastAsia="zh-CN"/>
        </w:rPr>
        <w:t>承包人负责设计的工程，出现设计错误；</w:t>
      </w:r>
    </w:p>
    <w:p w14:paraId="03B3A19C">
      <w:pPr>
        <w:spacing w:line="360" w:lineRule="auto"/>
        <w:rPr>
          <w:rFonts w:ascii="仿宋" w:hAnsi="仿宋" w:eastAsia="仿宋"/>
          <w:color w:val="auto"/>
          <w:highlight w:val="none"/>
          <w:u w:val="single"/>
          <w:lang w:eastAsia="zh-CN"/>
        </w:rPr>
      </w:pPr>
      <w:r>
        <w:rPr>
          <w:rFonts w:ascii="仿宋" w:hAnsi="仿宋" w:eastAsia="仿宋"/>
          <w:color w:val="auto"/>
          <w:highlight w:val="none"/>
          <w:lang w:eastAsia="zh-CN"/>
        </w:rPr>
        <w:t>（3）</w:t>
      </w:r>
      <w:r>
        <w:rPr>
          <w:rFonts w:ascii="仿宋" w:hAnsi="仿宋" w:eastAsia="仿宋"/>
          <w:color w:val="auto"/>
          <w:highlight w:val="none"/>
          <w:u w:val="single"/>
          <w:lang w:eastAsia="zh-CN"/>
        </w:rPr>
        <w:t>承包人未能执行或忽略了合同中规定和暗含的义务；</w:t>
      </w:r>
    </w:p>
    <w:p w14:paraId="2FF192E8">
      <w:pPr>
        <w:spacing w:line="360" w:lineRule="auto"/>
        <w:rPr>
          <w:rFonts w:ascii="仿宋" w:hAnsi="仿宋" w:eastAsia="仿宋"/>
          <w:color w:val="auto"/>
          <w:highlight w:val="none"/>
          <w:lang w:eastAsia="zh-CN"/>
        </w:rPr>
      </w:pPr>
      <w:r>
        <w:rPr>
          <w:rFonts w:ascii="仿宋" w:hAnsi="仿宋" w:eastAsia="仿宋"/>
          <w:color w:val="auto"/>
          <w:highlight w:val="none"/>
          <w:u w:val="single"/>
          <w:lang w:eastAsia="zh-CN"/>
        </w:rPr>
        <w:t>如果在合理时间内承包人未能执行上述指示，发包人可自行或指派第三方修复，因此产生的费用经造价工程师或监理工程师核实后，由承包人承担。</w:t>
      </w:r>
    </w:p>
    <w:p w14:paraId="702F650A">
      <w:pPr>
        <w:spacing w:line="360" w:lineRule="auto"/>
        <w:ind w:firstLine="360" w:firstLineChars="150"/>
        <w:rPr>
          <w:rFonts w:ascii="仿宋" w:hAnsi="仿宋" w:eastAsia="仿宋"/>
          <w:color w:val="auto"/>
          <w:highlight w:val="none"/>
          <w:lang w:eastAsia="zh-CN"/>
        </w:rPr>
      </w:pPr>
      <w:bookmarkStart w:id="1800" w:name="_Toc450206825"/>
      <w:bookmarkStart w:id="1801" w:name="_Toc437441276"/>
      <w:bookmarkStart w:id="1802" w:name="_Toc472695210"/>
      <w:bookmarkStart w:id="1803" w:name="_Toc445392649"/>
      <w:r>
        <w:rPr>
          <w:rFonts w:hint="eastAsia" w:ascii="仿宋" w:hAnsi="仿宋" w:eastAsia="仿宋"/>
          <w:color w:val="auto"/>
          <w:highlight w:val="none"/>
          <w:lang w:eastAsia="zh-CN"/>
        </w:rPr>
        <w:t>66</w:t>
      </w:r>
      <w:r>
        <w:rPr>
          <w:rFonts w:ascii="仿宋" w:hAnsi="仿宋" w:eastAsia="仿宋"/>
          <w:color w:val="auto"/>
          <w:highlight w:val="none"/>
          <w:lang w:eastAsia="zh-CN"/>
        </w:rPr>
        <w:t>.11 补充条款：因承包人原因致使建设工程在设计使用年限内造成人身和财产损害的，承包人应当承担损害赔偿责任。</w:t>
      </w:r>
      <w:bookmarkEnd w:id="1800"/>
      <w:bookmarkEnd w:id="1801"/>
      <w:bookmarkEnd w:id="1802"/>
      <w:bookmarkEnd w:id="1803"/>
    </w:p>
    <w:p w14:paraId="38497F2B">
      <w:pPr>
        <w:pStyle w:val="3"/>
        <w:tabs>
          <w:tab w:val="left" w:pos="420"/>
        </w:tabs>
        <w:spacing w:line="360" w:lineRule="auto"/>
        <w:ind w:firstLine="105"/>
        <w:rPr>
          <w:rFonts w:hint="eastAsia" w:ascii="仿宋" w:hAnsi="仿宋" w:eastAsia="仿宋" w:cs="仿宋"/>
          <w:b w:val="0"/>
          <w:bCs w:val="0"/>
          <w:i w:val="0"/>
          <w:iCs w:val="0"/>
          <w:color w:val="auto"/>
          <w:sz w:val="24"/>
          <w:szCs w:val="24"/>
          <w:highlight w:val="none"/>
          <w:lang w:eastAsia="zh-CN"/>
        </w:rPr>
      </w:pPr>
      <w:bookmarkStart w:id="1804" w:name="_Toc14245"/>
      <w:bookmarkStart w:id="1805" w:name="_Toc2558"/>
      <w:bookmarkStart w:id="1806" w:name="_Toc3599"/>
      <w:bookmarkStart w:id="1807" w:name="_Toc17351"/>
      <w:bookmarkStart w:id="1808" w:name="_Toc3153"/>
      <w:bookmarkStart w:id="1809" w:name="_Toc27234"/>
      <w:bookmarkStart w:id="1810" w:name="_Toc23324"/>
      <w:r>
        <w:rPr>
          <w:rFonts w:hint="eastAsia" w:ascii="仿宋" w:hAnsi="仿宋" w:eastAsia="仿宋" w:cs="仿宋"/>
          <w:b w:val="0"/>
          <w:bCs w:val="0"/>
          <w:i w:val="0"/>
          <w:iCs w:val="0"/>
          <w:color w:val="auto"/>
          <w:sz w:val="24"/>
          <w:szCs w:val="24"/>
          <w:highlight w:val="none"/>
          <w:lang w:eastAsia="zh-CN"/>
        </w:rPr>
        <w:t>68.</w:t>
      </w:r>
      <w:r>
        <w:rPr>
          <w:rFonts w:ascii="仿宋" w:hAnsi="仿宋" w:eastAsia="仿宋" w:cs="仿宋"/>
          <w:b w:val="0"/>
          <w:bCs w:val="0"/>
          <w:i w:val="0"/>
          <w:iCs w:val="0"/>
          <w:color w:val="auto"/>
          <w:sz w:val="24"/>
          <w:szCs w:val="24"/>
          <w:highlight w:val="none"/>
          <w:lang w:eastAsia="zh-CN"/>
        </w:rPr>
        <w:t xml:space="preserve"> </w:t>
      </w:r>
      <w:r>
        <w:rPr>
          <w:rFonts w:hint="eastAsia" w:ascii="仿宋" w:hAnsi="仿宋" w:eastAsia="仿宋" w:cs="仿宋"/>
          <w:b w:val="0"/>
          <w:bCs w:val="0"/>
          <w:i w:val="0"/>
          <w:iCs w:val="0"/>
          <w:color w:val="auto"/>
          <w:sz w:val="24"/>
          <w:szCs w:val="24"/>
          <w:highlight w:val="none"/>
          <w:lang w:eastAsia="zh-CN"/>
        </w:rPr>
        <w:t>联合体牵头人项目管理费</w:t>
      </w:r>
      <w:bookmarkEnd w:id="1799"/>
      <w:bookmarkEnd w:id="1804"/>
      <w:bookmarkEnd w:id="1805"/>
      <w:bookmarkEnd w:id="1806"/>
      <w:bookmarkEnd w:id="1807"/>
      <w:bookmarkEnd w:id="1808"/>
      <w:bookmarkEnd w:id="1809"/>
      <w:bookmarkEnd w:id="1810"/>
    </w:p>
    <w:p w14:paraId="7970DC7A">
      <w:pPr>
        <w:spacing w:line="360" w:lineRule="auto"/>
        <w:ind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承包人为非联合体的，本条不适用。</w:t>
      </w:r>
    </w:p>
    <w:p w14:paraId="301FA049">
      <w:pPr>
        <w:spacing w:line="360" w:lineRule="auto"/>
        <w:ind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承包人为联合体的，牵头人项目管理费的约定：</w:t>
      </w:r>
    </w:p>
    <w:p w14:paraId="3730ADF1">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①联合体牵头人项目管理费的金额，按本合同协议书约定的金额执行</w:t>
      </w:r>
      <w:r>
        <w:rPr>
          <w:rFonts w:ascii="仿宋" w:hAnsi="仿宋" w:eastAsia="仿宋" w:cs="仿宋"/>
          <w:color w:val="auto"/>
          <w:highlight w:val="none"/>
          <w:lang w:eastAsia="zh-CN"/>
        </w:rPr>
        <w:t>。</w:t>
      </w:r>
    </w:p>
    <w:p w14:paraId="5F1989D8">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②发包人向承包人支付牵头人项目管理费的时间、比例：</w:t>
      </w:r>
      <w:r>
        <w:rPr>
          <w:rFonts w:hint="eastAsia" w:ascii="仿宋" w:hAnsi="仿宋" w:eastAsia="仿宋" w:cs="仿宋"/>
          <w:color w:val="auto"/>
          <w:highlight w:val="none"/>
          <w:u w:val="single"/>
          <w:lang w:eastAsia="zh-CN"/>
        </w:rPr>
        <w:t xml:space="preserve">        /         </w:t>
      </w:r>
    </w:p>
    <w:p w14:paraId="3D007608">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③牵头人及其授权的承包人代表不作为或存在过错，发包人有权部分或全部扣除该费用，扣除金额或比例：</w:t>
      </w:r>
      <w:r>
        <w:rPr>
          <w:rFonts w:hint="eastAsia" w:ascii="仿宋" w:hAnsi="仿宋" w:eastAsia="仿宋" w:cs="仿宋"/>
          <w:color w:val="auto"/>
          <w:highlight w:val="none"/>
          <w:u w:val="single"/>
          <w:lang w:eastAsia="zh-CN"/>
        </w:rPr>
        <w:t xml:space="preserve">         /              </w:t>
      </w:r>
    </w:p>
    <w:p w14:paraId="37D6738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联合体牵头人项目管理费已包含在EPC总费中，不另外计取，合同金额不变。</w:t>
      </w:r>
    </w:p>
    <w:p w14:paraId="76073563">
      <w:pPr>
        <w:pStyle w:val="3"/>
        <w:tabs>
          <w:tab w:val="left" w:pos="420"/>
        </w:tabs>
        <w:spacing w:line="360" w:lineRule="auto"/>
        <w:ind w:firstLine="105"/>
        <w:rPr>
          <w:rFonts w:ascii="仿宋" w:hAnsi="仿宋" w:eastAsia="仿宋"/>
          <w:b w:val="0"/>
          <w:bCs w:val="0"/>
          <w:i w:val="0"/>
          <w:iCs w:val="0"/>
          <w:color w:val="auto"/>
          <w:sz w:val="24"/>
          <w:szCs w:val="24"/>
          <w:highlight w:val="none"/>
          <w:lang w:eastAsia="zh-CN"/>
        </w:rPr>
      </w:pPr>
      <w:bookmarkStart w:id="1811" w:name="_Toc988"/>
      <w:bookmarkStart w:id="1812" w:name="_Toc3426"/>
      <w:bookmarkStart w:id="1813" w:name="_Toc26805"/>
      <w:bookmarkStart w:id="1814" w:name="_Toc24724"/>
      <w:bookmarkStart w:id="1815" w:name="_Toc47694431"/>
      <w:bookmarkStart w:id="1816" w:name="_Toc15114"/>
      <w:bookmarkStart w:id="1817" w:name="_Toc31712"/>
      <w:bookmarkStart w:id="1818" w:name="_Toc11410"/>
      <w:r>
        <w:rPr>
          <w:rFonts w:hint="eastAsia" w:ascii="仿宋" w:hAnsi="仿宋" w:eastAsia="仿宋" w:cs="仿宋"/>
          <w:b w:val="0"/>
          <w:bCs w:val="0"/>
          <w:i w:val="0"/>
          <w:iCs w:val="0"/>
          <w:color w:val="auto"/>
          <w:sz w:val="24"/>
          <w:szCs w:val="24"/>
          <w:highlight w:val="none"/>
          <w:lang w:eastAsia="zh-CN"/>
        </w:rPr>
        <w:t>★69.  合同价格的约定与调整</w:t>
      </w:r>
      <w:bookmarkEnd w:id="1811"/>
      <w:bookmarkEnd w:id="1812"/>
      <w:bookmarkEnd w:id="1813"/>
      <w:bookmarkEnd w:id="1814"/>
      <w:bookmarkEnd w:id="1815"/>
      <w:bookmarkEnd w:id="1816"/>
      <w:bookmarkEnd w:id="1817"/>
      <w:bookmarkEnd w:id="1818"/>
    </w:p>
    <w:p w14:paraId="45505EF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69.2合同价格的形式</w:t>
      </w:r>
    </w:p>
    <w:p w14:paraId="2EC8C1F1">
      <w:pPr>
        <w:spacing w:line="360" w:lineRule="auto"/>
        <w:ind w:firstLine="720" w:firstLineChars="300"/>
        <w:rPr>
          <w:color w:val="auto"/>
          <w:highlight w:val="none"/>
          <w:lang w:eastAsia="zh-CN"/>
        </w:rPr>
      </w:pPr>
      <w:r>
        <w:rPr>
          <w:rFonts w:hint="eastAsia" w:ascii="仿宋" w:hAnsi="仿宋" w:eastAsia="仿宋" w:cs="仿宋"/>
          <w:color w:val="auto"/>
          <w:highlight w:val="none"/>
          <w:lang w:eastAsia="zh-CN"/>
        </w:rPr>
        <w:t>□ 总价合同。</w:t>
      </w:r>
    </w:p>
    <w:p w14:paraId="2A601343">
      <w:pPr>
        <w:spacing w:line="360" w:lineRule="auto"/>
        <w:ind w:firstLine="720" w:firstLineChars="300"/>
        <w:rPr>
          <w:color w:val="auto"/>
          <w:highlight w:val="none"/>
          <w:lang w:eastAsia="zh-CN"/>
        </w:rPr>
      </w:pPr>
      <w:r>
        <w:rPr>
          <w:rFonts w:hint="eastAsia" w:ascii="仿宋" w:hAnsi="仿宋" w:eastAsia="仿宋" w:cs="仿宋"/>
          <w:color w:val="auto"/>
          <w:highlight w:val="none"/>
          <w:lang w:eastAsia="zh-CN"/>
        </w:rPr>
        <w:t>□ 总价合同＋部分单价合同。其中，总价合同、单价合同的适用工程范围按专用条款第72条。</w:t>
      </w:r>
    </w:p>
    <w:p w14:paraId="56662247">
      <w:pPr>
        <w:spacing w:line="360" w:lineRule="auto"/>
        <w:ind w:left="274" w:leftChars="114" w:firstLine="480" w:firstLineChars="200"/>
        <w:rPr>
          <w:color w:val="auto"/>
          <w:highlight w:val="none"/>
          <w:lang w:eastAsia="zh-CN"/>
        </w:rPr>
      </w:pPr>
      <w:r>
        <w:rPr>
          <w:rFonts w:hint="eastAsia" w:ascii="仿宋" w:hAnsi="仿宋" w:eastAsia="仿宋" w:cs="仿宋"/>
          <w:color w:val="auto"/>
          <w:highlight w:val="none"/>
          <w:lang w:eastAsia="zh-CN"/>
        </w:rPr>
        <w:t>□ 单价合同。</w:t>
      </w:r>
    </w:p>
    <w:p w14:paraId="3DBEEB95">
      <w:pPr>
        <w:spacing w:line="360" w:lineRule="auto"/>
        <w:ind w:firstLine="720" w:firstLineChars="300"/>
        <w:jc w:val="both"/>
        <w:rPr>
          <w:color w:val="auto"/>
          <w:highlight w:val="none"/>
          <w:lang w:eastAsia="zh-CN"/>
        </w:rPr>
      </w:pPr>
      <w:r>
        <w:rPr>
          <w:rFonts w:hint="eastAsia" w:ascii="仿宋" w:hAnsi="仿宋" w:eastAsia="仿宋" w:cs="仿宋"/>
          <w:color w:val="auto"/>
          <w:highlight w:val="none"/>
          <w:lang w:eastAsia="zh-CN"/>
        </w:rPr>
        <w:t xml:space="preserve">☑ 另作约定： </w:t>
      </w:r>
      <w:r>
        <w:rPr>
          <w:rFonts w:hint="eastAsia" w:ascii="仿宋" w:hAnsi="仿宋" w:eastAsia="仿宋" w:cs="仿宋"/>
          <w:color w:val="auto"/>
          <w:highlight w:val="none"/>
          <w:u w:val="single"/>
          <w:lang w:eastAsia="zh-CN"/>
        </w:rPr>
        <w:t>详见专用条款第8款。</w:t>
      </w:r>
    </w:p>
    <w:p w14:paraId="1270CD9D">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69.3 合同价款的调整事项</w:t>
      </w:r>
    </w:p>
    <w:p w14:paraId="55C6371D">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（2）可调价变更的量化指标。</w:t>
      </w:r>
    </w:p>
    <w:p w14:paraId="307B1838">
      <w:pPr>
        <w:spacing w:line="360" w:lineRule="auto"/>
        <w:ind w:firstLine="1080" w:firstLineChars="4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 相对于合同基础资料的重大调整量化指标：</w:t>
      </w:r>
      <w:r>
        <w:rPr>
          <w:rFonts w:hint="eastAsia" w:ascii="仿宋" w:hAnsi="仿宋" w:eastAsia="仿宋" w:cs="仿宋"/>
          <w:color w:val="auto"/>
          <w:highlight w:val="none"/>
          <w:u w:val="single"/>
          <w:lang w:eastAsia="zh-CN"/>
        </w:rPr>
        <w:t xml:space="preserve"> 详见专用条款第7</w:t>
      </w:r>
      <w:r>
        <w:rPr>
          <w:rFonts w:ascii="仿宋" w:hAnsi="仿宋" w:eastAsia="仿宋" w:cs="仿宋"/>
          <w:color w:val="auto"/>
          <w:highlight w:val="none"/>
          <w:u w:val="single"/>
          <w:lang w:eastAsia="zh-CN"/>
        </w:rPr>
        <w:t>9</w:t>
      </w:r>
      <w:r>
        <w:rPr>
          <w:rFonts w:hint="eastAsia" w:ascii="仿宋" w:hAnsi="仿宋" w:eastAsia="仿宋" w:cs="仿宋"/>
          <w:color w:val="auto"/>
          <w:highlight w:val="none"/>
          <w:u w:val="single"/>
          <w:lang w:eastAsia="zh-CN"/>
        </w:rPr>
        <w:t xml:space="preserve">款   </w:t>
      </w:r>
      <w:r>
        <w:rPr>
          <w:rFonts w:hint="eastAsia" w:ascii="仿宋" w:hAnsi="仿宋" w:eastAsia="仿宋" w:cs="仿宋"/>
          <w:color w:val="auto"/>
          <w:highlight w:val="none"/>
          <w:lang w:eastAsia="zh-CN"/>
        </w:rPr>
        <w:t>。</w:t>
      </w:r>
    </w:p>
    <w:p w14:paraId="5183A3BA">
      <w:pPr>
        <w:spacing w:line="360" w:lineRule="auto"/>
        <w:ind w:firstLine="1080" w:firstLineChars="4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 重大地质变化量化指标：</w:t>
      </w:r>
      <w:r>
        <w:rPr>
          <w:rFonts w:hint="eastAsia" w:ascii="仿宋" w:hAnsi="仿宋" w:eastAsia="仿宋" w:cs="仿宋"/>
          <w:color w:val="auto"/>
          <w:highlight w:val="none"/>
          <w:u w:val="single"/>
          <w:lang w:eastAsia="zh-CN"/>
        </w:rPr>
        <w:t xml:space="preserve">  详见专用条款第7</w:t>
      </w:r>
      <w:r>
        <w:rPr>
          <w:rFonts w:ascii="仿宋" w:hAnsi="仿宋" w:eastAsia="仿宋" w:cs="仿宋"/>
          <w:color w:val="auto"/>
          <w:highlight w:val="none"/>
          <w:u w:val="single"/>
          <w:lang w:eastAsia="zh-CN"/>
        </w:rPr>
        <w:t>9</w:t>
      </w:r>
      <w:r>
        <w:rPr>
          <w:rFonts w:hint="eastAsia" w:ascii="仿宋" w:hAnsi="仿宋" w:eastAsia="仿宋" w:cs="仿宋"/>
          <w:color w:val="auto"/>
          <w:highlight w:val="none"/>
          <w:u w:val="single"/>
          <w:lang w:eastAsia="zh-CN"/>
        </w:rPr>
        <w:t xml:space="preserve">款     </w:t>
      </w:r>
      <w:r>
        <w:rPr>
          <w:rFonts w:hint="eastAsia" w:ascii="仿宋" w:hAnsi="仿宋" w:eastAsia="仿宋" w:cs="仿宋"/>
          <w:color w:val="auto"/>
          <w:highlight w:val="none"/>
          <w:lang w:eastAsia="zh-CN"/>
        </w:rPr>
        <w:t>。</w:t>
      </w:r>
    </w:p>
    <w:p w14:paraId="1AA4E925">
      <w:pPr>
        <w:spacing w:line="360" w:lineRule="auto"/>
        <w:ind w:firstLine="1080" w:firstLineChars="4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③ 不可抗力导致工程费增减额的承担比例：</w:t>
      </w:r>
      <w:r>
        <w:rPr>
          <w:rFonts w:hint="eastAsia" w:ascii="仿宋" w:hAnsi="仿宋" w:eastAsia="仿宋" w:cs="仿宋"/>
          <w:color w:val="auto"/>
          <w:highlight w:val="none"/>
          <w:u w:val="single"/>
          <w:lang w:eastAsia="zh-CN"/>
        </w:rPr>
        <w:t xml:space="preserve">    详见专用条款第7</w:t>
      </w:r>
      <w:r>
        <w:rPr>
          <w:rFonts w:ascii="仿宋" w:hAnsi="仿宋" w:eastAsia="仿宋" w:cs="仿宋"/>
          <w:color w:val="auto"/>
          <w:highlight w:val="none"/>
          <w:u w:val="single"/>
          <w:lang w:eastAsia="zh-CN"/>
        </w:rPr>
        <w:t>9</w:t>
      </w:r>
      <w:r>
        <w:rPr>
          <w:rFonts w:hint="eastAsia" w:ascii="仿宋" w:hAnsi="仿宋" w:eastAsia="仿宋" w:cs="仿宋"/>
          <w:color w:val="auto"/>
          <w:highlight w:val="none"/>
          <w:u w:val="single"/>
          <w:lang w:eastAsia="zh-CN"/>
        </w:rPr>
        <w:t xml:space="preserve">款   </w:t>
      </w:r>
      <w:r>
        <w:rPr>
          <w:rFonts w:hint="eastAsia" w:ascii="仿宋" w:hAnsi="仿宋" w:eastAsia="仿宋" w:cs="仿宋"/>
          <w:color w:val="auto"/>
          <w:highlight w:val="none"/>
          <w:lang w:eastAsia="zh-CN"/>
        </w:rPr>
        <w:t>。</w:t>
      </w:r>
    </w:p>
    <w:p w14:paraId="1933FF76">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（6）其他调整事项：</w:t>
      </w:r>
    </w:p>
    <w:p w14:paraId="7542CC02">
      <w:pPr>
        <w:spacing w:line="360" w:lineRule="auto"/>
        <w:ind w:firstLine="960" w:firstLineChars="400"/>
        <w:rPr>
          <w:rFonts w:ascii="仿宋" w:hAnsi="仿宋" w:eastAsia="仿宋"/>
          <w:color w:val="auto"/>
          <w:highlight w:val="none"/>
          <w:lang w:eastAsia="zh-CN"/>
        </w:rPr>
      </w:pPr>
      <w:r>
        <w:rPr>
          <w:color w:val="auto"/>
          <w:highlight w:val="none"/>
          <w:bdr w:val="single" w:color="auto" w:sz="4" w:space="0"/>
          <w:lang w:eastAsia="zh-CN"/>
        </w:rPr>
        <w:t>√</w:t>
      </w:r>
      <w:r>
        <w:rPr>
          <w:rFonts w:ascii="仿宋" w:hAnsi="仿宋" w:eastAsia="仿宋"/>
          <w:color w:val="auto"/>
          <w:highlight w:val="none"/>
          <w:lang w:eastAsia="zh-CN"/>
        </w:rPr>
        <w:t xml:space="preserve"> 后继法律变化事件；</w:t>
      </w:r>
    </w:p>
    <w:p w14:paraId="340FE199">
      <w:pPr>
        <w:spacing w:line="360" w:lineRule="auto"/>
        <w:ind w:firstLine="960" w:firstLineChars="400"/>
        <w:rPr>
          <w:color w:val="auto"/>
          <w:highlight w:val="none"/>
          <w:bdr w:val="single" w:color="auto" w:sz="4" w:space="0"/>
          <w:lang w:eastAsia="zh-CN"/>
        </w:rPr>
      </w:pPr>
      <w:r>
        <w:rPr>
          <w:color w:val="auto"/>
          <w:highlight w:val="none"/>
          <w:bdr w:val="single" w:color="auto" w:sz="4" w:space="0"/>
          <w:lang w:eastAsia="zh-CN"/>
        </w:rPr>
        <w:t>√</w:t>
      </w:r>
      <w:r>
        <w:rPr>
          <w:rFonts w:ascii="仿宋" w:hAnsi="仿宋" w:eastAsia="仿宋"/>
          <w:color w:val="auto"/>
          <w:highlight w:val="none"/>
          <w:lang w:eastAsia="zh-CN"/>
        </w:rPr>
        <w:t xml:space="preserve"> 项目特征描述不符事件；</w:t>
      </w:r>
    </w:p>
    <w:p w14:paraId="4A8F5A95">
      <w:pPr>
        <w:spacing w:line="360" w:lineRule="auto"/>
        <w:ind w:firstLine="960" w:firstLineChars="400"/>
        <w:rPr>
          <w:rFonts w:ascii="仿宋" w:hAnsi="仿宋" w:eastAsia="仿宋"/>
          <w:color w:val="auto"/>
          <w:highlight w:val="none"/>
          <w:lang w:eastAsia="zh-CN"/>
        </w:rPr>
      </w:pPr>
      <w:r>
        <w:rPr>
          <w:color w:val="auto"/>
          <w:highlight w:val="none"/>
          <w:bdr w:val="single" w:color="auto" w:sz="4" w:space="0"/>
          <w:lang w:eastAsia="zh-CN"/>
        </w:rPr>
        <w:t>√</w:t>
      </w:r>
      <w:r>
        <w:rPr>
          <w:rFonts w:ascii="仿宋" w:hAnsi="仿宋" w:eastAsia="仿宋"/>
          <w:color w:val="auto"/>
          <w:highlight w:val="none"/>
          <w:lang w:eastAsia="zh-CN"/>
        </w:rPr>
        <w:t xml:space="preserve"> 分部分项工程量清单缺项漏项事件；</w:t>
      </w:r>
    </w:p>
    <w:p w14:paraId="1E3783CE">
      <w:pPr>
        <w:spacing w:line="360" w:lineRule="auto"/>
        <w:ind w:firstLine="960" w:firstLineChars="400"/>
        <w:rPr>
          <w:rFonts w:ascii="仿宋" w:hAnsi="仿宋" w:eastAsia="仿宋"/>
          <w:color w:val="auto"/>
          <w:highlight w:val="none"/>
          <w:lang w:eastAsia="zh-CN"/>
        </w:rPr>
      </w:pPr>
      <w:r>
        <w:rPr>
          <w:color w:val="auto"/>
          <w:highlight w:val="none"/>
          <w:bdr w:val="single" w:color="auto" w:sz="4" w:space="0"/>
          <w:lang w:eastAsia="zh-CN"/>
        </w:rPr>
        <w:t>√</w:t>
      </w:r>
      <w:r>
        <w:rPr>
          <w:rFonts w:ascii="仿宋" w:hAnsi="仿宋" w:eastAsia="仿宋"/>
          <w:color w:val="auto"/>
          <w:highlight w:val="none"/>
          <w:lang w:eastAsia="zh-CN"/>
        </w:rPr>
        <w:t xml:space="preserve"> 工程变更事件；</w:t>
      </w:r>
    </w:p>
    <w:p w14:paraId="7D2FFA96">
      <w:pPr>
        <w:spacing w:line="360" w:lineRule="auto"/>
        <w:ind w:firstLine="960" w:firstLineChars="400"/>
        <w:rPr>
          <w:rFonts w:ascii="仿宋" w:hAnsi="仿宋" w:eastAsia="仿宋"/>
          <w:color w:val="auto"/>
          <w:highlight w:val="none"/>
          <w:lang w:eastAsia="zh-CN"/>
        </w:rPr>
      </w:pPr>
      <w:r>
        <w:rPr>
          <w:color w:val="auto"/>
          <w:highlight w:val="none"/>
          <w:bdr w:val="single" w:color="auto" w:sz="4" w:space="0"/>
          <w:lang w:eastAsia="zh-CN"/>
        </w:rPr>
        <w:t>√</w:t>
      </w:r>
      <w:r>
        <w:rPr>
          <w:rFonts w:ascii="仿宋" w:hAnsi="仿宋" w:eastAsia="仿宋"/>
          <w:color w:val="auto"/>
          <w:highlight w:val="none"/>
          <w:lang w:eastAsia="zh-CN"/>
        </w:rPr>
        <w:t xml:space="preserve"> 工程量的偏差事件；</w:t>
      </w:r>
    </w:p>
    <w:p w14:paraId="38F31D2C">
      <w:pPr>
        <w:spacing w:line="360" w:lineRule="auto"/>
        <w:ind w:firstLine="960" w:firstLineChars="400"/>
        <w:rPr>
          <w:rFonts w:ascii="仿宋" w:hAnsi="仿宋" w:eastAsia="仿宋"/>
          <w:color w:val="auto"/>
          <w:highlight w:val="none"/>
          <w:lang w:eastAsia="zh-CN"/>
        </w:rPr>
      </w:pPr>
      <w:r>
        <w:rPr>
          <w:color w:val="auto"/>
          <w:highlight w:val="none"/>
          <w:bdr w:val="single" w:color="auto" w:sz="4" w:space="0"/>
          <w:lang w:eastAsia="zh-CN"/>
        </w:rPr>
        <w:t>√</w:t>
      </w:r>
      <w:r>
        <w:rPr>
          <w:rFonts w:ascii="仿宋" w:hAnsi="仿宋" w:eastAsia="仿宋"/>
          <w:color w:val="auto"/>
          <w:highlight w:val="none"/>
          <w:lang w:eastAsia="zh-CN"/>
        </w:rPr>
        <w:t xml:space="preserve"> 费用索赔事件；</w:t>
      </w:r>
    </w:p>
    <w:p w14:paraId="2A031004">
      <w:pPr>
        <w:spacing w:line="360" w:lineRule="auto"/>
        <w:ind w:firstLine="960" w:firstLineChars="400"/>
        <w:rPr>
          <w:rFonts w:ascii="仿宋" w:hAnsi="仿宋" w:eastAsia="仿宋"/>
          <w:color w:val="auto"/>
          <w:highlight w:val="none"/>
          <w:lang w:eastAsia="zh-CN"/>
        </w:rPr>
      </w:pPr>
      <w:r>
        <w:rPr>
          <w:color w:val="auto"/>
          <w:highlight w:val="none"/>
          <w:bdr w:val="single" w:color="auto" w:sz="4" w:space="0"/>
          <w:lang w:eastAsia="zh-CN"/>
        </w:rPr>
        <w:t>√</w:t>
      </w:r>
      <w:r>
        <w:rPr>
          <w:rFonts w:ascii="仿宋" w:hAnsi="仿宋" w:eastAsia="仿宋"/>
          <w:color w:val="auto"/>
          <w:highlight w:val="none"/>
          <w:lang w:eastAsia="zh-CN"/>
        </w:rPr>
        <w:t xml:space="preserve"> 现场签证事件；</w:t>
      </w:r>
    </w:p>
    <w:p w14:paraId="3BD77C11">
      <w:pPr>
        <w:spacing w:line="360" w:lineRule="auto"/>
        <w:ind w:firstLine="960" w:firstLineChars="400"/>
        <w:rPr>
          <w:rFonts w:ascii="仿宋" w:hAnsi="仿宋" w:eastAsia="仿宋"/>
          <w:color w:val="auto"/>
          <w:highlight w:val="none"/>
          <w:lang w:eastAsia="zh-CN"/>
        </w:rPr>
      </w:pPr>
      <w:r>
        <w:rPr>
          <w:color w:val="auto"/>
          <w:highlight w:val="none"/>
          <w:bdr w:val="single" w:color="auto" w:sz="4" w:space="0"/>
          <w:lang w:eastAsia="zh-CN"/>
        </w:rPr>
        <w:t>√</w:t>
      </w:r>
      <w:r>
        <w:rPr>
          <w:rFonts w:ascii="仿宋" w:hAnsi="仿宋" w:eastAsia="仿宋"/>
          <w:color w:val="auto"/>
          <w:highlight w:val="none"/>
          <w:lang w:eastAsia="zh-CN"/>
        </w:rPr>
        <w:t xml:space="preserve"> 物价涨落事件；</w:t>
      </w:r>
    </w:p>
    <w:p w14:paraId="7DD3AA47">
      <w:pPr>
        <w:spacing w:line="360" w:lineRule="auto"/>
        <w:ind w:firstLine="960" w:firstLineChars="400"/>
        <w:rPr>
          <w:rFonts w:hint="eastAsia" w:ascii="仿宋" w:hAnsi="仿宋" w:eastAsia="仿宋"/>
          <w:color w:val="auto"/>
          <w:highlight w:val="none"/>
          <w:lang w:eastAsia="zh-CN"/>
        </w:rPr>
      </w:pPr>
      <w:r>
        <w:rPr>
          <w:color w:val="auto"/>
          <w:highlight w:val="none"/>
          <w:bdr w:val="single" w:color="auto" w:sz="4" w:space="0"/>
          <w:lang w:eastAsia="zh-CN"/>
        </w:rPr>
        <w:t>√</w:t>
      </w:r>
      <w:r>
        <w:rPr>
          <w:rFonts w:ascii="仿宋" w:hAnsi="仿宋" w:eastAsia="仿宋"/>
          <w:color w:val="auto"/>
          <w:highlight w:val="none"/>
          <w:lang w:eastAsia="zh-CN"/>
        </w:rPr>
        <w:t xml:space="preserve"> 收费减免：本项目如能办理到相关的收费减免（如</w:t>
      </w:r>
      <w:r>
        <w:rPr>
          <w:rFonts w:hint="eastAsia" w:ascii="仿宋" w:hAnsi="仿宋" w:eastAsia="仿宋"/>
          <w:color w:val="auto"/>
          <w:highlight w:val="none"/>
          <w:lang w:eastAsia="zh-CN"/>
        </w:rPr>
        <w:t>余泥渣土排放费</w:t>
      </w:r>
      <w:r>
        <w:rPr>
          <w:rFonts w:ascii="仿宋" w:hAnsi="仿宋" w:eastAsia="仿宋"/>
          <w:color w:val="auto"/>
          <w:highlight w:val="none"/>
          <w:lang w:eastAsia="zh-CN"/>
        </w:rPr>
        <w:t>等）；</w:t>
      </w:r>
    </w:p>
    <w:p w14:paraId="61F4AA97">
      <w:pPr>
        <w:spacing w:line="360" w:lineRule="auto"/>
        <w:ind w:firstLine="840" w:firstLineChars="3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color w:val="auto"/>
          <w:highlight w:val="none"/>
          <w:bdr w:val="single" w:color="auto" w:sz="4" w:space="0"/>
          <w:lang w:eastAsia="zh-CN"/>
        </w:rPr>
        <w:t>√</w:t>
      </w:r>
      <w:r>
        <w:rPr>
          <w:rFonts w:ascii="仿宋" w:hAnsi="仿宋" w:eastAsia="仿宋"/>
          <w:color w:val="auto"/>
          <w:highlight w:val="none"/>
          <w:lang w:eastAsia="zh-CN"/>
        </w:rPr>
        <w:t xml:space="preserve"> </w:t>
      </w:r>
      <w:r>
        <w:rPr>
          <w:rFonts w:hint="eastAsia" w:ascii="仿宋" w:hAnsi="仿宋" w:eastAsia="仿宋"/>
          <w:color w:val="auto"/>
          <w:highlight w:val="none"/>
          <w:lang w:eastAsia="zh-CN"/>
        </w:rPr>
        <w:t>税率调整。</w:t>
      </w:r>
    </w:p>
    <w:p w14:paraId="2D978D73">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6</w:t>
      </w:r>
      <w:r>
        <w:rPr>
          <w:rFonts w:hint="eastAsia" w:ascii="仿宋" w:hAnsi="仿宋" w:eastAsia="仿宋"/>
          <w:color w:val="auto"/>
          <w:highlight w:val="none"/>
          <w:lang w:eastAsia="zh-CN"/>
        </w:rPr>
        <w:t>9</w:t>
      </w:r>
      <w:r>
        <w:rPr>
          <w:rFonts w:ascii="仿宋" w:hAnsi="仿宋" w:eastAsia="仿宋"/>
          <w:color w:val="auto"/>
          <w:highlight w:val="none"/>
          <w:lang w:eastAsia="zh-CN"/>
        </w:rPr>
        <w:t>.</w:t>
      </w:r>
      <w:r>
        <w:rPr>
          <w:rFonts w:hint="eastAsia" w:ascii="仿宋" w:hAnsi="仿宋" w:eastAsia="仿宋"/>
          <w:color w:val="auto"/>
          <w:highlight w:val="none"/>
          <w:lang w:eastAsia="zh-CN"/>
        </w:rPr>
        <w:t>5</w:t>
      </w:r>
      <w:r>
        <w:rPr>
          <w:rFonts w:ascii="仿宋" w:hAnsi="仿宋" w:eastAsia="仿宋"/>
          <w:color w:val="auto"/>
          <w:highlight w:val="none"/>
          <w:lang w:eastAsia="zh-CN"/>
        </w:rPr>
        <w:t xml:space="preserve"> 补充条款:</w:t>
      </w:r>
      <w:r>
        <w:rPr>
          <w:rFonts w:hint="eastAsia" w:ascii="仿宋" w:hAnsi="仿宋" w:eastAsia="仿宋"/>
          <w:color w:val="auto"/>
          <w:highlight w:val="none"/>
          <w:lang w:eastAsia="zh-CN"/>
        </w:rPr>
        <w:t>本项目依据签订的补充协议对应的措施项目费包干，不调整。项目措施费调减的特殊情况：工程实施内容减少，按分部分项工程费计算减少比例超过10%的，超过部分按分部分项工程费的比例调减措施项目费。措施项目费增加的，均不得调整。</w:t>
      </w:r>
    </w:p>
    <w:p w14:paraId="10CC5161">
      <w:pPr>
        <w:spacing w:line="360" w:lineRule="auto"/>
        <w:ind w:firstLine="480" w:firstLineChars="200"/>
        <w:rPr>
          <w:rFonts w:hint="eastAsia" w:ascii="仿宋" w:hAnsi="仿宋" w:eastAsia="仿宋"/>
          <w:color w:val="auto"/>
          <w:highlight w:val="none"/>
          <w:u w:val="single"/>
          <w:lang w:eastAsia="zh-CN"/>
        </w:rPr>
      </w:pPr>
      <w:r>
        <w:rPr>
          <w:rFonts w:ascii="仿宋" w:hAnsi="仿宋" w:eastAsia="仿宋"/>
          <w:color w:val="auto"/>
          <w:highlight w:val="none"/>
          <w:u w:val="single"/>
          <w:lang w:eastAsia="zh-CN"/>
        </w:rPr>
        <w:t>承包人已充分考虑施工现场实际情况</w:t>
      </w:r>
      <w:r>
        <w:rPr>
          <w:rFonts w:hint="eastAsia" w:ascii="仿宋" w:hAnsi="仿宋" w:eastAsia="仿宋"/>
          <w:color w:val="auto"/>
          <w:highlight w:val="none"/>
          <w:u w:val="single"/>
          <w:lang w:eastAsia="zh-CN"/>
        </w:rPr>
        <w:t>（特别是邻近高压线施工防护、在建地铁保护范围内施工防护等重要事项）</w:t>
      </w:r>
      <w:r>
        <w:rPr>
          <w:rFonts w:ascii="仿宋" w:hAnsi="仿宋" w:eastAsia="仿宋"/>
          <w:color w:val="auto"/>
          <w:highlight w:val="none"/>
          <w:u w:val="single"/>
          <w:lang w:eastAsia="zh-CN"/>
        </w:rPr>
        <w:t>，考虑风险，发包人将不再另行支付由此而引起的费用增加。</w:t>
      </w:r>
    </w:p>
    <w:p w14:paraId="25D6E023">
      <w:pPr>
        <w:pStyle w:val="3"/>
        <w:tabs>
          <w:tab w:val="left" w:pos="420"/>
        </w:tabs>
        <w:spacing w:line="360" w:lineRule="auto"/>
        <w:ind w:firstLine="105"/>
        <w:rPr>
          <w:rFonts w:hint="eastAsia" w:ascii="仿宋" w:hAnsi="仿宋" w:eastAsia="仿宋" w:cs="仿宋"/>
          <w:b w:val="0"/>
          <w:bCs w:val="0"/>
          <w:i w:val="0"/>
          <w:iCs w:val="0"/>
          <w:color w:val="auto"/>
          <w:sz w:val="24"/>
          <w:szCs w:val="24"/>
          <w:highlight w:val="none"/>
          <w:lang w:eastAsia="zh-CN"/>
        </w:rPr>
      </w:pPr>
      <w:bookmarkStart w:id="1819" w:name="_Toc47694432"/>
      <w:bookmarkStart w:id="1820" w:name="_Toc30033"/>
      <w:bookmarkStart w:id="1821" w:name="_Toc3872"/>
      <w:bookmarkStart w:id="1822" w:name="_Toc28658"/>
      <w:bookmarkStart w:id="1823" w:name="_Toc30837"/>
      <w:bookmarkStart w:id="1824" w:name="_Toc28693"/>
      <w:bookmarkStart w:id="1825" w:name="_Toc13286"/>
      <w:bookmarkStart w:id="1826" w:name="_Toc18161"/>
      <w:r>
        <w:rPr>
          <w:rFonts w:hint="eastAsia" w:ascii="仿宋" w:hAnsi="仿宋" w:eastAsia="仿宋" w:cs="仿宋"/>
          <w:b w:val="0"/>
          <w:bCs w:val="0"/>
          <w:i w:val="0"/>
          <w:iCs w:val="0"/>
          <w:color w:val="auto"/>
          <w:sz w:val="24"/>
          <w:szCs w:val="24"/>
          <w:highlight w:val="none"/>
          <w:lang w:eastAsia="zh-CN"/>
        </w:rPr>
        <w:t>★71.  工作量或工程量</w:t>
      </w:r>
      <w:bookmarkEnd w:id="1819"/>
      <w:bookmarkEnd w:id="1820"/>
      <w:bookmarkEnd w:id="1821"/>
      <w:bookmarkEnd w:id="1822"/>
      <w:bookmarkEnd w:id="1823"/>
      <w:bookmarkEnd w:id="1824"/>
      <w:bookmarkEnd w:id="1825"/>
      <w:bookmarkEnd w:id="1826"/>
    </w:p>
    <w:p w14:paraId="2C662079">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71.1 清单工程量包括的工作内容</w:t>
      </w:r>
    </w:p>
    <w:p w14:paraId="3E5F781A">
      <w:pPr>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按通用条款约定。</w:t>
      </w:r>
    </w:p>
    <w:p w14:paraId="24E98712">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另作约定：</w:t>
      </w:r>
      <w:r>
        <w:rPr>
          <w:rFonts w:ascii="仿宋" w:hAnsi="仿宋" w:eastAsia="仿宋"/>
          <w:color w:val="auto"/>
          <w:highlight w:val="none"/>
          <w:u w:val="single"/>
          <w:lang w:eastAsia="zh-CN"/>
        </w:rPr>
        <w:t>工程量清单中开列的工程量应包括由承包人完成合同工程的施工、安装等工作内容。其任何遗漏或错误，既不能使合同无效，也不能免除承包人按照施工设计图纸、标准与规范实施合同工程的任何责任。对于依据施工设计图纸应在工程量清单中计量但工程量清单未计量的实体工程内容，应根据本合同专用条款第72条规定确定合同价款的增加额。承包人在施工组织设计涉及的凡属施工技术措施、安全措施的费用，不论施工组织设计是否得到发包人或监理</w:t>
      </w:r>
      <w:r>
        <w:rPr>
          <w:rFonts w:hint="eastAsia" w:ascii="仿宋" w:hAnsi="仿宋" w:eastAsia="仿宋"/>
          <w:color w:val="auto"/>
          <w:highlight w:val="none"/>
          <w:u w:val="single"/>
          <w:lang w:eastAsia="zh-CN"/>
        </w:rPr>
        <w:t>人</w:t>
      </w:r>
      <w:r>
        <w:rPr>
          <w:rFonts w:ascii="仿宋" w:hAnsi="仿宋" w:eastAsia="仿宋"/>
          <w:color w:val="auto"/>
          <w:highlight w:val="none"/>
          <w:u w:val="single"/>
          <w:lang w:eastAsia="zh-CN"/>
        </w:rPr>
        <w:t>的认可和批准，该费用发包人一概不予另行</w:t>
      </w:r>
      <w:r>
        <w:rPr>
          <w:rFonts w:hint="eastAsia" w:ascii="仿宋" w:hAnsi="仿宋" w:eastAsia="仿宋"/>
          <w:color w:val="auto"/>
          <w:highlight w:val="none"/>
          <w:u w:val="single"/>
          <w:lang w:eastAsia="zh-CN"/>
        </w:rPr>
        <w:t>支付</w:t>
      </w:r>
      <w:r>
        <w:rPr>
          <w:rFonts w:ascii="仿宋" w:hAnsi="仿宋" w:eastAsia="仿宋"/>
          <w:color w:val="auto"/>
          <w:highlight w:val="none"/>
          <w:u w:val="single"/>
          <w:lang w:eastAsia="zh-CN"/>
        </w:rPr>
        <w:t>。</w:t>
      </w:r>
    </w:p>
    <w:p w14:paraId="31AA8984">
      <w:pPr>
        <w:pStyle w:val="3"/>
        <w:tabs>
          <w:tab w:val="left" w:pos="420"/>
        </w:tabs>
        <w:spacing w:line="360" w:lineRule="auto"/>
        <w:rPr>
          <w:rFonts w:hint="eastAsia"/>
          <w:i w:val="0"/>
          <w:iCs w:val="0"/>
          <w:color w:val="auto"/>
          <w:highlight w:val="none"/>
          <w:lang w:eastAsia="zh-CN"/>
        </w:rPr>
      </w:pPr>
      <w:bookmarkStart w:id="1827" w:name="_Toc20657"/>
      <w:bookmarkStart w:id="1828" w:name="_Toc2629"/>
      <w:bookmarkStart w:id="1829" w:name="_Toc4570"/>
      <w:bookmarkStart w:id="1830" w:name="_Toc18699"/>
      <w:bookmarkStart w:id="1831" w:name="_Toc47694433"/>
      <w:bookmarkStart w:id="1832" w:name="_Toc22132"/>
      <w:bookmarkStart w:id="1833" w:name="_Toc201"/>
      <w:bookmarkStart w:id="1834" w:name="_Toc12315"/>
      <w:r>
        <w:rPr>
          <w:rFonts w:hint="eastAsia" w:ascii="仿宋" w:hAnsi="仿宋" w:eastAsia="仿宋" w:cs="仿宋"/>
          <w:b w:val="0"/>
          <w:bCs w:val="0"/>
          <w:i w:val="0"/>
          <w:iCs w:val="0"/>
          <w:color w:val="auto"/>
          <w:sz w:val="24"/>
          <w:szCs w:val="24"/>
          <w:highlight w:val="none"/>
          <w:lang w:eastAsia="zh-CN"/>
        </w:rPr>
        <w:t>★72.  计量和计价</w:t>
      </w:r>
      <w:bookmarkEnd w:id="1827"/>
      <w:bookmarkEnd w:id="1828"/>
      <w:bookmarkEnd w:id="1829"/>
      <w:bookmarkEnd w:id="1830"/>
      <w:bookmarkEnd w:id="1831"/>
      <w:bookmarkEnd w:id="1832"/>
      <w:bookmarkEnd w:id="1833"/>
      <w:bookmarkEnd w:id="1834"/>
    </w:p>
    <w:p w14:paraId="1D81C2DF">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72.1 计量和计价的依据</w:t>
      </w:r>
    </w:p>
    <w:p w14:paraId="35CD760C">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72.1.1 工程勘察费的计量规则与计价办法（应与第69条选择的合同价格形式对应）</w:t>
      </w:r>
    </w:p>
    <w:p w14:paraId="2EDD4DCE">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2CEFB539">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14:paraId="3CF22EF7">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w:t>
      </w:r>
    </w:p>
    <w:p w14:paraId="5610C04C">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总价合同＋部分单价合同</w:t>
      </w:r>
    </w:p>
    <w:p w14:paraId="063F57E5">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097DCBF1">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单价合同的范围为：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0727EA9C">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14:paraId="54733D9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14:paraId="35A1E89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采用单价合同的部分，按岩土工程勘探工作量（米）综合单价包干，除合同约定可以调整的事项外，工作量或工程量按实计算，综合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实际工作量或工程量是在满足现行岩土工程勘察规范以及设计需求的条件下，并经设计顾问人及发包人审核确认后的工作量或工程量。工程勘察费为完成本工程所需的所有工程勘察工作的全部实物工作收费、技术工作收费、辅助工作收费（包括但不限于协助办理相关许可、收集资料、拆除障碍物、修通现场作业道路及接通水源和电源、平整场地、勘察材料及加工等）等全部费用，发包人不另行补偿其他费用。各项目勘察工作发生的费用，统一在岩土勘察费中综合考虑。</w:t>
      </w:r>
    </w:p>
    <w:p w14:paraId="14633C4D">
      <w:pPr>
        <w:spacing w:line="360" w:lineRule="auto"/>
        <w:ind w:firstLine="1080" w:firstLineChars="4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14:paraId="7F05C67B">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其中：A＝协议书约定的相应总价±合同约定的价格调整</w:t>
      </w:r>
    </w:p>
    <w:p w14:paraId="1903C129">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B＝中标综合单价×实际数量</w:t>
      </w:r>
    </w:p>
    <w:p w14:paraId="0BF291D4">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采用单价合同，除合同约定可以调整的事项外。   </w:t>
      </w:r>
    </w:p>
    <w:p w14:paraId="526ED878">
      <w:pPr>
        <w:adjustRightInd w:val="0"/>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rPr>
        <w:t>勘察服务费组成表：</w:t>
      </w:r>
    </w:p>
    <w:tbl>
      <w:tblPr>
        <w:tblStyle w:val="44"/>
        <w:tblW w:w="9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0"/>
        <w:gridCol w:w="2197"/>
        <w:gridCol w:w="1033"/>
        <w:gridCol w:w="950"/>
        <w:gridCol w:w="950"/>
        <w:gridCol w:w="1025"/>
        <w:gridCol w:w="3295"/>
      </w:tblGrid>
      <w:tr w14:paraId="38D22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6" w:hRule="atLeast"/>
          <w:tblHeader/>
          <w:jc w:val="center"/>
        </w:trPr>
        <w:tc>
          <w:tcPr>
            <w:tcW w:w="480" w:type="dxa"/>
            <w:tcBorders>
              <w:top w:val="single" w:color="auto" w:sz="4" w:space="0"/>
              <w:left w:val="single" w:color="auto" w:sz="4" w:space="0"/>
              <w:bottom w:val="single" w:color="auto" w:sz="4" w:space="0"/>
              <w:right w:val="single" w:color="auto" w:sz="4" w:space="0"/>
            </w:tcBorders>
            <w:noWrap w:val="0"/>
            <w:vAlign w:val="center"/>
          </w:tcPr>
          <w:p w14:paraId="1D57B233">
            <w:pPr>
              <w:pStyle w:val="39"/>
              <w:jc w:val="center"/>
              <w:rPr>
                <w:rFonts w:hint="eastAsia" w:ascii="仿宋" w:hAnsi="仿宋" w:eastAsia="仿宋" w:cs="仿宋"/>
                <w:b/>
                <w:color w:val="auto"/>
                <w:highlight w:val="none"/>
              </w:rPr>
            </w:pPr>
            <w:r>
              <w:rPr>
                <w:rFonts w:hint="eastAsia" w:ascii="仿宋" w:hAnsi="仿宋" w:eastAsia="仿宋" w:cs="仿宋"/>
                <w:b/>
                <w:color w:val="auto"/>
                <w:highlight w:val="none"/>
              </w:rPr>
              <w:t>序号</w:t>
            </w:r>
          </w:p>
        </w:tc>
        <w:tc>
          <w:tcPr>
            <w:tcW w:w="2197" w:type="dxa"/>
            <w:tcBorders>
              <w:top w:val="single" w:color="auto" w:sz="4" w:space="0"/>
              <w:left w:val="single" w:color="auto" w:sz="4" w:space="0"/>
              <w:bottom w:val="single" w:color="auto" w:sz="4" w:space="0"/>
              <w:right w:val="single" w:color="auto" w:sz="4" w:space="0"/>
            </w:tcBorders>
            <w:noWrap w:val="0"/>
            <w:vAlign w:val="center"/>
          </w:tcPr>
          <w:p w14:paraId="2F430EAE">
            <w:pPr>
              <w:pStyle w:val="39"/>
              <w:adjustRightInd w:val="0"/>
              <w:snapToGrid w:val="0"/>
              <w:jc w:val="center"/>
              <w:rPr>
                <w:rFonts w:hint="eastAsia" w:ascii="仿宋" w:hAnsi="仿宋" w:eastAsia="仿宋" w:cs="仿宋"/>
                <w:b/>
                <w:color w:val="auto"/>
                <w:highlight w:val="none"/>
              </w:rPr>
            </w:pPr>
            <w:r>
              <w:rPr>
                <w:rFonts w:hint="eastAsia" w:ascii="仿宋" w:hAnsi="仿宋" w:eastAsia="仿宋" w:cs="仿宋"/>
                <w:b/>
                <w:color w:val="auto"/>
                <w:highlight w:val="none"/>
              </w:rPr>
              <w:t>项目</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22FBE079">
            <w:pPr>
              <w:pStyle w:val="39"/>
              <w:adjustRightInd w:val="0"/>
              <w:snapToGrid w:val="0"/>
              <w:jc w:val="center"/>
              <w:rPr>
                <w:rFonts w:hint="eastAsia" w:ascii="仿宋" w:hAnsi="仿宋" w:eastAsia="仿宋" w:cs="仿宋"/>
                <w:b/>
                <w:color w:val="auto"/>
                <w:highlight w:val="none"/>
              </w:rPr>
            </w:pPr>
            <w:r>
              <w:rPr>
                <w:rFonts w:hint="eastAsia" w:ascii="仿宋" w:hAnsi="仿宋" w:eastAsia="仿宋" w:cs="仿宋"/>
                <w:b/>
                <w:color w:val="auto"/>
                <w:highlight w:val="none"/>
              </w:rPr>
              <w:t>暂定工作量</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3494FEFE">
            <w:pPr>
              <w:pStyle w:val="39"/>
              <w:adjustRightInd w:val="0"/>
              <w:snapToGrid w:val="0"/>
              <w:jc w:val="center"/>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单位</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51A950C7">
            <w:pPr>
              <w:pStyle w:val="39"/>
              <w:adjustRightInd w:val="0"/>
              <w:snapToGrid w:val="0"/>
              <w:jc w:val="center"/>
              <w:rPr>
                <w:rFonts w:hint="eastAsia" w:ascii="仿宋" w:hAnsi="仿宋" w:eastAsia="仿宋" w:cs="仿宋"/>
                <w:b/>
                <w:color w:val="auto"/>
                <w:highlight w:val="none"/>
              </w:rPr>
            </w:pPr>
            <w:r>
              <w:rPr>
                <w:rFonts w:hint="eastAsia" w:ascii="仿宋" w:hAnsi="仿宋" w:eastAsia="仿宋" w:cs="仿宋"/>
                <w:b/>
                <w:color w:val="auto"/>
                <w:highlight w:val="none"/>
              </w:rPr>
              <w:t>含税综合单价</w:t>
            </w:r>
            <w:r>
              <w:rPr>
                <w:rFonts w:hint="eastAsia" w:ascii="仿宋" w:hAnsi="仿宋" w:eastAsia="仿宋" w:cs="仿宋"/>
                <w:b/>
                <w:color w:val="auto"/>
                <w:highlight w:val="none"/>
                <w:lang w:eastAsia="zh-CN"/>
              </w:rPr>
              <w:t>（</w:t>
            </w:r>
            <w:r>
              <w:rPr>
                <w:rFonts w:hint="eastAsia" w:ascii="仿宋" w:hAnsi="仿宋" w:eastAsia="仿宋" w:cs="仿宋"/>
                <w:b/>
                <w:color w:val="auto"/>
                <w:highlight w:val="none"/>
                <w:lang w:val="en-US" w:eastAsia="zh-CN"/>
              </w:rPr>
              <w:t>元</w:t>
            </w:r>
            <w:r>
              <w:rPr>
                <w:rFonts w:hint="eastAsia" w:ascii="仿宋" w:hAnsi="仿宋" w:eastAsia="仿宋" w:cs="仿宋"/>
                <w:b/>
                <w:color w:val="auto"/>
                <w:highlight w:val="none"/>
                <w:lang w:eastAsia="zh-CN"/>
              </w:rPr>
              <w:t>）</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56C1423B">
            <w:pPr>
              <w:pStyle w:val="39"/>
              <w:jc w:val="center"/>
              <w:rPr>
                <w:rFonts w:hint="eastAsia" w:ascii="仿宋" w:hAnsi="仿宋" w:eastAsia="仿宋" w:cs="仿宋"/>
                <w:b/>
                <w:color w:val="auto"/>
                <w:highlight w:val="none"/>
              </w:rPr>
            </w:pPr>
            <w:r>
              <w:rPr>
                <w:rFonts w:hint="eastAsia" w:ascii="仿宋" w:hAnsi="仿宋" w:eastAsia="仿宋" w:cs="仿宋"/>
                <w:b/>
                <w:color w:val="auto"/>
                <w:highlight w:val="none"/>
              </w:rPr>
              <w:t>勘察费总价（万元）</w:t>
            </w:r>
          </w:p>
        </w:tc>
        <w:tc>
          <w:tcPr>
            <w:tcW w:w="3295" w:type="dxa"/>
            <w:tcBorders>
              <w:top w:val="single" w:color="auto" w:sz="4" w:space="0"/>
              <w:left w:val="single" w:color="auto" w:sz="4" w:space="0"/>
              <w:bottom w:val="single" w:color="auto" w:sz="4" w:space="0"/>
              <w:right w:val="single" w:color="auto" w:sz="4" w:space="0"/>
            </w:tcBorders>
            <w:noWrap w:val="0"/>
            <w:vAlign w:val="center"/>
          </w:tcPr>
          <w:p w14:paraId="05F505C8">
            <w:pPr>
              <w:pStyle w:val="39"/>
              <w:jc w:val="center"/>
              <w:rPr>
                <w:rFonts w:hint="eastAsia" w:ascii="仿宋" w:hAnsi="仿宋" w:eastAsia="仿宋" w:cs="仿宋"/>
                <w:b/>
                <w:color w:val="auto"/>
                <w:highlight w:val="none"/>
              </w:rPr>
            </w:pPr>
            <w:r>
              <w:rPr>
                <w:rFonts w:hint="eastAsia" w:ascii="仿宋" w:hAnsi="仿宋" w:eastAsia="仿宋" w:cs="仿宋"/>
                <w:b/>
                <w:color w:val="auto"/>
                <w:highlight w:val="none"/>
              </w:rPr>
              <w:t>备注</w:t>
            </w:r>
          </w:p>
        </w:tc>
      </w:tr>
      <w:tr w14:paraId="4087C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7" w:hRule="atLeast"/>
          <w:jc w:val="center"/>
        </w:trPr>
        <w:tc>
          <w:tcPr>
            <w:tcW w:w="480" w:type="dxa"/>
            <w:tcBorders>
              <w:top w:val="single" w:color="auto" w:sz="4" w:space="0"/>
              <w:left w:val="single" w:color="auto" w:sz="4" w:space="0"/>
              <w:bottom w:val="single" w:color="auto" w:sz="4" w:space="0"/>
              <w:right w:val="single" w:color="auto" w:sz="4" w:space="0"/>
            </w:tcBorders>
            <w:noWrap w:val="0"/>
            <w:vAlign w:val="center"/>
          </w:tcPr>
          <w:p w14:paraId="59876439">
            <w:pPr>
              <w:pStyle w:val="39"/>
              <w:spacing w:line="4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2197" w:type="dxa"/>
            <w:tcBorders>
              <w:top w:val="single" w:color="auto" w:sz="4" w:space="0"/>
              <w:left w:val="single" w:color="auto" w:sz="4" w:space="0"/>
              <w:bottom w:val="single" w:color="auto" w:sz="4" w:space="0"/>
              <w:right w:val="single" w:color="auto" w:sz="4" w:space="0"/>
            </w:tcBorders>
            <w:noWrap w:val="0"/>
            <w:vAlign w:val="center"/>
          </w:tcPr>
          <w:p w14:paraId="41A13144">
            <w:pPr>
              <w:pStyle w:val="39"/>
              <w:spacing w:line="4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岩土工程勘察费</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FFC8CE">
            <w:pPr>
              <w:pStyle w:val="39"/>
              <w:spacing w:line="400" w:lineRule="exact"/>
              <w:jc w:val="center"/>
              <w:rPr>
                <w:rFonts w:hint="default" w:ascii="仿宋" w:hAnsi="仿宋" w:eastAsia="仿宋" w:cs="仿宋"/>
                <w:color w:val="auto"/>
                <w:highlight w:val="none"/>
                <w:lang w:val="en-US" w:eastAsia="zh-CN"/>
              </w:rPr>
            </w:pPr>
          </w:p>
        </w:tc>
        <w:tc>
          <w:tcPr>
            <w:tcW w:w="950" w:type="dxa"/>
            <w:tcBorders>
              <w:top w:val="single" w:color="auto" w:sz="4" w:space="0"/>
              <w:left w:val="single" w:color="auto" w:sz="4" w:space="0"/>
              <w:bottom w:val="single" w:color="auto" w:sz="4" w:space="0"/>
              <w:right w:val="single" w:color="auto" w:sz="4" w:space="0"/>
            </w:tcBorders>
            <w:noWrap w:val="0"/>
            <w:vAlign w:val="center"/>
          </w:tcPr>
          <w:p w14:paraId="5BE14581">
            <w:pPr>
              <w:pStyle w:val="39"/>
              <w:spacing w:line="4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m</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2CD81B77">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en-US" w:bidi="en-US"/>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21E98054">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en-US" w:bidi="en-US"/>
              </w:rPr>
            </w:pPr>
          </w:p>
        </w:tc>
        <w:tc>
          <w:tcPr>
            <w:tcW w:w="3295" w:type="dxa"/>
            <w:tcBorders>
              <w:top w:val="single" w:color="auto" w:sz="4" w:space="0"/>
              <w:left w:val="single" w:color="auto" w:sz="4" w:space="0"/>
              <w:bottom w:val="single" w:color="auto" w:sz="4" w:space="0"/>
              <w:right w:val="single" w:color="auto" w:sz="4" w:space="0"/>
            </w:tcBorders>
            <w:noWrap w:val="0"/>
            <w:vAlign w:val="center"/>
          </w:tcPr>
          <w:p w14:paraId="448B4B8F">
            <w:pPr>
              <w:textAlignment w:val="center"/>
              <w:rPr>
                <w:rFonts w:hint="eastAsia" w:ascii="仿宋" w:hAnsi="仿宋" w:eastAsia="仿宋" w:cs="仿宋"/>
                <w:b/>
                <w:color w:val="auto"/>
                <w:highlight w:val="none"/>
              </w:rPr>
            </w:pPr>
            <w:r>
              <w:rPr>
                <w:rFonts w:hint="eastAsia" w:ascii="仿宋" w:hAnsi="仿宋" w:eastAsia="仿宋" w:cs="仿宋"/>
                <w:color w:val="auto"/>
                <w:highlight w:val="none"/>
                <w:lang w:eastAsia="zh-CN" w:bidi="ar"/>
              </w:rPr>
              <w:t>包括初步勘察、详细勘察、施工阶段勘察及所有实物工作收费、技术工作收费、进退场费、税金等。综合包干单价投标报价应不高于120元/m。结算按投标综合包干单价计算。</w:t>
            </w:r>
          </w:p>
        </w:tc>
      </w:tr>
      <w:tr w14:paraId="1E362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7" w:hRule="atLeast"/>
          <w:jc w:val="center"/>
        </w:trPr>
        <w:tc>
          <w:tcPr>
            <w:tcW w:w="480" w:type="dxa"/>
            <w:tcBorders>
              <w:top w:val="single" w:color="auto" w:sz="4" w:space="0"/>
              <w:left w:val="single" w:color="auto" w:sz="4" w:space="0"/>
              <w:bottom w:val="single" w:color="auto" w:sz="4" w:space="0"/>
              <w:right w:val="single" w:color="auto" w:sz="4" w:space="0"/>
            </w:tcBorders>
            <w:noWrap w:val="0"/>
            <w:vAlign w:val="center"/>
          </w:tcPr>
          <w:p w14:paraId="33C99E98">
            <w:pPr>
              <w:pStyle w:val="39"/>
              <w:spacing w:line="4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2</w:t>
            </w:r>
          </w:p>
        </w:tc>
        <w:tc>
          <w:tcPr>
            <w:tcW w:w="2197" w:type="dxa"/>
            <w:tcBorders>
              <w:top w:val="single" w:color="auto" w:sz="4" w:space="0"/>
              <w:left w:val="single" w:color="auto" w:sz="4" w:space="0"/>
              <w:bottom w:val="single" w:color="auto" w:sz="4" w:space="0"/>
              <w:right w:val="single" w:color="auto" w:sz="4" w:space="0"/>
            </w:tcBorders>
            <w:noWrap w:val="0"/>
            <w:vAlign w:val="center"/>
          </w:tcPr>
          <w:p w14:paraId="49A0F89A">
            <w:pPr>
              <w:pStyle w:val="39"/>
              <w:spacing w:line="4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超前钻费用</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2FE3F175">
            <w:pPr>
              <w:pStyle w:val="39"/>
              <w:spacing w:line="400" w:lineRule="exact"/>
              <w:jc w:val="center"/>
              <w:rPr>
                <w:rFonts w:ascii="仿宋" w:hAnsi="仿宋" w:eastAsia="仿宋" w:cs="仿宋"/>
                <w:color w:val="auto"/>
                <w:highlight w:val="none"/>
                <w:lang w:eastAsia="zh-CN"/>
              </w:rPr>
            </w:pPr>
          </w:p>
        </w:tc>
        <w:tc>
          <w:tcPr>
            <w:tcW w:w="950" w:type="dxa"/>
            <w:tcBorders>
              <w:top w:val="single" w:color="auto" w:sz="4" w:space="0"/>
              <w:left w:val="single" w:color="auto" w:sz="4" w:space="0"/>
              <w:bottom w:val="single" w:color="auto" w:sz="4" w:space="0"/>
              <w:right w:val="single" w:color="auto" w:sz="4" w:space="0"/>
            </w:tcBorders>
            <w:noWrap w:val="0"/>
            <w:vAlign w:val="center"/>
          </w:tcPr>
          <w:p w14:paraId="289D9CF0">
            <w:pPr>
              <w:pStyle w:val="39"/>
              <w:spacing w:line="4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m</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2003BA13">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en-US" w:bidi="en-US"/>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592268DD">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en-US" w:bidi="en-US"/>
              </w:rPr>
            </w:pPr>
          </w:p>
        </w:tc>
        <w:tc>
          <w:tcPr>
            <w:tcW w:w="3295" w:type="dxa"/>
            <w:tcBorders>
              <w:top w:val="single" w:color="auto" w:sz="4" w:space="0"/>
              <w:left w:val="single" w:color="auto" w:sz="4" w:space="0"/>
              <w:bottom w:val="single" w:color="auto" w:sz="4" w:space="0"/>
              <w:right w:val="single" w:color="auto" w:sz="4" w:space="0"/>
            </w:tcBorders>
            <w:noWrap w:val="0"/>
            <w:vAlign w:val="center"/>
          </w:tcPr>
          <w:p w14:paraId="761C965A">
            <w:pPr>
              <w:textAlignment w:val="center"/>
              <w:rPr>
                <w:rFonts w:hint="eastAsia" w:ascii="仿宋" w:hAnsi="仿宋" w:eastAsia="仿宋" w:cs="仿宋"/>
                <w:color w:val="auto"/>
                <w:highlight w:val="none"/>
                <w:lang w:eastAsia="zh-CN" w:bidi="ar"/>
              </w:rPr>
            </w:pPr>
            <w:r>
              <w:rPr>
                <w:rFonts w:hint="eastAsia" w:ascii="仿宋" w:hAnsi="仿宋" w:eastAsia="仿宋" w:cs="仿宋"/>
                <w:color w:val="auto"/>
                <w:highlight w:val="none"/>
                <w:lang w:eastAsia="zh-CN" w:bidi="ar"/>
              </w:rPr>
              <w:t>包括所有实物工作收费、技术工作收费、进退场费、税金等。综合包干单价投标报价应不高于105元/m。结算按投标综合包干单价计算。</w:t>
            </w:r>
          </w:p>
          <w:p w14:paraId="54E6B1F6">
            <w:pPr>
              <w:textAlignment w:val="center"/>
              <w:rPr>
                <w:rFonts w:hint="eastAsia" w:ascii="仿宋" w:hAnsi="仿宋" w:eastAsia="仿宋" w:cs="仿宋"/>
                <w:b/>
                <w:color w:val="auto"/>
                <w:highlight w:val="none"/>
                <w:lang w:eastAsia="zh-CN"/>
              </w:rPr>
            </w:pPr>
            <w:r>
              <w:rPr>
                <w:rFonts w:hint="eastAsia" w:ascii="仿宋" w:hAnsi="仿宋" w:eastAsia="仿宋" w:cs="仿宋"/>
                <w:color w:val="auto"/>
                <w:highlight w:val="none"/>
                <w:lang w:eastAsia="zh-CN" w:bidi="ar"/>
              </w:rPr>
              <w:t>2.本项费用如有发生则据实结算。</w:t>
            </w:r>
          </w:p>
        </w:tc>
      </w:tr>
      <w:tr w14:paraId="210FC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7" w:hRule="atLeast"/>
          <w:jc w:val="center"/>
        </w:trPr>
        <w:tc>
          <w:tcPr>
            <w:tcW w:w="480" w:type="dxa"/>
            <w:tcBorders>
              <w:top w:val="single" w:color="auto" w:sz="4" w:space="0"/>
              <w:left w:val="single" w:color="auto" w:sz="4" w:space="0"/>
              <w:bottom w:val="single" w:color="auto" w:sz="4" w:space="0"/>
              <w:right w:val="single" w:color="auto" w:sz="4" w:space="0"/>
            </w:tcBorders>
            <w:noWrap w:val="0"/>
            <w:vAlign w:val="center"/>
          </w:tcPr>
          <w:p w14:paraId="34FC3A00">
            <w:pPr>
              <w:pStyle w:val="39"/>
              <w:spacing w:line="4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3</w:t>
            </w:r>
          </w:p>
        </w:tc>
        <w:tc>
          <w:tcPr>
            <w:tcW w:w="2197" w:type="dxa"/>
            <w:tcBorders>
              <w:top w:val="single" w:color="auto" w:sz="4" w:space="0"/>
              <w:left w:val="single" w:color="auto" w:sz="4" w:space="0"/>
              <w:bottom w:val="single" w:color="auto" w:sz="4" w:space="0"/>
              <w:right w:val="single" w:color="auto" w:sz="4" w:space="0"/>
            </w:tcBorders>
            <w:noWrap w:val="0"/>
            <w:vAlign w:val="center"/>
          </w:tcPr>
          <w:p w14:paraId="4642ECBB">
            <w:pPr>
              <w:pStyle w:val="39"/>
              <w:jc w:val="center"/>
              <w:rPr>
                <w:rFonts w:hint="eastAsia" w:ascii="仿宋" w:hAnsi="仿宋" w:eastAsia="仿宋" w:cs="仿宋"/>
                <w:color w:val="auto"/>
                <w:highlight w:val="none"/>
              </w:rPr>
            </w:pPr>
            <w:r>
              <w:rPr>
                <w:rFonts w:hint="eastAsia" w:ascii="仿宋" w:hAnsi="仿宋" w:eastAsia="仿宋" w:cs="仿宋"/>
                <w:color w:val="auto"/>
                <w:highlight w:val="none"/>
              </w:rPr>
              <w:t>工程物探费</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1E89F1DD">
            <w:pPr>
              <w:pStyle w:val="39"/>
              <w:spacing w:line="400" w:lineRule="exact"/>
              <w:jc w:val="center"/>
              <w:rPr>
                <w:rFonts w:ascii="仿宋" w:hAnsi="仿宋" w:eastAsia="仿宋" w:cs="仿宋"/>
                <w:color w:val="auto"/>
                <w:highlight w:val="none"/>
                <w:lang w:eastAsia="zh-CN"/>
              </w:rPr>
            </w:pPr>
          </w:p>
        </w:tc>
        <w:tc>
          <w:tcPr>
            <w:tcW w:w="950" w:type="dxa"/>
            <w:tcBorders>
              <w:top w:val="single" w:color="auto" w:sz="4" w:space="0"/>
              <w:left w:val="single" w:color="auto" w:sz="4" w:space="0"/>
              <w:bottom w:val="single" w:color="auto" w:sz="4" w:space="0"/>
              <w:right w:val="single" w:color="auto" w:sz="4" w:space="0"/>
            </w:tcBorders>
            <w:noWrap w:val="0"/>
            <w:vAlign w:val="center"/>
          </w:tcPr>
          <w:p w14:paraId="2098E620">
            <w:pPr>
              <w:pStyle w:val="39"/>
              <w:spacing w:line="4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1DFF581B">
            <w:pPr>
              <w:keepNext w:val="0"/>
              <w:keepLines w:val="0"/>
              <w:widowControl/>
              <w:suppressLineNumbers w:val="0"/>
              <w:jc w:val="center"/>
              <w:textAlignment w:val="center"/>
              <w:rPr>
                <w:rFonts w:hint="default" w:ascii="仿宋" w:hAnsi="仿宋" w:eastAsia="仿宋" w:cs="仿宋"/>
                <w:color w:val="auto"/>
                <w:sz w:val="24"/>
                <w:szCs w:val="24"/>
                <w:highlight w:val="none"/>
                <w:lang w:val="en-US" w:eastAsia="en-US" w:bidi="en-US"/>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5883181D">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en-US" w:bidi="en-US"/>
              </w:rPr>
            </w:pPr>
          </w:p>
        </w:tc>
        <w:tc>
          <w:tcPr>
            <w:tcW w:w="3295" w:type="dxa"/>
            <w:tcBorders>
              <w:top w:val="single" w:color="auto" w:sz="4" w:space="0"/>
              <w:left w:val="single" w:color="auto" w:sz="4" w:space="0"/>
              <w:bottom w:val="single" w:color="auto" w:sz="4" w:space="0"/>
              <w:right w:val="single" w:color="auto" w:sz="4" w:space="0"/>
            </w:tcBorders>
            <w:noWrap w:val="0"/>
            <w:vAlign w:val="center"/>
          </w:tcPr>
          <w:p w14:paraId="4383BA0E">
            <w:pPr>
              <w:textAlignment w:val="center"/>
              <w:rPr>
                <w:rFonts w:hint="eastAsia" w:ascii="仿宋" w:hAnsi="仿宋" w:eastAsia="仿宋" w:cs="仿宋"/>
                <w:color w:val="auto"/>
                <w:highlight w:val="none"/>
                <w:lang w:eastAsia="zh-CN" w:bidi="ar"/>
              </w:rPr>
            </w:pPr>
            <w:r>
              <w:rPr>
                <w:rFonts w:hint="eastAsia" w:ascii="仿宋" w:hAnsi="仿宋" w:eastAsia="仿宋" w:cs="仿宋"/>
                <w:color w:val="auto"/>
                <w:highlight w:val="none"/>
                <w:lang w:eastAsia="zh-CN" w:bidi="ar"/>
              </w:rPr>
              <w:t>地下物探（含管线探测），包括地下和地上架空电缆测量、工业管线测量、上下水管道测量、地下和地上架空电缆探测、金属管线探测、非金属管线探测、下水道探测、技术工作费、地下建构筑物，查明探测范围内各专业管线走向、位置和标高等工作内容。</w:t>
            </w:r>
          </w:p>
          <w:p w14:paraId="1B46A386">
            <w:pPr>
              <w:textAlignment w:val="center"/>
              <w:rPr>
                <w:rFonts w:hint="eastAsia" w:ascii="仿宋" w:hAnsi="仿宋" w:eastAsia="仿宋" w:cs="仿宋"/>
                <w:b/>
                <w:color w:val="auto"/>
                <w:highlight w:val="none"/>
                <w:lang w:eastAsia="zh-CN"/>
              </w:rPr>
            </w:pPr>
            <w:r>
              <w:rPr>
                <w:rFonts w:hint="eastAsia" w:ascii="仿宋" w:hAnsi="仿宋" w:eastAsia="仿宋" w:cs="仿宋"/>
                <w:color w:val="auto"/>
                <w:highlight w:val="none"/>
                <w:lang w:eastAsia="zh-CN" w:bidi="ar"/>
              </w:rPr>
              <w:t>综合包干单价投标报价应不高于1.5元/㎡。结算按投标综合包干单价计算。</w:t>
            </w:r>
          </w:p>
        </w:tc>
      </w:tr>
      <w:tr w14:paraId="568A1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7" w:hRule="atLeast"/>
          <w:jc w:val="center"/>
        </w:trPr>
        <w:tc>
          <w:tcPr>
            <w:tcW w:w="480" w:type="dxa"/>
            <w:tcBorders>
              <w:top w:val="single" w:color="auto" w:sz="4" w:space="0"/>
              <w:left w:val="single" w:color="auto" w:sz="4" w:space="0"/>
              <w:bottom w:val="single" w:color="auto" w:sz="4" w:space="0"/>
              <w:right w:val="single" w:color="auto" w:sz="4" w:space="0"/>
            </w:tcBorders>
            <w:noWrap w:val="0"/>
            <w:vAlign w:val="center"/>
          </w:tcPr>
          <w:p w14:paraId="602AD50E">
            <w:pPr>
              <w:pStyle w:val="39"/>
              <w:spacing w:line="4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4</w:t>
            </w:r>
          </w:p>
        </w:tc>
        <w:tc>
          <w:tcPr>
            <w:tcW w:w="2197" w:type="dxa"/>
            <w:tcBorders>
              <w:top w:val="single" w:color="auto" w:sz="4" w:space="0"/>
              <w:left w:val="single" w:color="auto" w:sz="4" w:space="0"/>
              <w:bottom w:val="single" w:color="auto" w:sz="4" w:space="0"/>
              <w:right w:val="single" w:color="auto" w:sz="4" w:space="0"/>
            </w:tcBorders>
            <w:noWrap w:val="0"/>
            <w:vAlign w:val="center"/>
          </w:tcPr>
          <w:p w14:paraId="452EFE06">
            <w:pPr>
              <w:jc w:val="center"/>
              <w:textAlignment w:val="center"/>
              <w:rPr>
                <w:rFonts w:hint="eastAsia" w:ascii="仿宋" w:hAnsi="仿宋" w:eastAsia="仿宋" w:cs="仿宋"/>
                <w:color w:val="auto"/>
                <w:highlight w:val="none"/>
              </w:rPr>
            </w:pPr>
            <w:r>
              <w:rPr>
                <w:rFonts w:hint="eastAsia" w:ascii="仿宋" w:hAnsi="仿宋" w:eastAsia="仿宋" w:cs="仿宋"/>
                <w:color w:val="auto"/>
                <w:highlight w:val="none"/>
                <w:lang w:eastAsia="zh-CN" w:bidi="ar"/>
              </w:rPr>
              <w:t>抽水试验</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112FB91D">
            <w:pPr>
              <w:pStyle w:val="39"/>
              <w:spacing w:line="400" w:lineRule="exact"/>
              <w:jc w:val="center"/>
              <w:rPr>
                <w:rFonts w:hint="eastAsia" w:ascii="仿宋" w:hAnsi="仿宋" w:cs="仿宋"/>
                <w:color w:val="auto"/>
                <w:highlight w:val="none"/>
                <w:lang w:eastAsia="zh-CN"/>
              </w:rPr>
            </w:pPr>
          </w:p>
        </w:tc>
        <w:tc>
          <w:tcPr>
            <w:tcW w:w="950" w:type="dxa"/>
            <w:tcBorders>
              <w:top w:val="single" w:color="auto" w:sz="4" w:space="0"/>
              <w:left w:val="single" w:color="auto" w:sz="4" w:space="0"/>
              <w:bottom w:val="single" w:color="auto" w:sz="4" w:space="0"/>
              <w:right w:val="single" w:color="auto" w:sz="4" w:space="0"/>
            </w:tcBorders>
            <w:noWrap w:val="0"/>
            <w:vAlign w:val="center"/>
          </w:tcPr>
          <w:p w14:paraId="3CA5B717">
            <w:pPr>
              <w:pStyle w:val="39"/>
              <w:spacing w:line="4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个</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66CC482A">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en-US" w:bidi="en-US"/>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00B5A7EC">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en-US" w:bidi="en-US"/>
              </w:rPr>
            </w:pPr>
          </w:p>
        </w:tc>
        <w:tc>
          <w:tcPr>
            <w:tcW w:w="3295" w:type="dxa"/>
            <w:tcBorders>
              <w:top w:val="single" w:color="auto" w:sz="4" w:space="0"/>
              <w:left w:val="single" w:color="auto" w:sz="4" w:space="0"/>
              <w:bottom w:val="single" w:color="auto" w:sz="4" w:space="0"/>
              <w:right w:val="single" w:color="auto" w:sz="4" w:space="0"/>
            </w:tcBorders>
            <w:noWrap w:val="0"/>
            <w:vAlign w:val="center"/>
          </w:tcPr>
          <w:p w14:paraId="20B86DF0">
            <w:pPr>
              <w:pStyle w:val="39"/>
              <w:ind w:left="48" w:leftChars="20" w:right="48" w:rightChars="2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综合包干单价投标报价应不高于10000元/个。</w:t>
            </w:r>
          </w:p>
        </w:tc>
      </w:tr>
      <w:tr w14:paraId="689EF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7" w:hRule="atLeast"/>
          <w:jc w:val="center"/>
        </w:trPr>
        <w:tc>
          <w:tcPr>
            <w:tcW w:w="480" w:type="dxa"/>
            <w:tcBorders>
              <w:top w:val="single" w:color="auto" w:sz="4" w:space="0"/>
              <w:left w:val="single" w:color="auto" w:sz="4" w:space="0"/>
              <w:bottom w:val="single" w:color="auto" w:sz="4" w:space="0"/>
              <w:right w:val="single" w:color="auto" w:sz="4" w:space="0"/>
            </w:tcBorders>
            <w:noWrap w:val="0"/>
            <w:vAlign w:val="center"/>
          </w:tcPr>
          <w:p w14:paraId="231310C5">
            <w:pPr>
              <w:pStyle w:val="39"/>
              <w:spacing w:line="4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5</w:t>
            </w:r>
          </w:p>
        </w:tc>
        <w:tc>
          <w:tcPr>
            <w:tcW w:w="2197" w:type="dxa"/>
            <w:tcBorders>
              <w:top w:val="single" w:color="auto" w:sz="4" w:space="0"/>
              <w:left w:val="single" w:color="auto" w:sz="4" w:space="0"/>
              <w:bottom w:val="single" w:color="auto" w:sz="4" w:space="0"/>
              <w:right w:val="single" w:color="auto" w:sz="4" w:space="0"/>
            </w:tcBorders>
            <w:noWrap w:val="0"/>
            <w:vAlign w:val="center"/>
          </w:tcPr>
          <w:p w14:paraId="5C6EB671">
            <w:pPr>
              <w:jc w:val="center"/>
              <w:textAlignment w:val="center"/>
              <w:rPr>
                <w:rFonts w:hint="eastAsia" w:ascii="仿宋" w:hAnsi="仿宋" w:eastAsia="仿宋" w:cs="仿宋"/>
                <w:color w:val="auto"/>
                <w:highlight w:val="none"/>
              </w:rPr>
            </w:pPr>
            <w:r>
              <w:rPr>
                <w:rFonts w:hint="eastAsia" w:ascii="仿宋" w:hAnsi="仿宋" w:eastAsia="仿宋" w:cs="仿宋"/>
                <w:color w:val="auto"/>
                <w:highlight w:val="none"/>
                <w:lang w:eastAsia="zh-CN" w:bidi="ar"/>
              </w:rPr>
              <w:t>剪切波速</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22ABB81F">
            <w:pPr>
              <w:pStyle w:val="39"/>
              <w:spacing w:line="400" w:lineRule="exact"/>
              <w:jc w:val="center"/>
              <w:rPr>
                <w:rFonts w:hint="default" w:ascii="仿宋" w:hAnsi="仿宋" w:eastAsia="仿宋" w:cs="仿宋"/>
                <w:color w:val="auto"/>
                <w:highlight w:val="none"/>
                <w:lang w:val="en-US" w:eastAsia="zh-CN"/>
              </w:rPr>
            </w:pPr>
          </w:p>
        </w:tc>
        <w:tc>
          <w:tcPr>
            <w:tcW w:w="950" w:type="dxa"/>
            <w:tcBorders>
              <w:top w:val="single" w:color="auto" w:sz="4" w:space="0"/>
              <w:left w:val="single" w:color="auto" w:sz="4" w:space="0"/>
              <w:bottom w:val="single" w:color="auto" w:sz="4" w:space="0"/>
              <w:right w:val="single" w:color="auto" w:sz="4" w:space="0"/>
            </w:tcBorders>
            <w:noWrap w:val="0"/>
            <w:vAlign w:val="center"/>
          </w:tcPr>
          <w:p w14:paraId="7761D562">
            <w:pPr>
              <w:pStyle w:val="39"/>
              <w:spacing w:line="400" w:lineRule="exact"/>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孔</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4A39F12A">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en-US" w:bidi="en-US"/>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5A9D08E8">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en-US" w:bidi="en-US"/>
              </w:rPr>
            </w:pPr>
          </w:p>
        </w:tc>
        <w:tc>
          <w:tcPr>
            <w:tcW w:w="3295" w:type="dxa"/>
            <w:tcBorders>
              <w:top w:val="single" w:color="auto" w:sz="4" w:space="0"/>
              <w:left w:val="single" w:color="auto" w:sz="4" w:space="0"/>
              <w:bottom w:val="single" w:color="auto" w:sz="4" w:space="0"/>
              <w:right w:val="single" w:color="auto" w:sz="4" w:space="0"/>
            </w:tcBorders>
            <w:noWrap w:val="0"/>
            <w:vAlign w:val="center"/>
          </w:tcPr>
          <w:p w14:paraId="1DECEDC0">
            <w:pPr>
              <w:pStyle w:val="39"/>
              <w:ind w:left="48" w:leftChars="20" w:right="48" w:rightChars="2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综合包干单价投标报价应不高于</w:t>
            </w:r>
            <w:r>
              <w:rPr>
                <w:rStyle w:val="117"/>
                <w:rFonts w:hint="eastAsia" w:ascii="仿宋" w:hAnsi="仿宋" w:eastAsia="仿宋" w:cs="仿宋"/>
                <w:color w:val="auto"/>
                <w:sz w:val="24"/>
                <w:szCs w:val="24"/>
                <w:highlight w:val="none"/>
                <w:u w:val="single"/>
                <w:lang w:val="en-US" w:eastAsia="zh-CN" w:bidi="ar"/>
              </w:rPr>
              <w:t>2500</w:t>
            </w:r>
            <w:r>
              <w:rPr>
                <w:rFonts w:hint="eastAsia" w:ascii="仿宋" w:hAnsi="仿宋" w:eastAsia="仿宋" w:cs="仿宋"/>
                <w:color w:val="auto"/>
                <w:highlight w:val="none"/>
                <w:lang w:eastAsia="zh-CN"/>
              </w:rPr>
              <w:t>元/</w:t>
            </w:r>
            <w:r>
              <w:rPr>
                <w:rFonts w:hint="eastAsia" w:ascii="仿宋" w:hAnsi="仿宋" w:eastAsia="仿宋" w:cs="仿宋"/>
                <w:color w:val="auto"/>
                <w:highlight w:val="none"/>
                <w:lang w:val="en-US" w:eastAsia="zh-CN"/>
              </w:rPr>
              <w:t>孔</w:t>
            </w:r>
            <w:r>
              <w:rPr>
                <w:rFonts w:hint="eastAsia" w:ascii="仿宋" w:hAnsi="仿宋" w:eastAsia="仿宋" w:cs="仿宋"/>
                <w:color w:val="auto"/>
                <w:highlight w:val="none"/>
                <w:lang w:eastAsia="zh-CN"/>
              </w:rPr>
              <w:t>。</w:t>
            </w:r>
          </w:p>
        </w:tc>
      </w:tr>
      <w:tr w14:paraId="5ED30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7" w:hRule="atLeast"/>
          <w:jc w:val="center"/>
        </w:trPr>
        <w:tc>
          <w:tcPr>
            <w:tcW w:w="480" w:type="dxa"/>
            <w:tcBorders>
              <w:top w:val="single" w:color="auto" w:sz="4" w:space="0"/>
              <w:left w:val="single" w:color="auto" w:sz="4" w:space="0"/>
              <w:bottom w:val="single" w:color="auto" w:sz="4" w:space="0"/>
              <w:right w:val="single" w:color="auto" w:sz="4" w:space="0"/>
            </w:tcBorders>
            <w:noWrap w:val="0"/>
            <w:vAlign w:val="center"/>
          </w:tcPr>
          <w:p w14:paraId="5CCDF24B">
            <w:pPr>
              <w:pStyle w:val="39"/>
              <w:spacing w:line="4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6</w:t>
            </w:r>
          </w:p>
        </w:tc>
        <w:tc>
          <w:tcPr>
            <w:tcW w:w="2197" w:type="dxa"/>
            <w:tcBorders>
              <w:top w:val="single" w:color="auto" w:sz="4" w:space="0"/>
              <w:left w:val="single" w:color="auto" w:sz="4" w:space="0"/>
              <w:bottom w:val="single" w:color="auto" w:sz="4" w:space="0"/>
              <w:right w:val="single" w:color="auto" w:sz="4" w:space="0"/>
            </w:tcBorders>
            <w:noWrap w:val="0"/>
            <w:vAlign w:val="center"/>
          </w:tcPr>
          <w:p w14:paraId="13348091">
            <w:pPr>
              <w:jc w:val="center"/>
              <w:textAlignment w:val="center"/>
              <w:rPr>
                <w:rFonts w:hint="eastAsia" w:ascii="仿宋" w:hAnsi="仿宋" w:eastAsia="仿宋" w:cs="仿宋"/>
                <w:color w:val="auto"/>
                <w:highlight w:val="none"/>
              </w:rPr>
            </w:pPr>
            <w:r>
              <w:rPr>
                <w:rFonts w:hint="eastAsia" w:ascii="仿宋" w:hAnsi="仿宋" w:eastAsia="仿宋" w:cs="仿宋"/>
                <w:color w:val="auto"/>
                <w:highlight w:val="none"/>
                <w:lang w:eastAsia="zh-CN" w:bidi="ar"/>
              </w:rPr>
              <w:t>土壤氡浓度测试</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612216F8">
            <w:pPr>
              <w:pStyle w:val="39"/>
              <w:spacing w:line="400" w:lineRule="exact"/>
              <w:jc w:val="center"/>
              <w:rPr>
                <w:rFonts w:hint="default" w:ascii="仿宋" w:hAnsi="仿宋" w:eastAsia="仿宋" w:cs="仿宋"/>
                <w:color w:val="auto"/>
                <w:highlight w:val="none"/>
                <w:lang w:val="en-US" w:eastAsia="zh-CN"/>
              </w:rPr>
            </w:pPr>
          </w:p>
        </w:tc>
        <w:tc>
          <w:tcPr>
            <w:tcW w:w="950" w:type="dxa"/>
            <w:tcBorders>
              <w:top w:val="single" w:color="auto" w:sz="4" w:space="0"/>
              <w:left w:val="single" w:color="auto" w:sz="4" w:space="0"/>
              <w:bottom w:val="single" w:color="auto" w:sz="4" w:space="0"/>
              <w:right w:val="single" w:color="auto" w:sz="4" w:space="0"/>
            </w:tcBorders>
            <w:noWrap w:val="0"/>
            <w:vAlign w:val="center"/>
          </w:tcPr>
          <w:p w14:paraId="2A8B3499">
            <w:pPr>
              <w:pStyle w:val="39"/>
              <w:spacing w:line="4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点</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7A307D30">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en-US" w:bidi="en-US"/>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70CF3C89">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en-US" w:bidi="en-US"/>
              </w:rPr>
            </w:pPr>
          </w:p>
        </w:tc>
        <w:tc>
          <w:tcPr>
            <w:tcW w:w="3295" w:type="dxa"/>
            <w:tcBorders>
              <w:top w:val="single" w:color="auto" w:sz="4" w:space="0"/>
              <w:left w:val="single" w:color="auto" w:sz="4" w:space="0"/>
              <w:bottom w:val="single" w:color="auto" w:sz="4" w:space="0"/>
              <w:right w:val="single" w:color="auto" w:sz="4" w:space="0"/>
            </w:tcBorders>
            <w:noWrap w:val="0"/>
            <w:vAlign w:val="center"/>
          </w:tcPr>
          <w:p w14:paraId="7AEA6FFD">
            <w:pPr>
              <w:pStyle w:val="39"/>
              <w:ind w:left="48" w:leftChars="20" w:right="48" w:rightChars="2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综合包干单价投标报价应不高于</w:t>
            </w:r>
            <w:r>
              <w:rPr>
                <w:rStyle w:val="117"/>
                <w:rFonts w:hint="eastAsia" w:ascii="仿宋" w:hAnsi="仿宋" w:eastAsia="仿宋" w:cs="仿宋"/>
                <w:color w:val="auto"/>
                <w:sz w:val="24"/>
                <w:szCs w:val="24"/>
                <w:highlight w:val="none"/>
                <w:u w:val="single"/>
                <w:lang w:val="en-US" w:eastAsia="zh-CN" w:bidi="ar"/>
              </w:rPr>
              <w:t>120</w:t>
            </w:r>
            <w:r>
              <w:rPr>
                <w:rFonts w:hint="eastAsia" w:ascii="仿宋" w:hAnsi="仿宋" w:eastAsia="仿宋" w:cs="仿宋"/>
                <w:color w:val="auto"/>
                <w:highlight w:val="none"/>
                <w:lang w:eastAsia="zh-CN"/>
              </w:rPr>
              <w:t>元/点。</w:t>
            </w:r>
          </w:p>
        </w:tc>
      </w:tr>
      <w:tr w14:paraId="065AF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7" w:hRule="atLeast"/>
          <w:jc w:val="center"/>
        </w:trPr>
        <w:tc>
          <w:tcPr>
            <w:tcW w:w="480" w:type="dxa"/>
            <w:tcBorders>
              <w:top w:val="single" w:color="auto" w:sz="4" w:space="0"/>
              <w:left w:val="single" w:color="auto" w:sz="4" w:space="0"/>
              <w:bottom w:val="single" w:color="auto" w:sz="4" w:space="0"/>
              <w:right w:val="single" w:color="auto" w:sz="4" w:space="0"/>
            </w:tcBorders>
            <w:noWrap w:val="0"/>
            <w:vAlign w:val="center"/>
          </w:tcPr>
          <w:p w14:paraId="6AF94B67">
            <w:pPr>
              <w:pStyle w:val="39"/>
              <w:spacing w:line="4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7</w:t>
            </w:r>
          </w:p>
        </w:tc>
        <w:tc>
          <w:tcPr>
            <w:tcW w:w="2197" w:type="dxa"/>
            <w:tcBorders>
              <w:top w:val="single" w:color="auto" w:sz="4" w:space="0"/>
              <w:left w:val="single" w:color="auto" w:sz="4" w:space="0"/>
              <w:bottom w:val="single" w:color="auto" w:sz="4" w:space="0"/>
              <w:right w:val="single" w:color="auto" w:sz="4" w:space="0"/>
            </w:tcBorders>
            <w:noWrap w:val="0"/>
            <w:vAlign w:val="center"/>
          </w:tcPr>
          <w:p w14:paraId="4E166E48">
            <w:pPr>
              <w:jc w:val="center"/>
              <w:textAlignment w:val="center"/>
              <w:rPr>
                <w:rFonts w:hint="eastAsia" w:ascii="仿宋" w:hAnsi="仿宋" w:eastAsia="仿宋" w:cs="仿宋"/>
                <w:color w:val="auto"/>
                <w:highlight w:val="none"/>
              </w:rPr>
            </w:pPr>
            <w:r>
              <w:rPr>
                <w:rFonts w:hint="eastAsia" w:ascii="仿宋" w:hAnsi="仿宋" w:eastAsia="仿宋" w:cs="仿宋"/>
                <w:color w:val="auto"/>
                <w:highlight w:val="none"/>
                <w:lang w:eastAsia="zh-CN" w:bidi="ar"/>
              </w:rPr>
              <w:t>噪声测试</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61A14A72">
            <w:pPr>
              <w:pStyle w:val="39"/>
              <w:spacing w:line="400" w:lineRule="exact"/>
              <w:jc w:val="center"/>
              <w:rPr>
                <w:rFonts w:hint="default" w:ascii="仿宋" w:hAnsi="仿宋" w:eastAsia="仿宋" w:cs="仿宋"/>
                <w:color w:val="auto"/>
                <w:highlight w:val="none"/>
                <w:lang w:val="en-US" w:eastAsia="zh-CN"/>
              </w:rPr>
            </w:pPr>
          </w:p>
        </w:tc>
        <w:tc>
          <w:tcPr>
            <w:tcW w:w="950" w:type="dxa"/>
            <w:tcBorders>
              <w:top w:val="single" w:color="auto" w:sz="4" w:space="0"/>
              <w:left w:val="single" w:color="auto" w:sz="4" w:space="0"/>
              <w:bottom w:val="single" w:color="auto" w:sz="4" w:space="0"/>
              <w:right w:val="single" w:color="auto" w:sz="4" w:space="0"/>
            </w:tcBorders>
            <w:noWrap w:val="0"/>
            <w:vAlign w:val="center"/>
          </w:tcPr>
          <w:p w14:paraId="648B8FB3">
            <w:pPr>
              <w:pStyle w:val="39"/>
              <w:spacing w:line="400" w:lineRule="exact"/>
              <w:jc w:val="center"/>
              <w:rPr>
                <w:rFonts w:hint="eastAsia" w:ascii="仿宋" w:hAnsi="仿宋" w:eastAsia="仿宋" w:cs="仿宋"/>
                <w:color w:val="auto"/>
                <w:highlight w:val="none"/>
                <w:lang w:eastAsia="zh-CN"/>
              </w:rPr>
            </w:pPr>
            <w:r>
              <w:rPr>
                <w:rFonts w:ascii="仿宋" w:hAnsi="仿宋" w:eastAsia="仿宋" w:cs="仿宋"/>
                <w:color w:val="auto"/>
                <w:highlight w:val="none"/>
              </w:rPr>
              <w:t>项</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7C0B927B">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en-US" w:bidi="en-US"/>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2284964D">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en-US" w:bidi="en-US"/>
              </w:rPr>
            </w:pPr>
          </w:p>
        </w:tc>
        <w:tc>
          <w:tcPr>
            <w:tcW w:w="3295" w:type="dxa"/>
            <w:tcBorders>
              <w:top w:val="single" w:color="auto" w:sz="4" w:space="0"/>
              <w:left w:val="single" w:color="auto" w:sz="4" w:space="0"/>
              <w:bottom w:val="single" w:color="auto" w:sz="4" w:space="0"/>
              <w:right w:val="single" w:color="auto" w:sz="4" w:space="0"/>
            </w:tcBorders>
            <w:noWrap w:val="0"/>
            <w:vAlign w:val="center"/>
          </w:tcPr>
          <w:p w14:paraId="00B28D96">
            <w:pPr>
              <w:pStyle w:val="39"/>
              <w:ind w:left="48" w:leftChars="20" w:right="48" w:rightChars="2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综合包干单价投标报价应不高于</w:t>
            </w:r>
            <w:r>
              <w:rPr>
                <w:rStyle w:val="117"/>
                <w:rFonts w:hint="eastAsia" w:ascii="仿宋" w:hAnsi="仿宋" w:eastAsia="仿宋" w:cs="仿宋"/>
                <w:color w:val="auto"/>
                <w:sz w:val="24"/>
                <w:szCs w:val="24"/>
                <w:highlight w:val="none"/>
                <w:u w:val="single"/>
                <w:lang w:val="en-US" w:eastAsia="zh-CN" w:bidi="ar"/>
              </w:rPr>
              <w:t>3000</w:t>
            </w:r>
            <w:r>
              <w:rPr>
                <w:rFonts w:hint="eastAsia" w:ascii="仿宋" w:hAnsi="仿宋" w:eastAsia="仿宋" w:cs="仿宋"/>
                <w:color w:val="auto"/>
                <w:highlight w:val="none"/>
                <w:lang w:eastAsia="zh-CN"/>
              </w:rPr>
              <w:t>元/项。</w:t>
            </w:r>
          </w:p>
        </w:tc>
      </w:tr>
      <w:tr w14:paraId="433AD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7" w:hRule="atLeast"/>
          <w:jc w:val="center"/>
        </w:trPr>
        <w:tc>
          <w:tcPr>
            <w:tcW w:w="480" w:type="dxa"/>
            <w:tcBorders>
              <w:top w:val="single" w:color="auto" w:sz="4" w:space="0"/>
              <w:left w:val="single" w:color="auto" w:sz="4" w:space="0"/>
              <w:bottom w:val="single" w:color="auto" w:sz="4" w:space="0"/>
              <w:right w:val="single" w:color="auto" w:sz="4" w:space="0"/>
            </w:tcBorders>
            <w:noWrap w:val="0"/>
            <w:vAlign w:val="center"/>
          </w:tcPr>
          <w:p w14:paraId="0AE7DA00">
            <w:pPr>
              <w:pStyle w:val="39"/>
              <w:spacing w:line="400" w:lineRule="exact"/>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8</w:t>
            </w:r>
          </w:p>
        </w:tc>
        <w:tc>
          <w:tcPr>
            <w:tcW w:w="2197" w:type="dxa"/>
            <w:tcBorders>
              <w:top w:val="single" w:color="auto" w:sz="4" w:space="0"/>
              <w:left w:val="single" w:color="auto" w:sz="4" w:space="0"/>
              <w:bottom w:val="single" w:color="auto" w:sz="4" w:space="0"/>
              <w:right w:val="single" w:color="auto" w:sz="4" w:space="0"/>
            </w:tcBorders>
            <w:noWrap w:val="0"/>
            <w:vAlign w:val="center"/>
          </w:tcPr>
          <w:p w14:paraId="773ECF0B">
            <w:pPr>
              <w:jc w:val="center"/>
              <w:textAlignment w:val="center"/>
              <w:rPr>
                <w:rFonts w:hint="eastAsia" w:ascii="仿宋" w:hAnsi="仿宋" w:eastAsia="仿宋" w:cs="仿宋"/>
                <w:color w:val="auto"/>
                <w:highlight w:val="none"/>
                <w:lang w:eastAsia="zh-CN" w:bidi="ar"/>
              </w:rPr>
            </w:pPr>
            <w:r>
              <w:rPr>
                <w:rFonts w:hint="eastAsia" w:ascii="仿宋" w:hAnsi="仿宋" w:eastAsia="仿宋" w:cs="仿宋"/>
                <w:color w:val="auto"/>
                <w:highlight w:val="none"/>
                <w:lang w:eastAsia="zh-CN" w:bidi="ar"/>
              </w:rPr>
              <w:t>微动探测</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36B7D2E">
            <w:pPr>
              <w:pStyle w:val="39"/>
              <w:spacing w:line="400" w:lineRule="exact"/>
              <w:jc w:val="center"/>
              <w:rPr>
                <w:rFonts w:hint="eastAsia" w:ascii="仿宋" w:hAnsi="仿宋" w:eastAsia="仿宋" w:cs="仿宋"/>
                <w:color w:val="auto"/>
                <w:highlight w:val="none"/>
                <w:lang w:val="en-US" w:eastAsia="zh-CN"/>
              </w:rPr>
            </w:pPr>
          </w:p>
        </w:tc>
        <w:tc>
          <w:tcPr>
            <w:tcW w:w="950" w:type="dxa"/>
            <w:tcBorders>
              <w:top w:val="single" w:color="auto" w:sz="4" w:space="0"/>
              <w:left w:val="single" w:color="auto" w:sz="4" w:space="0"/>
              <w:bottom w:val="single" w:color="auto" w:sz="4" w:space="0"/>
              <w:right w:val="single" w:color="auto" w:sz="4" w:space="0"/>
            </w:tcBorders>
            <w:noWrap w:val="0"/>
            <w:vAlign w:val="center"/>
          </w:tcPr>
          <w:p w14:paraId="50EED9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eastAsia="en-US" w:bidi="en-US"/>
              </w:rPr>
            </w:pPr>
            <w:r>
              <w:rPr>
                <w:rFonts w:hint="eastAsia" w:ascii="宋体" w:hAnsi="宋体" w:eastAsia="宋体" w:cs="宋体"/>
                <w:i w:val="0"/>
                <w:iCs w:val="0"/>
                <w:color w:val="auto"/>
                <w:kern w:val="0"/>
                <w:sz w:val="22"/>
                <w:szCs w:val="22"/>
                <w:highlight w:val="none"/>
                <w:u w:val="none"/>
                <w:lang w:val="en-US" w:eastAsia="zh-CN" w:bidi="ar"/>
              </w:rPr>
              <w:t>点</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47A5C855">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en-US" w:bidi="en-US"/>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16909BF5">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en-US" w:bidi="en-US"/>
              </w:rPr>
            </w:pPr>
          </w:p>
        </w:tc>
        <w:tc>
          <w:tcPr>
            <w:tcW w:w="3295" w:type="dxa"/>
            <w:tcBorders>
              <w:top w:val="single" w:color="auto" w:sz="4" w:space="0"/>
              <w:left w:val="single" w:color="auto" w:sz="4" w:space="0"/>
              <w:bottom w:val="single" w:color="auto" w:sz="4" w:space="0"/>
              <w:right w:val="single" w:color="auto" w:sz="4" w:space="0"/>
            </w:tcBorders>
            <w:noWrap w:val="0"/>
            <w:vAlign w:val="center"/>
          </w:tcPr>
          <w:p w14:paraId="176D7C38">
            <w:pPr>
              <w:pStyle w:val="39"/>
              <w:ind w:left="48" w:leftChars="20" w:right="48" w:rightChars="2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综合包干单价投标报价应不高于800元/点。</w:t>
            </w:r>
          </w:p>
        </w:tc>
      </w:tr>
      <w:tr w14:paraId="5844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7" w:hRule="atLeast"/>
          <w:jc w:val="center"/>
        </w:trPr>
        <w:tc>
          <w:tcPr>
            <w:tcW w:w="480" w:type="dxa"/>
            <w:tcBorders>
              <w:top w:val="single" w:color="auto" w:sz="4" w:space="0"/>
              <w:left w:val="single" w:color="auto" w:sz="4" w:space="0"/>
              <w:bottom w:val="single" w:color="auto" w:sz="4" w:space="0"/>
              <w:right w:val="single" w:color="auto" w:sz="4" w:space="0"/>
            </w:tcBorders>
            <w:noWrap w:val="0"/>
            <w:vAlign w:val="center"/>
          </w:tcPr>
          <w:p w14:paraId="678A45B2">
            <w:pPr>
              <w:pStyle w:val="39"/>
              <w:spacing w:line="400" w:lineRule="exact"/>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9</w:t>
            </w:r>
          </w:p>
        </w:tc>
        <w:tc>
          <w:tcPr>
            <w:tcW w:w="2197" w:type="dxa"/>
            <w:tcBorders>
              <w:top w:val="single" w:color="auto" w:sz="4" w:space="0"/>
              <w:left w:val="single" w:color="auto" w:sz="4" w:space="0"/>
              <w:bottom w:val="single" w:color="auto" w:sz="4" w:space="0"/>
              <w:right w:val="single" w:color="auto" w:sz="4" w:space="0"/>
            </w:tcBorders>
            <w:noWrap w:val="0"/>
            <w:vAlign w:val="center"/>
          </w:tcPr>
          <w:p w14:paraId="5A090FA1">
            <w:pPr>
              <w:jc w:val="center"/>
              <w:textAlignment w:val="center"/>
              <w:rPr>
                <w:rFonts w:hint="eastAsia" w:ascii="仿宋" w:hAnsi="仿宋" w:eastAsia="仿宋" w:cs="仿宋"/>
                <w:color w:val="auto"/>
                <w:highlight w:val="none"/>
              </w:rPr>
            </w:pPr>
            <w:r>
              <w:rPr>
                <w:rFonts w:hint="eastAsia" w:ascii="仿宋" w:hAnsi="仿宋" w:eastAsia="仿宋" w:cs="仿宋"/>
                <w:color w:val="auto"/>
                <w:highlight w:val="none"/>
                <w:lang w:eastAsia="zh-CN" w:bidi="ar"/>
              </w:rPr>
              <w:t>管波探测</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E550E1E">
            <w:pPr>
              <w:pStyle w:val="39"/>
              <w:spacing w:line="400" w:lineRule="exact"/>
              <w:jc w:val="center"/>
              <w:rPr>
                <w:rFonts w:hint="default" w:ascii="仿宋" w:hAnsi="仿宋" w:eastAsia="仿宋" w:cs="仿宋"/>
                <w:color w:val="auto"/>
                <w:highlight w:val="none"/>
                <w:lang w:val="en-US" w:eastAsia="zh-CN"/>
              </w:rPr>
            </w:pPr>
          </w:p>
        </w:tc>
        <w:tc>
          <w:tcPr>
            <w:tcW w:w="950" w:type="dxa"/>
            <w:tcBorders>
              <w:top w:val="single" w:color="auto" w:sz="4" w:space="0"/>
              <w:left w:val="single" w:color="auto" w:sz="4" w:space="0"/>
              <w:bottom w:val="single" w:color="auto" w:sz="4" w:space="0"/>
              <w:right w:val="single" w:color="auto" w:sz="4" w:space="0"/>
            </w:tcBorders>
            <w:noWrap w:val="0"/>
            <w:vAlign w:val="center"/>
          </w:tcPr>
          <w:p w14:paraId="78F419DB">
            <w:pPr>
              <w:pStyle w:val="39"/>
              <w:spacing w:line="4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孔</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4F685620">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en-US" w:bidi="en-US"/>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0E320584">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en-US" w:bidi="en-US"/>
              </w:rPr>
            </w:pPr>
          </w:p>
        </w:tc>
        <w:tc>
          <w:tcPr>
            <w:tcW w:w="3295" w:type="dxa"/>
            <w:tcBorders>
              <w:top w:val="single" w:color="auto" w:sz="4" w:space="0"/>
              <w:left w:val="single" w:color="auto" w:sz="4" w:space="0"/>
              <w:bottom w:val="single" w:color="auto" w:sz="4" w:space="0"/>
              <w:right w:val="single" w:color="auto" w:sz="4" w:space="0"/>
            </w:tcBorders>
            <w:noWrap w:val="0"/>
            <w:vAlign w:val="center"/>
          </w:tcPr>
          <w:p w14:paraId="3B40A3AA">
            <w:pPr>
              <w:pStyle w:val="39"/>
              <w:ind w:left="48" w:leftChars="20" w:right="48" w:rightChars="2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综合包干单价投标报价应不高于</w:t>
            </w:r>
            <w:r>
              <w:rPr>
                <w:rStyle w:val="117"/>
                <w:rFonts w:hint="eastAsia" w:ascii="仿宋" w:hAnsi="仿宋" w:eastAsia="仿宋" w:cs="仿宋"/>
                <w:color w:val="auto"/>
                <w:sz w:val="24"/>
                <w:szCs w:val="24"/>
                <w:highlight w:val="none"/>
                <w:u w:val="single"/>
                <w:lang w:val="en-US" w:eastAsia="zh-CN" w:bidi="ar"/>
              </w:rPr>
              <w:t>2300</w:t>
            </w:r>
            <w:r>
              <w:rPr>
                <w:rFonts w:hint="eastAsia" w:ascii="仿宋" w:hAnsi="仿宋" w:eastAsia="仿宋" w:cs="仿宋"/>
                <w:color w:val="auto"/>
                <w:highlight w:val="none"/>
                <w:lang w:eastAsia="zh-CN"/>
              </w:rPr>
              <w:t>元/孔。</w:t>
            </w:r>
          </w:p>
        </w:tc>
      </w:tr>
      <w:tr w14:paraId="6308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7" w:hRule="atLeast"/>
          <w:jc w:val="center"/>
        </w:trPr>
        <w:tc>
          <w:tcPr>
            <w:tcW w:w="480" w:type="dxa"/>
            <w:tcBorders>
              <w:top w:val="single" w:color="auto" w:sz="4" w:space="0"/>
              <w:left w:val="single" w:color="auto" w:sz="4" w:space="0"/>
              <w:bottom w:val="single" w:color="auto" w:sz="4" w:space="0"/>
              <w:right w:val="single" w:color="auto" w:sz="4" w:space="0"/>
            </w:tcBorders>
            <w:noWrap w:val="0"/>
            <w:vAlign w:val="center"/>
          </w:tcPr>
          <w:p w14:paraId="233911EA">
            <w:pPr>
              <w:pStyle w:val="39"/>
              <w:spacing w:line="400" w:lineRule="exact"/>
              <w:jc w:val="center"/>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10</w:t>
            </w:r>
          </w:p>
        </w:tc>
        <w:tc>
          <w:tcPr>
            <w:tcW w:w="2197" w:type="dxa"/>
            <w:tcBorders>
              <w:top w:val="single" w:color="auto" w:sz="4" w:space="0"/>
              <w:left w:val="single" w:color="auto" w:sz="4" w:space="0"/>
              <w:bottom w:val="single" w:color="auto" w:sz="4" w:space="0"/>
              <w:right w:val="single" w:color="auto" w:sz="4" w:space="0"/>
            </w:tcBorders>
            <w:noWrap w:val="0"/>
            <w:vAlign w:val="center"/>
          </w:tcPr>
          <w:p w14:paraId="4D3914DD">
            <w:pPr>
              <w:pStyle w:val="39"/>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地形测绘及工程测量（含规划报建放线费)</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688A5EFF">
            <w:pPr>
              <w:pStyle w:val="39"/>
              <w:spacing w:line="400" w:lineRule="exact"/>
              <w:jc w:val="center"/>
              <w:rPr>
                <w:rFonts w:hint="default" w:ascii="仿宋" w:hAnsi="仿宋" w:eastAsia="仿宋" w:cs="仿宋"/>
                <w:color w:val="auto"/>
                <w:highlight w:val="none"/>
                <w:lang w:val="en-US" w:eastAsia="zh-CN"/>
              </w:rPr>
            </w:pPr>
          </w:p>
        </w:tc>
        <w:tc>
          <w:tcPr>
            <w:tcW w:w="950" w:type="dxa"/>
            <w:tcBorders>
              <w:top w:val="single" w:color="auto" w:sz="4" w:space="0"/>
              <w:left w:val="single" w:color="auto" w:sz="4" w:space="0"/>
              <w:bottom w:val="single" w:color="auto" w:sz="4" w:space="0"/>
              <w:right w:val="single" w:color="auto" w:sz="4" w:space="0"/>
            </w:tcBorders>
            <w:noWrap w:val="0"/>
            <w:vAlign w:val="center"/>
          </w:tcPr>
          <w:p w14:paraId="0CAB2677">
            <w:pPr>
              <w:pStyle w:val="39"/>
              <w:spacing w:line="400" w:lineRule="exact"/>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项</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007B0C31">
            <w:pPr>
              <w:pStyle w:val="39"/>
              <w:spacing w:line="400" w:lineRule="exact"/>
              <w:jc w:val="center"/>
              <w:rPr>
                <w:rFonts w:hint="eastAsia" w:ascii="仿宋" w:hAnsi="仿宋" w:eastAsia="仿宋" w:cs="仿宋"/>
                <w:color w:val="auto"/>
                <w:kern w:val="0"/>
                <w:sz w:val="24"/>
                <w:szCs w:val="24"/>
                <w:highlight w:val="none"/>
                <w:lang w:val="en-US" w:eastAsia="en-US" w:bidi="en-US"/>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23D3D358">
            <w:pPr>
              <w:pStyle w:val="39"/>
              <w:spacing w:line="400" w:lineRule="exact"/>
              <w:jc w:val="center"/>
              <w:rPr>
                <w:rFonts w:hint="eastAsia" w:ascii="仿宋" w:hAnsi="仿宋" w:eastAsia="仿宋" w:cs="仿宋"/>
                <w:color w:val="auto"/>
                <w:kern w:val="0"/>
                <w:sz w:val="24"/>
                <w:szCs w:val="24"/>
                <w:highlight w:val="none"/>
                <w:lang w:val="en-US" w:eastAsia="en-US" w:bidi="en-US"/>
              </w:rPr>
            </w:pPr>
          </w:p>
        </w:tc>
        <w:tc>
          <w:tcPr>
            <w:tcW w:w="3295" w:type="dxa"/>
            <w:tcBorders>
              <w:top w:val="single" w:color="auto" w:sz="4" w:space="0"/>
              <w:left w:val="single" w:color="auto" w:sz="4" w:space="0"/>
              <w:bottom w:val="single" w:color="auto" w:sz="4" w:space="0"/>
              <w:right w:val="single" w:color="auto" w:sz="4" w:space="0"/>
            </w:tcBorders>
            <w:noWrap w:val="0"/>
            <w:vAlign w:val="center"/>
          </w:tcPr>
          <w:p w14:paraId="4BEF7FE7">
            <w:pPr>
              <w:pStyle w:val="39"/>
              <w:ind w:left="48" w:leftChars="20" w:right="48" w:rightChars="20"/>
              <w:rPr>
                <w:rFonts w:hint="eastAsia" w:ascii="仿宋" w:hAnsi="仿宋" w:eastAsia="仿宋" w:cs="仿宋"/>
                <w:bCs/>
                <w:color w:val="auto"/>
                <w:highlight w:val="none"/>
                <w:lang w:eastAsia="zh-CN"/>
              </w:rPr>
            </w:pPr>
            <w:r>
              <w:rPr>
                <w:rFonts w:hint="eastAsia" w:ascii="仿宋" w:hAnsi="仿宋" w:eastAsia="仿宋" w:cs="仿宋"/>
                <w:bCs/>
                <w:color w:val="auto"/>
                <w:highlight w:val="none"/>
                <w:lang w:eastAsia="zh-CN"/>
              </w:rPr>
              <w:t>非竞争性费用固定报价，代为支付相关费用结算实报实销。中标人自行测量的成果文件未加盖广州市规划和自然资源局认可的相应测量资质章，或未能通过国土规划等相关部门报建和验收审批，则该部分发生的相关费用不予确认。</w:t>
            </w:r>
          </w:p>
          <w:p w14:paraId="7963249E">
            <w:pPr>
              <w:pStyle w:val="39"/>
              <w:ind w:left="48" w:leftChars="20" w:right="48" w:rightChars="20"/>
              <w:rPr>
                <w:rFonts w:hint="eastAsia" w:ascii="仿宋" w:hAnsi="仿宋" w:eastAsia="仿宋" w:cs="仿宋"/>
                <w:b/>
                <w:color w:val="auto"/>
                <w:highlight w:val="none"/>
                <w:lang w:eastAsia="zh-CN"/>
              </w:rPr>
            </w:pPr>
            <w:r>
              <w:rPr>
                <w:rFonts w:hint="eastAsia" w:ascii="仿宋" w:hAnsi="仿宋" w:eastAsia="仿宋" w:cs="仿宋"/>
                <w:bCs/>
                <w:color w:val="auto"/>
                <w:highlight w:val="none"/>
                <w:lang w:eastAsia="zh-CN"/>
              </w:rPr>
              <w:t>包括放线测量（含控制点、实地定桩）、验线测量，实测地形图、图根控制点、IV等水准测量、图根水准测量、数字化地形图等测量详细调查，以及GPS(PTK控制点观测)、地形图测量、建筑面积技术审查费及管线地形图费、联合验收测绘（含项目规划条件核实验线测量、人防面积测绘、房产面积测绘）等。</w:t>
            </w:r>
          </w:p>
        </w:tc>
      </w:tr>
      <w:tr w14:paraId="67BA1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480" w:type="dxa"/>
            <w:tcBorders>
              <w:top w:val="single" w:color="auto" w:sz="4" w:space="0"/>
              <w:left w:val="single" w:color="auto" w:sz="4" w:space="0"/>
              <w:bottom w:val="single" w:color="auto" w:sz="4" w:space="0"/>
              <w:right w:val="single" w:color="auto" w:sz="4" w:space="0"/>
            </w:tcBorders>
            <w:noWrap w:val="0"/>
            <w:vAlign w:val="center"/>
          </w:tcPr>
          <w:p w14:paraId="151F9384">
            <w:pPr>
              <w:pStyle w:val="39"/>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rPr>
              <w:t>1</w:t>
            </w:r>
            <w:r>
              <w:rPr>
                <w:rFonts w:hint="eastAsia" w:ascii="仿宋" w:hAnsi="仿宋" w:eastAsia="仿宋" w:cs="仿宋"/>
                <w:color w:val="auto"/>
                <w:highlight w:val="none"/>
                <w:lang w:eastAsia="zh-CN"/>
              </w:rPr>
              <w:t>0</w:t>
            </w:r>
          </w:p>
        </w:tc>
        <w:tc>
          <w:tcPr>
            <w:tcW w:w="5130" w:type="dxa"/>
            <w:gridSpan w:val="4"/>
            <w:tcBorders>
              <w:top w:val="single" w:color="auto" w:sz="4" w:space="0"/>
              <w:left w:val="single" w:color="auto" w:sz="4" w:space="0"/>
              <w:bottom w:val="single" w:color="auto" w:sz="4" w:space="0"/>
              <w:right w:val="single" w:color="auto" w:sz="4" w:space="0"/>
            </w:tcBorders>
            <w:noWrap w:val="0"/>
            <w:vAlign w:val="center"/>
          </w:tcPr>
          <w:p w14:paraId="0F6C1B90">
            <w:pPr>
              <w:ind w:firstLine="480" w:firstLineChars="200"/>
              <w:jc w:val="center"/>
              <w:rPr>
                <w:rFonts w:hint="eastAsia" w:ascii="仿宋" w:hAnsi="仿宋" w:eastAsia="仿宋" w:cs="仿宋"/>
                <w:color w:val="auto"/>
                <w:highlight w:val="none"/>
              </w:rPr>
            </w:pPr>
            <w:r>
              <w:rPr>
                <w:rFonts w:hint="eastAsia" w:ascii="仿宋" w:hAnsi="仿宋" w:eastAsia="仿宋" w:cs="仿宋"/>
                <w:color w:val="auto"/>
                <w:highlight w:val="none"/>
                <w:lang w:bidi="ar"/>
              </w:rPr>
              <w:t>勘察费合计</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6BC17A0B">
            <w:pPr>
              <w:jc w:val="center"/>
              <w:rPr>
                <w:rFonts w:hint="eastAsia" w:ascii="仿宋" w:hAnsi="仿宋" w:eastAsia="仿宋" w:cs="仿宋"/>
                <w:color w:val="auto"/>
                <w:highlight w:val="none"/>
                <w:lang w:val="en-US" w:eastAsia="zh-CN"/>
              </w:rPr>
            </w:pPr>
          </w:p>
        </w:tc>
        <w:tc>
          <w:tcPr>
            <w:tcW w:w="3295" w:type="dxa"/>
            <w:tcBorders>
              <w:top w:val="single" w:color="auto" w:sz="4" w:space="0"/>
              <w:left w:val="single" w:color="auto" w:sz="4" w:space="0"/>
              <w:bottom w:val="single" w:color="auto" w:sz="4" w:space="0"/>
              <w:right w:val="single" w:color="auto" w:sz="4" w:space="0"/>
            </w:tcBorders>
            <w:noWrap w:val="0"/>
            <w:vAlign w:val="center"/>
          </w:tcPr>
          <w:p w14:paraId="69880797">
            <w:pPr>
              <w:pStyle w:val="39"/>
              <w:ind w:left="48" w:leftChars="20" w:right="48" w:rightChars="20"/>
              <w:rPr>
                <w:rFonts w:hint="eastAsia" w:ascii="仿宋" w:hAnsi="仿宋" w:eastAsia="仿宋" w:cs="仿宋"/>
                <w:color w:val="auto"/>
                <w:highlight w:val="none"/>
              </w:rPr>
            </w:pPr>
            <w:r>
              <w:rPr>
                <w:rFonts w:hint="eastAsia" w:ascii="仿宋" w:hAnsi="仿宋" w:eastAsia="仿宋" w:cs="仿宋"/>
                <w:color w:val="auto"/>
                <w:highlight w:val="none"/>
              </w:rPr>
              <w:t>10=1+2+3+4+5+6+7+8+9</w:t>
            </w:r>
          </w:p>
        </w:tc>
      </w:tr>
    </w:tbl>
    <w:p w14:paraId="65FE559A">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备注：综合单价包干，工程量按实计算。综合包干单价已包括勘察设备、仪器及重物场内中转及多次进退场费用；所有实物工作收费、技术工作收费、税金等全部费用。在探测作业中留下坑洞的，应当回填或采取相应安全措施等。</w:t>
      </w:r>
    </w:p>
    <w:p w14:paraId="49B065F9">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2.勘察服务计费标准</w:t>
      </w:r>
    </w:p>
    <w:p w14:paraId="4AF7A621">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岩土工程勘察费用、超前钻费用：按经发包人确认的实际工程量（超钻部分不予计量）乘以中标综合单价包干计算。中标综合单价包干已包括所有实物工作收费、技术工作收费、税金及其他发生的全部费用。</w:t>
      </w:r>
    </w:p>
    <w:p w14:paraId="35E3C8B0">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工程物探、土壤氡浓度测试、噪声测试、剪切波波速测试、抽水试验、管波费用：按经发包人确认的实际工程量乘以中标综合单价计算。中标综合单价包干已包括所有实物工作收费、技术工作收费、税金及其他发生的全部费用。</w:t>
      </w:r>
    </w:p>
    <w:p w14:paraId="2B789BA5">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3）地形测绘及工程测量费包括的内容：图根控制点，IV等水准测量，图根水准测量，1:500数字化地形图等测量详细调查、技术工作费，以及向相关单位支付的控制测量费、GPS测量(RTK控制点观测)费、数字化地形图测量费、放线验线测量费、建筑面积技术审查费、规划验收面积测量费等。</w:t>
      </w:r>
    </w:p>
    <w:p w14:paraId="407B13DF">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地形测绘及工程测量费计费标准：以上内容在《工程勘察设计收费标准2002》有计费标准的，则按该标准并计取合同约定下浮率和中标下浮率计算。向相关单位支付的控制测量费、GPS测量(RTK控制点观测)费、数字化地形图测量费、放线验线测量费、建筑面积技术审查费、规划验收面积测量费等，按实际发生的收费票据计算，实际收费票据发生的税费或分包项目发生的税费，均包含于全部工程勘察费内，不再另行计算。其中向相关单位支付的费用中，确需甲方直接办理支付的，经双方协商一致，可由甲方直接支付。否则，仍由承包人支付。</w:t>
      </w:r>
    </w:p>
    <w:p w14:paraId="1B0FDF28">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（4）发生其他勘察项目的，可参照相关收费标准并计取合同约定下浮率、中标下浮率计算。没有收费标准参照的，双方依据市场价格协商定价。</w:t>
      </w:r>
    </w:p>
    <w:p w14:paraId="5A034995">
      <w:p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   3.勘察服务承包人责任</w:t>
      </w:r>
    </w:p>
    <w:p w14:paraId="6A1FE2A9">
      <w:pPr>
        <w:spacing w:line="360" w:lineRule="auto"/>
        <w:ind w:firstLine="480" w:firstLineChars="200"/>
        <w:rPr>
          <w:rFonts w:ascii="仿宋" w:hAnsi="仿宋" w:eastAsia="仿宋" w:cs="仿宋"/>
          <w:color w:val="auto"/>
          <w:highlight w:val="none"/>
          <w:u w:val="single"/>
          <w:lang w:eastAsia="zh-CN"/>
        </w:rPr>
      </w:pPr>
      <w:r>
        <w:rPr>
          <w:rFonts w:ascii="仿宋" w:hAnsi="仿宋" w:eastAsia="仿宋" w:cs="仿宋"/>
          <w:color w:val="auto"/>
          <w:highlight w:val="none"/>
          <w:u w:val="single"/>
          <w:lang w:eastAsia="zh-CN"/>
        </w:rPr>
        <w:t>（1）承包人应按国家技术规范、标准、规程、本合同的约定和任务委托书、技术要求及经发包人审定的勘察方案进行工程勘察，按本合同规定的时间提交质量合格的勘察成果，并对其负责。</w:t>
      </w:r>
    </w:p>
    <w:p w14:paraId="2334F554">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（2）所有岩样均应放入统一规格的岩样盒内，岩样盒上应注明钻孔编号，各岩性变化处均应标明相应深度，并现场拍照，上述图片均应附在勘察报告中。</w:t>
      </w:r>
    </w:p>
    <w:p w14:paraId="40FF61E8">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（3）承包人应加强钻探现场岩样的保护工作，未经发包人或发包人指定人员现场查验，不得自行处理。</w:t>
      </w:r>
    </w:p>
    <w:p w14:paraId="4299542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（4）承包人自行解决勘察现场的工作条件和存在问题，产生的费用、责任由承包人自行承担。</w:t>
      </w:r>
    </w:p>
    <w:p w14:paraId="0224394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5）由于承包人提供的勘察成果资料质量不合格，承包人应负责无偿给予补充完善，按发包人要求期限使其达到质量合格标准；若承包人无力补充完善，需另委托其他单位时，承包人应承担委托其他单位的全部勘察费用；或因勘察质量造成重大经济损失或工程事故时，承包人除应负法律责任和扣除直接受损失部分的勘察费外，赔偿金为实际损失的100％,且不低于50万元。</w:t>
      </w:r>
    </w:p>
    <w:p w14:paraId="53E28D3D">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（6）完成勘察范围内地下已有埋藏物（如电力、电讯电缆、各种管道、人防设施、洞室等）以及架空线路、水渠以及电力工程电塔的相关资料和具体位置分布图。</w:t>
      </w:r>
    </w:p>
    <w:p w14:paraId="77BBCC3E">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（7）勘察费用中已包括临时占用土地、青苗、树木赔偿费、交通工具费用及影响勘察施工正常进行发生的其他一切费用，甲方无需再支付费用。</w:t>
      </w:r>
    </w:p>
    <w:p w14:paraId="5D29F610">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（8）在工程实施过程中，若遇特殊情况需要补充勘察的，乙方应根据设计要求进行补充勘察，计费标准按本合同约定，但设备进退场费不予计算。</w:t>
      </w:r>
    </w:p>
    <w:p w14:paraId="036ADD4E">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（9）工程勘察和主体工程施工过程中，根据需要参加现场协调会、专家论证会、单项或分项验收，乙方应派项目主要负责人按时参加，并提出专业技术意见。</w:t>
      </w:r>
    </w:p>
    <w:p w14:paraId="524A8EB0">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（10）乙方自行负责相关人员的安全保障工作，并承担全部责任。如乙方及乙方人员造成甲方或其他第三方人身财产损失的，乙方承担全部责任，与甲方无关。</w:t>
      </w:r>
    </w:p>
    <w:p w14:paraId="7B0942CD">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（11）乙方应根据《关于加强地铁控制保护区内工程勘探及地下工程管理的通知》(穗建技〔2012〕1433号)规定，在开展勘察工作前到市地铁设施保护办公室办理相关手续。　</w:t>
      </w:r>
    </w:p>
    <w:p w14:paraId="23400BA6">
      <w:pPr>
        <w:spacing w:line="360" w:lineRule="auto"/>
        <w:rPr>
          <w:rFonts w:hint="eastAsia" w:ascii="仿宋" w:hAnsi="仿宋" w:eastAsia="仿宋" w:cs="仿宋"/>
          <w:color w:val="auto"/>
          <w:highlight w:val="none"/>
          <w:lang w:eastAsia="zh-CN"/>
        </w:rPr>
      </w:pPr>
      <w:bookmarkStart w:id="1835" w:name="_Toc16689"/>
      <w:r>
        <w:rPr>
          <w:rFonts w:hint="eastAsia" w:ascii="仿宋" w:hAnsi="仿宋" w:eastAsia="仿宋" w:cs="仿宋"/>
          <w:color w:val="auto"/>
          <w:highlight w:val="none"/>
          <w:lang w:eastAsia="zh-CN"/>
        </w:rPr>
        <w:t>72.1.2 工程设计费的计量规则与计价办法</w:t>
      </w:r>
      <w:bookmarkEnd w:id="1835"/>
    </w:p>
    <w:p w14:paraId="4A30A79B">
      <w:pPr>
        <w:spacing w:line="360" w:lineRule="auto"/>
        <w:ind w:firstLine="600" w:firstLineChars="250"/>
        <w:rPr>
          <w:rFonts w:hint="eastAsia" w:ascii="仿宋" w:hAnsi="仿宋" w:eastAsia="仿宋" w:cs="仿宋"/>
          <w:color w:val="auto"/>
          <w:highlight w:val="none"/>
          <w:lang w:eastAsia="zh-CN"/>
        </w:rPr>
      </w:pPr>
      <w:bookmarkStart w:id="1836" w:name="_Toc15361"/>
      <w:r>
        <w:rPr>
          <w:rFonts w:hint="eastAsia" w:ascii="仿宋" w:hAnsi="仿宋" w:eastAsia="仿宋" w:cs="仿宋"/>
          <w:color w:val="auto"/>
          <w:highlight w:val="none"/>
          <w:lang w:eastAsia="zh-CN"/>
        </w:rPr>
        <w:t>□ 总价合同：按协议书约定的价格总价包干，除合同约定允许调整的事项外，总价不予调整。</w:t>
      </w:r>
    </w:p>
    <w:p w14:paraId="18EE9AFC">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p>
    <w:p w14:paraId="715E4A9D">
      <w:pPr>
        <w:pStyle w:val="149"/>
        <w:ind w:firstLine="720" w:firstLineChars="300"/>
        <w:rPr>
          <w:color w:val="auto"/>
          <w:highlight w:val="none"/>
        </w:rPr>
      </w:pPr>
      <w:r>
        <w:rPr>
          <w:rFonts w:hint="eastAsia" w:ascii="仿宋" w:hAnsi="仿宋" w:eastAsia="仿宋" w:cs="仿宋"/>
          <w:color w:val="auto"/>
          <w:highlight w:val="none"/>
        </w:rPr>
        <w:t>72.1.2.1 设计费费用组成：</w:t>
      </w:r>
    </w:p>
    <w:tbl>
      <w:tblPr>
        <w:tblStyle w:val="44"/>
        <w:tblW w:w="0" w:type="auto"/>
        <w:jc w:val="center"/>
        <w:tblLayout w:type="fixed"/>
        <w:tblCellMar>
          <w:top w:w="0" w:type="dxa"/>
          <w:left w:w="0" w:type="dxa"/>
          <w:bottom w:w="0" w:type="dxa"/>
          <w:right w:w="0" w:type="dxa"/>
        </w:tblCellMar>
      </w:tblPr>
      <w:tblGrid>
        <w:gridCol w:w="768"/>
        <w:gridCol w:w="1912"/>
        <w:gridCol w:w="1343"/>
        <w:gridCol w:w="1332"/>
        <w:gridCol w:w="3567"/>
      </w:tblGrid>
      <w:tr w14:paraId="758E30CC">
        <w:tblPrEx>
          <w:tblCellMar>
            <w:top w:w="0" w:type="dxa"/>
            <w:left w:w="0" w:type="dxa"/>
            <w:bottom w:w="0" w:type="dxa"/>
            <w:right w:w="0" w:type="dxa"/>
          </w:tblCellMar>
        </w:tblPrEx>
        <w:trPr>
          <w:trHeight w:val="580" w:hRule="atLeast"/>
          <w:tblHeader/>
          <w:jc w:val="center"/>
        </w:trPr>
        <w:tc>
          <w:tcPr>
            <w:tcW w:w="768" w:type="dxa"/>
            <w:tcBorders>
              <w:top w:val="single" w:color="auto" w:sz="8" w:space="0"/>
              <w:left w:val="single" w:color="auto" w:sz="8" w:space="0"/>
              <w:bottom w:val="single" w:color="auto" w:sz="8" w:space="0"/>
              <w:right w:val="single" w:color="auto" w:sz="8" w:space="0"/>
            </w:tcBorders>
            <w:noWrap w:val="0"/>
            <w:vAlign w:val="center"/>
          </w:tcPr>
          <w:p w14:paraId="490F5D7D">
            <w:pPr>
              <w:pStyle w:val="12"/>
              <w:ind w:firstLine="0"/>
              <w:jc w:val="center"/>
              <w:rPr>
                <w:rFonts w:hint="eastAsia" w:ascii="仿宋" w:hAnsi="仿宋" w:eastAsia="仿宋" w:cs="仿宋"/>
                <w:bCs/>
                <w:color w:val="auto"/>
                <w:highlight w:val="none"/>
                <w:lang w:bidi="ar"/>
              </w:rPr>
            </w:pPr>
            <w:r>
              <w:rPr>
                <w:rFonts w:hint="eastAsia" w:ascii="仿宋" w:hAnsi="仿宋" w:eastAsia="仿宋" w:cs="仿宋"/>
                <w:bCs/>
                <w:color w:val="auto"/>
                <w:highlight w:val="none"/>
                <w:lang w:bidi="ar"/>
              </w:rPr>
              <w:t>序号</w:t>
            </w:r>
          </w:p>
        </w:tc>
        <w:tc>
          <w:tcPr>
            <w:tcW w:w="1912" w:type="dxa"/>
            <w:tcBorders>
              <w:top w:val="single" w:color="auto" w:sz="8" w:space="0"/>
              <w:left w:val="nil"/>
              <w:bottom w:val="single" w:color="auto" w:sz="8" w:space="0"/>
              <w:right w:val="single" w:color="auto" w:sz="8" w:space="0"/>
            </w:tcBorders>
            <w:noWrap w:val="0"/>
            <w:vAlign w:val="center"/>
          </w:tcPr>
          <w:p w14:paraId="66B82CAD">
            <w:pPr>
              <w:pStyle w:val="12"/>
              <w:ind w:firstLine="720" w:firstLineChars="300"/>
              <w:rPr>
                <w:rFonts w:hint="eastAsia" w:ascii="仿宋" w:hAnsi="仿宋" w:eastAsia="仿宋" w:cs="仿宋"/>
                <w:bCs/>
                <w:color w:val="auto"/>
                <w:highlight w:val="none"/>
                <w:lang w:bidi="ar"/>
              </w:rPr>
            </w:pPr>
            <w:r>
              <w:rPr>
                <w:rFonts w:hint="eastAsia" w:ascii="仿宋" w:hAnsi="仿宋" w:eastAsia="仿宋" w:cs="仿宋"/>
                <w:bCs/>
                <w:color w:val="auto"/>
                <w:highlight w:val="none"/>
                <w:lang w:bidi="ar"/>
              </w:rPr>
              <w:t>内容</w:t>
            </w:r>
          </w:p>
        </w:tc>
        <w:tc>
          <w:tcPr>
            <w:tcW w:w="1343" w:type="dxa"/>
            <w:tcBorders>
              <w:top w:val="single" w:color="auto" w:sz="8" w:space="0"/>
              <w:left w:val="nil"/>
              <w:bottom w:val="single" w:color="auto" w:sz="8" w:space="0"/>
              <w:right w:val="single" w:color="auto" w:sz="8" w:space="0"/>
            </w:tcBorders>
            <w:noWrap w:val="0"/>
            <w:vAlign w:val="center"/>
          </w:tcPr>
          <w:p w14:paraId="7AD3C19C">
            <w:pPr>
              <w:pStyle w:val="12"/>
              <w:ind w:firstLine="0"/>
              <w:jc w:val="center"/>
              <w:rPr>
                <w:rFonts w:hint="eastAsia" w:ascii="仿宋" w:hAnsi="仿宋" w:eastAsia="仿宋" w:cs="仿宋"/>
                <w:bCs/>
                <w:color w:val="auto"/>
                <w:highlight w:val="none"/>
                <w:lang w:bidi="ar"/>
              </w:rPr>
            </w:pPr>
            <w:r>
              <w:rPr>
                <w:rFonts w:hint="eastAsia" w:ascii="仿宋" w:hAnsi="仿宋" w:eastAsia="仿宋" w:cs="仿宋"/>
                <w:bCs/>
                <w:color w:val="auto"/>
                <w:highlight w:val="none"/>
                <w:lang w:bidi="ar"/>
              </w:rPr>
              <w:t>暂定计费额（万元）</w:t>
            </w:r>
          </w:p>
        </w:tc>
        <w:tc>
          <w:tcPr>
            <w:tcW w:w="1332" w:type="dxa"/>
            <w:tcBorders>
              <w:top w:val="single" w:color="auto" w:sz="8" w:space="0"/>
              <w:left w:val="nil"/>
              <w:bottom w:val="single" w:color="auto" w:sz="8" w:space="0"/>
              <w:right w:val="single" w:color="auto" w:sz="8" w:space="0"/>
            </w:tcBorders>
            <w:noWrap w:val="0"/>
            <w:vAlign w:val="center"/>
          </w:tcPr>
          <w:p w14:paraId="735BF5A2">
            <w:pPr>
              <w:pStyle w:val="12"/>
              <w:ind w:firstLine="0"/>
              <w:jc w:val="center"/>
              <w:rPr>
                <w:rFonts w:hint="eastAsia" w:ascii="仿宋" w:hAnsi="仿宋" w:eastAsia="仿宋" w:cs="仿宋"/>
                <w:bCs/>
                <w:color w:val="auto"/>
                <w:highlight w:val="none"/>
                <w:lang w:bidi="ar"/>
              </w:rPr>
            </w:pPr>
            <w:r>
              <w:rPr>
                <w:rFonts w:hint="eastAsia" w:ascii="仿宋" w:hAnsi="仿宋" w:eastAsia="仿宋" w:cs="仿宋"/>
                <w:bCs/>
                <w:color w:val="auto"/>
                <w:highlight w:val="none"/>
                <w:lang w:bidi="ar"/>
              </w:rPr>
              <w:t>设计费总价（万元）</w:t>
            </w:r>
          </w:p>
        </w:tc>
        <w:tc>
          <w:tcPr>
            <w:tcW w:w="3567" w:type="dxa"/>
            <w:tcBorders>
              <w:top w:val="single" w:color="auto" w:sz="8" w:space="0"/>
              <w:left w:val="nil"/>
              <w:bottom w:val="single" w:color="auto" w:sz="8" w:space="0"/>
              <w:right w:val="single" w:color="auto" w:sz="8" w:space="0"/>
            </w:tcBorders>
            <w:noWrap w:val="0"/>
            <w:vAlign w:val="center"/>
          </w:tcPr>
          <w:p w14:paraId="7541D902">
            <w:pPr>
              <w:pStyle w:val="12"/>
              <w:ind w:firstLine="1920" w:firstLineChars="800"/>
              <w:rPr>
                <w:rFonts w:hint="eastAsia" w:ascii="仿宋" w:hAnsi="仿宋" w:eastAsia="仿宋" w:cs="仿宋"/>
                <w:bCs/>
                <w:color w:val="auto"/>
                <w:highlight w:val="none"/>
                <w:lang w:bidi="ar"/>
              </w:rPr>
            </w:pPr>
            <w:r>
              <w:rPr>
                <w:rFonts w:hint="eastAsia" w:ascii="仿宋" w:hAnsi="仿宋" w:eastAsia="仿宋" w:cs="仿宋"/>
                <w:bCs/>
                <w:color w:val="auto"/>
                <w:highlight w:val="none"/>
                <w:lang w:bidi="ar"/>
              </w:rPr>
              <w:t>备注</w:t>
            </w:r>
          </w:p>
        </w:tc>
      </w:tr>
      <w:tr w14:paraId="6E45C63D">
        <w:tblPrEx>
          <w:tblCellMar>
            <w:top w:w="0" w:type="dxa"/>
            <w:left w:w="0" w:type="dxa"/>
            <w:bottom w:w="0" w:type="dxa"/>
            <w:right w:w="0" w:type="dxa"/>
          </w:tblCellMar>
        </w:tblPrEx>
        <w:trPr>
          <w:trHeight w:val="580" w:hRule="atLeast"/>
          <w:jc w:val="center"/>
        </w:trPr>
        <w:tc>
          <w:tcPr>
            <w:tcW w:w="768" w:type="dxa"/>
            <w:tcBorders>
              <w:top w:val="single" w:color="auto" w:sz="8" w:space="0"/>
              <w:left w:val="single" w:color="auto" w:sz="8" w:space="0"/>
              <w:bottom w:val="single" w:color="auto" w:sz="8" w:space="0"/>
              <w:right w:val="single" w:color="auto" w:sz="8" w:space="0"/>
            </w:tcBorders>
            <w:noWrap w:val="0"/>
            <w:vAlign w:val="center"/>
          </w:tcPr>
          <w:p w14:paraId="77F726B9">
            <w:pPr>
              <w:pStyle w:val="12"/>
              <w:ind w:firstLine="240" w:firstLineChars="100"/>
              <w:jc w:val="center"/>
              <w:rPr>
                <w:rFonts w:hint="eastAsia" w:ascii="仿宋" w:hAnsi="仿宋" w:eastAsia="仿宋" w:cs="仿宋"/>
                <w:bCs/>
                <w:color w:val="auto"/>
                <w:highlight w:val="none"/>
                <w:lang w:bidi="ar"/>
              </w:rPr>
            </w:pPr>
            <w:r>
              <w:rPr>
                <w:rFonts w:hint="eastAsia" w:ascii="仿宋" w:hAnsi="仿宋" w:eastAsia="仿宋" w:cs="仿宋"/>
                <w:bCs/>
                <w:color w:val="auto"/>
                <w:highlight w:val="none"/>
                <w:lang w:bidi="ar"/>
              </w:rPr>
              <w:t>1</w:t>
            </w:r>
          </w:p>
        </w:tc>
        <w:tc>
          <w:tcPr>
            <w:tcW w:w="1912" w:type="dxa"/>
            <w:tcBorders>
              <w:top w:val="single" w:color="auto" w:sz="8" w:space="0"/>
              <w:left w:val="nil"/>
              <w:bottom w:val="single" w:color="auto" w:sz="8" w:space="0"/>
              <w:right w:val="single" w:color="auto" w:sz="8" w:space="0"/>
            </w:tcBorders>
            <w:noWrap w:val="0"/>
            <w:vAlign w:val="center"/>
          </w:tcPr>
          <w:p w14:paraId="22B74986">
            <w:pPr>
              <w:jc w:val="center"/>
              <w:textAlignment w:val="center"/>
              <w:rPr>
                <w:rFonts w:hint="eastAsia" w:ascii="仿宋" w:hAnsi="仿宋" w:eastAsia="仿宋" w:cs="仿宋"/>
                <w:bCs/>
                <w:color w:val="auto"/>
                <w:highlight w:val="none"/>
                <w:lang w:eastAsia="zh-CN" w:bidi="ar"/>
              </w:rPr>
            </w:pPr>
            <w:r>
              <w:rPr>
                <w:rFonts w:hint="eastAsia" w:ascii="宋体" w:hAnsi="宋体" w:cs="宋体"/>
                <w:color w:val="auto"/>
                <w:sz w:val="22"/>
                <w:szCs w:val="22"/>
                <w:highlight w:val="none"/>
                <w:lang w:eastAsia="zh-CN" w:bidi="ar"/>
              </w:rPr>
              <w:t>基本设计费（不含永久用水工程、永久用电工程、临时施工供水工程、临时施工供电工程、燃气工程、管线迁改工程）</w:t>
            </w:r>
          </w:p>
        </w:tc>
        <w:tc>
          <w:tcPr>
            <w:tcW w:w="1343" w:type="dxa"/>
            <w:tcBorders>
              <w:top w:val="single" w:color="auto" w:sz="8" w:space="0"/>
              <w:left w:val="nil"/>
              <w:bottom w:val="single" w:color="auto" w:sz="8" w:space="0"/>
              <w:right w:val="single" w:color="auto" w:sz="8" w:space="0"/>
            </w:tcBorders>
            <w:noWrap w:val="0"/>
            <w:vAlign w:val="center"/>
          </w:tcPr>
          <w:p w14:paraId="24AB763D">
            <w:pPr>
              <w:keepNext w:val="0"/>
              <w:keepLines w:val="0"/>
              <w:widowControl/>
              <w:suppressLineNumbers w:val="0"/>
              <w:jc w:val="center"/>
              <w:textAlignment w:val="center"/>
              <w:rPr>
                <w:rFonts w:hint="eastAsia" w:ascii="仿宋" w:hAnsi="仿宋" w:eastAsia="仿宋" w:cs="仿宋"/>
                <w:bCs/>
                <w:color w:val="auto"/>
                <w:sz w:val="24"/>
                <w:szCs w:val="24"/>
                <w:highlight w:val="none"/>
                <w:lang w:val="en-US" w:eastAsia="zh-CN" w:bidi="ar"/>
              </w:rPr>
            </w:pPr>
          </w:p>
        </w:tc>
        <w:tc>
          <w:tcPr>
            <w:tcW w:w="1332" w:type="dxa"/>
            <w:tcBorders>
              <w:top w:val="single" w:color="auto" w:sz="8" w:space="0"/>
              <w:left w:val="nil"/>
              <w:bottom w:val="single" w:color="auto" w:sz="8" w:space="0"/>
              <w:right w:val="single" w:color="auto" w:sz="8" w:space="0"/>
            </w:tcBorders>
            <w:noWrap w:val="0"/>
            <w:vAlign w:val="center"/>
          </w:tcPr>
          <w:p w14:paraId="5B211206">
            <w:pPr>
              <w:keepNext w:val="0"/>
              <w:keepLines w:val="0"/>
              <w:widowControl/>
              <w:suppressLineNumbers w:val="0"/>
              <w:jc w:val="center"/>
              <w:textAlignment w:val="center"/>
              <w:rPr>
                <w:rFonts w:ascii="仿宋" w:hAnsi="仿宋" w:eastAsia="仿宋" w:cs="仿宋"/>
                <w:bCs/>
                <w:color w:val="auto"/>
                <w:sz w:val="24"/>
                <w:szCs w:val="24"/>
                <w:highlight w:val="none"/>
                <w:lang w:val="en-US" w:eastAsia="zh-CN" w:bidi="ar"/>
              </w:rPr>
            </w:pPr>
          </w:p>
        </w:tc>
        <w:tc>
          <w:tcPr>
            <w:tcW w:w="3567" w:type="dxa"/>
            <w:tcBorders>
              <w:top w:val="single" w:color="auto" w:sz="8" w:space="0"/>
              <w:left w:val="nil"/>
              <w:bottom w:val="single" w:color="auto" w:sz="8" w:space="0"/>
              <w:right w:val="single" w:color="auto" w:sz="8" w:space="0"/>
            </w:tcBorders>
            <w:noWrap w:val="0"/>
            <w:vAlign w:val="center"/>
          </w:tcPr>
          <w:p w14:paraId="6A039AFF">
            <w:pPr>
              <w:numPr>
                <w:ilvl w:val="0"/>
                <w:numId w:val="27"/>
              </w:numPr>
              <w:spacing w:after="220"/>
              <w:textAlignment w:val="center"/>
              <w:rPr>
                <w:rStyle w:val="120"/>
                <w:rFonts w:hint="default"/>
                <w:color w:val="auto"/>
                <w:highlight w:val="none"/>
                <w:lang w:eastAsia="zh-CN" w:bidi="ar"/>
              </w:rPr>
            </w:pPr>
            <w:r>
              <w:rPr>
                <w:rFonts w:hint="eastAsia" w:ascii="宋体" w:hAnsi="宋体" w:cs="宋体"/>
                <w:color w:val="auto"/>
                <w:sz w:val="22"/>
                <w:szCs w:val="22"/>
                <w:highlight w:val="none"/>
                <w:lang w:eastAsia="zh-CN" w:bidi="ar"/>
              </w:rPr>
              <w:t>计费额：</w:t>
            </w:r>
            <w:r>
              <w:rPr>
                <w:rFonts w:hint="eastAsia" w:ascii="宋体" w:hAnsi="宋体" w:cs="宋体"/>
                <w:color w:val="auto"/>
                <w:sz w:val="22"/>
                <w:szCs w:val="22"/>
                <w:highlight w:val="none"/>
                <w:lang w:val="en-US" w:eastAsia="zh-CN" w:bidi="ar"/>
              </w:rPr>
              <w:t xml:space="preserve">  万元</w:t>
            </w:r>
            <w:r>
              <w:rPr>
                <w:rFonts w:hint="eastAsia" w:ascii="宋体" w:hAnsi="宋体" w:cs="宋体"/>
                <w:color w:val="auto"/>
                <w:sz w:val="22"/>
                <w:szCs w:val="22"/>
                <w:highlight w:val="none"/>
                <w:lang w:eastAsia="zh-CN" w:bidi="ar"/>
              </w:rPr>
              <w:br w:type="textWrapping"/>
            </w:r>
            <w:r>
              <w:rPr>
                <w:rFonts w:hint="eastAsia" w:ascii="宋体" w:hAnsi="宋体" w:cs="宋体"/>
                <w:color w:val="auto"/>
                <w:sz w:val="22"/>
                <w:szCs w:val="22"/>
                <w:highlight w:val="none"/>
                <w:lang w:eastAsia="zh-CN" w:bidi="ar"/>
              </w:rPr>
              <w:t>2.专业系数暂定为1.0，复杂系数暂定为1.</w:t>
            </w:r>
            <w:r>
              <w:rPr>
                <w:rFonts w:hint="eastAsia" w:ascii="宋体" w:hAnsi="宋体" w:cs="宋体"/>
                <w:color w:val="auto"/>
                <w:sz w:val="22"/>
                <w:szCs w:val="22"/>
                <w:highlight w:val="none"/>
                <w:lang w:val="en-US" w:eastAsia="zh-CN" w:bidi="ar"/>
              </w:rPr>
              <w:t>0</w:t>
            </w:r>
            <w:r>
              <w:rPr>
                <w:rStyle w:val="120"/>
                <w:rFonts w:hint="default"/>
                <w:color w:val="auto"/>
                <w:highlight w:val="none"/>
                <w:lang w:eastAsia="zh-CN" w:bidi="ar"/>
              </w:rPr>
              <w:t>，附加系数暂定为1.0（设计费系数最终按概算批复的设计费系数为准）</w:t>
            </w:r>
          </w:p>
          <w:p w14:paraId="709BDF47">
            <w:pPr>
              <w:spacing w:after="220"/>
              <w:textAlignment w:val="center"/>
              <w:rPr>
                <w:rStyle w:val="120"/>
                <w:rFonts w:hint="default"/>
                <w:color w:val="auto"/>
                <w:highlight w:val="none"/>
                <w:lang w:eastAsia="zh-CN" w:bidi="ar"/>
              </w:rPr>
            </w:pPr>
            <w:r>
              <w:rPr>
                <w:rStyle w:val="120"/>
                <w:rFonts w:hint="default"/>
                <w:color w:val="auto"/>
                <w:highlight w:val="none"/>
                <w:lang w:eastAsia="zh-CN" w:bidi="ar"/>
              </w:rPr>
              <w:t>3.合同约定下浮率</w:t>
            </w:r>
            <w:r>
              <w:rPr>
                <w:rStyle w:val="120"/>
                <w:rFonts w:hint="eastAsia"/>
                <w:color w:val="auto"/>
                <w:highlight w:val="none"/>
                <w:lang w:eastAsia="zh-CN" w:bidi="ar"/>
              </w:rPr>
              <w:t>3</w:t>
            </w:r>
            <w:r>
              <w:rPr>
                <w:rStyle w:val="120"/>
                <w:rFonts w:hint="eastAsia"/>
                <w:color w:val="auto"/>
                <w:highlight w:val="none"/>
                <w:lang w:val="en-US" w:eastAsia="zh-CN" w:bidi="ar"/>
              </w:rPr>
              <w:t>5</w:t>
            </w:r>
            <w:r>
              <w:rPr>
                <w:rStyle w:val="120"/>
                <w:rFonts w:hint="default"/>
                <w:color w:val="auto"/>
                <w:highlight w:val="none"/>
                <w:lang w:eastAsia="zh-CN" w:bidi="ar"/>
              </w:rPr>
              <w:t>%，投标下浮率</w:t>
            </w:r>
            <w:r>
              <w:rPr>
                <w:rStyle w:val="120"/>
                <w:rFonts w:hint="eastAsia"/>
                <w:color w:val="auto"/>
                <w:highlight w:val="none"/>
                <w:lang w:val="en-US" w:eastAsia="zh-CN" w:bidi="ar"/>
              </w:rPr>
              <w:t xml:space="preserve">   </w:t>
            </w:r>
            <w:r>
              <w:rPr>
                <w:rStyle w:val="120"/>
                <w:rFonts w:hint="default"/>
                <w:color w:val="auto"/>
                <w:highlight w:val="none"/>
                <w:lang w:eastAsia="zh-CN" w:bidi="ar"/>
              </w:rPr>
              <w:t xml:space="preserve">%   </w:t>
            </w:r>
          </w:p>
        </w:tc>
      </w:tr>
      <w:tr w14:paraId="6959FCAA">
        <w:tblPrEx>
          <w:tblCellMar>
            <w:top w:w="0" w:type="dxa"/>
            <w:left w:w="0" w:type="dxa"/>
            <w:bottom w:w="0" w:type="dxa"/>
            <w:right w:w="0" w:type="dxa"/>
          </w:tblCellMar>
        </w:tblPrEx>
        <w:trPr>
          <w:trHeight w:val="580" w:hRule="atLeast"/>
          <w:jc w:val="center"/>
        </w:trPr>
        <w:tc>
          <w:tcPr>
            <w:tcW w:w="768" w:type="dxa"/>
            <w:tcBorders>
              <w:top w:val="single" w:color="auto" w:sz="8" w:space="0"/>
              <w:left w:val="single" w:color="auto" w:sz="8" w:space="0"/>
              <w:bottom w:val="single" w:color="auto" w:sz="8" w:space="0"/>
              <w:right w:val="single" w:color="auto" w:sz="8" w:space="0"/>
            </w:tcBorders>
            <w:noWrap w:val="0"/>
            <w:vAlign w:val="center"/>
          </w:tcPr>
          <w:p w14:paraId="5EB254E2">
            <w:pPr>
              <w:pStyle w:val="12"/>
              <w:ind w:firstLine="240" w:firstLineChars="100"/>
              <w:jc w:val="center"/>
              <w:rPr>
                <w:rFonts w:hint="eastAsia" w:ascii="仿宋" w:hAnsi="仿宋" w:eastAsia="仿宋" w:cs="仿宋"/>
                <w:bCs/>
                <w:color w:val="auto"/>
                <w:highlight w:val="none"/>
                <w:lang w:val="en-US" w:eastAsia="zh-CN" w:bidi="ar"/>
              </w:rPr>
            </w:pPr>
            <w:r>
              <w:rPr>
                <w:rFonts w:hint="eastAsia" w:ascii="仿宋" w:hAnsi="仿宋" w:eastAsia="仿宋" w:cs="仿宋"/>
                <w:bCs/>
                <w:color w:val="auto"/>
                <w:highlight w:val="none"/>
                <w:lang w:val="en-US" w:eastAsia="zh-CN" w:bidi="ar"/>
              </w:rPr>
              <w:t>2</w:t>
            </w:r>
          </w:p>
        </w:tc>
        <w:tc>
          <w:tcPr>
            <w:tcW w:w="1912" w:type="dxa"/>
            <w:tcBorders>
              <w:top w:val="single" w:color="auto" w:sz="8" w:space="0"/>
              <w:left w:val="nil"/>
              <w:bottom w:val="single" w:color="auto" w:sz="8" w:space="0"/>
              <w:right w:val="single" w:color="auto" w:sz="8" w:space="0"/>
            </w:tcBorders>
            <w:noWrap w:val="0"/>
            <w:vAlign w:val="center"/>
          </w:tcPr>
          <w:p w14:paraId="235EF9F4">
            <w:pPr>
              <w:jc w:val="center"/>
              <w:textAlignment w:val="center"/>
              <w:rPr>
                <w:rFonts w:hint="eastAsia" w:ascii="仿宋" w:hAnsi="仿宋" w:eastAsia="仿宋" w:cs="仿宋"/>
                <w:bCs/>
                <w:color w:val="auto"/>
                <w:sz w:val="24"/>
                <w:szCs w:val="24"/>
                <w:highlight w:val="none"/>
                <w:lang w:val="en-US" w:eastAsia="zh-CN" w:bidi="ar"/>
              </w:rPr>
            </w:pPr>
            <w:r>
              <w:rPr>
                <w:rFonts w:hint="eastAsia" w:ascii="宋体" w:hAnsi="宋体" w:cs="宋体"/>
                <w:color w:val="auto"/>
                <w:sz w:val="22"/>
                <w:szCs w:val="22"/>
                <w:highlight w:val="none"/>
                <w:lang w:eastAsia="zh-CN" w:bidi="ar"/>
              </w:rPr>
              <w:t>专业工程设计费（燃气工程）</w:t>
            </w:r>
          </w:p>
        </w:tc>
        <w:tc>
          <w:tcPr>
            <w:tcW w:w="1343" w:type="dxa"/>
            <w:tcBorders>
              <w:top w:val="single" w:color="auto" w:sz="8" w:space="0"/>
              <w:left w:val="nil"/>
              <w:bottom w:val="single" w:color="auto" w:sz="8" w:space="0"/>
              <w:right w:val="single" w:color="auto" w:sz="8" w:space="0"/>
            </w:tcBorders>
            <w:noWrap w:val="0"/>
            <w:vAlign w:val="center"/>
          </w:tcPr>
          <w:p w14:paraId="31E77640">
            <w:pPr>
              <w:keepNext w:val="0"/>
              <w:keepLines w:val="0"/>
              <w:widowControl/>
              <w:suppressLineNumbers w:val="0"/>
              <w:jc w:val="center"/>
              <w:textAlignment w:val="center"/>
              <w:rPr>
                <w:rFonts w:hint="eastAsia" w:ascii="仿宋" w:hAnsi="仿宋" w:eastAsia="仿宋" w:cs="仿宋"/>
                <w:bCs/>
                <w:color w:val="auto"/>
                <w:sz w:val="24"/>
                <w:szCs w:val="24"/>
                <w:highlight w:val="none"/>
                <w:lang w:val="en-US" w:eastAsia="zh-CN" w:bidi="ar"/>
              </w:rPr>
            </w:pPr>
          </w:p>
        </w:tc>
        <w:tc>
          <w:tcPr>
            <w:tcW w:w="1332" w:type="dxa"/>
            <w:tcBorders>
              <w:top w:val="single" w:color="auto" w:sz="8" w:space="0"/>
              <w:left w:val="nil"/>
              <w:bottom w:val="single" w:color="auto" w:sz="8" w:space="0"/>
              <w:right w:val="single" w:color="auto" w:sz="8" w:space="0"/>
            </w:tcBorders>
            <w:noWrap w:val="0"/>
            <w:vAlign w:val="center"/>
          </w:tcPr>
          <w:p w14:paraId="4FBB0979">
            <w:pPr>
              <w:keepNext w:val="0"/>
              <w:keepLines w:val="0"/>
              <w:widowControl/>
              <w:suppressLineNumbers w:val="0"/>
              <w:jc w:val="center"/>
              <w:textAlignment w:val="center"/>
              <w:rPr>
                <w:rFonts w:hint="eastAsia" w:ascii="仿宋" w:hAnsi="仿宋" w:eastAsia="仿宋" w:cs="仿宋"/>
                <w:bCs/>
                <w:color w:val="auto"/>
                <w:sz w:val="24"/>
                <w:szCs w:val="24"/>
                <w:highlight w:val="none"/>
                <w:lang w:val="en-US" w:eastAsia="zh-CN" w:bidi="ar"/>
              </w:rPr>
            </w:pPr>
          </w:p>
        </w:tc>
        <w:tc>
          <w:tcPr>
            <w:tcW w:w="3567" w:type="dxa"/>
            <w:tcBorders>
              <w:top w:val="single" w:color="auto" w:sz="8" w:space="0"/>
              <w:left w:val="nil"/>
              <w:bottom w:val="single" w:color="auto" w:sz="8" w:space="0"/>
              <w:right w:val="single" w:color="auto" w:sz="8" w:space="0"/>
            </w:tcBorders>
            <w:noWrap w:val="0"/>
            <w:vAlign w:val="center"/>
          </w:tcPr>
          <w:p w14:paraId="6BB8213A">
            <w:pPr>
              <w:jc w:val="both"/>
              <w:textAlignment w:val="center"/>
              <w:rPr>
                <w:rFonts w:hint="default" w:ascii="仿宋" w:hAnsi="仿宋" w:eastAsia="仿宋" w:cs="仿宋"/>
                <w:bCs/>
                <w:color w:val="auto"/>
                <w:sz w:val="24"/>
                <w:szCs w:val="24"/>
                <w:highlight w:val="none"/>
                <w:lang w:val="en-US" w:eastAsia="zh-CN" w:bidi="ar"/>
              </w:rPr>
            </w:pPr>
            <w:r>
              <w:rPr>
                <w:rStyle w:val="120"/>
                <w:rFonts w:hint="default"/>
                <w:color w:val="auto"/>
                <w:highlight w:val="none"/>
                <w:lang w:eastAsia="zh-CN" w:bidi="ar"/>
              </w:rPr>
              <w:t>投标下浮率</w:t>
            </w:r>
            <w:r>
              <w:rPr>
                <w:rStyle w:val="120"/>
                <w:rFonts w:hint="eastAsia"/>
                <w:color w:val="auto"/>
                <w:highlight w:val="none"/>
                <w:lang w:val="en-US" w:eastAsia="zh-CN" w:bidi="ar"/>
              </w:rPr>
              <w:t xml:space="preserve">  </w:t>
            </w:r>
            <w:r>
              <w:rPr>
                <w:rStyle w:val="120"/>
                <w:rFonts w:hint="default"/>
                <w:color w:val="auto"/>
                <w:highlight w:val="none"/>
                <w:lang w:eastAsia="zh-CN" w:bidi="ar"/>
              </w:rPr>
              <w:t>%</w:t>
            </w:r>
            <w:r>
              <w:rPr>
                <w:rFonts w:hint="eastAsia" w:ascii="宋体" w:hAnsi="宋体" w:cs="宋体"/>
                <w:color w:val="auto"/>
                <w:sz w:val="22"/>
                <w:szCs w:val="22"/>
                <w:highlight w:val="none"/>
                <w:lang w:eastAsia="zh-CN" w:bidi="ar"/>
              </w:rPr>
              <w:t>。专业系数为1.0，复杂系数为1.0，附加系数为1.0</w:t>
            </w:r>
          </w:p>
        </w:tc>
      </w:tr>
      <w:tr w14:paraId="29F450A8">
        <w:tblPrEx>
          <w:tblCellMar>
            <w:top w:w="0" w:type="dxa"/>
            <w:left w:w="0" w:type="dxa"/>
            <w:bottom w:w="0" w:type="dxa"/>
            <w:right w:w="0" w:type="dxa"/>
          </w:tblCellMar>
        </w:tblPrEx>
        <w:trPr>
          <w:trHeight w:val="580" w:hRule="atLeast"/>
          <w:jc w:val="center"/>
        </w:trPr>
        <w:tc>
          <w:tcPr>
            <w:tcW w:w="768" w:type="dxa"/>
            <w:tcBorders>
              <w:top w:val="single" w:color="auto" w:sz="8" w:space="0"/>
              <w:left w:val="single" w:color="auto" w:sz="8" w:space="0"/>
              <w:bottom w:val="single" w:color="auto" w:sz="8" w:space="0"/>
              <w:right w:val="single" w:color="auto" w:sz="8" w:space="0"/>
            </w:tcBorders>
            <w:noWrap w:val="0"/>
            <w:vAlign w:val="center"/>
          </w:tcPr>
          <w:p w14:paraId="49C7C2EE">
            <w:pPr>
              <w:pStyle w:val="12"/>
              <w:ind w:firstLine="240" w:firstLineChars="100"/>
              <w:jc w:val="center"/>
              <w:rPr>
                <w:rFonts w:hint="eastAsia" w:ascii="仿宋" w:hAnsi="仿宋" w:eastAsia="仿宋" w:cs="仿宋"/>
                <w:bCs/>
                <w:color w:val="auto"/>
                <w:highlight w:val="none"/>
                <w:lang w:eastAsia="zh-CN" w:bidi="ar"/>
              </w:rPr>
            </w:pPr>
            <w:r>
              <w:rPr>
                <w:rFonts w:hint="eastAsia" w:ascii="仿宋" w:hAnsi="仿宋" w:eastAsia="仿宋" w:cs="仿宋"/>
                <w:bCs/>
                <w:color w:val="auto"/>
                <w:highlight w:val="none"/>
                <w:lang w:val="en-US" w:eastAsia="zh-CN" w:bidi="ar"/>
              </w:rPr>
              <w:t>3</w:t>
            </w:r>
          </w:p>
        </w:tc>
        <w:tc>
          <w:tcPr>
            <w:tcW w:w="1912" w:type="dxa"/>
            <w:tcBorders>
              <w:top w:val="single" w:color="auto" w:sz="8" w:space="0"/>
              <w:left w:val="nil"/>
              <w:bottom w:val="single" w:color="auto" w:sz="8" w:space="0"/>
              <w:right w:val="single" w:color="auto" w:sz="8" w:space="0"/>
            </w:tcBorders>
            <w:noWrap w:val="0"/>
            <w:vAlign w:val="center"/>
          </w:tcPr>
          <w:p w14:paraId="1A803F67">
            <w:pPr>
              <w:jc w:val="center"/>
              <w:textAlignment w:val="center"/>
              <w:rPr>
                <w:rFonts w:hint="eastAsia" w:ascii="仿宋" w:hAnsi="仿宋" w:eastAsia="仿宋" w:cs="仿宋"/>
                <w:bCs/>
                <w:color w:val="auto"/>
                <w:highlight w:val="none"/>
                <w:lang w:eastAsia="zh-CN" w:bidi="ar"/>
              </w:rPr>
            </w:pPr>
            <w:r>
              <w:rPr>
                <w:rFonts w:hint="eastAsia" w:ascii="宋体" w:hAnsi="宋体" w:cs="宋体"/>
                <w:color w:val="auto"/>
                <w:sz w:val="22"/>
                <w:szCs w:val="22"/>
                <w:highlight w:val="none"/>
                <w:lang w:eastAsia="zh-CN" w:bidi="ar"/>
              </w:rPr>
              <w:t>专业工程设计费（永久用电工程）</w:t>
            </w:r>
          </w:p>
        </w:tc>
        <w:tc>
          <w:tcPr>
            <w:tcW w:w="1343" w:type="dxa"/>
            <w:tcBorders>
              <w:top w:val="single" w:color="auto" w:sz="8" w:space="0"/>
              <w:left w:val="nil"/>
              <w:bottom w:val="single" w:color="auto" w:sz="8" w:space="0"/>
              <w:right w:val="single" w:color="auto" w:sz="8" w:space="0"/>
            </w:tcBorders>
            <w:noWrap w:val="0"/>
            <w:vAlign w:val="center"/>
          </w:tcPr>
          <w:p w14:paraId="1CCD922F">
            <w:pPr>
              <w:keepNext w:val="0"/>
              <w:keepLines w:val="0"/>
              <w:widowControl/>
              <w:suppressLineNumbers w:val="0"/>
              <w:jc w:val="center"/>
              <w:textAlignment w:val="center"/>
              <w:rPr>
                <w:rFonts w:hint="eastAsia" w:ascii="仿宋" w:hAnsi="仿宋" w:eastAsia="仿宋" w:cs="仿宋"/>
                <w:bCs/>
                <w:color w:val="auto"/>
                <w:sz w:val="24"/>
                <w:szCs w:val="24"/>
                <w:highlight w:val="none"/>
                <w:lang w:val="en-US" w:eastAsia="zh-CN" w:bidi="ar"/>
              </w:rPr>
            </w:pPr>
          </w:p>
        </w:tc>
        <w:tc>
          <w:tcPr>
            <w:tcW w:w="1332" w:type="dxa"/>
            <w:tcBorders>
              <w:top w:val="single" w:color="auto" w:sz="8" w:space="0"/>
              <w:left w:val="nil"/>
              <w:bottom w:val="single" w:color="auto" w:sz="8" w:space="0"/>
              <w:right w:val="single" w:color="auto" w:sz="8" w:space="0"/>
            </w:tcBorders>
            <w:noWrap w:val="0"/>
            <w:vAlign w:val="center"/>
          </w:tcPr>
          <w:p w14:paraId="560C9CD8">
            <w:pPr>
              <w:keepNext w:val="0"/>
              <w:keepLines w:val="0"/>
              <w:widowControl/>
              <w:suppressLineNumbers w:val="0"/>
              <w:jc w:val="center"/>
              <w:textAlignment w:val="center"/>
              <w:rPr>
                <w:rFonts w:hint="eastAsia" w:ascii="仿宋" w:hAnsi="仿宋" w:eastAsia="仿宋" w:cs="仿宋"/>
                <w:bCs/>
                <w:color w:val="auto"/>
                <w:sz w:val="24"/>
                <w:szCs w:val="24"/>
                <w:highlight w:val="none"/>
                <w:lang w:val="en-US" w:eastAsia="zh-CN" w:bidi="ar"/>
              </w:rPr>
            </w:pPr>
          </w:p>
        </w:tc>
        <w:tc>
          <w:tcPr>
            <w:tcW w:w="3567" w:type="dxa"/>
            <w:tcBorders>
              <w:top w:val="single" w:color="auto" w:sz="8" w:space="0"/>
              <w:left w:val="nil"/>
              <w:bottom w:val="single" w:color="auto" w:sz="8" w:space="0"/>
              <w:right w:val="single" w:color="auto" w:sz="8" w:space="0"/>
            </w:tcBorders>
            <w:noWrap w:val="0"/>
            <w:vAlign w:val="center"/>
          </w:tcPr>
          <w:p w14:paraId="287AAA91">
            <w:pPr>
              <w:jc w:val="both"/>
              <w:textAlignment w:val="center"/>
              <w:rPr>
                <w:rFonts w:hint="eastAsia" w:ascii="仿宋" w:hAnsi="仿宋" w:eastAsia="仿宋" w:cs="仿宋"/>
                <w:bCs/>
                <w:color w:val="auto"/>
                <w:highlight w:val="none"/>
                <w:lang w:eastAsia="zh-CN" w:bidi="ar"/>
              </w:rPr>
            </w:pPr>
            <w:r>
              <w:rPr>
                <w:rStyle w:val="120"/>
                <w:rFonts w:hint="default"/>
                <w:color w:val="auto"/>
                <w:highlight w:val="none"/>
                <w:lang w:eastAsia="zh-CN" w:bidi="ar"/>
              </w:rPr>
              <w:t>投标下浮率</w:t>
            </w:r>
            <w:r>
              <w:rPr>
                <w:rStyle w:val="120"/>
                <w:rFonts w:hint="eastAsia"/>
                <w:color w:val="auto"/>
                <w:highlight w:val="none"/>
                <w:lang w:val="en-US" w:eastAsia="zh-CN" w:bidi="ar"/>
              </w:rPr>
              <w:t xml:space="preserve">  </w:t>
            </w:r>
            <w:r>
              <w:rPr>
                <w:rStyle w:val="120"/>
                <w:rFonts w:hint="default"/>
                <w:color w:val="auto"/>
                <w:highlight w:val="none"/>
                <w:lang w:eastAsia="zh-CN" w:bidi="ar"/>
              </w:rPr>
              <w:t>%</w:t>
            </w:r>
            <w:r>
              <w:rPr>
                <w:rFonts w:hint="eastAsia" w:ascii="宋体" w:hAnsi="宋体" w:cs="宋体"/>
                <w:color w:val="auto"/>
                <w:sz w:val="22"/>
                <w:szCs w:val="22"/>
                <w:highlight w:val="none"/>
                <w:lang w:eastAsia="zh-CN" w:bidi="ar"/>
              </w:rPr>
              <w:t>。专业系数为1.0，复杂系数为</w:t>
            </w:r>
            <w:r>
              <w:rPr>
                <w:rFonts w:hint="eastAsia" w:ascii="宋体" w:hAnsi="宋体" w:cs="宋体"/>
                <w:color w:val="auto"/>
                <w:sz w:val="22"/>
                <w:szCs w:val="22"/>
                <w:highlight w:val="none"/>
                <w:lang w:val="en-US" w:eastAsia="zh-CN" w:bidi="ar"/>
              </w:rPr>
              <w:t>1.0</w:t>
            </w:r>
            <w:r>
              <w:rPr>
                <w:rFonts w:hint="eastAsia" w:ascii="宋体" w:hAnsi="宋体" w:cs="宋体"/>
                <w:color w:val="auto"/>
                <w:sz w:val="22"/>
                <w:szCs w:val="22"/>
                <w:highlight w:val="none"/>
                <w:lang w:eastAsia="zh-CN" w:bidi="ar"/>
              </w:rPr>
              <w:t>，附加系数为1.0</w:t>
            </w:r>
          </w:p>
        </w:tc>
      </w:tr>
      <w:tr w14:paraId="65A0FA6B">
        <w:tblPrEx>
          <w:tblCellMar>
            <w:top w:w="0" w:type="dxa"/>
            <w:left w:w="0" w:type="dxa"/>
            <w:bottom w:w="0" w:type="dxa"/>
            <w:right w:w="0" w:type="dxa"/>
          </w:tblCellMar>
        </w:tblPrEx>
        <w:trPr>
          <w:trHeight w:val="580" w:hRule="atLeast"/>
          <w:jc w:val="center"/>
        </w:trPr>
        <w:tc>
          <w:tcPr>
            <w:tcW w:w="768" w:type="dxa"/>
            <w:tcBorders>
              <w:top w:val="single" w:color="auto" w:sz="8" w:space="0"/>
              <w:left w:val="single" w:color="auto" w:sz="8" w:space="0"/>
              <w:bottom w:val="single" w:color="auto" w:sz="8" w:space="0"/>
              <w:right w:val="single" w:color="auto" w:sz="8" w:space="0"/>
            </w:tcBorders>
            <w:noWrap w:val="0"/>
            <w:vAlign w:val="center"/>
          </w:tcPr>
          <w:p w14:paraId="0EE334CA">
            <w:pPr>
              <w:pStyle w:val="12"/>
              <w:rPr>
                <w:rFonts w:hint="eastAsia" w:ascii="仿宋" w:hAnsi="仿宋" w:eastAsia="仿宋" w:cs="仿宋"/>
                <w:bCs/>
                <w:color w:val="auto"/>
                <w:highlight w:val="none"/>
                <w:lang w:eastAsia="zh-CN" w:bidi="ar"/>
              </w:rPr>
            </w:pPr>
            <w:r>
              <w:rPr>
                <w:rFonts w:hint="eastAsia" w:ascii="仿宋" w:hAnsi="仿宋" w:eastAsia="仿宋" w:cs="仿宋"/>
                <w:bCs/>
                <w:color w:val="auto"/>
                <w:highlight w:val="none"/>
                <w:lang w:val="en-US" w:eastAsia="zh-CN" w:bidi="ar"/>
              </w:rPr>
              <w:t>4</w:t>
            </w:r>
          </w:p>
        </w:tc>
        <w:tc>
          <w:tcPr>
            <w:tcW w:w="1912" w:type="dxa"/>
            <w:tcBorders>
              <w:top w:val="single" w:color="auto" w:sz="8" w:space="0"/>
              <w:left w:val="nil"/>
              <w:bottom w:val="single" w:color="auto" w:sz="8" w:space="0"/>
              <w:right w:val="single" w:color="auto" w:sz="8" w:space="0"/>
            </w:tcBorders>
            <w:noWrap w:val="0"/>
            <w:vAlign w:val="center"/>
          </w:tcPr>
          <w:p w14:paraId="5A904246">
            <w:pPr>
              <w:jc w:val="center"/>
              <w:textAlignment w:val="center"/>
              <w:rPr>
                <w:rFonts w:hint="eastAsia" w:ascii="仿宋" w:hAnsi="仿宋" w:eastAsia="仿宋" w:cs="仿宋"/>
                <w:bCs/>
                <w:color w:val="auto"/>
                <w:highlight w:val="none"/>
                <w:lang w:eastAsia="zh-CN" w:bidi="ar"/>
              </w:rPr>
            </w:pPr>
            <w:r>
              <w:rPr>
                <w:rFonts w:hint="eastAsia" w:ascii="宋体" w:hAnsi="宋体" w:cs="宋体"/>
                <w:color w:val="auto"/>
                <w:sz w:val="22"/>
                <w:szCs w:val="22"/>
                <w:highlight w:val="none"/>
                <w:lang w:eastAsia="zh-CN" w:bidi="ar"/>
              </w:rPr>
              <w:t>专业工程设计费（永久用</w:t>
            </w:r>
            <w:r>
              <w:rPr>
                <w:rFonts w:hint="eastAsia" w:ascii="宋体" w:hAnsi="宋体" w:cs="宋体"/>
                <w:color w:val="auto"/>
                <w:sz w:val="22"/>
                <w:szCs w:val="22"/>
                <w:highlight w:val="none"/>
                <w:lang w:val="en-US" w:eastAsia="zh-CN" w:bidi="ar"/>
              </w:rPr>
              <w:t>水</w:t>
            </w:r>
            <w:r>
              <w:rPr>
                <w:rFonts w:hint="eastAsia" w:ascii="宋体" w:hAnsi="宋体" w:cs="宋体"/>
                <w:color w:val="auto"/>
                <w:sz w:val="22"/>
                <w:szCs w:val="22"/>
                <w:highlight w:val="none"/>
                <w:lang w:eastAsia="zh-CN" w:bidi="ar"/>
              </w:rPr>
              <w:t>工程）</w:t>
            </w:r>
          </w:p>
        </w:tc>
        <w:tc>
          <w:tcPr>
            <w:tcW w:w="1343" w:type="dxa"/>
            <w:tcBorders>
              <w:top w:val="single" w:color="auto" w:sz="8" w:space="0"/>
              <w:left w:val="nil"/>
              <w:bottom w:val="single" w:color="auto" w:sz="8" w:space="0"/>
              <w:right w:val="single" w:color="auto" w:sz="8" w:space="0"/>
            </w:tcBorders>
            <w:noWrap w:val="0"/>
            <w:vAlign w:val="center"/>
          </w:tcPr>
          <w:p w14:paraId="795885FB">
            <w:pPr>
              <w:keepNext w:val="0"/>
              <w:keepLines w:val="0"/>
              <w:widowControl/>
              <w:suppressLineNumbers w:val="0"/>
              <w:jc w:val="center"/>
              <w:textAlignment w:val="center"/>
              <w:rPr>
                <w:rFonts w:hint="eastAsia" w:ascii="仿宋" w:hAnsi="仿宋" w:eastAsia="仿宋" w:cs="仿宋"/>
                <w:bCs/>
                <w:color w:val="auto"/>
                <w:sz w:val="24"/>
                <w:szCs w:val="24"/>
                <w:highlight w:val="none"/>
                <w:lang w:val="en-US" w:eastAsia="zh-CN" w:bidi="ar"/>
              </w:rPr>
            </w:pPr>
          </w:p>
        </w:tc>
        <w:tc>
          <w:tcPr>
            <w:tcW w:w="1332" w:type="dxa"/>
            <w:tcBorders>
              <w:top w:val="single" w:color="auto" w:sz="8" w:space="0"/>
              <w:left w:val="nil"/>
              <w:bottom w:val="single" w:color="auto" w:sz="8" w:space="0"/>
              <w:right w:val="single" w:color="auto" w:sz="8" w:space="0"/>
            </w:tcBorders>
            <w:noWrap w:val="0"/>
            <w:vAlign w:val="center"/>
          </w:tcPr>
          <w:p w14:paraId="44662571">
            <w:pPr>
              <w:keepNext w:val="0"/>
              <w:keepLines w:val="0"/>
              <w:widowControl/>
              <w:suppressLineNumbers w:val="0"/>
              <w:jc w:val="center"/>
              <w:textAlignment w:val="center"/>
              <w:rPr>
                <w:rFonts w:hint="eastAsia" w:ascii="仿宋" w:hAnsi="仿宋" w:eastAsia="仿宋" w:cs="仿宋"/>
                <w:bCs/>
                <w:color w:val="auto"/>
                <w:sz w:val="24"/>
                <w:szCs w:val="24"/>
                <w:highlight w:val="none"/>
                <w:lang w:val="en-US" w:eastAsia="zh-CN" w:bidi="ar"/>
              </w:rPr>
            </w:pPr>
          </w:p>
        </w:tc>
        <w:tc>
          <w:tcPr>
            <w:tcW w:w="3567" w:type="dxa"/>
            <w:tcBorders>
              <w:top w:val="single" w:color="auto" w:sz="8" w:space="0"/>
              <w:left w:val="nil"/>
              <w:bottom w:val="single" w:color="auto" w:sz="8" w:space="0"/>
              <w:right w:val="single" w:color="auto" w:sz="8" w:space="0"/>
            </w:tcBorders>
            <w:noWrap w:val="0"/>
            <w:vAlign w:val="center"/>
          </w:tcPr>
          <w:p w14:paraId="4813E2E9">
            <w:pPr>
              <w:jc w:val="both"/>
              <w:textAlignment w:val="center"/>
              <w:rPr>
                <w:rFonts w:hint="eastAsia" w:ascii="仿宋" w:hAnsi="仿宋" w:eastAsia="仿宋" w:cs="仿宋"/>
                <w:bCs/>
                <w:color w:val="auto"/>
                <w:highlight w:val="none"/>
                <w:lang w:eastAsia="zh-CN" w:bidi="ar"/>
              </w:rPr>
            </w:pPr>
            <w:r>
              <w:rPr>
                <w:rStyle w:val="120"/>
                <w:rFonts w:hint="default"/>
                <w:color w:val="auto"/>
                <w:highlight w:val="none"/>
                <w:lang w:eastAsia="zh-CN" w:bidi="ar"/>
              </w:rPr>
              <w:t>投标下浮率</w:t>
            </w:r>
            <w:r>
              <w:rPr>
                <w:rStyle w:val="120"/>
                <w:rFonts w:hint="eastAsia"/>
                <w:color w:val="auto"/>
                <w:highlight w:val="none"/>
                <w:lang w:val="en-US" w:eastAsia="zh-CN" w:bidi="ar"/>
              </w:rPr>
              <w:t xml:space="preserve">  </w:t>
            </w:r>
            <w:r>
              <w:rPr>
                <w:rStyle w:val="120"/>
                <w:rFonts w:hint="default"/>
                <w:color w:val="auto"/>
                <w:highlight w:val="none"/>
                <w:lang w:eastAsia="zh-CN" w:bidi="ar"/>
              </w:rPr>
              <w:t>%</w:t>
            </w:r>
            <w:r>
              <w:rPr>
                <w:rFonts w:hint="eastAsia" w:ascii="宋体" w:hAnsi="宋体" w:cs="宋体"/>
                <w:color w:val="auto"/>
                <w:sz w:val="22"/>
                <w:szCs w:val="22"/>
                <w:highlight w:val="none"/>
                <w:lang w:eastAsia="zh-CN" w:bidi="ar"/>
              </w:rPr>
              <w:t>。专业系数为1.0，复杂系数为</w:t>
            </w:r>
            <w:r>
              <w:rPr>
                <w:rFonts w:hint="eastAsia" w:ascii="宋体" w:hAnsi="宋体" w:cs="宋体"/>
                <w:color w:val="auto"/>
                <w:sz w:val="22"/>
                <w:szCs w:val="22"/>
                <w:highlight w:val="none"/>
                <w:lang w:val="en-US" w:eastAsia="zh-CN" w:bidi="ar"/>
              </w:rPr>
              <w:t>0.85</w:t>
            </w:r>
            <w:r>
              <w:rPr>
                <w:rFonts w:hint="eastAsia" w:ascii="宋体" w:hAnsi="宋体" w:cs="宋体"/>
                <w:color w:val="auto"/>
                <w:sz w:val="22"/>
                <w:szCs w:val="22"/>
                <w:highlight w:val="none"/>
                <w:lang w:eastAsia="zh-CN" w:bidi="ar"/>
              </w:rPr>
              <w:t>，附加系数为1.0</w:t>
            </w:r>
          </w:p>
        </w:tc>
      </w:tr>
      <w:tr w14:paraId="12DD8206">
        <w:tblPrEx>
          <w:tblCellMar>
            <w:top w:w="0" w:type="dxa"/>
            <w:left w:w="0" w:type="dxa"/>
            <w:bottom w:w="0" w:type="dxa"/>
            <w:right w:w="0" w:type="dxa"/>
          </w:tblCellMar>
        </w:tblPrEx>
        <w:trPr>
          <w:trHeight w:val="580" w:hRule="atLeast"/>
          <w:jc w:val="center"/>
        </w:trPr>
        <w:tc>
          <w:tcPr>
            <w:tcW w:w="768" w:type="dxa"/>
            <w:tcBorders>
              <w:top w:val="single" w:color="auto" w:sz="8" w:space="0"/>
              <w:left w:val="single" w:color="auto" w:sz="8" w:space="0"/>
              <w:bottom w:val="single" w:color="auto" w:sz="8" w:space="0"/>
              <w:right w:val="single" w:color="auto" w:sz="8" w:space="0"/>
            </w:tcBorders>
            <w:noWrap w:val="0"/>
            <w:vAlign w:val="center"/>
          </w:tcPr>
          <w:p w14:paraId="449D2EA7">
            <w:pPr>
              <w:pStyle w:val="12"/>
              <w:rPr>
                <w:rFonts w:hint="eastAsia" w:ascii="仿宋" w:hAnsi="仿宋" w:eastAsia="仿宋" w:cs="仿宋"/>
                <w:bCs/>
                <w:color w:val="auto"/>
                <w:highlight w:val="none"/>
                <w:lang w:val="en-US" w:eastAsia="zh-CN" w:bidi="ar"/>
              </w:rPr>
            </w:pPr>
            <w:r>
              <w:rPr>
                <w:rFonts w:hint="eastAsia" w:ascii="仿宋" w:hAnsi="仿宋" w:eastAsia="仿宋" w:cs="仿宋"/>
                <w:bCs/>
                <w:color w:val="auto"/>
                <w:highlight w:val="none"/>
                <w:lang w:val="en-US" w:eastAsia="zh-CN" w:bidi="ar"/>
              </w:rPr>
              <w:t>5</w:t>
            </w:r>
          </w:p>
        </w:tc>
        <w:tc>
          <w:tcPr>
            <w:tcW w:w="1912" w:type="dxa"/>
            <w:tcBorders>
              <w:top w:val="single" w:color="auto" w:sz="8" w:space="0"/>
              <w:left w:val="nil"/>
              <w:bottom w:val="single" w:color="auto" w:sz="8" w:space="0"/>
              <w:right w:val="single" w:color="auto" w:sz="8" w:space="0"/>
            </w:tcBorders>
            <w:noWrap w:val="0"/>
            <w:vAlign w:val="center"/>
          </w:tcPr>
          <w:p w14:paraId="1A05083B">
            <w:pPr>
              <w:jc w:val="center"/>
              <w:textAlignment w:val="center"/>
              <w:rPr>
                <w:rFonts w:hint="eastAsia" w:ascii="宋体" w:hAnsi="宋体" w:cs="宋体"/>
                <w:color w:val="auto"/>
                <w:sz w:val="22"/>
                <w:szCs w:val="22"/>
                <w:highlight w:val="none"/>
                <w:lang w:eastAsia="zh-CN" w:bidi="ar"/>
              </w:rPr>
            </w:pPr>
            <w:r>
              <w:rPr>
                <w:rFonts w:hint="eastAsia" w:ascii="宋体" w:hAnsi="宋体" w:cs="宋体"/>
                <w:color w:val="auto"/>
                <w:sz w:val="22"/>
                <w:szCs w:val="22"/>
                <w:highlight w:val="none"/>
                <w:lang w:eastAsia="zh-CN" w:bidi="ar"/>
              </w:rPr>
              <w:t>专业工程设计费（管线迁改工程）</w:t>
            </w:r>
          </w:p>
        </w:tc>
        <w:tc>
          <w:tcPr>
            <w:tcW w:w="1343" w:type="dxa"/>
            <w:tcBorders>
              <w:top w:val="single" w:color="auto" w:sz="8" w:space="0"/>
              <w:left w:val="nil"/>
              <w:bottom w:val="single" w:color="auto" w:sz="8" w:space="0"/>
              <w:right w:val="single" w:color="auto" w:sz="8" w:space="0"/>
            </w:tcBorders>
            <w:noWrap w:val="0"/>
            <w:vAlign w:val="center"/>
          </w:tcPr>
          <w:p w14:paraId="7E826B79">
            <w:pPr>
              <w:keepNext w:val="0"/>
              <w:keepLines w:val="0"/>
              <w:widowControl/>
              <w:suppressLineNumbers w:val="0"/>
              <w:jc w:val="center"/>
              <w:textAlignment w:val="center"/>
              <w:rPr>
                <w:rFonts w:hint="eastAsia" w:ascii="仿宋" w:hAnsi="仿宋" w:eastAsia="仿宋" w:cs="仿宋"/>
                <w:bCs/>
                <w:color w:val="auto"/>
                <w:sz w:val="24"/>
                <w:szCs w:val="24"/>
                <w:highlight w:val="none"/>
                <w:lang w:val="en-US" w:eastAsia="zh-CN" w:bidi="ar"/>
              </w:rPr>
            </w:pPr>
          </w:p>
        </w:tc>
        <w:tc>
          <w:tcPr>
            <w:tcW w:w="1332" w:type="dxa"/>
            <w:tcBorders>
              <w:top w:val="single" w:color="auto" w:sz="8" w:space="0"/>
              <w:left w:val="nil"/>
              <w:bottom w:val="single" w:color="auto" w:sz="8" w:space="0"/>
              <w:right w:val="single" w:color="auto" w:sz="8" w:space="0"/>
            </w:tcBorders>
            <w:noWrap w:val="0"/>
            <w:vAlign w:val="center"/>
          </w:tcPr>
          <w:p w14:paraId="77BD0E24">
            <w:pPr>
              <w:keepNext w:val="0"/>
              <w:keepLines w:val="0"/>
              <w:widowControl/>
              <w:suppressLineNumbers w:val="0"/>
              <w:jc w:val="center"/>
              <w:textAlignment w:val="center"/>
              <w:rPr>
                <w:rFonts w:hint="eastAsia" w:ascii="仿宋" w:hAnsi="仿宋" w:eastAsia="仿宋" w:cs="仿宋"/>
                <w:bCs/>
                <w:color w:val="auto"/>
                <w:sz w:val="24"/>
                <w:szCs w:val="24"/>
                <w:highlight w:val="none"/>
                <w:lang w:val="en-US" w:eastAsia="zh-CN" w:bidi="ar"/>
              </w:rPr>
            </w:pPr>
          </w:p>
        </w:tc>
        <w:tc>
          <w:tcPr>
            <w:tcW w:w="3567" w:type="dxa"/>
            <w:tcBorders>
              <w:top w:val="single" w:color="auto" w:sz="8" w:space="0"/>
              <w:left w:val="nil"/>
              <w:bottom w:val="single" w:color="auto" w:sz="8" w:space="0"/>
              <w:right w:val="single" w:color="auto" w:sz="8" w:space="0"/>
            </w:tcBorders>
            <w:noWrap w:val="0"/>
            <w:vAlign w:val="center"/>
          </w:tcPr>
          <w:p w14:paraId="4C0EDEA8">
            <w:pPr>
              <w:jc w:val="both"/>
              <w:textAlignment w:val="center"/>
              <w:rPr>
                <w:rStyle w:val="120"/>
                <w:rFonts w:hint="default"/>
                <w:color w:val="auto"/>
                <w:highlight w:val="none"/>
                <w:lang w:eastAsia="zh-CN" w:bidi="ar"/>
              </w:rPr>
            </w:pPr>
            <w:r>
              <w:rPr>
                <w:rStyle w:val="120"/>
                <w:rFonts w:hint="default"/>
                <w:color w:val="auto"/>
                <w:highlight w:val="none"/>
                <w:lang w:eastAsia="zh-CN" w:bidi="ar"/>
              </w:rPr>
              <w:t>投标下浮率</w:t>
            </w:r>
            <w:r>
              <w:rPr>
                <w:rStyle w:val="120"/>
                <w:rFonts w:hint="eastAsia"/>
                <w:color w:val="auto"/>
                <w:highlight w:val="none"/>
                <w:lang w:val="en-US" w:eastAsia="zh-CN" w:bidi="ar"/>
              </w:rPr>
              <w:t xml:space="preserve"> </w:t>
            </w:r>
            <w:r>
              <w:rPr>
                <w:rStyle w:val="120"/>
                <w:rFonts w:hint="default"/>
                <w:color w:val="auto"/>
                <w:highlight w:val="none"/>
                <w:lang w:eastAsia="zh-CN" w:bidi="ar"/>
              </w:rPr>
              <w:t>%</w:t>
            </w:r>
            <w:r>
              <w:rPr>
                <w:rFonts w:hint="eastAsia" w:ascii="宋体" w:hAnsi="宋体" w:cs="宋体"/>
                <w:color w:val="auto"/>
                <w:sz w:val="22"/>
                <w:szCs w:val="22"/>
                <w:highlight w:val="none"/>
                <w:lang w:eastAsia="zh-CN" w:bidi="ar"/>
              </w:rPr>
              <w:t>。专业系数为1.0，复杂系数为1.0，附加系数为1.0</w:t>
            </w:r>
          </w:p>
        </w:tc>
      </w:tr>
      <w:tr w14:paraId="7E24ACCC">
        <w:tblPrEx>
          <w:tblCellMar>
            <w:top w:w="0" w:type="dxa"/>
            <w:left w:w="0" w:type="dxa"/>
            <w:bottom w:w="0" w:type="dxa"/>
            <w:right w:w="0" w:type="dxa"/>
          </w:tblCellMar>
        </w:tblPrEx>
        <w:trPr>
          <w:trHeight w:val="580" w:hRule="atLeast"/>
          <w:jc w:val="center"/>
        </w:trPr>
        <w:tc>
          <w:tcPr>
            <w:tcW w:w="4023" w:type="dxa"/>
            <w:gridSpan w:val="3"/>
            <w:tcBorders>
              <w:top w:val="single" w:color="auto" w:sz="8" w:space="0"/>
              <w:left w:val="single" w:color="auto" w:sz="8" w:space="0"/>
              <w:bottom w:val="single" w:color="auto" w:sz="8" w:space="0"/>
              <w:right w:val="single" w:color="auto" w:sz="8" w:space="0"/>
            </w:tcBorders>
            <w:noWrap w:val="0"/>
            <w:vAlign w:val="center"/>
          </w:tcPr>
          <w:p w14:paraId="0FD6DA03">
            <w:pPr>
              <w:pStyle w:val="12"/>
              <w:ind w:firstLine="964" w:firstLineChars="400"/>
              <w:rPr>
                <w:rFonts w:hint="eastAsia" w:ascii="仿宋" w:hAnsi="仿宋" w:eastAsia="仿宋" w:cs="仿宋"/>
                <w:b/>
                <w:color w:val="auto"/>
                <w:highlight w:val="none"/>
                <w:lang w:bidi="ar"/>
              </w:rPr>
            </w:pPr>
            <w:r>
              <w:rPr>
                <w:rFonts w:hint="eastAsia" w:ascii="仿宋" w:hAnsi="仿宋" w:eastAsia="仿宋" w:cs="仿宋"/>
                <w:b/>
                <w:color w:val="auto"/>
                <w:highlight w:val="none"/>
              </w:rPr>
              <w:t>工程设计费合计</w:t>
            </w:r>
          </w:p>
        </w:tc>
        <w:tc>
          <w:tcPr>
            <w:tcW w:w="1332" w:type="dxa"/>
            <w:tcBorders>
              <w:top w:val="single" w:color="auto" w:sz="8" w:space="0"/>
              <w:left w:val="nil"/>
              <w:bottom w:val="single" w:color="auto" w:sz="8" w:space="0"/>
              <w:right w:val="single" w:color="auto" w:sz="8" w:space="0"/>
            </w:tcBorders>
            <w:noWrap w:val="0"/>
            <w:vAlign w:val="center"/>
          </w:tcPr>
          <w:p w14:paraId="6F474F7D">
            <w:pPr>
              <w:pStyle w:val="12"/>
              <w:ind w:firstLine="240" w:firstLineChars="100"/>
              <w:rPr>
                <w:rFonts w:hint="eastAsia" w:ascii="仿宋" w:hAnsi="仿宋" w:eastAsia="仿宋" w:cs="仿宋"/>
                <w:bCs/>
                <w:color w:val="auto"/>
                <w:highlight w:val="none"/>
                <w:lang w:bidi="ar"/>
              </w:rPr>
            </w:pPr>
          </w:p>
        </w:tc>
        <w:tc>
          <w:tcPr>
            <w:tcW w:w="3567" w:type="dxa"/>
            <w:tcBorders>
              <w:top w:val="single" w:color="auto" w:sz="8" w:space="0"/>
              <w:left w:val="nil"/>
              <w:bottom w:val="single" w:color="auto" w:sz="8" w:space="0"/>
              <w:right w:val="single" w:color="auto" w:sz="8" w:space="0"/>
            </w:tcBorders>
            <w:noWrap w:val="0"/>
            <w:vAlign w:val="center"/>
          </w:tcPr>
          <w:p w14:paraId="1BCE0A8D">
            <w:pPr>
              <w:pStyle w:val="12"/>
              <w:rPr>
                <w:rFonts w:hint="default" w:ascii="仿宋" w:hAnsi="仿宋" w:eastAsia="仿宋" w:cs="仿宋"/>
                <w:bCs/>
                <w:color w:val="auto"/>
                <w:highlight w:val="none"/>
                <w:lang w:val="en-US" w:eastAsia="zh-CN" w:bidi="ar"/>
              </w:rPr>
            </w:pPr>
            <w:r>
              <w:rPr>
                <w:rFonts w:hint="eastAsia" w:ascii="仿宋" w:hAnsi="仿宋" w:eastAsia="仿宋" w:cs="仿宋"/>
                <w:bCs/>
                <w:color w:val="auto"/>
                <w:highlight w:val="none"/>
              </w:rPr>
              <w:t>1+2+3+4+5</w:t>
            </w:r>
          </w:p>
        </w:tc>
      </w:tr>
    </w:tbl>
    <w:p w14:paraId="0D0B12FB">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备注：工程设计费包括各设计阶段评审及征询意见所发生的费用，包括税金、咨询费、评审费、专家费、专家交通费等。其中承包人应支付的专家费包括初步设计评审和基坑支护设计技术论证、施工图专家评审、不良地质处理论证等评审或论证会需支付的专家费。</w:t>
      </w:r>
    </w:p>
    <w:p w14:paraId="45862FF9">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72.1.2.2</w:t>
      </w:r>
      <w:r>
        <w:rPr>
          <w:rFonts w:ascii="仿宋" w:hAnsi="仿宋" w:eastAsia="仿宋" w:cs="仿宋"/>
          <w:color w:val="auto"/>
          <w:highlight w:val="none"/>
          <w:lang w:eastAsia="zh-CN"/>
        </w:rPr>
        <w:t>设计费结算</w:t>
      </w:r>
    </w:p>
    <w:p w14:paraId="5B9FCBE1">
      <w:pPr>
        <w:spacing w:line="360" w:lineRule="auto"/>
        <w:ind w:firstLine="600" w:firstLineChars="250"/>
        <w:rPr>
          <w:rFonts w:ascii="仿宋" w:hAnsi="仿宋" w:eastAsia="仿宋" w:cs="仿宋"/>
          <w:color w:val="auto"/>
          <w:highlight w:val="none"/>
          <w:lang w:eastAsia="zh-CN"/>
        </w:rPr>
      </w:pPr>
      <w:r>
        <w:rPr>
          <w:rFonts w:ascii="仿宋" w:hAnsi="仿宋" w:eastAsia="仿宋" w:cs="仿宋"/>
          <w:color w:val="auto"/>
          <w:highlight w:val="none"/>
          <w:lang w:eastAsia="zh-CN"/>
        </w:rPr>
        <w:t>本工程设计费结算计费标准按照国家计委、建设部《工程勘察设计收费标准（2002年修订本）》（计价格[2002]10号）以及本合同约定的计费方式执行（详见上表）</w:t>
      </w:r>
      <w:r>
        <w:rPr>
          <w:rFonts w:hint="eastAsia" w:ascii="仿宋" w:hAnsi="仿宋" w:eastAsia="仿宋" w:cs="仿宋"/>
          <w:color w:val="auto"/>
          <w:highlight w:val="none"/>
          <w:lang w:eastAsia="zh-CN"/>
        </w:rPr>
        <w:t>，预算下浮前工程费用对应的设计费×（1-合同约定下浮率）×（1-设计费投标下浮率）（其中专业工程设计费不计取合同约定下浮率）≥中标价时，设计费结算价以设计费中标价为准；预算下浮前工程费用对应的设计费×（1-合同约定下浮率）×（1-设计费投标下浮率）（其中专业工程设计费不计取合同约定下浮率）﹤中标价时，设计费结算价以“【工程基本设计费=预算下浮前工程费用对应的基本设计费×（1-合同约定下浮率）×（1-设计费投标下浮率）】+【专业工程设计费＝∑预算下浮前工程费用对应的专业设计费×（1-设计费投标下浮率）】”为准。如有违约金，最终结算金额对应扣减。</w:t>
      </w:r>
      <w:r>
        <w:rPr>
          <w:rFonts w:ascii="仿宋" w:hAnsi="仿宋" w:eastAsia="仿宋" w:cs="仿宋"/>
          <w:color w:val="auto"/>
          <w:highlight w:val="none"/>
          <w:lang w:eastAsia="zh-CN"/>
        </w:rPr>
        <w:t>最终结算以终审部门审定为准。</w:t>
      </w:r>
    </w:p>
    <w:p w14:paraId="6B891837">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72.1.2.3</w:t>
      </w:r>
      <w:r>
        <w:rPr>
          <w:rFonts w:ascii="仿宋" w:hAnsi="仿宋" w:eastAsia="仿宋" w:cs="仿宋"/>
          <w:color w:val="auto"/>
          <w:highlight w:val="none"/>
          <w:lang w:eastAsia="zh-CN"/>
        </w:rPr>
        <w:t>本项目实行限额设计。非</w:t>
      </w:r>
      <w:r>
        <w:rPr>
          <w:rFonts w:hint="eastAsia" w:ascii="仿宋" w:hAnsi="仿宋" w:eastAsia="仿宋" w:cs="仿宋"/>
          <w:color w:val="auto"/>
          <w:highlight w:val="none"/>
          <w:lang w:eastAsia="zh-CN"/>
        </w:rPr>
        <w:t>承包人</w:t>
      </w:r>
      <w:r>
        <w:rPr>
          <w:rFonts w:ascii="仿宋" w:hAnsi="仿宋" w:eastAsia="仿宋" w:cs="仿宋"/>
          <w:color w:val="auto"/>
          <w:highlight w:val="none"/>
          <w:lang w:eastAsia="zh-CN"/>
        </w:rPr>
        <w:t>原因，突破项目限额设计标准，则增加设计费结算办法如下：增加部分的工程费累计入项目建安工程费基数，按本合同第</w:t>
      </w:r>
      <w:r>
        <w:rPr>
          <w:rFonts w:hint="eastAsia" w:ascii="仿宋" w:hAnsi="仿宋" w:eastAsia="仿宋" w:cs="仿宋"/>
          <w:color w:val="auto"/>
          <w:highlight w:val="none"/>
          <w:lang w:eastAsia="zh-CN"/>
        </w:rPr>
        <w:t>72.1.2.2</w:t>
      </w:r>
      <w:r>
        <w:rPr>
          <w:rFonts w:ascii="仿宋" w:hAnsi="仿宋" w:eastAsia="仿宋" w:cs="仿宋"/>
          <w:color w:val="auto"/>
          <w:highlight w:val="none"/>
          <w:lang w:eastAsia="zh-CN"/>
        </w:rPr>
        <w:t>款办理。</w:t>
      </w:r>
    </w:p>
    <w:p w14:paraId="11AA13B3">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72.1.3 BIM技术应用费的计量规则与计价办法</w:t>
      </w:r>
      <w:bookmarkEnd w:id="1836"/>
    </w:p>
    <w:p w14:paraId="198FB1C1">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总价合同：按协议书约定的价格总价包干，除合同约定允许调整的事项外，总价不予调整。</w:t>
      </w:r>
    </w:p>
    <w:p w14:paraId="3D0813FE">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BIM技术应用费已包含在合同总价中，不另外开项计算。</w:t>
      </w:r>
      <w:r>
        <w:rPr>
          <w:rFonts w:hint="eastAsia" w:ascii="仿宋" w:hAnsi="仿宋" w:eastAsia="仿宋" w:cs="仿宋"/>
          <w:color w:val="auto"/>
          <w:highlight w:val="none"/>
          <w:u w:val="single"/>
          <w:lang w:eastAsia="zh-CN"/>
        </w:rPr>
        <w:t xml:space="preserve">  </w:t>
      </w:r>
    </w:p>
    <w:p w14:paraId="7DEB32E8">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72.1.4 设备及工器具购置费的计量规则与计价办法</w:t>
      </w:r>
    </w:p>
    <w:p w14:paraId="0A5AA75D">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6D1FAB35">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14:paraId="114227E4">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w:t>
      </w:r>
    </w:p>
    <w:p w14:paraId="684ACB25">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总价合同＋部分单价合同</w:t>
      </w:r>
    </w:p>
    <w:p w14:paraId="0E38DC48">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6304411F">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单价合同的范围为：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02C73C7E">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14:paraId="65044102">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14:paraId="3899BAF4">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采用单价合同的部分，按合同价格清单约定的综合单价包干，除合同约定可以调整的事项外，工作量或工程量按实计算，综合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w:t>
      </w:r>
    </w:p>
    <w:p w14:paraId="0EA74B91">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14:paraId="2E96B1EB">
      <w:pPr>
        <w:spacing w:line="360" w:lineRule="auto"/>
        <w:ind w:firstLine="1608" w:firstLineChars="67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其中：A＝协议书约定的相应总价±合同约定的价格调整</w:t>
      </w:r>
    </w:p>
    <w:p w14:paraId="1EBEFF02">
      <w:pPr>
        <w:spacing w:line="360" w:lineRule="auto"/>
        <w:ind w:firstLine="2325" w:firstLineChars="969"/>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B＝中标综合单价×实际数量</w:t>
      </w:r>
    </w:p>
    <w:p w14:paraId="695F830D">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                        </w:t>
      </w:r>
    </w:p>
    <w:p w14:paraId="2A08109E">
      <w:pPr>
        <w:spacing w:line="360" w:lineRule="auto"/>
        <w:rPr>
          <w:rFonts w:hint="eastAsia" w:ascii="仿宋" w:hAnsi="仿宋" w:eastAsia="仿宋" w:cs="仿宋"/>
          <w:color w:val="auto"/>
          <w:highlight w:val="none"/>
          <w:lang w:eastAsia="zh-CN"/>
        </w:rPr>
      </w:pPr>
      <w:bookmarkStart w:id="1837" w:name="_Toc24698"/>
      <w:r>
        <w:rPr>
          <w:rFonts w:hint="eastAsia" w:ascii="仿宋" w:hAnsi="仿宋" w:eastAsia="仿宋" w:cs="仿宋"/>
          <w:color w:val="auto"/>
          <w:highlight w:val="none"/>
          <w:lang w:eastAsia="zh-CN"/>
        </w:rPr>
        <w:t xml:space="preserve">72.1.5 </w:t>
      </w:r>
      <w:bookmarkStart w:id="1838" w:name="OLE_LINK6"/>
      <w:bookmarkStart w:id="1839" w:name="OLE_LINK5"/>
      <w:r>
        <w:rPr>
          <w:rFonts w:hint="eastAsia" w:ascii="仿宋" w:hAnsi="仿宋" w:eastAsia="仿宋" w:cs="仿宋"/>
          <w:color w:val="auto"/>
          <w:highlight w:val="none"/>
          <w:lang w:eastAsia="zh-CN"/>
        </w:rPr>
        <w:t>建筑安装工程费</w:t>
      </w:r>
      <w:bookmarkEnd w:id="1838"/>
      <w:bookmarkEnd w:id="1839"/>
      <w:r>
        <w:rPr>
          <w:rFonts w:hint="eastAsia" w:ascii="仿宋" w:hAnsi="仿宋" w:eastAsia="仿宋" w:cs="仿宋"/>
          <w:color w:val="auto"/>
          <w:highlight w:val="none"/>
          <w:lang w:eastAsia="zh-CN"/>
        </w:rPr>
        <w:t>的计量规则与计价办法</w:t>
      </w:r>
      <w:bookmarkEnd w:id="1837"/>
    </w:p>
    <w:p w14:paraId="0CB13A5B">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22B155CB">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14:paraId="4FF7F239">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结算价＝协议书约定的相应总价±合同约定的价格调整－发包人批准的优化设计降低造价。</w:t>
      </w:r>
    </w:p>
    <w:p w14:paraId="0D11C6B3">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总价合同＋部分单价合同</w:t>
      </w:r>
    </w:p>
    <w:p w14:paraId="2656EB10">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16F733AD">
      <w:pPr>
        <w:spacing w:line="360" w:lineRule="auto"/>
        <w:ind w:firstLine="2409" w:firstLineChars="1004"/>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单价合同的范围为：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5317B71D">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14:paraId="41F50C44">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14:paraId="4B8A7F23">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采用单价合同的部分，按合同价格清单约定的综合单价包干，除合同约定可以调整的事项外，工作量或工程量按实计算，综合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w:t>
      </w:r>
    </w:p>
    <w:p w14:paraId="4AAE34DD">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14:paraId="2E143DA7">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其中：A＝协议书约定的相应总价±合同约定的价格调整－发包人批准的优化设计降低造价</w:t>
      </w:r>
    </w:p>
    <w:p w14:paraId="23599ADA">
      <w:pPr>
        <w:spacing w:line="360" w:lineRule="auto"/>
        <w:ind w:firstLine="1476" w:firstLineChars="61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B＝中标综合单价×实际数量±合同约定的价格调整</w:t>
      </w:r>
    </w:p>
    <w:p w14:paraId="73E162BE">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详见协议书第八条及专用条款第8.5.3条。                 </w:t>
      </w:r>
    </w:p>
    <w:p w14:paraId="54BCF781">
      <w:pPr>
        <w:spacing w:line="360" w:lineRule="auto"/>
        <w:ind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72.1.6 其他服务项目费用的计量规则与计价办法</w:t>
      </w:r>
    </w:p>
    <w:p w14:paraId="0D242628">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按通用条款72.1.6约定。</w:t>
      </w:r>
    </w:p>
    <w:p w14:paraId="3992DCED">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2049B129">
      <w:pPr>
        <w:pStyle w:val="3"/>
        <w:tabs>
          <w:tab w:val="left" w:pos="420"/>
        </w:tabs>
        <w:spacing w:line="360" w:lineRule="auto"/>
        <w:rPr>
          <w:rFonts w:hint="eastAsia"/>
          <w:i w:val="0"/>
          <w:iCs w:val="0"/>
          <w:color w:val="auto"/>
          <w:highlight w:val="none"/>
          <w:lang w:eastAsia="zh-CN"/>
        </w:rPr>
      </w:pPr>
      <w:bookmarkStart w:id="1840" w:name="_Toc23472"/>
      <w:bookmarkStart w:id="1841" w:name="_Toc20531"/>
      <w:bookmarkStart w:id="1842" w:name="_Toc9407"/>
      <w:bookmarkStart w:id="1843" w:name="_Toc47694434"/>
      <w:bookmarkStart w:id="1844" w:name="_Toc9"/>
      <w:bookmarkStart w:id="1845" w:name="_Toc23172"/>
      <w:bookmarkStart w:id="1846" w:name="_Toc17853"/>
      <w:bookmarkStart w:id="1847" w:name="_Toc26689"/>
      <w:r>
        <w:rPr>
          <w:rFonts w:hint="eastAsia" w:ascii="仿宋" w:hAnsi="仿宋" w:eastAsia="仿宋" w:cs="仿宋"/>
          <w:b w:val="0"/>
          <w:bCs w:val="0"/>
          <w:i w:val="0"/>
          <w:iCs w:val="0"/>
          <w:color w:val="auto"/>
          <w:sz w:val="24"/>
          <w:szCs w:val="24"/>
          <w:highlight w:val="none"/>
          <w:lang w:eastAsia="zh-CN"/>
        </w:rPr>
        <w:t>★73.  暂列金额</w:t>
      </w:r>
      <w:bookmarkEnd w:id="1840"/>
      <w:bookmarkEnd w:id="1841"/>
      <w:bookmarkEnd w:id="1842"/>
      <w:bookmarkEnd w:id="1843"/>
      <w:bookmarkEnd w:id="1844"/>
      <w:bookmarkEnd w:id="1845"/>
      <w:bookmarkEnd w:id="1846"/>
      <w:bookmarkEnd w:id="1847"/>
    </w:p>
    <w:p w14:paraId="54ED527A">
      <w:pPr>
        <w:spacing w:line="360" w:lineRule="auto"/>
        <w:rPr>
          <w:rFonts w:hint="eastAsia" w:ascii="仿宋" w:hAnsi="仿宋" w:eastAsia="仿宋" w:cs="仿宋"/>
          <w:color w:val="auto"/>
          <w:highlight w:val="none"/>
          <w:lang w:eastAsia="zh-CN"/>
        </w:rPr>
      </w:pPr>
      <w:bookmarkStart w:id="1848" w:name="_Toc26979"/>
      <w:r>
        <w:rPr>
          <w:rFonts w:hint="eastAsia" w:ascii="仿宋" w:hAnsi="仿宋" w:eastAsia="仿宋" w:cs="仿宋"/>
          <w:color w:val="auto"/>
          <w:highlight w:val="none"/>
          <w:lang w:eastAsia="zh-CN"/>
        </w:rPr>
        <w:t>73.1 暂列金额的用途</w:t>
      </w:r>
      <w:bookmarkEnd w:id="1848"/>
    </w:p>
    <w:p w14:paraId="58CE8273">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合同工程的暂列金额</w:t>
      </w:r>
      <w:r>
        <w:rPr>
          <w:rFonts w:hint="eastAsia" w:ascii="仿宋" w:hAnsi="仿宋" w:eastAsia="仿宋" w:cs="仿宋"/>
          <w:color w:val="auto"/>
          <w:highlight w:val="none"/>
          <w:u w:val="single"/>
          <w:lang w:eastAsia="zh-CN"/>
        </w:rPr>
        <w:t>按发包人要求的比例开设</w:t>
      </w:r>
      <w:r>
        <w:rPr>
          <w:rFonts w:hint="eastAsia" w:ascii="仿宋" w:hAnsi="仿宋" w:eastAsia="仿宋" w:cs="仿宋"/>
          <w:color w:val="auto"/>
          <w:highlight w:val="none"/>
          <w:lang w:eastAsia="zh-CN"/>
        </w:rPr>
        <w:t>。</w:t>
      </w:r>
    </w:p>
    <w:p w14:paraId="1C79F343">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1849" w:name="_Toc6022"/>
      <w:bookmarkStart w:id="1850" w:name="_Toc2991"/>
      <w:bookmarkStart w:id="1851" w:name="_Toc47694435"/>
      <w:bookmarkStart w:id="1852" w:name="_Toc16672"/>
      <w:bookmarkStart w:id="1853" w:name="_Toc1271"/>
      <w:bookmarkStart w:id="1854" w:name="_Toc14103"/>
      <w:bookmarkStart w:id="1855" w:name="_Toc7923"/>
      <w:bookmarkStart w:id="1856" w:name="_Toc29724"/>
      <w:r>
        <w:rPr>
          <w:rFonts w:hint="eastAsia" w:ascii="仿宋" w:hAnsi="仿宋" w:eastAsia="仿宋" w:cs="仿宋"/>
          <w:b w:val="0"/>
          <w:bCs w:val="0"/>
          <w:i w:val="0"/>
          <w:iCs w:val="0"/>
          <w:color w:val="auto"/>
          <w:sz w:val="24"/>
          <w:szCs w:val="24"/>
          <w:highlight w:val="none"/>
          <w:lang w:eastAsia="zh-CN"/>
        </w:rPr>
        <w:t>★75.  暂估价</w:t>
      </w:r>
      <w:bookmarkEnd w:id="1849"/>
      <w:bookmarkEnd w:id="1850"/>
      <w:bookmarkEnd w:id="1851"/>
      <w:bookmarkEnd w:id="1852"/>
      <w:bookmarkEnd w:id="1853"/>
      <w:bookmarkEnd w:id="1854"/>
      <w:bookmarkEnd w:id="1855"/>
      <w:bookmarkEnd w:id="1856"/>
    </w:p>
    <w:p w14:paraId="1D4796B1">
      <w:pPr>
        <w:spacing w:line="360" w:lineRule="auto"/>
        <w:ind w:left="240" w:leftChars="100" w:firstLine="241" w:firstLineChars="100"/>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★75</w:t>
      </w:r>
      <w:r>
        <w:rPr>
          <w:rFonts w:hint="eastAsia" w:ascii="仿宋" w:hAnsi="仿宋" w:eastAsia="仿宋" w:cs="仿宋"/>
          <w:color w:val="auto"/>
          <w:highlight w:val="none"/>
          <w:lang w:eastAsia="zh-CN"/>
        </w:rPr>
        <w:t>.1 依法必须招标的工程材料、工程设备或专业工程暂估价的约定</w:t>
      </w:r>
    </w:p>
    <w:p w14:paraId="1BE9EAFF">
      <w:pPr>
        <w:spacing w:line="360" w:lineRule="auto"/>
        <w:ind w:left="240" w:leftChars="100"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合同双方当事人的权利、义务</w:t>
      </w:r>
    </w:p>
    <w:p w14:paraId="53CCE54A">
      <w:pPr>
        <w:spacing w:line="360" w:lineRule="auto"/>
        <w:ind w:left="240" w:leftChars="100"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工程材料、工程设备：</w:t>
      </w:r>
      <w:r>
        <w:rPr>
          <w:rFonts w:hint="eastAsia" w:ascii="仿宋" w:hAnsi="仿宋" w:eastAsia="仿宋" w:cs="仿宋"/>
          <w:color w:val="auto"/>
          <w:highlight w:val="none"/>
          <w:u w:val="single"/>
          <w:lang w:eastAsia="zh-CN"/>
        </w:rPr>
        <w:t xml:space="preserve">     /                                           </w:t>
      </w:r>
    </w:p>
    <w:p w14:paraId="5CCA9CE8">
      <w:pPr>
        <w:spacing w:line="360" w:lineRule="auto"/>
        <w:ind w:left="240" w:leftChars="10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专业工程：</w:t>
      </w:r>
      <w:r>
        <w:rPr>
          <w:rFonts w:hint="eastAsia" w:ascii="仿宋" w:hAnsi="仿宋" w:eastAsia="仿宋" w:cs="仿宋"/>
          <w:color w:val="auto"/>
          <w:highlight w:val="none"/>
          <w:u w:val="single"/>
          <w:lang w:eastAsia="zh-CN"/>
        </w:rPr>
        <w:t xml:space="preserve">               /                                           </w:t>
      </w:r>
    </w:p>
    <w:p w14:paraId="22F2F434">
      <w:pPr>
        <w:pStyle w:val="16"/>
        <w:spacing w:line="360" w:lineRule="auto"/>
        <w:ind w:firstLine="482" w:firstLineChars="200"/>
        <w:rPr>
          <w:rFonts w:hint="eastAsia" w:ascii="仿宋" w:hAnsi="仿宋" w:eastAsia="仿宋" w:cs="仿宋"/>
          <w:color w:val="auto"/>
          <w:sz w:val="24"/>
          <w:szCs w:val="24"/>
          <w:highlight w:val="none"/>
          <w:lang w:eastAsia="zh-CN" w:bidi="en-US"/>
        </w:rPr>
      </w:pPr>
      <w:r>
        <w:rPr>
          <w:rFonts w:hint="eastAsia" w:ascii="仿宋" w:hAnsi="仿宋" w:eastAsia="仿宋" w:cs="仿宋"/>
          <w:b/>
          <w:bCs/>
          <w:color w:val="auto"/>
          <w:sz w:val="24"/>
          <w:szCs w:val="24"/>
          <w:highlight w:val="none"/>
          <w:lang w:eastAsia="zh-CN" w:bidi="en-US"/>
        </w:rPr>
        <w:t xml:space="preserve">75.3 </w:t>
      </w:r>
      <w:r>
        <w:rPr>
          <w:rFonts w:hint="eastAsia" w:ascii="仿宋" w:hAnsi="仿宋" w:eastAsia="仿宋" w:cs="仿宋"/>
          <w:color w:val="auto"/>
          <w:sz w:val="24"/>
          <w:szCs w:val="24"/>
          <w:highlight w:val="none"/>
          <w:lang w:eastAsia="zh-CN" w:bidi="en-US"/>
        </w:rPr>
        <w:t>依法不需要招标的专业工程暂估价的约定</w:t>
      </w:r>
    </w:p>
    <w:p w14:paraId="63E34B86">
      <w:pPr>
        <w:spacing w:line="360" w:lineRule="auto"/>
        <w:ind w:left="240" w:leftChars="10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按通用条款约定，由造价咨询人与承包人确定。</w:t>
      </w:r>
    </w:p>
    <w:p w14:paraId="60C17D83">
      <w:pPr>
        <w:spacing w:line="360" w:lineRule="auto"/>
        <w:ind w:left="240" w:leftChars="10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144BF163">
      <w:pPr>
        <w:pStyle w:val="3"/>
        <w:tabs>
          <w:tab w:val="left" w:pos="420"/>
        </w:tabs>
        <w:spacing w:line="360" w:lineRule="auto"/>
        <w:ind w:firstLine="240" w:firstLineChars="100"/>
        <w:rPr>
          <w:rFonts w:hint="eastAsia" w:ascii="仿宋" w:hAnsi="仿宋" w:eastAsia="仿宋" w:cs="仿宋"/>
          <w:b w:val="0"/>
          <w:bCs w:val="0"/>
          <w:i w:val="0"/>
          <w:iCs w:val="0"/>
          <w:color w:val="auto"/>
          <w:sz w:val="24"/>
          <w:szCs w:val="24"/>
          <w:highlight w:val="none"/>
          <w:lang w:eastAsia="zh-CN"/>
        </w:rPr>
      </w:pPr>
      <w:bookmarkStart w:id="1857" w:name="_Toc16042"/>
      <w:bookmarkStart w:id="1858" w:name="_Toc29202"/>
      <w:bookmarkStart w:id="1859" w:name="_Toc16539"/>
      <w:bookmarkStart w:id="1860" w:name="_Toc31843"/>
      <w:bookmarkStart w:id="1861" w:name="_Toc30739"/>
      <w:bookmarkStart w:id="1862" w:name="_Toc23545"/>
      <w:bookmarkStart w:id="1863" w:name="_Toc47694436"/>
      <w:bookmarkStart w:id="1864" w:name="_Toc24337"/>
      <w:r>
        <w:rPr>
          <w:rFonts w:hint="eastAsia" w:ascii="仿宋" w:hAnsi="仿宋" w:eastAsia="仿宋" w:cs="仿宋"/>
          <w:b w:val="0"/>
          <w:bCs w:val="0"/>
          <w:i w:val="0"/>
          <w:iCs w:val="0"/>
          <w:color w:val="auto"/>
          <w:sz w:val="24"/>
          <w:szCs w:val="24"/>
          <w:highlight w:val="none"/>
          <w:lang w:eastAsia="zh-CN"/>
        </w:rPr>
        <w:t>★76.  提前竣工奖与误期赔偿费</w:t>
      </w:r>
      <w:bookmarkEnd w:id="1857"/>
      <w:bookmarkEnd w:id="1858"/>
      <w:bookmarkEnd w:id="1859"/>
      <w:bookmarkEnd w:id="1860"/>
      <w:bookmarkEnd w:id="1861"/>
      <w:bookmarkEnd w:id="1862"/>
      <w:bookmarkEnd w:id="1863"/>
      <w:bookmarkEnd w:id="1864"/>
    </w:p>
    <w:p w14:paraId="2D648069">
      <w:pPr>
        <w:spacing w:line="360" w:lineRule="auto"/>
        <w:ind w:left="240" w:leftChars="100"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76.1 提前竣工奖</w:t>
      </w:r>
    </w:p>
    <w:p w14:paraId="5B5D6D42">
      <w:pPr>
        <w:spacing w:line="360" w:lineRule="auto"/>
        <w:ind w:left="240" w:leftChars="10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①提前竣工奖额度</w:t>
      </w:r>
    </w:p>
    <w:p w14:paraId="385D25FF">
      <w:pPr>
        <w:spacing w:line="360" w:lineRule="auto"/>
        <w:ind w:left="240" w:leftChars="100"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未约定提前竣工奖的，本款不适用。</w:t>
      </w:r>
    </w:p>
    <w:p w14:paraId="2B49B0D4">
      <w:pPr>
        <w:spacing w:line="360" w:lineRule="auto"/>
        <w:ind w:left="240" w:leftChars="100"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约定提前竣工奖的，每日历天应奖额度为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76DB4833">
      <w:pPr>
        <w:spacing w:line="360" w:lineRule="auto"/>
        <w:ind w:left="240" w:leftChars="10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②提前竣工奖的最高限额</w:t>
      </w:r>
    </w:p>
    <w:p w14:paraId="583389F3">
      <w:pPr>
        <w:spacing w:line="360" w:lineRule="auto"/>
        <w:ind w:left="240" w:leftChars="100"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按通用条款约定为合同价款的5%，即</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79084A31">
      <w:pPr>
        <w:spacing w:line="360" w:lineRule="auto"/>
        <w:ind w:left="240" w:leftChars="100"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ascii="仿宋" w:hAnsi="仿宋" w:eastAsia="仿宋"/>
          <w:color w:val="auto"/>
          <w:highlight w:val="none"/>
          <w:u w:val="single"/>
          <w:lang w:eastAsia="zh-CN"/>
        </w:rPr>
        <w:t>不设提前竣工奖，本款不适用。</w:t>
      </w:r>
      <w:r>
        <w:rPr>
          <w:rFonts w:hint="eastAsia" w:ascii="仿宋" w:hAnsi="仿宋" w:eastAsia="仿宋" w:cs="仿宋"/>
          <w:color w:val="auto"/>
          <w:highlight w:val="none"/>
          <w:u w:val="single"/>
          <w:lang w:eastAsia="zh-CN"/>
        </w:rPr>
        <w:t xml:space="preserve">                    </w:t>
      </w:r>
    </w:p>
    <w:p w14:paraId="5D244E17">
      <w:pPr>
        <w:spacing w:line="360" w:lineRule="auto"/>
        <w:ind w:left="240" w:leftChars="100"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76.2 误期赔偿费</w:t>
      </w:r>
    </w:p>
    <w:p w14:paraId="0523093B">
      <w:pPr>
        <w:spacing w:line="360" w:lineRule="auto"/>
        <w:ind w:left="240" w:leftChars="100"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 每日历天应赔偿额度：</w:t>
      </w:r>
      <w:r>
        <w:rPr>
          <w:rFonts w:hint="eastAsia" w:ascii="仿宋" w:hAnsi="仿宋" w:eastAsia="仿宋" w:cs="仿宋"/>
          <w:color w:val="auto"/>
          <w:highlight w:val="none"/>
          <w:u w:val="single"/>
          <w:lang w:eastAsia="zh-CN"/>
        </w:rPr>
        <w:t>见合同专用条款第95款。</w:t>
      </w:r>
    </w:p>
    <w:p w14:paraId="6779FA62">
      <w:pPr>
        <w:spacing w:line="360" w:lineRule="auto"/>
        <w:ind w:left="240" w:leftChars="10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 误期赔偿费的最高限额</w:t>
      </w:r>
    </w:p>
    <w:p w14:paraId="4E5DD0EC">
      <w:pPr>
        <w:spacing w:line="360" w:lineRule="auto"/>
        <w:ind w:left="240" w:leftChars="100"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按通用条款约定为合同价款的5%，即</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4B6CBEED">
      <w:pPr>
        <w:spacing w:line="360" w:lineRule="auto"/>
        <w:ind w:left="240" w:leftChars="100"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见合同专用条款第95款。  </w:t>
      </w:r>
    </w:p>
    <w:p w14:paraId="15BA0D0F">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1865" w:name="_Toc2879"/>
      <w:bookmarkStart w:id="1866" w:name="_Toc19315"/>
      <w:bookmarkStart w:id="1867" w:name="_Toc47694437"/>
      <w:bookmarkStart w:id="1868" w:name="_Toc14678"/>
      <w:bookmarkStart w:id="1869" w:name="_Toc16953"/>
      <w:bookmarkStart w:id="1870" w:name="_Toc18913"/>
      <w:bookmarkStart w:id="1871" w:name="_Toc19137"/>
      <w:bookmarkStart w:id="1872" w:name="_Toc10423"/>
      <w:r>
        <w:rPr>
          <w:rFonts w:hint="eastAsia" w:ascii="仿宋" w:hAnsi="仿宋" w:eastAsia="仿宋" w:cs="仿宋"/>
          <w:b w:val="0"/>
          <w:bCs w:val="0"/>
          <w:i w:val="0"/>
          <w:iCs w:val="0"/>
          <w:color w:val="auto"/>
          <w:sz w:val="24"/>
          <w:szCs w:val="24"/>
          <w:highlight w:val="none"/>
          <w:lang w:eastAsia="zh-CN"/>
        </w:rPr>
        <w:t>★77.  优质优价费用</w:t>
      </w:r>
      <w:bookmarkEnd w:id="1865"/>
      <w:bookmarkEnd w:id="1866"/>
      <w:bookmarkEnd w:id="1867"/>
      <w:bookmarkEnd w:id="1868"/>
      <w:bookmarkEnd w:id="1869"/>
      <w:bookmarkEnd w:id="1870"/>
      <w:bookmarkEnd w:id="1871"/>
      <w:bookmarkEnd w:id="1872"/>
    </w:p>
    <w:p w14:paraId="08BF6811">
      <w:pPr>
        <w:spacing w:line="360" w:lineRule="auto"/>
        <w:ind w:left="240" w:leftChars="1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77.1 优质优价费用的约定</w:t>
      </w:r>
    </w:p>
    <w:p w14:paraId="2CC78527">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olor w:val="auto"/>
          <w:highlight w:val="none"/>
          <w:lang w:eastAsia="zh-CN"/>
        </w:rPr>
        <w:t>约定优质优价费用的，其计算方法：</w:t>
      </w:r>
      <w:r>
        <w:rPr>
          <w:rFonts w:hint="eastAsia" w:ascii="仿宋" w:hAnsi="仿宋" w:eastAsia="仿宋" w:cs="仿宋"/>
          <w:color w:val="auto"/>
          <w:highlight w:val="none"/>
          <w:u w:val="single"/>
          <w:lang w:eastAsia="zh-CN"/>
        </w:rPr>
        <w:t xml:space="preserve">  /  </w:t>
      </w:r>
    </w:p>
    <w:p w14:paraId="28F91E89">
      <w:pPr>
        <w:spacing w:line="360" w:lineRule="auto"/>
        <w:ind w:left="480" w:left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77.2 优质优价费用计提与支付</w:t>
      </w:r>
    </w:p>
    <w:p w14:paraId="50B4AA68">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优质优价费用的计算额度：</w:t>
      </w:r>
    </w:p>
    <w:p w14:paraId="765CCB5E">
      <w:pPr>
        <w:spacing w:line="360" w:lineRule="auto"/>
        <w:ind w:left="941" w:leftChars="392"/>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按通用条款约定计算，当合同工程同时获得上述多个奖项的，优质优价费用只按最高奖项的额度计算。国家级质量奖，优质优价费用率为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；省级质量奖，优质优价费用率为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；市级质量奖，优质优价费用率为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；精品工程</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，优质优价费用率为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；其他质量奖</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，优质优价费用率为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7731EFA">
      <w:pPr>
        <w:spacing w:line="360" w:lineRule="auto"/>
        <w:ind w:left="941" w:leftChars="392"/>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另作约定（工程优质费率参考广东省建设工程计价依据工程优质费、广州市住房和城乡建设局发布的工程优质费率；合同工程同时获得下列多个奖项的，只按最高奖项的额度计算。）：</w:t>
      </w:r>
    </w:p>
    <w:p w14:paraId="249B2D1A">
      <w:pPr>
        <w:spacing w:line="360" w:lineRule="auto"/>
        <w:ind w:left="720" w:leftChars="300" w:firstLine="271" w:firstLineChars="113"/>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国家级质量奖，工程优质费</w:t>
      </w:r>
      <w:r>
        <w:rPr>
          <w:rFonts w:ascii="仿宋" w:hAnsi="仿宋" w:eastAsia="仿宋" w:cs="仿宋"/>
          <w:color w:val="auto"/>
          <w:highlight w:val="none"/>
          <w:u w:val="single"/>
          <w:lang w:eastAsia="zh-CN"/>
        </w:rPr>
        <w:t xml:space="preserve">    /      </w:t>
      </w:r>
      <w:r>
        <w:rPr>
          <w:rFonts w:hint="eastAsia" w:ascii="仿宋" w:hAnsi="仿宋" w:eastAsia="仿宋"/>
          <w:color w:val="auto"/>
          <w:highlight w:val="none"/>
          <w:lang w:eastAsia="zh-CN"/>
        </w:rPr>
        <w:t xml:space="preserve"> %；</w:t>
      </w:r>
    </w:p>
    <w:p w14:paraId="190B278B">
      <w:pPr>
        <w:spacing w:line="360" w:lineRule="auto"/>
        <w:ind w:left="720" w:leftChars="300" w:firstLine="271" w:firstLineChars="113"/>
        <w:rPr>
          <w:rFonts w:ascii="仿宋" w:hAnsi="仿宋" w:eastAsia="仿宋"/>
          <w:color w:val="auto"/>
          <w:highlight w:val="none"/>
          <w:lang w:eastAsia="zh-CN"/>
        </w:rPr>
      </w:pPr>
      <w:r>
        <w:rPr>
          <w:rFonts w:hint="eastAsia" w:ascii="仿宋" w:hAnsi="仿宋" w:eastAsia="仿宋" w:cs="仿宋"/>
          <w:color w:val="auto"/>
          <w:highlight w:val="none"/>
          <w:lang w:eastAsia="zh-CN"/>
        </w:rPr>
        <w:t>省级质量奖，工程优质费</w:t>
      </w:r>
      <w:r>
        <w:rPr>
          <w:rFonts w:ascii="仿宋" w:hAnsi="仿宋" w:eastAsia="仿宋" w:cs="仿宋"/>
          <w:color w:val="auto"/>
          <w:highlight w:val="none"/>
          <w:u w:val="single"/>
          <w:lang w:eastAsia="zh-CN"/>
        </w:rPr>
        <w:t xml:space="preserve">     /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p>
    <w:p w14:paraId="62639884">
      <w:pPr>
        <w:spacing w:line="360" w:lineRule="auto"/>
        <w:ind w:left="720" w:leftChars="300" w:firstLine="271" w:firstLineChars="11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市级质量奖，工程优质费</w:t>
      </w:r>
      <w:r>
        <w:rPr>
          <w:rFonts w:ascii="仿宋" w:hAnsi="仿宋" w:eastAsia="仿宋" w:cs="仿宋"/>
          <w:color w:val="auto"/>
          <w:highlight w:val="none"/>
          <w:u w:val="single"/>
          <w:lang w:eastAsia="zh-CN"/>
        </w:rPr>
        <w:t xml:space="preserve">     /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7D8FAD90">
      <w:pPr>
        <w:spacing w:line="360" w:lineRule="auto"/>
        <w:ind w:left="720" w:leftChars="300" w:firstLine="271" w:firstLineChars="113"/>
        <w:rPr>
          <w:rFonts w:ascii="仿宋" w:hAnsi="仿宋" w:eastAsia="仿宋" w:cs="仿宋"/>
          <w:color w:val="auto"/>
          <w:highlight w:val="none"/>
          <w:lang w:eastAsia="zh-CN"/>
        </w:rPr>
      </w:pPr>
      <w:r>
        <w:rPr>
          <w:rFonts w:hint="eastAsia" w:ascii="仿宋" w:hAnsi="仿宋" w:eastAsia="仿宋" w:cs="仿宋"/>
          <w:color w:val="auto"/>
          <w:highlight w:val="none"/>
          <w:lang w:eastAsia="zh-CN"/>
        </w:rPr>
        <w:t>精品工程，工程优质费</w:t>
      </w:r>
      <w:r>
        <w:rPr>
          <w:rFonts w:ascii="仿宋" w:hAnsi="仿宋" w:eastAsia="仿宋" w:cs="仿宋"/>
          <w:color w:val="auto"/>
          <w:highlight w:val="none"/>
          <w:u w:val="single"/>
          <w:lang w:eastAsia="zh-CN"/>
        </w:rPr>
        <w:t xml:space="preserve">      /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03C8E2A1">
      <w:pPr>
        <w:spacing w:line="360" w:lineRule="auto"/>
        <w:ind w:left="720" w:leftChars="300" w:firstLine="271" w:firstLineChars="11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其他质量奖：工程优质费</w:t>
      </w:r>
      <w:r>
        <w:rPr>
          <w:rFonts w:ascii="仿宋" w:hAnsi="仿宋" w:eastAsia="仿宋" w:cs="仿宋"/>
          <w:color w:val="auto"/>
          <w:highlight w:val="none"/>
          <w:u w:val="single"/>
          <w:lang w:eastAsia="zh-CN"/>
        </w:rPr>
        <w:t xml:space="preserve">    /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442459B6">
      <w:pPr>
        <w:spacing w:line="360" w:lineRule="auto"/>
        <w:ind w:left="941" w:leftChars="392"/>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□获得优质奖项的最迟时间限制：竣工结算获批准后</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年内。</w:t>
      </w:r>
    </w:p>
    <w:p w14:paraId="5A7122AC">
      <w:pPr>
        <w:pStyle w:val="3"/>
        <w:tabs>
          <w:tab w:val="left" w:pos="420"/>
        </w:tabs>
        <w:spacing w:line="360" w:lineRule="auto"/>
        <w:rPr>
          <w:rFonts w:hint="eastAsia" w:ascii="仿宋" w:hAnsi="仿宋" w:eastAsia="仿宋" w:cs="仿宋"/>
          <w:i w:val="0"/>
          <w:iCs w:val="0"/>
          <w:color w:val="auto"/>
          <w:sz w:val="24"/>
          <w:szCs w:val="24"/>
          <w:highlight w:val="none"/>
          <w:lang w:eastAsia="zh-CN"/>
        </w:rPr>
      </w:pPr>
      <w:bookmarkStart w:id="1873" w:name="_Toc47694438"/>
      <w:bookmarkStart w:id="1874" w:name="_Toc14123"/>
      <w:bookmarkStart w:id="1875" w:name="_Toc19718"/>
      <w:bookmarkStart w:id="1876" w:name="_Toc2006"/>
      <w:bookmarkStart w:id="1877" w:name="_Toc10657"/>
      <w:bookmarkStart w:id="1878" w:name="_Toc31725"/>
      <w:bookmarkStart w:id="1879" w:name="_Toc32336"/>
      <w:bookmarkStart w:id="1880" w:name="_Toc11251"/>
      <w:r>
        <w:rPr>
          <w:rFonts w:hint="eastAsia" w:ascii="仿宋" w:hAnsi="仿宋" w:eastAsia="仿宋" w:cs="仿宋"/>
          <w:b w:val="0"/>
          <w:bCs w:val="0"/>
          <w:i w:val="0"/>
          <w:iCs w:val="0"/>
          <w:color w:val="auto"/>
          <w:sz w:val="24"/>
          <w:szCs w:val="24"/>
          <w:highlight w:val="none"/>
          <w:lang w:eastAsia="zh-CN"/>
        </w:rPr>
        <w:t>79.  可调价变更定价</w:t>
      </w:r>
      <w:bookmarkEnd w:id="1873"/>
      <w:bookmarkEnd w:id="1874"/>
      <w:bookmarkEnd w:id="1875"/>
      <w:bookmarkEnd w:id="1876"/>
      <w:bookmarkEnd w:id="1877"/>
      <w:bookmarkEnd w:id="1878"/>
      <w:bookmarkEnd w:id="1879"/>
      <w:bookmarkEnd w:id="1880"/>
    </w:p>
    <w:p w14:paraId="6B5372AB">
      <w:pPr>
        <w:spacing w:line="360" w:lineRule="auto"/>
        <w:rPr>
          <w:rFonts w:hint="eastAsia" w:ascii="仿宋" w:hAnsi="仿宋" w:eastAsia="仿宋"/>
          <w:color w:val="auto"/>
          <w:highlight w:val="none"/>
          <w:lang w:eastAsia="zh-CN"/>
        </w:rPr>
      </w:pPr>
      <w:bookmarkStart w:id="1881" w:name="_Toc6987"/>
      <w:r>
        <w:rPr>
          <w:rFonts w:hint="eastAsia" w:ascii="仿宋" w:hAnsi="仿宋" w:eastAsia="仿宋" w:cs="仿宋"/>
          <w:color w:val="auto"/>
          <w:highlight w:val="none"/>
          <w:lang w:eastAsia="zh-CN"/>
        </w:rPr>
        <w:t>79.2 可调价变更工作项目的定价</w:t>
      </w:r>
      <w:bookmarkEnd w:id="1881"/>
    </w:p>
    <w:p w14:paraId="7380878A">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□按通用条款第79.2款约定执行。</w:t>
      </w:r>
    </w:p>
    <w:p w14:paraId="3D995346">
      <w:pPr>
        <w:spacing w:line="360" w:lineRule="auto"/>
        <w:ind w:firstLine="840" w:firstLineChars="3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合同中没有相同也没有类似清单项目的，其计价依据、计量规则和计价方法：</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5F8FAF0B">
      <w:pPr>
        <w:spacing w:line="360" w:lineRule="auto"/>
        <w:ind w:firstLine="840" w:firstLineChars="350"/>
        <w:rPr>
          <w:rFonts w:hint="eastAsia" w:ascii="仿宋" w:hAnsi="仿宋" w:eastAsia="仿宋" w:cs="仿宋"/>
          <w:color w:val="auto"/>
          <w:highlight w:val="none"/>
          <w:u w:val="single"/>
          <w:lang w:eastAsia="zh-CN"/>
        </w:rPr>
      </w:pPr>
      <w:bookmarkStart w:id="1882" w:name="_Toc20187"/>
      <w:r>
        <w:rPr>
          <w:rFonts w:hint="eastAsia" w:ascii="仿宋" w:hAnsi="仿宋" w:eastAsia="仿宋" w:cs="仿宋"/>
          <w:color w:val="auto"/>
          <w:highlight w:val="none"/>
          <w:lang w:eastAsia="zh-CN"/>
        </w:rPr>
        <w:t xml:space="preserve">(4)“类似清单项目”的认定原则：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53DB977A">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☑另作约定：</w:t>
      </w:r>
      <w:bookmarkEnd w:id="1882"/>
      <w:bookmarkStart w:id="1883" w:name="_Toc11818"/>
      <w:r>
        <w:rPr>
          <w:rFonts w:hint="eastAsia" w:ascii="仿宋" w:hAnsi="仿宋" w:eastAsia="仿宋" w:cs="仿宋"/>
          <w:color w:val="auto"/>
          <w:highlight w:val="none"/>
          <w:u w:val="single"/>
          <w:lang w:eastAsia="zh-CN"/>
        </w:rPr>
        <w:t>按合同相关条款执行。</w:t>
      </w:r>
    </w:p>
    <w:p w14:paraId="1DD27AE5">
      <w:pPr>
        <w:spacing w:line="360" w:lineRule="auto"/>
        <w:rPr>
          <w:rFonts w:hint="eastAsia" w:ascii="仿宋" w:hAnsi="仿宋" w:eastAsia="仿宋" w:cs="仿宋"/>
          <w:color w:val="auto"/>
          <w:highlight w:val="none"/>
          <w:lang w:eastAsia="zh-CN"/>
        </w:rPr>
      </w:pPr>
    </w:p>
    <w:p w14:paraId="4CEA603E">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79.3 可调价变更实体项目的定价</w:t>
      </w:r>
      <w:bookmarkEnd w:id="1883"/>
    </w:p>
    <w:p w14:paraId="45B1DAB8">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□按通用条款第79.3款约定执行。</w:t>
      </w:r>
    </w:p>
    <w:p w14:paraId="115DC6F8">
      <w:pPr>
        <w:spacing w:line="360" w:lineRule="auto"/>
        <w:ind w:firstLine="960" w:firstLineChars="40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合同中没有相同也没有类似清单项目的，其计价依据、计量规则和计价方法：</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3EF2E1E8">
      <w:pPr>
        <w:spacing w:line="360" w:lineRule="auto"/>
        <w:ind w:firstLine="840" w:firstLineChars="350"/>
        <w:rPr>
          <w:rFonts w:hint="eastAsia" w:ascii="仿宋" w:hAnsi="仿宋" w:eastAsia="仿宋" w:cs="仿宋"/>
          <w:color w:val="auto"/>
          <w:highlight w:val="none"/>
          <w:lang w:eastAsia="zh-CN"/>
        </w:rPr>
      </w:pPr>
      <w:bookmarkStart w:id="1884" w:name="_Toc9257"/>
      <w:r>
        <w:rPr>
          <w:rFonts w:hint="eastAsia" w:ascii="仿宋" w:hAnsi="仿宋" w:eastAsia="仿宋" w:cs="仿宋"/>
          <w:color w:val="auto"/>
          <w:highlight w:val="none"/>
          <w:lang w:eastAsia="zh-CN"/>
        </w:rPr>
        <w:t xml:space="preserve">(4)“类似清单项目”的认定原则：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5285DDA6">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 xml:space="preserve">     </w:t>
      </w:r>
      <w:r>
        <w:rPr>
          <w:rFonts w:hint="eastAsia" w:ascii="仿宋" w:hAnsi="仿宋" w:eastAsia="仿宋" w:cs="仿宋"/>
          <w:color w:val="auto"/>
          <w:highlight w:val="none"/>
          <w:lang w:eastAsia="zh-CN"/>
        </w:rPr>
        <w:t>☑另作约定：</w:t>
      </w:r>
      <w:bookmarkEnd w:id="1884"/>
      <w:r>
        <w:rPr>
          <w:rFonts w:ascii="仿宋" w:hAnsi="仿宋" w:eastAsia="仿宋"/>
          <w:color w:val="auto"/>
          <w:highlight w:val="none"/>
          <w:lang w:eastAsia="zh-CN"/>
        </w:rPr>
        <w:t>调整分部分项工程费的方法</w:t>
      </w:r>
    </w:p>
    <w:p w14:paraId="66C0F572">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79.3.1</w:t>
      </w:r>
      <w:r>
        <w:rPr>
          <w:rFonts w:ascii="仿宋" w:hAnsi="仿宋" w:eastAsia="仿宋"/>
          <w:color w:val="auto"/>
          <w:highlight w:val="none"/>
          <w:lang w:eastAsia="zh-CN"/>
        </w:rPr>
        <w:t>工程项目实施期间和结算时，属</w:t>
      </w:r>
      <w:r>
        <w:rPr>
          <w:rFonts w:hint="eastAsia" w:ascii="仿宋" w:hAnsi="仿宋" w:eastAsia="仿宋" w:cs="仿宋"/>
          <w:color w:val="auto"/>
          <w:highlight w:val="none"/>
          <w:lang w:eastAsia="zh-CN"/>
        </w:rPr>
        <w:t>工程量清单中分部分项工程缺项漏项事件、工程变更事件（含设计变更）、工程量偏差事件、现场签证事件而产生的清单项目，</w:t>
      </w:r>
      <w:r>
        <w:rPr>
          <w:rFonts w:ascii="仿宋" w:hAnsi="仿宋" w:eastAsia="仿宋"/>
          <w:color w:val="auto"/>
          <w:highlight w:val="none"/>
          <w:lang w:eastAsia="zh-CN"/>
        </w:rPr>
        <w:t>按以下规定确定价格：</w:t>
      </w:r>
    </w:p>
    <w:p w14:paraId="2EF0B2B3">
      <w:pPr>
        <w:spacing w:line="360" w:lineRule="auto"/>
        <w:ind w:left="-2" w:leftChars="-1" w:firstLine="364" w:firstLineChars="152"/>
        <w:rPr>
          <w:rFonts w:hint="eastAsia"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 xml:space="preserve"> 合同中已有适用于变更工程的价格</w:t>
      </w:r>
      <w:r>
        <w:rPr>
          <w:rFonts w:ascii="仿宋" w:hAnsi="仿宋" w:eastAsia="仿宋"/>
          <w:color w:val="auto"/>
          <w:highlight w:val="none"/>
          <w:lang w:eastAsia="zh-CN"/>
        </w:rPr>
        <w:t>，则沿用</w:t>
      </w:r>
      <w:r>
        <w:rPr>
          <w:rFonts w:hint="eastAsia" w:ascii="仿宋" w:hAnsi="仿宋" w:eastAsia="仿宋"/>
          <w:color w:val="auto"/>
          <w:highlight w:val="none"/>
          <w:lang w:eastAsia="zh-CN"/>
        </w:rPr>
        <w:t>。</w:t>
      </w:r>
    </w:p>
    <w:p w14:paraId="7C67AF5E">
      <w:pPr>
        <w:spacing w:line="360" w:lineRule="auto"/>
        <w:ind w:left="-2" w:leftChars="-1" w:firstLine="364" w:firstLineChars="152"/>
        <w:rPr>
          <w:rFonts w:ascii="仿宋" w:hAnsi="仿宋" w:eastAsia="仿宋"/>
          <w:color w:val="auto"/>
          <w:highlight w:val="none"/>
          <w:lang w:eastAsia="zh-CN"/>
        </w:rPr>
      </w:pPr>
      <w:r>
        <w:rPr>
          <w:rFonts w:ascii="仿宋" w:hAnsi="仿宋" w:eastAsia="仿宋"/>
          <w:color w:val="auto"/>
          <w:highlight w:val="none"/>
          <w:lang w:eastAsia="zh-CN"/>
        </w:rPr>
        <w:t>（2）</w:t>
      </w:r>
      <w:r>
        <w:rPr>
          <w:rFonts w:hint="eastAsia" w:ascii="仿宋" w:hAnsi="仿宋" w:eastAsia="仿宋"/>
          <w:color w:val="auto"/>
          <w:highlight w:val="none"/>
          <w:lang w:eastAsia="zh-CN"/>
        </w:rPr>
        <w:t>合同中只有类似于变更工程的价格</w:t>
      </w:r>
      <w:r>
        <w:rPr>
          <w:rFonts w:ascii="仿宋" w:hAnsi="仿宋" w:eastAsia="仿宋"/>
          <w:color w:val="auto"/>
          <w:highlight w:val="none"/>
          <w:lang w:eastAsia="zh-CN"/>
        </w:rPr>
        <w:t>，</w:t>
      </w:r>
      <w:r>
        <w:rPr>
          <w:rFonts w:hint="eastAsia" w:ascii="仿宋" w:hAnsi="仿宋" w:eastAsia="仿宋" w:cs="仿宋"/>
          <w:color w:val="auto"/>
          <w:highlight w:val="none"/>
          <w:u w:val="single"/>
          <w:lang w:eastAsia="zh-CN"/>
        </w:rPr>
        <w:t>则按类似项目的综合单价对相应子目、消耗量、单价等进行调整换算，原管理费、利润率不变。如工程量清单中类似项目的综合单价有两个以上，则由发包人按消耗量最少、管理费和利润取费最低的优先顺序选择类似项目综合单价进行换算。如换算时出现类似项目中没有的材料单价，项目优先执行施工期间白云区建设行政主管部门发布的白云区建设工程地方材料指导价格，并执行施工期间广州市建设工程造价管理站发布的《广州地区建设工程常用材料税前综合价格》。《广州地区建设工程常用材料税前综合价格》缺项部分可以参考《广州地区建设工程材料（设备）厂商价格信息》及结合市场价（就低原则计取），其中厂商价格土建工程、园建工程、市政工程下浮10%，机电安装工程下浮20%，市场询价原则上应在就近工程所在地询价，询价文件应提供3~5家供应商的报价，并且盖有供应商的公章，且单价必须明确是否包税、包运、包安装等影响单价的关键内容，经监理、第三方造价咨询单位、建设管理单位、发包人、发包人审批确认后执行；若用以上方式仍然无法得到价格的，由工程总承包方上报，经监理、第三方造价咨询单位、建设管理单位、发包人审批确定。如均没有时，由承包人根据材料品牌看样定板选用的品牌报价并报监理、第三方造价咨询单位、建设管理单位、发包人审定确认，发包人确认的材料单价与进场材料匹配的有效发票（监理单位和发包人确认）的材料单价对比，如发票价格高于发包人审定价，按发包人审定价进行计算。施工期间涉及材料价格调整的，按专用条款第82款相应执行</w:t>
      </w:r>
      <w:r>
        <w:rPr>
          <w:rFonts w:ascii="仿宋" w:hAnsi="仿宋" w:eastAsia="仿宋"/>
          <w:color w:val="auto"/>
          <w:highlight w:val="none"/>
          <w:lang w:eastAsia="zh-CN"/>
        </w:rPr>
        <w:t>。</w:t>
      </w:r>
      <w:r>
        <w:rPr>
          <w:rFonts w:hint="eastAsia" w:ascii="仿宋" w:hAnsi="仿宋" w:eastAsia="仿宋"/>
          <w:color w:val="auto"/>
          <w:highlight w:val="none"/>
          <w:lang w:eastAsia="zh-CN"/>
        </w:rPr>
        <w:t>最终结算价格以财政评审中心审核为准。</w:t>
      </w:r>
    </w:p>
    <w:p w14:paraId="7D165B5C">
      <w:pPr>
        <w:spacing w:line="360" w:lineRule="auto"/>
        <w:ind w:left="-2" w:leftChars="-1" w:firstLine="364" w:firstLineChars="152"/>
        <w:rPr>
          <w:rFonts w:ascii="仿宋" w:hAnsi="仿宋" w:eastAsia="仿宋"/>
          <w:color w:val="auto"/>
          <w:highlight w:val="none"/>
          <w:lang w:eastAsia="zh-CN"/>
        </w:rPr>
      </w:pPr>
      <w:r>
        <w:rPr>
          <w:rFonts w:ascii="仿宋" w:hAnsi="仿宋" w:eastAsia="仿宋"/>
          <w:color w:val="auto"/>
          <w:highlight w:val="none"/>
          <w:lang w:eastAsia="zh-CN"/>
        </w:rPr>
        <w:t>（3）工程量清单中相同</w:t>
      </w:r>
      <w:r>
        <w:rPr>
          <w:rFonts w:hint="eastAsia" w:ascii="仿宋" w:hAnsi="仿宋" w:eastAsia="仿宋"/>
          <w:color w:val="auto"/>
          <w:highlight w:val="none"/>
          <w:lang w:eastAsia="zh-CN"/>
        </w:rPr>
        <w:t>清单</w:t>
      </w:r>
      <w:r>
        <w:rPr>
          <w:rFonts w:ascii="仿宋" w:hAnsi="仿宋" w:eastAsia="仿宋"/>
          <w:color w:val="auto"/>
          <w:highlight w:val="none"/>
          <w:lang w:eastAsia="zh-CN"/>
        </w:rPr>
        <w:t>项目存在多个</w:t>
      </w:r>
      <w:r>
        <w:rPr>
          <w:rFonts w:hint="eastAsia" w:ascii="仿宋" w:hAnsi="仿宋" w:eastAsia="仿宋"/>
          <w:color w:val="auto"/>
          <w:highlight w:val="none"/>
          <w:lang w:eastAsia="zh-CN"/>
        </w:rPr>
        <w:t>综合单价</w:t>
      </w:r>
      <w:r>
        <w:rPr>
          <w:rFonts w:ascii="仿宋" w:hAnsi="仿宋" w:eastAsia="仿宋"/>
          <w:color w:val="auto"/>
          <w:highlight w:val="none"/>
          <w:lang w:eastAsia="zh-CN"/>
        </w:rPr>
        <w:t>的，取最有利于发包人的</w:t>
      </w:r>
      <w:r>
        <w:rPr>
          <w:rFonts w:hint="eastAsia" w:ascii="仿宋" w:hAnsi="仿宋" w:eastAsia="仿宋"/>
          <w:color w:val="auto"/>
          <w:highlight w:val="none"/>
          <w:lang w:eastAsia="zh-CN"/>
        </w:rPr>
        <w:t>综合单价</w:t>
      </w:r>
      <w:r>
        <w:rPr>
          <w:rFonts w:ascii="仿宋" w:hAnsi="仿宋" w:eastAsia="仿宋"/>
          <w:color w:val="auto"/>
          <w:highlight w:val="none"/>
          <w:lang w:eastAsia="zh-CN"/>
        </w:rPr>
        <w:t>。</w:t>
      </w:r>
    </w:p>
    <w:p w14:paraId="37094948">
      <w:pPr>
        <w:spacing w:line="360" w:lineRule="auto"/>
        <w:ind w:left="-2" w:leftChars="-1" w:firstLine="364" w:firstLineChars="152"/>
        <w:rPr>
          <w:rFonts w:ascii="仿宋" w:hAnsi="仿宋" w:eastAsia="仿宋"/>
          <w:color w:val="auto"/>
          <w:highlight w:val="none"/>
          <w:lang w:eastAsia="zh-CN"/>
        </w:rPr>
      </w:pPr>
      <w:r>
        <w:rPr>
          <w:rFonts w:ascii="仿宋" w:hAnsi="仿宋" w:eastAsia="仿宋"/>
          <w:color w:val="auto"/>
          <w:highlight w:val="none"/>
          <w:lang w:eastAsia="zh-CN"/>
        </w:rPr>
        <w:t>（4）工程量清单中没有相同或类似清单项目的，有定额可套用的清单项目，则按</w:t>
      </w:r>
      <w:r>
        <w:rPr>
          <w:rFonts w:hint="eastAsia" w:ascii="仿宋" w:hAnsi="仿宋" w:eastAsia="仿宋"/>
          <w:color w:val="auto"/>
          <w:highlight w:val="none"/>
          <w:lang w:eastAsia="zh-CN"/>
        </w:rPr>
        <w:t>本条第（5）款</w:t>
      </w:r>
      <w:r>
        <w:rPr>
          <w:rFonts w:ascii="仿宋" w:hAnsi="仿宋" w:eastAsia="仿宋"/>
          <w:color w:val="auto"/>
          <w:highlight w:val="none"/>
          <w:lang w:eastAsia="zh-CN"/>
        </w:rPr>
        <w:t>标准综合单价执行；没有定额可套用的清单项目，参照标准综合单价的计算方法，由承包人提供详细的单价分析，经发包人审核后执行。</w:t>
      </w:r>
    </w:p>
    <w:p w14:paraId="63ECE4C7">
      <w:pPr>
        <w:spacing w:line="360" w:lineRule="auto"/>
        <w:ind w:left="-2" w:leftChars="-1" w:firstLine="364" w:firstLineChars="152"/>
        <w:rPr>
          <w:rFonts w:ascii="仿宋" w:hAnsi="仿宋" w:eastAsia="仿宋"/>
          <w:color w:val="auto"/>
          <w:highlight w:val="none"/>
          <w:lang w:eastAsia="zh-CN"/>
        </w:rPr>
      </w:pPr>
      <w:r>
        <w:rPr>
          <w:rFonts w:ascii="仿宋" w:hAnsi="仿宋" w:eastAsia="仿宋"/>
          <w:color w:val="auto"/>
          <w:highlight w:val="none"/>
          <w:lang w:eastAsia="zh-CN"/>
        </w:rPr>
        <w:t>（5）标准综合单价：</w:t>
      </w:r>
    </w:p>
    <w:p w14:paraId="63DEDCB6">
      <w:pPr>
        <w:spacing w:line="360" w:lineRule="auto"/>
        <w:ind w:left="-2" w:leftChars="-1" w:firstLine="364" w:firstLineChars="152"/>
        <w:rPr>
          <w:rFonts w:ascii="仿宋" w:hAnsi="仿宋" w:eastAsia="仿宋"/>
          <w:color w:val="auto"/>
          <w:highlight w:val="none"/>
          <w:lang w:eastAsia="zh-CN"/>
        </w:rPr>
      </w:pPr>
      <w:r>
        <w:rPr>
          <w:rFonts w:hint="eastAsia" w:ascii="仿宋" w:hAnsi="仿宋" w:eastAsia="仿宋"/>
          <w:color w:val="auto"/>
          <w:highlight w:val="none"/>
          <w:lang w:eastAsia="zh-CN"/>
        </w:rPr>
        <w:t>计量规则参照第一部分协议书第八条签约合同价与合同价格形式第3.3 施工部分中约定的方式计算</w:t>
      </w:r>
      <w:r>
        <w:rPr>
          <w:rFonts w:hint="eastAsia" w:ascii="仿宋" w:hAnsi="仿宋" w:eastAsia="仿宋" w:cs="宋体"/>
          <w:color w:val="auto"/>
          <w:highlight w:val="none"/>
          <w:lang w:eastAsia="zh-CN"/>
        </w:rPr>
        <w:t>。</w:t>
      </w:r>
    </w:p>
    <w:p w14:paraId="39254803">
      <w:pPr>
        <w:spacing w:line="360" w:lineRule="auto"/>
        <w:ind w:left="-2" w:leftChars="-1" w:firstLine="364" w:firstLineChars="152"/>
        <w:rPr>
          <w:rFonts w:ascii="仿宋" w:hAnsi="仿宋" w:eastAsia="仿宋"/>
          <w:color w:val="auto"/>
          <w:highlight w:val="none"/>
          <w:lang w:eastAsia="zh-CN"/>
        </w:rPr>
      </w:pPr>
      <w:r>
        <w:rPr>
          <w:rFonts w:ascii="仿宋" w:hAnsi="仿宋" w:eastAsia="仿宋"/>
          <w:color w:val="auto"/>
          <w:highlight w:val="none"/>
          <w:lang w:eastAsia="zh-CN"/>
        </w:rPr>
        <w:t>（6）人工、机械</w:t>
      </w:r>
      <w:r>
        <w:rPr>
          <w:rFonts w:hint="eastAsia" w:ascii="仿宋" w:hAnsi="仿宋" w:eastAsia="仿宋"/>
          <w:color w:val="auto"/>
          <w:highlight w:val="none"/>
          <w:lang w:eastAsia="zh-CN"/>
        </w:rPr>
        <w:t>台班</w:t>
      </w:r>
      <w:r>
        <w:rPr>
          <w:rFonts w:ascii="仿宋" w:hAnsi="仿宋" w:eastAsia="仿宋"/>
          <w:color w:val="auto"/>
          <w:highlight w:val="none"/>
          <w:lang w:eastAsia="zh-CN"/>
        </w:rPr>
        <w:t>、材料</w:t>
      </w:r>
      <w:r>
        <w:rPr>
          <w:rFonts w:hint="eastAsia" w:ascii="仿宋" w:hAnsi="仿宋" w:eastAsia="仿宋"/>
          <w:color w:val="auto"/>
          <w:highlight w:val="none"/>
          <w:lang w:eastAsia="zh-CN"/>
        </w:rPr>
        <w:t>（设备）</w:t>
      </w:r>
      <w:r>
        <w:rPr>
          <w:rFonts w:ascii="仿宋" w:hAnsi="仿宋" w:eastAsia="仿宋"/>
          <w:color w:val="auto"/>
          <w:highlight w:val="none"/>
          <w:lang w:eastAsia="zh-CN"/>
        </w:rPr>
        <w:t>单价：</w:t>
      </w:r>
    </w:p>
    <w:p w14:paraId="16187C52">
      <w:pPr>
        <w:topLinePunct/>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①</w:t>
      </w:r>
      <w:r>
        <w:rPr>
          <w:rFonts w:ascii="仿宋" w:hAnsi="仿宋" w:eastAsia="仿宋"/>
          <w:color w:val="auto"/>
          <w:highlight w:val="none"/>
          <w:lang w:eastAsia="zh-CN"/>
        </w:rPr>
        <w:t>人工、机械</w:t>
      </w:r>
      <w:r>
        <w:rPr>
          <w:rFonts w:hint="eastAsia" w:ascii="仿宋" w:hAnsi="仿宋" w:eastAsia="仿宋"/>
          <w:color w:val="auto"/>
          <w:highlight w:val="none"/>
          <w:lang w:eastAsia="zh-CN"/>
        </w:rPr>
        <w:t>台班单价，按</w:t>
      </w:r>
      <w:r>
        <w:rPr>
          <w:rFonts w:ascii="仿宋" w:hAnsi="仿宋" w:eastAsia="仿宋"/>
          <w:color w:val="auto"/>
          <w:highlight w:val="none"/>
          <w:lang w:eastAsia="zh-CN"/>
        </w:rPr>
        <w:t>广州市建设工程造价管理部门颁布的</w:t>
      </w:r>
      <w:r>
        <w:rPr>
          <w:rFonts w:hint="eastAsia" w:ascii="仿宋" w:hAnsi="仿宋" w:eastAsia="仿宋"/>
          <w:color w:val="auto"/>
          <w:highlight w:val="none"/>
          <w:lang w:eastAsia="zh-CN"/>
        </w:rPr>
        <w:t>施工期间适用的</w:t>
      </w:r>
      <w:r>
        <w:rPr>
          <w:rFonts w:ascii="仿宋" w:hAnsi="仿宋" w:eastAsia="仿宋"/>
          <w:color w:val="auto"/>
          <w:highlight w:val="none"/>
          <w:lang w:eastAsia="zh-CN"/>
        </w:rPr>
        <w:t>建设工程结算文件（</w:t>
      </w:r>
      <w:r>
        <w:rPr>
          <w:rFonts w:hint="eastAsia" w:ascii="仿宋" w:hAnsi="仿宋" w:eastAsia="仿宋"/>
          <w:color w:val="auto"/>
          <w:highlight w:val="none"/>
          <w:lang w:eastAsia="zh-CN"/>
        </w:rPr>
        <w:t>如</w:t>
      </w:r>
      <w:r>
        <w:rPr>
          <w:rFonts w:ascii="仿宋" w:hAnsi="仿宋" w:eastAsia="仿宋"/>
          <w:color w:val="auto"/>
          <w:highlight w:val="none"/>
          <w:lang w:eastAsia="zh-CN"/>
        </w:rPr>
        <w:t>建设工程结算及有关问题的通知</w:t>
      </w:r>
      <w:r>
        <w:rPr>
          <w:rFonts w:hint="eastAsia" w:ascii="仿宋" w:hAnsi="仿宋" w:eastAsia="仿宋"/>
          <w:color w:val="auto"/>
          <w:highlight w:val="none"/>
          <w:lang w:eastAsia="zh-CN"/>
        </w:rPr>
        <w:t>等</w:t>
      </w:r>
      <w:r>
        <w:rPr>
          <w:rFonts w:ascii="仿宋" w:hAnsi="仿宋" w:eastAsia="仿宋"/>
          <w:color w:val="auto"/>
          <w:highlight w:val="none"/>
          <w:lang w:eastAsia="zh-CN"/>
        </w:rPr>
        <w:t>）规定的人工日工资单价、机械台班</w:t>
      </w:r>
      <w:r>
        <w:rPr>
          <w:rFonts w:hint="eastAsia" w:ascii="仿宋" w:hAnsi="仿宋" w:eastAsia="仿宋"/>
          <w:color w:val="auto"/>
          <w:highlight w:val="none"/>
          <w:lang w:eastAsia="zh-CN"/>
        </w:rPr>
        <w:t>单价执行；</w:t>
      </w:r>
    </w:p>
    <w:p w14:paraId="390D6CA9">
      <w:pPr>
        <w:topLinePunct/>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②材料单价，</w:t>
      </w:r>
      <w:r>
        <w:rPr>
          <w:rFonts w:hint="eastAsia" w:ascii="仿宋" w:hAnsi="仿宋" w:eastAsia="仿宋" w:cs="仿宋"/>
          <w:color w:val="auto"/>
          <w:highlight w:val="none"/>
          <w:u w:val="single"/>
          <w:lang w:eastAsia="zh-CN"/>
        </w:rPr>
        <w:t>项目优先执行施工期间白云区建设行政主管部门发布的白云区建设工程地方材料指导价格，并执行施工期间广州市建设工程造价管理站发布的《广州地区建设工程常用材料税前综合价格》</w:t>
      </w:r>
      <w:r>
        <w:rPr>
          <w:rFonts w:hint="eastAsia" w:ascii="仿宋" w:hAnsi="仿宋" w:eastAsia="仿宋"/>
          <w:color w:val="auto"/>
          <w:highlight w:val="none"/>
          <w:lang w:eastAsia="zh-CN"/>
        </w:rPr>
        <w:t xml:space="preserve">； </w:t>
      </w:r>
    </w:p>
    <w:p w14:paraId="270D9C3D">
      <w:pPr>
        <w:spacing w:line="360" w:lineRule="auto"/>
        <w:ind w:firstLine="480" w:firstLineChars="200"/>
        <w:rPr>
          <w:rFonts w:hint="eastAsia" w:ascii="仿宋" w:hAnsi="仿宋" w:eastAsia="仿宋" w:cs="仿宋"/>
          <w:color w:val="auto"/>
          <w:highlight w:val="none"/>
          <w:u w:val="single"/>
          <w:lang w:eastAsia="zh-CN"/>
        </w:rPr>
      </w:pPr>
      <w:r>
        <w:rPr>
          <w:rFonts w:ascii="仿宋" w:hAnsi="仿宋" w:eastAsia="仿宋"/>
          <w:color w:val="auto"/>
          <w:highlight w:val="none"/>
          <w:lang w:eastAsia="zh-CN"/>
        </w:rPr>
        <w:t>③</w:t>
      </w:r>
      <w:r>
        <w:rPr>
          <w:rFonts w:hint="eastAsia" w:ascii="仿宋" w:hAnsi="仿宋" w:eastAsia="仿宋"/>
          <w:color w:val="auto"/>
          <w:highlight w:val="none"/>
          <w:lang w:eastAsia="zh-CN"/>
        </w:rPr>
        <w:t>施工期间</w:t>
      </w:r>
      <w:r>
        <w:rPr>
          <w:rFonts w:ascii="仿宋" w:hAnsi="仿宋" w:eastAsia="仿宋"/>
          <w:color w:val="auto"/>
          <w:highlight w:val="none"/>
          <w:lang w:eastAsia="zh-CN"/>
        </w:rPr>
        <w:t>材料综合价格中没有的材料</w:t>
      </w:r>
      <w:r>
        <w:rPr>
          <w:rFonts w:hint="eastAsia" w:ascii="仿宋" w:hAnsi="仿宋" w:eastAsia="仿宋"/>
          <w:color w:val="auto"/>
          <w:highlight w:val="none"/>
          <w:lang w:eastAsia="zh-CN"/>
        </w:rPr>
        <w:t>以及设备</w:t>
      </w:r>
      <w:r>
        <w:rPr>
          <w:rFonts w:ascii="仿宋" w:hAnsi="仿宋" w:eastAsia="仿宋"/>
          <w:color w:val="auto"/>
          <w:highlight w:val="none"/>
          <w:lang w:eastAsia="zh-CN"/>
        </w:rPr>
        <w:t>，参考</w:t>
      </w:r>
      <w:r>
        <w:rPr>
          <w:rFonts w:hint="eastAsia" w:ascii="仿宋" w:hAnsi="仿宋" w:eastAsia="仿宋"/>
          <w:color w:val="auto"/>
          <w:highlight w:val="none"/>
          <w:lang w:eastAsia="zh-CN"/>
        </w:rPr>
        <w:t>施工期间</w:t>
      </w:r>
      <w:r>
        <w:rPr>
          <w:rFonts w:hint="eastAsia" w:ascii="仿宋" w:hAnsi="仿宋" w:eastAsia="仿宋" w:cs="仿宋"/>
          <w:color w:val="auto"/>
          <w:highlight w:val="none"/>
          <w:u w:val="single"/>
          <w:lang w:eastAsia="zh-CN"/>
        </w:rPr>
        <w:t>当月适用的广州市建设工程造价管理站发布的《广州地区建设工程常用材料税前综合价格》。《广州地区建设工程常用材料税前综合价格》缺项部分可以参考《广州地区建设工程材料（设备）厂商价格信息》及结合市场价（就低原则计取），其中厂商价格土建工程、园建工程、市政工程下浮10%，机电安装工程下浮20%，市场询价原则上应在就近工程所在地询价，询价文件应提供3~5家供应商的报价，并且盖有供应商的公章，且单价必须明确是否包税、包运、包安装等影响单价的关键内容，经监理、第三方造价咨询单位、建设管理单位、发包人、发包人审批确认后执行；若用以上方式仍然无法得到价格的，由工程总承包方上报，经监理、第三方造价咨询单位、建设管理单位、发包人审批确定。如均没有时，由承包人根据材料品牌看样定板选用的品牌报价并报监理、第三方造价咨询单位、建设管理单位、发包人审定确认，发包人确认的材料单价与进场材料匹配的有效发票（监理单位和发包人确认）的材料单价对比，如发票价格高于发包人审定价，按发包人审定价进行计算。施工期间涉及材料价格调整的，按专用条款第82.1款相应执行。如遇定额中没有的工程项目,则由甲乙双方协商解决。最终结算价格以财政评审中心审核为准。</w:t>
      </w:r>
      <w:bookmarkStart w:id="1885" w:name="_Toc12627"/>
    </w:p>
    <w:p w14:paraId="5FB1485F">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79.4 可调价变更措施项目的定价</w:t>
      </w:r>
      <w:bookmarkEnd w:id="1885"/>
    </w:p>
    <w:p w14:paraId="102BB19B">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□按通用条款第79.4款约定执行。</w:t>
      </w:r>
    </w:p>
    <w:p w14:paraId="241AC959">
      <w:pPr>
        <w:spacing w:line="360" w:lineRule="auto"/>
        <w:ind w:firstLine="480" w:firstLineChars="200"/>
        <w:rPr>
          <w:rFonts w:ascii="仿宋" w:hAnsi="仿宋" w:eastAsia="仿宋"/>
          <w:b/>
          <w:color w:val="auto"/>
          <w:highlight w:val="none"/>
          <w:lang w:eastAsia="zh-CN"/>
        </w:rPr>
      </w:pPr>
      <w:bookmarkStart w:id="1886" w:name="_Toc31634"/>
      <w:r>
        <w:rPr>
          <w:rFonts w:hint="eastAsia" w:ascii="仿宋" w:hAnsi="仿宋" w:eastAsia="仿宋" w:cs="仿宋"/>
          <w:color w:val="auto"/>
          <w:highlight w:val="none"/>
          <w:lang w:eastAsia="zh-CN"/>
        </w:rPr>
        <w:t xml:space="preserve"> ☑另作约定：</w:t>
      </w:r>
      <w:bookmarkEnd w:id="1886"/>
      <w:r>
        <w:rPr>
          <w:rFonts w:hint="eastAsia" w:ascii="仿宋" w:hAnsi="仿宋" w:eastAsia="仿宋" w:cs="仿宋"/>
          <w:color w:val="auto"/>
          <w:highlight w:val="none"/>
          <w:lang w:eastAsia="zh-CN"/>
        </w:rPr>
        <w:t>本项目按EPC模式实施，通用条款不适用。本项目依据预算按合同约定方式签订的补充协议对应的措施项目费包干，不调整。项目措施费调减的特殊情况：工程实施内容减少，按分部分项工程费计算减少比例超过10%的，超过部分按分部分项工程费的比例调减措施项目费。措施项目费增加的，均不得调整。</w:t>
      </w:r>
    </w:p>
    <w:p w14:paraId="3FB6221E">
      <w:pPr>
        <w:pStyle w:val="3"/>
        <w:tabs>
          <w:tab w:val="left" w:pos="420"/>
        </w:tabs>
        <w:spacing w:line="360" w:lineRule="auto"/>
        <w:rPr>
          <w:rFonts w:ascii="仿宋" w:hAnsi="仿宋" w:eastAsia="仿宋"/>
          <w:b w:val="0"/>
          <w:bCs w:val="0"/>
          <w:i w:val="0"/>
          <w:iCs w:val="0"/>
          <w:color w:val="auto"/>
          <w:sz w:val="24"/>
          <w:szCs w:val="24"/>
          <w:highlight w:val="none"/>
          <w:lang w:eastAsia="zh-CN"/>
        </w:rPr>
      </w:pPr>
      <w:bookmarkStart w:id="1887" w:name="_Toc6636"/>
      <w:bookmarkStart w:id="1888" w:name="_Toc9294"/>
      <w:bookmarkStart w:id="1889" w:name="_Toc26924"/>
      <w:bookmarkStart w:id="1890" w:name="_Toc47694439"/>
      <w:bookmarkStart w:id="1891" w:name="_Toc25612"/>
      <w:bookmarkStart w:id="1892" w:name="_Toc10886"/>
      <w:bookmarkStart w:id="1893" w:name="_Toc18616"/>
      <w:bookmarkStart w:id="1894" w:name="_Toc14066"/>
      <w:r>
        <w:rPr>
          <w:rFonts w:hint="eastAsia" w:ascii="仿宋" w:hAnsi="仿宋" w:eastAsia="仿宋" w:cs="仿宋"/>
          <w:b w:val="0"/>
          <w:bCs w:val="0"/>
          <w:i w:val="0"/>
          <w:iCs w:val="0"/>
          <w:color w:val="auto"/>
          <w:sz w:val="24"/>
          <w:szCs w:val="24"/>
          <w:highlight w:val="none"/>
          <w:lang w:eastAsia="zh-CN"/>
        </w:rPr>
        <w:t>★81.  现场签证价格的确定</w:t>
      </w:r>
      <w:bookmarkEnd w:id="1887"/>
      <w:bookmarkEnd w:id="1888"/>
      <w:bookmarkEnd w:id="1889"/>
      <w:bookmarkEnd w:id="1890"/>
      <w:bookmarkEnd w:id="1891"/>
      <w:bookmarkEnd w:id="1892"/>
      <w:bookmarkEnd w:id="1893"/>
      <w:bookmarkEnd w:id="1894"/>
    </w:p>
    <w:p w14:paraId="24DB35B5">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81.3 现场签证报告的确认</w:t>
      </w:r>
    </w:p>
    <w:p w14:paraId="33FAC4DD">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提交现场签证报告的时间：</w:t>
      </w:r>
    </w:p>
    <w:p w14:paraId="7D7AD57D">
      <w:pPr>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按通用条款的约定的时间提交。</w:t>
      </w:r>
    </w:p>
    <w:p w14:paraId="209AD397">
      <w:pPr>
        <w:spacing w:line="360" w:lineRule="auto"/>
        <w:ind w:firstLine="360" w:firstLineChars="15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另作约定：</w:t>
      </w:r>
      <w:r>
        <w:rPr>
          <w:rFonts w:ascii="仿宋" w:hAnsi="仿宋" w:eastAsia="仿宋"/>
          <w:color w:val="auto"/>
          <w:highlight w:val="none"/>
          <w:u w:val="single"/>
          <w:lang w:eastAsia="zh-CN"/>
        </w:rPr>
        <w:t>承包人应在收到</w:t>
      </w:r>
      <w:r>
        <w:rPr>
          <w:rFonts w:hint="eastAsia" w:ascii="仿宋" w:hAnsi="仿宋" w:eastAsia="仿宋"/>
          <w:color w:val="auto"/>
          <w:highlight w:val="none"/>
          <w:u w:val="single"/>
          <w:lang w:eastAsia="zh-CN"/>
        </w:rPr>
        <w:t>监理人</w:t>
      </w:r>
      <w:r>
        <w:rPr>
          <w:rFonts w:ascii="仿宋" w:hAnsi="仿宋" w:eastAsia="仿宋"/>
          <w:color w:val="auto"/>
          <w:highlight w:val="none"/>
          <w:u w:val="single"/>
          <w:lang w:eastAsia="zh-CN"/>
        </w:rPr>
        <w:t>书面通知后的7天内，向</w:t>
      </w:r>
      <w:r>
        <w:rPr>
          <w:rFonts w:hint="eastAsia" w:ascii="仿宋" w:hAnsi="仿宋" w:eastAsia="仿宋"/>
          <w:color w:val="auto"/>
          <w:highlight w:val="none"/>
          <w:u w:val="single"/>
          <w:lang w:eastAsia="zh-CN"/>
        </w:rPr>
        <w:t>监理人</w:t>
      </w:r>
      <w:r>
        <w:rPr>
          <w:rFonts w:ascii="仿宋" w:hAnsi="仿宋" w:eastAsia="仿宋"/>
          <w:color w:val="auto"/>
          <w:highlight w:val="none"/>
          <w:u w:val="single"/>
          <w:lang w:eastAsia="zh-CN"/>
        </w:rPr>
        <w:t>提交现场签证报告</w:t>
      </w:r>
      <w:r>
        <w:rPr>
          <w:rFonts w:hint="eastAsia" w:ascii="仿宋" w:hAnsi="仿宋" w:eastAsia="仿宋"/>
          <w:color w:val="auto"/>
          <w:highlight w:val="none"/>
          <w:u w:val="single"/>
          <w:lang w:eastAsia="zh-CN"/>
        </w:rPr>
        <w:t>（对同一项工作内容持续发生且需要签证的，承包人需先将签证事项上报监理人并持续上报现场确认单，待此工作事项全部完成后汇总上报）</w:t>
      </w:r>
      <w:r>
        <w:rPr>
          <w:rFonts w:ascii="仿宋" w:hAnsi="仿宋" w:eastAsia="仿宋"/>
          <w:color w:val="auto"/>
          <w:highlight w:val="none"/>
          <w:u w:val="single"/>
          <w:lang w:eastAsia="zh-CN"/>
        </w:rPr>
        <w:t>，并抄送造价工程师、发包人。</w:t>
      </w:r>
      <w:r>
        <w:rPr>
          <w:rFonts w:hint="eastAsia" w:ascii="仿宋" w:hAnsi="仿宋" w:eastAsia="仿宋"/>
          <w:color w:val="auto"/>
          <w:highlight w:val="none"/>
          <w:u w:val="single"/>
          <w:lang w:eastAsia="zh-CN"/>
        </w:rPr>
        <w:t>监理人</w:t>
      </w:r>
      <w:r>
        <w:rPr>
          <w:rFonts w:ascii="仿宋" w:hAnsi="仿宋" w:eastAsia="仿宋"/>
          <w:color w:val="auto"/>
          <w:highlight w:val="none"/>
          <w:u w:val="single"/>
          <w:lang w:eastAsia="zh-CN"/>
        </w:rPr>
        <w:t>在收到承包人的现场签证报告后，对报告内容予以核实，并在收到现场签证报告后的48小时内予以确认或提出修改意见。发包人在收到承包人现场签证报告后的14天内确认或提出修改意见的，若发包人在收到承包人现场签证报告后的14天后还未确认或提出修改意见的，承包人应在7天内与发包人协商，并以协商意见为准。</w:t>
      </w:r>
      <w:r>
        <w:rPr>
          <w:rFonts w:hint="eastAsia" w:ascii="仿宋" w:hAnsi="仿宋" w:eastAsia="仿宋"/>
          <w:color w:val="auto"/>
          <w:highlight w:val="none"/>
          <w:u w:val="single"/>
          <w:lang w:eastAsia="zh-CN"/>
        </w:rPr>
        <w:t>如承包人超过时限办理，发包人有权拒绝其签证办理。</w:t>
      </w:r>
    </w:p>
    <w:p w14:paraId="4BC01365">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所有现场签证必须由监理单位、发包人相关人员签字盖章确认。并每月汇总造价台账报监理单位及发包人，当现场签证的汇总造价显示超过合同造价1％以后，所有现场签证必须由总监及发包人现场代表签字盖章确认，承包人需同时提出如何优化后续设计方案以保证项目的总控造价仍在合同约定范围内，否则后续增加的费用发包人有权不再计算。现场签证需在发生的一个月内报送预算价，但监理单位或发包人相关人员拒绝配合签证的除外。</w:t>
      </w:r>
    </w:p>
    <w:p w14:paraId="2B3C9B0C">
      <w:pPr>
        <w:spacing w:line="360" w:lineRule="auto"/>
        <w:rPr>
          <w:rFonts w:ascii="仿宋" w:hAnsi="仿宋" w:eastAsia="仿宋"/>
          <w:b/>
          <w:bCs/>
          <w:color w:val="auto"/>
          <w:highlight w:val="none"/>
          <w:lang w:eastAsia="zh-CN"/>
        </w:rPr>
      </w:pPr>
      <w:bookmarkStart w:id="1895" w:name="_Toc47694440"/>
      <w:r>
        <w:rPr>
          <w:rFonts w:hint="eastAsia" w:ascii="仿宋" w:hAnsi="仿宋" w:eastAsia="仿宋" w:cs="仿宋"/>
          <w:b/>
          <w:bCs/>
          <w:color w:val="auto"/>
          <w:highlight w:val="none"/>
          <w:lang w:eastAsia="zh-CN"/>
        </w:rPr>
        <w:t>★82.  物价涨落的价格调整</w:t>
      </w:r>
      <w:bookmarkEnd w:id="1895"/>
    </w:p>
    <w:p w14:paraId="29B365A0">
      <w:pPr>
        <w:spacing w:line="360" w:lineRule="auto"/>
        <w:ind w:firstLine="480" w:firstLineChars="200"/>
        <w:rPr>
          <w:rFonts w:hint="eastAsia" w:eastAsia="仿宋_GB2312"/>
          <w:color w:val="auto"/>
          <w:sz w:val="30"/>
          <w:szCs w:val="30"/>
          <w:highlight w:val="none"/>
          <w:lang w:eastAsia="zh-CN"/>
        </w:rPr>
      </w:pPr>
      <w:r>
        <w:rPr>
          <w:rFonts w:hint="eastAsia" w:ascii="仿宋" w:hAnsi="仿宋" w:eastAsia="仿宋" w:cs="仿宋"/>
          <w:color w:val="auto"/>
          <w:highlight w:val="none"/>
          <w:lang w:eastAsia="zh-CN"/>
        </w:rPr>
        <w:t>82.1 物价涨落的价格调整</w:t>
      </w:r>
    </w:p>
    <w:p w14:paraId="6A6D885D">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□按通用条款第82.3款第1种方式对合同价格进行调整。</w:t>
      </w:r>
    </w:p>
    <w:p w14:paraId="17AC6A5B">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□按通用条款第82.3款第2种方式对合同价格进行调整。</w:t>
      </w:r>
    </w:p>
    <w:p w14:paraId="5ACB71E9">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另作约定：承包人需每月随进度款申报完整的材料调差资料，发包人每半年对承包人申报的调差资料核算一次，核算完成后随进度款进行支付，支付比例不超过核算金额的70%。因市场价格波动调整合同价格，采用以下方式对合同价格进行调整：</w:t>
      </w:r>
    </w:p>
    <w:p w14:paraId="752711C5">
      <w:pPr>
        <w:spacing w:line="360" w:lineRule="auto"/>
        <w:ind w:firstLine="470" w:firstLineChars="196"/>
        <w:rPr>
          <w:rFonts w:hint="eastAsia" w:ascii="仿宋" w:hAnsi="仿宋" w:eastAsia="仿宋" w:cs="仿宋"/>
          <w:color w:val="auto"/>
          <w:highlight w:val="none"/>
          <w:lang w:val="zh-CN"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依据经审批定案的工程预算按合同约定方式签订工程造价的补充协议后，</w:t>
      </w:r>
      <w:r>
        <w:rPr>
          <w:rFonts w:ascii="仿宋" w:hAnsi="仿宋" w:eastAsia="仿宋" w:cs="仿宋"/>
          <w:color w:val="auto"/>
          <w:highlight w:val="none"/>
          <w:lang w:eastAsia="zh-CN"/>
        </w:rPr>
        <w:t>本工程主要材料，</w:t>
      </w:r>
      <w:r>
        <w:rPr>
          <w:rFonts w:hint="eastAsia" w:ascii="仿宋" w:hAnsi="仿宋" w:eastAsia="仿宋" w:cs="仿宋"/>
          <w:color w:val="auto"/>
          <w:highlight w:val="none"/>
          <w:u w:val="single"/>
          <w:lang w:eastAsia="zh-CN"/>
        </w:rPr>
        <w:t>只调整分部分项工程清单中的主要材料，包括水泥、商品（预拌）混凝土、沥青混凝土、商品（预拌）砂浆、钢筋。人工费及其他材料、机械、设备的价差均不予调整</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可调整的主要材料</w:t>
      </w:r>
      <w:r>
        <w:rPr>
          <w:rFonts w:hint="eastAsia" w:ascii="仿宋" w:hAnsi="仿宋" w:eastAsia="仿宋" w:cs="仿宋"/>
          <w:color w:val="auto"/>
          <w:highlight w:val="none"/>
          <w:lang w:val="zh-CN" w:eastAsia="zh-CN"/>
        </w:rPr>
        <w:t>价格若工程造价管理机构发布的常用材料综合价格涨落幅度在±10%（含）以内时，价差不作调整；涨落幅度为±10%以外时，调整上述材料价差。措施项目费、其他项目费不调整。价差按以下方式调整：</w:t>
      </w:r>
    </w:p>
    <w:p w14:paraId="68751223">
      <w:pPr>
        <w:spacing w:line="360" w:lineRule="auto"/>
        <w:ind w:firstLine="470" w:firstLineChars="196"/>
        <w:rPr>
          <w:rFonts w:hint="eastAsia" w:ascii="仿宋" w:hAnsi="仿宋" w:eastAsia="仿宋" w:cs="仿宋"/>
          <w:color w:val="auto"/>
          <w:highlight w:val="none"/>
          <w:lang w:val="zh-CN" w:eastAsia="zh-CN"/>
        </w:rPr>
      </w:pPr>
      <w:r>
        <w:rPr>
          <w:rFonts w:hint="eastAsia" w:ascii="仿宋" w:hAnsi="仿宋" w:eastAsia="仿宋" w:cs="仿宋"/>
          <w:color w:val="auto"/>
          <w:highlight w:val="none"/>
          <w:lang w:val="zh-CN" w:eastAsia="zh-CN"/>
        </w:rPr>
        <w:t>结算综合单价=补充协议对应综合单价+价差</w:t>
      </w:r>
    </w:p>
    <w:p w14:paraId="39F178BC">
      <w:pPr>
        <w:spacing w:line="360" w:lineRule="auto"/>
        <w:ind w:firstLine="470" w:firstLineChars="196"/>
        <w:rPr>
          <w:rFonts w:hint="eastAsia" w:ascii="仿宋" w:hAnsi="仿宋" w:eastAsia="仿宋" w:cs="仿宋"/>
          <w:color w:val="auto"/>
          <w:highlight w:val="none"/>
          <w:lang w:val="zh-CN" w:eastAsia="zh-CN"/>
        </w:rPr>
      </w:pPr>
      <w:r>
        <w:rPr>
          <w:rFonts w:hint="eastAsia" w:ascii="仿宋" w:hAnsi="仿宋" w:eastAsia="仿宋" w:cs="仿宋"/>
          <w:color w:val="auto"/>
          <w:highlight w:val="none"/>
          <w:lang w:val="zh-CN" w:eastAsia="zh-CN"/>
        </w:rPr>
        <w:t>增幅在+10%以上时：价差＝［（施工期间材料价格/补充协议对应材料价格-1）*100%-10%］</w:t>
      </w:r>
      <w:r>
        <w:rPr>
          <w:rFonts w:hint="eastAsia" w:ascii="仿宋" w:hAnsi="仿宋" w:eastAsia="仿宋" w:cs="仿宋"/>
          <w:color w:val="auto"/>
          <w:highlight w:val="none"/>
          <w:lang w:eastAsia="zh-CN"/>
        </w:rPr>
        <w:t>×（1-合同约定下浮率）</w:t>
      </w:r>
      <w:bookmarkStart w:id="1896" w:name="_Hlk55236155"/>
      <w:r>
        <w:rPr>
          <w:rFonts w:hint="eastAsia" w:ascii="仿宋" w:hAnsi="仿宋" w:eastAsia="仿宋" w:cs="仿宋"/>
          <w:color w:val="auto"/>
          <w:highlight w:val="none"/>
          <w:lang w:eastAsia="zh-CN"/>
        </w:rPr>
        <w:t>×（1-中标下浮率）</w:t>
      </w:r>
      <w:bookmarkEnd w:id="1896"/>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zh-CN" w:eastAsia="zh-CN"/>
        </w:rPr>
        <w:t>补充协议对应材料价格*定额消耗量。</w:t>
      </w:r>
    </w:p>
    <w:p w14:paraId="49A4F4C2">
      <w:pPr>
        <w:spacing w:line="360" w:lineRule="auto"/>
        <w:ind w:firstLine="470" w:firstLineChars="196"/>
        <w:rPr>
          <w:rFonts w:hint="eastAsia" w:ascii="仿宋" w:hAnsi="仿宋" w:eastAsia="仿宋" w:cs="仿宋"/>
          <w:color w:val="auto"/>
          <w:highlight w:val="none"/>
          <w:lang w:val="zh-CN" w:eastAsia="zh-CN"/>
        </w:rPr>
      </w:pPr>
      <w:r>
        <w:rPr>
          <w:rFonts w:hint="eastAsia" w:ascii="仿宋" w:hAnsi="仿宋" w:eastAsia="仿宋" w:cs="仿宋"/>
          <w:color w:val="auto"/>
          <w:highlight w:val="none"/>
          <w:lang w:val="zh-CN" w:eastAsia="zh-CN"/>
        </w:rPr>
        <w:t>减幅在-10%以下时：价差＝［（施工期间材料价格/补充协议对应材料价格-1）*100%+10%］</w:t>
      </w:r>
      <w:r>
        <w:rPr>
          <w:rFonts w:hint="eastAsia" w:ascii="仿宋" w:hAnsi="仿宋" w:eastAsia="仿宋" w:cs="仿宋"/>
          <w:color w:val="auto"/>
          <w:highlight w:val="none"/>
          <w:lang w:eastAsia="zh-CN"/>
        </w:rPr>
        <w:t>×（1-合同约定下浮率）×（1-中标下浮率）×</w:t>
      </w:r>
      <w:r>
        <w:rPr>
          <w:rFonts w:hint="eastAsia" w:ascii="仿宋" w:hAnsi="仿宋" w:eastAsia="仿宋" w:cs="仿宋"/>
          <w:color w:val="auto"/>
          <w:highlight w:val="none"/>
          <w:lang w:val="zh-CN" w:eastAsia="zh-CN"/>
        </w:rPr>
        <w:t>补充协议对应材料价格*定额消耗量。</w:t>
      </w:r>
    </w:p>
    <w:p w14:paraId="50CB5A58">
      <w:pPr>
        <w:spacing w:line="360" w:lineRule="auto"/>
        <w:ind w:firstLine="470" w:firstLineChars="196"/>
        <w:rPr>
          <w:rFonts w:ascii="仿宋" w:hAnsi="仿宋" w:eastAsia="仿宋" w:cs="仿宋"/>
          <w:color w:val="auto"/>
          <w:highlight w:val="none"/>
          <w:lang w:eastAsia="zh-CN"/>
        </w:rPr>
      </w:pPr>
      <w:r>
        <w:rPr>
          <w:rFonts w:hint="eastAsia" w:ascii="仿宋" w:hAnsi="仿宋" w:eastAsia="仿宋" w:cs="仿宋"/>
          <w:color w:val="auto"/>
          <w:highlight w:val="none"/>
          <w:lang w:val="zh-CN" w:eastAsia="zh-CN"/>
        </w:rPr>
        <w:t xml:space="preserve"> “施工期间材料价格”指施工期对应月度的广州地区建设工程常用材料综合价格。</w:t>
      </w:r>
    </w:p>
    <w:p w14:paraId="4BFA25F3">
      <w:pPr>
        <w:spacing w:line="360" w:lineRule="auto"/>
        <w:ind w:firstLine="470" w:firstLineChars="196"/>
        <w:rPr>
          <w:rFonts w:ascii="仿宋" w:hAnsi="仿宋" w:eastAsia="仿宋"/>
          <w:color w:val="auto"/>
          <w:highlight w:val="none"/>
          <w:lang w:eastAsia="zh-CN"/>
        </w:rPr>
      </w:pPr>
      <w:r>
        <w:rPr>
          <w:rFonts w:ascii="仿宋" w:hAnsi="仿宋" w:eastAsia="仿宋"/>
          <w:color w:val="auto"/>
          <w:highlight w:val="none"/>
          <w:lang w:eastAsia="zh-CN"/>
        </w:rPr>
        <w:t>当期材料数量包含</w:t>
      </w:r>
      <w:r>
        <w:rPr>
          <w:rFonts w:hint="eastAsia" w:ascii="仿宋" w:hAnsi="仿宋" w:eastAsia="仿宋"/>
          <w:color w:val="auto"/>
          <w:highlight w:val="none"/>
          <w:lang w:eastAsia="zh-CN"/>
        </w:rPr>
        <w:t>工程变更、现场签证、工程量偏差以及</w:t>
      </w:r>
      <w:r>
        <w:rPr>
          <w:rFonts w:ascii="仿宋" w:hAnsi="仿宋" w:eastAsia="仿宋"/>
          <w:color w:val="auto"/>
          <w:highlight w:val="none"/>
          <w:lang w:eastAsia="zh-CN"/>
        </w:rPr>
        <w:t>新增项目涉及的上述工程主要材料。除上述工程主要材料外的其余材料（设备）和措施项目费（包括但不仅限于脚手架等）不因物价变化而调整。</w:t>
      </w:r>
    </w:p>
    <w:p w14:paraId="2F206B6E">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（2）因承包人原因引起工期延长的，在延期阶段内，物价上涨的价差不得调增，物价下跌的价差必须调减。</w:t>
      </w:r>
    </w:p>
    <w:p w14:paraId="0D8F9AC1">
      <w:pPr>
        <w:spacing w:line="360" w:lineRule="auto"/>
        <w:ind w:firstLine="480" w:firstLineChars="200"/>
        <w:rPr>
          <w:rFonts w:hint="eastAsia" w:ascii="仿宋" w:hAnsi="仿宋" w:eastAsia="仿宋" w:cs="仿宋"/>
          <w:color w:val="auto"/>
          <w:highlight w:val="none"/>
          <w:lang w:eastAsia="zh-CN"/>
        </w:rPr>
      </w:pPr>
      <w:bookmarkStart w:id="1897" w:name="_Toc16786"/>
      <w:r>
        <w:rPr>
          <w:rFonts w:hint="eastAsia" w:ascii="仿宋" w:hAnsi="仿宋" w:eastAsia="仿宋" w:cs="仿宋"/>
          <w:color w:val="auto"/>
          <w:highlight w:val="none"/>
          <w:lang w:eastAsia="zh-CN"/>
        </w:rPr>
        <w:t>82.2 人工费的调整方法</w:t>
      </w:r>
      <w:bookmarkEnd w:id="1897"/>
    </w:p>
    <w:p w14:paraId="0C1F6F63">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按通用条款第82.2款约定进行调整。</w:t>
      </w:r>
    </w:p>
    <w:p w14:paraId="336ECA88">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人工单价调整条件的约定：</w:t>
      </w:r>
      <w:r>
        <w:rPr>
          <w:rFonts w:hint="eastAsia" w:ascii="仿宋" w:hAnsi="仿宋" w:eastAsia="仿宋" w:cs="仿宋"/>
          <w:color w:val="auto"/>
          <w:highlight w:val="none"/>
          <w:u w:val="single"/>
          <w:lang w:eastAsia="zh-CN"/>
        </w:rPr>
        <w:t>人工单价任何情况下不作调整</w:t>
      </w:r>
      <w:r>
        <w:rPr>
          <w:rFonts w:hint="eastAsia" w:eastAsia="仿宋_GB2312" w:cs="仿宋_GB2312"/>
          <w:color w:val="auto"/>
          <w:sz w:val="30"/>
          <w:szCs w:val="30"/>
          <w:highlight w:val="none"/>
          <w:lang w:eastAsia="zh-CN"/>
        </w:rPr>
        <w:t>。</w:t>
      </w:r>
    </w:p>
    <w:p w14:paraId="27BD0B4C">
      <w:pPr>
        <w:pStyle w:val="3"/>
        <w:tabs>
          <w:tab w:val="left" w:pos="420"/>
        </w:tabs>
        <w:spacing w:line="360" w:lineRule="auto"/>
        <w:rPr>
          <w:rFonts w:ascii="仿宋" w:hAnsi="仿宋" w:eastAsia="仿宋"/>
          <w:b w:val="0"/>
          <w:bCs w:val="0"/>
          <w:i w:val="0"/>
          <w:iCs w:val="0"/>
          <w:color w:val="auto"/>
          <w:sz w:val="24"/>
          <w:szCs w:val="24"/>
          <w:highlight w:val="none"/>
          <w:lang w:eastAsia="zh-CN"/>
        </w:rPr>
      </w:pPr>
      <w:bookmarkStart w:id="1898" w:name="_Toc17167"/>
      <w:bookmarkStart w:id="1899" w:name="_Toc47694441"/>
      <w:bookmarkStart w:id="1900" w:name="_Toc20039"/>
      <w:bookmarkStart w:id="1901" w:name="_Toc17231"/>
      <w:bookmarkStart w:id="1902" w:name="_Toc25957"/>
      <w:bookmarkStart w:id="1903" w:name="_Toc2234"/>
      <w:bookmarkStart w:id="1904" w:name="_Toc22966"/>
      <w:bookmarkStart w:id="1905" w:name="_Toc30725"/>
      <w:r>
        <w:rPr>
          <w:rFonts w:hint="eastAsia" w:ascii="仿宋" w:hAnsi="仿宋" w:eastAsia="仿宋" w:cs="仿宋"/>
          <w:bCs w:val="0"/>
          <w:i w:val="0"/>
          <w:iCs w:val="0"/>
          <w:color w:val="auto"/>
          <w:sz w:val="24"/>
          <w:szCs w:val="24"/>
          <w:highlight w:val="none"/>
          <w:lang w:eastAsia="zh-CN"/>
        </w:rPr>
        <w:t>★</w:t>
      </w:r>
      <w:r>
        <w:rPr>
          <w:rFonts w:hint="eastAsia" w:ascii="仿宋" w:hAnsi="仿宋" w:eastAsia="仿宋" w:cs="仿宋"/>
          <w:b w:val="0"/>
          <w:bCs w:val="0"/>
          <w:i w:val="0"/>
          <w:iCs w:val="0"/>
          <w:color w:val="auto"/>
          <w:sz w:val="24"/>
          <w:szCs w:val="24"/>
          <w:highlight w:val="none"/>
          <w:lang w:eastAsia="zh-CN"/>
        </w:rPr>
        <w:t>83.  支付事项</w:t>
      </w:r>
      <w:bookmarkEnd w:id="1898"/>
      <w:bookmarkEnd w:id="1899"/>
      <w:bookmarkEnd w:id="1900"/>
      <w:bookmarkEnd w:id="1901"/>
      <w:bookmarkEnd w:id="1902"/>
      <w:bookmarkEnd w:id="1903"/>
      <w:bookmarkEnd w:id="1904"/>
      <w:bookmarkEnd w:id="1905"/>
    </w:p>
    <w:p w14:paraId="60F4AA3A">
      <w:pPr>
        <w:spacing w:line="360" w:lineRule="auto"/>
        <w:ind w:firstLine="480" w:firstLineChars="200"/>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83.2 计算利息的利率</w:t>
      </w:r>
    </w:p>
    <w:p w14:paraId="57415E88">
      <w:pPr>
        <w:spacing w:line="360" w:lineRule="auto"/>
        <w:ind w:firstLine="840" w:firstLineChars="3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bidi="ar-SA"/>
        </w:rPr>
        <w:t>全国银行间同业拆借中心公布的贷款市场报价利率（LPR）</w:t>
      </w:r>
    </w:p>
    <w:p w14:paraId="44B49CF1">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olor w:val="auto"/>
          <w:highlight w:val="none"/>
          <w:u w:val="single"/>
          <w:lang w:eastAsia="zh-CN"/>
        </w:rPr>
        <w:t>发包人不进行利息支付</w:t>
      </w:r>
      <w:r>
        <w:rPr>
          <w:rFonts w:hint="eastAsia" w:ascii="仿宋" w:hAnsi="仿宋" w:eastAsia="仿宋" w:cs="仿宋"/>
          <w:color w:val="auto"/>
          <w:highlight w:val="none"/>
          <w:u w:val="single"/>
          <w:lang w:eastAsia="zh-CN"/>
        </w:rPr>
        <w:t xml:space="preserve">   </w:t>
      </w:r>
    </w:p>
    <w:p w14:paraId="55BB01A3">
      <w:pPr>
        <w:pStyle w:val="23"/>
        <w:spacing w:line="360" w:lineRule="auto"/>
        <w:ind w:firstLine="480" w:firstLineChars="200"/>
        <w:rPr>
          <w:rFonts w:hint="eastAsia" w:ascii="仿宋" w:hAnsi="仿宋" w:eastAsia="仿宋" w:cs="仿宋"/>
          <w:color w:val="auto"/>
          <w:sz w:val="24"/>
          <w:szCs w:val="24"/>
          <w:highlight w:val="none"/>
          <w:u w:val="single"/>
          <w:lang w:eastAsia="zh-CN" w:bidi="en-US"/>
        </w:rPr>
      </w:pPr>
      <w:bookmarkStart w:id="1906" w:name="_Toc47694442"/>
      <w:r>
        <w:rPr>
          <w:rFonts w:hint="eastAsia" w:ascii="仿宋" w:hAnsi="仿宋" w:eastAsia="仿宋" w:cs="仿宋"/>
          <w:color w:val="auto"/>
          <w:sz w:val="24"/>
          <w:szCs w:val="24"/>
          <w:highlight w:val="none"/>
          <w:lang w:eastAsia="zh-CN" w:bidi="en-US"/>
        </w:rPr>
        <w:t>83.5 其他约定：</w:t>
      </w:r>
      <w:r>
        <w:rPr>
          <w:rFonts w:hint="eastAsia" w:ascii="仿宋" w:hAnsi="仿宋" w:eastAsia="仿宋" w:cs="仿宋"/>
          <w:color w:val="auto"/>
          <w:sz w:val="24"/>
          <w:szCs w:val="24"/>
          <w:highlight w:val="none"/>
          <w:u w:val="single"/>
          <w:lang w:eastAsia="zh-CN" w:bidi="en-US"/>
        </w:rPr>
        <w:t>实行分账支付</w:t>
      </w:r>
    </w:p>
    <w:p w14:paraId="75215B1C">
      <w:pPr>
        <w:pStyle w:val="23"/>
        <w:spacing w:line="360" w:lineRule="auto"/>
        <w:ind w:firstLine="480" w:firstLineChars="200"/>
        <w:rPr>
          <w:rFonts w:hint="eastAsia" w:ascii="仿宋" w:hAnsi="仿宋" w:eastAsia="仿宋" w:cs="仿宋"/>
          <w:color w:val="auto"/>
          <w:sz w:val="24"/>
          <w:szCs w:val="24"/>
          <w:highlight w:val="none"/>
          <w:u w:val="single"/>
          <w:lang w:eastAsia="zh-CN" w:bidi="en-US"/>
        </w:rPr>
      </w:pPr>
      <w:r>
        <w:rPr>
          <w:rFonts w:hint="eastAsia" w:ascii="仿宋" w:hAnsi="仿宋" w:eastAsia="仿宋" w:cs="仿宋"/>
          <w:color w:val="auto"/>
          <w:sz w:val="24"/>
          <w:szCs w:val="24"/>
          <w:highlight w:val="none"/>
          <w:u w:val="single"/>
          <w:lang w:eastAsia="zh-CN" w:bidi="en-US"/>
        </w:rPr>
        <w:t>勘察单位收款账户：</w:t>
      </w:r>
    </w:p>
    <w:p w14:paraId="0AB48A72">
      <w:pPr>
        <w:pStyle w:val="23"/>
        <w:spacing w:line="360" w:lineRule="auto"/>
        <w:ind w:firstLine="480" w:firstLineChars="200"/>
        <w:rPr>
          <w:rFonts w:hint="eastAsia" w:ascii="仿宋" w:hAnsi="仿宋" w:eastAsia="仿宋" w:cs="仿宋"/>
          <w:color w:val="auto"/>
          <w:sz w:val="24"/>
          <w:szCs w:val="24"/>
          <w:highlight w:val="none"/>
          <w:u w:val="single"/>
          <w:lang w:eastAsia="zh-CN" w:bidi="en-US"/>
        </w:rPr>
      </w:pPr>
      <w:r>
        <w:rPr>
          <w:rFonts w:hint="eastAsia" w:ascii="仿宋" w:hAnsi="仿宋" w:eastAsia="仿宋" w:cs="仿宋"/>
          <w:color w:val="auto"/>
          <w:sz w:val="24"/>
          <w:szCs w:val="24"/>
          <w:highlight w:val="none"/>
          <w:u w:val="single"/>
          <w:lang w:eastAsia="zh-CN" w:bidi="en-US"/>
        </w:rPr>
        <w:t xml:space="preserve">勘察单位收款账户： </w:t>
      </w:r>
    </w:p>
    <w:p w14:paraId="2685853B">
      <w:pPr>
        <w:pStyle w:val="23"/>
        <w:spacing w:line="360" w:lineRule="auto"/>
        <w:ind w:firstLine="480" w:firstLineChars="200"/>
        <w:rPr>
          <w:rFonts w:hint="eastAsia" w:ascii="仿宋" w:hAnsi="仿宋" w:eastAsia="仿宋" w:cs="仿宋"/>
          <w:color w:val="auto"/>
          <w:sz w:val="24"/>
          <w:szCs w:val="24"/>
          <w:highlight w:val="none"/>
          <w:u w:val="single"/>
          <w:lang w:eastAsia="zh-CN" w:bidi="en-US"/>
        </w:rPr>
      </w:pPr>
      <w:r>
        <w:rPr>
          <w:rFonts w:hint="eastAsia" w:ascii="仿宋" w:hAnsi="仿宋" w:eastAsia="仿宋" w:cs="仿宋"/>
          <w:color w:val="auto"/>
          <w:sz w:val="24"/>
          <w:szCs w:val="24"/>
          <w:highlight w:val="none"/>
          <w:u w:val="single"/>
          <w:lang w:eastAsia="zh-CN" w:bidi="en-US"/>
        </w:rPr>
        <w:t xml:space="preserve">开户银行： </w:t>
      </w:r>
    </w:p>
    <w:p w14:paraId="13329948">
      <w:pPr>
        <w:pStyle w:val="23"/>
        <w:spacing w:line="360" w:lineRule="auto"/>
        <w:ind w:firstLine="480" w:firstLineChars="200"/>
        <w:rPr>
          <w:rFonts w:hint="eastAsia" w:ascii="仿宋" w:hAnsi="仿宋" w:eastAsia="仿宋" w:cs="仿宋"/>
          <w:color w:val="auto"/>
          <w:sz w:val="24"/>
          <w:szCs w:val="24"/>
          <w:highlight w:val="none"/>
          <w:u w:val="single"/>
          <w:lang w:eastAsia="zh-CN" w:bidi="en-US"/>
        </w:rPr>
      </w:pPr>
      <w:r>
        <w:rPr>
          <w:rFonts w:hint="eastAsia" w:ascii="仿宋" w:hAnsi="仿宋" w:eastAsia="仿宋" w:cs="仿宋"/>
          <w:color w:val="auto"/>
          <w:sz w:val="24"/>
          <w:szCs w:val="24"/>
          <w:highlight w:val="none"/>
          <w:u w:val="single"/>
          <w:lang w:eastAsia="zh-CN" w:bidi="en-US"/>
        </w:rPr>
        <w:t xml:space="preserve">帐    号： </w:t>
      </w:r>
    </w:p>
    <w:p w14:paraId="2C3015E4">
      <w:pPr>
        <w:pStyle w:val="23"/>
        <w:spacing w:line="360" w:lineRule="auto"/>
        <w:ind w:firstLine="480" w:firstLineChars="200"/>
        <w:rPr>
          <w:rFonts w:hint="eastAsia" w:ascii="仿宋" w:hAnsi="仿宋" w:eastAsia="仿宋" w:cs="仿宋"/>
          <w:color w:val="auto"/>
          <w:sz w:val="24"/>
          <w:szCs w:val="24"/>
          <w:highlight w:val="none"/>
          <w:u w:val="single"/>
          <w:lang w:eastAsia="zh-CN" w:bidi="en-US"/>
        </w:rPr>
      </w:pPr>
    </w:p>
    <w:p w14:paraId="3F11F147">
      <w:pPr>
        <w:pStyle w:val="23"/>
        <w:spacing w:line="360" w:lineRule="auto"/>
        <w:ind w:firstLine="480" w:firstLineChars="200"/>
        <w:rPr>
          <w:rFonts w:hint="eastAsia" w:ascii="仿宋" w:hAnsi="仿宋" w:eastAsia="仿宋" w:cs="仿宋"/>
          <w:color w:val="auto"/>
          <w:sz w:val="24"/>
          <w:szCs w:val="24"/>
          <w:highlight w:val="none"/>
          <w:u w:val="single"/>
          <w:lang w:eastAsia="zh-CN" w:bidi="en-US"/>
        </w:rPr>
      </w:pPr>
      <w:r>
        <w:rPr>
          <w:rFonts w:hint="eastAsia" w:ascii="仿宋" w:hAnsi="仿宋" w:eastAsia="仿宋" w:cs="仿宋"/>
          <w:color w:val="auto"/>
          <w:sz w:val="24"/>
          <w:szCs w:val="24"/>
          <w:highlight w:val="none"/>
          <w:u w:val="single"/>
          <w:lang w:eastAsia="zh-CN" w:bidi="en-US"/>
        </w:rPr>
        <w:t xml:space="preserve">勘察单位收款账户： </w:t>
      </w:r>
    </w:p>
    <w:p w14:paraId="6CBA7AEE">
      <w:pPr>
        <w:pStyle w:val="23"/>
        <w:spacing w:line="360" w:lineRule="auto"/>
        <w:ind w:firstLine="480" w:firstLineChars="200"/>
        <w:rPr>
          <w:rFonts w:hint="eastAsia" w:ascii="仿宋" w:hAnsi="仿宋" w:eastAsia="仿宋" w:cs="仿宋"/>
          <w:color w:val="auto"/>
          <w:sz w:val="24"/>
          <w:szCs w:val="24"/>
          <w:highlight w:val="none"/>
          <w:u w:val="single"/>
          <w:lang w:eastAsia="zh-CN" w:bidi="en-US"/>
        </w:rPr>
      </w:pPr>
      <w:r>
        <w:rPr>
          <w:rFonts w:hint="eastAsia" w:ascii="仿宋" w:hAnsi="仿宋" w:eastAsia="仿宋" w:cs="仿宋"/>
          <w:color w:val="auto"/>
          <w:sz w:val="24"/>
          <w:szCs w:val="24"/>
          <w:highlight w:val="none"/>
          <w:u w:val="single"/>
          <w:lang w:eastAsia="zh-CN" w:bidi="en-US"/>
        </w:rPr>
        <w:t>开户银行：</w:t>
      </w:r>
    </w:p>
    <w:p w14:paraId="10B774D6">
      <w:pPr>
        <w:pStyle w:val="23"/>
        <w:spacing w:line="360" w:lineRule="auto"/>
        <w:ind w:firstLine="480" w:firstLineChars="200"/>
        <w:rPr>
          <w:rFonts w:hint="eastAsia" w:ascii="仿宋" w:hAnsi="仿宋" w:eastAsia="仿宋" w:cs="仿宋"/>
          <w:color w:val="auto"/>
          <w:sz w:val="24"/>
          <w:szCs w:val="24"/>
          <w:highlight w:val="none"/>
          <w:u w:val="single"/>
          <w:lang w:eastAsia="zh-CN" w:bidi="en-US"/>
        </w:rPr>
      </w:pPr>
      <w:r>
        <w:rPr>
          <w:rFonts w:hint="eastAsia" w:ascii="仿宋" w:hAnsi="仿宋" w:eastAsia="仿宋" w:cs="仿宋"/>
          <w:color w:val="auto"/>
          <w:sz w:val="24"/>
          <w:szCs w:val="24"/>
          <w:highlight w:val="none"/>
          <w:u w:val="single"/>
          <w:lang w:eastAsia="zh-CN" w:bidi="en-US"/>
        </w:rPr>
        <w:t>帐    号：</w:t>
      </w:r>
    </w:p>
    <w:p w14:paraId="39130D91">
      <w:pPr>
        <w:pStyle w:val="23"/>
        <w:spacing w:line="360" w:lineRule="auto"/>
        <w:ind w:firstLine="480" w:firstLineChars="200"/>
        <w:rPr>
          <w:rFonts w:hint="eastAsia" w:ascii="仿宋" w:hAnsi="仿宋" w:eastAsia="仿宋" w:cs="仿宋"/>
          <w:color w:val="auto"/>
          <w:sz w:val="24"/>
          <w:szCs w:val="24"/>
          <w:highlight w:val="none"/>
          <w:u w:val="single"/>
          <w:lang w:eastAsia="zh-CN" w:bidi="en-US"/>
        </w:rPr>
      </w:pPr>
      <w:r>
        <w:rPr>
          <w:rFonts w:hint="eastAsia" w:ascii="仿宋" w:hAnsi="仿宋" w:eastAsia="仿宋" w:cs="仿宋"/>
          <w:color w:val="auto"/>
          <w:sz w:val="24"/>
          <w:szCs w:val="24"/>
          <w:highlight w:val="none"/>
          <w:u w:val="single"/>
          <w:lang w:val="en-US" w:eastAsia="zh-CN" w:bidi="en-US"/>
        </w:rPr>
        <w:t>勘察</w:t>
      </w:r>
      <w:r>
        <w:rPr>
          <w:rFonts w:hint="eastAsia" w:ascii="仿宋" w:hAnsi="仿宋" w:eastAsia="仿宋" w:cs="仿宋"/>
          <w:color w:val="auto"/>
          <w:sz w:val="24"/>
          <w:szCs w:val="24"/>
          <w:highlight w:val="none"/>
          <w:u w:val="single"/>
          <w:lang w:eastAsia="zh-CN" w:bidi="en-US"/>
        </w:rPr>
        <w:t>方若为联合体，由</w:t>
      </w:r>
      <w:r>
        <w:rPr>
          <w:rFonts w:hint="eastAsia" w:ascii="仿宋" w:hAnsi="仿宋" w:eastAsia="仿宋" w:cs="仿宋"/>
          <w:color w:val="auto"/>
          <w:sz w:val="24"/>
          <w:szCs w:val="24"/>
          <w:highlight w:val="none"/>
          <w:u w:val="single"/>
          <w:lang w:val="en-US" w:eastAsia="zh-CN" w:bidi="en-US"/>
        </w:rPr>
        <w:t>勘察</w:t>
      </w:r>
      <w:r>
        <w:rPr>
          <w:rFonts w:hint="eastAsia" w:ascii="仿宋" w:hAnsi="仿宋" w:eastAsia="仿宋" w:cs="仿宋"/>
          <w:color w:val="auto"/>
          <w:sz w:val="24"/>
          <w:szCs w:val="24"/>
          <w:highlight w:val="none"/>
          <w:u w:val="single"/>
          <w:lang w:eastAsia="zh-CN" w:bidi="en-US"/>
        </w:rPr>
        <w:t>单位</w:t>
      </w:r>
      <w:r>
        <w:rPr>
          <w:rFonts w:hint="eastAsia" w:ascii="仿宋" w:hAnsi="仿宋" w:eastAsia="仿宋" w:cs="仿宋"/>
          <w:color w:val="auto"/>
          <w:sz w:val="24"/>
          <w:szCs w:val="24"/>
          <w:highlight w:val="none"/>
          <w:u w:val="single"/>
          <w:lang w:val="en-US" w:eastAsia="zh-CN" w:bidi="en-US"/>
        </w:rPr>
        <w:t>共同</w:t>
      </w:r>
      <w:r>
        <w:rPr>
          <w:rFonts w:hint="eastAsia" w:ascii="仿宋" w:hAnsi="仿宋" w:eastAsia="仿宋" w:cs="仿宋"/>
          <w:color w:val="auto"/>
          <w:sz w:val="24"/>
          <w:szCs w:val="24"/>
          <w:highlight w:val="none"/>
          <w:u w:val="single"/>
          <w:lang w:eastAsia="zh-CN" w:bidi="en-US"/>
        </w:rPr>
        <w:t>向发包人提交请款资料，</w:t>
      </w:r>
      <w:r>
        <w:rPr>
          <w:rFonts w:hint="eastAsia" w:ascii="仿宋" w:hAnsi="仿宋" w:eastAsia="仿宋" w:cs="仿宋"/>
          <w:color w:val="auto"/>
          <w:sz w:val="24"/>
          <w:szCs w:val="24"/>
          <w:highlight w:val="none"/>
          <w:u w:val="single"/>
          <w:lang w:val="en-US" w:eastAsia="zh-CN" w:bidi="en-US"/>
        </w:rPr>
        <w:t>且勘察</w:t>
      </w:r>
      <w:r>
        <w:rPr>
          <w:rFonts w:hint="eastAsia" w:ascii="仿宋" w:hAnsi="仿宋" w:eastAsia="仿宋" w:cs="仿宋"/>
          <w:color w:val="auto"/>
          <w:sz w:val="24"/>
          <w:szCs w:val="24"/>
          <w:highlight w:val="none"/>
          <w:u w:val="single"/>
          <w:lang w:eastAsia="zh-CN" w:bidi="en-US"/>
        </w:rPr>
        <w:t>单位各成员方均需盖章</w:t>
      </w:r>
      <w:r>
        <w:rPr>
          <w:rFonts w:hint="eastAsia" w:ascii="仿宋" w:hAnsi="仿宋" w:eastAsia="仿宋" w:cs="仿宋"/>
          <w:color w:val="auto"/>
          <w:sz w:val="24"/>
          <w:szCs w:val="24"/>
          <w:highlight w:val="none"/>
          <w:u w:val="single"/>
          <w:lang w:val="en-US" w:eastAsia="zh-CN" w:bidi="en-US"/>
        </w:rPr>
        <w:t>确认</w:t>
      </w:r>
      <w:r>
        <w:rPr>
          <w:rFonts w:hint="eastAsia" w:ascii="仿宋" w:hAnsi="仿宋" w:eastAsia="仿宋" w:cs="仿宋"/>
          <w:color w:val="auto"/>
          <w:sz w:val="24"/>
          <w:szCs w:val="24"/>
          <w:highlight w:val="none"/>
          <w:u w:val="single"/>
          <w:lang w:eastAsia="zh-CN" w:bidi="en-US"/>
        </w:rPr>
        <w:t>，由收款单位向发包人开具收款发票；请款经监理人、</w:t>
      </w:r>
      <w:r>
        <w:rPr>
          <w:rFonts w:hint="eastAsia" w:ascii="仿宋" w:hAnsi="仿宋" w:eastAsia="仿宋" w:cs="仿宋"/>
          <w:color w:val="auto"/>
          <w:sz w:val="24"/>
          <w:szCs w:val="24"/>
          <w:highlight w:val="none"/>
          <w:u w:val="single"/>
          <w:lang w:val="en-US" w:eastAsia="zh-CN" w:bidi="en-US"/>
        </w:rPr>
        <w:t>建设管理单位及</w:t>
      </w:r>
      <w:r>
        <w:rPr>
          <w:rFonts w:hint="eastAsia" w:ascii="仿宋" w:hAnsi="仿宋" w:eastAsia="仿宋" w:cs="仿宋"/>
          <w:color w:val="auto"/>
          <w:sz w:val="24"/>
          <w:szCs w:val="24"/>
          <w:highlight w:val="none"/>
          <w:u w:val="single"/>
          <w:lang w:eastAsia="zh-CN" w:bidi="en-US"/>
        </w:rPr>
        <w:t>发包人审核后，款项分别支付至</w:t>
      </w:r>
      <w:r>
        <w:rPr>
          <w:rFonts w:hint="eastAsia" w:ascii="仿宋" w:hAnsi="仿宋" w:eastAsia="仿宋" w:cs="仿宋"/>
          <w:color w:val="auto"/>
          <w:sz w:val="24"/>
          <w:szCs w:val="24"/>
          <w:highlight w:val="none"/>
          <w:u w:val="single"/>
          <w:lang w:val="en-US" w:eastAsia="zh-CN" w:bidi="en-US"/>
        </w:rPr>
        <w:t>勘察</w:t>
      </w:r>
      <w:r>
        <w:rPr>
          <w:rFonts w:hint="eastAsia" w:ascii="仿宋" w:hAnsi="仿宋" w:eastAsia="仿宋" w:cs="仿宋"/>
          <w:color w:val="auto"/>
          <w:sz w:val="24"/>
          <w:szCs w:val="24"/>
          <w:highlight w:val="none"/>
          <w:u w:val="single"/>
          <w:lang w:eastAsia="zh-CN" w:bidi="en-US"/>
        </w:rPr>
        <w:t>单位各成员单位账户。</w:t>
      </w:r>
    </w:p>
    <w:p w14:paraId="55B0DA64">
      <w:pPr>
        <w:pStyle w:val="23"/>
        <w:spacing w:line="360" w:lineRule="auto"/>
        <w:ind w:firstLine="480" w:firstLineChars="200"/>
        <w:rPr>
          <w:rFonts w:hint="eastAsia" w:ascii="仿宋" w:hAnsi="仿宋" w:eastAsia="仿宋" w:cs="仿宋"/>
          <w:color w:val="auto"/>
          <w:sz w:val="24"/>
          <w:szCs w:val="24"/>
          <w:highlight w:val="none"/>
          <w:u w:val="single"/>
          <w:lang w:eastAsia="zh-CN" w:bidi="en-US"/>
        </w:rPr>
      </w:pPr>
      <w:r>
        <w:rPr>
          <w:rFonts w:hint="eastAsia" w:ascii="仿宋" w:hAnsi="仿宋" w:eastAsia="仿宋" w:cs="仿宋"/>
          <w:color w:val="auto"/>
          <w:sz w:val="24"/>
          <w:szCs w:val="24"/>
          <w:highlight w:val="none"/>
          <w:u w:val="single"/>
          <w:lang w:eastAsia="zh-CN" w:bidi="en-US"/>
        </w:rPr>
        <w:t>设计单位收款账户：</w:t>
      </w:r>
    </w:p>
    <w:p w14:paraId="675200AD">
      <w:pPr>
        <w:pStyle w:val="23"/>
        <w:spacing w:line="360" w:lineRule="auto"/>
        <w:ind w:firstLine="480" w:firstLineChars="200"/>
        <w:rPr>
          <w:rFonts w:hint="eastAsia" w:ascii="仿宋" w:hAnsi="仿宋" w:eastAsia="仿宋" w:cs="仿宋"/>
          <w:color w:val="auto"/>
          <w:sz w:val="24"/>
          <w:szCs w:val="24"/>
          <w:highlight w:val="none"/>
          <w:u w:val="single"/>
          <w:lang w:eastAsia="zh-CN" w:bidi="en-US"/>
        </w:rPr>
      </w:pPr>
    </w:p>
    <w:p w14:paraId="24EA795A">
      <w:pPr>
        <w:pStyle w:val="23"/>
        <w:spacing w:line="360" w:lineRule="auto"/>
        <w:ind w:firstLine="480" w:firstLineChars="200"/>
        <w:rPr>
          <w:rFonts w:hint="eastAsia" w:ascii="仿宋" w:hAnsi="仿宋" w:eastAsia="仿宋" w:cs="仿宋"/>
          <w:color w:val="auto"/>
          <w:sz w:val="24"/>
          <w:szCs w:val="24"/>
          <w:highlight w:val="none"/>
          <w:u w:val="single"/>
          <w:lang w:eastAsia="zh-CN" w:bidi="en-US"/>
        </w:rPr>
      </w:pPr>
      <w:r>
        <w:rPr>
          <w:rFonts w:hint="eastAsia" w:ascii="仿宋" w:hAnsi="仿宋" w:eastAsia="仿宋" w:cs="仿宋"/>
          <w:color w:val="auto"/>
          <w:sz w:val="24"/>
          <w:szCs w:val="24"/>
          <w:highlight w:val="none"/>
          <w:u w:val="single"/>
          <w:lang w:eastAsia="zh-CN" w:bidi="en-US"/>
        </w:rPr>
        <w:t>设计单位收款账户：</w:t>
      </w:r>
    </w:p>
    <w:p w14:paraId="45D3B3E8">
      <w:pPr>
        <w:pStyle w:val="23"/>
        <w:spacing w:line="360" w:lineRule="auto"/>
        <w:ind w:firstLine="480" w:firstLineChars="200"/>
        <w:rPr>
          <w:rFonts w:hint="eastAsia" w:ascii="仿宋" w:hAnsi="仿宋" w:eastAsia="仿宋" w:cs="仿宋"/>
          <w:color w:val="auto"/>
          <w:sz w:val="24"/>
          <w:szCs w:val="24"/>
          <w:highlight w:val="none"/>
          <w:u w:val="single"/>
          <w:lang w:eastAsia="zh-CN" w:bidi="en-US"/>
        </w:rPr>
      </w:pPr>
      <w:r>
        <w:rPr>
          <w:rFonts w:hint="eastAsia" w:ascii="仿宋" w:hAnsi="仿宋" w:eastAsia="仿宋" w:cs="仿宋"/>
          <w:color w:val="auto"/>
          <w:sz w:val="24"/>
          <w:szCs w:val="24"/>
          <w:highlight w:val="none"/>
          <w:u w:val="single"/>
          <w:lang w:eastAsia="zh-CN" w:bidi="en-US"/>
        </w:rPr>
        <w:t>开户银行：</w:t>
      </w:r>
    </w:p>
    <w:p w14:paraId="0D0676AC">
      <w:pPr>
        <w:pStyle w:val="23"/>
        <w:spacing w:line="360" w:lineRule="auto"/>
        <w:ind w:firstLine="480" w:firstLineChars="200"/>
        <w:rPr>
          <w:rFonts w:hint="eastAsia" w:ascii="仿宋" w:hAnsi="仿宋" w:eastAsia="仿宋" w:cs="仿宋"/>
          <w:color w:val="auto"/>
          <w:sz w:val="24"/>
          <w:szCs w:val="24"/>
          <w:highlight w:val="none"/>
          <w:u w:val="single"/>
          <w:lang w:eastAsia="zh-CN" w:bidi="en-US"/>
        </w:rPr>
      </w:pPr>
      <w:r>
        <w:rPr>
          <w:rFonts w:hint="eastAsia" w:ascii="仿宋" w:hAnsi="仿宋" w:eastAsia="仿宋" w:cs="仿宋"/>
          <w:color w:val="auto"/>
          <w:sz w:val="24"/>
          <w:szCs w:val="24"/>
          <w:highlight w:val="none"/>
          <w:u w:val="single"/>
          <w:lang w:eastAsia="zh-CN" w:bidi="en-US"/>
        </w:rPr>
        <w:t>帐    号：</w:t>
      </w:r>
    </w:p>
    <w:p w14:paraId="21973220">
      <w:pPr>
        <w:pStyle w:val="23"/>
        <w:spacing w:line="360" w:lineRule="auto"/>
        <w:ind w:firstLine="480" w:firstLineChars="200"/>
        <w:rPr>
          <w:rFonts w:hint="eastAsia" w:ascii="仿宋" w:hAnsi="仿宋" w:eastAsia="仿宋" w:cs="仿宋"/>
          <w:color w:val="auto"/>
          <w:sz w:val="24"/>
          <w:szCs w:val="24"/>
          <w:highlight w:val="none"/>
          <w:u w:val="single"/>
          <w:lang w:eastAsia="zh-CN" w:bidi="en-US"/>
        </w:rPr>
      </w:pPr>
    </w:p>
    <w:p w14:paraId="0F81844F">
      <w:pPr>
        <w:pStyle w:val="23"/>
        <w:spacing w:line="360" w:lineRule="auto"/>
        <w:ind w:firstLine="480" w:firstLineChars="200"/>
        <w:rPr>
          <w:rFonts w:hint="eastAsia" w:ascii="仿宋" w:hAnsi="仿宋" w:eastAsia="仿宋" w:cs="仿宋"/>
          <w:color w:val="auto"/>
          <w:sz w:val="24"/>
          <w:szCs w:val="24"/>
          <w:highlight w:val="none"/>
          <w:u w:val="single"/>
          <w:lang w:eastAsia="zh-CN" w:bidi="en-US"/>
        </w:rPr>
      </w:pPr>
      <w:r>
        <w:rPr>
          <w:rFonts w:hint="eastAsia" w:ascii="仿宋" w:hAnsi="仿宋" w:eastAsia="仿宋" w:cs="仿宋"/>
          <w:color w:val="auto"/>
          <w:sz w:val="24"/>
          <w:szCs w:val="24"/>
          <w:highlight w:val="none"/>
          <w:u w:val="single"/>
          <w:lang w:val="en-US" w:eastAsia="zh-CN" w:bidi="en-US"/>
        </w:rPr>
        <w:t>设计</w:t>
      </w:r>
      <w:r>
        <w:rPr>
          <w:rFonts w:hint="eastAsia" w:ascii="仿宋" w:hAnsi="仿宋" w:eastAsia="仿宋" w:cs="仿宋"/>
          <w:color w:val="auto"/>
          <w:sz w:val="24"/>
          <w:szCs w:val="24"/>
          <w:highlight w:val="none"/>
          <w:u w:val="single"/>
          <w:lang w:eastAsia="zh-CN" w:bidi="en-US"/>
        </w:rPr>
        <w:t>方若为联合体，由</w:t>
      </w:r>
      <w:r>
        <w:rPr>
          <w:rFonts w:hint="eastAsia" w:ascii="仿宋" w:hAnsi="仿宋" w:eastAsia="仿宋" w:cs="仿宋"/>
          <w:color w:val="auto"/>
          <w:sz w:val="24"/>
          <w:szCs w:val="24"/>
          <w:highlight w:val="none"/>
          <w:u w:val="single"/>
          <w:lang w:val="en-US" w:eastAsia="zh-CN" w:bidi="en-US"/>
        </w:rPr>
        <w:t>设计</w:t>
      </w:r>
      <w:r>
        <w:rPr>
          <w:rFonts w:hint="eastAsia" w:ascii="仿宋" w:hAnsi="仿宋" w:eastAsia="仿宋" w:cs="仿宋"/>
          <w:color w:val="auto"/>
          <w:sz w:val="24"/>
          <w:szCs w:val="24"/>
          <w:highlight w:val="none"/>
          <w:u w:val="single"/>
          <w:lang w:eastAsia="zh-CN" w:bidi="en-US"/>
        </w:rPr>
        <w:t>单位</w:t>
      </w:r>
      <w:r>
        <w:rPr>
          <w:rFonts w:hint="eastAsia" w:ascii="仿宋" w:hAnsi="仿宋" w:eastAsia="仿宋" w:cs="仿宋"/>
          <w:color w:val="auto"/>
          <w:sz w:val="24"/>
          <w:szCs w:val="24"/>
          <w:highlight w:val="none"/>
          <w:u w:val="single"/>
          <w:lang w:val="en-US" w:eastAsia="zh-CN" w:bidi="en-US"/>
        </w:rPr>
        <w:t>共同</w:t>
      </w:r>
      <w:r>
        <w:rPr>
          <w:rFonts w:hint="eastAsia" w:ascii="仿宋" w:hAnsi="仿宋" w:eastAsia="仿宋" w:cs="仿宋"/>
          <w:color w:val="auto"/>
          <w:sz w:val="24"/>
          <w:szCs w:val="24"/>
          <w:highlight w:val="none"/>
          <w:u w:val="single"/>
          <w:lang w:eastAsia="zh-CN" w:bidi="en-US"/>
        </w:rPr>
        <w:t>向发包人提交请款资料，</w:t>
      </w:r>
      <w:r>
        <w:rPr>
          <w:rFonts w:hint="eastAsia" w:ascii="仿宋" w:hAnsi="仿宋" w:eastAsia="仿宋" w:cs="仿宋"/>
          <w:color w:val="auto"/>
          <w:sz w:val="24"/>
          <w:szCs w:val="24"/>
          <w:highlight w:val="none"/>
          <w:u w:val="single"/>
          <w:lang w:val="en-US" w:eastAsia="zh-CN" w:bidi="en-US"/>
        </w:rPr>
        <w:t>且设计</w:t>
      </w:r>
      <w:r>
        <w:rPr>
          <w:rFonts w:hint="eastAsia" w:ascii="仿宋" w:hAnsi="仿宋" w:eastAsia="仿宋" w:cs="仿宋"/>
          <w:color w:val="auto"/>
          <w:sz w:val="24"/>
          <w:szCs w:val="24"/>
          <w:highlight w:val="none"/>
          <w:u w:val="single"/>
          <w:lang w:eastAsia="zh-CN" w:bidi="en-US"/>
        </w:rPr>
        <w:t>单位各成员方均需盖章</w:t>
      </w:r>
      <w:r>
        <w:rPr>
          <w:rFonts w:hint="eastAsia" w:ascii="仿宋" w:hAnsi="仿宋" w:eastAsia="仿宋" w:cs="仿宋"/>
          <w:color w:val="auto"/>
          <w:sz w:val="24"/>
          <w:szCs w:val="24"/>
          <w:highlight w:val="none"/>
          <w:u w:val="single"/>
          <w:lang w:val="en-US" w:eastAsia="zh-CN" w:bidi="en-US"/>
        </w:rPr>
        <w:t>确认</w:t>
      </w:r>
      <w:r>
        <w:rPr>
          <w:rFonts w:hint="eastAsia" w:ascii="仿宋" w:hAnsi="仿宋" w:eastAsia="仿宋" w:cs="仿宋"/>
          <w:color w:val="auto"/>
          <w:sz w:val="24"/>
          <w:szCs w:val="24"/>
          <w:highlight w:val="none"/>
          <w:u w:val="single"/>
          <w:lang w:eastAsia="zh-CN" w:bidi="en-US"/>
        </w:rPr>
        <w:t>，由收款单位向发包人开具收款发票；请款经</w:t>
      </w:r>
      <w:r>
        <w:rPr>
          <w:rFonts w:hint="eastAsia" w:ascii="仿宋" w:hAnsi="仿宋" w:eastAsia="仿宋" w:cs="仿宋"/>
          <w:color w:val="auto"/>
          <w:sz w:val="24"/>
          <w:szCs w:val="24"/>
          <w:highlight w:val="none"/>
          <w:u w:val="single"/>
          <w:lang w:val="en-US" w:eastAsia="zh-CN" w:bidi="en-US"/>
        </w:rPr>
        <w:t>建设管理单位及</w:t>
      </w:r>
      <w:r>
        <w:rPr>
          <w:rFonts w:hint="eastAsia" w:ascii="仿宋" w:hAnsi="仿宋" w:eastAsia="仿宋" w:cs="仿宋"/>
          <w:color w:val="auto"/>
          <w:sz w:val="24"/>
          <w:szCs w:val="24"/>
          <w:highlight w:val="none"/>
          <w:u w:val="single"/>
          <w:lang w:eastAsia="zh-CN" w:bidi="en-US"/>
        </w:rPr>
        <w:t>发包人审核后，款项分别支付至</w:t>
      </w:r>
      <w:r>
        <w:rPr>
          <w:rFonts w:hint="eastAsia" w:ascii="仿宋" w:hAnsi="仿宋" w:eastAsia="仿宋" w:cs="仿宋"/>
          <w:color w:val="auto"/>
          <w:sz w:val="24"/>
          <w:szCs w:val="24"/>
          <w:highlight w:val="none"/>
          <w:u w:val="single"/>
          <w:lang w:val="en-US" w:eastAsia="zh-CN" w:bidi="en-US"/>
        </w:rPr>
        <w:t>设计</w:t>
      </w:r>
      <w:r>
        <w:rPr>
          <w:rFonts w:hint="eastAsia" w:ascii="仿宋" w:hAnsi="仿宋" w:eastAsia="仿宋" w:cs="仿宋"/>
          <w:color w:val="auto"/>
          <w:sz w:val="24"/>
          <w:szCs w:val="24"/>
          <w:highlight w:val="none"/>
          <w:u w:val="single"/>
          <w:lang w:eastAsia="zh-CN" w:bidi="en-US"/>
        </w:rPr>
        <w:t>单位各成员单位账户。</w:t>
      </w:r>
    </w:p>
    <w:p w14:paraId="2DDCFC74">
      <w:pPr>
        <w:pStyle w:val="23"/>
        <w:spacing w:line="360" w:lineRule="auto"/>
        <w:ind w:firstLine="480" w:firstLineChars="200"/>
        <w:rPr>
          <w:rFonts w:hint="eastAsia" w:ascii="仿宋" w:hAnsi="仿宋" w:eastAsia="仿宋" w:cs="仿宋"/>
          <w:color w:val="auto"/>
          <w:sz w:val="24"/>
          <w:szCs w:val="24"/>
          <w:highlight w:val="none"/>
          <w:u w:val="single"/>
          <w:lang w:eastAsia="zh-CN" w:bidi="en-US"/>
        </w:rPr>
      </w:pPr>
      <w:r>
        <w:rPr>
          <w:rFonts w:hint="eastAsia" w:ascii="仿宋" w:hAnsi="仿宋" w:eastAsia="仿宋" w:cs="仿宋"/>
          <w:color w:val="auto"/>
          <w:sz w:val="24"/>
          <w:szCs w:val="24"/>
          <w:highlight w:val="none"/>
          <w:u w:val="single"/>
          <w:lang w:eastAsia="zh-CN" w:bidi="en-US"/>
        </w:rPr>
        <w:t>施工单位收款账户：</w:t>
      </w:r>
    </w:p>
    <w:p w14:paraId="74215BD7">
      <w:pPr>
        <w:pStyle w:val="23"/>
        <w:spacing w:line="360" w:lineRule="auto"/>
        <w:ind w:firstLine="480" w:firstLineChars="200"/>
        <w:rPr>
          <w:rFonts w:hint="eastAsia" w:ascii="仿宋" w:hAnsi="仿宋" w:eastAsia="仿宋" w:cs="仿宋"/>
          <w:color w:val="auto"/>
          <w:sz w:val="24"/>
          <w:szCs w:val="24"/>
          <w:highlight w:val="none"/>
          <w:u w:val="single"/>
          <w:lang w:eastAsia="zh-CN" w:bidi="en-US"/>
        </w:rPr>
      </w:pPr>
      <w:r>
        <w:rPr>
          <w:rFonts w:hint="eastAsia" w:ascii="仿宋" w:hAnsi="仿宋" w:eastAsia="仿宋" w:cs="仿宋"/>
          <w:color w:val="auto"/>
          <w:sz w:val="24"/>
          <w:szCs w:val="24"/>
          <w:highlight w:val="none"/>
          <w:u w:val="single"/>
          <w:lang w:eastAsia="zh-CN" w:bidi="en-US"/>
        </w:rPr>
        <w:t xml:space="preserve">施工单位收款账户： </w:t>
      </w:r>
    </w:p>
    <w:p w14:paraId="7AE71DF7">
      <w:pPr>
        <w:pStyle w:val="23"/>
        <w:spacing w:line="360" w:lineRule="auto"/>
        <w:ind w:firstLine="480" w:firstLineChars="200"/>
        <w:rPr>
          <w:rFonts w:hint="eastAsia" w:ascii="仿宋" w:hAnsi="仿宋" w:eastAsia="仿宋" w:cs="仿宋"/>
          <w:color w:val="auto"/>
          <w:sz w:val="24"/>
          <w:szCs w:val="24"/>
          <w:highlight w:val="none"/>
          <w:u w:val="single"/>
          <w:lang w:eastAsia="zh-CN" w:bidi="en-US"/>
        </w:rPr>
      </w:pPr>
      <w:r>
        <w:rPr>
          <w:rFonts w:hint="eastAsia" w:ascii="仿宋" w:hAnsi="仿宋" w:eastAsia="仿宋" w:cs="仿宋"/>
          <w:color w:val="auto"/>
          <w:sz w:val="24"/>
          <w:szCs w:val="24"/>
          <w:highlight w:val="none"/>
          <w:u w:val="single"/>
          <w:lang w:eastAsia="zh-CN" w:bidi="en-US"/>
        </w:rPr>
        <w:t xml:space="preserve">开户银行： </w:t>
      </w:r>
    </w:p>
    <w:p w14:paraId="0C91685D">
      <w:pPr>
        <w:pStyle w:val="23"/>
        <w:spacing w:line="360" w:lineRule="auto"/>
        <w:ind w:firstLine="480" w:firstLineChars="200"/>
        <w:rPr>
          <w:rFonts w:hint="eastAsia" w:ascii="仿宋" w:hAnsi="仿宋" w:eastAsia="仿宋" w:cs="仿宋"/>
          <w:color w:val="auto"/>
          <w:sz w:val="24"/>
          <w:szCs w:val="24"/>
          <w:highlight w:val="none"/>
          <w:u w:val="single"/>
          <w:lang w:eastAsia="zh-CN" w:bidi="en-US"/>
        </w:rPr>
      </w:pPr>
      <w:r>
        <w:rPr>
          <w:rFonts w:hint="eastAsia" w:ascii="仿宋" w:hAnsi="仿宋" w:eastAsia="仿宋" w:cs="仿宋"/>
          <w:color w:val="auto"/>
          <w:sz w:val="24"/>
          <w:szCs w:val="24"/>
          <w:highlight w:val="none"/>
          <w:u w:val="single"/>
          <w:lang w:eastAsia="zh-CN" w:bidi="en-US"/>
        </w:rPr>
        <w:t xml:space="preserve">帐    号： </w:t>
      </w:r>
    </w:p>
    <w:p w14:paraId="28507A8B">
      <w:pPr>
        <w:pStyle w:val="23"/>
        <w:spacing w:line="360" w:lineRule="auto"/>
        <w:ind w:firstLine="480" w:firstLineChars="200"/>
        <w:rPr>
          <w:rFonts w:hint="eastAsia" w:ascii="仿宋" w:hAnsi="仿宋" w:eastAsia="仿宋" w:cs="仿宋"/>
          <w:color w:val="auto"/>
          <w:sz w:val="24"/>
          <w:szCs w:val="24"/>
          <w:highlight w:val="none"/>
          <w:u w:val="single"/>
          <w:lang w:eastAsia="zh-CN" w:bidi="en-US"/>
        </w:rPr>
      </w:pPr>
    </w:p>
    <w:p w14:paraId="4F435A4E">
      <w:pPr>
        <w:pStyle w:val="23"/>
        <w:spacing w:line="360" w:lineRule="auto"/>
        <w:ind w:firstLine="480" w:firstLineChars="200"/>
        <w:rPr>
          <w:rFonts w:hint="eastAsia" w:ascii="仿宋" w:hAnsi="仿宋" w:eastAsia="仿宋" w:cs="仿宋"/>
          <w:color w:val="auto"/>
          <w:sz w:val="24"/>
          <w:szCs w:val="24"/>
          <w:highlight w:val="none"/>
          <w:u w:val="single"/>
          <w:lang w:eastAsia="zh-CN" w:bidi="en-US"/>
        </w:rPr>
      </w:pPr>
      <w:r>
        <w:rPr>
          <w:rFonts w:hint="eastAsia" w:ascii="仿宋" w:hAnsi="仿宋" w:eastAsia="仿宋" w:cs="仿宋"/>
          <w:color w:val="auto"/>
          <w:sz w:val="24"/>
          <w:szCs w:val="24"/>
          <w:highlight w:val="none"/>
          <w:u w:val="single"/>
          <w:lang w:eastAsia="zh-CN" w:bidi="en-US"/>
        </w:rPr>
        <w:t>施工单位收款账户：</w:t>
      </w:r>
    </w:p>
    <w:p w14:paraId="7894ADDD">
      <w:pPr>
        <w:pStyle w:val="23"/>
        <w:spacing w:line="360" w:lineRule="auto"/>
        <w:ind w:firstLine="480" w:firstLineChars="200"/>
        <w:rPr>
          <w:rFonts w:hint="eastAsia" w:ascii="仿宋" w:hAnsi="仿宋" w:eastAsia="仿宋" w:cs="仿宋"/>
          <w:color w:val="auto"/>
          <w:sz w:val="24"/>
          <w:szCs w:val="24"/>
          <w:highlight w:val="none"/>
          <w:u w:val="single"/>
          <w:lang w:eastAsia="zh-CN" w:bidi="en-US"/>
        </w:rPr>
      </w:pPr>
      <w:r>
        <w:rPr>
          <w:rFonts w:hint="eastAsia" w:ascii="仿宋" w:hAnsi="仿宋" w:eastAsia="仿宋" w:cs="仿宋"/>
          <w:color w:val="auto"/>
          <w:sz w:val="24"/>
          <w:szCs w:val="24"/>
          <w:highlight w:val="none"/>
          <w:u w:val="single"/>
          <w:lang w:eastAsia="zh-CN" w:bidi="en-US"/>
        </w:rPr>
        <w:t>开户银行：</w:t>
      </w:r>
    </w:p>
    <w:p w14:paraId="1382D761">
      <w:pPr>
        <w:pStyle w:val="23"/>
        <w:spacing w:line="360" w:lineRule="auto"/>
        <w:ind w:firstLine="480" w:firstLineChars="200"/>
        <w:rPr>
          <w:rFonts w:hint="eastAsia" w:ascii="仿宋" w:hAnsi="仿宋" w:eastAsia="仿宋" w:cs="仿宋"/>
          <w:color w:val="auto"/>
          <w:sz w:val="24"/>
          <w:szCs w:val="24"/>
          <w:highlight w:val="none"/>
          <w:u w:val="single"/>
          <w:lang w:eastAsia="zh-CN" w:bidi="en-US"/>
        </w:rPr>
      </w:pPr>
      <w:r>
        <w:rPr>
          <w:rFonts w:hint="eastAsia" w:ascii="仿宋" w:hAnsi="仿宋" w:eastAsia="仿宋" w:cs="仿宋"/>
          <w:color w:val="auto"/>
          <w:sz w:val="24"/>
          <w:szCs w:val="24"/>
          <w:highlight w:val="none"/>
          <w:u w:val="single"/>
          <w:lang w:eastAsia="zh-CN" w:bidi="en-US"/>
        </w:rPr>
        <w:t>帐    号：</w:t>
      </w:r>
    </w:p>
    <w:p w14:paraId="26DE0BA9">
      <w:pPr>
        <w:pStyle w:val="23"/>
        <w:spacing w:line="360" w:lineRule="auto"/>
        <w:ind w:firstLine="480" w:firstLineChars="200"/>
        <w:rPr>
          <w:rFonts w:hint="eastAsia" w:ascii="仿宋" w:hAnsi="仿宋" w:eastAsia="仿宋" w:cs="仿宋"/>
          <w:color w:val="auto"/>
          <w:sz w:val="24"/>
          <w:szCs w:val="24"/>
          <w:highlight w:val="none"/>
          <w:u w:val="single"/>
          <w:lang w:eastAsia="zh-CN" w:bidi="en-US"/>
        </w:rPr>
      </w:pPr>
    </w:p>
    <w:p w14:paraId="39B1B15C">
      <w:pPr>
        <w:pStyle w:val="23"/>
        <w:spacing w:line="360" w:lineRule="auto"/>
        <w:ind w:firstLine="480" w:firstLineChars="200"/>
        <w:rPr>
          <w:rFonts w:hint="eastAsia" w:ascii="仿宋" w:hAnsi="仿宋" w:eastAsia="仿宋" w:cs="仿宋"/>
          <w:color w:val="auto"/>
          <w:sz w:val="24"/>
          <w:szCs w:val="24"/>
          <w:highlight w:val="none"/>
          <w:u w:val="single"/>
          <w:lang w:eastAsia="zh-CN" w:bidi="en-US"/>
        </w:rPr>
      </w:pPr>
      <w:r>
        <w:rPr>
          <w:rFonts w:hint="eastAsia" w:ascii="仿宋" w:hAnsi="仿宋" w:eastAsia="仿宋" w:cs="仿宋"/>
          <w:color w:val="auto"/>
          <w:sz w:val="24"/>
          <w:szCs w:val="24"/>
          <w:highlight w:val="none"/>
          <w:u w:val="single"/>
          <w:lang w:eastAsia="zh-CN" w:bidi="en-US"/>
        </w:rPr>
        <w:t>施工方若为联合体，由施工单位</w:t>
      </w:r>
      <w:r>
        <w:rPr>
          <w:rFonts w:hint="eastAsia" w:ascii="仿宋" w:hAnsi="仿宋" w:eastAsia="仿宋" w:cs="仿宋"/>
          <w:color w:val="auto"/>
          <w:sz w:val="24"/>
          <w:szCs w:val="24"/>
          <w:highlight w:val="none"/>
          <w:u w:val="single"/>
          <w:lang w:val="en-US" w:eastAsia="zh-CN" w:bidi="en-US"/>
        </w:rPr>
        <w:t>共同</w:t>
      </w:r>
      <w:r>
        <w:rPr>
          <w:rFonts w:hint="eastAsia" w:ascii="仿宋" w:hAnsi="仿宋" w:eastAsia="仿宋" w:cs="仿宋"/>
          <w:color w:val="auto"/>
          <w:sz w:val="24"/>
          <w:szCs w:val="24"/>
          <w:highlight w:val="none"/>
          <w:u w:val="single"/>
          <w:lang w:eastAsia="zh-CN" w:bidi="en-US"/>
        </w:rPr>
        <w:t>向发包人提交请款资料，</w:t>
      </w:r>
      <w:r>
        <w:rPr>
          <w:rFonts w:hint="eastAsia" w:ascii="仿宋" w:hAnsi="仿宋" w:eastAsia="仿宋" w:cs="仿宋"/>
          <w:color w:val="auto"/>
          <w:sz w:val="24"/>
          <w:szCs w:val="24"/>
          <w:highlight w:val="none"/>
          <w:u w:val="single"/>
          <w:lang w:val="en-US" w:eastAsia="zh-CN" w:bidi="en-US"/>
        </w:rPr>
        <w:t>且</w:t>
      </w:r>
      <w:r>
        <w:rPr>
          <w:rFonts w:hint="eastAsia" w:ascii="仿宋" w:hAnsi="仿宋" w:eastAsia="仿宋" w:cs="仿宋"/>
          <w:color w:val="auto"/>
          <w:sz w:val="24"/>
          <w:szCs w:val="24"/>
          <w:highlight w:val="none"/>
          <w:u w:val="single"/>
          <w:lang w:eastAsia="zh-CN" w:bidi="en-US"/>
        </w:rPr>
        <w:t>施工单位各成员方均需盖章</w:t>
      </w:r>
      <w:r>
        <w:rPr>
          <w:rFonts w:hint="eastAsia" w:ascii="仿宋" w:hAnsi="仿宋" w:eastAsia="仿宋" w:cs="仿宋"/>
          <w:color w:val="auto"/>
          <w:sz w:val="24"/>
          <w:szCs w:val="24"/>
          <w:highlight w:val="none"/>
          <w:u w:val="single"/>
          <w:lang w:val="en-US" w:eastAsia="zh-CN" w:bidi="en-US"/>
        </w:rPr>
        <w:t>确认</w:t>
      </w:r>
      <w:r>
        <w:rPr>
          <w:rFonts w:hint="eastAsia" w:ascii="仿宋" w:hAnsi="仿宋" w:eastAsia="仿宋" w:cs="仿宋"/>
          <w:color w:val="auto"/>
          <w:sz w:val="24"/>
          <w:szCs w:val="24"/>
          <w:highlight w:val="none"/>
          <w:u w:val="single"/>
          <w:lang w:eastAsia="zh-CN" w:bidi="en-US"/>
        </w:rPr>
        <w:t>，由收款单位向发包人开具收款发票；请款经监理人、</w:t>
      </w:r>
      <w:r>
        <w:rPr>
          <w:rFonts w:hint="eastAsia" w:ascii="仿宋" w:hAnsi="仿宋" w:eastAsia="仿宋" w:cs="仿宋"/>
          <w:color w:val="auto"/>
          <w:sz w:val="24"/>
          <w:szCs w:val="24"/>
          <w:highlight w:val="none"/>
          <w:u w:val="single"/>
          <w:lang w:val="en-US" w:eastAsia="zh-CN" w:bidi="en-US"/>
        </w:rPr>
        <w:t>建设管理单位</w:t>
      </w:r>
      <w:r>
        <w:rPr>
          <w:rFonts w:hint="eastAsia" w:ascii="仿宋" w:hAnsi="仿宋" w:eastAsia="仿宋" w:cs="仿宋"/>
          <w:color w:val="auto"/>
          <w:sz w:val="24"/>
          <w:szCs w:val="24"/>
          <w:highlight w:val="none"/>
          <w:u w:val="single"/>
          <w:lang w:eastAsia="zh-CN" w:bidi="en-US"/>
        </w:rPr>
        <w:t>及发包人审核后，款项分别支付至施工单位各成员单位账户。</w:t>
      </w:r>
    </w:p>
    <w:p w14:paraId="073D8027">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双方协商一致，增加83.6、83.7款：</w:t>
      </w:r>
    </w:p>
    <w:p w14:paraId="47F2646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83.6</w:t>
      </w:r>
      <w:r>
        <w:rPr>
          <w:rFonts w:ascii="仿宋" w:hAnsi="仿宋" w:eastAsia="仿宋" w:cs="仿宋"/>
          <w:color w:val="auto"/>
          <w:highlight w:val="none"/>
          <w:lang w:eastAsia="zh-CN"/>
        </w:rPr>
        <w:t>工程变更价款的支付</w:t>
      </w:r>
    </w:p>
    <w:p w14:paraId="4A375AFE">
      <w:pPr>
        <w:spacing w:line="360" w:lineRule="auto"/>
        <w:ind w:firstLine="480" w:firstLineChars="200"/>
        <w:rPr>
          <w:rFonts w:ascii="仿宋" w:hAnsi="仿宋" w:eastAsia="仿宋"/>
          <w:color w:val="auto"/>
          <w:highlight w:val="none"/>
          <w:u w:val="single"/>
          <w:lang w:eastAsia="zh-CN"/>
        </w:rPr>
      </w:pPr>
      <w:r>
        <w:rPr>
          <w:rFonts w:ascii="仿宋" w:hAnsi="仿宋" w:eastAsia="仿宋"/>
          <w:color w:val="auto"/>
          <w:highlight w:val="none"/>
          <w:lang w:eastAsia="zh-CN"/>
        </w:rPr>
        <w:t>（1）当工程变更、现场签证</w:t>
      </w:r>
      <w:r>
        <w:rPr>
          <w:rFonts w:hint="eastAsia" w:ascii="仿宋" w:hAnsi="仿宋" w:eastAsia="仿宋"/>
          <w:color w:val="auto"/>
          <w:highlight w:val="none"/>
          <w:lang w:eastAsia="zh-CN"/>
        </w:rPr>
        <w:t>、</w:t>
      </w:r>
      <w:r>
        <w:rPr>
          <w:rFonts w:ascii="仿宋" w:hAnsi="仿宋" w:eastAsia="仿宋"/>
          <w:color w:val="auto"/>
          <w:highlight w:val="none"/>
          <w:lang w:eastAsia="zh-CN"/>
        </w:rPr>
        <w:t>工程量偏差</w:t>
      </w:r>
      <w:r>
        <w:rPr>
          <w:rFonts w:hint="eastAsia" w:ascii="仿宋" w:hAnsi="仿宋" w:eastAsia="仿宋"/>
          <w:color w:val="auto"/>
          <w:highlight w:val="none"/>
          <w:lang w:eastAsia="zh-CN"/>
        </w:rPr>
        <w:t>和</w:t>
      </w:r>
      <w:r>
        <w:rPr>
          <w:rFonts w:ascii="仿宋" w:hAnsi="仿宋" w:eastAsia="仿宋"/>
          <w:color w:val="auto"/>
          <w:highlight w:val="none"/>
          <w:lang w:eastAsia="zh-CN"/>
        </w:rPr>
        <w:t>合同约定的人材机价差调整等因素，导致的工程造价</w:t>
      </w:r>
      <w:r>
        <w:rPr>
          <w:rFonts w:hint="eastAsia" w:ascii="仿宋" w:hAnsi="仿宋" w:eastAsia="仿宋"/>
          <w:color w:val="auto"/>
          <w:highlight w:val="none"/>
          <w:lang w:eastAsia="zh-CN"/>
        </w:rPr>
        <w:t>变化</w:t>
      </w:r>
      <w:r>
        <w:rPr>
          <w:rFonts w:ascii="仿宋" w:hAnsi="仿宋" w:eastAsia="仿宋"/>
          <w:color w:val="auto"/>
          <w:highlight w:val="none"/>
          <w:lang w:eastAsia="zh-CN"/>
        </w:rPr>
        <w:t>，</w:t>
      </w:r>
      <w:r>
        <w:rPr>
          <w:rFonts w:ascii="仿宋" w:hAnsi="仿宋" w:eastAsia="仿宋"/>
          <w:color w:val="auto"/>
          <w:highlight w:val="none"/>
          <w:u w:val="single"/>
          <w:lang w:eastAsia="zh-CN"/>
        </w:rPr>
        <w:t>经发包人或发包人委托的</w:t>
      </w:r>
      <w:r>
        <w:rPr>
          <w:rFonts w:hint="eastAsia" w:ascii="仿宋" w:hAnsi="仿宋" w:eastAsia="仿宋"/>
          <w:color w:val="auto"/>
          <w:highlight w:val="none"/>
          <w:u w:val="single"/>
          <w:lang w:eastAsia="zh-CN"/>
        </w:rPr>
        <w:t>造价咨询人审核</w:t>
      </w:r>
      <w:r>
        <w:rPr>
          <w:rFonts w:ascii="仿宋" w:hAnsi="仿宋" w:eastAsia="仿宋"/>
          <w:color w:val="auto"/>
          <w:highlight w:val="none"/>
          <w:u w:val="single"/>
          <w:lang w:eastAsia="zh-CN"/>
        </w:rPr>
        <w:t>，累计</w:t>
      </w:r>
      <w:r>
        <w:rPr>
          <w:rFonts w:hint="eastAsia" w:ascii="仿宋" w:hAnsi="仿宋" w:eastAsia="仿宋"/>
          <w:color w:val="auto"/>
          <w:highlight w:val="none"/>
          <w:u w:val="single"/>
          <w:lang w:eastAsia="zh-CN"/>
        </w:rPr>
        <w:t>增加</w:t>
      </w:r>
      <w:r>
        <w:rPr>
          <w:rFonts w:ascii="仿宋" w:hAnsi="仿宋" w:eastAsia="仿宋"/>
          <w:color w:val="auto"/>
          <w:highlight w:val="none"/>
          <w:u w:val="single"/>
          <w:lang w:eastAsia="zh-CN"/>
        </w:rPr>
        <w:t>金额不超过</w:t>
      </w:r>
      <w:r>
        <w:rPr>
          <w:rFonts w:hint="eastAsia" w:ascii="仿宋" w:hAnsi="仿宋" w:eastAsia="仿宋"/>
          <w:color w:val="auto"/>
          <w:highlight w:val="none"/>
          <w:u w:val="single"/>
          <w:lang w:val="en-US" w:eastAsia="zh-CN"/>
        </w:rPr>
        <w:t>合同价中建筑安装工程费</w:t>
      </w:r>
      <w:r>
        <w:rPr>
          <w:rFonts w:ascii="仿宋" w:hAnsi="仿宋" w:eastAsia="仿宋"/>
          <w:color w:val="auto"/>
          <w:highlight w:val="none"/>
          <w:u w:val="single"/>
          <w:lang w:eastAsia="zh-CN"/>
        </w:rPr>
        <w:t>（不含</w:t>
      </w:r>
      <w:r>
        <w:rPr>
          <w:rFonts w:hint="eastAsia" w:ascii="仿宋" w:hAnsi="仿宋" w:eastAsia="仿宋"/>
          <w:color w:val="auto"/>
          <w:highlight w:val="none"/>
          <w:u w:val="single"/>
          <w:lang w:eastAsia="zh-CN"/>
        </w:rPr>
        <w:t>暂列</w:t>
      </w:r>
      <w:r>
        <w:rPr>
          <w:rFonts w:ascii="仿宋" w:hAnsi="仿宋" w:eastAsia="仿宋"/>
          <w:color w:val="auto"/>
          <w:highlight w:val="none"/>
          <w:u w:val="single"/>
          <w:lang w:eastAsia="zh-CN"/>
        </w:rPr>
        <w:t>金</w:t>
      </w:r>
      <w:r>
        <w:rPr>
          <w:rFonts w:hint="eastAsia" w:ascii="仿宋" w:hAnsi="仿宋" w:eastAsia="仿宋"/>
          <w:color w:val="auto"/>
          <w:highlight w:val="none"/>
          <w:u w:val="single"/>
          <w:lang w:eastAsia="zh-CN"/>
        </w:rPr>
        <w:t>额</w:t>
      </w:r>
      <w:r>
        <w:rPr>
          <w:rFonts w:ascii="仿宋" w:hAnsi="仿宋" w:eastAsia="仿宋"/>
          <w:color w:val="auto"/>
          <w:highlight w:val="none"/>
          <w:u w:val="single"/>
          <w:lang w:eastAsia="zh-CN"/>
        </w:rPr>
        <w:t>）</w:t>
      </w:r>
      <w:r>
        <w:rPr>
          <w:rFonts w:hint="eastAsia" w:ascii="仿宋" w:hAnsi="仿宋" w:eastAsia="仿宋"/>
          <w:color w:val="auto"/>
          <w:highlight w:val="none"/>
          <w:u w:val="single"/>
          <w:lang w:eastAsia="zh-CN"/>
        </w:rPr>
        <w:t>1</w:t>
      </w:r>
      <w:r>
        <w:rPr>
          <w:rFonts w:ascii="仿宋" w:hAnsi="仿宋" w:eastAsia="仿宋"/>
          <w:color w:val="auto"/>
          <w:highlight w:val="none"/>
          <w:u w:val="single"/>
          <w:lang w:eastAsia="zh-CN"/>
        </w:rPr>
        <w:t>%</w:t>
      </w:r>
      <w:r>
        <w:rPr>
          <w:rFonts w:hint="eastAsia" w:ascii="仿宋" w:hAnsi="仿宋" w:eastAsia="仿宋"/>
          <w:color w:val="auto"/>
          <w:highlight w:val="none"/>
          <w:u w:val="single"/>
          <w:lang w:eastAsia="zh-CN"/>
        </w:rPr>
        <w:t>或500万元</w:t>
      </w:r>
      <w:r>
        <w:rPr>
          <w:rFonts w:ascii="仿宋" w:hAnsi="仿宋" w:eastAsia="仿宋"/>
          <w:color w:val="auto"/>
          <w:highlight w:val="none"/>
          <w:u w:val="single"/>
          <w:lang w:eastAsia="zh-CN"/>
        </w:rPr>
        <w:t>时,</w:t>
      </w:r>
      <w:bookmarkStart w:id="1907" w:name="OLE_LINK17"/>
      <w:r>
        <w:rPr>
          <w:rFonts w:hint="eastAsia" w:ascii="仿宋" w:hAnsi="仿宋" w:eastAsia="仿宋"/>
          <w:color w:val="auto"/>
          <w:highlight w:val="none"/>
          <w:u w:val="single"/>
          <w:lang w:eastAsia="zh-CN"/>
        </w:rPr>
        <w:t>且最终结算总价不超过原合同价的前提下，</w:t>
      </w:r>
      <w:bookmarkEnd w:id="1907"/>
      <w:r>
        <w:rPr>
          <w:rFonts w:hint="eastAsia" w:ascii="仿宋" w:hAnsi="仿宋" w:eastAsia="仿宋"/>
          <w:color w:val="auto"/>
          <w:highlight w:val="none"/>
          <w:u w:val="single"/>
          <w:lang w:eastAsia="zh-CN"/>
        </w:rPr>
        <w:t>增加的工程款</w:t>
      </w:r>
      <w:r>
        <w:rPr>
          <w:rFonts w:ascii="仿宋" w:hAnsi="仿宋" w:eastAsia="仿宋"/>
          <w:color w:val="auto"/>
          <w:highlight w:val="none"/>
          <w:u w:val="single"/>
          <w:lang w:eastAsia="zh-CN"/>
        </w:rPr>
        <w:t>在竣工结算审定后支付。</w:t>
      </w:r>
    </w:p>
    <w:p w14:paraId="2F8D09E8">
      <w:pPr>
        <w:spacing w:line="360" w:lineRule="auto"/>
        <w:ind w:firstLine="480" w:firstLineChars="200"/>
        <w:rPr>
          <w:rFonts w:ascii="仿宋" w:hAnsi="仿宋" w:eastAsia="仿宋"/>
          <w:color w:val="auto"/>
          <w:highlight w:val="none"/>
          <w:u w:val="single"/>
          <w:lang w:eastAsia="zh-CN"/>
        </w:rPr>
      </w:pPr>
      <w:r>
        <w:rPr>
          <w:rFonts w:ascii="仿宋" w:hAnsi="仿宋" w:eastAsia="仿宋"/>
          <w:color w:val="auto"/>
          <w:highlight w:val="none"/>
          <w:lang w:eastAsia="zh-CN"/>
        </w:rPr>
        <w:t>（2）当</w:t>
      </w:r>
      <w:bookmarkStart w:id="1908" w:name="OLE_LINK15"/>
      <w:r>
        <w:rPr>
          <w:rFonts w:ascii="仿宋" w:hAnsi="仿宋" w:eastAsia="仿宋"/>
          <w:color w:val="auto"/>
          <w:highlight w:val="none"/>
          <w:lang w:eastAsia="zh-CN"/>
        </w:rPr>
        <w:t>工程变更、现场签证、工程量偏差和合同约定的人材机价差调整等因素，</w:t>
      </w:r>
      <w:bookmarkEnd w:id="1908"/>
      <w:r>
        <w:rPr>
          <w:rFonts w:ascii="仿宋" w:hAnsi="仿宋" w:eastAsia="仿宋"/>
          <w:color w:val="auto"/>
          <w:highlight w:val="none"/>
          <w:lang w:eastAsia="zh-CN"/>
        </w:rPr>
        <w:t>导致的工程造价</w:t>
      </w:r>
      <w:r>
        <w:rPr>
          <w:rFonts w:hint="eastAsia" w:ascii="仿宋" w:hAnsi="仿宋" w:eastAsia="仿宋"/>
          <w:color w:val="auto"/>
          <w:highlight w:val="none"/>
          <w:lang w:eastAsia="zh-CN"/>
        </w:rPr>
        <w:t>变化</w:t>
      </w:r>
      <w:r>
        <w:rPr>
          <w:rFonts w:ascii="仿宋" w:hAnsi="仿宋" w:eastAsia="仿宋"/>
          <w:color w:val="auto"/>
          <w:highlight w:val="none"/>
          <w:lang w:eastAsia="zh-CN"/>
        </w:rPr>
        <w:t>，经发包人或发包人委托的</w:t>
      </w:r>
      <w:r>
        <w:rPr>
          <w:rFonts w:hint="eastAsia" w:ascii="仿宋" w:hAnsi="仿宋" w:eastAsia="仿宋"/>
          <w:color w:val="auto"/>
          <w:highlight w:val="none"/>
          <w:lang w:eastAsia="zh-CN"/>
        </w:rPr>
        <w:t>造价咨询人审核</w:t>
      </w:r>
      <w:r>
        <w:rPr>
          <w:rFonts w:ascii="仿宋" w:hAnsi="仿宋" w:eastAsia="仿宋"/>
          <w:color w:val="auto"/>
          <w:highlight w:val="none"/>
          <w:lang w:eastAsia="zh-CN"/>
        </w:rPr>
        <w:t>，</w:t>
      </w:r>
      <w:r>
        <w:rPr>
          <w:rFonts w:ascii="仿宋" w:hAnsi="仿宋" w:eastAsia="仿宋"/>
          <w:color w:val="auto"/>
          <w:highlight w:val="none"/>
          <w:u w:val="single"/>
          <w:lang w:eastAsia="zh-CN"/>
        </w:rPr>
        <w:t>累计</w:t>
      </w:r>
      <w:r>
        <w:rPr>
          <w:rFonts w:hint="eastAsia" w:ascii="仿宋" w:hAnsi="仿宋" w:eastAsia="仿宋"/>
          <w:color w:val="auto"/>
          <w:highlight w:val="none"/>
          <w:u w:val="single"/>
          <w:lang w:eastAsia="zh-CN"/>
        </w:rPr>
        <w:t>增加</w:t>
      </w:r>
      <w:r>
        <w:rPr>
          <w:rFonts w:ascii="仿宋" w:hAnsi="仿宋" w:eastAsia="仿宋"/>
          <w:color w:val="auto"/>
          <w:highlight w:val="none"/>
          <w:u w:val="single"/>
          <w:lang w:eastAsia="zh-CN"/>
        </w:rPr>
        <w:t>金额超过</w:t>
      </w:r>
      <w:r>
        <w:rPr>
          <w:rFonts w:hint="eastAsia" w:ascii="仿宋" w:hAnsi="仿宋" w:eastAsia="仿宋"/>
          <w:color w:val="auto"/>
          <w:highlight w:val="none"/>
          <w:u w:val="single"/>
          <w:lang w:val="en-US" w:eastAsia="zh-CN"/>
        </w:rPr>
        <w:t>合同价中建筑安装工程费</w:t>
      </w:r>
      <w:r>
        <w:rPr>
          <w:rFonts w:ascii="仿宋" w:hAnsi="仿宋" w:eastAsia="仿宋"/>
          <w:color w:val="auto"/>
          <w:highlight w:val="none"/>
          <w:u w:val="single"/>
          <w:lang w:eastAsia="zh-CN"/>
        </w:rPr>
        <w:t>（不含</w:t>
      </w:r>
      <w:r>
        <w:rPr>
          <w:rFonts w:hint="eastAsia" w:ascii="仿宋" w:hAnsi="仿宋" w:eastAsia="仿宋"/>
          <w:color w:val="auto"/>
          <w:highlight w:val="none"/>
          <w:u w:val="single"/>
          <w:lang w:eastAsia="zh-CN"/>
        </w:rPr>
        <w:t>暂列</w:t>
      </w:r>
      <w:r>
        <w:rPr>
          <w:rFonts w:ascii="仿宋" w:hAnsi="仿宋" w:eastAsia="仿宋"/>
          <w:color w:val="auto"/>
          <w:highlight w:val="none"/>
          <w:u w:val="single"/>
          <w:lang w:eastAsia="zh-CN"/>
        </w:rPr>
        <w:t>金</w:t>
      </w:r>
      <w:r>
        <w:rPr>
          <w:rFonts w:hint="eastAsia" w:ascii="仿宋" w:hAnsi="仿宋" w:eastAsia="仿宋"/>
          <w:color w:val="auto"/>
          <w:highlight w:val="none"/>
          <w:u w:val="single"/>
          <w:lang w:eastAsia="zh-CN"/>
        </w:rPr>
        <w:t>额</w:t>
      </w:r>
      <w:r>
        <w:rPr>
          <w:rFonts w:ascii="仿宋" w:hAnsi="仿宋" w:eastAsia="仿宋"/>
          <w:color w:val="auto"/>
          <w:highlight w:val="none"/>
          <w:u w:val="single"/>
          <w:lang w:eastAsia="zh-CN"/>
        </w:rPr>
        <w:t>）</w:t>
      </w:r>
      <w:r>
        <w:rPr>
          <w:rFonts w:hint="eastAsia" w:ascii="仿宋" w:hAnsi="仿宋" w:eastAsia="仿宋"/>
          <w:color w:val="auto"/>
          <w:highlight w:val="none"/>
          <w:u w:val="single"/>
          <w:lang w:eastAsia="zh-CN"/>
        </w:rPr>
        <w:t>1</w:t>
      </w:r>
      <w:r>
        <w:rPr>
          <w:rFonts w:ascii="仿宋" w:hAnsi="仿宋" w:eastAsia="仿宋"/>
          <w:color w:val="auto"/>
          <w:highlight w:val="none"/>
          <w:u w:val="single"/>
          <w:lang w:eastAsia="zh-CN"/>
        </w:rPr>
        <w:t>%</w:t>
      </w:r>
      <w:r>
        <w:rPr>
          <w:rFonts w:hint="eastAsia" w:ascii="仿宋" w:hAnsi="仿宋" w:eastAsia="仿宋"/>
          <w:color w:val="auto"/>
          <w:highlight w:val="none"/>
          <w:u w:val="single"/>
          <w:lang w:eastAsia="zh-CN"/>
        </w:rPr>
        <w:t>或500万元</w:t>
      </w:r>
      <w:r>
        <w:rPr>
          <w:rFonts w:ascii="仿宋" w:hAnsi="仿宋" w:eastAsia="仿宋"/>
          <w:color w:val="auto"/>
          <w:highlight w:val="none"/>
          <w:u w:val="single"/>
          <w:lang w:eastAsia="zh-CN"/>
        </w:rPr>
        <w:t>时,</w:t>
      </w:r>
      <w:r>
        <w:rPr>
          <w:rFonts w:hint="eastAsia" w:ascii="仿宋" w:hAnsi="仿宋" w:eastAsia="仿宋"/>
          <w:color w:val="auto"/>
          <w:highlight w:val="none"/>
          <w:u w:val="single"/>
          <w:lang w:eastAsia="zh-CN"/>
        </w:rPr>
        <w:t>但最终结算总价仍不超过原合同价的，双方可签订补充协议明确支付安排，补充协议所增加的工程价款按已完成工作量的70%与工程进度款同步计量支付。</w:t>
      </w:r>
    </w:p>
    <w:p w14:paraId="0F65DCA3">
      <w:pPr>
        <w:spacing w:line="360" w:lineRule="auto"/>
        <w:ind w:firstLine="480" w:firstLineChars="200"/>
        <w:rPr>
          <w:rFonts w:hint="eastAsia" w:ascii="仿宋" w:hAnsi="仿宋" w:eastAsia="仿宋" w:cs="宋体"/>
          <w:color w:val="auto"/>
          <w:highlight w:val="none"/>
          <w:lang w:eastAsia="zh-CN"/>
        </w:rPr>
      </w:pPr>
      <w:r>
        <w:rPr>
          <w:rFonts w:hint="eastAsia" w:ascii="仿宋" w:hAnsi="仿宋" w:eastAsia="仿宋" w:cs="宋体"/>
          <w:color w:val="auto"/>
          <w:highlight w:val="none"/>
          <w:lang w:eastAsia="zh-CN"/>
        </w:rPr>
        <w:t>（3）本合同涉及的违约处罚，发包人可以选择在工程进度款或工程竣工结算时从应支付的价款中予以扣减，具体按发包人要求办理。</w:t>
      </w:r>
    </w:p>
    <w:p w14:paraId="39C19390">
      <w:pPr>
        <w:spacing w:line="360" w:lineRule="auto"/>
        <w:ind w:firstLine="480" w:firstLineChars="200"/>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83.7 支付的其他约定</w:t>
      </w:r>
    </w:p>
    <w:p w14:paraId="1916360A">
      <w:pPr>
        <w:spacing w:line="360" w:lineRule="auto"/>
        <w:ind w:firstLine="480" w:firstLineChars="200"/>
        <w:rPr>
          <w:rFonts w:ascii="仿宋" w:hAnsi="仿宋" w:eastAsia="仿宋" w:cs="宋体"/>
          <w:color w:val="auto"/>
          <w:highlight w:val="none"/>
          <w:lang w:eastAsia="zh-CN"/>
        </w:rPr>
      </w:pPr>
      <w:r>
        <w:rPr>
          <w:rFonts w:ascii="仿宋" w:hAnsi="仿宋" w:eastAsia="仿宋" w:cs="宋体"/>
          <w:color w:val="auto"/>
          <w:highlight w:val="none"/>
          <w:lang w:eastAsia="zh-CN"/>
        </w:rPr>
        <w:t>（1）税金按政府及税务部门有关规定计算，根据当期施工进度款与进度款一并按月支付。发包人每次付款前，承包人均需按发包人财务管理制度办理书面支付申请手续，并提供等额合法有效的增值税专用发票，否则发包人有权顺延支付合同款项且不构成违约，承包人仍须按照本合同约定履行义务。</w:t>
      </w:r>
    </w:p>
    <w:p w14:paraId="4F59A5BB">
      <w:pPr>
        <w:spacing w:line="360" w:lineRule="auto"/>
        <w:ind w:firstLine="480" w:firstLineChars="200"/>
        <w:rPr>
          <w:rFonts w:ascii="仿宋" w:hAnsi="仿宋" w:eastAsia="仿宋" w:cs="宋体"/>
          <w:color w:val="auto"/>
          <w:highlight w:val="none"/>
          <w:u w:val="single"/>
          <w:lang w:eastAsia="zh-CN"/>
        </w:rPr>
      </w:pPr>
      <w:r>
        <w:rPr>
          <w:rFonts w:ascii="仿宋" w:hAnsi="仿宋" w:eastAsia="仿宋" w:cs="宋体"/>
          <w:color w:val="auto"/>
          <w:highlight w:val="none"/>
          <w:lang w:eastAsia="zh-CN"/>
        </w:rPr>
        <w:t>（2）</w:t>
      </w:r>
      <w:r>
        <w:rPr>
          <w:rFonts w:ascii="仿宋" w:hAnsi="仿宋" w:eastAsia="仿宋" w:cs="宋体"/>
          <w:color w:val="auto"/>
          <w:highlight w:val="none"/>
          <w:u w:val="single"/>
          <w:lang w:eastAsia="zh-CN"/>
        </w:rPr>
        <w:t>因承包人提供的发票不规范、不合法引发的税务及其他一切法律责任由承包人承担，且承包人还应向发包人承担赔偿责任，包括但不限于承担相关税款、滞纳金、罚款</w:t>
      </w:r>
      <w:r>
        <w:rPr>
          <w:rFonts w:hint="eastAsia" w:ascii="仿宋" w:hAnsi="仿宋" w:eastAsia="仿宋" w:cs="宋体"/>
          <w:color w:val="auto"/>
          <w:highlight w:val="none"/>
          <w:u w:val="single"/>
          <w:lang w:eastAsia="zh-CN"/>
        </w:rPr>
        <w:t>（本合同项所述“罚款”为含税金额）</w:t>
      </w:r>
      <w:r>
        <w:rPr>
          <w:rFonts w:ascii="仿宋" w:hAnsi="仿宋" w:eastAsia="仿宋" w:cs="宋体"/>
          <w:color w:val="auto"/>
          <w:highlight w:val="none"/>
          <w:u w:val="single"/>
          <w:lang w:eastAsia="zh-CN"/>
        </w:rPr>
        <w:t>及赔偿相关损失等。</w:t>
      </w:r>
    </w:p>
    <w:p w14:paraId="7BB2403E">
      <w:pPr>
        <w:spacing w:line="360" w:lineRule="auto"/>
        <w:ind w:firstLine="480" w:firstLineChars="200"/>
        <w:rPr>
          <w:rFonts w:ascii="仿宋" w:hAnsi="仿宋" w:eastAsia="仿宋" w:cs="宋体"/>
          <w:color w:val="auto"/>
          <w:highlight w:val="none"/>
          <w:u w:val="single"/>
          <w:lang w:eastAsia="zh-CN"/>
        </w:rPr>
      </w:pPr>
      <w:r>
        <w:rPr>
          <w:rFonts w:ascii="仿宋" w:hAnsi="仿宋" w:eastAsia="仿宋" w:cs="宋体"/>
          <w:color w:val="auto"/>
          <w:highlight w:val="none"/>
          <w:lang w:eastAsia="zh-CN"/>
        </w:rPr>
        <w:t>（3）</w:t>
      </w:r>
      <w:r>
        <w:rPr>
          <w:rFonts w:ascii="仿宋" w:hAnsi="仿宋" w:eastAsia="仿宋" w:cs="宋体"/>
          <w:color w:val="auto"/>
          <w:highlight w:val="none"/>
          <w:u w:val="single"/>
          <w:lang w:eastAsia="zh-CN"/>
        </w:rPr>
        <w:t>发包人支付本合同项下款项需向政府部门申请拨付</w:t>
      </w:r>
      <w:r>
        <w:rPr>
          <w:rFonts w:hint="eastAsia" w:ascii="仿宋" w:hAnsi="仿宋" w:eastAsia="仿宋" w:cs="宋体"/>
          <w:color w:val="auto"/>
          <w:highlight w:val="none"/>
          <w:u w:val="single"/>
          <w:lang w:eastAsia="zh-CN"/>
        </w:rPr>
        <w:t>（如有）</w:t>
      </w:r>
      <w:r>
        <w:rPr>
          <w:rFonts w:ascii="仿宋" w:hAnsi="仿宋" w:eastAsia="仿宋" w:cs="宋体"/>
          <w:color w:val="auto"/>
          <w:highlight w:val="none"/>
          <w:u w:val="single"/>
          <w:lang w:eastAsia="zh-CN"/>
        </w:rPr>
        <w:t>，则各阶段支付条件还应包括发包人向相关政府部门申请款项获得批准且得到拨付，付款时间应相应根据拨付时间顺延。承包人不可撤销地承诺，若政府部门审定、拨付本合同项下相关费用时间超过上述约定支付期限的，承包人无权以任何理由要求发包人承担任何违约责任。</w:t>
      </w:r>
    </w:p>
    <w:p w14:paraId="3992A2AE">
      <w:pPr>
        <w:spacing w:line="360" w:lineRule="auto"/>
        <w:ind w:firstLine="480" w:firstLineChars="200"/>
        <w:rPr>
          <w:rFonts w:ascii="仿宋" w:hAnsi="仿宋" w:eastAsia="仿宋" w:cs="宋体"/>
          <w:color w:val="auto"/>
          <w:highlight w:val="none"/>
          <w:u w:val="single"/>
          <w:lang w:eastAsia="zh-CN"/>
        </w:rPr>
      </w:pPr>
      <w:r>
        <w:rPr>
          <w:rFonts w:ascii="仿宋" w:hAnsi="仿宋" w:eastAsia="仿宋" w:cs="宋体"/>
          <w:color w:val="auto"/>
          <w:highlight w:val="none"/>
          <w:lang w:eastAsia="zh-CN"/>
        </w:rPr>
        <w:t>（4）合同履行期间,遇国家税收政策调整，按照国家政策相应执行。</w:t>
      </w:r>
      <w:r>
        <w:rPr>
          <w:rFonts w:ascii="仿宋" w:hAnsi="仿宋" w:eastAsia="仿宋" w:cs="宋体"/>
          <w:color w:val="auto"/>
          <w:highlight w:val="none"/>
          <w:u w:val="single"/>
          <w:lang w:eastAsia="zh-CN"/>
        </w:rPr>
        <w:t>本合同中不含税价格不因国家税率变化而变化,若在合同履行期间,遇国家税率调整的,则价税合计相应调整,以开具发票的时间为准。</w:t>
      </w:r>
    </w:p>
    <w:p w14:paraId="18040E71">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1909" w:name="_Toc18437"/>
      <w:bookmarkStart w:id="1910" w:name="_Toc29838"/>
      <w:bookmarkStart w:id="1911" w:name="_Toc4004"/>
      <w:bookmarkStart w:id="1912" w:name="_Toc11201"/>
      <w:bookmarkStart w:id="1913" w:name="_Toc32692"/>
      <w:bookmarkStart w:id="1914" w:name="_Toc25282"/>
      <w:bookmarkStart w:id="1915" w:name="_Toc8541"/>
      <w:r>
        <w:rPr>
          <w:rFonts w:hint="eastAsia" w:ascii="仿宋" w:hAnsi="仿宋" w:eastAsia="仿宋" w:cs="仿宋"/>
          <w:b w:val="0"/>
          <w:bCs w:val="0"/>
          <w:i w:val="0"/>
          <w:iCs w:val="0"/>
          <w:color w:val="auto"/>
          <w:sz w:val="24"/>
          <w:szCs w:val="24"/>
          <w:highlight w:val="none"/>
          <w:lang w:eastAsia="zh-CN"/>
        </w:rPr>
        <w:t>★84.  预付款</w:t>
      </w:r>
      <w:bookmarkEnd w:id="1906"/>
      <w:bookmarkEnd w:id="1909"/>
      <w:bookmarkEnd w:id="1910"/>
      <w:bookmarkEnd w:id="1911"/>
      <w:bookmarkEnd w:id="1912"/>
      <w:bookmarkEnd w:id="1913"/>
      <w:bookmarkEnd w:id="1914"/>
      <w:bookmarkEnd w:id="1915"/>
    </w:p>
    <w:p w14:paraId="062281E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84.1 预付款的约定及管理</w:t>
      </w:r>
    </w:p>
    <w:p w14:paraId="245D08E0">
      <w:pPr>
        <w:spacing w:line="360" w:lineRule="auto"/>
        <w:ind w:firstLine="840" w:firstLineChars="3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无预付款，本条不适用。</w:t>
      </w:r>
    </w:p>
    <w:p w14:paraId="596EEAC3">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☑有预付款，其支付办法和抵扣方式，按专用条款第84.2款和第84.4款、第86.1款约定。</w:t>
      </w:r>
    </w:p>
    <w:p w14:paraId="2EE53111">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□另作约定：</w:t>
      </w:r>
    </w:p>
    <w:p w14:paraId="5FD40DCC">
      <w:pPr>
        <w:spacing w:line="360" w:lineRule="auto"/>
        <w:ind w:left="480" w:leftChars="200" w:firstLine="900" w:firstLineChars="37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工程勘察费预付款支付比例及金额：</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3F5F0A56">
      <w:pPr>
        <w:spacing w:line="360" w:lineRule="auto"/>
        <w:ind w:left="480" w:leftChars="200" w:firstLine="900" w:firstLineChars="37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工程设计费预付款支付比例及金额：</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3260D6E6">
      <w:pPr>
        <w:spacing w:line="360" w:lineRule="auto"/>
        <w:ind w:left="480" w:leftChars="200" w:firstLine="900" w:firstLineChars="37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BIM技术应用费预付款支付比例及金额：</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40516C56">
      <w:pPr>
        <w:spacing w:line="360" w:lineRule="auto"/>
        <w:ind w:left="480" w:leftChars="200" w:firstLine="900" w:firstLineChars="37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设备及工器具购置费预付款支付比例及金额：</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1CC37A30">
      <w:pPr>
        <w:spacing w:line="360" w:lineRule="auto"/>
        <w:ind w:left="1380" w:leftChars="57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建筑安装工程费</w:t>
      </w:r>
      <w:r>
        <w:rPr>
          <w:rFonts w:hint="eastAsia" w:ascii="仿宋" w:hAnsi="仿宋" w:eastAsia="仿宋" w:cs="仿宋"/>
          <w:color w:val="auto"/>
          <w:highlight w:val="none"/>
          <w:lang w:eastAsia="zh-CN"/>
        </w:rPr>
        <w:t>（扣除暂列金额、暂估价、绿色安全防护措施费等）</w:t>
      </w:r>
      <w:r>
        <w:rPr>
          <w:rFonts w:hint="eastAsia" w:ascii="仿宋" w:hAnsi="仿宋" w:eastAsia="仿宋"/>
          <w:color w:val="auto"/>
          <w:highlight w:val="none"/>
          <w:lang w:eastAsia="zh-CN"/>
        </w:rPr>
        <w:t>预付款支付比例及金额：</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24C13572">
      <w:pPr>
        <w:spacing w:line="360" w:lineRule="auto"/>
        <w:ind w:left="480" w:leftChars="200" w:firstLine="900" w:firstLineChars="37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□其他费用预付</w:t>
      </w:r>
      <w:r>
        <w:rPr>
          <w:rFonts w:hint="eastAsia" w:ascii="仿宋" w:hAnsi="仿宋" w:eastAsia="仿宋"/>
          <w:color w:val="auto"/>
          <w:highlight w:val="none"/>
          <w:lang w:eastAsia="zh-CN"/>
        </w:rPr>
        <w:t>款支付比例及金额：</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025179E1">
      <w:pPr>
        <w:pStyle w:val="23"/>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84.2 提交预付款支付申请期限：</w:t>
      </w:r>
    </w:p>
    <w:p w14:paraId="6405C5B0">
      <w:pPr>
        <w:spacing w:line="360" w:lineRule="auto"/>
        <w:ind w:firstLine="360" w:firstLineChars="150"/>
        <w:rPr>
          <w:color w:val="auto"/>
          <w:highlight w:val="none"/>
          <w:lang w:eastAsia="zh-CN"/>
        </w:rPr>
      </w:pPr>
      <w:r>
        <w:rPr>
          <w:rFonts w:hint="eastAsia" w:ascii="仿宋" w:hAnsi="仿宋" w:eastAsia="仿宋" w:cs="仿宋"/>
          <w:color w:val="auto"/>
          <w:highlight w:val="none"/>
          <w:lang w:eastAsia="zh-CN"/>
        </w:rPr>
        <w:t xml:space="preserve"> </w:t>
      </w:r>
      <w:r>
        <w:rPr>
          <w:rFonts w:ascii="仿宋" w:hAnsi="仿宋" w:eastAsia="仿宋"/>
          <w:color w:val="auto"/>
          <w:highlight w:val="none"/>
          <w:lang w:eastAsia="zh-CN"/>
        </w:rPr>
        <w:t>（1）提交预付款支付申请期限：</w:t>
      </w:r>
      <w:bookmarkStart w:id="2145" w:name="_GoBack"/>
      <w:bookmarkEnd w:id="2145"/>
    </w:p>
    <w:p w14:paraId="0A3FDF0A">
      <w:pPr>
        <w:spacing w:line="360" w:lineRule="auto"/>
        <w:ind w:left="480" w:leftChars="2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□按通用条款第84.2款约定。</w:t>
      </w:r>
    </w:p>
    <w:p w14:paraId="14AE111C">
      <w:pPr>
        <w:spacing w:line="360" w:lineRule="auto"/>
        <w:ind w:left="480" w:leftChars="200" w:firstLine="360" w:firstLineChars="15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☑另作约定：</w:t>
      </w:r>
      <w:r>
        <w:rPr>
          <w:rFonts w:hint="eastAsia" w:ascii="仿宋" w:hAnsi="仿宋" w:eastAsia="仿宋"/>
          <w:color w:val="auto"/>
          <w:highlight w:val="none"/>
          <w:u w:val="single"/>
          <w:lang w:eastAsia="zh-CN"/>
        </w:rPr>
        <w:t>达到专用条款第84.2款约定的支付条件后的14天内。</w:t>
      </w:r>
    </w:p>
    <w:p w14:paraId="68844945">
      <w:pPr>
        <w:spacing w:line="360" w:lineRule="auto"/>
        <w:rPr>
          <w:rFonts w:ascii="仿宋" w:hAnsi="仿宋" w:eastAsia="仿宋"/>
          <w:color w:val="auto"/>
          <w:highlight w:val="none"/>
          <w:u w:val="single"/>
          <w:lang w:eastAsia="zh-CN"/>
        </w:rPr>
      </w:pPr>
      <w:r>
        <w:rPr>
          <w:rFonts w:ascii="仿宋" w:hAnsi="仿宋" w:eastAsia="仿宋"/>
          <w:color w:val="auto"/>
          <w:highlight w:val="none"/>
          <w:lang w:eastAsia="zh-CN"/>
        </w:rPr>
        <w:t>预付款支付的有关规定</w:t>
      </w:r>
      <w:r>
        <w:rPr>
          <w:rFonts w:hint="eastAsia" w:ascii="仿宋" w:hAnsi="仿宋" w:eastAsia="仿宋"/>
          <w:color w:val="auto"/>
          <w:highlight w:val="none"/>
          <w:lang w:eastAsia="zh-CN"/>
        </w:rPr>
        <w:t>（建筑安装工程费）</w:t>
      </w:r>
      <w:r>
        <w:rPr>
          <w:rFonts w:ascii="仿宋" w:hAnsi="仿宋" w:eastAsia="仿宋"/>
          <w:color w:val="auto"/>
          <w:highlight w:val="none"/>
          <w:lang w:eastAsia="zh-CN"/>
        </w:rPr>
        <w:t>：</w:t>
      </w:r>
    </w:p>
    <w:p w14:paraId="17258DAF">
      <w:pPr>
        <w:spacing w:line="360" w:lineRule="auto"/>
        <w:ind w:firstLine="480" w:firstLineChars="200"/>
        <w:rPr>
          <w:rFonts w:ascii="仿宋" w:hAnsi="仿宋" w:eastAsia="仿宋"/>
          <w:b/>
          <w:bCs/>
          <w:color w:val="auto"/>
          <w:highlight w:val="none"/>
          <w:lang w:eastAsia="zh-CN"/>
        </w:rPr>
      </w:pPr>
      <w:r>
        <w:rPr>
          <w:rFonts w:hint="eastAsia" w:ascii="仿宋" w:hAnsi="仿宋" w:eastAsia="仿宋"/>
          <w:color w:val="auto"/>
          <w:highlight w:val="none"/>
          <w:lang w:eastAsia="zh-CN"/>
        </w:rPr>
        <w:t>在本合同生效，承包人按专用条款第23.2条的要求开设工程监管专用账户，按招标文件及专用条款第32条的要求提交履约担保及</w:t>
      </w:r>
      <w:r>
        <w:rPr>
          <w:rFonts w:hint="eastAsia" w:ascii="仿宋" w:hAnsi="仿宋" w:eastAsia="仿宋" w:cs="仿宋"/>
          <w:color w:val="auto"/>
          <w:highlight w:val="none"/>
          <w:lang w:eastAsia="zh-CN"/>
        </w:rPr>
        <w:t>提供与预付款等额的预付款保函</w:t>
      </w:r>
      <w:r>
        <w:rPr>
          <w:rFonts w:hint="eastAsia" w:ascii="仿宋" w:hAnsi="仿宋" w:eastAsia="仿宋"/>
          <w:color w:val="auto"/>
          <w:highlight w:val="none"/>
          <w:lang w:eastAsia="zh-CN"/>
        </w:rPr>
        <w:t>。承包人须在申请第一笔工程进度款前完成预付款的申领手续，否则视为放弃。经监理人及发包人书面确认后14个工作日</w:t>
      </w:r>
      <w:r>
        <w:rPr>
          <w:rFonts w:ascii="仿宋" w:hAnsi="仿宋" w:eastAsia="仿宋"/>
          <w:color w:val="auto"/>
          <w:highlight w:val="none"/>
          <w:lang w:eastAsia="zh-CN"/>
        </w:rPr>
        <w:t>内凭合法单据支付预付款</w:t>
      </w:r>
      <w:r>
        <w:rPr>
          <w:rFonts w:hint="eastAsia" w:ascii="仿宋" w:hAnsi="仿宋" w:eastAsia="仿宋"/>
          <w:color w:val="auto"/>
          <w:highlight w:val="none"/>
          <w:lang w:eastAsia="zh-CN"/>
        </w:rPr>
        <w:t>，</w:t>
      </w:r>
      <w:r>
        <w:rPr>
          <w:rFonts w:ascii="仿宋" w:hAnsi="仿宋" w:eastAsia="仿宋"/>
          <w:color w:val="auto"/>
          <w:highlight w:val="none"/>
          <w:lang w:eastAsia="zh-CN"/>
        </w:rPr>
        <w:t>支付预付款</w:t>
      </w:r>
      <w:r>
        <w:rPr>
          <w:rFonts w:hint="eastAsia" w:ascii="仿宋" w:hAnsi="仿宋" w:eastAsia="仿宋"/>
          <w:color w:val="auto"/>
          <w:highlight w:val="none"/>
          <w:lang w:eastAsia="zh-CN"/>
        </w:rPr>
        <w:t>为合同价中建筑安装工程费</w:t>
      </w:r>
      <w:r>
        <w:rPr>
          <w:rFonts w:hint="eastAsia" w:ascii="仿宋" w:hAnsi="仿宋" w:eastAsia="仿宋" w:cs="仿宋"/>
          <w:color w:val="auto"/>
          <w:highlight w:val="none"/>
          <w:lang w:eastAsia="zh-CN"/>
        </w:rPr>
        <w:t>（扣除绿色安全防护措施费</w:t>
      </w:r>
      <w:r>
        <w:rPr>
          <w:rFonts w:hint="eastAsia" w:ascii="仿宋" w:hAnsi="仿宋" w:eastAsia="仿宋" w:cs="仿宋"/>
          <w:color w:val="auto"/>
          <w:highlight w:val="none"/>
          <w:lang w:val="en-US" w:eastAsia="zh-CN"/>
        </w:rPr>
        <w:t>中的安全生产措施费</w:t>
      </w:r>
      <w:r>
        <w:rPr>
          <w:rFonts w:hint="eastAsia" w:ascii="仿宋" w:hAnsi="仿宋" w:eastAsia="仿宋" w:cs="仿宋"/>
          <w:color w:val="auto"/>
          <w:highlight w:val="none"/>
          <w:lang w:eastAsia="zh-CN"/>
        </w:rPr>
        <w:t>）</w:t>
      </w:r>
      <w:r>
        <w:rPr>
          <w:rFonts w:ascii="仿宋" w:hAnsi="仿宋" w:eastAsia="仿宋"/>
          <w:color w:val="auto"/>
          <w:highlight w:val="none"/>
          <w:lang w:eastAsia="zh-CN"/>
        </w:rPr>
        <w:t>的</w:t>
      </w:r>
      <w:r>
        <w:rPr>
          <w:rFonts w:hint="eastAsia" w:ascii="仿宋" w:hAnsi="仿宋" w:eastAsia="仿宋"/>
          <w:color w:val="auto"/>
          <w:highlight w:val="none"/>
          <w:u w:val="single"/>
          <w:lang w:eastAsia="zh-CN"/>
        </w:rPr>
        <w:t>10</w:t>
      </w:r>
      <w:r>
        <w:rPr>
          <w:rFonts w:ascii="仿宋" w:hAnsi="仿宋" w:eastAsia="仿宋"/>
          <w:color w:val="auto"/>
          <w:highlight w:val="none"/>
          <w:u w:val="single"/>
          <w:lang w:eastAsia="zh-CN"/>
        </w:rPr>
        <w:t>%</w:t>
      </w:r>
      <w:r>
        <w:rPr>
          <w:rFonts w:hint="eastAsia" w:ascii="仿宋" w:hAnsi="仿宋" w:eastAsia="仿宋"/>
          <w:color w:val="auto"/>
          <w:highlight w:val="none"/>
          <w:lang w:eastAsia="zh-CN"/>
        </w:rPr>
        <w:t>。</w:t>
      </w:r>
    </w:p>
    <w:p w14:paraId="148E961A">
      <w:pPr>
        <w:pStyle w:val="23"/>
        <w:numPr>
          <w:ilvl w:val="0"/>
          <w:numId w:val="25"/>
        </w:numPr>
        <w:spacing w:line="360" w:lineRule="auto"/>
        <w:ind w:firstLine="480" w:firstLineChars="200"/>
        <w:rPr>
          <w:rFonts w:hint="eastAsia" w:ascii="仿宋" w:hAnsi="仿宋" w:eastAsia="仿宋"/>
          <w:snapToGrid w:val="0"/>
          <w:color w:val="auto"/>
          <w:sz w:val="24"/>
          <w:szCs w:val="24"/>
          <w:highlight w:val="none"/>
          <w:lang w:eastAsia="zh-CN"/>
        </w:rPr>
      </w:pPr>
      <w:r>
        <w:rPr>
          <w:rFonts w:hint="eastAsia" w:ascii="仿宋" w:hAnsi="仿宋" w:eastAsia="仿宋"/>
          <w:snapToGrid w:val="0"/>
          <w:color w:val="auto"/>
          <w:sz w:val="24"/>
          <w:szCs w:val="24"/>
          <w:highlight w:val="none"/>
          <w:lang w:eastAsia="zh-CN"/>
        </w:rPr>
        <w:t>承包人应将预付款专用于实施本工程所需的施工机械、材料设备及人员费用，并向总监理工程师提交发票或其他证明文件的副本以证明预付款确实专款专用，否则发包人有权要求承包人承担1次一般违约责任处罚。</w:t>
      </w:r>
    </w:p>
    <w:p w14:paraId="309BC2B9">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84.4 预付款的扣回（建筑安装工程费）</w:t>
      </w:r>
    </w:p>
    <w:p w14:paraId="7CF1E092">
      <w:pPr>
        <w:spacing w:line="360" w:lineRule="auto"/>
        <w:ind w:left="480" w:leftChars="2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□按通用条款约定。</w:t>
      </w:r>
    </w:p>
    <w:p w14:paraId="1B25890F">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□其他抵扣方式：</w:t>
      </w:r>
    </w:p>
    <w:p w14:paraId="3FBBC62B">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预付款按照期中应支付工程款的</w:t>
      </w:r>
      <w:r>
        <w:rPr>
          <w:rFonts w:hint="eastAsia" w:ascii="仿宋" w:hAnsi="仿宋" w:eastAsia="仿宋" w:cs="仿宋"/>
          <w:color w:val="auto"/>
          <w:highlight w:val="none"/>
          <w:u w:val="single"/>
          <w:lang w:eastAsia="zh-CN"/>
        </w:rPr>
        <w:t>/</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扣回，直到扣完为止。</w:t>
      </w:r>
    </w:p>
    <w:p w14:paraId="3FE90593">
      <w:pPr>
        <w:spacing w:line="360" w:lineRule="auto"/>
        <w:ind w:firstLine="840" w:firstLineChars="350"/>
        <w:rPr>
          <w:rFonts w:ascii="仿宋" w:hAnsi="仿宋" w:eastAsia="仿宋"/>
          <w:color w:val="auto"/>
          <w:highlight w:val="none"/>
          <w:u w:val="single"/>
          <w:lang w:eastAsia="zh-CN"/>
        </w:rPr>
      </w:pPr>
      <w:r>
        <w:rPr>
          <w:rFonts w:hint="eastAsia" w:ascii="仿宋" w:hAnsi="仿宋" w:eastAsia="仿宋"/>
          <w:color w:val="auto"/>
          <w:highlight w:val="none"/>
          <w:lang w:eastAsia="zh-CN"/>
        </w:rPr>
        <w:t>□</w:t>
      </w:r>
      <w:r>
        <w:rPr>
          <w:rFonts w:ascii="仿宋" w:hAnsi="仿宋" w:eastAsia="仿宋"/>
          <w:color w:val="auto"/>
          <w:highlight w:val="none"/>
          <w:u w:val="single"/>
          <w:lang w:eastAsia="zh-CN"/>
        </w:rPr>
        <w:t>从第</w:t>
      </w:r>
      <w:r>
        <w:rPr>
          <w:rFonts w:hint="eastAsia" w:ascii="仿宋" w:hAnsi="仿宋" w:eastAsia="仿宋" w:cs="仿宋"/>
          <w:color w:val="auto"/>
          <w:highlight w:val="none"/>
          <w:u w:val="single"/>
          <w:lang w:eastAsia="zh-CN"/>
        </w:rPr>
        <w:t>/</w:t>
      </w:r>
      <w:r>
        <w:rPr>
          <w:rFonts w:ascii="仿宋" w:hAnsi="仿宋" w:eastAsia="仿宋"/>
          <w:color w:val="auto"/>
          <w:highlight w:val="none"/>
          <w:u w:val="single"/>
          <w:lang w:eastAsia="zh-CN"/>
        </w:rPr>
        <w:t xml:space="preserve">  期进度款支付开始，预付款分</w:t>
      </w:r>
      <w:r>
        <w:rPr>
          <w:rFonts w:hint="eastAsia" w:ascii="仿宋" w:hAnsi="仿宋" w:eastAsia="仿宋" w:cs="仿宋"/>
          <w:color w:val="auto"/>
          <w:highlight w:val="none"/>
          <w:u w:val="single"/>
          <w:lang w:eastAsia="zh-CN"/>
        </w:rPr>
        <w:t>/</w:t>
      </w:r>
      <w:r>
        <w:rPr>
          <w:rFonts w:ascii="仿宋" w:hAnsi="仿宋" w:eastAsia="仿宋"/>
          <w:color w:val="auto"/>
          <w:highlight w:val="none"/>
          <w:u w:val="single"/>
          <w:lang w:eastAsia="zh-CN"/>
        </w:rPr>
        <w:t xml:space="preserve">  期等额在支付第  </w:t>
      </w:r>
      <w:r>
        <w:rPr>
          <w:rFonts w:hint="eastAsia" w:ascii="仿宋" w:hAnsi="仿宋" w:eastAsia="仿宋" w:cs="仿宋"/>
          <w:color w:val="auto"/>
          <w:highlight w:val="none"/>
          <w:u w:val="single"/>
          <w:lang w:eastAsia="zh-CN"/>
        </w:rPr>
        <w:t>/</w:t>
      </w:r>
      <w:r>
        <w:rPr>
          <w:rFonts w:ascii="仿宋" w:hAnsi="仿宋" w:eastAsia="仿宋"/>
          <w:color w:val="auto"/>
          <w:highlight w:val="none"/>
          <w:u w:val="single"/>
          <w:lang w:eastAsia="zh-CN"/>
        </w:rPr>
        <w:t xml:space="preserve"> 期～第  </w:t>
      </w:r>
      <w:r>
        <w:rPr>
          <w:rFonts w:hint="eastAsia" w:ascii="仿宋" w:hAnsi="仿宋" w:eastAsia="仿宋" w:cs="仿宋"/>
          <w:color w:val="auto"/>
          <w:highlight w:val="none"/>
          <w:u w:val="single"/>
          <w:lang w:eastAsia="zh-CN"/>
        </w:rPr>
        <w:t>/</w:t>
      </w:r>
      <w:r>
        <w:rPr>
          <w:rFonts w:ascii="仿宋" w:hAnsi="仿宋" w:eastAsia="仿宋"/>
          <w:color w:val="auto"/>
          <w:highlight w:val="none"/>
          <w:u w:val="single"/>
          <w:lang w:eastAsia="zh-CN"/>
        </w:rPr>
        <w:t xml:space="preserve"> 期进度款中抵扣完毕，每期各抵扣预付款金额的</w:t>
      </w:r>
      <w:r>
        <w:rPr>
          <w:rFonts w:hint="eastAsia" w:ascii="仿宋" w:hAnsi="仿宋" w:eastAsia="仿宋" w:cs="仿宋"/>
          <w:color w:val="auto"/>
          <w:highlight w:val="none"/>
          <w:u w:val="single"/>
          <w:lang w:eastAsia="zh-CN"/>
        </w:rPr>
        <w:t>/</w:t>
      </w:r>
      <w:r>
        <w:rPr>
          <w:rFonts w:ascii="仿宋" w:hAnsi="仿宋" w:eastAsia="仿宋"/>
          <w:color w:val="auto"/>
          <w:highlight w:val="none"/>
          <w:lang w:eastAsia="zh-CN"/>
        </w:rPr>
        <w:t>%</w:t>
      </w:r>
      <w:r>
        <w:rPr>
          <w:rFonts w:ascii="仿宋" w:hAnsi="仿宋" w:eastAsia="仿宋"/>
          <w:color w:val="auto"/>
          <w:highlight w:val="none"/>
          <w:u w:val="single"/>
          <w:lang w:eastAsia="zh-CN"/>
        </w:rPr>
        <w:t>，当进度款不足以抵扣时，不足金额延至下期进度款抵扣。</w:t>
      </w:r>
    </w:p>
    <w:p w14:paraId="436CB902">
      <w:pPr>
        <w:spacing w:line="360" w:lineRule="auto"/>
        <w:ind w:left="480" w:leftChars="200" w:firstLine="360" w:firstLineChars="1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☑另作约定：预付款抵扣按下表执行：</w:t>
      </w:r>
    </w:p>
    <w:tbl>
      <w:tblPr>
        <w:tblStyle w:val="4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627"/>
        <w:gridCol w:w="2477"/>
        <w:gridCol w:w="2773"/>
      </w:tblGrid>
      <w:tr w14:paraId="1B3E8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2" w:hRule="atLeast"/>
          <w:jc w:val="center"/>
        </w:trPr>
        <w:tc>
          <w:tcPr>
            <w:tcW w:w="3627" w:type="dxa"/>
            <w:noWrap w:val="0"/>
            <w:vAlign w:val="center"/>
          </w:tcPr>
          <w:p w14:paraId="2C410C2E">
            <w:pPr>
              <w:spacing w:line="360" w:lineRule="auto"/>
              <w:ind w:left="-2" w:leftChars="-1"/>
              <w:jc w:val="center"/>
              <w:rPr>
                <w:rFonts w:eastAsia="仿宋"/>
                <w:color w:val="auto"/>
                <w:highlight w:val="none"/>
                <w:lang w:eastAsia="zh-CN"/>
              </w:rPr>
            </w:pPr>
            <w:r>
              <w:rPr>
                <w:rFonts w:eastAsia="仿宋"/>
                <w:color w:val="auto"/>
                <w:highlight w:val="none"/>
                <w:lang w:eastAsia="zh-CN"/>
              </w:rPr>
              <w:t>已完工作量与合同承包价（扣除了暂列金额）的比例（a）</w:t>
            </w:r>
          </w:p>
        </w:tc>
        <w:tc>
          <w:tcPr>
            <w:tcW w:w="2477" w:type="dxa"/>
            <w:noWrap w:val="0"/>
            <w:vAlign w:val="center"/>
          </w:tcPr>
          <w:p w14:paraId="6D42B0D6">
            <w:pPr>
              <w:spacing w:line="360" w:lineRule="auto"/>
              <w:ind w:left="-2" w:leftChars="-1" w:firstLine="2"/>
              <w:jc w:val="center"/>
              <w:rPr>
                <w:rFonts w:eastAsia="仿宋"/>
                <w:color w:val="auto"/>
                <w:highlight w:val="none"/>
              </w:rPr>
            </w:pPr>
            <w:r>
              <w:rPr>
                <w:rFonts w:eastAsia="仿宋"/>
                <w:color w:val="auto"/>
                <w:highlight w:val="none"/>
              </w:rPr>
              <w:t>扣回预付款的比例</w:t>
            </w:r>
          </w:p>
        </w:tc>
        <w:tc>
          <w:tcPr>
            <w:tcW w:w="2773" w:type="dxa"/>
            <w:noWrap w:val="0"/>
            <w:vAlign w:val="center"/>
          </w:tcPr>
          <w:p w14:paraId="5511F0A1">
            <w:pPr>
              <w:spacing w:line="360" w:lineRule="auto"/>
              <w:ind w:left="-2" w:leftChars="-1" w:firstLine="2"/>
              <w:jc w:val="center"/>
              <w:rPr>
                <w:rFonts w:eastAsia="仿宋"/>
                <w:color w:val="auto"/>
                <w:highlight w:val="none"/>
              </w:rPr>
            </w:pPr>
            <w:r>
              <w:rPr>
                <w:rFonts w:eastAsia="仿宋"/>
                <w:color w:val="auto"/>
                <w:highlight w:val="none"/>
              </w:rPr>
              <w:t>累计扣回比例</w:t>
            </w:r>
          </w:p>
        </w:tc>
      </w:tr>
      <w:tr w14:paraId="0A4EA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627" w:type="dxa"/>
            <w:noWrap w:val="0"/>
            <w:vAlign w:val="center"/>
          </w:tcPr>
          <w:p w14:paraId="77B35E87">
            <w:pPr>
              <w:spacing w:line="360" w:lineRule="auto"/>
              <w:ind w:left="-2" w:leftChars="-1"/>
              <w:jc w:val="center"/>
              <w:rPr>
                <w:rFonts w:eastAsia="仿宋"/>
                <w:color w:val="auto"/>
                <w:highlight w:val="none"/>
              </w:rPr>
            </w:pPr>
            <w:r>
              <w:rPr>
                <w:rFonts w:eastAsia="仿宋"/>
                <w:color w:val="auto"/>
                <w:highlight w:val="none"/>
              </w:rPr>
              <w:t>20%≤a＜30％</w:t>
            </w:r>
          </w:p>
        </w:tc>
        <w:tc>
          <w:tcPr>
            <w:tcW w:w="2477" w:type="dxa"/>
            <w:noWrap w:val="0"/>
            <w:vAlign w:val="center"/>
          </w:tcPr>
          <w:p w14:paraId="7C7A391D">
            <w:pPr>
              <w:spacing w:line="360" w:lineRule="auto"/>
              <w:ind w:left="-2" w:leftChars="-1"/>
              <w:jc w:val="center"/>
              <w:rPr>
                <w:rFonts w:eastAsia="仿宋"/>
                <w:color w:val="auto"/>
                <w:highlight w:val="none"/>
              </w:rPr>
            </w:pPr>
            <w:r>
              <w:rPr>
                <w:rFonts w:eastAsia="仿宋"/>
                <w:color w:val="auto"/>
                <w:highlight w:val="none"/>
                <w:lang w:eastAsia="zh-CN"/>
              </w:rPr>
              <w:t>20</w:t>
            </w:r>
            <w:r>
              <w:rPr>
                <w:rFonts w:eastAsia="仿宋"/>
                <w:color w:val="auto"/>
                <w:highlight w:val="none"/>
              </w:rPr>
              <w:t>％</w:t>
            </w:r>
          </w:p>
        </w:tc>
        <w:tc>
          <w:tcPr>
            <w:tcW w:w="2773" w:type="dxa"/>
            <w:noWrap w:val="0"/>
            <w:vAlign w:val="center"/>
          </w:tcPr>
          <w:p w14:paraId="48E93F89">
            <w:pPr>
              <w:spacing w:line="360" w:lineRule="auto"/>
              <w:ind w:left="-2" w:leftChars="-1"/>
              <w:jc w:val="center"/>
              <w:rPr>
                <w:rFonts w:eastAsia="仿宋"/>
                <w:color w:val="auto"/>
                <w:highlight w:val="none"/>
              </w:rPr>
            </w:pPr>
            <w:r>
              <w:rPr>
                <w:rFonts w:eastAsia="仿宋"/>
                <w:color w:val="auto"/>
                <w:highlight w:val="none"/>
                <w:lang w:eastAsia="zh-CN"/>
              </w:rPr>
              <w:t>20</w:t>
            </w:r>
            <w:r>
              <w:rPr>
                <w:rFonts w:eastAsia="仿宋"/>
                <w:color w:val="auto"/>
                <w:highlight w:val="none"/>
              </w:rPr>
              <w:t>％</w:t>
            </w:r>
          </w:p>
        </w:tc>
      </w:tr>
      <w:tr w14:paraId="0F66D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627" w:type="dxa"/>
            <w:noWrap w:val="0"/>
            <w:vAlign w:val="center"/>
          </w:tcPr>
          <w:p w14:paraId="09A861E5">
            <w:pPr>
              <w:spacing w:line="360" w:lineRule="auto"/>
              <w:ind w:left="-2" w:leftChars="-1"/>
              <w:jc w:val="center"/>
              <w:rPr>
                <w:rFonts w:eastAsia="仿宋"/>
                <w:color w:val="auto"/>
                <w:highlight w:val="none"/>
              </w:rPr>
            </w:pPr>
            <w:r>
              <w:rPr>
                <w:rFonts w:eastAsia="仿宋"/>
                <w:color w:val="auto"/>
                <w:highlight w:val="none"/>
              </w:rPr>
              <w:t>30%≤a＜40％</w:t>
            </w:r>
          </w:p>
        </w:tc>
        <w:tc>
          <w:tcPr>
            <w:tcW w:w="2477" w:type="dxa"/>
            <w:noWrap w:val="0"/>
            <w:vAlign w:val="center"/>
          </w:tcPr>
          <w:p w14:paraId="1CD1FD65">
            <w:pPr>
              <w:spacing w:line="360" w:lineRule="auto"/>
              <w:ind w:left="-2" w:leftChars="-1"/>
              <w:jc w:val="center"/>
              <w:rPr>
                <w:rFonts w:eastAsia="仿宋"/>
                <w:color w:val="auto"/>
                <w:highlight w:val="none"/>
              </w:rPr>
            </w:pPr>
            <w:r>
              <w:rPr>
                <w:rFonts w:eastAsia="仿宋"/>
                <w:color w:val="auto"/>
                <w:highlight w:val="none"/>
                <w:lang w:eastAsia="zh-CN"/>
              </w:rPr>
              <w:t>20</w:t>
            </w:r>
            <w:r>
              <w:rPr>
                <w:rFonts w:eastAsia="仿宋"/>
                <w:color w:val="auto"/>
                <w:highlight w:val="none"/>
              </w:rPr>
              <w:t>％</w:t>
            </w:r>
          </w:p>
        </w:tc>
        <w:tc>
          <w:tcPr>
            <w:tcW w:w="2773" w:type="dxa"/>
            <w:noWrap w:val="0"/>
            <w:vAlign w:val="center"/>
          </w:tcPr>
          <w:p w14:paraId="1DA94400">
            <w:pPr>
              <w:spacing w:line="360" w:lineRule="auto"/>
              <w:ind w:left="-2" w:leftChars="-1"/>
              <w:jc w:val="center"/>
              <w:rPr>
                <w:rFonts w:eastAsia="仿宋"/>
                <w:color w:val="auto"/>
                <w:highlight w:val="none"/>
              </w:rPr>
            </w:pPr>
            <w:r>
              <w:rPr>
                <w:rFonts w:eastAsia="仿宋"/>
                <w:color w:val="auto"/>
                <w:highlight w:val="none"/>
                <w:lang w:eastAsia="zh-CN"/>
              </w:rPr>
              <w:t>40</w:t>
            </w:r>
            <w:r>
              <w:rPr>
                <w:rFonts w:eastAsia="仿宋"/>
                <w:color w:val="auto"/>
                <w:highlight w:val="none"/>
              </w:rPr>
              <w:t>％</w:t>
            </w:r>
          </w:p>
        </w:tc>
      </w:tr>
      <w:tr w14:paraId="0F40D1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627" w:type="dxa"/>
            <w:noWrap w:val="0"/>
            <w:vAlign w:val="center"/>
          </w:tcPr>
          <w:p w14:paraId="44B0B531">
            <w:pPr>
              <w:spacing w:line="360" w:lineRule="auto"/>
              <w:ind w:left="-2" w:leftChars="-1"/>
              <w:jc w:val="center"/>
              <w:rPr>
                <w:rFonts w:eastAsia="仿宋"/>
                <w:color w:val="auto"/>
                <w:highlight w:val="none"/>
              </w:rPr>
            </w:pPr>
            <w:r>
              <w:rPr>
                <w:rFonts w:eastAsia="仿宋"/>
                <w:color w:val="auto"/>
                <w:highlight w:val="none"/>
              </w:rPr>
              <w:t>40%≤a＜50％</w:t>
            </w:r>
          </w:p>
        </w:tc>
        <w:tc>
          <w:tcPr>
            <w:tcW w:w="2477" w:type="dxa"/>
            <w:noWrap w:val="0"/>
            <w:vAlign w:val="center"/>
          </w:tcPr>
          <w:p w14:paraId="5DF5B8A2">
            <w:pPr>
              <w:spacing w:line="360" w:lineRule="auto"/>
              <w:ind w:left="-2" w:leftChars="-1"/>
              <w:jc w:val="center"/>
              <w:rPr>
                <w:rFonts w:eastAsia="仿宋"/>
                <w:color w:val="auto"/>
                <w:highlight w:val="none"/>
                <w:lang w:eastAsia="zh-CN"/>
              </w:rPr>
            </w:pPr>
            <w:r>
              <w:rPr>
                <w:rFonts w:eastAsia="仿宋"/>
                <w:color w:val="auto"/>
                <w:highlight w:val="none"/>
                <w:lang w:eastAsia="zh-CN"/>
              </w:rPr>
              <w:t>20</w:t>
            </w:r>
            <w:r>
              <w:rPr>
                <w:rFonts w:eastAsia="仿宋"/>
                <w:color w:val="auto"/>
                <w:highlight w:val="none"/>
              </w:rPr>
              <w:t>％</w:t>
            </w:r>
          </w:p>
        </w:tc>
        <w:tc>
          <w:tcPr>
            <w:tcW w:w="2773" w:type="dxa"/>
            <w:noWrap w:val="0"/>
            <w:vAlign w:val="center"/>
          </w:tcPr>
          <w:p w14:paraId="767C1D84">
            <w:pPr>
              <w:spacing w:line="360" w:lineRule="auto"/>
              <w:ind w:left="-2" w:leftChars="-1"/>
              <w:jc w:val="center"/>
              <w:rPr>
                <w:rFonts w:eastAsia="仿宋"/>
                <w:color w:val="auto"/>
                <w:highlight w:val="none"/>
                <w:lang w:eastAsia="zh-CN"/>
              </w:rPr>
            </w:pPr>
            <w:r>
              <w:rPr>
                <w:rFonts w:eastAsia="仿宋"/>
                <w:color w:val="auto"/>
                <w:highlight w:val="none"/>
                <w:lang w:eastAsia="zh-CN"/>
              </w:rPr>
              <w:t>60</w:t>
            </w:r>
            <w:r>
              <w:rPr>
                <w:rFonts w:eastAsia="仿宋"/>
                <w:color w:val="auto"/>
                <w:highlight w:val="none"/>
              </w:rPr>
              <w:t>％</w:t>
            </w:r>
          </w:p>
        </w:tc>
      </w:tr>
      <w:tr w14:paraId="1DA82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627" w:type="dxa"/>
            <w:noWrap w:val="0"/>
            <w:vAlign w:val="center"/>
          </w:tcPr>
          <w:p w14:paraId="4579E56B">
            <w:pPr>
              <w:spacing w:line="360" w:lineRule="auto"/>
              <w:ind w:left="-2" w:leftChars="-1"/>
              <w:jc w:val="center"/>
              <w:rPr>
                <w:rFonts w:eastAsia="仿宋"/>
                <w:color w:val="auto"/>
                <w:highlight w:val="none"/>
              </w:rPr>
            </w:pPr>
            <w:r>
              <w:rPr>
                <w:rFonts w:eastAsia="仿宋"/>
                <w:color w:val="auto"/>
                <w:highlight w:val="none"/>
              </w:rPr>
              <w:t>50%≤a＜60％</w:t>
            </w:r>
          </w:p>
        </w:tc>
        <w:tc>
          <w:tcPr>
            <w:tcW w:w="2477" w:type="dxa"/>
            <w:noWrap w:val="0"/>
            <w:vAlign w:val="center"/>
          </w:tcPr>
          <w:p w14:paraId="6DE1462C">
            <w:pPr>
              <w:spacing w:line="360" w:lineRule="auto"/>
              <w:ind w:left="-2" w:leftChars="-1"/>
              <w:jc w:val="center"/>
              <w:rPr>
                <w:rFonts w:eastAsia="仿宋"/>
                <w:color w:val="auto"/>
                <w:highlight w:val="none"/>
                <w:lang w:eastAsia="zh-CN"/>
              </w:rPr>
            </w:pPr>
            <w:r>
              <w:rPr>
                <w:rFonts w:eastAsia="仿宋"/>
                <w:color w:val="auto"/>
                <w:highlight w:val="none"/>
                <w:lang w:eastAsia="zh-CN"/>
              </w:rPr>
              <w:t>20</w:t>
            </w:r>
            <w:r>
              <w:rPr>
                <w:rFonts w:eastAsia="仿宋"/>
                <w:color w:val="auto"/>
                <w:highlight w:val="none"/>
              </w:rPr>
              <w:t>％</w:t>
            </w:r>
          </w:p>
        </w:tc>
        <w:tc>
          <w:tcPr>
            <w:tcW w:w="2773" w:type="dxa"/>
            <w:noWrap w:val="0"/>
            <w:vAlign w:val="center"/>
          </w:tcPr>
          <w:p w14:paraId="2253F839">
            <w:pPr>
              <w:spacing w:line="360" w:lineRule="auto"/>
              <w:ind w:left="-2" w:leftChars="-1"/>
              <w:jc w:val="center"/>
              <w:rPr>
                <w:rFonts w:eastAsia="仿宋"/>
                <w:color w:val="auto"/>
                <w:highlight w:val="none"/>
                <w:lang w:eastAsia="zh-CN"/>
              </w:rPr>
            </w:pPr>
            <w:r>
              <w:rPr>
                <w:rFonts w:eastAsia="仿宋"/>
                <w:color w:val="auto"/>
                <w:highlight w:val="none"/>
                <w:lang w:eastAsia="zh-CN"/>
              </w:rPr>
              <w:t>8</w:t>
            </w:r>
            <w:r>
              <w:rPr>
                <w:rFonts w:eastAsia="仿宋"/>
                <w:color w:val="auto"/>
                <w:highlight w:val="none"/>
              </w:rPr>
              <w:t>0％</w:t>
            </w:r>
          </w:p>
        </w:tc>
      </w:tr>
      <w:tr w14:paraId="3AC0A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627" w:type="dxa"/>
            <w:noWrap w:val="0"/>
            <w:vAlign w:val="center"/>
          </w:tcPr>
          <w:p w14:paraId="48B030A1">
            <w:pPr>
              <w:spacing w:line="360" w:lineRule="auto"/>
              <w:ind w:left="-2" w:leftChars="-1"/>
              <w:jc w:val="center"/>
              <w:rPr>
                <w:rFonts w:eastAsia="仿宋"/>
                <w:color w:val="auto"/>
                <w:highlight w:val="none"/>
              </w:rPr>
            </w:pPr>
            <w:r>
              <w:rPr>
                <w:rFonts w:eastAsia="仿宋"/>
                <w:color w:val="auto"/>
                <w:highlight w:val="none"/>
                <w:lang w:eastAsia="zh-CN"/>
              </w:rPr>
              <w:t>6</w:t>
            </w:r>
            <w:r>
              <w:rPr>
                <w:rFonts w:eastAsia="仿宋"/>
                <w:color w:val="auto"/>
                <w:highlight w:val="none"/>
              </w:rPr>
              <w:t>0%≤a≤</w:t>
            </w:r>
            <w:r>
              <w:rPr>
                <w:rFonts w:eastAsia="仿宋"/>
                <w:color w:val="auto"/>
                <w:highlight w:val="none"/>
                <w:lang w:eastAsia="zh-CN"/>
              </w:rPr>
              <w:t>7</w:t>
            </w:r>
            <w:r>
              <w:rPr>
                <w:rFonts w:eastAsia="仿宋"/>
                <w:color w:val="auto"/>
                <w:highlight w:val="none"/>
              </w:rPr>
              <w:t>0％</w:t>
            </w:r>
          </w:p>
        </w:tc>
        <w:tc>
          <w:tcPr>
            <w:tcW w:w="2477" w:type="dxa"/>
            <w:noWrap w:val="0"/>
            <w:vAlign w:val="center"/>
          </w:tcPr>
          <w:p w14:paraId="15F5B378">
            <w:pPr>
              <w:spacing w:line="360" w:lineRule="auto"/>
              <w:ind w:left="-2" w:leftChars="-1"/>
              <w:jc w:val="center"/>
              <w:rPr>
                <w:rFonts w:eastAsia="仿宋"/>
                <w:color w:val="auto"/>
                <w:highlight w:val="none"/>
                <w:lang w:eastAsia="zh-CN"/>
              </w:rPr>
            </w:pPr>
            <w:r>
              <w:rPr>
                <w:rFonts w:eastAsia="仿宋"/>
                <w:color w:val="auto"/>
                <w:highlight w:val="none"/>
                <w:lang w:eastAsia="zh-CN"/>
              </w:rPr>
              <w:t>20</w:t>
            </w:r>
            <w:r>
              <w:rPr>
                <w:rFonts w:eastAsia="仿宋"/>
                <w:color w:val="auto"/>
                <w:highlight w:val="none"/>
              </w:rPr>
              <w:t>％</w:t>
            </w:r>
          </w:p>
        </w:tc>
        <w:tc>
          <w:tcPr>
            <w:tcW w:w="2773" w:type="dxa"/>
            <w:noWrap w:val="0"/>
            <w:vAlign w:val="center"/>
          </w:tcPr>
          <w:p w14:paraId="72740034">
            <w:pPr>
              <w:spacing w:line="360" w:lineRule="auto"/>
              <w:ind w:left="-2" w:leftChars="-1"/>
              <w:jc w:val="center"/>
              <w:rPr>
                <w:rFonts w:eastAsia="仿宋"/>
                <w:color w:val="auto"/>
                <w:highlight w:val="none"/>
              </w:rPr>
            </w:pPr>
            <w:r>
              <w:rPr>
                <w:rFonts w:eastAsia="仿宋"/>
                <w:color w:val="auto"/>
                <w:highlight w:val="none"/>
              </w:rPr>
              <w:t>100％</w:t>
            </w:r>
          </w:p>
        </w:tc>
      </w:tr>
    </w:tbl>
    <w:p w14:paraId="22684478">
      <w:pPr>
        <w:rPr>
          <w:rFonts w:hint="eastAsia" w:ascii="仿宋" w:hAnsi="仿宋" w:eastAsia="仿宋"/>
          <w:snapToGrid w:val="0"/>
          <w:color w:val="auto"/>
          <w:highlight w:val="none"/>
          <w:lang w:eastAsia="zh-CN" w:bidi="ar-SA"/>
        </w:rPr>
      </w:pPr>
      <w:bookmarkStart w:id="1916" w:name="_Toc30005"/>
      <w:bookmarkStart w:id="1917" w:name="_Toc13921"/>
      <w:bookmarkStart w:id="1918" w:name="_Toc16370"/>
      <w:bookmarkStart w:id="1919" w:name="_Toc47694443"/>
      <w:bookmarkStart w:id="1920" w:name="_Toc32387"/>
      <w:r>
        <w:rPr>
          <w:rFonts w:hint="eastAsia" w:ascii="仿宋" w:hAnsi="仿宋" w:eastAsia="仿宋"/>
          <w:snapToGrid w:val="0"/>
          <w:color w:val="auto"/>
          <w:highlight w:val="none"/>
          <w:lang w:eastAsia="zh-CN" w:bidi="ar-SA"/>
        </w:rPr>
        <w:t>发包人应在预付款扣完后的14天内将预付款保函退还给承包人。承包人自愿放弃预付款的，不需提交预付款保函。</w:t>
      </w:r>
      <w:bookmarkEnd w:id="1916"/>
      <w:bookmarkEnd w:id="1917"/>
    </w:p>
    <w:p w14:paraId="38406882">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1921" w:name="_Toc30912"/>
      <w:bookmarkStart w:id="1922" w:name="_Toc14501"/>
      <w:bookmarkStart w:id="1923" w:name="_Toc10996"/>
      <w:bookmarkStart w:id="1924" w:name="_Toc30781"/>
      <w:bookmarkStart w:id="1925" w:name="_Toc4934"/>
      <w:r>
        <w:rPr>
          <w:rFonts w:hint="eastAsia" w:ascii="仿宋" w:hAnsi="仿宋" w:eastAsia="仿宋" w:cs="仿宋"/>
          <w:b w:val="0"/>
          <w:bCs w:val="0"/>
          <w:i w:val="0"/>
          <w:iCs w:val="0"/>
          <w:color w:val="auto"/>
          <w:sz w:val="24"/>
          <w:szCs w:val="24"/>
          <w:highlight w:val="none"/>
          <w:lang w:eastAsia="zh-CN"/>
        </w:rPr>
        <w:t xml:space="preserve">★85.  </w:t>
      </w:r>
      <w:bookmarkEnd w:id="1918"/>
      <w:bookmarkEnd w:id="1919"/>
      <w:bookmarkEnd w:id="1920"/>
      <w:bookmarkEnd w:id="1921"/>
      <w:bookmarkEnd w:id="1922"/>
      <w:bookmarkEnd w:id="1923"/>
      <w:bookmarkEnd w:id="1924"/>
      <w:bookmarkEnd w:id="1925"/>
      <w:r>
        <w:rPr>
          <w:rFonts w:hint="eastAsia" w:ascii="仿宋" w:hAnsi="仿宋" w:eastAsia="仿宋" w:cs="仿宋"/>
          <w:b w:val="0"/>
          <w:bCs w:val="0"/>
          <w:i w:val="0"/>
          <w:iCs w:val="0"/>
          <w:color w:val="auto"/>
          <w:sz w:val="24"/>
          <w:szCs w:val="24"/>
          <w:highlight w:val="none"/>
          <w:lang w:val="en-US" w:eastAsia="zh-CN"/>
        </w:rPr>
        <w:t>绿</w:t>
      </w:r>
      <w:r>
        <w:rPr>
          <w:rFonts w:hint="eastAsia" w:ascii="仿宋" w:hAnsi="仿宋" w:eastAsia="仿宋" w:cs="仿宋"/>
          <w:b w:val="0"/>
          <w:bCs w:val="0"/>
          <w:i w:val="0"/>
          <w:iCs w:val="0"/>
          <w:color w:val="auto"/>
          <w:sz w:val="24"/>
          <w:szCs w:val="24"/>
          <w:highlight w:val="none"/>
          <w:lang w:eastAsia="zh-CN"/>
        </w:rPr>
        <w:t>色施工安全防护</w:t>
      </w:r>
      <w:r>
        <w:rPr>
          <w:rFonts w:hint="eastAsia" w:ascii="仿宋" w:hAnsi="仿宋" w:eastAsia="仿宋" w:cs="仿宋"/>
          <w:b w:val="0"/>
          <w:bCs w:val="0"/>
          <w:i w:val="0"/>
          <w:iCs w:val="0"/>
          <w:color w:val="auto"/>
          <w:sz w:val="24"/>
          <w:szCs w:val="24"/>
          <w:highlight w:val="none"/>
          <w:lang w:val="en-US" w:eastAsia="zh-CN"/>
        </w:rPr>
        <w:t>措施</w:t>
      </w:r>
      <w:r>
        <w:rPr>
          <w:rFonts w:hint="eastAsia" w:ascii="仿宋" w:hAnsi="仿宋" w:eastAsia="仿宋" w:cs="仿宋"/>
          <w:b w:val="0"/>
          <w:bCs w:val="0"/>
          <w:i w:val="0"/>
          <w:iCs w:val="0"/>
          <w:color w:val="auto"/>
          <w:sz w:val="24"/>
          <w:szCs w:val="24"/>
          <w:highlight w:val="none"/>
          <w:lang w:eastAsia="zh-CN"/>
        </w:rPr>
        <w:t>费</w:t>
      </w:r>
    </w:p>
    <w:p w14:paraId="3E1B61D4">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85.1 绿色施工安全防护</w:t>
      </w:r>
      <w:r>
        <w:rPr>
          <w:rFonts w:hint="eastAsia" w:ascii="仿宋" w:hAnsi="仿宋" w:eastAsia="仿宋" w:cs="仿宋"/>
          <w:b w:val="0"/>
          <w:bCs w:val="0"/>
          <w:i w:val="0"/>
          <w:iCs w:val="0"/>
          <w:color w:val="auto"/>
          <w:sz w:val="24"/>
          <w:szCs w:val="24"/>
          <w:highlight w:val="none"/>
          <w:lang w:val="en-US" w:eastAsia="zh-CN"/>
        </w:rPr>
        <w:t>措施</w:t>
      </w:r>
      <w:r>
        <w:rPr>
          <w:rFonts w:hint="eastAsia" w:ascii="仿宋" w:hAnsi="仿宋" w:eastAsia="仿宋" w:cs="仿宋"/>
          <w:color w:val="auto"/>
          <w:highlight w:val="none"/>
          <w:lang w:eastAsia="zh-CN"/>
        </w:rPr>
        <w:t>费的内容、范围和金额</w:t>
      </w:r>
    </w:p>
    <w:p w14:paraId="402B5CD2">
      <w:pPr>
        <w:spacing w:line="360" w:lineRule="auto"/>
        <w:ind w:firstLine="720" w:firstLineChars="300"/>
        <w:rPr>
          <w:rFonts w:hint="eastAsia" w:ascii="仿宋" w:hAnsi="仿宋" w:eastAsia="仿宋"/>
          <w:color w:val="auto"/>
          <w:highlight w:val="none"/>
          <w:lang w:eastAsia="zh-CN"/>
        </w:rPr>
      </w:pPr>
      <w:bookmarkStart w:id="1926" w:name="_Toc6285"/>
      <w:r>
        <w:rPr>
          <w:rFonts w:hint="eastAsia" w:ascii="仿宋" w:hAnsi="仿宋" w:eastAsia="仿宋" w:cs="仿宋"/>
          <w:color w:val="auto"/>
          <w:highlight w:val="none"/>
          <w:lang w:eastAsia="zh-CN"/>
        </w:rPr>
        <w:t>①内容和范围</w:t>
      </w:r>
      <w:bookmarkEnd w:id="1926"/>
    </w:p>
    <w:p w14:paraId="7933471A">
      <w:pPr>
        <w:spacing w:line="360" w:lineRule="auto"/>
        <w:ind w:left="480" w:leftChars="200"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按通用条款的约定，以现行省、市有关文件规定为准。</w:t>
      </w:r>
    </w:p>
    <w:p w14:paraId="15653F81">
      <w:pPr>
        <w:spacing w:line="360" w:lineRule="auto"/>
        <w:ind w:left="480" w:leftChars="200"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w:t>
      </w:r>
    </w:p>
    <w:p w14:paraId="53366D88">
      <w:pPr>
        <w:spacing w:line="360" w:lineRule="auto"/>
        <w:ind w:left="480" w:leftChars="2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②绿色施工安全防护</w:t>
      </w:r>
      <w:r>
        <w:rPr>
          <w:rFonts w:hint="eastAsia" w:ascii="仿宋" w:hAnsi="仿宋" w:eastAsia="仿宋" w:cs="仿宋"/>
          <w:b w:val="0"/>
          <w:bCs w:val="0"/>
          <w:i w:val="0"/>
          <w:iCs w:val="0"/>
          <w:color w:val="auto"/>
          <w:sz w:val="24"/>
          <w:szCs w:val="24"/>
          <w:highlight w:val="none"/>
          <w:lang w:val="en-US" w:eastAsia="zh-CN"/>
        </w:rPr>
        <w:t>措施</w:t>
      </w:r>
      <w:r>
        <w:rPr>
          <w:rFonts w:hint="eastAsia" w:ascii="仿宋" w:hAnsi="仿宋" w:eastAsia="仿宋" w:cs="仿宋"/>
          <w:color w:val="auto"/>
          <w:highlight w:val="none"/>
          <w:lang w:eastAsia="zh-CN"/>
        </w:rPr>
        <w:t>费</w:t>
      </w:r>
      <w:r>
        <w:rPr>
          <w:rFonts w:hint="eastAsia" w:ascii="仿宋" w:hAnsi="仿宋" w:eastAsia="仿宋" w:cs="仿宋"/>
          <w:color w:val="auto"/>
          <w:highlight w:val="none"/>
          <w:lang w:val="en-US" w:eastAsia="zh-CN"/>
        </w:rPr>
        <w:t>中</w:t>
      </w:r>
      <w:r>
        <w:rPr>
          <w:rFonts w:hint="eastAsia" w:ascii="仿宋" w:hAnsi="仿宋" w:eastAsia="仿宋" w:cs="仿宋"/>
          <w:color w:val="auto"/>
          <w:highlight w:val="none"/>
          <w:lang w:eastAsia="zh-CN"/>
        </w:rPr>
        <w:t>的</w:t>
      </w:r>
      <w:r>
        <w:rPr>
          <w:rFonts w:hint="eastAsia" w:ascii="仿宋" w:hAnsi="仿宋" w:eastAsia="仿宋" w:cs="仿宋"/>
          <w:color w:val="auto"/>
          <w:highlight w:val="none"/>
          <w:lang w:val="en-US" w:eastAsia="zh-CN"/>
        </w:rPr>
        <w:t>安全生产措施费</w:t>
      </w:r>
      <w:r>
        <w:rPr>
          <w:rFonts w:hint="eastAsia" w:ascii="仿宋" w:hAnsi="仿宋" w:eastAsia="仿宋" w:cs="仿宋"/>
          <w:color w:val="auto"/>
          <w:highlight w:val="none"/>
          <w:lang w:eastAsia="zh-CN"/>
        </w:rPr>
        <w:t>总金额为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元。绿色施工安全防护</w:t>
      </w:r>
      <w:r>
        <w:rPr>
          <w:rFonts w:hint="eastAsia" w:ascii="仿宋" w:hAnsi="仿宋" w:eastAsia="仿宋" w:cs="仿宋"/>
          <w:b w:val="0"/>
          <w:bCs w:val="0"/>
          <w:i w:val="0"/>
          <w:iCs w:val="0"/>
          <w:color w:val="auto"/>
          <w:sz w:val="24"/>
          <w:szCs w:val="24"/>
          <w:highlight w:val="none"/>
          <w:lang w:val="en-US" w:eastAsia="zh-CN"/>
        </w:rPr>
        <w:t>措施</w:t>
      </w:r>
      <w:r>
        <w:rPr>
          <w:rFonts w:hint="eastAsia" w:ascii="仿宋" w:hAnsi="仿宋" w:eastAsia="仿宋" w:cs="仿宋"/>
          <w:color w:val="auto"/>
          <w:highlight w:val="none"/>
          <w:lang w:eastAsia="zh-CN"/>
        </w:rPr>
        <w:t>费</w:t>
      </w:r>
      <w:r>
        <w:rPr>
          <w:rFonts w:hint="eastAsia" w:ascii="仿宋" w:hAnsi="仿宋" w:eastAsia="仿宋" w:cs="仿宋"/>
          <w:color w:val="auto"/>
          <w:highlight w:val="none"/>
          <w:lang w:val="en-US" w:eastAsia="zh-CN"/>
        </w:rPr>
        <w:t>中</w:t>
      </w:r>
      <w:r>
        <w:rPr>
          <w:rFonts w:hint="eastAsia" w:ascii="仿宋" w:hAnsi="仿宋" w:eastAsia="仿宋" w:cs="仿宋"/>
          <w:color w:val="auto"/>
          <w:highlight w:val="none"/>
          <w:lang w:eastAsia="zh-CN"/>
        </w:rPr>
        <w:t>的</w:t>
      </w:r>
      <w:r>
        <w:rPr>
          <w:rFonts w:hint="eastAsia" w:ascii="仿宋" w:hAnsi="仿宋" w:eastAsia="仿宋" w:cs="仿宋"/>
          <w:color w:val="auto"/>
          <w:highlight w:val="none"/>
          <w:lang w:val="en-US" w:eastAsia="zh-CN"/>
        </w:rPr>
        <w:t>安全生产措施费的</w:t>
      </w:r>
      <w:r>
        <w:rPr>
          <w:rFonts w:hint="eastAsia" w:ascii="仿宋" w:hAnsi="仿宋" w:eastAsia="仿宋" w:cs="仿宋"/>
          <w:color w:val="auto"/>
          <w:highlight w:val="none"/>
          <w:lang w:eastAsia="zh-CN"/>
        </w:rPr>
        <w:t>总金额，概预算未经建设单位确认前，暂按合同施工总价的</w:t>
      </w:r>
      <w:r>
        <w:rPr>
          <w:rFonts w:hint="eastAsia" w:ascii="仿宋" w:hAnsi="仿宋" w:eastAsia="仿宋" w:cs="仿宋"/>
          <w:color w:val="auto"/>
          <w:highlight w:val="none"/>
          <w:u w:val="single"/>
          <w:lang w:eastAsia="zh-CN"/>
        </w:rPr>
        <w:t>3</w:t>
      </w:r>
      <w:r>
        <w:rPr>
          <w:rFonts w:hint="eastAsia" w:ascii="仿宋" w:hAnsi="仿宋" w:eastAsia="仿宋" w:cs="仿宋"/>
          <w:color w:val="auto"/>
          <w:highlight w:val="none"/>
          <w:u w:val="single"/>
          <w:lang w:val="en-US" w:eastAsia="zh-CN"/>
        </w:rPr>
        <w:t>.0</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%计取。最终按本合同约定的计价方式签订本合同补充协议中的绿色施工安全防护</w:t>
      </w:r>
      <w:r>
        <w:rPr>
          <w:rFonts w:hint="eastAsia" w:ascii="仿宋" w:hAnsi="仿宋" w:eastAsia="仿宋" w:cs="仿宋"/>
          <w:color w:val="auto"/>
          <w:highlight w:val="none"/>
          <w:lang w:val="en-US" w:eastAsia="zh-CN"/>
        </w:rPr>
        <w:t>措施</w:t>
      </w:r>
      <w:r>
        <w:rPr>
          <w:rFonts w:hint="eastAsia" w:ascii="仿宋" w:hAnsi="仿宋" w:eastAsia="仿宋" w:cs="仿宋"/>
          <w:color w:val="auto"/>
          <w:highlight w:val="none"/>
          <w:lang w:eastAsia="zh-CN"/>
        </w:rPr>
        <w:t>费</w:t>
      </w:r>
      <w:r>
        <w:rPr>
          <w:rFonts w:hint="eastAsia" w:ascii="仿宋" w:hAnsi="仿宋" w:eastAsia="仿宋" w:cs="仿宋"/>
          <w:color w:val="auto"/>
          <w:highlight w:val="none"/>
          <w:lang w:val="en-US" w:eastAsia="zh-CN"/>
        </w:rPr>
        <w:t>中的安全生产措施费</w:t>
      </w:r>
      <w:r>
        <w:rPr>
          <w:rFonts w:hint="eastAsia" w:ascii="仿宋" w:hAnsi="仿宋" w:eastAsia="仿宋" w:cs="仿宋"/>
          <w:color w:val="auto"/>
          <w:highlight w:val="none"/>
          <w:lang w:eastAsia="zh-CN"/>
        </w:rPr>
        <w:t>为准。</w:t>
      </w:r>
    </w:p>
    <w:p w14:paraId="7519BA2D">
      <w:pPr>
        <w:spacing w:line="360" w:lineRule="auto"/>
        <w:ind w:left="480" w:left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85.2 支付申请的提交与核实</w:t>
      </w:r>
    </w:p>
    <w:p w14:paraId="4509642C">
      <w:pPr>
        <w:spacing w:line="360" w:lineRule="auto"/>
        <w:ind w:left="480" w:leftChars="2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按通用条款的约定。</w:t>
      </w:r>
    </w:p>
    <w:p w14:paraId="1E2526C4">
      <w:pPr>
        <w:spacing w:line="360" w:lineRule="auto"/>
        <w:ind w:left="480" w:leftChars="200"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                                              </w:t>
      </w:r>
    </w:p>
    <w:p w14:paraId="08AF172E">
      <w:pPr>
        <w:spacing w:line="360" w:lineRule="auto"/>
        <w:ind w:left="480" w:left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85.3 费用支付</w:t>
      </w:r>
    </w:p>
    <w:p w14:paraId="2B09331E">
      <w:pPr>
        <w:spacing w:line="360" w:lineRule="auto"/>
        <w:ind w:left="480" w:left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绿色施工安全防护</w:t>
      </w:r>
      <w:r>
        <w:rPr>
          <w:rFonts w:hint="eastAsia" w:ascii="仿宋" w:hAnsi="仿宋" w:eastAsia="仿宋" w:cs="仿宋"/>
          <w:color w:val="auto"/>
          <w:highlight w:val="none"/>
          <w:lang w:val="en-US" w:eastAsia="zh-CN"/>
        </w:rPr>
        <w:t>措施</w:t>
      </w:r>
      <w:r>
        <w:rPr>
          <w:rFonts w:hint="eastAsia" w:ascii="仿宋" w:hAnsi="仿宋" w:eastAsia="仿宋" w:cs="仿宋"/>
          <w:color w:val="auto"/>
          <w:highlight w:val="none"/>
          <w:lang w:eastAsia="zh-CN"/>
        </w:rPr>
        <w:t>费的支付办法和抵扣方式：</w:t>
      </w:r>
    </w:p>
    <w:p w14:paraId="227DD587">
      <w:pPr>
        <w:spacing w:line="360" w:lineRule="auto"/>
        <w:ind w:left="480" w:leftChars="200"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w:t>
      </w:r>
    </w:p>
    <w:p w14:paraId="15A1C182">
      <w:pPr>
        <w:spacing w:line="360" w:lineRule="auto"/>
        <w:ind w:left="480" w:leftChars="200"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p>
    <w:p w14:paraId="7BFBA4D2">
      <w:pPr>
        <w:spacing w:line="360" w:lineRule="auto"/>
        <w:ind w:firstLine="480"/>
        <w:rPr>
          <w:rFonts w:hint="eastAsia" w:ascii="仿宋" w:hAnsi="仿宋" w:eastAsia="仿宋" w:cs="Times New Roman"/>
          <w:color w:val="auto"/>
          <w:sz w:val="24"/>
          <w:szCs w:val="24"/>
          <w:highlight w:val="none"/>
          <w:lang w:eastAsia="zh-CN" w:bidi="en-US"/>
        </w:rPr>
      </w:pPr>
      <w:r>
        <w:rPr>
          <w:rFonts w:hint="eastAsia" w:ascii="仿宋" w:hAnsi="仿宋" w:eastAsia="仿宋" w:cs="Times New Roman"/>
          <w:color w:val="auto"/>
          <w:sz w:val="24"/>
          <w:szCs w:val="24"/>
          <w:highlight w:val="none"/>
          <w:lang w:eastAsia="zh-CN" w:bidi="en-US"/>
        </w:rPr>
        <w:t>（</w:t>
      </w:r>
      <w:r>
        <w:rPr>
          <w:rFonts w:hint="eastAsia" w:ascii="仿宋" w:hAnsi="仿宋" w:eastAsia="仿宋" w:cs="Times New Roman"/>
          <w:color w:val="auto"/>
          <w:sz w:val="24"/>
          <w:szCs w:val="24"/>
          <w:highlight w:val="none"/>
          <w:lang w:val="en-US" w:eastAsia="zh-CN" w:bidi="en-US"/>
        </w:rPr>
        <w:t>1</w:t>
      </w:r>
      <w:r>
        <w:rPr>
          <w:rFonts w:hint="eastAsia" w:ascii="仿宋" w:hAnsi="仿宋" w:eastAsia="仿宋" w:cs="Times New Roman"/>
          <w:color w:val="auto"/>
          <w:sz w:val="24"/>
          <w:szCs w:val="24"/>
          <w:highlight w:val="none"/>
          <w:lang w:eastAsia="zh-CN" w:bidi="en-US"/>
        </w:rPr>
        <w:t>）绿色施工安全防护</w:t>
      </w:r>
      <w:r>
        <w:rPr>
          <w:rFonts w:hint="eastAsia" w:ascii="仿宋" w:hAnsi="仿宋" w:eastAsia="仿宋" w:cs="Times New Roman"/>
          <w:color w:val="auto"/>
          <w:sz w:val="24"/>
          <w:szCs w:val="24"/>
          <w:highlight w:val="none"/>
          <w:lang w:val="en-US" w:eastAsia="zh-CN" w:bidi="en-US"/>
        </w:rPr>
        <w:t>措施</w:t>
      </w:r>
      <w:r>
        <w:rPr>
          <w:rFonts w:hint="eastAsia" w:ascii="仿宋" w:hAnsi="仿宋" w:eastAsia="仿宋" w:cs="Times New Roman"/>
          <w:color w:val="auto"/>
          <w:sz w:val="24"/>
          <w:szCs w:val="24"/>
          <w:highlight w:val="none"/>
          <w:lang w:eastAsia="zh-CN" w:bidi="en-US"/>
        </w:rPr>
        <w:t>费</w:t>
      </w:r>
      <w:r>
        <w:rPr>
          <w:rFonts w:hint="eastAsia" w:ascii="仿宋" w:hAnsi="仿宋" w:eastAsia="仿宋" w:cs="Times New Roman"/>
          <w:color w:val="auto"/>
          <w:sz w:val="24"/>
          <w:szCs w:val="24"/>
          <w:highlight w:val="none"/>
          <w:lang w:val="en-US" w:eastAsia="zh-CN" w:bidi="en-US"/>
        </w:rPr>
        <w:t>中的安全生产措施费</w:t>
      </w:r>
      <w:r>
        <w:rPr>
          <w:rFonts w:hint="eastAsia" w:ascii="仿宋" w:hAnsi="仿宋" w:eastAsia="仿宋" w:cs="Times New Roman"/>
          <w:color w:val="auto"/>
          <w:sz w:val="24"/>
          <w:szCs w:val="24"/>
          <w:highlight w:val="none"/>
          <w:lang w:eastAsia="zh-CN" w:bidi="en-US"/>
        </w:rPr>
        <w:t>支付办法：</w:t>
      </w:r>
    </w:p>
    <w:p w14:paraId="4A92D9D2">
      <w:pPr>
        <w:spacing w:line="360" w:lineRule="auto"/>
        <w:ind w:left="199" w:leftChars="83"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安全生产措施费</w:t>
      </w:r>
      <w:r>
        <w:rPr>
          <w:rFonts w:hint="eastAsia" w:ascii="仿宋" w:hAnsi="仿宋" w:eastAsia="仿宋"/>
          <w:color w:val="auto"/>
          <w:highlight w:val="none"/>
          <w:lang w:eastAsia="zh-CN"/>
        </w:rPr>
        <w:t>的支付乙方应按照甲方安全文明措施费管理办法执行。根据项目建设分期施工对应办理安全文明施工费支付，各期支付约定为：</w:t>
      </w:r>
    </w:p>
    <w:p w14:paraId="592D96FA">
      <w:pPr>
        <w:spacing w:line="360" w:lineRule="auto"/>
        <w:ind w:firstLine="480" w:firstLineChars="200"/>
        <w:rPr>
          <w:rFonts w:hint="eastAsia" w:ascii="仿宋" w:hAnsi="仿宋" w:eastAsia="仿宋"/>
          <w:color w:val="auto"/>
          <w:highlight w:val="none"/>
          <w:lang w:eastAsia="zh-CN"/>
        </w:rPr>
      </w:pPr>
      <w:r>
        <w:rPr>
          <w:rFonts w:hint="eastAsia" w:ascii="宋体" w:hAnsi="Calibri" w:eastAsia="宋体" w:cs="宋体"/>
          <w:color w:val="auto"/>
          <w:highlight w:val="none"/>
          <w:lang w:eastAsia="zh-CN"/>
        </w:rPr>
        <w:t>①</w:t>
      </w:r>
      <w:r>
        <w:rPr>
          <w:rFonts w:hint="eastAsia" w:ascii="仿宋" w:hAnsi="仿宋" w:eastAsia="仿宋"/>
          <w:color w:val="auto"/>
          <w:highlight w:val="none"/>
          <w:lang w:eastAsia="zh-CN"/>
        </w:rPr>
        <w:t>工程具备开工条件，乙方提供已购买单位安全生产责任保险凭证和意外伤害保险凭证的，支付工程</w:t>
      </w:r>
      <w:r>
        <w:rPr>
          <w:rFonts w:hint="eastAsia" w:ascii="仿宋" w:hAnsi="仿宋" w:eastAsia="仿宋"/>
          <w:color w:val="auto"/>
          <w:highlight w:val="none"/>
          <w:lang w:val="en-US" w:eastAsia="zh-CN"/>
        </w:rPr>
        <w:t>安全生产措施费</w:t>
      </w:r>
      <w:r>
        <w:rPr>
          <w:rFonts w:hint="eastAsia" w:ascii="仿宋" w:hAnsi="仿宋" w:eastAsia="仿宋"/>
          <w:color w:val="auto"/>
          <w:highlight w:val="none"/>
          <w:lang w:eastAsia="zh-CN"/>
        </w:rPr>
        <w:t>的50%；乙方未购买单位安全生产责任保险的，支付</w:t>
      </w:r>
      <w:r>
        <w:rPr>
          <w:rFonts w:hint="eastAsia" w:ascii="仿宋" w:hAnsi="仿宋" w:eastAsia="仿宋"/>
          <w:color w:val="auto"/>
          <w:highlight w:val="none"/>
          <w:lang w:val="en-US" w:eastAsia="zh-CN"/>
        </w:rPr>
        <w:t>安全生产措施费</w:t>
      </w:r>
      <w:r>
        <w:rPr>
          <w:rFonts w:hint="eastAsia" w:ascii="仿宋" w:hAnsi="仿宋" w:eastAsia="仿宋"/>
          <w:color w:val="auto"/>
          <w:highlight w:val="none"/>
          <w:lang w:eastAsia="zh-CN"/>
        </w:rPr>
        <w:t>的30%，另20%在乙方购买单位安全生产责任保险后办理支付，在此期间乙方仍应承担全部的安全文明施工法律责任。</w:t>
      </w:r>
    </w:p>
    <w:p w14:paraId="4F9A7679">
      <w:pPr>
        <w:spacing w:line="360" w:lineRule="auto"/>
        <w:ind w:firstLine="480" w:firstLineChars="200"/>
        <w:rPr>
          <w:rFonts w:hint="eastAsia" w:ascii="仿宋" w:hAnsi="仿宋" w:eastAsia="仿宋"/>
          <w:color w:val="auto"/>
          <w:highlight w:val="none"/>
          <w:lang w:eastAsia="zh-CN"/>
        </w:rPr>
      </w:pPr>
      <w:r>
        <w:rPr>
          <w:rFonts w:hint="eastAsia" w:ascii="宋体" w:hAnsi="Calibri" w:eastAsia="宋体" w:cs="宋体"/>
          <w:color w:val="auto"/>
          <w:highlight w:val="none"/>
          <w:lang w:eastAsia="zh-CN"/>
        </w:rPr>
        <w:t>②</w:t>
      </w:r>
      <w:r>
        <w:rPr>
          <w:rFonts w:hint="eastAsia" w:ascii="仿宋" w:hAnsi="仿宋" w:eastAsia="仿宋"/>
          <w:color w:val="auto"/>
          <w:highlight w:val="none"/>
          <w:lang w:eastAsia="zh-CN"/>
        </w:rPr>
        <w:t>施工产值达到50%，支付</w:t>
      </w:r>
      <w:r>
        <w:rPr>
          <w:rFonts w:hint="eastAsia" w:ascii="仿宋" w:hAnsi="仿宋" w:eastAsia="仿宋"/>
          <w:color w:val="auto"/>
          <w:highlight w:val="none"/>
          <w:lang w:val="en-US" w:eastAsia="zh-CN"/>
        </w:rPr>
        <w:t>安全生产措施费</w:t>
      </w:r>
      <w:r>
        <w:rPr>
          <w:rFonts w:hint="eastAsia" w:ascii="仿宋" w:hAnsi="仿宋" w:eastAsia="仿宋"/>
          <w:color w:val="auto"/>
          <w:highlight w:val="none"/>
          <w:lang w:eastAsia="zh-CN"/>
        </w:rPr>
        <w:t>的30%；</w:t>
      </w:r>
    </w:p>
    <w:p w14:paraId="73AC5FD8">
      <w:pPr>
        <w:spacing w:line="360" w:lineRule="auto"/>
        <w:ind w:firstLine="480" w:firstLineChars="200"/>
        <w:rPr>
          <w:rFonts w:hint="eastAsia" w:ascii="仿宋" w:hAnsi="仿宋" w:eastAsia="仿宋"/>
          <w:color w:val="auto"/>
          <w:highlight w:val="none"/>
          <w:lang w:eastAsia="zh-CN"/>
        </w:rPr>
      </w:pPr>
      <w:r>
        <w:rPr>
          <w:rFonts w:hint="eastAsia" w:ascii="宋体" w:hAnsi="Calibri" w:eastAsia="宋体" w:cs="宋体"/>
          <w:color w:val="auto"/>
          <w:highlight w:val="none"/>
          <w:lang w:eastAsia="zh-CN"/>
        </w:rPr>
        <w:t>③</w:t>
      </w:r>
      <w:r>
        <w:rPr>
          <w:rFonts w:hint="eastAsia" w:ascii="仿宋" w:hAnsi="仿宋" w:eastAsia="仿宋"/>
          <w:color w:val="auto"/>
          <w:highlight w:val="none"/>
          <w:lang w:eastAsia="zh-CN"/>
        </w:rPr>
        <w:t>预算未经建设单位确认前已支付</w:t>
      </w:r>
      <w:r>
        <w:rPr>
          <w:rFonts w:hint="eastAsia" w:ascii="仿宋" w:hAnsi="仿宋" w:eastAsia="仿宋"/>
          <w:color w:val="auto"/>
          <w:highlight w:val="none"/>
          <w:lang w:val="en-US" w:eastAsia="zh-CN"/>
        </w:rPr>
        <w:t>安全生产措施费</w:t>
      </w:r>
      <w:r>
        <w:rPr>
          <w:rFonts w:hint="eastAsia" w:ascii="仿宋" w:hAnsi="仿宋" w:eastAsia="仿宋"/>
          <w:color w:val="auto"/>
          <w:highlight w:val="none"/>
          <w:lang w:eastAsia="zh-CN"/>
        </w:rPr>
        <w:t>的，预算确认后在下一期请款中相应调整对应节点的</w:t>
      </w:r>
      <w:r>
        <w:rPr>
          <w:rFonts w:hint="eastAsia" w:ascii="仿宋" w:hAnsi="仿宋" w:eastAsia="仿宋"/>
          <w:color w:val="auto"/>
          <w:highlight w:val="none"/>
          <w:lang w:val="en-US" w:eastAsia="zh-CN"/>
        </w:rPr>
        <w:t>安全生产措施费</w:t>
      </w:r>
      <w:r>
        <w:rPr>
          <w:rFonts w:hint="eastAsia" w:ascii="仿宋" w:hAnsi="仿宋" w:eastAsia="仿宋"/>
          <w:color w:val="auto"/>
          <w:highlight w:val="none"/>
          <w:lang w:eastAsia="zh-CN"/>
        </w:rPr>
        <w:t>，总付款比例不超过90%，待取得建设部门颁布的安全评定结果告知书后支付至100%。</w:t>
      </w:r>
    </w:p>
    <w:p w14:paraId="4ABB07B2">
      <w:pPr>
        <w:spacing w:line="360" w:lineRule="auto"/>
        <w:ind w:firstLine="480" w:firstLineChars="200"/>
        <w:rPr>
          <w:rFonts w:ascii="仿宋" w:hAnsi="仿宋" w:eastAsia="仿宋"/>
          <w:color w:val="auto"/>
          <w:highlight w:val="none"/>
          <w:lang w:eastAsia="zh-CN"/>
        </w:rPr>
      </w:pPr>
      <w:r>
        <w:rPr>
          <w:rFonts w:hint="eastAsia" w:ascii="宋体" w:hAnsi="Calibri" w:eastAsia="宋体" w:cs="宋体"/>
          <w:color w:val="auto"/>
          <w:highlight w:val="none"/>
          <w:lang w:eastAsia="zh-CN"/>
        </w:rPr>
        <w:t>④</w:t>
      </w:r>
      <w:r>
        <w:rPr>
          <w:rFonts w:ascii="仿宋" w:hAnsi="仿宋" w:eastAsia="仿宋"/>
          <w:color w:val="auto"/>
          <w:highlight w:val="none"/>
          <w:lang w:eastAsia="zh-CN"/>
        </w:rPr>
        <w:t>若承包人未专款专用</w:t>
      </w:r>
      <w:r>
        <w:rPr>
          <w:rFonts w:hint="eastAsia" w:ascii="仿宋" w:hAnsi="仿宋" w:eastAsia="仿宋"/>
          <w:color w:val="auto"/>
          <w:highlight w:val="none"/>
          <w:lang w:val="en-US" w:eastAsia="zh-CN"/>
        </w:rPr>
        <w:t>安全生产措施费</w:t>
      </w:r>
      <w:r>
        <w:rPr>
          <w:rFonts w:ascii="仿宋" w:hAnsi="仿宋" w:eastAsia="仿宋"/>
          <w:color w:val="auto"/>
          <w:highlight w:val="none"/>
          <w:lang w:eastAsia="zh-CN"/>
        </w:rPr>
        <w:t>，经查证实，应承担严重违约责任一次。</w:t>
      </w:r>
    </w:p>
    <w:p w14:paraId="347E9393">
      <w:pPr>
        <w:spacing w:line="360" w:lineRule="auto"/>
        <w:ind w:firstLine="480" w:firstLineChars="200"/>
        <w:rPr>
          <w:rFonts w:ascii="仿宋" w:hAnsi="仿宋" w:eastAsia="仿宋"/>
          <w:color w:val="auto"/>
          <w:highlight w:val="none"/>
          <w:lang w:eastAsia="zh-CN"/>
        </w:rPr>
      </w:pPr>
      <w:r>
        <w:rPr>
          <w:rFonts w:hint="eastAsia" w:ascii="宋体" w:hAnsi="Calibri" w:eastAsia="宋体" w:cs="宋体"/>
          <w:color w:val="auto"/>
          <w:highlight w:val="none"/>
          <w:lang w:eastAsia="zh-CN"/>
        </w:rPr>
        <w:t>⑤</w:t>
      </w:r>
      <w:r>
        <w:rPr>
          <w:rFonts w:hint="eastAsia" w:ascii="仿宋" w:hAnsi="仿宋" w:eastAsia="仿宋"/>
          <w:color w:val="auto"/>
          <w:highlight w:val="none"/>
          <w:lang w:eastAsia="zh-CN"/>
        </w:rPr>
        <w:t>对于承包人</w:t>
      </w:r>
      <w:r>
        <w:rPr>
          <w:rFonts w:hint="eastAsia" w:ascii="仿宋" w:hAnsi="仿宋" w:eastAsia="仿宋"/>
          <w:color w:val="auto"/>
          <w:highlight w:val="none"/>
          <w:lang w:val="en-US" w:eastAsia="zh-CN"/>
        </w:rPr>
        <w:t>安全生产措施</w:t>
      </w:r>
      <w:r>
        <w:rPr>
          <w:rFonts w:hint="eastAsia" w:ascii="仿宋" w:hAnsi="仿宋" w:eastAsia="仿宋"/>
          <w:color w:val="auto"/>
          <w:highlight w:val="none"/>
          <w:lang w:eastAsia="zh-CN"/>
        </w:rPr>
        <w:t>防护不到位的情况，发包人有权扣减其</w:t>
      </w:r>
      <w:r>
        <w:rPr>
          <w:rFonts w:hint="eastAsia" w:ascii="仿宋" w:hAnsi="仿宋" w:eastAsia="仿宋"/>
          <w:color w:val="auto"/>
          <w:highlight w:val="none"/>
          <w:lang w:val="en-US" w:eastAsia="zh-CN"/>
        </w:rPr>
        <w:t>安全生产措施费</w:t>
      </w:r>
      <w:r>
        <w:rPr>
          <w:rFonts w:hint="eastAsia" w:ascii="仿宋" w:hAnsi="仿宋" w:eastAsia="仿宋"/>
          <w:color w:val="auto"/>
          <w:highlight w:val="none"/>
          <w:lang w:eastAsia="zh-CN"/>
        </w:rPr>
        <w:t>用，或由监理人委托他人实施，费用从承包人</w:t>
      </w:r>
      <w:r>
        <w:rPr>
          <w:rFonts w:hint="eastAsia" w:ascii="仿宋" w:hAnsi="仿宋" w:eastAsia="仿宋"/>
          <w:color w:val="auto"/>
          <w:highlight w:val="none"/>
          <w:lang w:val="en-US" w:eastAsia="zh-CN"/>
        </w:rPr>
        <w:t>安全生产措施费</w:t>
      </w:r>
      <w:r>
        <w:rPr>
          <w:rFonts w:hint="eastAsia" w:ascii="仿宋" w:hAnsi="仿宋" w:eastAsia="仿宋"/>
          <w:color w:val="auto"/>
          <w:highlight w:val="none"/>
          <w:lang w:eastAsia="zh-CN"/>
        </w:rPr>
        <w:t>用中扣除。</w:t>
      </w:r>
    </w:p>
    <w:p w14:paraId="35D869C9">
      <w:pPr>
        <w:spacing w:line="360" w:lineRule="auto"/>
        <w:ind w:left="0" w:leftChars="0" w:firstLine="480" w:firstLineChars="200"/>
        <w:rPr>
          <w:rFonts w:hint="default" w:ascii="仿宋" w:hAnsi="仿宋" w:eastAsia="仿宋" w:cs="Times New Roman"/>
          <w:color w:val="auto"/>
          <w:highlight w:val="none"/>
          <w:u w:val="none"/>
          <w:lang w:eastAsia="zh-CN"/>
        </w:rPr>
      </w:pPr>
      <w:r>
        <w:rPr>
          <w:rFonts w:hint="default" w:ascii="仿宋" w:hAnsi="仿宋" w:eastAsia="仿宋" w:cs="Times New Roman"/>
          <w:color w:val="auto"/>
          <w:highlight w:val="none"/>
          <w:lang w:eastAsia="zh-CN"/>
        </w:rPr>
        <w:t>⑥</w:t>
      </w:r>
      <w:r>
        <w:rPr>
          <w:rFonts w:hint="default" w:ascii="仿宋" w:hAnsi="仿宋" w:eastAsia="仿宋" w:cs="Times New Roman"/>
          <w:color w:val="auto"/>
          <w:highlight w:val="none"/>
          <w:u w:val="none"/>
          <w:lang w:eastAsia="zh-CN"/>
        </w:rPr>
        <w:t>安全生产措施费实行单列支付、专款专用。承包人应在财务账目中单独列项备查，不得挪作他用，否则发包人有权责令其限期改正；逾期未改正的，可以责令其暂停施工，由此增加的费用和（或）延误的工期由承包人承担。</w:t>
      </w:r>
    </w:p>
    <w:p w14:paraId="7F2201C6">
      <w:pPr>
        <w:spacing w:line="360" w:lineRule="auto"/>
        <w:ind w:firstLine="480"/>
        <w:rPr>
          <w:rFonts w:hint="eastAsia" w:ascii="仿宋" w:hAnsi="仿宋" w:eastAsia="仿宋" w:cs="Times New Roman"/>
          <w:color w:val="auto"/>
          <w:highlight w:val="none"/>
          <w:lang w:eastAsia="zh-CN"/>
        </w:rPr>
      </w:pPr>
      <w:r>
        <w:rPr>
          <w:rFonts w:hint="eastAsia" w:ascii="仿宋" w:hAnsi="仿宋" w:eastAsia="仿宋" w:cs="Times New Roman"/>
          <w:color w:val="auto"/>
          <w:sz w:val="24"/>
          <w:szCs w:val="24"/>
          <w:highlight w:val="none"/>
          <w:lang w:eastAsia="zh-CN" w:bidi="en-US"/>
        </w:rPr>
        <w:t>（</w:t>
      </w:r>
      <w:r>
        <w:rPr>
          <w:rFonts w:hint="eastAsia" w:ascii="仿宋" w:hAnsi="仿宋" w:eastAsia="仿宋" w:cs="Times New Roman"/>
          <w:color w:val="auto"/>
          <w:sz w:val="24"/>
          <w:szCs w:val="24"/>
          <w:highlight w:val="none"/>
          <w:lang w:val="en-US" w:eastAsia="zh-CN" w:bidi="en-US"/>
        </w:rPr>
        <w:t>2</w:t>
      </w:r>
      <w:r>
        <w:rPr>
          <w:rFonts w:hint="eastAsia" w:ascii="仿宋" w:hAnsi="仿宋" w:eastAsia="仿宋" w:cs="Times New Roman"/>
          <w:color w:val="auto"/>
          <w:sz w:val="24"/>
          <w:szCs w:val="24"/>
          <w:highlight w:val="none"/>
          <w:lang w:eastAsia="zh-CN" w:bidi="en-US"/>
        </w:rPr>
        <w:t>）</w:t>
      </w:r>
      <w:r>
        <w:rPr>
          <w:rFonts w:hint="eastAsia" w:ascii="仿宋" w:hAnsi="仿宋" w:eastAsia="仿宋" w:cs="Times New Roman"/>
          <w:color w:val="auto"/>
          <w:highlight w:val="none"/>
          <w:u w:val="none"/>
          <w:lang w:eastAsia="zh-CN"/>
        </w:rPr>
        <w:t>绿色施工安全防护</w:t>
      </w:r>
      <w:r>
        <w:rPr>
          <w:rFonts w:hint="eastAsia" w:ascii="仿宋" w:hAnsi="仿宋" w:eastAsia="仿宋" w:cs="Times New Roman"/>
          <w:color w:val="auto"/>
          <w:highlight w:val="none"/>
          <w:u w:val="none"/>
          <w:lang w:val="en-US" w:eastAsia="zh-CN"/>
        </w:rPr>
        <w:t>措施</w:t>
      </w:r>
      <w:r>
        <w:rPr>
          <w:rFonts w:hint="eastAsia" w:ascii="仿宋" w:hAnsi="仿宋" w:eastAsia="仿宋" w:cs="Times New Roman"/>
          <w:color w:val="auto"/>
          <w:highlight w:val="none"/>
          <w:u w:val="none"/>
          <w:lang w:eastAsia="zh-CN"/>
        </w:rPr>
        <w:t>费</w:t>
      </w:r>
      <w:r>
        <w:rPr>
          <w:rFonts w:hint="eastAsia" w:ascii="仿宋" w:hAnsi="仿宋" w:eastAsia="仿宋" w:cs="Times New Roman"/>
          <w:color w:val="auto"/>
          <w:highlight w:val="none"/>
          <w:u w:val="none"/>
          <w:lang w:val="en-US" w:eastAsia="zh-CN"/>
        </w:rPr>
        <w:t>中的文明施工措施费、环境保护措施费、临时设施措施费</w:t>
      </w:r>
      <w:r>
        <w:rPr>
          <w:rFonts w:hint="eastAsia" w:ascii="仿宋" w:hAnsi="仿宋" w:eastAsia="仿宋" w:cs="Times New Roman"/>
          <w:color w:val="auto"/>
          <w:highlight w:val="none"/>
          <w:lang w:eastAsia="zh-CN"/>
        </w:rPr>
        <w:t>支付办法：</w:t>
      </w:r>
      <w:r>
        <w:rPr>
          <w:rFonts w:hint="eastAsia" w:ascii="仿宋" w:hAnsi="仿宋" w:eastAsia="仿宋" w:cs="Times New Roman"/>
          <w:color w:val="auto"/>
          <w:highlight w:val="none"/>
          <w:u w:val="none"/>
          <w:lang w:val="en-US" w:eastAsia="zh-CN"/>
        </w:rPr>
        <w:t>按进度预算计算出的相应费用与进度款同期支付。</w:t>
      </w:r>
    </w:p>
    <w:p w14:paraId="7334BDF4">
      <w:pPr>
        <w:spacing w:line="360" w:lineRule="auto"/>
        <w:ind w:left="480" w:leftChars="200"/>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85.6 文明工地增加费</w:t>
      </w:r>
    </w:p>
    <w:p w14:paraId="5E581A96">
      <w:pPr>
        <w:spacing w:line="360" w:lineRule="auto"/>
        <w:ind w:left="480" w:left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文明工地增加费的计算额度：</w:t>
      </w:r>
    </w:p>
    <w:p w14:paraId="4FEDC832">
      <w:pPr>
        <w:spacing w:line="360" w:lineRule="auto"/>
        <w:ind w:left="480" w:leftChars="200"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按通用条款约定计算。</w:t>
      </w:r>
    </w:p>
    <w:p w14:paraId="2A53944D">
      <w:pPr>
        <w:spacing w:line="360" w:lineRule="auto"/>
        <w:ind w:firstLine="849" w:firstLineChars="354"/>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olor w:val="auto"/>
          <w:highlight w:val="none"/>
          <w:u w:val="single"/>
          <w:lang w:eastAsia="zh-CN"/>
        </w:rPr>
        <w:t>确保取得市级安全文明绿色施工样板工地、争创省级安全文明示范工地，前述工作</w:t>
      </w:r>
      <w:r>
        <w:rPr>
          <w:rFonts w:hint="eastAsia" w:ascii="仿宋" w:hAnsi="仿宋" w:eastAsia="仿宋" w:cs="仿宋"/>
          <w:color w:val="auto"/>
          <w:highlight w:val="none"/>
          <w:u w:val="single"/>
          <w:lang w:eastAsia="zh-CN"/>
        </w:rPr>
        <w:t>不额外增加费用。</w:t>
      </w:r>
    </w:p>
    <w:p w14:paraId="213290D8">
      <w:pPr>
        <w:spacing w:line="360" w:lineRule="auto"/>
        <w:ind w:firstLine="600" w:firstLineChars="250"/>
        <w:rPr>
          <w:rFonts w:ascii="仿宋" w:hAnsi="仿宋" w:eastAsia="仿宋"/>
          <w:color w:val="auto"/>
          <w:highlight w:val="none"/>
          <w:lang w:eastAsia="zh-CN"/>
        </w:rPr>
      </w:pPr>
      <w:r>
        <w:rPr>
          <w:rFonts w:ascii="仿宋" w:hAnsi="仿宋" w:eastAsia="仿宋"/>
          <w:color w:val="auto"/>
          <w:highlight w:val="none"/>
          <w:lang w:eastAsia="zh-CN"/>
        </w:rPr>
        <w:t>8</w:t>
      </w:r>
      <w:r>
        <w:rPr>
          <w:rFonts w:hint="eastAsia" w:ascii="仿宋" w:hAnsi="仿宋" w:eastAsia="仿宋"/>
          <w:color w:val="auto"/>
          <w:highlight w:val="none"/>
          <w:lang w:eastAsia="zh-CN"/>
        </w:rPr>
        <w:t>5</w:t>
      </w:r>
      <w:r>
        <w:rPr>
          <w:rFonts w:ascii="仿宋" w:hAnsi="仿宋" w:eastAsia="仿宋"/>
          <w:color w:val="auto"/>
          <w:highlight w:val="none"/>
          <w:lang w:eastAsia="zh-CN"/>
        </w:rPr>
        <w:t>.</w:t>
      </w:r>
      <w:r>
        <w:rPr>
          <w:rFonts w:hint="eastAsia" w:ascii="仿宋" w:hAnsi="仿宋" w:eastAsia="仿宋"/>
          <w:color w:val="auto"/>
          <w:highlight w:val="none"/>
          <w:lang w:eastAsia="zh-CN"/>
        </w:rPr>
        <w:t>7</w:t>
      </w:r>
      <w:r>
        <w:rPr>
          <w:rFonts w:ascii="仿宋" w:hAnsi="仿宋" w:eastAsia="仿宋"/>
          <w:color w:val="auto"/>
          <w:highlight w:val="none"/>
          <w:lang w:eastAsia="zh-CN"/>
        </w:rPr>
        <w:t xml:space="preserve"> 补充条款</w:t>
      </w:r>
    </w:p>
    <w:p w14:paraId="1B50BCD5">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余泥渣土场外运输与排放</w:t>
      </w:r>
      <w:r>
        <w:rPr>
          <w:rFonts w:hint="eastAsia" w:ascii="仿宋" w:hAnsi="仿宋" w:eastAsia="仿宋"/>
          <w:color w:val="auto"/>
          <w:highlight w:val="none"/>
          <w:lang w:eastAsia="zh-CN"/>
        </w:rPr>
        <w:t>：</w:t>
      </w:r>
    </w:p>
    <w:p w14:paraId="654E21F0">
      <w:pPr>
        <w:spacing w:line="360" w:lineRule="auto"/>
        <w:ind w:left="-2" w:leftChars="-1" w:firstLine="484" w:firstLineChars="202"/>
        <w:rPr>
          <w:rFonts w:hint="eastAsia" w:ascii="仿宋" w:hAnsi="仿宋" w:eastAsia="仿宋"/>
          <w:color w:val="auto"/>
          <w:highlight w:val="none"/>
          <w:lang w:eastAsia="zh-CN"/>
        </w:rPr>
      </w:pPr>
      <w:r>
        <w:rPr>
          <w:rFonts w:hint="eastAsia" w:ascii="仿宋" w:hAnsi="仿宋" w:eastAsia="仿宋"/>
          <w:color w:val="auto"/>
          <w:highlight w:val="none"/>
          <w:lang w:eastAsia="zh-CN"/>
        </w:rPr>
        <w:t>①余泥外运运距原则上根据已标价工程量清单运距包干计算。如承包人提出调整运距的申请，需调整余泥外运运距的，应根据余泥排放证，由监理单位和</w:t>
      </w:r>
      <w:r>
        <w:rPr>
          <w:rFonts w:hint="eastAsia" w:ascii="仿宋" w:hAnsi="仿宋" w:eastAsia="仿宋"/>
          <w:color w:val="auto"/>
          <w:highlight w:val="none"/>
          <w:lang w:val="en-US" w:eastAsia="zh-CN"/>
        </w:rPr>
        <w:t>发包人</w:t>
      </w:r>
      <w:r>
        <w:rPr>
          <w:rFonts w:hint="eastAsia" w:ascii="仿宋" w:hAnsi="仿宋" w:eastAsia="仿宋"/>
          <w:color w:val="auto"/>
          <w:highlight w:val="none"/>
          <w:lang w:eastAsia="zh-CN"/>
        </w:rPr>
        <w:t>以书面文件确认，并按程序办理相关手续。</w:t>
      </w:r>
    </w:p>
    <w:p w14:paraId="5F3A8DE3">
      <w:pPr>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2" w:leftChars="-1" w:firstLine="484" w:firstLineChars="202"/>
        <w:jc w:val="both"/>
        <w:textAlignment w:val="auto"/>
        <w:rPr>
          <w:rFonts w:hint="eastAsia" w:ascii="仿宋" w:hAnsi="仿宋" w:eastAsia="仿宋"/>
          <w:color w:val="auto"/>
          <w:sz w:val="24"/>
          <w:szCs w:val="24"/>
          <w:highlight w:val="none"/>
          <w:u w:val="single"/>
          <w:lang w:eastAsia="zh-CN" w:bidi="en-US"/>
        </w:rPr>
      </w:pPr>
      <w:r>
        <w:rPr>
          <w:rFonts w:hint="eastAsia" w:ascii="仿宋" w:hAnsi="仿宋" w:eastAsia="仿宋"/>
          <w:color w:val="auto"/>
          <w:highlight w:val="none"/>
          <w:u w:val="single"/>
          <w:lang w:eastAsia="zh-CN"/>
        </w:rPr>
        <w:t>②</w:t>
      </w:r>
      <w:r>
        <w:rPr>
          <w:rFonts w:hint="eastAsia" w:ascii="仿宋" w:hAnsi="仿宋" w:eastAsia="仿宋"/>
          <w:color w:val="auto"/>
          <w:highlight w:val="none"/>
          <w:u w:val="single"/>
          <w:lang w:val="en-US" w:eastAsia="zh-CN" w:bidi="en-US"/>
        </w:rPr>
        <w:t>土方开挖前承包人必须提供《建筑垃圾处理方案》，作为概算、预算的编审依据，</w:t>
      </w:r>
      <w:r>
        <w:rPr>
          <w:rFonts w:hint="eastAsia" w:ascii="仿宋" w:hAnsi="仿宋" w:eastAsia="仿宋" w:cs="等线"/>
          <w:color w:val="auto"/>
          <w:sz w:val="24"/>
          <w:szCs w:val="24"/>
          <w:highlight w:val="none"/>
          <w:u w:val="single"/>
          <w:lang w:eastAsia="zh-CN" w:bidi="en-US"/>
        </w:rPr>
        <w:t>处理方案编制应以环境保护、充分利用、合理调配、就近消纳、有序排放为原则，包含下列内容：</w:t>
      </w:r>
    </w:p>
    <w:p w14:paraId="7ADCDA89">
      <w:pPr>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2" w:leftChars="-1" w:firstLine="484" w:firstLineChars="202"/>
        <w:jc w:val="both"/>
        <w:textAlignment w:val="auto"/>
        <w:rPr>
          <w:rFonts w:hint="eastAsia" w:ascii="仿宋" w:hAnsi="仿宋" w:eastAsia="仿宋"/>
          <w:color w:val="auto"/>
          <w:sz w:val="24"/>
          <w:szCs w:val="24"/>
          <w:highlight w:val="none"/>
          <w:u w:val="single"/>
          <w:lang w:eastAsia="zh-CN" w:bidi="en-US"/>
        </w:rPr>
      </w:pPr>
      <w:r>
        <w:rPr>
          <w:rFonts w:hint="eastAsia" w:ascii="仿宋" w:hAnsi="仿宋" w:eastAsia="仿宋" w:cs="等线"/>
          <w:color w:val="auto"/>
          <w:sz w:val="24"/>
          <w:szCs w:val="24"/>
          <w:highlight w:val="none"/>
          <w:u w:val="single"/>
          <w:lang w:eastAsia="zh-CN" w:bidi="en-US"/>
        </w:rPr>
        <w:t>1.工程概况和施工单位基本信息；</w:t>
      </w:r>
    </w:p>
    <w:p w14:paraId="0C1C9208">
      <w:pPr>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2" w:leftChars="-1" w:firstLine="484" w:firstLineChars="202"/>
        <w:jc w:val="both"/>
        <w:textAlignment w:val="auto"/>
        <w:rPr>
          <w:rFonts w:hint="eastAsia" w:ascii="仿宋" w:hAnsi="仿宋" w:eastAsia="仿宋"/>
          <w:color w:val="auto"/>
          <w:sz w:val="24"/>
          <w:szCs w:val="24"/>
          <w:highlight w:val="none"/>
          <w:u w:val="single"/>
          <w:lang w:eastAsia="zh-CN" w:bidi="en-US"/>
        </w:rPr>
      </w:pPr>
      <w:r>
        <w:rPr>
          <w:rFonts w:hint="eastAsia" w:ascii="仿宋" w:hAnsi="仿宋" w:eastAsia="仿宋" w:cs="等线"/>
          <w:color w:val="auto"/>
          <w:sz w:val="24"/>
          <w:szCs w:val="24"/>
          <w:highlight w:val="none"/>
          <w:u w:val="single"/>
          <w:lang w:eastAsia="zh-CN" w:bidi="en-US"/>
        </w:rPr>
        <w:t>2.建筑垃圾产生量与种类；</w:t>
      </w:r>
    </w:p>
    <w:p w14:paraId="38D2BC0E">
      <w:pPr>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2" w:leftChars="-1" w:firstLine="484" w:firstLineChars="202"/>
        <w:jc w:val="both"/>
        <w:textAlignment w:val="auto"/>
        <w:rPr>
          <w:rFonts w:hint="eastAsia" w:ascii="仿宋" w:hAnsi="仿宋" w:eastAsia="仿宋"/>
          <w:color w:val="auto"/>
          <w:sz w:val="24"/>
          <w:szCs w:val="24"/>
          <w:highlight w:val="none"/>
          <w:u w:val="single"/>
          <w:lang w:eastAsia="zh-CN" w:bidi="en-US"/>
        </w:rPr>
      </w:pPr>
      <w:r>
        <w:rPr>
          <w:rFonts w:hint="eastAsia" w:ascii="仿宋" w:hAnsi="仿宋" w:eastAsia="仿宋" w:cs="等线"/>
          <w:color w:val="auto"/>
          <w:sz w:val="24"/>
          <w:szCs w:val="24"/>
          <w:highlight w:val="none"/>
          <w:u w:val="single"/>
          <w:lang w:eastAsia="zh-CN" w:bidi="en-US"/>
        </w:rPr>
        <w:t>3.建筑垃圾源头减量、分类收集、综合利用、污染防治的措施和目标；</w:t>
      </w:r>
    </w:p>
    <w:p w14:paraId="50F65BC7">
      <w:pPr>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2" w:leftChars="-1" w:firstLine="484" w:firstLineChars="202"/>
        <w:jc w:val="both"/>
        <w:textAlignment w:val="auto"/>
        <w:rPr>
          <w:rFonts w:hint="eastAsia" w:ascii="仿宋" w:hAnsi="仿宋" w:eastAsia="仿宋"/>
          <w:color w:val="auto"/>
          <w:sz w:val="24"/>
          <w:szCs w:val="24"/>
          <w:highlight w:val="none"/>
          <w:u w:val="single"/>
          <w:lang w:eastAsia="zh-CN" w:bidi="en-US"/>
        </w:rPr>
      </w:pPr>
      <w:r>
        <w:rPr>
          <w:rFonts w:hint="eastAsia" w:ascii="仿宋" w:hAnsi="仿宋" w:eastAsia="仿宋" w:cs="等线"/>
          <w:color w:val="auto"/>
          <w:sz w:val="24"/>
          <w:szCs w:val="24"/>
          <w:highlight w:val="none"/>
          <w:u w:val="single"/>
          <w:lang w:eastAsia="zh-CN" w:bidi="en-US"/>
        </w:rPr>
        <w:t>4.需要外运的建筑垃圾种类、数量与运输的时间、路线、方式和运输单位；</w:t>
      </w:r>
    </w:p>
    <w:p w14:paraId="3BACF9D2">
      <w:pPr>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2" w:leftChars="-1" w:firstLine="484" w:firstLineChars="202"/>
        <w:jc w:val="both"/>
        <w:textAlignment w:val="auto"/>
        <w:rPr>
          <w:rFonts w:hint="eastAsia" w:ascii="仿宋" w:hAnsi="仿宋" w:eastAsia="仿宋"/>
          <w:color w:val="auto"/>
          <w:sz w:val="24"/>
          <w:szCs w:val="24"/>
          <w:highlight w:val="none"/>
          <w:u w:val="single"/>
          <w:lang w:eastAsia="zh-CN" w:bidi="en-US"/>
        </w:rPr>
      </w:pPr>
      <w:r>
        <w:rPr>
          <w:rFonts w:hint="eastAsia" w:ascii="仿宋" w:hAnsi="仿宋" w:eastAsia="仿宋" w:cs="等线"/>
          <w:color w:val="auto"/>
          <w:sz w:val="24"/>
          <w:szCs w:val="24"/>
          <w:highlight w:val="none"/>
          <w:u w:val="single"/>
          <w:lang w:eastAsia="zh-CN" w:bidi="en-US"/>
        </w:rPr>
        <w:t>5.建筑垃圾回填、消纳、综合利用场所名称；</w:t>
      </w:r>
    </w:p>
    <w:p w14:paraId="33CA1755">
      <w:pPr>
        <w:spacing w:line="360" w:lineRule="auto"/>
        <w:ind w:left="-2" w:leftChars="-1" w:firstLine="484" w:firstLineChars="202"/>
        <w:rPr>
          <w:rFonts w:hint="default" w:ascii="仿宋" w:hAnsi="仿宋" w:eastAsia="仿宋"/>
          <w:color w:val="auto"/>
          <w:highlight w:val="none"/>
          <w:u w:val="single"/>
          <w:lang w:val="en-US" w:eastAsia="zh-CN"/>
        </w:rPr>
      </w:pPr>
      <w:r>
        <w:rPr>
          <w:rFonts w:hint="eastAsia" w:ascii="仿宋" w:hAnsi="仿宋" w:eastAsia="仿宋" w:cs="等线"/>
          <w:color w:val="auto"/>
          <w:sz w:val="24"/>
          <w:szCs w:val="24"/>
          <w:highlight w:val="none"/>
          <w:u w:val="single"/>
          <w:lang w:eastAsia="zh-CN" w:bidi="en-US"/>
        </w:rPr>
        <w:t>6.法律、法规规定的其他内容。</w:t>
      </w:r>
    </w:p>
    <w:p w14:paraId="3F00B001">
      <w:pPr>
        <w:spacing w:line="360" w:lineRule="auto"/>
        <w:ind w:left="-2" w:leftChars="-1" w:firstLine="484" w:firstLineChars="202"/>
        <w:rPr>
          <w:rFonts w:hint="eastAsia" w:ascii="仿宋" w:hAnsi="仿宋" w:eastAsia="仿宋"/>
          <w:color w:val="auto"/>
          <w:highlight w:val="none"/>
          <w:u w:val="single"/>
          <w:lang w:val="en-US" w:eastAsia="zh-CN"/>
        </w:rPr>
      </w:pPr>
      <w:r>
        <w:rPr>
          <w:rFonts w:hint="eastAsia" w:ascii="仿宋" w:hAnsi="仿宋" w:eastAsia="仿宋"/>
          <w:color w:val="auto"/>
          <w:highlight w:val="none"/>
          <w:u w:val="single"/>
          <w:lang w:eastAsia="zh-CN"/>
        </w:rPr>
        <w:t>③</w:t>
      </w:r>
      <w:r>
        <w:rPr>
          <w:rFonts w:hint="eastAsia" w:ascii="仿宋" w:hAnsi="仿宋" w:eastAsia="仿宋"/>
          <w:color w:val="auto"/>
          <w:highlight w:val="none"/>
          <w:u w:val="single"/>
          <w:lang w:val="en-US" w:eastAsia="zh-CN"/>
        </w:rPr>
        <w:t>项目结算及进度款申请时，承包人需提供以下资料做为依据：</w:t>
      </w:r>
    </w:p>
    <w:p w14:paraId="33327509">
      <w:pPr>
        <w:spacing w:line="360" w:lineRule="auto"/>
        <w:ind w:left="-2" w:leftChars="-1" w:firstLine="484" w:firstLineChars="202"/>
        <w:rPr>
          <w:rFonts w:hint="eastAsia" w:ascii="仿宋" w:hAnsi="仿宋" w:eastAsia="仿宋"/>
          <w:color w:val="auto"/>
          <w:highlight w:val="none"/>
          <w:u w:val="single"/>
          <w:lang w:val="en-US" w:eastAsia="zh-CN"/>
        </w:rPr>
      </w:pPr>
      <w:r>
        <w:rPr>
          <w:rFonts w:hint="eastAsia" w:ascii="仿宋" w:hAnsi="仿宋" w:eastAsia="仿宋"/>
          <w:color w:val="auto"/>
          <w:highlight w:val="none"/>
          <w:u w:val="single"/>
          <w:lang w:val="en-US" w:eastAsia="zh-CN"/>
        </w:rPr>
        <w:t>1.发包人及建设管理单位审核确认的处理方案</w:t>
      </w:r>
    </w:p>
    <w:p w14:paraId="797F507A">
      <w:pPr>
        <w:spacing w:line="360" w:lineRule="auto"/>
        <w:ind w:left="-2" w:leftChars="-1" w:firstLine="484" w:firstLineChars="202"/>
        <w:rPr>
          <w:rFonts w:hint="default" w:ascii="仿宋" w:hAnsi="仿宋" w:eastAsia="仿宋"/>
          <w:color w:val="auto"/>
          <w:highlight w:val="none"/>
          <w:u w:val="single"/>
          <w:lang w:val="en-US" w:eastAsia="zh-CN"/>
        </w:rPr>
      </w:pPr>
      <w:r>
        <w:rPr>
          <w:rFonts w:hint="eastAsia" w:ascii="仿宋" w:hAnsi="仿宋" w:eastAsia="仿宋" w:cs="等线"/>
          <w:color w:val="auto"/>
          <w:sz w:val="24"/>
          <w:szCs w:val="24"/>
          <w:highlight w:val="none"/>
          <w:u w:val="single"/>
          <w:lang w:val="en-US" w:eastAsia="zh-CN"/>
        </w:rPr>
        <w:t>2.</w:t>
      </w:r>
      <w:r>
        <w:rPr>
          <w:rFonts w:hint="eastAsia" w:ascii="仿宋" w:hAnsi="仿宋" w:eastAsia="仿宋" w:cs="等线"/>
          <w:color w:val="auto"/>
          <w:sz w:val="24"/>
          <w:szCs w:val="24"/>
          <w:highlight w:val="none"/>
          <w:u w:val="single"/>
          <w:lang w:eastAsia="zh-CN"/>
        </w:rPr>
        <w:t>城管部门核发的《广州市建筑垃圾处置证（排放）》</w:t>
      </w:r>
    </w:p>
    <w:p w14:paraId="56F67797">
      <w:pPr>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2" w:leftChars="-1" w:firstLine="484" w:firstLineChars="202"/>
        <w:jc w:val="both"/>
        <w:textAlignment w:val="auto"/>
        <w:rPr>
          <w:rFonts w:hint="eastAsia" w:ascii="仿宋" w:hAnsi="仿宋" w:eastAsia="仿宋"/>
          <w:color w:val="auto"/>
          <w:sz w:val="24"/>
          <w:szCs w:val="24"/>
          <w:highlight w:val="none"/>
          <w:u w:val="single"/>
          <w:lang w:eastAsia="zh-CN"/>
        </w:rPr>
      </w:pPr>
      <w:r>
        <w:rPr>
          <w:rFonts w:hint="eastAsia" w:ascii="仿宋" w:hAnsi="仿宋" w:eastAsia="仿宋" w:cs="等线"/>
          <w:color w:val="auto"/>
          <w:sz w:val="24"/>
          <w:szCs w:val="24"/>
          <w:highlight w:val="none"/>
          <w:u w:val="single"/>
          <w:lang w:val="en-US" w:eastAsia="zh-CN"/>
        </w:rPr>
        <w:t>3.</w:t>
      </w:r>
      <w:r>
        <w:rPr>
          <w:rFonts w:hint="eastAsia" w:ascii="仿宋" w:hAnsi="仿宋" w:eastAsia="仿宋" w:cs="等线"/>
          <w:color w:val="auto"/>
          <w:sz w:val="24"/>
          <w:szCs w:val="24"/>
          <w:highlight w:val="none"/>
          <w:u w:val="single"/>
          <w:lang w:eastAsia="zh-CN"/>
        </w:rPr>
        <w:t>市余泥渣土管理部门提供的监管平台电子联单数据（盖章）;</w:t>
      </w:r>
    </w:p>
    <w:p w14:paraId="22399092">
      <w:pPr>
        <w:spacing w:line="360" w:lineRule="auto"/>
        <w:ind w:left="-2" w:leftChars="-1" w:firstLine="484" w:firstLineChars="202"/>
        <w:rPr>
          <w:rFonts w:hint="eastAsia" w:ascii="仿宋" w:hAnsi="仿宋" w:eastAsia="仿宋"/>
          <w:color w:val="auto"/>
          <w:highlight w:val="none"/>
          <w:u w:val="single"/>
          <w:lang w:val="en-US" w:eastAsia="zh-CN"/>
        </w:rPr>
      </w:pPr>
      <w:r>
        <w:rPr>
          <w:rFonts w:hint="eastAsia" w:ascii="仿宋" w:hAnsi="仿宋" w:eastAsia="仿宋" w:cs="等线"/>
          <w:color w:val="auto"/>
          <w:sz w:val="24"/>
          <w:szCs w:val="24"/>
          <w:highlight w:val="none"/>
          <w:u w:val="single"/>
          <w:lang w:val="en-US" w:eastAsia="zh-CN"/>
        </w:rPr>
        <w:t>4.</w:t>
      </w:r>
      <w:r>
        <w:rPr>
          <w:rFonts w:hint="eastAsia" w:ascii="仿宋" w:hAnsi="仿宋" w:eastAsia="仿宋" w:cs="等线"/>
          <w:color w:val="auto"/>
          <w:sz w:val="24"/>
          <w:szCs w:val="24"/>
          <w:highlight w:val="none"/>
          <w:u w:val="single"/>
          <w:lang w:eastAsia="zh-CN"/>
        </w:rPr>
        <w:t>项目建筑垃圾处置合同、末端处置场所接收凭据（盖章）或发票。</w:t>
      </w:r>
    </w:p>
    <w:p w14:paraId="089D4FE2">
      <w:pPr>
        <w:spacing w:line="360" w:lineRule="auto"/>
        <w:ind w:left="-2" w:leftChars="-1" w:firstLine="484" w:firstLineChars="202"/>
        <w:rPr>
          <w:rFonts w:ascii="仿宋" w:hAnsi="仿宋" w:eastAsia="仿宋"/>
          <w:color w:val="auto"/>
          <w:highlight w:val="none"/>
          <w:u w:val="single"/>
          <w:lang w:eastAsia="zh-CN"/>
        </w:rPr>
      </w:pPr>
      <w:r>
        <w:rPr>
          <w:rFonts w:hint="eastAsia" w:ascii="仿宋" w:hAnsi="仿宋" w:eastAsia="仿宋" w:cs="等线"/>
          <w:color w:val="auto"/>
          <w:sz w:val="24"/>
          <w:szCs w:val="24"/>
          <w:highlight w:val="none"/>
          <w:u w:val="single"/>
          <w:lang w:eastAsia="zh-CN"/>
        </w:rPr>
        <w:t>未按上述要求提供资料或资料提供不全的，原则上不予计价或按已提供资料予以评审，</w:t>
      </w:r>
      <w:r>
        <w:rPr>
          <w:rFonts w:hint="eastAsia" w:ascii="仿宋" w:hAnsi="仿宋" w:eastAsia="仿宋" w:cs="等线"/>
          <w:color w:val="auto"/>
          <w:sz w:val="24"/>
          <w:szCs w:val="24"/>
          <w:highlight w:val="none"/>
          <w:u w:val="single"/>
          <w:lang w:val="en-US" w:eastAsia="zh-CN"/>
        </w:rPr>
        <w:t>具体已财政评中心及建设主管部门相关最新文件为准</w:t>
      </w:r>
      <w:r>
        <w:rPr>
          <w:rFonts w:hint="eastAsia" w:ascii="仿宋" w:hAnsi="仿宋" w:eastAsia="仿宋" w:cs="等线"/>
          <w:color w:val="auto"/>
          <w:sz w:val="24"/>
          <w:szCs w:val="24"/>
          <w:highlight w:val="none"/>
          <w:u w:val="single"/>
          <w:lang w:eastAsia="zh-CN"/>
        </w:rPr>
        <w:t>。</w:t>
      </w:r>
    </w:p>
    <w:p w14:paraId="2EE96EE2">
      <w:pPr>
        <w:spacing w:line="360" w:lineRule="auto"/>
        <w:ind w:left="-2" w:leftChars="-1" w:firstLine="484" w:firstLineChars="202"/>
        <w:rPr>
          <w:rFonts w:ascii="仿宋" w:hAnsi="仿宋" w:eastAsia="仿宋"/>
          <w:color w:val="auto"/>
          <w:highlight w:val="none"/>
          <w:lang w:eastAsia="zh-CN"/>
        </w:rPr>
      </w:pPr>
      <w:r>
        <w:rPr>
          <w:rFonts w:hint="eastAsia" w:ascii="仿宋" w:hAnsi="仿宋" w:eastAsia="仿宋"/>
          <w:color w:val="auto"/>
          <w:highlight w:val="none"/>
          <w:lang w:val="en-US" w:eastAsia="zh-CN"/>
        </w:rPr>
        <w:t>④</w:t>
      </w:r>
      <w:r>
        <w:rPr>
          <w:rFonts w:ascii="仿宋" w:hAnsi="仿宋" w:eastAsia="仿宋"/>
          <w:color w:val="auto"/>
          <w:highlight w:val="none"/>
          <w:lang w:eastAsia="zh-CN"/>
        </w:rPr>
        <w:t>土方开挖前，承包人必须按照现场情况，提交合理的施工方案和平面布置，计算现场可堆放土方的面积和数量，报监理和发包人签证确认，并存留余泥排放回执原件，作为结算工程量计算参考依据，结算时将按实调整土方外运数量，调整淤泥、泥浆即挖即运数量。现场可堆放土方的面积和数量如未签证确认，视为现场有足够的场地堆放土方，结算时，淤泥、泥浆不考虑即挖即运，土方外运数量按挖方量扣减图纸理论回填土方的数量计算。</w:t>
      </w:r>
    </w:p>
    <w:p w14:paraId="7B86B803">
      <w:pPr>
        <w:spacing w:line="360" w:lineRule="auto"/>
        <w:ind w:left="-2" w:leftChars="-1" w:firstLine="484" w:firstLineChars="202"/>
        <w:rPr>
          <w:rFonts w:ascii="仿宋" w:hAnsi="仿宋" w:eastAsia="仿宋"/>
          <w:color w:val="auto"/>
          <w:highlight w:val="none"/>
          <w:u w:val="single"/>
          <w:lang w:eastAsia="zh-CN"/>
        </w:rPr>
      </w:pPr>
      <w:r>
        <w:rPr>
          <w:rFonts w:hint="eastAsia" w:ascii="仿宋" w:hAnsi="仿宋" w:eastAsia="仿宋"/>
          <w:color w:val="auto"/>
          <w:highlight w:val="none"/>
          <w:lang w:val="en-US" w:eastAsia="zh-CN"/>
        </w:rPr>
        <w:t>⑤</w:t>
      </w:r>
      <w:r>
        <w:rPr>
          <w:rFonts w:ascii="仿宋" w:hAnsi="仿宋" w:eastAsia="仿宋"/>
          <w:color w:val="auto"/>
          <w:highlight w:val="none"/>
          <w:lang w:eastAsia="zh-CN"/>
        </w:rPr>
        <w:t>承包人必须严格遵守建设工程余泥渣土运输与排放管理制度，执行广州市相关规定。若承包人因违反规定受到有关部门处罚，经查证实，</w:t>
      </w:r>
      <w:r>
        <w:rPr>
          <w:rFonts w:ascii="仿宋" w:hAnsi="仿宋" w:eastAsia="仿宋"/>
          <w:color w:val="auto"/>
          <w:highlight w:val="none"/>
          <w:u w:val="single"/>
          <w:lang w:eastAsia="zh-CN"/>
        </w:rPr>
        <w:t>应承担严重违约责任一次。</w:t>
      </w:r>
    </w:p>
    <w:p w14:paraId="10450C75">
      <w:pPr>
        <w:spacing w:line="360" w:lineRule="auto"/>
        <w:ind w:left="-2" w:leftChars="-1" w:firstLine="484" w:firstLineChars="202"/>
        <w:rPr>
          <w:rFonts w:ascii="仿宋" w:hAnsi="仿宋" w:eastAsia="仿宋"/>
          <w:color w:val="auto"/>
          <w:highlight w:val="none"/>
          <w:u w:val="single"/>
          <w:lang w:eastAsia="zh-CN"/>
        </w:rPr>
      </w:pPr>
      <w:r>
        <w:rPr>
          <w:rFonts w:hint="eastAsia" w:ascii="仿宋" w:hAnsi="仿宋" w:eastAsia="仿宋"/>
          <w:color w:val="auto"/>
          <w:highlight w:val="none"/>
          <w:u w:val="single"/>
          <w:lang w:val="en-US" w:eastAsia="zh-CN"/>
        </w:rPr>
        <w:t>⑥</w:t>
      </w:r>
      <w:r>
        <w:rPr>
          <w:rFonts w:hint="eastAsia" w:ascii="仿宋" w:hAnsi="仿宋" w:eastAsia="仿宋"/>
          <w:color w:val="auto"/>
          <w:highlight w:val="none"/>
          <w:u w:val="single"/>
          <w:lang w:eastAsia="zh-CN"/>
        </w:rPr>
        <w:t xml:space="preserve"> 若因垃圾余泥处置问题被执法部门处罚，则按照处罚金额的2倍在当期工程进度款中扣除；若被投诉或举报乱排乱放余泥渣土或建筑垃圾并有相应事实依据的（如相片等），经监理单位核实确实存在该情形的，每次应承担严重违约责任一次，在当期工程进度款中直接扣除。出现此情况后，有理由怀疑其余土方也存在乱排乱放的情况，乙方应对其他土方是否存在乱排乱放自行举证（包括但不限于土方运输车次，余泥渣土场的进场出场记录，排放记录，施工日记，运输相片视频等系列依据），举证依据不充分的，相应余泥渣土建筑垃圾的工程费全部暂扣，直至举证依据充分为止。</w:t>
      </w:r>
    </w:p>
    <w:p w14:paraId="775DFA2E">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1927" w:name="_Toc47694444"/>
      <w:bookmarkStart w:id="1928" w:name="_Toc6427"/>
      <w:bookmarkStart w:id="1929" w:name="_Toc4792"/>
      <w:bookmarkStart w:id="1930" w:name="_Toc10712"/>
      <w:bookmarkStart w:id="1931" w:name="_Toc26017"/>
      <w:bookmarkStart w:id="1932" w:name="_Toc8951"/>
      <w:bookmarkStart w:id="1933" w:name="_Toc28943"/>
      <w:bookmarkStart w:id="1934" w:name="_Toc10038"/>
      <w:r>
        <w:rPr>
          <w:rFonts w:hint="eastAsia" w:ascii="仿宋" w:hAnsi="仿宋" w:eastAsia="仿宋" w:cs="仿宋"/>
          <w:b w:val="0"/>
          <w:bCs w:val="0"/>
          <w:i w:val="0"/>
          <w:iCs w:val="0"/>
          <w:color w:val="auto"/>
          <w:sz w:val="24"/>
          <w:szCs w:val="24"/>
          <w:highlight w:val="none"/>
          <w:lang w:eastAsia="zh-CN"/>
        </w:rPr>
        <w:t>★86.  进度款</w:t>
      </w:r>
      <w:bookmarkEnd w:id="1927"/>
      <w:bookmarkEnd w:id="1928"/>
      <w:bookmarkEnd w:id="1929"/>
      <w:bookmarkEnd w:id="1930"/>
      <w:bookmarkEnd w:id="1931"/>
      <w:bookmarkEnd w:id="1932"/>
      <w:bookmarkEnd w:id="1933"/>
      <w:bookmarkEnd w:id="1934"/>
    </w:p>
    <w:p w14:paraId="4DB1AE19">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86.1 约定支付期限和提交支付申请</w:t>
      </w:r>
    </w:p>
    <w:p w14:paraId="62F940F3">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勘察</w:t>
      </w:r>
    </w:p>
    <w:p w14:paraId="407C8EB1">
      <w:pPr>
        <w:spacing w:line="360" w:lineRule="auto"/>
        <w:ind w:firstLine="1440" w:firstLineChars="6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23C993C8">
      <w:pPr>
        <w:spacing w:line="360" w:lineRule="auto"/>
        <w:ind w:firstLine="1692" w:firstLineChars="705"/>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73F0754D">
      <w:pPr>
        <w:spacing w:line="360" w:lineRule="auto"/>
        <w:ind w:firstLine="1692" w:firstLineChars="70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6C844A46">
      <w:pPr>
        <w:spacing w:line="360" w:lineRule="auto"/>
        <w:ind w:left="1663" w:leftChars="69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72D07231">
      <w:pPr>
        <w:spacing w:line="360" w:lineRule="auto"/>
        <w:ind w:left="1663" w:leftChars="69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或另行约定，具体约定如下：</w:t>
      </w:r>
    </w:p>
    <w:p w14:paraId="70F60A34">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（1）本合同签订生效，支付暂定勘察费合同价的10%。请款手续经甲方审批后的30个工作日内支付。</w:t>
      </w:r>
    </w:p>
    <w:p w14:paraId="058AF33F">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本项目岩土工程勘察、超前钻、工程物探、地形测绘及工程测量、土壤氡浓度检测、噪声检测、剪切波波速测试、抽水试验、管波等阶段性任务完成并提交正式勘察报告后，分别累计请款至实际完成工作量的70%。其中地形测绘及工程测量部分按实际发生收费票据需要请款的，可根据需要独立办理，请款金额按票面金额。</w:t>
      </w:r>
    </w:p>
    <w:p w14:paraId="352C816D">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（3）乙方提交全部勘察项目服务成果报告并经确认合格，基坑土方回填完成并经验收合格，向甲方提交服务费完整的请款资料，经审定后，累计支付至审核价的80%。</w:t>
      </w:r>
    </w:p>
    <w:p w14:paraId="79A422BF">
      <w:pPr>
        <w:adjustRightInd w:val="0"/>
        <w:snapToGrid w:val="0"/>
        <w:spacing w:line="360" w:lineRule="auto"/>
        <w:ind w:left="0" w:leftChars="0"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（4）本项目工程竣工验收后，按程序办理本合同结算后，累计支付至本项目勘察结算价的97%。</w:t>
      </w:r>
    </w:p>
    <w:p w14:paraId="5B8817B9">
      <w:pPr>
        <w:adjustRightInd w:val="0"/>
        <w:snapToGrid w:val="0"/>
        <w:spacing w:line="360" w:lineRule="auto"/>
        <w:ind w:left="0" w:leftChars="0"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（5）缺陷责任期为竣工后两年，缺陷责任期限内未出现任何缺陷问题的，期限届满后无息付清余款。</w:t>
      </w:r>
    </w:p>
    <w:p w14:paraId="505CB699">
      <w:pPr>
        <w:spacing w:line="360" w:lineRule="auto"/>
        <w:ind w:firstLine="480" w:firstLineChars="200"/>
        <w:rPr>
          <w:rFonts w:hint="eastAsia" w:ascii="仿宋" w:hAnsi="仿宋" w:eastAsia="仿宋" w:cs="仿宋"/>
          <w:color w:val="auto"/>
          <w:highlight w:val="none"/>
          <w:u w:val="single"/>
          <w:lang w:eastAsia="zh-CN"/>
        </w:rPr>
      </w:pPr>
      <w:bookmarkStart w:id="1935" w:name="_Toc32751"/>
      <w:r>
        <w:rPr>
          <w:rFonts w:hint="eastAsia" w:ascii="仿宋" w:hAnsi="仿宋" w:eastAsia="仿宋" w:cs="仿宋"/>
          <w:color w:val="auto"/>
          <w:highlight w:val="none"/>
          <w:lang w:eastAsia="zh-CN"/>
        </w:rPr>
        <w:t>②政府资金投资工程的支付期、支付办法</w:t>
      </w:r>
      <w:bookmarkEnd w:id="1935"/>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 xml:space="preserve">            /                </w:t>
      </w:r>
    </w:p>
    <w:p w14:paraId="09981D23">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                </w:t>
      </w:r>
    </w:p>
    <w:p w14:paraId="06058E9F">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设计</w:t>
      </w:r>
    </w:p>
    <w:p w14:paraId="61C264E6">
      <w:pPr>
        <w:spacing w:line="360" w:lineRule="auto"/>
        <w:ind w:firstLine="1440" w:firstLineChars="6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658ECFFE">
      <w:pPr>
        <w:spacing w:line="360" w:lineRule="auto"/>
        <w:ind w:firstLine="1680" w:firstLineChars="7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A72846A">
      <w:pPr>
        <w:spacing w:line="360" w:lineRule="auto"/>
        <w:ind w:firstLine="1680" w:firstLineChars="7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68B64561">
      <w:pPr>
        <w:spacing w:line="360" w:lineRule="auto"/>
        <w:ind w:left="1464" w:leftChars="61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78FA9443">
      <w:pPr>
        <w:spacing w:line="360" w:lineRule="auto"/>
        <w:ind w:firstLine="1680" w:firstLineChars="7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其它方式：设计费支付进度详见下表。</w:t>
      </w:r>
    </w:p>
    <w:tbl>
      <w:tblPr>
        <w:tblStyle w:val="44"/>
        <w:tblW w:w="0" w:type="auto"/>
        <w:tblInd w:w="139"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67"/>
        <w:gridCol w:w="783"/>
        <w:gridCol w:w="3923"/>
        <w:gridCol w:w="2917"/>
      </w:tblGrid>
      <w:tr w14:paraId="1DB237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34" w:hRule="atLeast"/>
          <w:tblHeader/>
        </w:trPr>
        <w:tc>
          <w:tcPr>
            <w:tcW w:w="767" w:type="dxa"/>
            <w:noWrap w:val="0"/>
            <w:vAlign w:val="center"/>
          </w:tcPr>
          <w:p w14:paraId="55262E5E">
            <w:pPr>
              <w:jc w:val="center"/>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序号</w:t>
            </w:r>
          </w:p>
        </w:tc>
        <w:tc>
          <w:tcPr>
            <w:tcW w:w="783" w:type="dxa"/>
            <w:noWrap w:val="0"/>
            <w:vAlign w:val="center"/>
          </w:tcPr>
          <w:p w14:paraId="62856D8B">
            <w:pPr>
              <w:jc w:val="center"/>
              <w:rPr>
                <w:rFonts w:hint="eastAsia" w:ascii="仿宋" w:hAnsi="仿宋" w:eastAsia="仿宋" w:cs="仿宋"/>
                <w:b/>
                <w:color w:val="auto"/>
                <w:highlight w:val="none"/>
              </w:rPr>
            </w:pPr>
            <w:r>
              <w:rPr>
                <w:rFonts w:hint="eastAsia" w:ascii="仿宋" w:hAnsi="仿宋" w:eastAsia="仿宋" w:cs="仿宋"/>
                <w:b/>
                <w:color w:val="auto"/>
                <w:highlight w:val="none"/>
              </w:rPr>
              <w:t>占设计费％</w:t>
            </w:r>
          </w:p>
        </w:tc>
        <w:tc>
          <w:tcPr>
            <w:tcW w:w="3923" w:type="dxa"/>
            <w:tcBorders>
              <w:right w:val="single" w:color="auto" w:sz="4" w:space="0"/>
            </w:tcBorders>
            <w:noWrap w:val="0"/>
            <w:vAlign w:val="center"/>
          </w:tcPr>
          <w:p w14:paraId="39B09A77">
            <w:pPr>
              <w:jc w:val="center"/>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付费时间</w:t>
            </w:r>
          </w:p>
          <w:p w14:paraId="65482081">
            <w:pPr>
              <w:jc w:val="center"/>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(由交付设计文件所定)</w:t>
            </w:r>
          </w:p>
        </w:tc>
        <w:tc>
          <w:tcPr>
            <w:tcW w:w="2917" w:type="dxa"/>
            <w:tcBorders>
              <w:left w:val="single" w:color="auto" w:sz="4" w:space="0"/>
            </w:tcBorders>
            <w:noWrap w:val="0"/>
            <w:vAlign w:val="center"/>
          </w:tcPr>
          <w:p w14:paraId="1C371EFE">
            <w:pPr>
              <w:jc w:val="center"/>
              <w:rPr>
                <w:rFonts w:hint="eastAsia" w:ascii="仿宋" w:hAnsi="仿宋" w:eastAsia="仿宋" w:cs="仿宋"/>
                <w:b/>
                <w:color w:val="auto"/>
                <w:highlight w:val="none"/>
              </w:rPr>
            </w:pPr>
            <w:r>
              <w:rPr>
                <w:rFonts w:hint="eastAsia" w:ascii="仿宋" w:hAnsi="仿宋" w:eastAsia="仿宋" w:cs="仿宋"/>
                <w:b/>
                <w:color w:val="auto"/>
                <w:highlight w:val="none"/>
              </w:rPr>
              <w:t>备注</w:t>
            </w:r>
          </w:p>
        </w:tc>
      </w:tr>
      <w:tr w14:paraId="4E4F3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35" w:hRule="atLeast"/>
        </w:trPr>
        <w:tc>
          <w:tcPr>
            <w:tcW w:w="767" w:type="dxa"/>
            <w:tcBorders>
              <w:top w:val="single" w:color="auto" w:sz="4" w:space="0"/>
              <w:bottom w:val="single" w:color="auto" w:sz="4" w:space="0"/>
            </w:tcBorders>
            <w:noWrap w:val="0"/>
            <w:vAlign w:val="center"/>
          </w:tcPr>
          <w:p w14:paraId="200C687B">
            <w:pPr>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w:t>
            </w:r>
          </w:p>
        </w:tc>
        <w:tc>
          <w:tcPr>
            <w:tcW w:w="783" w:type="dxa"/>
            <w:tcBorders>
              <w:bottom w:val="single" w:color="auto" w:sz="4" w:space="0"/>
            </w:tcBorders>
            <w:noWrap w:val="0"/>
            <w:vAlign w:val="center"/>
          </w:tcPr>
          <w:p w14:paraId="52F0C221">
            <w:pPr>
              <w:jc w:val="center"/>
              <w:rPr>
                <w:rFonts w:hint="eastAsia" w:ascii="仿宋" w:hAnsi="仿宋" w:eastAsia="仿宋" w:cs="仿宋"/>
                <w:color w:val="auto"/>
                <w:highlight w:val="none"/>
              </w:rPr>
            </w:pPr>
            <w:r>
              <w:rPr>
                <w:rFonts w:hint="eastAsia" w:ascii="仿宋" w:hAnsi="仿宋" w:eastAsia="仿宋" w:cs="仿宋"/>
                <w:color w:val="auto"/>
                <w:highlight w:val="none"/>
              </w:rPr>
              <w:t>10％</w:t>
            </w:r>
          </w:p>
        </w:tc>
        <w:tc>
          <w:tcPr>
            <w:tcW w:w="3923" w:type="dxa"/>
            <w:tcBorders>
              <w:top w:val="single" w:color="auto" w:sz="4" w:space="0"/>
              <w:bottom w:val="single" w:color="auto" w:sz="4" w:space="0"/>
              <w:right w:val="single" w:color="auto" w:sz="4" w:space="0"/>
            </w:tcBorders>
            <w:noWrap w:val="0"/>
            <w:vAlign w:val="center"/>
          </w:tcPr>
          <w:p w14:paraId="69AB223D">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本合同签订生效，支付暂定合同价10%。请款手续经甲方审批后的15个工作日内。</w:t>
            </w:r>
          </w:p>
        </w:tc>
        <w:tc>
          <w:tcPr>
            <w:tcW w:w="2917" w:type="dxa"/>
            <w:tcBorders>
              <w:left w:val="single" w:color="auto" w:sz="4" w:space="0"/>
              <w:bottom w:val="single" w:color="auto" w:sz="4" w:space="0"/>
            </w:tcBorders>
            <w:noWrap w:val="0"/>
            <w:vAlign w:val="center"/>
          </w:tcPr>
          <w:p w14:paraId="2252BDE1">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临水、临电工程设计费包含在本次请款中，不再另行请款。</w:t>
            </w:r>
          </w:p>
        </w:tc>
      </w:tr>
      <w:tr w14:paraId="7C4224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8" w:hRule="atLeast"/>
        </w:trPr>
        <w:tc>
          <w:tcPr>
            <w:tcW w:w="767" w:type="dxa"/>
            <w:noWrap w:val="0"/>
            <w:vAlign w:val="center"/>
          </w:tcPr>
          <w:p w14:paraId="35AE705C">
            <w:pPr>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w:t>
            </w:r>
          </w:p>
        </w:tc>
        <w:tc>
          <w:tcPr>
            <w:tcW w:w="783" w:type="dxa"/>
            <w:noWrap w:val="0"/>
            <w:vAlign w:val="center"/>
          </w:tcPr>
          <w:p w14:paraId="2D418568">
            <w:pPr>
              <w:jc w:val="center"/>
              <w:rPr>
                <w:rFonts w:hint="eastAsia" w:ascii="仿宋" w:hAnsi="仿宋" w:eastAsia="仿宋" w:cs="仿宋"/>
                <w:color w:val="auto"/>
                <w:highlight w:val="none"/>
              </w:rPr>
            </w:pPr>
            <w:r>
              <w:rPr>
                <w:rFonts w:hint="eastAsia" w:ascii="仿宋" w:hAnsi="仿宋" w:eastAsia="仿宋" w:cs="仿宋"/>
                <w:color w:val="auto"/>
                <w:highlight w:val="none"/>
              </w:rPr>
              <w:t>20%</w:t>
            </w:r>
          </w:p>
        </w:tc>
        <w:tc>
          <w:tcPr>
            <w:tcW w:w="3923" w:type="dxa"/>
            <w:tcBorders>
              <w:right w:val="single" w:color="auto" w:sz="4" w:space="0"/>
            </w:tcBorders>
            <w:noWrap w:val="0"/>
            <w:vAlign w:val="center"/>
          </w:tcPr>
          <w:p w14:paraId="51DBA366">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初步设计完成并通过初步设计审查，项目概算通过相关部门批复,提交完整支付申请资料后15个工作日内。</w:t>
            </w:r>
          </w:p>
        </w:tc>
        <w:tc>
          <w:tcPr>
            <w:tcW w:w="2917" w:type="dxa"/>
            <w:tcBorders>
              <w:left w:val="single" w:color="auto" w:sz="4" w:space="0"/>
            </w:tcBorders>
            <w:noWrap w:val="0"/>
            <w:vAlign w:val="center"/>
          </w:tcPr>
          <w:p w14:paraId="6390E760">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确保于第三阶段施工许可申领前获得批复</w:t>
            </w:r>
          </w:p>
        </w:tc>
      </w:tr>
      <w:tr w14:paraId="7F11F3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8" w:hRule="atLeast"/>
        </w:trPr>
        <w:tc>
          <w:tcPr>
            <w:tcW w:w="767" w:type="dxa"/>
            <w:noWrap w:val="0"/>
            <w:vAlign w:val="center"/>
          </w:tcPr>
          <w:p w14:paraId="73675B75">
            <w:pPr>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w:t>
            </w:r>
          </w:p>
        </w:tc>
        <w:tc>
          <w:tcPr>
            <w:tcW w:w="783" w:type="dxa"/>
            <w:noWrap w:val="0"/>
            <w:vAlign w:val="center"/>
          </w:tcPr>
          <w:p w14:paraId="7A03F669">
            <w:pPr>
              <w:jc w:val="center"/>
              <w:rPr>
                <w:rFonts w:hint="eastAsia" w:ascii="仿宋" w:hAnsi="仿宋" w:eastAsia="仿宋" w:cs="仿宋"/>
                <w:color w:val="auto"/>
                <w:highlight w:val="none"/>
              </w:rPr>
            </w:pPr>
            <w:r>
              <w:rPr>
                <w:rFonts w:hint="eastAsia" w:ascii="仿宋" w:hAnsi="仿宋" w:eastAsia="仿宋" w:cs="仿宋"/>
                <w:color w:val="auto"/>
                <w:highlight w:val="none"/>
              </w:rPr>
              <w:t>20%</w:t>
            </w:r>
          </w:p>
        </w:tc>
        <w:tc>
          <w:tcPr>
            <w:tcW w:w="3923" w:type="dxa"/>
            <w:tcBorders>
              <w:right w:val="single" w:color="auto" w:sz="4" w:space="0"/>
            </w:tcBorders>
            <w:noWrap w:val="0"/>
            <w:vAlign w:val="center"/>
          </w:tcPr>
          <w:p w14:paraId="3F23A80C">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全部施工图完成并通过施工图审查，且提交完整的支付申请资料后15个工作日内。</w:t>
            </w:r>
          </w:p>
        </w:tc>
        <w:tc>
          <w:tcPr>
            <w:tcW w:w="2917" w:type="dxa"/>
            <w:tcBorders>
              <w:left w:val="single" w:color="auto" w:sz="4" w:space="0"/>
            </w:tcBorders>
            <w:noWrap w:val="0"/>
            <w:vAlign w:val="center"/>
          </w:tcPr>
          <w:p w14:paraId="140FCCB1">
            <w:pPr>
              <w:rPr>
                <w:rFonts w:hint="eastAsia" w:ascii="仿宋" w:hAnsi="仿宋" w:eastAsia="仿宋" w:cs="仿宋"/>
                <w:color w:val="auto"/>
                <w:highlight w:val="none"/>
                <w:lang w:eastAsia="zh-CN"/>
              </w:rPr>
            </w:pPr>
          </w:p>
        </w:tc>
      </w:tr>
      <w:tr w14:paraId="1A113F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8" w:hRule="atLeast"/>
        </w:trPr>
        <w:tc>
          <w:tcPr>
            <w:tcW w:w="767" w:type="dxa"/>
            <w:noWrap w:val="0"/>
            <w:vAlign w:val="center"/>
          </w:tcPr>
          <w:p w14:paraId="5149B3DB">
            <w:pPr>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w:t>
            </w:r>
          </w:p>
        </w:tc>
        <w:tc>
          <w:tcPr>
            <w:tcW w:w="783" w:type="dxa"/>
            <w:noWrap w:val="0"/>
            <w:vAlign w:val="center"/>
          </w:tcPr>
          <w:p w14:paraId="39494EA0">
            <w:pPr>
              <w:jc w:val="center"/>
              <w:rPr>
                <w:rFonts w:hint="eastAsia" w:ascii="仿宋" w:hAnsi="仿宋" w:eastAsia="仿宋" w:cs="仿宋"/>
                <w:color w:val="auto"/>
                <w:highlight w:val="none"/>
              </w:rPr>
            </w:pPr>
            <w:r>
              <w:rPr>
                <w:rFonts w:hint="eastAsia" w:ascii="仿宋" w:hAnsi="仿宋" w:eastAsia="仿宋" w:cs="仿宋"/>
                <w:color w:val="auto"/>
                <w:highlight w:val="none"/>
              </w:rPr>
              <w:t>20％</w:t>
            </w:r>
          </w:p>
        </w:tc>
        <w:tc>
          <w:tcPr>
            <w:tcW w:w="3923" w:type="dxa"/>
            <w:tcBorders>
              <w:right w:val="single" w:color="auto" w:sz="4" w:space="0"/>
            </w:tcBorders>
            <w:noWrap w:val="0"/>
            <w:vAlign w:val="center"/>
          </w:tcPr>
          <w:p w14:paraId="6638AD86">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施工图预算审定，且提交完整的支付申请资料后15个工作日内。</w:t>
            </w:r>
          </w:p>
        </w:tc>
        <w:tc>
          <w:tcPr>
            <w:tcW w:w="2917" w:type="dxa"/>
            <w:tcBorders>
              <w:left w:val="single" w:color="auto" w:sz="4" w:space="0"/>
            </w:tcBorders>
            <w:noWrap w:val="0"/>
            <w:vAlign w:val="center"/>
          </w:tcPr>
          <w:p w14:paraId="13B40BD5">
            <w:pPr>
              <w:rPr>
                <w:rFonts w:hint="eastAsia" w:ascii="仿宋" w:hAnsi="仿宋" w:eastAsia="仿宋" w:cs="仿宋"/>
                <w:color w:val="auto"/>
                <w:highlight w:val="none"/>
                <w:lang w:eastAsia="zh-CN"/>
              </w:rPr>
            </w:pPr>
          </w:p>
        </w:tc>
      </w:tr>
      <w:tr w14:paraId="1354B3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8" w:hRule="atLeast"/>
        </w:trPr>
        <w:tc>
          <w:tcPr>
            <w:tcW w:w="767" w:type="dxa"/>
            <w:noWrap w:val="0"/>
            <w:vAlign w:val="center"/>
          </w:tcPr>
          <w:p w14:paraId="4A79F5D5">
            <w:pPr>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w:t>
            </w:r>
          </w:p>
        </w:tc>
        <w:tc>
          <w:tcPr>
            <w:tcW w:w="783" w:type="dxa"/>
            <w:noWrap w:val="0"/>
            <w:vAlign w:val="center"/>
          </w:tcPr>
          <w:p w14:paraId="70B0CE50">
            <w:pPr>
              <w:jc w:val="center"/>
              <w:rPr>
                <w:rFonts w:hint="eastAsia" w:ascii="仿宋" w:hAnsi="仿宋" w:eastAsia="仿宋" w:cs="仿宋"/>
                <w:color w:val="auto"/>
                <w:highlight w:val="none"/>
              </w:rPr>
            </w:pPr>
            <w:r>
              <w:rPr>
                <w:rFonts w:hint="eastAsia" w:ascii="仿宋" w:hAnsi="仿宋" w:eastAsia="仿宋" w:cs="仿宋"/>
                <w:color w:val="auto"/>
                <w:highlight w:val="none"/>
              </w:rPr>
              <w:t>10%</w:t>
            </w:r>
          </w:p>
        </w:tc>
        <w:tc>
          <w:tcPr>
            <w:tcW w:w="3923" w:type="dxa"/>
            <w:tcBorders>
              <w:right w:val="single" w:color="auto" w:sz="4" w:space="0"/>
            </w:tcBorders>
            <w:noWrap w:val="0"/>
            <w:vAlign w:val="center"/>
          </w:tcPr>
          <w:p w14:paraId="5DFD941C">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永久供水、永久供电等专业工程设计文件通过相关部门审查。提交完整的支付申请资料后15个工作日内。</w:t>
            </w:r>
          </w:p>
        </w:tc>
        <w:tc>
          <w:tcPr>
            <w:tcW w:w="2917" w:type="dxa"/>
            <w:tcBorders>
              <w:left w:val="single" w:color="auto" w:sz="4" w:space="0"/>
            </w:tcBorders>
            <w:noWrap w:val="0"/>
            <w:vAlign w:val="center"/>
          </w:tcPr>
          <w:p w14:paraId="32C4C426">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累计支付至：补充协议设计费的80%。</w:t>
            </w:r>
          </w:p>
        </w:tc>
      </w:tr>
      <w:tr w14:paraId="005D14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01" w:hRule="atLeast"/>
        </w:trPr>
        <w:tc>
          <w:tcPr>
            <w:tcW w:w="767" w:type="dxa"/>
            <w:tcBorders>
              <w:top w:val="single" w:color="auto" w:sz="4" w:space="0"/>
            </w:tcBorders>
            <w:noWrap w:val="0"/>
            <w:vAlign w:val="center"/>
          </w:tcPr>
          <w:p w14:paraId="1BBE3A20">
            <w:pPr>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w:t>
            </w:r>
          </w:p>
        </w:tc>
        <w:tc>
          <w:tcPr>
            <w:tcW w:w="783" w:type="dxa"/>
            <w:tcBorders>
              <w:top w:val="single" w:color="auto" w:sz="4" w:space="0"/>
            </w:tcBorders>
            <w:noWrap w:val="0"/>
            <w:vAlign w:val="center"/>
          </w:tcPr>
          <w:p w14:paraId="3CF795C0">
            <w:pPr>
              <w:jc w:val="center"/>
              <w:rPr>
                <w:rFonts w:hint="eastAsia" w:ascii="仿宋" w:hAnsi="仿宋" w:eastAsia="仿宋" w:cs="仿宋"/>
                <w:color w:val="auto"/>
                <w:highlight w:val="none"/>
              </w:rPr>
            </w:pPr>
            <w:r>
              <w:rPr>
                <w:rFonts w:hint="eastAsia" w:ascii="仿宋" w:hAnsi="仿宋" w:eastAsia="仿宋" w:cs="仿宋"/>
                <w:color w:val="auto"/>
                <w:highlight w:val="none"/>
              </w:rPr>
              <w:t>17％</w:t>
            </w:r>
          </w:p>
        </w:tc>
        <w:tc>
          <w:tcPr>
            <w:tcW w:w="3923" w:type="dxa"/>
            <w:tcBorders>
              <w:top w:val="single" w:color="auto" w:sz="4" w:space="0"/>
              <w:right w:val="single" w:color="auto" w:sz="4" w:space="0"/>
            </w:tcBorders>
            <w:noWrap w:val="0"/>
            <w:vAlign w:val="center"/>
          </w:tcPr>
          <w:p w14:paraId="3203743A">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工程竣工备案完成，办理设计费结算手续后</w:t>
            </w:r>
            <w:r>
              <w:rPr>
                <w:rFonts w:hint="eastAsia" w:ascii="仿宋" w:hAnsi="仿宋" w:eastAsia="仿宋" w:cs="仿宋"/>
                <w:color w:val="auto"/>
                <w:highlight w:val="none"/>
                <w:u w:val="single"/>
                <w:lang w:eastAsia="zh-CN"/>
              </w:rPr>
              <w:t>15</w:t>
            </w:r>
            <w:r>
              <w:rPr>
                <w:rFonts w:hint="eastAsia" w:ascii="仿宋" w:hAnsi="仿宋" w:eastAsia="仿宋" w:cs="仿宋"/>
                <w:color w:val="auto"/>
                <w:highlight w:val="none"/>
                <w:lang w:eastAsia="zh-CN"/>
              </w:rPr>
              <w:t>个工作日内。</w:t>
            </w:r>
          </w:p>
        </w:tc>
        <w:tc>
          <w:tcPr>
            <w:tcW w:w="2917" w:type="dxa"/>
            <w:tcBorders>
              <w:top w:val="single" w:color="auto" w:sz="4" w:space="0"/>
              <w:left w:val="single" w:color="auto" w:sz="4" w:space="0"/>
            </w:tcBorders>
            <w:noWrap w:val="0"/>
            <w:vAlign w:val="center"/>
          </w:tcPr>
          <w:p w14:paraId="4E638BF8">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累计支付至：设计费终审结算价的97%，尾款3%为无责任缺陷保证金，在缺陷责任期为竣工后两年，缺陷责任期限内甲方确认未出现任何缺陷问题的，期限届满后无息付清余款。</w:t>
            </w:r>
          </w:p>
        </w:tc>
      </w:tr>
      <w:tr w14:paraId="79B218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97" w:hRule="atLeast"/>
        </w:trPr>
        <w:tc>
          <w:tcPr>
            <w:tcW w:w="767" w:type="dxa"/>
            <w:noWrap w:val="0"/>
            <w:vAlign w:val="center"/>
          </w:tcPr>
          <w:p w14:paraId="206C360E">
            <w:pPr>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w:t>
            </w:r>
          </w:p>
        </w:tc>
        <w:tc>
          <w:tcPr>
            <w:tcW w:w="783" w:type="dxa"/>
            <w:noWrap w:val="0"/>
            <w:vAlign w:val="center"/>
          </w:tcPr>
          <w:p w14:paraId="4E24AFC8">
            <w:pPr>
              <w:jc w:val="center"/>
              <w:rPr>
                <w:rFonts w:hint="eastAsia" w:ascii="仿宋" w:hAnsi="仿宋" w:eastAsia="仿宋" w:cs="仿宋"/>
                <w:color w:val="auto"/>
                <w:highlight w:val="none"/>
              </w:rPr>
            </w:pPr>
            <w:r>
              <w:rPr>
                <w:rFonts w:hint="eastAsia" w:ascii="仿宋" w:hAnsi="仿宋" w:eastAsia="仿宋" w:cs="仿宋"/>
                <w:color w:val="auto"/>
                <w:highlight w:val="none"/>
              </w:rPr>
              <w:t>3％</w:t>
            </w:r>
          </w:p>
        </w:tc>
        <w:tc>
          <w:tcPr>
            <w:tcW w:w="3923" w:type="dxa"/>
            <w:tcBorders>
              <w:right w:val="single" w:color="auto" w:sz="4" w:space="0"/>
            </w:tcBorders>
            <w:noWrap w:val="0"/>
            <w:vAlign w:val="center"/>
          </w:tcPr>
          <w:p w14:paraId="6B002332">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缺陷责任期为竣工后两年，缺陷责任期限届满</w:t>
            </w:r>
            <w:r>
              <w:rPr>
                <w:rFonts w:hint="eastAsia" w:ascii="仿宋" w:hAnsi="仿宋" w:eastAsia="仿宋" w:cs="仿宋"/>
                <w:color w:val="auto"/>
                <w:highlight w:val="none"/>
                <w:u w:val="single"/>
                <w:lang w:eastAsia="zh-CN"/>
              </w:rPr>
              <w:t>15</w:t>
            </w:r>
            <w:r>
              <w:rPr>
                <w:rFonts w:hint="eastAsia" w:ascii="仿宋" w:hAnsi="仿宋" w:eastAsia="仿宋" w:cs="仿宋"/>
                <w:color w:val="auto"/>
                <w:highlight w:val="none"/>
                <w:lang w:eastAsia="zh-CN"/>
              </w:rPr>
              <w:t>个工作日内，设计费全部付清。</w:t>
            </w:r>
          </w:p>
        </w:tc>
        <w:tc>
          <w:tcPr>
            <w:tcW w:w="2917" w:type="dxa"/>
            <w:tcBorders>
              <w:left w:val="single" w:color="auto" w:sz="4" w:space="0"/>
            </w:tcBorders>
            <w:noWrap w:val="0"/>
            <w:vAlign w:val="center"/>
          </w:tcPr>
          <w:p w14:paraId="0B3A7122">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累计支付至：设计费终审结算价的100%</w:t>
            </w:r>
          </w:p>
        </w:tc>
      </w:tr>
    </w:tbl>
    <w:p w14:paraId="233A47C2">
      <w:pPr>
        <w:spacing w:line="360" w:lineRule="auto"/>
        <w:rPr>
          <w:rFonts w:hint="eastAsia" w:ascii="仿宋" w:hAnsi="仿宋" w:eastAsia="仿宋" w:cs="仿宋"/>
          <w:color w:val="auto"/>
          <w:highlight w:val="none"/>
          <w:lang w:eastAsia="zh-CN"/>
        </w:rPr>
      </w:pPr>
    </w:p>
    <w:p w14:paraId="2F3E3C0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说明：工程缓建或分期建设的，则按实际完成工作量占总工作量的比例计算对应比例的设计费进行分期支付。设计跨阶段满足交付要求的，则按实际完成工作对应阶段设计费进行支付。</w:t>
      </w:r>
    </w:p>
    <w:p w14:paraId="25FC1C32">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                         </w:t>
      </w:r>
    </w:p>
    <w:p w14:paraId="4B5868A0">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扣减绩效考核金</w:t>
      </w:r>
    </w:p>
    <w:p w14:paraId="33DC3612">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施工</w:t>
      </w:r>
    </w:p>
    <w:p w14:paraId="01FEFF86">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3A4C2E73">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以时间为计付周期，每</w:t>
      </w:r>
      <w:r>
        <w:rPr>
          <w:rFonts w:hint="eastAsia" w:ascii="仿宋" w:hAnsi="仿宋" w:eastAsia="仿宋" w:cs="仿宋"/>
          <w:color w:val="auto"/>
          <w:highlight w:val="none"/>
          <w:u w:val="single"/>
          <w:lang w:eastAsia="zh-CN"/>
        </w:rPr>
        <w:t xml:space="preserve"> 1 </w:t>
      </w:r>
      <w:r>
        <w:rPr>
          <w:rFonts w:hint="eastAsia" w:ascii="仿宋" w:hAnsi="仿宋" w:eastAsia="仿宋" w:cs="仿宋"/>
          <w:color w:val="auto"/>
          <w:highlight w:val="none"/>
          <w:lang w:eastAsia="zh-CN"/>
        </w:rPr>
        <w:t>月计付一次，具体约定如下：</w:t>
      </w:r>
    </w:p>
    <w:p w14:paraId="7D848F20">
      <w:pPr>
        <w:spacing w:line="360" w:lineRule="auto"/>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u w:val="single"/>
          <w:lang w:eastAsia="zh-CN"/>
        </w:rPr>
        <w:t>（1）月进度款按经审核的已标价工程量清单计量，支付申请经审批后15个工作日内支付。</w:t>
      </w:r>
      <w:r>
        <w:rPr>
          <w:rFonts w:hint="eastAsia" w:ascii="仿宋" w:hAnsi="仿宋" w:eastAsia="仿宋"/>
          <w:color w:val="auto"/>
          <w:highlight w:val="none"/>
          <w:u w:val="single"/>
          <w:lang w:val="en-US" w:eastAsia="zh-CN"/>
        </w:rPr>
        <w:t>当</w:t>
      </w:r>
      <w:r>
        <w:rPr>
          <w:rFonts w:hint="eastAsia" w:ascii="仿宋" w:hAnsi="仿宋" w:eastAsia="仿宋"/>
          <w:color w:val="auto"/>
          <w:highlight w:val="none"/>
          <w:u w:val="single"/>
          <w:lang w:eastAsia="zh-CN"/>
        </w:rPr>
        <w:t>月工程进度款=当月完成合格工程量的金额×80％-当月应扣款，且不超过已标价工程量清单造价的80%。进度款累计支付不超过合同价（不含勘察、设计费用，同时扣除绿色施工安全防护措施费</w:t>
      </w:r>
      <w:r>
        <w:rPr>
          <w:rFonts w:hint="eastAsia" w:ascii="仿宋" w:hAnsi="仿宋" w:eastAsia="仿宋"/>
          <w:color w:val="auto"/>
          <w:highlight w:val="none"/>
          <w:u w:val="single"/>
          <w:lang w:val="en-US" w:eastAsia="zh-CN"/>
        </w:rPr>
        <w:t>中的安全生产措施费</w:t>
      </w:r>
      <w:r>
        <w:rPr>
          <w:rFonts w:hint="eastAsia" w:ascii="仿宋" w:hAnsi="仿宋" w:eastAsia="仿宋"/>
          <w:color w:val="auto"/>
          <w:highlight w:val="none"/>
          <w:u w:val="single"/>
          <w:lang w:eastAsia="zh-CN"/>
        </w:rPr>
        <w:t>）的80%。</w:t>
      </w:r>
    </w:p>
    <w:p w14:paraId="60F81652">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（2）按合同约定的计价方式签订补充协议之后，月进度款按签订的补充协议已标价工程量清单计量，</w:t>
      </w:r>
      <w:r>
        <w:rPr>
          <w:rFonts w:hint="eastAsia" w:ascii="仿宋" w:hAnsi="仿宋" w:eastAsia="仿宋"/>
          <w:color w:val="auto"/>
          <w:highlight w:val="none"/>
          <w:u w:val="single"/>
          <w:lang w:val="en-US" w:eastAsia="zh-CN"/>
        </w:rPr>
        <w:t>当</w:t>
      </w:r>
      <w:r>
        <w:rPr>
          <w:rFonts w:hint="eastAsia" w:ascii="仿宋" w:hAnsi="仿宋" w:eastAsia="仿宋"/>
          <w:color w:val="auto"/>
          <w:highlight w:val="none"/>
          <w:u w:val="single"/>
          <w:lang w:eastAsia="zh-CN"/>
        </w:rPr>
        <w:t>月工程进度款=当月已完成合格工程量的金额×80％-当月应扣款。项目整体竣工验收前，进度款累计支付不超过签订的补充协议合同价（不含勘察、设计费用，同时扣除施工部分绿色施工安全防护措施费</w:t>
      </w:r>
      <w:r>
        <w:rPr>
          <w:rFonts w:hint="eastAsia" w:ascii="仿宋" w:hAnsi="仿宋" w:eastAsia="仿宋"/>
          <w:color w:val="auto"/>
          <w:highlight w:val="none"/>
          <w:u w:val="single"/>
          <w:lang w:val="en-US" w:eastAsia="zh-CN"/>
        </w:rPr>
        <w:t>的安全生产措施费</w:t>
      </w:r>
      <w:r>
        <w:rPr>
          <w:rFonts w:hint="eastAsia" w:ascii="仿宋" w:hAnsi="仿宋" w:eastAsia="仿宋"/>
          <w:color w:val="auto"/>
          <w:highlight w:val="none"/>
          <w:u w:val="single"/>
          <w:lang w:eastAsia="zh-CN"/>
        </w:rPr>
        <w:t>及暂列金额）的80%。</w:t>
      </w:r>
    </w:p>
    <w:p w14:paraId="7C7779DE">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（3）工程竣工结算经终审部门评审出具结算评审报告后，支付至工程结算价的97%。</w:t>
      </w:r>
    </w:p>
    <w:p w14:paraId="16C04382">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（4）工程结算价的3%为质量保证金。自工程竣工验收合格之日起满二年，扣除甲方代付的保修费用，并在乙方提供工程结算价的1%防水保函后一个月内无息付清，防水保函在防渗漏工程保修期满后退还。</w:t>
      </w:r>
    </w:p>
    <w:p w14:paraId="2BEA509E">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14:paraId="39B2CFF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14:paraId="733D579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                </w:t>
      </w:r>
    </w:p>
    <w:p w14:paraId="130EC27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(11)本期间应支付或扣留（回）的其他款项</w:t>
      </w:r>
    </w:p>
    <w:p w14:paraId="716414C4">
      <w:pPr>
        <w:pStyle w:val="23"/>
        <w:spacing w:line="360" w:lineRule="auto"/>
        <w:ind w:firstLine="480" w:firstLineChars="200"/>
        <w:rPr>
          <w:rFonts w:hint="eastAsia" w:ascii="仿宋" w:hAnsi="仿宋" w:eastAsia="仿宋" w:cs="仿宋"/>
          <w:color w:val="auto"/>
          <w:sz w:val="24"/>
          <w:szCs w:val="24"/>
          <w:highlight w:val="none"/>
          <w:u w:val="single"/>
          <w:lang w:eastAsia="zh-CN" w:bidi="en-US"/>
        </w:rPr>
      </w:pPr>
      <w:r>
        <w:rPr>
          <w:rFonts w:hint="eastAsia" w:ascii="仿宋" w:hAnsi="仿宋" w:eastAsia="仿宋" w:cs="仿宋"/>
          <w:color w:val="auto"/>
          <w:sz w:val="24"/>
          <w:szCs w:val="24"/>
          <w:highlight w:val="none"/>
          <w:u w:val="single"/>
          <w:lang w:eastAsia="zh-CN" w:bidi="en-US"/>
        </w:rPr>
        <w:t>档案验收备案和移交工作未完成的扣留款及其支付：竣工结算节点工程款支付时，承包人未完成本工程档案验收备案和移交工作，发包人按结算总价的0.3%（最低金额不少于100万元）的额度扣留工程款；该扣留款在承包人完成本工程档案验收备案和移交工作后14天内支付。</w:t>
      </w:r>
    </w:p>
    <w:p w14:paraId="7DBAC4D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BIM技术应用</w:t>
      </w:r>
    </w:p>
    <w:p w14:paraId="30A4B44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724B48F6">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D21EB9D">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293E5DE8">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EF0CC01">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9477729">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3EC5C5BC">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9E1490F">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设备及工器具购置</w:t>
      </w:r>
    </w:p>
    <w:p w14:paraId="7658127D">
      <w:pPr>
        <w:spacing w:line="360" w:lineRule="auto"/>
        <w:ind w:firstLine="1440" w:firstLineChars="6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10EEBD1F">
      <w:pPr>
        <w:spacing w:line="360" w:lineRule="auto"/>
        <w:ind w:firstLine="1572" w:firstLineChars="655"/>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35F2C88">
      <w:pPr>
        <w:spacing w:line="360" w:lineRule="auto"/>
        <w:ind w:firstLine="1572" w:firstLineChars="65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26504255">
      <w:pPr>
        <w:spacing w:line="360" w:lineRule="auto"/>
        <w:ind w:left="1464" w:leftChars="61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A03C313">
      <w:pPr>
        <w:spacing w:line="360" w:lineRule="auto"/>
        <w:ind w:left="1464" w:leftChars="61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r>
        <w:rPr>
          <w:rFonts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14:paraId="5FC5ECF5">
      <w:pPr>
        <w:spacing w:line="360" w:lineRule="auto"/>
        <w:ind w:firstLine="1440" w:firstLineChars="6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533F700E">
      <w:pPr>
        <w:spacing w:line="360" w:lineRule="auto"/>
        <w:ind w:firstLine="1440" w:firstLineChars="6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33322352">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其他</w:t>
      </w:r>
    </w:p>
    <w:p w14:paraId="1B3902C5">
      <w:pPr>
        <w:spacing w:line="360" w:lineRule="auto"/>
        <w:ind w:firstLine="1440" w:firstLineChars="6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16ED250F">
      <w:pPr>
        <w:spacing w:line="360" w:lineRule="auto"/>
        <w:ind w:firstLine="1572" w:firstLineChars="655"/>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EDEB122">
      <w:pPr>
        <w:spacing w:line="360" w:lineRule="auto"/>
        <w:ind w:firstLine="1572" w:firstLineChars="65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A516782">
      <w:pPr>
        <w:spacing w:line="360" w:lineRule="auto"/>
        <w:ind w:left="1464" w:leftChars="61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7600D61">
      <w:pPr>
        <w:spacing w:line="360" w:lineRule="auto"/>
        <w:ind w:left="1464" w:leftChars="61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r>
        <w:rPr>
          <w:rFonts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14:paraId="4D9C5A58">
      <w:pPr>
        <w:spacing w:line="360" w:lineRule="auto"/>
        <w:ind w:firstLine="1320" w:firstLineChars="5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6B7B740B">
      <w:pPr>
        <w:spacing w:line="360" w:lineRule="auto"/>
        <w:ind w:firstLine="1440" w:firstLineChars="6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5D6D20E4">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86.2 期中支付的最低限额为：□勘察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元；□设计</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元；□施工</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元；□BIM技术应用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元；□设备及工器具购置</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元；其他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646DD2A3">
      <w:pPr>
        <w:spacing w:line="360" w:lineRule="auto"/>
        <w:ind w:firstLine="720" w:firstLineChars="300"/>
        <w:rPr>
          <w:rFonts w:ascii="仿宋" w:hAnsi="仿宋" w:eastAsia="仿宋"/>
          <w:color w:val="auto"/>
          <w:highlight w:val="none"/>
          <w:lang w:eastAsia="zh-CN"/>
        </w:rPr>
      </w:pPr>
      <w:r>
        <w:rPr>
          <w:rFonts w:ascii="仿宋" w:hAnsi="仿宋" w:eastAsia="仿宋"/>
          <w:color w:val="auto"/>
          <w:highlight w:val="none"/>
          <w:lang w:eastAsia="zh-CN"/>
        </w:rPr>
        <w:t>8</w:t>
      </w:r>
      <w:r>
        <w:rPr>
          <w:rFonts w:hint="eastAsia" w:ascii="仿宋" w:hAnsi="仿宋" w:eastAsia="仿宋"/>
          <w:color w:val="auto"/>
          <w:highlight w:val="none"/>
          <w:lang w:eastAsia="zh-CN"/>
        </w:rPr>
        <w:t>6</w:t>
      </w:r>
      <w:r>
        <w:rPr>
          <w:rFonts w:ascii="仿宋" w:hAnsi="仿宋" w:eastAsia="仿宋"/>
          <w:color w:val="auto"/>
          <w:highlight w:val="none"/>
          <w:lang w:eastAsia="zh-CN"/>
        </w:rPr>
        <w:t>.7 补充条款</w:t>
      </w:r>
    </w:p>
    <w:p w14:paraId="4F832F30">
      <w:pPr>
        <w:spacing w:line="360" w:lineRule="auto"/>
        <w:ind w:firstLine="720" w:firstLineChars="3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1</w:t>
      </w:r>
      <w:r>
        <w:rPr>
          <w:rFonts w:hint="eastAsia" w:ascii="仿宋" w:hAnsi="仿宋" w:eastAsia="仿宋"/>
          <w:color w:val="auto"/>
          <w:highlight w:val="none"/>
          <w:lang w:eastAsia="zh-CN"/>
        </w:rPr>
        <w:t>)</w:t>
      </w:r>
      <w:r>
        <w:rPr>
          <w:rFonts w:ascii="仿宋" w:hAnsi="仿宋" w:eastAsia="仿宋"/>
          <w:color w:val="auto"/>
          <w:highlight w:val="none"/>
          <w:lang w:eastAsia="zh-CN"/>
        </w:rPr>
        <w:t xml:space="preserve"> 已完工程的计量与支付必须按合同约定的技术条件、发包人批准的施工图有关要求及规定完成，包括合同规定的与已完工程计量有关且必须完成的责任和义务。</w:t>
      </w:r>
    </w:p>
    <w:p w14:paraId="12A7DE8D">
      <w:pPr>
        <w:spacing w:line="360" w:lineRule="auto"/>
        <w:ind w:firstLine="720" w:firstLineChars="300"/>
        <w:rPr>
          <w:rFonts w:ascii="仿宋" w:hAnsi="仿宋" w:eastAsia="仿宋"/>
          <w:color w:val="auto"/>
          <w:highlight w:val="none"/>
          <w:lang w:eastAsia="zh-CN"/>
        </w:rPr>
      </w:pPr>
      <w:r>
        <w:rPr>
          <w:rFonts w:hint="eastAsia" w:ascii="仿宋" w:hAnsi="仿宋" w:eastAsia="仿宋"/>
          <w:color w:val="auto"/>
          <w:highlight w:val="none"/>
          <w:lang w:eastAsia="zh-CN"/>
        </w:rPr>
        <w:t>(2)</w:t>
      </w:r>
      <w:r>
        <w:rPr>
          <w:rFonts w:ascii="仿宋" w:hAnsi="仿宋" w:eastAsia="仿宋"/>
          <w:color w:val="auto"/>
          <w:highlight w:val="none"/>
          <w:lang w:eastAsia="zh-CN"/>
        </w:rPr>
        <w:t xml:space="preserve"> 已完工程的计量与支付需得到监理工程师</w:t>
      </w:r>
      <w:r>
        <w:rPr>
          <w:rFonts w:hint="eastAsia" w:ascii="仿宋" w:hAnsi="仿宋" w:eastAsia="仿宋"/>
          <w:color w:val="auto"/>
          <w:highlight w:val="none"/>
          <w:lang w:eastAsia="zh-CN"/>
        </w:rPr>
        <w:t>、造价工程师</w:t>
      </w:r>
      <w:r>
        <w:rPr>
          <w:rFonts w:ascii="仿宋" w:hAnsi="仿宋" w:eastAsia="仿宋"/>
          <w:color w:val="auto"/>
          <w:highlight w:val="none"/>
          <w:lang w:eastAsia="zh-CN"/>
        </w:rPr>
        <w:t>和发包人的认可。如承包人的工作不能使监理工程师</w:t>
      </w:r>
      <w:r>
        <w:rPr>
          <w:rFonts w:hint="eastAsia" w:ascii="仿宋" w:hAnsi="仿宋" w:eastAsia="仿宋"/>
          <w:color w:val="auto"/>
          <w:highlight w:val="none"/>
          <w:lang w:eastAsia="zh-CN"/>
        </w:rPr>
        <w:t>、造价工程师</w:t>
      </w:r>
      <w:r>
        <w:rPr>
          <w:rFonts w:ascii="仿宋" w:hAnsi="仿宋" w:eastAsia="仿宋"/>
          <w:color w:val="auto"/>
          <w:highlight w:val="none"/>
          <w:lang w:eastAsia="zh-CN"/>
        </w:rPr>
        <w:t>和发包人满意（如：质量不合格、工程进度缓慢、施工总承包管理和配合服务不到位或有其它方面违背合同的行为等），监理工程师</w:t>
      </w:r>
      <w:r>
        <w:rPr>
          <w:rFonts w:hint="eastAsia" w:ascii="仿宋" w:hAnsi="仿宋" w:eastAsia="仿宋"/>
          <w:color w:val="auto"/>
          <w:highlight w:val="none"/>
          <w:lang w:eastAsia="zh-CN"/>
        </w:rPr>
        <w:t>、造价工程师</w:t>
      </w:r>
      <w:r>
        <w:rPr>
          <w:rFonts w:ascii="仿宋" w:hAnsi="仿宋" w:eastAsia="仿宋"/>
          <w:color w:val="auto"/>
          <w:highlight w:val="none"/>
          <w:lang w:eastAsia="zh-CN"/>
        </w:rPr>
        <w:t>和发包人有权拒绝计量与支付</w:t>
      </w:r>
      <w:r>
        <w:rPr>
          <w:rFonts w:hint="eastAsia" w:ascii="仿宋" w:hAnsi="仿宋" w:eastAsia="仿宋"/>
          <w:color w:val="auto"/>
          <w:highlight w:val="none"/>
          <w:lang w:eastAsia="zh-CN"/>
        </w:rPr>
        <w:t>或有权暂扣一定额度进度款</w:t>
      </w:r>
      <w:r>
        <w:rPr>
          <w:rFonts w:ascii="仿宋" w:hAnsi="仿宋" w:eastAsia="仿宋"/>
          <w:color w:val="auto"/>
          <w:highlight w:val="none"/>
          <w:lang w:eastAsia="zh-CN"/>
        </w:rPr>
        <w:t>。</w:t>
      </w:r>
    </w:p>
    <w:p w14:paraId="1060A945">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olor w:val="auto"/>
          <w:highlight w:val="none"/>
          <w:lang w:eastAsia="zh-CN"/>
        </w:rPr>
        <w:t>（3）本合同工程款实行资金专户管理，资金专户资金支付需设立两级网银授权审批，由建设单位和承包人分别进行网银授权后方可支出资金。承包人需保证资金全部用于本项目工程建设。承包人通过资金专户对外支付前，需提供付款计划明细及对应收款单位的营业执照、盖公章的银行账户信息、与承包人签订的分包分供合同(如有)、票据等有关证明资料，经监理工程师、建设管理单位（如有）审核并经建设单位批准后，承包人方可下级支付。</w:t>
      </w:r>
    </w:p>
    <w:p w14:paraId="4A127780">
      <w:pPr>
        <w:spacing w:line="360" w:lineRule="auto"/>
        <w:ind w:firstLine="720" w:firstLineChars="300"/>
        <w:rPr>
          <w:rFonts w:ascii="仿宋" w:hAnsi="仿宋" w:eastAsia="仿宋"/>
          <w:color w:val="auto"/>
          <w:highlight w:val="none"/>
          <w:lang w:eastAsia="zh-CN"/>
        </w:rPr>
      </w:pPr>
      <w:r>
        <w:rPr>
          <w:rFonts w:hint="eastAsia" w:ascii="仿宋" w:hAnsi="仿宋" w:eastAsia="仿宋"/>
          <w:color w:val="auto"/>
          <w:highlight w:val="none"/>
          <w:lang w:eastAsia="zh-CN"/>
        </w:rPr>
        <w:t>若一旦发现资金被挪用、被冻结，经函告后，承包人须在7～10个自然日内将挪用资金返还至本项目资金监管账户，并承担挪用资金的10%作为违约金。因资金被挪用、被冻结影响本项目未能按施工计划进行施工的，按延误工期相关处罚条款执行。</w:t>
      </w:r>
    </w:p>
    <w:p w14:paraId="7BCED6F5">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1936" w:name="_Toc14710"/>
      <w:bookmarkStart w:id="1937" w:name="_Toc17054"/>
      <w:bookmarkStart w:id="1938" w:name="_Toc1189"/>
      <w:bookmarkStart w:id="1939" w:name="_Toc25243"/>
      <w:bookmarkStart w:id="1940" w:name="_Toc47694445"/>
      <w:bookmarkStart w:id="1941" w:name="_Toc17729"/>
      <w:bookmarkStart w:id="1942" w:name="_Toc15799"/>
      <w:bookmarkStart w:id="1943" w:name="_Toc18416"/>
      <w:r>
        <w:rPr>
          <w:rFonts w:hint="eastAsia" w:ascii="仿宋" w:hAnsi="仿宋" w:eastAsia="仿宋" w:cs="仿宋"/>
          <w:b w:val="0"/>
          <w:bCs w:val="0"/>
          <w:i w:val="0"/>
          <w:iCs w:val="0"/>
          <w:color w:val="auto"/>
          <w:sz w:val="24"/>
          <w:szCs w:val="24"/>
          <w:highlight w:val="none"/>
          <w:lang w:eastAsia="zh-CN"/>
        </w:rPr>
        <w:t>★87.  竣工结算</w:t>
      </w:r>
      <w:bookmarkEnd w:id="1936"/>
      <w:bookmarkEnd w:id="1937"/>
      <w:bookmarkEnd w:id="1938"/>
      <w:bookmarkEnd w:id="1939"/>
      <w:bookmarkEnd w:id="1940"/>
      <w:bookmarkEnd w:id="1941"/>
      <w:bookmarkEnd w:id="1942"/>
      <w:bookmarkEnd w:id="1943"/>
    </w:p>
    <w:p w14:paraId="08F3150C">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87.1 约定结算程序和时限</w:t>
      </w:r>
    </w:p>
    <w:p w14:paraId="0DBA21E0">
      <w:pPr>
        <w:spacing w:line="360" w:lineRule="auto"/>
        <w:ind w:firstLine="859" w:firstLineChars="358"/>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①竣工结算的程序和时限：</w:t>
      </w:r>
    </w:p>
    <w:p w14:paraId="70686F04">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按通用条款的约定办理。</w:t>
      </w:r>
    </w:p>
    <w:p w14:paraId="465F1BB5">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p>
    <w:p w14:paraId="6006936F">
      <w:pPr>
        <w:spacing w:line="360" w:lineRule="auto"/>
        <w:ind w:firstLine="1212" w:firstLineChars="505"/>
        <w:rPr>
          <w:rFonts w:ascii="仿宋" w:hAnsi="仿宋" w:eastAsia="仿宋"/>
          <w:color w:val="auto"/>
          <w:highlight w:val="none"/>
          <w:lang w:eastAsia="zh-CN"/>
        </w:rPr>
      </w:pPr>
      <w:r>
        <w:rPr>
          <w:rFonts w:ascii="仿宋" w:hAnsi="仿宋" w:eastAsia="仿宋"/>
          <w:color w:val="auto"/>
          <w:highlight w:val="none"/>
          <w:lang w:eastAsia="zh-CN"/>
        </w:rPr>
        <w:t>①工程竣工验收后</w:t>
      </w:r>
      <w:r>
        <w:rPr>
          <w:rFonts w:hint="eastAsia" w:ascii="仿宋" w:hAnsi="仿宋" w:eastAsia="仿宋"/>
          <w:color w:val="auto"/>
          <w:highlight w:val="none"/>
          <w:lang w:eastAsia="zh-CN"/>
        </w:rPr>
        <w:t>90</w:t>
      </w:r>
      <w:r>
        <w:rPr>
          <w:rFonts w:ascii="仿宋" w:hAnsi="仿宋" w:eastAsia="仿宋"/>
          <w:color w:val="auto"/>
          <w:highlight w:val="none"/>
          <w:lang w:eastAsia="zh-CN"/>
        </w:rPr>
        <w:t>天内，承包人</w:t>
      </w:r>
      <w:r>
        <w:rPr>
          <w:rFonts w:hint="eastAsia" w:ascii="仿宋" w:hAnsi="仿宋" w:eastAsia="仿宋"/>
          <w:color w:val="auto"/>
          <w:highlight w:val="none"/>
          <w:lang w:eastAsia="zh-CN"/>
        </w:rPr>
        <w:t>向监理人</w:t>
      </w:r>
      <w:r>
        <w:rPr>
          <w:rFonts w:ascii="仿宋" w:hAnsi="仿宋" w:eastAsia="仿宋"/>
          <w:color w:val="auto"/>
          <w:highlight w:val="none"/>
          <w:lang w:eastAsia="zh-CN"/>
        </w:rPr>
        <w:t>提交完整的竣工结算</w:t>
      </w:r>
      <w:r>
        <w:rPr>
          <w:rFonts w:hint="eastAsia" w:ascii="仿宋" w:hAnsi="仿宋" w:eastAsia="仿宋"/>
          <w:color w:val="auto"/>
          <w:highlight w:val="none"/>
          <w:lang w:eastAsia="zh-CN"/>
        </w:rPr>
        <w:t>文件；</w:t>
      </w:r>
    </w:p>
    <w:p w14:paraId="67E906CA">
      <w:pPr>
        <w:spacing w:line="360" w:lineRule="auto"/>
        <w:ind w:firstLine="1212" w:firstLineChars="505"/>
        <w:rPr>
          <w:rFonts w:ascii="仿宋" w:hAnsi="仿宋" w:eastAsia="仿宋"/>
          <w:color w:val="auto"/>
          <w:highlight w:val="none"/>
          <w:lang w:eastAsia="zh-CN"/>
        </w:rPr>
      </w:pPr>
      <w:r>
        <w:rPr>
          <w:rFonts w:hint="eastAsia" w:ascii="仿宋" w:hAnsi="仿宋" w:eastAsia="仿宋"/>
          <w:color w:val="auto"/>
          <w:highlight w:val="none"/>
          <w:lang w:eastAsia="zh-CN"/>
        </w:rPr>
        <w:t>②监理人收到</w:t>
      </w:r>
      <w:r>
        <w:rPr>
          <w:rFonts w:ascii="仿宋" w:hAnsi="仿宋" w:eastAsia="仿宋"/>
          <w:color w:val="auto"/>
          <w:highlight w:val="none"/>
          <w:lang w:eastAsia="zh-CN"/>
        </w:rPr>
        <w:t>完整的竣工结算</w:t>
      </w:r>
      <w:r>
        <w:rPr>
          <w:rFonts w:hint="eastAsia" w:ascii="仿宋" w:hAnsi="仿宋" w:eastAsia="仿宋"/>
          <w:color w:val="auto"/>
          <w:highlight w:val="none"/>
          <w:lang w:eastAsia="zh-CN"/>
        </w:rPr>
        <w:t>文件后30天内提出初步审核意见并通知承包人核对，核对无异议后承包人将其提交给发包人；</w:t>
      </w:r>
    </w:p>
    <w:p w14:paraId="3E6D3290">
      <w:pPr>
        <w:spacing w:line="360" w:lineRule="auto"/>
        <w:ind w:firstLine="1200" w:firstLineChars="500"/>
        <w:rPr>
          <w:rFonts w:ascii="仿宋" w:hAnsi="仿宋" w:eastAsia="仿宋"/>
          <w:color w:val="auto"/>
          <w:highlight w:val="none"/>
          <w:lang w:eastAsia="zh-CN"/>
        </w:rPr>
      </w:pPr>
      <w:r>
        <w:rPr>
          <w:rFonts w:hint="eastAsia" w:ascii="仿宋" w:hAnsi="仿宋" w:eastAsia="仿宋"/>
          <w:color w:val="auto"/>
          <w:highlight w:val="none"/>
          <w:lang w:eastAsia="zh-CN"/>
        </w:rPr>
        <w:t>③发包人收到上述</w:t>
      </w:r>
      <w:r>
        <w:rPr>
          <w:rFonts w:ascii="仿宋" w:hAnsi="仿宋" w:eastAsia="仿宋"/>
          <w:color w:val="auto"/>
          <w:highlight w:val="none"/>
          <w:lang w:eastAsia="zh-CN"/>
        </w:rPr>
        <w:t>竣工结算</w:t>
      </w:r>
      <w:r>
        <w:rPr>
          <w:rFonts w:hint="eastAsia" w:ascii="仿宋" w:hAnsi="仿宋" w:eastAsia="仿宋"/>
          <w:color w:val="auto"/>
          <w:highlight w:val="none"/>
          <w:lang w:eastAsia="zh-CN"/>
        </w:rPr>
        <w:t>文件后14天内</w:t>
      </w:r>
      <w:r>
        <w:rPr>
          <w:rFonts w:hint="eastAsia" w:ascii="仿宋" w:hAnsi="仿宋" w:eastAsia="仿宋" w:cs="仿宋"/>
          <w:color w:val="auto"/>
          <w:highlight w:val="none"/>
          <w:lang w:eastAsia="zh-CN"/>
        </w:rPr>
        <w:t>委托第三方造价咨询人</w:t>
      </w:r>
      <w:r>
        <w:rPr>
          <w:rFonts w:hint="eastAsia" w:ascii="仿宋" w:hAnsi="仿宋" w:eastAsia="仿宋"/>
          <w:color w:val="auto"/>
          <w:highlight w:val="none"/>
          <w:lang w:eastAsia="zh-CN"/>
        </w:rPr>
        <w:t>审核；</w:t>
      </w:r>
    </w:p>
    <w:p w14:paraId="350530ED">
      <w:pPr>
        <w:spacing w:line="360" w:lineRule="auto"/>
        <w:ind w:firstLine="1200" w:firstLineChars="500"/>
        <w:rPr>
          <w:rFonts w:ascii="仿宋" w:hAnsi="仿宋" w:eastAsia="仿宋"/>
          <w:color w:val="auto"/>
          <w:highlight w:val="none"/>
          <w:lang w:eastAsia="zh-CN"/>
        </w:rPr>
      </w:pPr>
      <w:r>
        <w:rPr>
          <w:rFonts w:hint="eastAsia" w:ascii="仿宋" w:hAnsi="仿宋" w:eastAsia="仿宋"/>
          <w:color w:val="auto"/>
          <w:highlight w:val="none"/>
          <w:lang w:eastAsia="zh-CN"/>
        </w:rPr>
        <w:t>④经第三方造价咨询人审核的</w:t>
      </w:r>
      <w:r>
        <w:rPr>
          <w:rFonts w:ascii="仿宋" w:hAnsi="仿宋" w:eastAsia="仿宋"/>
          <w:color w:val="auto"/>
          <w:highlight w:val="none"/>
          <w:lang w:eastAsia="zh-CN"/>
        </w:rPr>
        <w:t>竣工</w:t>
      </w:r>
      <w:r>
        <w:rPr>
          <w:rFonts w:hint="eastAsia" w:ascii="仿宋" w:hAnsi="仿宋" w:eastAsia="仿宋"/>
          <w:color w:val="auto"/>
          <w:highlight w:val="none"/>
          <w:lang w:eastAsia="zh-CN"/>
        </w:rPr>
        <w:t>结算报发包人及按现行财政评审程序结算确认后，</w:t>
      </w:r>
      <w:r>
        <w:rPr>
          <w:rFonts w:hint="eastAsia" w:ascii="仿宋" w:hAnsi="仿宋" w:eastAsia="仿宋" w:cs="仿宋"/>
          <w:color w:val="auto"/>
          <w:highlight w:val="none"/>
          <w:lang w:eastAsia="zh-CN"/>
        </w:rPr>
        <w:t>作为支付结算款的依据</w:t>
      </w:r>
      <w:r>
        <w:rPr>
          <w:rFonts w:hint="eastAsia" w:ascii="仿宋" w:hAnsi="仿宋" w:eastAsia="仿宋"/>
          <w:color w:val="auto"/>
          <w:highlight w:val="none"/>
          <w:lang w:eastAsia="zh-CN"/>
        </w:rPr>
        <w:t>；</w:t>
      </w:r>
    </w:p>
    <w:p w14:paraId="040F8A21">
      <w:pPr>
        <w:spacing w:line="360" w:lineRule="auto"/>
        <w:ind w:firstLine="1212" w:firstLineChars="505"/>
        <w:rPr>
          <w:rFonts w:hint="eastAsia" w:ascii="仿宋" w:hAnsi="仿宋" w:eastAsia="仿宋"/>
          <w:color w:val="auto"/>
          <w:highlight w:val="none"/>
          <w:lang w:eastAsia="zh-CN"/>
        </w:rPr>
      </w:pPr>
      <w:r>
        <w:rPr>
          <w:rFonts w:hint="eastAsia" w:ascii="仿宋" w:hAnsi="仿宋" w:eastAsia="仿宋"/>
          <w:color w:val="auto"/>
          <w:highlight w:val="none"/>
          <w:lang w:eastAsia="zh-CN"/>
        </w:rPr>
        <w:t>⑤工程规模较大或情况复杂，经发包人、承包人协商同意上述期限可适当延长，原则上每个程序延长次数不超过2次、每次延长时间不超过10天，具体延长期限根据实际情况协商确定；</w:t>
      </w:r>
    </w:p>
    <w:p w14:paraId="094BAEFD">
      <w:pPr>
        <w:spacing w:line="360" w:lineRule="auto"/>
        <w:ind w:firstLine="1212" w:firstLineChars="505"/>
        <w:rPr>
          <w:rFonts w:hint="eastAsia" w:ascii="仿宋" w:hAnsi="仿宋" w:eastAsia="仿宋"/>
          <w:color w:val="auto"/>
          <w:highlight w:val="none"/>
          <w:lang w:eastAsia="zh-CN"/>
        </w:rPr>
      </w:pPr>
      <w:r>
        <w:rPr>
          <w:rFonts w:hint="eastAsia" w:ascii="仿宋" w:hAnsi="仿宋" w:eastAsia="仿宋"/>
          <w:color w:val="auto"/>
          <w:highlight w:val="none"/>
          <w:lang w:eastAsia="zh-CN"/>
        </w:rPr>
        <w:t>⑥原则上自整体竣工之日起一年内完成结算审核。</w:t>
      </w:r>
    </w:p>
    <w:p w14:paraId="16341069">
      <w:pPr>
        <w:spacing w:line="360" w:lineRule="auto"/>
        <w:ind w:firstLine="1212" w:firstLineChars="505"/>
        <w:rPr>
          <w:rFonts w:ascii="仿宋" w:hAnsi="仿宋" w:eastAsia="仿宋"/>
          <w:color w:val="auto"/>
          <w:highlight w:val="none"/>
          <w:lang w:eastAsia="zh-CN"/>
        </w:rPr>
      </w:pPr>
      <w:r>
        <w:rPr>
          <w:rFonts w:hint="eastAsia" w:ascii="仿宋" w:hAnsi="仿宋" w:eastAsia="仿宋"/>
          <w:color w:val="auto"/>
          <w:highlight w:val="none"/>
          <w:lang w:eastAsia="zh-CN"/>
        </w:rPr>
        <w:t>⑦上述审核过程，承包人应积极配合并提交必要的文件、资料；</w:t>
      </w:r>
    </w:p>
    <w:p w14:paraId="29CD1F58">
      <w:pPr>
        <w:spacing w:line="360" w:lineRule="auto"/>
        <w:ind w:firstLine="1212" w:firstLineChars="50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⑧承包人</w:t>
      </w:r>
      <w:r>
        <w:rPr>
          <w:rFonts w:hint="eastAsia" w:ascii="仿宋" w:hAnsi="仿宋" w:eastAsia="仿宋"/>
          <w:color w:val="auto"/>
          <w:highlight w:val="none"/>
          <w:lang w:eastAsia="zh-CN"/>
        </w:rPr>
        <w:t>未及时提交</w:t>
      </w:r>
      <w:r>
        <w:rPr>
          <w:rFonts w:ascii="仿宋" w:hAnsi="仿宋" w:eastAsia="仿宋"/>
          <w:color w:val="auto"/>
          <w:highlight w:val="none"/>
          <w:lang w:eastAsia="zh-CN"/>
        </w:rPr>
        <w:t>竣工结算</w:t>
      </w:r>
      <w:r>
        <w:rPr>
          <w:rFonts w:hint="eastAsia" w:ascii="仿宋" w:hAnsi="仿宋" w:eastAsia="仿宋"/>
          <w:color w:val="auto"/>
          <w:highlight w:val="none"/>
          <w:lang w:eastAsia="zh-CN"/>
        </w:rPr>
        <w:t>文件、资料，或提交</w:t>
      </w:r>
      <w:r>
        <w:rPr>
          <w:rFonts w:ascii="仿宋" w:hAnsi="仿宋" w:eastAsia="仿宋"/>
          <w:color w:val="auto"/>
          <w:highlight w:val="none"/>
          <w:lang w:eastAsia="zh-CN"/>
        </w:rPr>
        <w:t>竣工结算</w:t>
      </w:r>
      <w:r>
        <w:rPr>
          <w:rFonts w:hint="eastAsia" w:ascii="仿宋" w:hAnsi="仿宋" w:eastAsia="仿宋"/>
          <w:color w:val="auto"/>
          <w:highlight w:val="none"/>
          <w:lang w:eastAsia="zh-CN"/>
        </w:rPr>
        <w:t>文件、资料不完整，或审核、评审过程不配合，经催告两次后承包人仍未改正，监理人、造价咨询人、发包人可</w:t>
      </w:r>
      <w:r>
        <w:rPr>
          <w:rFonts w:hint="eastAsia" w:ascii="仿宋" w:hAnsi="仿宋" w:eastAsia="仿宋" w:cs="仿宋"/>
          <w:color w:val="auto"/>
          <w:highlight w:val="none"/>
          <w:lang w:eastAsia="zh-CN"/>
        </w:rPr>
        <w:t>根据自己所掌握的资料编制竣工结算文件，评审机构可依此出具评审结果,经评审的工程结算可作为办理竣工结算和支付结算款的依据，由此所</w:t>
      </w:r>
      <w:r>
        <w:rPr>
          <w:rFonts w:hint="eastAsia" w:ascii="仿宋" w:hAnsi="仿宋" w:eastAsia="仿宋"/>
          <w:color w:val="auto"/>
          <w:highlight w:val="none"/>
          <w:lang w:eastAsia="zh-CN"/>
        </w:rPr>
        <w:t>产生的后果及责任由承包人承担</w:t>
      </w:r>
      <w:r>
        <w:rPr>
          <w:rFonts w:hint="eastAsia" w:ascii="仿宋" w:hAnsi="仿宋" w:eastAsia="仿宋" w:cs="仿宋"/>
          <w:color w:val="auto"/>
          <w:highlight w:val="none"/>
          <w:lang w:eastAsia="zh-CN"/>
        </w:rPr>
        <w:t>。</w:t>
      </w:r>
    </w:p>
    <w:p w14:paraId="182D8889">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⑨承包人</w:t>
      </w:r>
      <w:r>
        <w:rPr>
          <w:rFonts w:hint="eastAsia" w:ascii="仿宋" w:hAnsi="仿宋" w:eastAsia="仿宋"/>
          <w:color w:val="auto"/>
          <w:highlight w:val="none"/>
          <w:lang w:eastAsia="zh-CN"/>
        </w:rPr>
        <w:t>未及时提交</w:t>
      </w:r>
      <w:r>
        <w:rPr>
          <w:rFonts w:ascii="仿宋" w:hAnsi="仿宋" w:eastAsia="仿宋"/>
          <w:color w:val="auto"/>
          <w:highlight w:val="none"/>
          <w:lang w:eastAsia="zh-CN"/>
        </w:rPr>
        <w:t>竣工结算</w:t>
      </w:r>
      <w:r>
        <w:rPr>
          <w:rFonts w:hint="eastAsia" w:ascii="仿宋" w:hAnsi="仿宋" w:eastAsia="仿宋"/>
          <w:color w:val="auto"/>
          <w:highlight w:val="none"/>
          <w:lang w:eastAsia="zh-CN"/>
        </w:rPr>
        <w:t>文件、资料，或提交</w:t>
      </w:r>
      <w:r>
        <w:rPr>
          <w:rFonts w:ascii="仿宋" w:hAnsi="仿宋" w:eastAsia="仿宋"/>
          <w:color w:val="auto"/>
          <w:highlight w:val="none"/>
          <w:lang w:eastAsia="zh-CN"/>
        </w:rPr>
        <w:t>竣工结算</w:t>
      </w:r>
      <w:r>
        <w:rPr>
          <w:rFonts w:hint="eastAsia" w:ascii="仿宋" w:hAnsi="仿宋" w:eastAsia="仿宋"/>
          <w:color w:val="auto"/>
          <w:highlight w:val="none"/>
          <w:lang w:eastAsia="zh-CN"/>
        </w:rPr>
        <w:t>文件、资料不完整，每延误一天的违约金为50000元/天。</w:t>
      </w:r>
    </w:p>
    <w:p w14:paraId="6FA1F3C0">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②过程结算约定</w:t>
      </w:r>
    </w:p>
    <w:p w14:paraId="7F3124A9">
      <w:pPr>
        <w:spacing w:line="360" w:lineRule="auto"/>
        <w:ind w:firstLine="1200" w:firstLineChars="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□（a）工程勘察费结算的程序：</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4ED72B82">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过程结算支付时限与支付比例：</w:t>
      </w:r>
      <w:r>
        <w:rPr>
          <w:rFonts w:ascii="仿宋" w:hAnsi="仿宋" w:eastAsia="仿宋" w:cs="仿宋"/>
          <w:color w:val="auto"/>
          <w:highlight w:val="none"/>
          <w:u w:val="single"/>
          <w:lang w:eastAsia="zh-CN"/>
        </w:rPr>
        <w:t xml:space="preserve">       /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27DFDE83">
      <w:pPr>
        <w:spacing w:line="360" w:lineRule="auto"/>
        <w:ind w:firstLine="1200" w:firstLineChars="5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40C763BF">
      <w:pPr>
        <w:spacing w:line="360" w:lineRule="auto"/>
        <w:ind w:firstLine="1200" w:firstLineChars="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□（b）工程设计费结算的程序：</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637D37C4">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u w:val="single"/>
          <w:lang w:eastAsia="zh-CN"/>
        </w:rPr>
        <w:t xml:space="preserve">       /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2884CB38">
      <w:pPr>
        <w:spacing w:line="360" w:lineRule="auto"/>
        <w:ind w:firstLine="1200" w:firstLineChars="5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334CDC6C">
      <w:pPr>
        <w:spacing w:line="360" w:lineRule="auto"/>
        <w:ind w:firstLine="1200" w:firstLineChars="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□（c）BIM技术应用费结算的程序：</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3F62E36F">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lang w:eastAsia="zh-CN"/>
        </w:rPr>
        <w:t xml:space="preserve">                                                  </w:t>
      </w:r>
    </w:p>
    <w:p w14:paraId="6783192E">
      <w:pPr>
        <w:spacing w:line="360" w:lineRule="auto"/>
        <w:ind w:firstLine="1200" w:firstLineChars="5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23E47A3">
      <w:pPr>
        <w:spacing w:line="360" w:lineRule="auto"/>
        <w:ind w:firstLine="1200" w:firstLineChars="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□（d）设备及工器具购置费结算的程序：</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4885872B">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lang w:eastAsia="zh-CN"/>
        </w:rPr>
        <w:t xml:space="preserve">                                                  </w:t>
      </w:r>
    </w:p>
    <w:p w14:paraId="138BE643">
      <w:pPr>
        <w:spacing w:line="360" w:lineRule="auto"/>
        <w:ind w:firstLine="1200" w:firstLineChars="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6B9F3AA5">
      <w:pPr>
        <w:spacing w:line="360" w:lineRule="auto"/>
        <w:ind w:firstLine="1200" w:firstLineChars="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□（e）建筑安装工程费结算的程序：</w:t>
      </w:r>
    </w:p>
    <w:p w14:paraId="1889953D">
      <w:pPr>
        <w:spacing w:line="360" w:lineRule="auto"/>
        <w:ind w:firstLine="1800" w:firstLineChars="7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一、施工过程结算的程序：</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4B5E5029">
      <w:pPr>
        <w:spacing w:line="360" w:lineRule="auto"/>
        <w:ind w:firstLine="1800" w:firstLineChars="7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二、施工过程结算节点的约定：</w:t>
      </w:r>
    </w:p>
    <w:p w14:paraId="441F3C78">
      <w:pPr>
        <w:spacing w:line="360" w:lineRule="auto"/>
        <w:ind w:left="1762" w:leftChars="734"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□工程分标段施工的，以标段完成作为施工过程结算节点：</w:t>
      </w:r>
      <w:r>
        <w:rPr>
          <w:rFonts w:ascii="仿宋" w:hAnsi="仿宋" w:eastAsia="仿宋" w:cs="仿宋"/>
          <w:color w:val="auto"/>
          <w:highlight w:val="none"/>
          <w:u w:val="single"/>
          <w:lang w:eastAsia="zh-CN"/>
        </w:rPr>
        <w:t xml:space="preserve">   /                </w:t>
      </w:r>
    </w:p>
    <w:p w14:paraId="162883E5">
      <w:pPr>
        <w:spacing w:line="360" w:lineRule="auto"/>
        <w:ind w:left="1762" w:leftChars="734"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□合同工程包括有多个单项工程、单位工程，以单项工程、单位工程竣工作为施工过程结算节点，具体节点为：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84FC7F6">
      <w:pPr>
        <w:spacing w:line="360" w:lineRule="auto"/>
        <w:ind w:left="1762" w:leftChars="734"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□规模较大且计划工期超过一年的单项工程，以年度内完成的形象进度节点或时间（季、年等）作为施工过程结算节点，具体节点为：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0D40CE3D">
      <w:pPr>
        <w:spacing w:line="360" w:lineRule="auto"/>
        <w:ind w:left="1762" w:leftChars="734"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□以完成合同约定的专业工程或附属工程作为施工过程结算节点，具体节点为：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007F02D1">
      <w:pPr>
        <w:spacing w:line="360" w:lineRule="auto"/>
        <w:ind w:firstLine="2160" w:firstLineChars="9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□其他：</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7BF77D4">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三、施工过程结算价款的编制与核对：</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5EE35CC6">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四、采用施工过程结算方法时竣工结算价款的编制与核对：</w:t>
      </w:r>
      <w:r>
        <w:rPr>
          <w:rFonts w:ascii="仿宋" w:hAnsi="仿宋" w:eastAsia="仿宋" w:cs="仿宋"/>
          <w:color w:val="auto"/>
          <w:highlight w:val="none"/>
          <w:u w:val="single"/>
          <w:lang w:eastAsia="zh-CN"/>
        </w:rPr>
        <w:t xml:space="preserve">   /                    </w:t>
      </w:r>
    </w:p>
    <w:p w14:paraId="52EE2064">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五、施工过程结算支付时限：</w:t>
      </w:r>
      <w:r>
        <w:rPr>
          <w:rFonts w:ascii="仿宋" w:hAnsi="仿宋" w:eastAsia="仿宋" w:cs="仿宋"/>
          <w:color w:val="auto"/>
          <w:highlight w:val="none"/>
          <w:u w:val="single"/>
          <w:lang w:eastAsia="zh-CN"/>
        </w:rPr>
        <w:t xml:space="preserve">      /                                             </w:t>
      </w:r>
    </w:p>
    <w:p w14:paraId="40E87701">
      <w:pPr>
        <w:spacing w:line="360" w:lineRule="auto"/>
        <w:ind w:firstLine="1800" w:firstLineChars="7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六、施工过程结算的其他约定：</w:t>
      </w:r>
      <w:r>
        <w:rPr>
          <w:rFonts w:ascii="仿宋" w:hAnsi="仿宋" w:eastAsia="仿宋" w:cs="仿宋"/>
          <w:color w:val="auto"/>
          <w:highlight w:val="none"/>
          <w:u w:val="single"/>
          <w:lang w:eastAsia="zh-CN"/>
        </w:rPr>
        <w:t xml:space="preserve">      /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1714AAB">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□（f）其他项目结算的程序：</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49626286">
      <w:pPr>
        <w:spacing w:line="360" w:lineRule="auto"/>
        <w:ind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0D07B3F4">
      <w:pPr>
        <w:spacing w:line="360" w:lineRule="auto"/>
        <w:ind w:firstLine="1680" w:firstLineChars="7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                 </w:t>
      </w:r>
    </w:p>
    <w:p w14:paraId="635402BE">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87.2 递交结算文件及其限制</w:t>
      </w:r>
    </w:p>
    <w:p w14:paraId="4A0D64F4">
      <w:pPr>
        <w:spacing w:line="360" w:lineRule="auto"/>
        <w:ind w:firstLine="1200" w:firstLineChars="5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①竣工结算文件清单：</w:t>
      </w:r>
    </w:p>
    <w:p w14:paraId="08815F49">
      <w:pPr>
        <w:spacing w:line="360" w:lineRule="auto"/>
        <w:ind w:firstLine="1560" w:firstLineChars="6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□勘察服务费结算书</w:t>
      </w:r>
    </w:p>
    <w:p w14:paraId="545AC10E">
      <w:pPr>
        <w:spacing w:line="360" w:lineRule="auto"/>
        <w:ind w:firstLine="1560" w:firstLineChars="6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□设计服务费结算书</w:t>
      </w:r>
    </w:p>
    <w:p w14:paraId="53AF15A6">
      <w:pPr>
        <w:spacing w:line="360" w:lineRule="auto"/>
        <w:ind w:firstLine="1560" w:firstLineChars="6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□设备及工</w:t>
      </w:r>
      <w:r>
        <w:rPr>
          <w:rFonts w:ascii="仿宋" w:hAnsi="仿宋" w:eastAsia="仿宋" w:cs="仿宋"/>
          <w:color w:val="auto"/>
          <w:highlight w:val="none"/>
          <w:lang w:eastAsia="zh-CN"/>
        </w:rPr>
        <w:t>器具</w:t>
      </w:r>
      <w:r>
        <w:rPr>
          <w:rFonts w:hint="eastAsia" w:ascii="仿宋" w:hAnsi="仿宋" w:eastAsia="仿宋" w:cs="仿宋"/>
          <w:color w:val="auto"/>
          <w:highlight w:val="none"/>
          <w:lang w:eastAsia="zh-CN"/>
        </w:rPr>
        <w:t>购置费结算书（如果有）</w:t>
      </w:r>
    </w:p>
    <w:p w14:paraId="2814BCEE">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□建筑安装工程费结算书</w:t>
      </w:r>
    </w:p>
    <w:p w14:paraId="5564BA80">
      <w:pPr>
        <w:spacing w:line="360" w:lineRule="auto"/>
        <w:ind w:firstLine="1560" w:firstLineChars="6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☑其他：</w:t>
      </w:r>
      <w:r>
        <w:rPr>
          <w:rFonts w:hint="eastAsia" w:ascii="仿宋" w:hAnsi="仿宋" w:eastAsia="仿宋"/>
          <w:color w:val="auto"/>
          <w:highlight w:val="none"/>
          <w:u w:val="single"/>
          <w:lang w:eastAsia="zh-CN"/>
        </w:rPr>
        <w:t>根据发包人的具体要求提供。</w:t>
      </w:r>
    </w:p>
    <w:p w14:paraId="095DED1F">
      <w:pPr>
        <w:spacing w:line="360" w:lineRule="auto"/>
        <w:ind w:firstLine="1200" w:firstLineChars="500"/>
        <w:rPr>
          <w:rFonts w:ascii="仿宋" w:hAnsi="仿宋" w:eastAsia="仿宋"/>
          <w:color w:val="auto"/>
          <w:highlight w:val="none"/>
          <w:lang w:eastAsia="zh-CN"/>
        </w:rPr>
      </w:pPr>
      <w:bookmarkStart w:id="1944" w:name="_Toc47694446"/>
      <w:r>
        <w:rPr>
          <w:rFonts w:hint="eastAsia" w:ascii="仿宋" w:hAnsi="仿宋" w:eastAsia="仿宋" w:cs="仿宋"/>
          <w:color w:val="auto"/>
          <w:highlight w:val="none"/>
          <w:lang w:eastAsia="zh-CN"/>
        </w:rPr>
        <w:t>②竣工结算需要提供的其他资料及电子文件（按发包人最新要求执行）：</w:t>
      </w:r>
    </w:p>
    <w:p w14:paraId="153EB240">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（1）工程结算书及其可编辑电子文档（含计价软件版本与导出版本）</w:t>
      </w:r>
    </w:p>
    <w:p w14:paraId="477487DF">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（2）工程量计算书（含钢筋抽料表）及其可编辑电子文档（计价软件版本与导出版本）</w:t>
      </w:r>
    </w:p>
    <w:p w14:paraId="59592220">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（3）工程竣工图纸及其CAD图电子文档、BIM竣工模型</w:t>
      </w:r>
    </w:p>
    <w:p w14:paraId="7CCB40F2">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（4）招标图及其CAD图电子文档</w:t>
      </w:r>
    </w:p>
    <w:p w14:paraId="7B951E19">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（5）图纸会审记录  </w:t>
      </w:r>
    </w:p>
    <w:p w14:paraId="2C9D47DB">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（6）合同及补充协议</w:t>
      </w:r>
    </w:p>
    <w:p w14:paraId="280E046A">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（7）招标文件（含招标答疑文件）   </w:t>
      </w:r>
    </w:p>
    <w:p w14:paraId="63F5D865">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（8）投标文件    </w:t>
      </w:r>
    </w:p>
    <w:p w14:paraId="5051A2F3">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（9）中标通知书          </w:t>
      </w:r>
    </w:p>
    <w:p w14:paraId="2B382D8B">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（10）工程开工报告 </w:t>
      </w:r>
    </w:p>
    <w:p w14:paraId="0887E943">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（11）竣工验收报告             </w:t>
      </w:r>
    </w:p>
    <w:p w14:paraId="18367506">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（12）工程设计变更             </w:t>
      </w:r>
    </w:p>
    <w:p w14:paraId="2B45C10A">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（13）工程签证             </w:t>
      </w:r>
    </w:p>
    <w:p w14:paraId="6FDC8679">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（14）工程预（概）算批复文件</w:t>
      </w:r>
    </w:p>
    <w:p w14:paraId="053C711A">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（15）相关资金安排（批复）文件</w:t>
      </w:r>
    </w:p>
    <w:p w14:paraId="50C2F8C8">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（16）工程洽商记录                    </w:t>
      </w:r>
    </w:p>
    <w:p w14:paraId="7A9F34CE">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（17）合同新增材料、设备单价审核单</w:t>
      </w:r>
    </w:p>
    <w:p w14:paraId="0AD43CD4">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（18）合同新增综合单价呈批审核表及可编辑电子版      </w:t>
      </w:r>
    </w:p>
    <w:p w14:paraId="54B4E9BB">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（19）桩施工记录（含基础桩、支护桩等）</w:t>
      </w:r>
    </w:p>
    <w:p w14:paraId="312209AF">
      <w:pPr>
        <w:pStyle w:val="23"/>
        <w:spacing w:line="360" w:lineRule="auto"/>
        <w:ind w:firstLine="1560" w:firstLineChars="650"/>
        <w:rPr>
          <w:rFonts w:ascii="仿宋" w:hAnsi="仿宋" w:eastAsia="仿宋" w:cs="仿宋"/>
          <w:color w:val="auto"/>
          <w:sz w:val="24"/>
          <w:szCs w:val="24"/>
          <w:highlight w:val="none"/>
          <w:lang w:eastAsia="zh-CN" w:bidi="en-US"/>
        </w:rPr>
      </w:pPr>
      <w:r>
        <w:rPr>
          <w:rFonts w:hint="eastAsia" w:ascii="仿宋" w:hAnsi="仿宋" w:eastAsia="仿宋" w:cs="仿宋"/>
          <w:color w:val="auto"/>
          <w:sz w:val="24"/>
          <w:szCs w:val="24"/>
          <w:highlight w:val="none"/>
          <w:lang w:eastAsia="zh-CN" w:bidi="en-US"/>
        </w:rPr>
        <w:t>（20）工程质量验收评定证书</w:t>
      </w:r>
    </w:p>
    <w:p w14:paraId="2A44A79F">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（21）工程进度款支付明细</w:t>
      </w:r>
    </w:p>
    <w:p w14:paraId="10FB11CF">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（22）施工组织设计（包括施工方案、专项方案）</w:t>
      </w:r>
    </w:p>
    <w:p w14:paraId="556C1EFD">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（23）城建档案</w:t>
      </w:r>
    </w:p>
    <w:p w14:paraId="43371DBA">
      <w:pPr>
        <w:pStyle w:val="23"/>
        <w:spacing w:line="360" w:lineRule="auto"/>
        <w:ind w:firstLine="1560" w:firstLineChars="650"/>
        <w:rPr>
          <w:rFonts w:ascii="仿宋" w:hAnsi="仿宋" w:eastAsia="仿宋" w:cs="仿宋"/>
          <w:color w:val="auto"/>
          <w:sz w:val="24"/>
          <w:szCs w:val="24"/>
          <w:highlight w:val="none"/>
          <w:lang w:eastAsia="zh-CN" w:bidi="en-US"/>
        </w:rPr>
      </w:pPr>
      <w:r>
        <w:rPr>
          <w:rFonts w:hint="eastAsia" w:ascii="仿宋" w:hAnsi="仿宋" w:eastAsia="仿宋" w:cs="仿宋"/>
          <w:color w:val="auto"/>
          <w:sz w:val="24"/>
          <w:szCs w:val="24"/>
          <w:highlight w:val="none"/>
          <w:lang w:eastAsia="zh-CN" w:bidi="en-US"/>
        </w:rPr>
        <w:t>（24）承诺书</w:t>
      </w:r>
    </w:p>
    <w:p w14:paraId="2D246D6E">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（25）工程地质勘察报告及水文资料</w:t>
      </w:r>
    </w:p>
    <w:p w14:paraId="3C4545BE">
      <w:pPr>
        <w:pStyle w:val="23"/>
        <w:spacing w:line="360" w:lineRule="auto"/>
        <w:ind w:firstLine="1560" w:firstLineChars="650"/>
        <w:rPr>
          <w:rFonts w:ascii="仿宋" w:hAnsi="仿宋" w:eastAsia="仿宋" w:cs="仿宋"/>
          <w:color w:val="auto"/>
          <w:sz w:val="24"/>
          <w:szCs w:val="24"/>
          <w:highlight w:val="none"/>
          <w:lang w:eastAsia="zh-CN" w:bidi="en-US"/>
        </w:rPr>
      </w:pPr>
      <w:r>
        <w:rPr>
          <w:rFonts w:hint="eastAsia" w:ascii="仿宋" w:hAnsi="仿宋" w:eastAsia="仿宋" w:cs="仿宋"/>
          <w:color w:val="auto"/>
          <w:sz w:val="24"/>
          <w:szCs w:val="24"/>
          <w:highlight w:val="none"/>
          <w:lang w:eastAsia="zh-CN" w:bidi="en-US"/>
        </w:rPr>
        <w:t>（26）工期逾期情况说明</w:t>
      </w:r>
    </w:p>
    <w:p w14:paraId="4E60698D">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（27）隐蔽工程验收记录</w:t>
      </w:r>
    </w:p>
    <w:p w14:paraId="0F4F1D1B">
      <w:pPr>
        <w:pStyle w:val="23"/>
        <w:spacing w:line="360" w:lineRule="auto"/>
        <w:ind w:firstLine="1560" w:firstLineChars="650"/>
        <w:rPr>
          <w:rFonts w:ascii="仿宋" w:hAnsi="仿宋" w:eastAsia="仿宋" w:cs="仿宋"/>
          <w:color w:val="auto"/>
          <w:sz w:val="24"/>
          <w:szCs w:val="24"/>
          <w:highlight w:val="none"/>
          <w:lang w:eastAsia="zh-CN" w:bidi="en-US"/>
        </w:rPr>
      </w:pPr>
      <w:r>
        <w:rPr>
          <w:rFonts w:hint="eastAsia" w:ascii="仿宋" w:hAnsi="仿宋" w:eastAsia="仿宋" w:cs="仿宋"/>
          <w:color w:val="auto"/>
          <w:sz w:val="24"/>
          <w:szCs w:val="24"/>
          <w:highlight w:val="none"/>
          <w:lang w:eastAsia="zh-CN" w:bidi="en-US"/>
        </w:rPr>
        <w:t>（28）监理人通知或发包人施工指令</w:t>
      </w:r>
    </w:p>
    <w:p w14:paraId="0ED358EB">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（29）会议纪要</w:t>
      </w:r>
    </w:p>
    <w:p w14:paraId="38EA6376">
      <w:pPr>
        <w:pStyle w:val="23"/>
        <w:spacing w:line="360" w:lineRule="auto"/>
        <w:ind w:firstLine="1560" w:firstLineChars="650"/>
        <w:rPr>
          <w:rFonts w:ascii="仿宋" w:hAnsi="仿宋" w:eastAsia="仿宋" w:cs="仿宋"/>
          <w:color w:val="auto"/>
          <w:sz w:val="24"/>
          <w:szCs w:val="24"/>
          <w:highlight w:val="none"/>
          <w:lang w:eastAsia="zh-CN" w:bidi="en-US"/>
        </w:rPr>
      </w:pPr>
      <w:r>
        <w:rPr>
          <w:rFonts w:hint="eastAsia" w:ascii="仿宋" w:hAnsi="仿宋" w:eastAsia="仿宋" w:cs="仿宋"/>
          <w:color w:val="auto"/>
          <w:sz w:val="24"/>
          <w:szCs w:val="24"/>
          <w:highlight w:val="none"/>
          <w:lang w:eastAsia="zh-CN" w:bidi="en-US"/>
        </w:rPr>
        <w:t>（30）甲供材料证明</w:t>
      </w:r>
    </w:p>
    <w:p w14:paraId="1545A88A">
      <w:pPr>
        <w:spacing w:line="360" w:lineRule="auto"/>
        <w:ind w:firstLine="1560" w:firstLineChars="650"/>
        <w:rPr>
          <w:color w:val="auto"/>
          <w:highlight w:val="none"/>
          <w:lang w:eastAsia="zh-CN"/>
        </w:rPr>
      </w:pPr>
      <w:r>
        <w:rPr>
          <w:rFonts w:hint="eastAsia" w:ascii="仿宋" w:hAnsi="仿宋" w:eastAsia="仿宋" w:cs="仿宋"/>
          <w:color w:val="auto"/>
          <w:highlight w:val="none"/>
          <w:lang w:eastAsia="zh-CN"/>
        </w:rPr>
        <w:t>（31）建设单位提供的质量评定意见</w:t>
      </w:r>
    </w:p>
    <w:p w14:paraId="6BFC88EC">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（32）服务编制成果报告</w:t>
      </w:r>
    </w:p>
    <w:p w14:paraId="1B2B4027">
      <w:pPr>
        <w:pStyle w:val="23"/>
        <w:spacing w:line="360" w:lineRule="auto"/>
        <w:ind w:firstLine="1560" w:firstLineChars="650"/>
        <w:rPr>
          <w:rFonts w:ascii="仿宋" w:hAnsi="仿宋" w:eastAsia="仿宋" w:cs="仿宋"/>
          <w:color w:val="auto"/>
          <w:sz w:val="24"/>
          <w:szCs w:val="24"/>
          <w:highlight w:val="none"/>
          <w:lang w:eastAsia="zh-CN" w:bidi="en-US"/>
        </w:rPr>
      </w:pPr>
      <w:r>
        <w:rPr>
          <w:rFonts w:hint="eastAsia" w:ascii="仿宋" w:hAnsi="仿宋" w:eastAsia="仿宋" w:cs="仿宋"/>
          <w:color w:val="auto"/>
          <w:sz w:val="24"/>
          <w:szCs w:val="24"/>
          <w:highlight w:val="none"/>
          <w:lang w:eastAsia="zh-CN" w:bidi="en-US"/>
        </w:rPr>
        <w:t>（33）初步设计概（估）算的批复文件（适用于概(估）算批复金额为计算基础的设计费、监理费、代建费结算）</w:t>
      </w:r>
    </w:p>
    <w:p w14:paraId="0712EB65">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（34）设计（监理）工作总结</w:t>
      </w:r>
    </w:p>
    <w:p w14:paraId="42E89F8E">
      <w:pPr>
        <w:pStyle w:val="23"/>
        <w:spacing w:line="360" w:lineRule="auto"/>
        <w:ind w:firstLine="1560" w:firstLineChars="650"/>
        <w:rPr>
          <w:rFonts w:ascii="仿宋" w:hAnsi="仿宋" w:eastAsia="仿宋" w:cs="仿宋"/>
          <w:color w:val="auto"/>
          <w:sz w:val="24"/>
          <w:szCs w:val="24"/>
          <w:highlight w:val="none"/>
          <w:lang w:eastAsia="zh-CN" w:bidi="en-US"/>
        </w:rPr>
      </w:pPr>
      <w:r>
        <w:rPr>
          <w:rFonts w:hint="eastAsia" w:ascii="仿宋" w:hAnsi="仿宋" w:eastAsia="仿宋" w:cs="仿宋"/>
          <w:color w:val="auto"/>
          <w:sz w:val="24"/>
          <w:szCs w:val="24"/>
          <w:highlight w:val="none"/>
          <w:lang w:eastAsia="zh-CN" w:bidi="en-US"/>
        </w:rPr>
        <w:t>（35）设计成果文件移交清单</w:t>
      </w:r>
    </w:p>
    <w:p w14:paraId="4A4AF624">
      <w:pPr>
        <w:pStyle w:val="23"/>
        <w:spacing w:line="360" w:lineRule="auto"/>
        <w:ind w:firstLine="1560" w:firstLineChars="650"/>
        <w:rPr>
          <w:rFonts w:ascii="仿宋" w:hAnsi="仿宋" w:eastAsia="仿宋" w:cs="仿宋"/>
          <w:color w:val="auto"/>
          <w:highlight w:val="none"/>
          <w:u w:val="single"/>
          <w:lang w:eastAsia="zh-CN"/>
        </w:rPr>
      </w:pPr>
      <w:r>
        <w:rPr>
          <w:rFonts w:hint="eastAsia" w:ascii="仿宋" w:hAnsi="仿宋" w:eastAsia="仿宋" w:cs="仿宋"/>
          <w:color w:val="auto"/>
          <w:sz w:val="24"/>
          <w:szCs w:val="24"/>
          <w:highlight w:val="none"/>
          <w:lang w:eastAsia="zh-CN" w:bidi="en-US"/>
        </w:rPr>
        <w:t>（36）其他有关资料：</w:t>
      </w:r>
      <w:r>
        <w:rPr>
          <w:rFonts w:hint="eastAsia" w:ascii="仿宋" w:hAnsi="仿宋" w:eastAsia="仿宋" w:cs="仿宋"/>
          <w:color w:val="auto"/>
          <w:sz w:val="24"/>
          <w:szCs w:val="24"/>
          <w:highlight w:val="none"/>
          <w:u w:val="single"/>
          <w:lang w:eastAsia="zh-CN" w:bidi="en-US"/>
        </w:rPr>
        <w:t xml:space="preserve">移交物业确认表。  </w:t>
      </w:r>
    </w:p>
    <w:p w14:paraId="1ECE0F2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③发包人对送审结算资料的具体要求：</w:t>
      </w:r>
    </w:p>
    <w:p w14:paraId="6025EA32">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1）结算书：每项工程的结算书要求分两部分编制：第一部分是以竣工图为依据编制部分（即清单范围内），要求以竣工图纸、</w:t>
      </w:r>
      <w:r>
        <w:rPr>
          <w:rFonts w:hint="eastAsia" w:ascii="仿宋" w:hAnsi="仿宋" w:eastAsia="仿宋"/>
          <w:color w:val="auto"/>
          <w:highlight w:val="none"/>
          <w:lang w:eastAsia="zh-CN"/>
        </w:rPr>
        <w:t>签订的补充协议清单</w:t>
      </w:r>
      <w:r>
        <w:rPr>
          <w:rFonts w:ascii="仿宋" w:hAnsi="仿宋" w:eastAsia="仿宋"/>
          <w:color w:val="auto"/>
          <w:highlight w:val="none"/>
          <w:lang w:eastAsia="zh-CN"/>
        </w:rPr>
        <w:t>的内容为主要部分，但包括图纸会审记录、设计变更、监理工程师通知或发包人施工指令等，第二部分以现场签证、工程洽商记录以及其它有关费用为结算依据编制部分（即清单范围外）。上述两部分不应有重复列项的内容，用电脑编制的结算书要求提供相应的</w:t>
      </w:r>
      <w:r>
        <w:rPr>
          <w:rFonts w:hint="eastAsia" w:ascii="仿宋" w:hAnsi="仿宋" w:eastAsia="仿宋"/>
          <w:color w:val="auto"/>
          <w:highlight w:val="none"/>
          <w:lang w:eastAsia="zh-CN"/>
        </w:rPr>
        <w:t>电子文件</w:t>
      </w:r>
      <w:r>
        <w:rPr>
          <w:rFonts w:ascii="仿宋" w:hAnsi="仿宋" w:eastAsia="仿宋"/>
          <w:color w:val="auto"/>
          <w:highlight w:val="none"/>
          <w:lang w:eastAsia="zh-CN"/>
        </w:rPr>
        <w:t>（包括软件版和导出的EXCEL版）。</w:t>
      </w:r>
    </w:p>
    <w:p w14:paraId="0C69A2DB">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2）工程量计算书（即计算底稿）：工程量计算书应由工程量汇总表和详细的工程量计算式组成，工程量应有详细的计算表达式，施工图、图纸会审记录、设计变更、工程洽商记录、现场签证单、监理工程师通知或发包人施工指令等部分的内容应在工程量计算式中一次计算。用电脑编制的工程量计算书应提供相应的</w:t>
      </w:r>
      <w:r>
        <w:rPr>
          <w:rFonts w:hint="eastAsia" w:ascii="仿宋" w:hAnsi="仿宋" w:eastAsia="仿宋"/>
          <w:color w:val="auto"/>
          <w:highlight w:val="none"/>
          <w:lang w:eastAsia="zh-CN"/>
        </w:rPr>
        <w:t>电子文件</w:t>
      </w:r>
      <w:r>
        <w:rPr>
          <w:rFonts w:ascii="仿宋" w:hAnsi="仿宋" w:eastAsia="仿宋"/>
          <w:color w:val="auto"/>
          <w:highlight w:val="none"/>
          <w:lang w:eastAsia="zh-CN"/>
        </w:rPr>
        <w:t>。</w:t>
      </w:r>
    </w:p>
    <w:p w14:paraId="0B5022CE">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3）钢筋抽料表</w:t>
      </w:r>
      <w:r>
        <w:rPr>
          <w:rFonts w:hint="eastAsia" w:ascii="仿宋" w:hAnsi="仿宋" w:eastAsia="仿宋"/>
          <w:color w:val="auto"/>
          <w:highlight w:val="none"/>
          <w:lang w:eastAsia="zh-CN"/>
        </w:rPr>
        <w:t>：</w:t>
      </w:r>
      <w:r>
        <w:rPr>
          <w:rFonts w:ascii="仿宋" w:hAnsi="仿宋" w:eastAsia="仿宋"/>
          <w:color w:val="auto"/>
          <w:highlight w:val="none"/>
          <w:lang w:eastAsia="zh-CN"/>
        </w:rPr>
        <w:t>用电脑抽料的钢筋用量表要求提供相应的</w:t>
      </w:r>
      <w:r>
        <w:rPr>
          <w:rFonts w:hint="eastAsia" w:ascii="仿宋" w:hAnsi="仿宋" w:eastAsia="仿宋"/>
          <w:color w:val="auto"/>
          <w:highlight w:val="none"/>
          <w:lang w:eastAsia="zh-CN"/>
        </w:rPr>
        <w:t>电子文件</w:t>
      </w:r>
      <w:r>
        <w:rPr>
          <w:rFonts w:ascii="仿宋" w:hAnsi="仿宋" w:eastAsia="仿宋"/>
          <w:color w:val="auto"/>
          <w:highlight w:val="none"/>
          <w:lang w:eastAsia="zh-CN"/>
        </w:rPr>
        <w:t>，用手工抽料的钢筋用量表要求提供详细的抽料表和明细汇总表，详细的抽料表应注明钢筋所在的构件名称、施工部位、钢筋编号等。</w:t>
      </w:r>
    </w:p>
    <w:p w14:paraId="6FD96581">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4）工程</w:t>
      </w:r>
      <w:r>
        <w:rPr>
          <w:rFonts w:hint="eastAsia" w:ascii="仿宋" w:hAnsi="仿宋" w:eastAsia="仿宋"/>
          <w:color w:val="auto"/>
          <w:highlight w:val="none"/>
          <w:lang w:eastAsia="zh-CN"/>
        </w:rPr>
        <w:t>总承包</w:t>
      </w:r>
      <w:r>
        <w:rPr>
          <w:rFonts w:ascii="仿宋" w:hAnsi="仿宋" w:eastAsia="仿宋"/>
          <w:color w:val="auto"/>
          <w:highlight w:val="none"/>
          <w:lang w:eastAsia="zh-CN"/>
        </w:rPr>
        <w:t>合同：包括发包人与承包人签订的工程</w:t>
      </w:r>
      <w:r>
        <w:rPr>
          <w:rFonts w:hint="eastAsia" w:ascii="仿宋" w:hAnsi="仿宋" w:eastAsia="仿宋"/>
          <w:color w:val="auto"/>
          <w:highlight w:val="none"/>
          <w:lang w:eastAsia="zh-CN"/>
        </w:rPr>
        <w:t>总承包</w:t>
      </w:r>
      <w:r>
        <w:rPr>
          <w:rFonts w:ascii="仿宋" w:hAnsi="仿宋" w:eastAsia="仿宋"/>
          <w:color w:val="auto"/>
          <w:highlight w:val="none"/>
          <w:lang w:eastAsia="zh-CN"/>
        </w:rPr>
        <w:t>合同、经发包人确认的承包人与第三方签订的分包合同、各类补充合同、合同附件等，要求将上述合同文件列出总目录按顺序整理装订成册。</w:t>
      </w:r>
    </w:p>
    <w:p w14:paraId="5FCD6D08">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5）竣工图：用于结算的竣工图必须有承包人竣工图专用章及其相关人员签字和发包人盖章确认，有监理等单位确认的图纸会审记录、设计变更、工程洽商记录、监理工程师通知或发包人施工指令等内容均应反映在相应的竣工图上。对未在竣工图上反映的图纸会审记录、设计变更和工程洽商记录等，其费用增减，在结算评审中不予考虑。</w:t>
      </w:r>
    </w:p>
    <w:p w14:paraId="52E7F2BD">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6）竣工资料：指在进行工程竣工验收和资料归档时所需的资料。具体包括开工报告、竣工报告、工程质量验收评定证书、材料检验报告、产品质量合格证、经发包人批准的施工组织设计或施工方案、隐蔽工程验收记录、安装工程的调试方案和调试记录、竣工验收报批电子版等。竣工资料要求监理单位和发包人在确认表上盖章确认，以证明竣工资料上的相关内容与该项目送审资料的实际内容相一致。整理装订成册的竣工资料需编制总目录，并在每一页的下方统一编号，以便于查找。</w:t>
      </w:r>
    </w:p>
    <w:p w14:paraId="07FA7DFA">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7）图纸会审记录：要求按图纸会审的时间先后整理装订成册，图纸会审记录须有各单位参加会审人员签字及参加会审的单位盖章确认。</w:t>
      </w:r>
    </w:p>
    <w:p w14:paraId="4BB719BC">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8）设计变更单：要求按设计变更的时间先后整理（安装工程要分专业）装订成册。设计变更单要求有设计人员的签名及设计单位盖章，同时要求有发包人同意按相关的设计院变更进行施工的签认意见和盖章确认。</w:t>
      </w:r>
    </w:p>
    <w:p w14:paraId="617E14F4">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9）工程洽商记录：要求根据工程洽商记录的时间先后整理装订成册，然后在每一页的下方统一编号，以便于查找。工程洽商记录要求有监理单位和发包人相关人员的签字和单位盖章确认。</w:t>
      </w:r>
    </w:p>
    <w:p w14:paraId="1E7AA0C6">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10）监理工程师通知或发包人施工指令：要求根据监理工程师通知或发包人施工指令的时间先后整理装订成册，然后在每一页的下方统一编号。监理工程师通知要求有监理单位和发包人相关人员的签字和单位盖章确认。</w:t>
      </w:r>
    </w:p>
    <w:p w14:paraId="5C8BBE70">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11）会议纪要：指工程质量、安全、技术、经济等现场协调会会议纪要等。要求根据会议纪要的时间先后整理装订成册，然后在每一页的下方统一编号。会议纪要要求有参与会议的各方代表签字，并有监理单位和发包人盖章确认。</w:t>
      </w:r>
    </w:p>
    <w:p w14:paraId="1827AD9C">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12）现场签证单：要求根据现场签证单的时间先后整理装订成册，然后在每一页的下方统一编号。现场签证单上应有工程数量的计算过程和施工简图，由承包人盖章确认，并有监理单位</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和发包人相关人员签字和单位盖章确认，并且有上述单位的造价工程师对工程造价进行审核的签字和盖章。</w:t>
      </w:r>
    </w:p>
    <w:p w14:paraId="09911DB5">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13）材料设备单价呈批审核单：凡在工程招标文件或工程承包合同中未明确的主要材料设备单价，要求根据材料设备单价呈批审核单的编号顺序整理装订成册。每项审核单应附有相关的资料或注明相关资料在送审结算资料的哪一部分和哪一页位置上，要求有使用该材料设备的专题会议</w:t>
      </w:r>
      <w:r>
        <w:rPr>
          <w:rFonts w:hint="eastAsia" w:ascii="仿宋" w:hAnsi="仿宋" w:eastAsia="仿宋"/>
          <w:color w:val="auto"/>
          <w:highlight w:val="none"/>
          <w:lang w:eastAsia="zh-CN"/>
        </w:rPr>
        <w:t>记</w:t>
      </w:r>
      <w:r>
        <w:rPr>
          <w:rFonts w:ascii="仿宋" w:hAnsi="仿宋" w:eastAsia="仿宋"/>
          <w:color w:val="auto"/>
          <w:highlight w:val="none"/>
          <w:lang w:eastAsia="zh-CN"/>
        </w:rPr>
        <w:t>录、材料发票、采购合同或财政部门认可的</w:t>
      </w:r>
      <w:r>
        <w:rPr>
          <w:rFonts w:hint="eastAsia" w:ascii="仿宋" w:hAnsi="仿宋" w:eastAsia="仿宋"/>
          <w:color w:val="auto"/>
          <w:highlight w:val="none"/>
          <w:lang w:eastAsia="zh-CN"/>
        </w:rPr>
        <w:t>其他有效</w:t>
      </w:r>
      <w:r>
        <w:rPr>
          <w:rFonts w:ascii="仿宋" w:hAnsi="仿宋" w:eastAsia="仿宋"/>
          <w:color w:val="auto"/>
          <w:highlight w:val="none"/>
          <w:lang w:eastAsia="zh-CN"/>
        </w:rPr>
        <w:t>材料设备价格凭证等。每份审核单手续必须完备，要求有监理单位和发包人相关人员的签字和单位盖章确认。</w:t>
      </w:r>
    </w:p>
    <w:p w14:paraId="7480C8B8">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14）综合单价呈批审核单：在作为合同附件之一的工程量清单中未列但在施工过程中发生的项目，应由承包人编制单位分析表，盖章确认后报监理单位和发包人审核综合单价。在结算资料送审时，要求按综合单价呈批审核单的编号顺序整理装订成册。每项审核单应附有相关的资料或注明相关资料在送审结算资料的哪一部分或哪一页位置上，如材料设备专题会议纪录、设计变更、工程洽商记录、监理工程师通知等。每份综合单价呈批审核单手续必须完备，要求有监理单位和发包人相关人员的签字和单位盖章确认，并且有上述单位的造价工程师对综合单价进行审核的签字和盖章。</w:t>
      </w:r>
    </w:p>
    <w:p w14:paraId="611D4E65">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15）发包人供应材料收货验收签收单：按发包人供应材料收货验收签收单的编号顺序及不同材料分类整理装订成册。要求发包人供应材料收货验收签收单上有承包人、材料供货单位、监理单位、发包人代表签字和单位盖章确认。</w:t>
      </w:r>
    </w:p>
    <w:p w14:paraId="6B90FB5F">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16）</w:t>
      </w:r>
      <w:r>
        <w:rPr>
          <w:rFonts w:hint="eastAsia" w:ascii="仿宋" w:hAnsi="仿宋" w:eastAsia="仿宋"/>
          <w:color w:val="auto"/>
          <w:highlight w:val="none"/>
          <w:lang w:eastAsia="zh-CN"/>
        </w:rPr>
        <w:t>其他</w:t>
      </w:r>
      <w:r>
        <w:rPr>
          <w:rFonts w:ascii="仿宋" w:hAnsi="仿宋" w:eastAsia="仿宋"/>
          <w:color w:val="auto"/>
          <w:highlight w:val="none"/>
          <w:lang w:eastAsia="zh-CN"/>
        </w:rPr>
        <w:t>结算资料：凡上述未提及而在结算评审中需要的资料均需提供，例如：施工日记、地质勘察报告、非常用的标准图集、应由承包人承担而由建设单位支付的费用证明如发包方代缴施工水电费票据、余泥排放费证明等。</w:t>
      </w:r>
    </w:p>
    <w:p w14:paraId="7BA4D8A7">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17）资料签收表：按送审结算资料的内容表，以便资料的移交和管理。资料签收表上应注明资料内容、份数和页数（标注页码），并且对所有复印资料的真实性进行确认，资料签收表一式二份，由资料移交人和接收人分别签名，必要时加盖双方单位的印章。</w:t>
      </w:r>
    </w:p>
    <w:p w14:paraId="32EEF90A">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1945" w:name="_Toc11436"/>
      <w:bookmarkStart w:id="1946" w:name="_Toc13409"/>
      <w:bookmarkStart w:id="1947" w:name="_Toc8247"/>
      <w:bookmarkStart w:id="1948" w:name="_Toc2438"/>
      <w:bookmarkStart w:id="1949" w:name="_Toc326"/>
      <w:bookmarkStart w:id="1950" w:name="_Toc13137"/>
      <w:bookmarkStart w:id="1951" w:name="_Toc20219"/>
      <w:r>
        <w:rPr>
          <w:rFonts w:hint="eastAsia" w:ascii="仿宋" w:hAnsi="仿宋" w:eastAsia="仿宋" w:cs="仿宋"/>
          <w:b w:val="0"/>
          <w:bCs w:val="0"/>
          <w:i w:val="0"/>
          <w:iCs w:val="0"/>
          <w:color w:val="auto"/>
          <w:sz w:val="24"/>
          <w:szCs w:val="24"/>
          <w:highlight w:val="none"/>
          <w:lang w:eastAsia="zh-CN"/>
        </w:rPr>
        <w:t>★88.  结算款</w:t>
      </w:r>
      <w:bookmarkEnd w:id="1944"/>
      <w:bookmarkEnd w:id="1945"/>
      <w:bookmarkEnd w:id="1946"/>
      <w:bookmarkEnd w:id="1947"/>
      <w:bookmarkEnd w:id="1948"/>
      <w:bookmarkEnd w:id="1949"/>
      <w:bookmarkEnd w:id="1950"/>
      <w:bookmarkEnd w:id="1951"/>
    </w:p>
    <w:p w14:paraId="0FF1E099">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88.1 提交竣工支付申请</w:t>
      </w:r>
    </w:p>
    <w:p w14:paraId="1482865C">
      <w:pPr>
        <w:spacing w:line="360" w:lineRule="auto"/>
        <w:ind w:firstLine="840" w:firstLineChars="3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①竣工支付时限</w:t>
      </w:r>
    </w:p>
    <w:p w14:paraId="5C8BB31F">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按通用条款的约定，在造价咨询人签发竣工结算支付证书后的28天内。</w:t>
      </w:r>
    </w:p>
    <w:p w14:paraId="30DC726B">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另有约定：工程结算审核完成30天内，承包人应在申请结算款时提供包括结算款及质量保证金在内的全额增值税专用发票，发包人、承包人按结算审核结果办理结算款清算和支付。结算款清算时</w:t>
      </w:r>
      <w:r>
        <w:rPr>
          <w:rFonts w:ascii="仿宋" w:hAnsi="仿宋" w:eastAsia="仿宋" w:cs="仿宋"/>
          <w:color w:val="auto"/>
          <w:highlight w:val="none"/>
          <w:lang w:eastAsia="zh-CN"/>
        </w:rPr>
        <w:t>发包人发现工程款超付，则承包人必须在收到发包人的通知后15天内无条件退还发包人</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若承包人迟延退还超付工程款，除向发包人退还超付工程款，还应向发包人支付该超付工程款的利息，该利息以银行同期贷款利率的2倍计算。</w:t>
      </w:r>
    </w:p>
    <w:p w14:paraId="551047F4">
      <w:pPr>
        <w:spacing w:line="360" w:lineRule="auto"/>
        <w:ind w:firstLine="840" w:firstLineChars="350"/>
        <w:rPr>
          <w:rFonts w:hint="eastAsia" w:ascii="仿宋" w:hAnsi="仿宋" w:eastAsia="仿宋"/>
          <w:color w:val="auto"/>
          <w:highlight w:val="none"/>
          <w:lang w:eastAsia="zh-CN"/>
        </w:rPr>
      </w:pPr>
      <w:bookmarkStart w:id="1952" w:name="_Toc25969"/>
      <w:r>
        <w:rPr>
          <w:rFonts w:hint="eastAsia" w:ascii="仿宋" w:hAnsi="仿宋" w:eastAsia="仿宋" w:cs="仿宋"/>
          <w:color w:val="auto"/>
          <w:highlight w:val="none"/>
          <w:lang w:eastAsia="zh-CN"/>
        </w:rPr>
        <w:t>②政府资金投资工程的支付期、支付办法</w:t>
      </w:r>
      <w:bookmarkEnd w:id="1952"/>
    </w:p>
    <w:p w14:paraId="406436D9">
      <w:pPr>
        <w:spacing w:line="360" w:lineRule="auto"/>
        <w:ind w:firstLine="1440" w:firstLineChars="6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w:t>
      </w:r>
    </w:p>
    <w:p w14:paraId="1AB36449">
      <w:pPr>
        <w:spacing w:line="360" w:lineRule="auto"/>
        <w:ind w:firstLine="1440" w:firstLineChars="6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14:paraId="2BBBD874">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③实施过程结算的，其竣工结算支付方法：</w:t>
      </w:r>
      <w:r>
        <w:rPr>
          <w:rFonts w:hint="eastAsia" w:ascii="仿宋" w:hAnsi="仿宋" w:eastAsia="仿宋" w:cs="仿宋"/>
          <w:color w:val="auto"/>
          <w:highlight w:val="none"/>
          <w:u w:val="single"/>
          <w:lang w:eastAsia="zh-CN"/>
        </w:rPr>
        <w:t xml:space="preserve">     /                            </w:t>
      </w:r>
    </w:p>
    <w:p w14:paraId="1AE51A54">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1953" w:name="_Toc21529"/>
      <w:bookmarkStart w:id="1954" w:name="_Toc31823"/>
      <w:bookmarkStart w:id="1955" w:name="_Toc47694447"/>
      <w:bookmarkStart w:id="1956" w:name="_Toc1503"/>
      <w:bookmarkStart w:id="1957" w:name="_Toc5719"/>
      <w:bookmarkStart w:id="1958" w:name="_Toc19888"/>
      <w:bookmarkStart w:id="1959" w:name="_Toc5002"/>
      <w:bookmarkStart w:id="1960" w:name="_Toc9268"/>
      <w:r>
        <w:rPr>
          <w:rFonts w:hint="eastAsia" w:ascii="仿宋" w:hAnsi="仿宋" w:eastAsia="仿宋" w:cs="仿宋"/>
          <w:b w:val="0"/>
          <w:bCs w:val="0"/>
          <w:i w:val="0"/>
          <w:iCs w:val="0"/>
          <w:color w:val="auto"/>
          <w:sz w:val="24"/>
          <w:szCs w:val="24"/>
          <w:highlight w:val="none"/>
          <w:lang w:eastAsia="zh-CN"/>
        </w:rPr>
        <w:t>★89.  质量保证金</w:t>
      </w:r>
      <w:bookmarkEnd w:id="1953"/>
      <w:bookmarkEnd w:id="1954"/>
      <w:bookmarkEnd w:id="1955"/>
      <w:bookmarkEnd w:id="1956"/>
      <w:bookmarkEnd w:id="1957"/>
      <w:bookmarkEnd w:id="1958"/>
      <w:bookmarkEnd w:id="1959"/>
      <w:bookmarkEnd w:id="1960"/>
    </w:p>
    <w:p w14:paraId="09E950CC">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89.2 质量保证金的约定与扣留</w:t>
      </w:r>
    </w:p>
    <w:p w14:paraId="19DA3662">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89.2.1 质量保证金预留方式</w:t>
      </w:r>
    </w:p>
    <w:p w14:paraId="4FCC4532">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□由承包人提交质量保证金银行保函；</w:t>
      </w:r>
    </w:p>
    <w:p w14:paraId="5AE36975">
      <w:pPr>
        <w:pStyle w:val="23"/>
        <w:widowControl w:val="0"/>
        <w:spacing w:line="360" w:lineRule="auto"/>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            □由承包人提交质量保证金担保公司担保；</w:t>
      </w:r>
    </w:p>
    <w:p w14:paraId="50BB0D22">
      <w:pPr>
        <w:pStyle w:val="23"/>
        <w:widowControl w:val="0"/>
        <w:spacing w:line="360" w:lineRule="auto"/>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            □由承包人提交质量保证金保证保险；</w:t>
      </w:r>
    </w:p>
    <w:p w14:paraId="5E8621DF">
      <w:pPr>
        <w:spacing w:line="360" w:lineRule="auto"/>
        <w:ind w:firstLine="1440" w:firstLineChars="6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□由发包人在支付工程进度款或结算款时逐次扣留，直到扣留的质量保证金总额达到</w:t>
      </w:r>
    </w:p>
    <w:p w14:paraId="0B2CF288">
      <w:pPr>
        <w:spacing w:line="360" w:lineRule="auto"/>
        <w:ind w:firstLine="1440" w:firstLineChars="6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专用条款约定的金额为止；</w:t>
      </w:r>
    </w:p>
    <w:p w14:paraId="39888F49">
      <w:pPr>
        <w:pStyle w:val="23"/>
        <w:widowControl w:val="0"/>
        <w:spacing w:line="360" w:lineRule="auto"/>
        <w:ind w:firstLine="1440" w:firstLineChars="60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□由发包人选择在工程竣工结算时一次性扣留相应比例的工程款；</w:t>
      </w:r>
    </w:p>
    <w:p w14:paraId="49F1C2CE">
      <w:pPr>
        <w:pStyle w:val="23"/>
        <w:widowControl w:val="0"/>
        <w:spacing w:line="360" w:lineRule="auto"/>
        <w:ind w:firstLine="1440" w:firstLineChars="60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☑双方约定的其他方式：</w:t>
      </w:r>
      <w:r>
        <w:rPr>
          <w:rFonts w:ascii="仿宋" w:hAnsi="仿宋" w:eastAsia="仿宋"/>
          <w:color w:val="auto"/>
          <w:sz w:val="24"/>
          <w:highlight w:val="none"/>
          <w:u w:val="single"/>
          <w:lang w:eastAsia="zh-CN"/>
        </w:rPr>
        <w:t>工程竣工且</w:t>
      </w:r>
      <w:r>
        <w:rPr>
          <w:rFonts w:hint="eastAsia" w:ascii="仿宋" w:hAnsi="仿宋" w:eastAsia="仿宋"/>
          <w:color w:val="auto"/>
          <w:sz w:val="24"/>
          <w:highlight w:val="none"/>
          <w:u w:val="single"/>
          <w:lang w:eastAsia="zh-CN"/>
        </w:rPr>
        <w:t>结算评审完成</w:t>
      </w:r>
      <w:r>
        <w:rPr>
          <w:rFonts w:ascii="仿宋" w:hAnsi="仿宋" w:eastAsia="仿宋"/>
          <w:color w:val="auto"/>
          <w:sz w:val="24"/>
          <w:highlight w:val="none"/>
          <w:u w:val="single"/>
          <w:lang w:eastAsia="zh-CN"/>
        </w:rPr>
        <w:t>后按本合同专用条款第8</w:t>
      </w:r>
      <w:r>
        <w:rPr>
          <w:rFonts w:hint="eastAsia" w:ascii="仿宋" w:hAnsi="仿宋" w:eastAsia="仿宋"/>
          <w:color w:val="auto"/>
          <w:sz w:val="24"/>
          <w:highlight w:val="none"/>
          <w:u w:val="single"/>
          <w:lang w:eastAsia="zh-CN"/>
        </w:rPr>
        <w:t>6</w:t>
      </w:r>
      <w:r>
        <w:rPr>
          <w:rFonts w:ascii="仿宋" w:hAnsi="仿宋" w:eastAsia="仿宋"/>
          <w:color w:val="auto"/>
          <w:sz w:val="24"/>
          <w:highlight w:val="none"/>
          <w:u w:val="single"/>
          <w:lang w:eastAsia="zh-CN"/>
        </w:rPr>
        <w:t>.1款</w:t>
      </w:r>
      <w:r>
        <w:rPr>
          <w:rFonts w:hint="eastAsia" w:ascii="仿宋" w:hAnsi="仿宋" w:eastAsia="仿宋"/>
          <w:color w:val="auto"/>
          <w:sz w:val="24"/>
          <w:highlight w:val="none"/>
          <w:u w:val="single"/>
          <w:lang w:eastAsia="zh-CN"/>
        </w:rPr>
        <w:t>、</w:t>
      </w:r>
      <w:r>
        <w:rPr>
          <w:rFonts w:ascii="仿宋" w:hAnsi="仿宋" w:eastAsia="仿宋"/>
          <w:color w:val="auto"/>
          <w:sz w:val="24"/>
          <w:highlight w:val="none"/>
          <w:u w:val="single"/>
          <w:lang w:eastAsia="zh-CN"/>
        </w:rPr>
        <w:t>第8</w:t>
      </w:r>
      <w:r>
        <w:rPr>
          <w:rFonts w:hint="eastAsia" w:ascii="仿宋" w:hAnsi="仿宋" w:eastAsia="仿宋"/>
          <w:color w:val="auto"/>
          <w:sz w:val="24"/>
          <w:highlight w:val="none"/>
          <w:u w:val="single"/>
          <w:lang w:eastAsia="zh-CN"/>
        </w:rPr>
        <w:t>7</w:t>
      </w:r>
      <w:r>
        <w:rPr>
          <w:rFonts w:ascii="仿宋" w:hAnsi="仿宋" w:eastAsia="仿宋"/>
          <w:color w:val="auto"/>
          <w:sz w:val="24"/>
          <w:highlight w:val="none"/>
          <w:u w:val="single"/>
          <w:lang w:eastAsia="zh-CN"/>
        </w:rPr>
        <w:t>.1款约定支付工程结算款，扣留</w:t>
      </w:r>
      <w:r>
        <w:rPr>
          <w:rFonts w:hint="eastAsia" w:ascii="仿宋" w:hAnsi="仿宋" w:eastAsia="仿宋"/>
          <w:color w:val="auto"/>
          <w:sz w:val="24"/>
          <w:highlight w:val="none"/>
          <w:u w:val="single"/>
          <w:lang w:eastAsia="zh-CN"/>
        </w:rPr>
        <w:t>3</w:t>
      </w:r>
      <w:r>
        <w:rPr>
          <w:rFonts w:ascii="仿宋" w:hAnsi="仿宋" w:eastAsia="仿宋"/>
          <w:color w:val="auto"/>
          <w:sz w:val="24"/>
          <w:highlight w:val="none"/>
          <w:u w:val="single"/>
          <w:lang w:eastAsia="zh-CN"/>
        </w:rPr>
        <w:t>％质量保证金。</w:t>
      </w:r>
      <w:r>
        <w:rPr>
          <w:rFonts w:ascii="仿宋" w:hAnsi="仿宋" w:eastAsia="仿宋" w:cs="仿宋"/>
          <w:color w:val="auto"/>
          <w:sz w:val="24"/>
          <w:szCs w:val="24"/>
          <w:highlight w:val="none"/>
          <w:lang w:eastAsia="zh-CN"/>
        </w:rPr>
        <w:t xml:space="preserve"> </w:t>
      </w:r>
    </w:p>
    <w:p w14:paraId="7F911594">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89.2.2 质量保证金金额的约定：</w:t>
      </w:r>
    </w:p>
    <w:p w14:paraId="0F825750">
      <w:pPr>
        <w:spacing w:line="360" w:lineRule="auto"/>
        <w:ind w:left="1634" w:leftChars="576" w:hanging="252" w:hangingChars="10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□按通用条款约定为合同价格中建筑安装工程费、设备及工器具购置费（如果有）部分结算总额的3%，即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4FC8702E">
      <w:pPr>
        <w:spacing w:line="360" w:lineRule="auto"/>
        <w:ind w:left="1680" w:leftChars="577" w:hanging="295" w:hangingChars="12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☑另有约定：</w:t>
      </w:r>
      <w:r>
        <w:rPr>
          <w:rFonts w:ascii="仿宋" w:hAnsi="仿宋" w:eastAsia="仿宋"/>
          <w:color w:val="auto"/>
          <w:highlight w:val="none"/>
          <w:u w:val="single"/>
          <w:lang w:eastAsia="zh-CN"/>
        </w:rPr>
        <w:t>为合同</w:t>
      </w:r>
      <w:r>
        <w:rPr>
          <w:rFonts w:hint="eastAsia" w:ascii="仿宋" w:hAnsi="仿宋" w:eastAsia="仿宋"/>
          <w:color w:val="auto"/>
          <w:highlight w:val="none"/>
          <w:u w:val="single"/>
          <w:lang w:eastAsia="zh-CN"/>
        </w:rPr>
        <w:t>建筑安装工程费</w:t>
      </w:r>
      <w:r>
        <w:rPr>
          <w:rFonts w:ascii="仿宋" w:hAnsi="仿宋" w:eastAsia="仿宋"/>
          <w:color w:val="auto"/>
          <w:highlight w:val="none"/>
          <w:u w:val="single"/>
          <w:lang w:eastAsia="zh-CN"/>
        </w:rPr>
        <w:t>结算价款的</w:t>
      </w:r>
      <w:r>
        <w:rPr>
          <w:rFonts w:hint="eastAsia" w:ascii="仿宋" w:hAnsi="仿宋" w:eastAsia="仿宋"/>
          <w:color w:val="auto"/>
          <w:highlight w:val="none"/>
          <w:u w:val="single"/>
          <w:lang w:eastAsia="zh-CN"/>
        </w:rPr>
        <w:t>3</w:t>
      </w:r>
      <w:r>
        <w:rPr>
          <w:rFonts w:ascii="仿宋" w:hAnsi="仿宋" w:eastAsia="仿宋"/>
          <w:color w:val="auto"/>
          <w:highlight w:val="none"/>
          <w:u w:val="single"/>
          <w:lang w:eastAsia="zh-CN"/>
        </w:rPr>
        <w:t>%。</w:t>
      </w:r>
    </w:p>
    <w:p w14:paraId="34BA7251">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89.3 质量保证金的返还</w:t>
      </w:r>
    </w:p>
    <w:p w14:paraId="253B2CDE">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（1）质量保证金的返还:</w:t>
      </w:r>
    </w:p>
    <w:p w14:paraId="7C7A2B1E">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缺陷责任期期满后，该工程不存在质量问题并经发包人认可后向承包人无息返还质量保证金。</w:t>
      </w:r>
    </w:p>
    <w:p w14:paraId="4341BBEB">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（2）逾期返还质量保证金的计息标准：</w:t>
      </w:r>
    </w:p>
    <w:p w14:paraId="3BD08DB1">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中国人民银行公布的同期贷款利率；</w:t>
      </w:r>
    </w:p>
    <w:p w14:paraId="4787074A">
      <w:pPr>
        <w:spacing w:line="360" w:lineRule="auto"/>
        <w:ind w:firstLine="600" w:firstLineChars="250"/>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rPr>
        <w:t xml:space="preserve">     □ </w:t>
      </w:r>
      <w:r>
        <w:rPr>
          <w:rFonts w:hint="eastAsia" w:ascii="仿宋" w:hAnsi="仿宋" w:eastAsia="仿宋" w:cs="仿宋"/>
          <w:color w:val="auto"/>
          <w:highlight w:val="none"/>
          <w:lang w:eastAsia="zh-CN" w:bidi="ar-SA"/>
        </w:rPr>
        <w:t>全国银行间同业拆借中心公布的贷款市场报价利率（LPR）；</w:t>
      </w:r>
    </w:p>
    <w:p w14:paraId="729EB79A">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bidi="ar-SA"/>
        </w:rPr>
        <w:t xml:space="preserve">     </w:t>
      </w:r>
      <w:r>
        <w:rPr>
          <w:rFonts w:hint="eastAsia" w:ascii="仿宋" w:hAnsi="仿宋" w:eastAsia="仿宋" w:cs="仿宋"/>
          <w:color w:val="auto"/>
          <w:highlight w:val="none"/>
          <w:lang w:eastAsia="zh-CN"/>
        </w:rPr>
        <w:t>☑ 另有约定：</w:t>
      </w:r>
      <w:r>
        <w:rPr>
          <w:rFonts w:hint="eastAsia" w:ascii="仿宋" w:hAnsi="仿宋" w:eastAsia="仿宋"/>
          <w:color w:val="auto"/>
          <w:highlight w:val="none"/>
          <w:u w:val="single"/>
          <w:lang w:eastAsia="zh-CN"/>
        </w:rPr>
        <w:t>发包人不进行任何利息支付。</w:t>
      </w:r>
      <w:r>
        <w:rPr>
          <w:rFonts w:hint="eastAsia" w:ascii="仿宋" w:hAnsi="仿宋" w:eastAsia="仿宋" w:cs="仿宋"/>
          <w:color w:val="auto"/>
          <w:highlight w:val="none"/>
          <w:u w:val="single"/>
          <w:lang w:eastAsia="zh-CN"/>
        </w:rPr>
        <w:t xml:space="preserve">                           </w:t>
      </w:r>
    </w:p>
    <w:p w14:paraId="7CB7EEC8">
      <w:pPr>
        <w:pStyle w:val="3"/>
        <w:tabs>
          <w:tab w:val="left" w:pos="420"/>
        </w:tabs>
        <w:spacing w:line="360" w:lineRule="auto"/>
        <w:rPr>
          <w:rFonts w:hint="eastAsia" w:ascii="仿宋" w:hAnsi="仿宋" w:eastAsia="仿宋" w:cs="仿宋"/>
          <w:i w:val="0"/>
          <w:iCs w:val="0"/>
          <w:color w:val="auto"/>
          <w:sz w:val="24"/>
          <w:szCs w:val="24"/>
          <w:highlight w:val="none"/>
          <w:lang w:eastAsia="zh-CN"/>
        </w:rPr>
      </w:pPr>
      <w:bookmarkStart w:id="1961" w:name="_Toc30141"/>
      <w:bookmarkStart w:id="1962" w:name="_Toc1585"/>
      <w:bookmarkStart w:id="1963" w:name="_Toc25823"/>
      <w:bookmarkStart w:id="1964" w:name="_Toc47694448"/>
      <w:bookmarkStart w:id="1965" w:name="_Toc6615"/>
      <w:bookmarkStart w:id="1966" w:name="_Toc1251"/>
      <w:bookmarkStart w:id="1967" w:name="_Toc16037"/>
      <w:bookmarkStart w:id="1968" w:name="_Toc4652"/>
      <w:r>
        <w:rPr>
          <w:rFonts w:hint="eastAsia" w:ascii="仿宋" w:hAnsi="仿宋" w:eastAsia="仿宋" w:cs="仿宋"/>
          <w:i w:val="0"/>
          <w:iCs w:val="0"/>
          <w:color w:val="auto"/>
          <w:sz w:val="24"/>
          <w:szCs w:val="24"/>
          <w:highlight w:val="none"/>
          <w:lang w:eastAsia="zh-CN"/>
        </w:rPr>
        <w:t>90.  最终清算款</w:t>
      </w:r>
      <w:bookmarkEnd w:id="1961"/>
      <w:bookmarkEnd w:id="1962"/>
      <w:bookmarkEnd w:id="1963"/>
      <w:bookmarkEnd w:id="1964"/>
      <w:bookmarkEnd w:id="1965"/>
      <w:bookmarkEnd w:id="1966"/>
      <w:bookmarkEnd w:id="1967"/>
      <w:bookmarkEnd w:id="1968"/>
    </w:p>
    <w:p w14:paraId="1499DA81">
      <w:pPr>
        <w:spacing w:line="360" w:lineRule="auto"/>
        <w:ind w:firstLine="600" w:firstLineChars="250"/>
        <w:rPr>
          <w:rFonts w:hint="eastAsia" w:ascii="仿宋" w:hAnsi="仿宋" w:eastAsia="仿宋" w:cs="仿宋"/>
          <w:color w:val="auto"/>
          <w:highlight w:val="none"/>
          <w:lang w:eastAsia="zh-CN"/>
        </w:rPr>
      </w:pPr>
      <w:bookmarkStart w:id="1969" w:name="_Toc901"/>
      <w:r>
        <w:rPr>
          <w:rFonts w:hint="eastAsia" w:ascii="仿宋" w:hAnsi="仿宋" w:eastAsia="仿宋" w:cs="仿宋"/>
          <w:color w:val="auto"/>
          <w:highlight w:val="none"/>
          <w:lang w:eastAsia="zh-CN"/>
        </w:rPr>
        <w:t>90.1 提交最终清算支付申请</w:t>
      </w:r>
      <w:bookmarkEnd w:id="1969"/>
    </w:p>
    <w:p w14:paraId="6F9D927E">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1、最终清算支付申请</w:t>
      </w:r>
    </w:p>
    <w:p w14:paraId="4AFC3BA1">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提交份数：</w:t>
      </w:r>
      <w:r>
        <w:rPr>
          <w:rFonts w:ascii="仿宋" w:hAnsi="仿宋" w:eastAsia="仿宋"/>
          <w:color w:val="auto"/>
          <w:highlight w:val="none"/>
          <w:u w:val="single"/>
          <w:lang w:eastAsia="zh-CN"/>
        </w:rPr>
        <w:t>壹式</w:t>
      </w:r>
      <w:r>
        <w:rPr>
          <w:rFonts w:hint="eastAsia" w:ascii="仿宋" w:hAnsi="仿宋" w:eastAsia="仿宋"/>
          <w:color w:val="auto"/>
          <w:highlight w:val="none"/>
          <w:u w:val="single"/>
          <w:lang w:eastAsia="zh-CN"/>
        </w:rPr>
        <w:t>伍</w:t>
      </w:r>
      <w:r>
        <w:rPr>
          <w:rFonts w:ascii="仿宋" w:hAnsi="仿宋" w:eastAsia="仿宋"/>
          <w:color w:val="auto"/>
          <w:highlight w:val="none"/>
          <w:u w:val="single"/>
          <w:lang w:eastAsia="zh-CN"/>
        </w:rPr>
        <w:t>份。</w:t>
      </w:r>
    </w:p>
    <w:p w14:paraId="7AF7B21D">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提交期限：</w:t>
      </w:r>
      <w:r>
        <w:rPr>
          <w:rFonts w:ascii="仿宋" w:hAnsi="仿宋" w:eastAsia="仿宋" w:cs="宋体"/>
          <w:color w:val="auto"/>
          <w:highlight w:val="none"/>
          <w:u w:val="single"/>
          <w:lang w:val="zh-CN" w:eastAsia="zh-CN"/>
        </w:rPr>
        <w:t>结算</w:t>
      </w:r>
      <w:r>
        <w:rPr>
          <w:rFonts w:hint="eastAsia" w:ascii="仿宋" w:hAnsi="仿宋" w:eastAsia="仿宋" w:cs="宋体"/>
          <w:color w:val="auto"/>
          <w:highlight w:val="none"/>
          <w:u w:val="single"/>
          <w:lang w:val="zh-CN" w:eastAsia="zh-CN"/>
        </w:rPr>
        <w:t>审核</w:t>
      </w:r>
      <w:r>
        <w:rPr>
          <w:rFonts w:ascii="仿宋" w:hAnsi="仿宋" w:eastAsia="仿宋" w:cs="宋体"/>
          <w:color w:val="auto"/>
          <w:highlight w:val="none"/>
          <w:u w:val="single"/>
          <w:lang w:val="zh-CN" w:eastAsia="zh-CN"/>
        </w:rPr>
        <w:t>完成</w:t>
      </w:r>
      <w:r>
        <w:rPr>
          <w:rFonts w:hint="eastAsia" w:ascii="仿宋" w:hAnsi="仿宋" w:eastAsia="仿宋" w:cs="宋体"/>
          <w:color w:val="auto"/>
          <w:highlight w:val="none"/>
          <w:u w:val="single"/>
          <w:lang w:val="zh-CN" w:eastAsia="zh-CN"/>
        </w:rPr>
        <w:t>、档案验收备案和移交工作完成</w:t>
      </w:r>
      <w:r>
        <w:rPr>
          <w:rFonts w:ascii="仿宋" w:hAnsi="仿宋" w:eastAsia="仿宋" w:cs="宋体"/>
          <w:color w:val="auto"/>
          <w:highlight w:val="none"/>
          <w:u w:val="single"/>
          <w:lang w:val="zh-CN" w:eastAsia="zh-CN"/>
        </w:rPr>
        <w:t>且按专用条款第8</w:t>
      </w:r>
      <w:r>
        <w:rPr>
          <w:rFonts w:hint="eastAsia" w:ascii="仿宋" w:hAnsi="仿宋" w:eastAsia="仿宋" w:cs="宋体"/>
          <w:color w:val="auto"/>
          <w:highlight w:val="none"/>
          <w:u w:val="single"/>
          <w:lang w:eastAsia="zh-CN"/>
        </w:rPr>
        <w:t>9</w:t>
      </w:r>
      <w:r>
        <w:rPr>
          <w:rFonts w:ascii="仿宋" w:hAnsi="仿宋" w:eastAsia="仿宋" w:cs="宋体"/>
          <w:color w:val="auto"/>
          <w:highlight w:val="none"/>
          <w:u w:val="single"/>
          <w:lang w:val="zh-CN" w:eastAsia="zh-CN"/>
        </w:rPr>
        <w:t>.3款约定的最后一期质量保证金退还时间期满后5天内。</w:t>
      </w:r>
    </w:p>
    <w:p w14:paraId="65DD52BF">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2、最终清算支付时限</w:t>
      </w:r>
    </w:p>
    <w:p w14:paraId="3B618EB4">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按通用条款的约定，在造价咨询人签发最终清算支付证书后的14天内。</w:t>
      </w:r>
    </w:p>
    <w:p w14:paraId="71C9B582">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另有约定：</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38E80CE5">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1970" w:name="_Toc18382"/>
      <w:bookmarkStart w:id="1971" w:name="_Toc5520"/>
      <w:bookmarkStart w:id="1972" w:name="_Toc15896"/>
      <w:bookmarkStart w:id="1973" w:name="_Toc23319"/>
      <w:bookmarkStart w:id="1974" w:name="_Toc31892"/>
      <w:bookmarkStart w:id="1975" w:name="_Toc47694449"/>
      <w:bookmarkStart w:id="1976" w:name="_Toc24941"/>
      <w:bookmarkStart w:id="1977" w:name="_Toc17817"/>
      <w:r>
        <w:rPr>
          <w:rFonts w:hint="eastAsia" w:ascii="仿宋" w:hAnsi="仿宋" w:eastAsia="仿宋" w:cs="仿宋"/>
          <w:b w:val="0"/>
          <w:bCs w:val="0"/>
          <w:i w:val="0"/>
          <w:iCs w:val="0"/>
          <w:color w:val="auto"/>
          <w:sz w:val="24"/>
          <w:szCs w:val="24"/>
          <w:highlight w:val="none"/>
          <w:lang w:eastAsia="zh-CN"/>
        </w:rPr>
        <w:t>91.  合同争议</w:t>
      </w:r>
      <w:bookmarkEnd w:id="1970"/>
      <w:bookmarkEnd w:id="1971"/>
      <w:bookmarkEnd w:id="1972"/>
      <w:bookmarkEnd w:id="1973"/>
      <w:bookmarkEnd w:id="1974"/>
      <w:bookmarkEnd w:id="1975"/>
      <w:bookmarkEnd w:id="1976"/>
      <w:bookmarkEnd w:id="1977"/>
    </w:p>
    <w:p w14:paraId="29FA3CDB">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91.4 调解或认定</w:t>
      </w:r>
    </w:p>
    <w:p w14:paraId="1AC19492">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争议调解或认定机构：</w:t>
      </w:r>
    </w:p>
    <w:p w14:paraId="0A6D747A">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按通用条款的约定。</w:t>
      </w:r>
    </w:p>
    <w:p w14:paraId="331AC0E2">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另有约定：</w:t>
      </w:r>
      <w:r>
        <w:rPr>
          <w:rFonts w:hint="eastAsia" w:ascii="仿宋" w:hAnsi="仿宋" w:eastAsia="仿宋" w:cs="仿宋"/>
          <w:color w:val="auto"/>
          <w:highlight w:val="none"/>
          <w:u w:val="single"/>
          <w:lang w:eastAsia="zh-CN"/>
        </w:rPr>
        <w:t>本合同履行中发生争议的，在协商过程中承包人不得停止施工，若协商不成的，发包人为确保工程按时竣工，有权委托其他施工单位进行施工，发生的费用由承包人承担，且在发包人和监理单位向承包人下发通知要求退场之日起，承包人必须退场，且发包人可对承包人处以5000元/日的违约金及向银行提取履约保函所担保的全额；情况严重时发包人有权单方解除合同和要求承包人先行退场，之后办理工程清算。</w:t>
      </w:r>
    </w:p>
    <w:p w14:paraId="1FF593CD">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1978" w:name="_Toc27460"/>
      <w:r>
        <w:rPr>
          <w:rFonts w:hint="eastAsia" w:ascii="仿宋" w:hAnsi="仿宋" w:eastAsia="仿宋" w:cs="仿宋"/>
          <w:color w:val="auto"/>
          <w:highlight w:val="none"/>
          <w:lang w:eastAsia="zh-CN"/>
        </w:rPr>
        <w:t>91.6 仲裁或诉讼</w:t>
      </w:r>
      <w:bookmarkEnd w:id="1978"/>
    </w:p>
    <w:p w14:paraId="26A3F70C">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解决争议的方式：</w:t>
      </w:r>
    </w:p>
    <w:p w14:paraId="4A5347ED">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 向约定的仲裁委员会申请仲裁，约定的仲裁委员会为：</w:t>
      </w:r>
      <w:r>
        <w:rPr>
          <w:rFonts w:hint="eastAsia" w:ascii="仿宋" w:hAnsi="仿宋" w:eastAsia="仿宋" w:cs="仿宋"/>
          <w:color w:val="auto"/>
          <w:highlight w:val="none"/>
          <w:u w:val="single"/>
          <w:lang w:eastAsia="zh-CN"/>
        </w:rPr>
        <w:t>中国广州仲裁委员会申请仲裁。</w:t>
      </w:r>
    </w:p>
    <w:p w14:paraId="6E9B3DAE">
      <w:pPr>
        <w:spacing w:line="360" w:lineRule="auto"/>
        <w:ind w:firstLine="48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向</w:t>
      </w:r>
      <w:r>
        <w:rPr>
          <w:rFonts w:ascii="仿宋" w:hAnsi="仿宋" w:eastAsia="仿宋" w:cs="仿宋"/>
          <w:color w:val="auto"/>
          <w:highlight w:val="none"/>
          <w:lang w:eastAsia="zh-CN"/>
        </w:rPr>
        <w:t>施工合同履行地</w:t>
      </w:r>
      <w:r>
        <w:rPr>
          <w:rFonts w:hint="eastAsia" w:ascii="仿宋" w:hAnsi="仿宋" w:eastAsia="仿宋" w:cs="仿宋"/>
          <w:color w:val="auto"/>
          <w:highlight w:val="none"/>
          <w:lang w:eastAsia="zh-CN"/>
        </w:rPr>
        <w:t>人民法院提起诉讼。</w:t>
      </w:r>
    </w:p>
    <w:p w14:paraId="77A88A7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91.7 争议期间继续施工</w:t>
      </w:r>
    </w:p>
    <w:p w14:paraId="6023BEA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发生合同争议时（包括合同变更、设计变更、签证及违约责任等），由监理工程师或造价工程师协调解决或请第三方调解，除非仲裁机关或人民法院明确同意暂停施工外，在调解期间承包人不得因此拒绝施工或拖延施工，应保持连续施工，否则承包人应承担工期违约责任，发包人有权要求承包人按合同约定支付违约金。</w:t>
      </w:r>
    </w:p>
    <w:p w14:paraId="0AF07933">
      <w:pPr>
        <w:pStyle w:val="3"/>
        <w:tabs>
          <w:tab w:val="left" w:pos="360"/>
          <w:tab w:val="left" w:pos="420"/>
        </w:tabs>
        <w:spacing w:line="360" w:lineRule="auto"/>
        <w:rPr>
          <w:rFonts w:ascii="仿宋" w:hAnsi="仿宋" w:eastAsia="仿宋"/>
          <w:b w:val="0"/>
          <w:bCs w:val="0"/>
          <w:i w:val="0"/>
          <w:iCs w:val="0"/>
          <w:color w:val="auto"/>
          <w:sz w:val="24"/>
          <w:szCs w:val="24"/>
          <w:highlight w:val="none"/>
          <w:lang w:eastAsia="zh-CN"/>
        </w:rPr>
      </w:pPr>
      <w:bookmarkStart w:id="1979" w:name="_Toc16839"/>
      <w:bookmarkStart w:id="1980" w:name="_Toc25984"/>
      <w:bookmarkStart w:id="1981" w:name="_Toc9205"/>
      <w:bookmarkStart w:id="1982" w:name="_Toc47694450"/>
      <w:bookmarkStart w:id="1983" w:name="_Toc10673"/>
      <w:bookmarkStart w:id="1984" w:name="_Toc25752"/>
      <w:bookmarkStart w:id="1985" w:name="_Toc3670"/>
      <w:bookmarkStart w:id="1986" w:name="_Toc12730"/>
      <w:r>
        <w:rPr>
          <w:rFonts w:hint="eastAsia" w:ascii="仿宋" w:hAnsi="仿宋" w:eastAsia="仿宋" w:cs="仿宋"/>
          <w:b w:val="0"/>
          <w:bCs w:val="0"/>
          <w:i w:val="0"/>
          <w:iCs w:val="0"/>
          <w:color w:val="auto"/>
          <w:sz w:val="24"/>
          <w:szCs w:val="24"/>
          <w:highlight w:val="none"/>
          <w:lang w:eastAsia="zh-CN"/>
        </w:rPr>
        <w:t>92.  合同解除</w:t>
      </w:r>
      <w:bookmarkEnd w:id="1979"/>
      <w:bookmarkEnd w:id="1980"/>
      <w:bookmarkEnd w:id="1981"/>
      <w:bookmarkEnd w:id="1982"/>
      <w:bookmarkEnd w:id="1983"/>
      <w:bookmarkEnd w:id="1984"/>
      <w:bookmarkEnd w:id="1985"/>
      <w:bookmarkEnd w:id="1986"/>
    </w:p>
    <w:p w14:paraId="31783D9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92.3 因承包人的原因解除</w:t>
      </w:r>
    </w:p>
    <w:p w14:paraId="29F42314">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承包人有下列情形之一者，发包人可以解除合同：</w:t>
      </w:r>
    </w:p>
    <w:p w14:paraId="6A6A66F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（4）承包人拖延完工需偿付的误期赔偿费</w:t>
      </w:r>
      <w:r>
        <w:rPr>
          <w:rFonts w:hint="eastAsia" w:ascii="仿宋" w:hAnsi="仿宋" w:eastAsia="仿宋" w:cs="仿宋"/>
          <w:color w:val="auto"/>
          <w:highlight w:val="none"/>
          <w:u w:val="single"/>
          <w:lang w:eastAsia="zh-CN"/>
        </w:rPr>
        <w:t>达到100万元</w:t>
      </w:r>
      <w:r>
        <w:rPr>
          <w:rFonts w:hint="eastAsia" w:ascii="仿宋" w:hAnsi="仿宋" w:eastAsia="仿宋" w:cs="仿宋"/>
          <w:color w:val="auto"/>
          <w:highlight w:val="none"/>
          <w:lang w:eastAsia="zh-CN"/>
        </w:rPr>
        <w:t>。</w:t>
      </w:r>
    </w:p>
    <w:p w14:paraId="0AB8071B">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（13）承包人严重违反合同的其他违约行为：</w:t>
      </w:r>
      <w:r>
        <w:rPr>
          <w:rFonts w:hint="eastAsia" w:ascii="仿宋" w:hAnsi="仿宋" w:eastAsia="仿宋" w:cs="仿宋"/>
          <w:color w:val="auto"/>
          <w:highlight w:val="none"/>
          <w:u w:val="single"/>
          <w:lang w:eastAsia="zh-CN"/>
        </w:rPr>
        <w:t>双方另行协商</w:t>
      </w:r>
      <w:r>
        <w:rPr>
          <w:rFonts w:hint="eastAsia" w:ascii="仿宋" w:hAnsi="仿宋" w:eastAsia="仿宋" w:cs="仿宋"/>
          <w:color w:val="auto"/>
          <w:highlight w:val="none"/>
          <w:lang w:eastAsia="zh-CN"/>
        </w:rPr>
        <w:t>。</w:t>
      </w:r>
    </w:p>
    <w:p w14:paraId="7709D747">
      <w:pPr>
        <w:widowControl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92.4 发包人有下列情形之一者，承包人可以解除合同：</w:t>
      </w:r>
    </w:p>
    <w:p w14:paraId="4372B8AB">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（9）发包人严重违反合同的其他违约行为：</w:t>
      </w:r>
      <w:r>
        <w:rPr>
          <w:rFonts w:hint="eastAsia" w:ascii="仿宋" w:hAnsi="仿宋" w:eastAsia="仿宋" w:cs="仿宋"/>
          <w:color w:val="auto"/>
          <w:highlight w:val="none"/>
          <w:u w:val="single"/>
          <w:lang w:eastAsia="zh-CN"/>
        </w:rPr>
        <w:t>双方另行协商</w:t>
      </w:r>
      <w:r>
        <w:rPr>
          <w:rFonts w:hint="eastAsia" w:ascii="仿宋" w:hAnsi="仿宋" w:eastAsia="仿宋" w:cs="仿宋"/>
          <w:color w:val="auto"/>
          <w:highlight w:val="none"/>
          <w:lang w:eastAsia="zh-CN"/>
        </w:rPr>
        <w:t>。</w:t>
      </w:r>
    </w:p>
    <w:p w14:paraId="79E551D7">
      <w:pPr>
        <w:pStyle w:val="3"/>
        <w:tabs>
          <w:tab w:val="left" w:pos="360"/>
          <w:tab w:val="left" w:pos="420"/>
        </w:tabs>
        <w:rPr>
          <w:rFonts w:ascii="仿宋" w:hAnsi="仿宋" w:eastAsia="仿宋" w:cs="仿宋"/>
          <w:color w:val="auto"/>
          <w:highlight w:val="none"/>
          <w:lang w:eastAsia="zh-CN"/>
        </w:rPr>
      </w:pPr>
      <w:bookmarkStart w:id="1987" w:name="_Toc24050"/>
      <w:bookmarkStart w:id="1988" w:name="_Toc7360"/>
      <w:bookmarkStart w:id="1989" w:name="_Toc47694451"/>
      <w:bookmarkStart w:id="1990" w:name="_Toc25926"/>
      <w:bookmarkStart w:id="1991" w:name="_Toc6785"/>
      <w:bookmarkStart w:id="1992" w:name="_Toc17212"/>
      <w:bookmarkStart w:id="1993" w:name="_Toc32676"/>
      <w:bookmarkStart w:id="1994" w:name="_Toc11292"/>
      <w:r>
        <w:rPr>
          <w:rFonts w:hint="eastAsia" w:ascii="仿宋" w:hAnsi="仿宋" w:eastAsia="仿宋" w:cs="仿宋"/>
          <w:bCs w:val="0"/>
          <w:i w:val="0"/>
          <w:iCs w:val="0"/>
          <w:color w:val="auto"/>
          <w:sz w:val="24"/>
          <w:szCs w:val="24"/>
          <w:highlight w:val="none"/>
          <w:lang w:eastAsia="zh-CN"/>
        </w:rPr>
        <w:t>★95</w:t>
      </w:r>
      <w:r>
        <w:rPr>
          <w:rFonts w:ascii="仿宋" w:hAnsi="仿宋" w:eastAsia="仿宋" w:cs="仿宋"/>
          <w:bCs w:val="0"/>
          <w:i w:val="0"/>
          <w:iCs w:val="0"/>
          <w:color w:val="auto"/>
          <w:sz w:val="24"/>
          <w:szCs w:val="24"/>
          <w:highlight w:val="none"/>
          <w:lang w:eastAsia="zh-CN"/>
        </w:rPr>
        <w:t xml:space="preserve">  </w:t>
      </w:r>
      <w:r>
        <w:rPr>
          <w:rFonts w:hint="eastAsia" w:ascii="仿宋" w:hAnsi="仿宋" w:eastAsia="仿宋" w:cs="仿宋"/>
          <w:b w:val="0"/>
          <w:bCs w:val="0"/>
          <w:i w:val="0"/>
          <w:iCs w:val="0"/>
          <w:color w:val="auto"/>
          <w:sz w:val="24"/>
          <w:szCs w:val="24"/>
          <w:highlight w:val="none"/>
          <w:lang w:eastAsia="zh-CN"/>
        </w:rPr>
        <w:t>承包人违约</w:t>
      </w:r>
      <w:bookmarkEnd w:id="1987"/>
      <w:bookmarkEnd w:id="1988"/>
      <w:bookmarkEnd w:id="1989"/>
      <w:bookmarkEnd w:id="1990"/>
      <w:bookmarkEnd w:id="1991"/>
      <w:bookmarkEnd w:id="1992"/>
      <w:bookmarkEnd w:id="1993"/>
      <w:bookmarkEnd w:id="1994"/>
    </w:p>
    <w:p w14:paraId="405CD810">
      <w:pPr>
        <w:spacing w:line="360" w:lineRule="auto"/>
        <w:ind w:firstLine="480" w:firstLineChars="200"/>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95.</w:t>
      </w:r>
      <w:r>
        <w:rPr>
          <w:rFonts w:hint="eastAsia" w:ascii="仿宋" w:hAnsi="仿宋" w:eastAsia="仿宋" w:cs="宋体"/>
          <w:snapToGrid w:val="0"/>
          <w:color w:val="auto"/>
          <w:highlight w:val="none"/>
          <w:lang w:eastAsia="zh-CN"/>
        </w:rPr>
        <w:t>1 设计成果文件方面的违约责任</w:t>
      </w:r>
    </w:p>
    <w:p w14:paraId="39308AE2">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1）承包人未能按本合同约定的时间或发包人审核同意的设计进度各类计划的要求提交相应阶段的设计成果文件，逾期3天以内（或累计达5天以上10天以内）的，发包人有权要求承包人承担一般违约责任处罚1次；逾期3天以上不超过15天（或累计达10天以上不超过30天）的，发包人有权要求承包人承担较大违约责任处罚1次；逾期15天以上不超过30天（或累计30天以上不超过60天）的，发包人有权要求承包人承担严重违约责任处罚1次；逾期30天以上（或累计达60天以上）的，发包人有权要求承包人承担根本违约责任。因承包人原因造成发包人损失的，承包人还须同时向发包人赔偿全部损失。</w:t>
      </w:r>
    </w:p>
    <w:p w14:paraId="491BF79D">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2）本合同履行期间，承包人的设计质量不符合合同约定或者设计成果文件出现遗漏、错误的，承包人应在发包人规定的期限内对设计成果文件及时进行补充、修改、完善，同时向发包人赔偿所有损失；因此造成设计成果文件逾期交付的，按专用条款第95.1款第（1）项的约定处理。</w:t>
      </w:r>
    </w:p>
    <w:p w14:paraId="7F9F787D">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（3）承包人提交的设计成果文件如有违反国家相关强制性规定的，每发生1处，发包人有权要求承包人承担较大违约责任处罚1次。</w:t>
      </w:r>
    </w:p>
    <w:p w14:paraId="5B604724">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（4）发包人或施工图审查单位或发包人委托的第三方对设计变更进行审核，发现承包人违反合同约定对设计变更随意进行合并、分拆的，发包人有权要求承包人承担一般违约责任处罚</w:t>
      </w:r>
      <w:r>
        <w:rPr>
          <w:rFonts w:ascii="仿宋" w:hAnsi="仿宋" w:eastAsia="仿宋" w:cs="宋体"/>
          <w:snapToGrid w:val="0"/>
          <w:color w:val="auto"/>
          <w:highlight w:val="none"/>
          <w:lang w:eastAsia="zh-CN"/>
        </w:rPr>
        <w:t>1</w:t>
      </w:r>
      <w:r>
        <w:rPr>
          <w:rFonts w:hint="eastAsia" w:ascii="仿宋" w:hAnsi="仿宋" w:eastAsia="仿宋" w:cs="宋体"/>
          <w:snapToGrid w:val="0"/>
          <w:color w:val="auto"/>
          <w:highlight w:val="none"/>
          <w:lang w:eastAsia="zh-CN"/>
        </w:rPr>
        <w:t>次。</w:t>
      </w:r>
    </w:p>
    <w:p w14:paraId="6001E5A2">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5）如承包人的设计成果文件中含有明显倾向于某一专门厂商生产的设备、材料的描述，或在其设计成果文件中选用了具有专一性、排他性的材料、设备而又未事先向发包人书面报告并详细说明理由的，每违反一次，发包人有权要求承包人承担一般违约责任处罚1次。</w:t>
      </w:r>
    </w:p>
    <w:p w14:paraId="1A0104ED">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（6）非发包人及不可抗力原因造成设计变更，承包人应负责修改设计。工程费用减少的予以扣减，工程费用增加的，由承包人自行承担，发包人不补偿任何费用。</w:t>
      </w:r>
    </w:p>
    <w:p w14:paraId="036C688E">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7）承包人未经发包人同意突破合同约定的投资控制要求的，承包人承担一次严重违约责任1次，且承包人应负责修改设计，保证工程总投资控制在合同约定的投资控制要求内。如果造成无法挽回的损失，因此对后续设计、采购、施工等造成的工期延误及投资费用增加由承包人承担。</w:t>
      </w:r>
    </w:p>
    <w:p w14:paraId="42AD9851">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8）因承包人原因造成设计变更并引起工程费用增加的，增加的工程建安费用由承包人自行承担，同时承包人应负责修改设计，保证工程总投资在投资控制指标内；给发包人造成损失的，承包人应赔偿发包人的全部损失。因新规范、新标准及新规定所引起的设计变更除外。</w:t>
      </w:r>
    </w:p>
    <w:p w14:paraId="54900A48">
      <w:pPr>
        <w:spacing w:line="360" w:lineRule="auto"/>
        <w:ind w:right="11" w:firstLine="424" w:firstLineChars="177"/>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95.</w:t>
      </w:r>
      <w:r>
        <w:rPr>
          <w:rFonts w:hint="eastAsia" w:ascii="仿宋" w:hAnsi="仿宋" w:eastAsia="仿宋" w:cs="宋体"/>
          <w:bCs/>
          <w:snapToGrid w:val="0"/>
          <w:color w:val="auto"/>
          <w:highlight w:val="none"/>
          <w:lang w:eastAsia="zh-CN"/>
        </w:rPr>
        <w:t>2 组织管理方面的违约责任</w:t>
      </w:r>
    </w:p>
    <w:p w14:paraId="5F15F77C">
      <w:pPr>
        <w:spacing w:line="360" w:lineRule="auto"/>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（1）承包人违反专用条款总则（补充）第2条、第5条的约定，不服从发包人及监理单位的管理，对发包人、监理单位的指令和书面通知公开或变相拒不执行的，发包人有权要求承包人承担</w:t>
      </w:r>
      <w:r>
        <w:rPr>
          <w:rFonts w:hint="eastAsia" w:ascii="仿宋" w:hAnsi="仿宋" w:eastAsia="仿宋" w:cs="宋体"/>
          <w:bCs/>
          <w:snapToGrid w:val="0"/>
          <w:color w:val="auto"/>
          <w:highlight w:val="none"/>
          <w:u w:val="single"/>
          <w:lang w:eastAsia="zh-CN"/>
        </w:rPr>
        <w:t>一般违约责任处罚</w:t>
      </w:r>
      <w:r>
        <w:rPr>
          <w:rFonts w:ascii="仿宋" w:hAnsi="仿宋" w:eastAsia="仿宋" w:cs="宋体"/>
          <w:bCs/>
          <w:snapToGrid w:val="0"/>
          <w:color w:val="auto"/>
          <w:highlight w:val="none"/>
          <w:u w:val="single"/>
          <w:lang w:eastAsia="zh-CN"/>
        </w:rPr>
        <w:t>1</w:t>
      </w:r>
      <w:r>
        <w:rPr>
          <w:rFonts w:hint="eastAsia" w:ascii="仿宋" w:hAnsi="仿宋" w:eastAsia="仿宋" w:cs="宋体"/>
          <w:bCs/>
          <w:snapToGrid w:val="0"/>
          <w:color w:val="auto"/>
          <w:highlight w:val="none"/>
          <w:u w:val="single"/>
          <w:lang w:eastAsia="zh-CN"/>
        </w:rPr>
        <w:t>次。</w:t>
      </w:r>
      <w:r>
        <w:rPr>
          <w:rFonts w:hint="eastAsia" w:ascii="仿宋" w:hAnsi="仿宋" w:eastAsia="仿宋" w:cs="宋体"/>
          <w:bCs/>
          <w:snapToGrid w:val="0"/>
          <w:color w:val="auto"/>
          <w:highlight w:val="none"/>
          <w:lang w:eastAsia="zh-CN"/>
        </w:rPr>
        <w:t>给发包人造成损失的，承包人应赔偿发包人的全部损失。</w:t>
      </w:r>
    </w:p>
    <w:p w14:paraId="39EB7312">
      <w:pPr>
        <w:spacing w:line="360" w:lineRule="auto"/>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（2）承包人不遵守发包人所制订的各项制度、规定的，由承包人按所触犯制度、规定的有关规定承担违约责任。</w:t>
      </w:r>
      <w:r>
        <w:rPr>
          <w:rFonts w:hint="eastAsia" w:ascii="仿宋" w:hAnsi="仿宋" w:eastAsia="仿宋" w:cs="宋体"/>
          <w:bCs/>
          <w:snapToGrid w:val="0"/>
          <w:color w:val="auto"/>
          <w:highlight w:val="none"/>
          <w:u w:val="single"/>
          <w:lang w:eastAsia="zh-CN"/>
        </w:rPr>
        <w:t>所触犯制度、规定没有明确规定的，发包人有权要求承包人承担一般违约责任处罚</w:t>
      </w:r>
      <w:r>
        <w:rPr>
          <w:rFonts w:ascii="仿宋" w:hAnsi="仿宋" w:eastAsia="仿宋" w:cs="宋体"/>
          <w:bCs/>
          <w:snapToGrid w:val="0"/>
          <w:color w:val="auto"/>
          <w:highlight w:val="none"/>
          <w:u w:val="single"/>
          <w:lang w:eastAsia="zh-CN"/>
        </w:rPr>
        <w:t>1</w:t>
      </w:r>
      <w:r>
        <w:rPr>
          <w:rFonts w:hint="eastAsia" w:ascii="仿宋" w:hAnsi="仿宋" w:eastAsia="仿宋" w:cs="宋体"/>
          <w:bCs/>
          <w:snapToGrid w:val="0"/>
          <w:color w:val="auto"/>
          <w:highlight w:val="none"/>
          <w:u w:val="single"/>
          <w:lang w:eastAsia="zh-CN"/>
        </w:rPr>
        <w:t>次。</w:t>
      </w:r>
      <w:r>
        <w:rPr>
          <w:rFonts w:hint="eastAsia" w:ascii="仿宋" w:hAnsi="仿宋" w:eastAsia="仿宋" w:cs="宋体"/>
          <w:bCs/>
          <w:snapToGrid w:val="0"/>
          <w:color w:val="auto"/>
          <w:highlight w:val="none"/>
          <w:lang w:eastAsia="zh-CN"/>
        </w:rPr>
        <w:t>给发包人造成损失的，承包人应赔偿发包人的全部损失。</w:t>
      </w:r>
    </w:p>
    <w:p w14:paraId="06D29C2D">
      <w:pPr>
        <w:spacing w:line="360" w:lineRule="auto"/>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3）承包人不按约定投入设计人员、现场组织管理人员、施工作业人员、施工机械设备，或者擅自变更资源投入计划或者擅自对已投入的资源进行调整的，承包人必须按照总监理工程师或者发包人的指令限期改正；承包人拒不限期改正的，</w:t>
      </w:r>
      <w:r>
        <w:rPr>
          <w:rFonts w:hint="eastAsia" w:ascii="仿宋" w:hAnsi="仿宋" w:eastAsia="仿宋" w:cs="宋体"/>
          <w:bCs/>
          <w:snapToGrid w:val="0"/>
          <w:color w:val="auto"/>
          <w:highlight w:val="none"/>
          <w:u w:val="single"/>
          <w:lang w:eastAsia="zh-CN"/>
        </w:rPr>
        <w:t>发包人有权要求承包人承担一般违约责任处罚</w:t>
      </w:r>
      <w:r>
        <w:rPr>
          <w:rFonts w:ascii="仿宋" w:hAnsi="仿宋" w:eastAsia="仿宋" w:cs="宋体"/>
          <w:bCs/>
          <w:snapToGrid w:val="0"/>
          <w:color w:val="auto"/>
          <w:highlight w:val="none"/>
          <w:u w:val="single"/>
          <w:lang w:eastAsia="zh-CN"/>
        </w:rPr>
        <w:t>1</w:t>
      </w:r>
      <w:r>
        <w:rPr>
          <w:rFonts w:hint="eastAsia" w:ascii="仿宋" w:hAnsi="仿宋" w:eastAsia="仿宋" w:cs="宋体"/>
          <w:bCs/>
          <w:snapToGrid w:val="0"/>
          <w:color w:val="auto"/>
          <w:highlight w:val="none"/>
          <w:u w:val="single"/>
          <w:lang w:eastAsia="zh-CN"/>
        </w:rPr>
        <w:t>次。给发</w:t>
      </w:r>
      <w:r>
        <w:rPr>
          <w:rFonts w:hint="eastAsia" w:ascii="仿宋" w:hAnsi="仿宋" w:eastAsia="仿宋" w:cs="宋体"/>
          <w:bCs/>
          <w:snapToGrid w:val="0"/>
          <w:color w:val="auto"/>
          <w:highlight w:val="none"/>
          <w:lang w:eastAsia="zh-CN"/>
        </w:rPr>
        <w:t>包人造成损失的，承包人应赔偿发包人的全部损失。承包人需按照合同约定配置现场施工管理人员（详见附件15）。建设单位、项管单位不定期对现场施工管理人员配置检查，若未按照要求配置人员，将按照每人次2000元处罚。</w:t>
      </w:r>
    </w:p>
    <w:p w14:paraId="5DD6D82E">
      <w:pPr>
        <w:spacing w:line="360" w:lineRule="auto"/>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经发包人或总监理工程师考核，承包人投入的管理人员不能满足本工程建设要求的，承包人必须无条件按发包人的要求更换，直至满足本工程建设要求为止。而且，不能满足本工程建设要求的管理人员按缺勤处理。</w:t>
      </w:r>
    </w:p>
    <w:p w14:paraId="523CA7AA">
      <w:pPr>
        <w:spacing w:line="360" w:lineRule="auto"/>
        <w:ind w:firstLine="424" w:firstLineChars="177"/>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如承包人违背投标承诺，除按上述约定承担违约责任之外，还应按以下约定的金额向发包人支付违约金：</w:t>
      </w:r>
    </w:p>
    <w:p w14:paraId="1405EDB4">
      <w:pPr>
        <w:spacing w:line="360" w:lineRule="auto"/>
        <w:ind w:left="398" w:leftChars="166"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w:t>
      </w:r>
      <w:r>
        <w:rPr>
          <w:rFonts w:ascii="仿宋" w:hAnsi="仿宋" w:eastAsia="仿宋"/>
          <w:color w:val="auto"/>
          <w:highlight w:val="none"/>
          <w:lang w:eastAsia="zh-CN"/>
        </w:rPr>
        <w:t>如承包人收到发包人发出的人员进场通知后，承包人投标文件所报项目经理部主要成员未按通知要求时间到位、又未经批准的，每延迟1天，承包人需按：项目经理及各技术负责人每人10000元、管理人员每人5000元向发包人支付违约金。</w:t>
      </w:r>
    </w:p>
    <w:p w14:paraId="05BC89AF">
      <w:pPr>
        <w:spacing w:line="360" w:lineRule="auto"/>
        <w:ind w:left="398" w:leftChars="166"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w:t>
      </w:r>
      <w:r>
        <w:rPr>
          <w:rFonts w:ascii="仿宋" w:hAnsi="仿宋" w:eastAsia="仿宋"/>
          <w:color w:val="auto"/>
          <w:highlight w:val="none"/>
          <w:lang w:eastAsia="zh-CN"/>
        </w:rPr>
        <w:t>承包人经批准更换项目经理及各技术负责人的，每人次向发包人</w:t>
      </w:r>
      <w:r>
        <w:rPr>
          <w:rFonts w:ascii="仿宋" w:hAnsi="仿宋" w:eastAsia="仿宋"/>
          <w:color w:val="auto"/>
          <w:highlight w:val="none"/>
          <w:u w:val="single"/>
          <w:lang w:eastAsia="zh-CN"/>
        </w:rPr>
        <w:t>支付违约金人民币15万元</w:t>
      </w:r>
      <w:r>
        <w:rPr>
          <w:rFonts w:ascii="仿宋" w:hAnsi="仿宋" w:eastAsia="仿宋"/>
          <w:color w:val="auto"/>
          <w:highlight w:val="none"/>
          <w:lang w:eastAsia="zh-CN"/>
        </w:rPr>
        <w:t>；如承包人项目经理及各技术负责人因不适应现场工作需要而被撤换的，</w:t>
      </w:r>
      <w:r>
        <w:rPr>
          <w:rFonts w:ascii="仿宋" w:hAnsi="仿宋" w:eastAsia="仿宋"/>
          <w:color w:val="auto"/>
          <w:highlight w:val="none"/>
          <w:u w:val="single"/>
          <w:lang w:eastAsia="zh-CN"/>
        </w:rPr>
        <w:t>每人次向发包人支付违约金人民币20万元</w:t>
      </w:r>
      <w:r>
        <w:rPr>
          <w:rFonts w:ascii="仿宋" w:hAnsi="仿宋" w:eastAsia="仿宋"/>
          <w:color w:val="auto"/>
          <w:highlight w:val="none"/>
          <w:lang w:eastAsia="zh-CN"/>
        </w:rPr>
        <w:t>；如承包人未经监理单位、发包人同意，擅自更换项目经理或各技术负责人，除必须限期纠正外，</w:t>
      </w:r>
      <w:r>
        <w:rPr>
          <w:rFonts w:ascii="仿宋" w:hAnsi="仿宋" w:eastAsia="仿宋"/>
          <w:color w:val="auto"/>
          <w:highlight w:val="none"/>
          <w:u w:val="single"/>
          <w:lang w:eastAsia="zh-CN"/>
        </w:rPr>
        <w:t>每人次向发包人支付违约金人民币20万元。</w:t>
      </w:r>
    </w:p>
    <w:p w14:paraId="142A809E">
      <w:pPr>
        <w:spacing w:line="360" w:lineRule="auto"/>
        <w:ind w:left="398" w:leftChars="166"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w:t>
      </w:r>
      <w:r>
        <w:rPr>
          <w:rFonts w:ascii="仿宋" w:hAnsi="仿宋" w:eastAsia="仿宋"/>
          <w:color w:val="auto"/>
          <w:highlight w:val="none"/>
          <w:lang w:eastAsia="zh-CN"/>
        </w:rPr>
        <w:t>施工过程中，项目经理</w:t>
      </w:r>
      <w:r>
        <w:rPr>
          <w:rFonts w:hint="eastAsia" w:ascii="仿宋" w:hAnsi="仿宋" w:eastAsia="仿宋"/>
          <w:color w:val="auto"/>
          <w:highlight w:val="none"/>
          <w:lang w:eastAsia="zh-CN"/>
        </w:rPr>
        <w:t>、项目生产经理、</w:t>
      </w:r>
      <w:r>
        <w:rPr>
          <w:rFonts w:ascii="仿宋" w:hAnsi="仿宋" w:eastAsia="仿宋"/>
          <w:color w:val="auto"/>
          <w:highlight w:val="none"/>
          <w:lang w:eastAsia="zh-CN"/>
        </w:rPr>
        <w:t>各技术负责人</w:t>
      </w:r>
      <w:r>
        <w:rPr>
          <w:rFonts w:hint="eastAsia" w:ascii="仿宋" w:hAnsi="仿宋" w:eastAsia="仿宋"/>
          <w:color w:val="auto"/>
          <w:highlight w:val="none"/>
          <w:lang w:eastAsia="zh-CN"/>
        </w:rPr>
        <w:t>、安全负责人、质量负责人</w:t>
      </w:r>
      <w:r>
        <w:rPr>
          <w:rFonts w:ascii="仿宋" w:hAnsi="仿宋" w:eastAsia="仿宋"/>
          <w:color w:val="auto"/>
          <w:highlight w:val="none"/>
          <w:lang w:eastAsia="zh-CN"/>
        </w:rPr>
        <w:t>擅自离场或岗位空缺，监理工程师可以发出书面通知，承包人必须在24小时内纠正，并要求承包人作出书面解释和保证；此种情况每出现1次，</w:t>
      </w:r>
      <w:r>
        <w:rPr>
          <w:rFonts w:ascii="仿宋" w:hAnsi="仿宋" w:eastAsia="仿宋"/>
          <w:color w:val="auto"/>
          <w:highlight w:val="none"/>
          <w:u w:val="single"/>
          <w:lang w:eastAsia="zh-CN"/>
        </w:rPr>
        <w:t>发包人要求承包人支付违约金人民币10000元</w:t>
      </w:r>
      <w:r>
        <w:rPr>
          <w:rFonts w:ascii="仿宋" w:hAnsi="仿宋" w:eastAsia="仿宋"/>
          <w:color w:val="auto"/>
          <w:highlight w:val="none"/>
          <w:lang w:eastAsia="zh-CN"/>
        </w:rPr>
        <w:t>；30天内出现2次，承包人必须承担限期改正责任1次。若承包人未能按要求及时纠正或作出书面解释和保证，监理工程师将再次发出书面通知，承包人必须承担限期改正责任1次，依此类推。</w:t>
      </w:r>
    </w:p>
    <w:p w14:paraId="1F2165FD">
      <w:pPr>
        <w:spacing w:line="360" w:lineRule="auto"/>
        <w:ind w:left="398" w:leftChars="166"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4）</w:t>
      </w:r>
      <w:r>
        <w:rPr>
          <w:rFonts w:ascii="仿宋" w:hAnsi="仿宋" w:eastAsia="仿宋"/>
          <w:color w:val="auto"/>
          <w:highlight w:val="none"/>
          <w:lang w:eastAsia="zh-CN"/>
        </w:rPr>
        <w:t>施工过程中，一般项目管理人员擅自离场、岗位空缺或有兼职情况，监理工程师可以发出书面通知，承包人必须在24小时内纠正，并要求承包人作出书面解释和保证；此种情况每出现1次，发包人要求承包人支付违约金人民币5000元；30天内出现5人次，承包人必须承担限期改正责任1次。若承包人未能按要求及时纠正或作出书面解释和保证，监理工程师将再次发出书面通知，承包人必须承担限期改正责任1次，依此类推。</w:t>
      </w:r>
    </w:p>
    <w:p w14:paraId="71A5AEE7">
      <w:pPr>
        <w:ind w:firstLine="424" w:firstLineChars="177"/>
        <w:rPr>
          <w:rFonts w:hint="eastAsia" w:ascii="仿宋" w:hAnsi="仿宋" w:eastAsia="仿宋"/>
          <w:bCs/>
          <w:snapToGrid w:val="0"/>
          <w:color w:val="auto"/>
          <w:highlight w:val="none"/>
          <w:lang w:eastAsia="zh-CN"/>
        </w:rPr>
      </w:pPr>
      <w:r>
        <w:rPr>
          <w:rFonts w:hint="eastAsia" w:ascii="仿宋" w:hAnsi="仿宋" w:eastAsia="仿宋" w:cs="宋体"/>
          <w:bCs/>
          <w:snapToGrid w:val="0"/>
          <w:color w:val="auto"/>
          <w:highlight w:val="none"/>
          <w:lang w:eastAsia="zh-CN"/>
        </w:rPr>
        <w:t xml:space="preserve">   5）</w:t>
      </w:r>
      <w:r>
        <w:rPr>
          <w:rFonts w:hint="eastAsia" w:ascii="仿宋" w:hAnsi="仿宋" w:eastAsia="仿宋"/>
          <w:bCs/>
          <w:snapToGrid w:val="0"/>
          <w:color w:val="auto"/>
          <w:highlight w:val="none"/>
          <w:lang w:eastAsia="zh-CN"/>
        </w:rPr>
        <w:t>未经发包人同意，设计人员私自更换人员的，须按下表支付违约金：</w:t>
      </w:r>
    </w:p>
    <w:tbl>
      <w:tblPr>
        <w:tblStyle w:val="4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3"/>
        <w:gridCol w:w="1984"/>
        <w:gridCol w:w="3253"/>
        <w:gridCol w:w="1260"/>
        <w:gridCol w:w="1260"/>
        <w:gridCol w:w="1260"/>
      </w:tblGrid>
      <w:tr w14:paraId="05889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703" w:type="dxa"/>
            <w:noWrap w:val="0"/>
            <w:vAlign w:val="center"/>
          </w:tcPr>
          <w:p w14:paraId="758D0634">
            <w:pPr>
              <w:jc w:val="center"/>
              <w:rPr>
                <w:rFonts w:ascii="仿宋" w:hAnsi="仿宋" w:eastAsia="仿宋" w:cs="宋体"/>
                <w:b/>
                <w:bCs/>
                <w:snapToGrid w:val="0"/>
                <w:color w:val="auto"/>
                <w:sz w:val="21"/>
                <w:szCs w:val="21"/>
                <w:highlight w:val="none"/>
              </w:rPr>
            </w:pPr>
            <w:r>
              <w:rPr>
                <w:rFonts w:hint="eastAsia" w:ascii="仿宋" w:hAnsi="仿宋" w:eastAsia="仿宋" w:cs="宋体"/>
                <w:b/>
                <w:bCs/>
                <w:snapToGrid w:val="0"/>
                <w:color w:val="auto"/>
                <w:sz w:val="21"/>
                <w:szCs w:val="21"/>
                <w:highlight w:val="none"/>
              </w:rPr>
              <w:t>序号</w:t>
            </w:r>
          </w:p>
        </w:tc>
        <w:tc>
          <w:tcPr>
            <w:tcW w:w="1984" w:type="dxa"/>
            <w:noWrap w:val="0"/>
            <w:vAlign w:val="center"/>
          </w:tcPr>
          <w:p w14:paraId="2151D50B">
            <w:pPr>
              <w:ind w:firstLine="420"/>
              <w:jc w:val="both"/>
              <w:rPr>
                <w:rFonts w:ascii="仿宋" w:hAnsi="仿宋" w:eastAsia="仿宋" w:cs="宋体"/>
                <w:b/>
                <w:bCs/>
                <w:snapToGrid w:val="0"/>
                <w:color w:val="auto"/>
                <w:sz w:val="21"/>
                <w:szCs w:val="21"/>
                <w:highlight w:val="none"/>
              </w:rPr>
            </w:pPr>
            <w:r>
              <w:rPr>
                <w:rFonts w:hint="eastAsia" w:ascii="仿宋" w:hAnsi="仿宋" w:eastAsia="仿宋" w:cs="宋体"/>
                <w:b/>
                <w:bCs/>
                <w:snapToGrid w:val="0"/>
                <w:color w:val="auto"/>
                <w:sz w:val="21"/>
                <w:szCs w:val="21"/>
                <w:highlight w:val="none"/>
              </w:rPr>
              <w:t>承诺项目</w:t>
            </w:r>
          </w:p>
        </w:tc>
        <w:tc>
          <w:tcPr>
            <w:tcW w:w="3253" w:type="dxa"/>
            <w:noWrap w:val="0"/>
            <w:vAlign w:val="center"/>
          </w:tcPr>
          <w:p w14:paraId="2083B748">
            <w:pPr>
              <w:ind w:firstLine="420"/>
              <w:jc w:val="center"/>
              <w:rPr>
                <w:rFonts w:ascii="仿宋" w:hAnsi="仿宋" w:eastAsia="仿宋" w:cs="宋体"/>
                <w:b/>
                <w:bCs/>
                <w:snapToGrid w:val="0"/>
                <w:color w:val="auto"/>
                <w:sz w:val="21"/>
                <w:szCs w:val="21"/>
                <w:highlight w:val="none"/>
              </w:rPr>
            </w:pPr>
            <w:r>
              <w:rPr>
                <w:rFonts w:hint="eastAsia" w:ascii="仿宋" w:hAnsi="仿宋" w:eastAsia="仿宋" w:cs="宋体"/>
                <w:b/>
                <w:bCs/>
                <w:snapToGrid w:val="0"/>
                <w:color w:val="auto"/>
                <w:sz w:val="21"/>
                <w:szCs w:val="21"/>
                <w:highlight w:val="none"/>
              </w:rPr>
              <w:t>违约说明</w:t>
            </w:r>
          </w:p>
        </w:tc>
        <w:tc>
          <w:tcPr>
            <w:tcW w:w="3780" w:type="dxa"/>
            <w:gridSpan w:val="3"/>
            <w:noWrap w:val="0"/>
            <w:vAlign w:val="center"/>
          </w:tcPr>
          <w:p w14:paraId="263C159D">
            <w:pPr>
              <w:ind w:firstLine="420"/>
              <w:jc w:val="center"/>
              <w:rPr>
                <w:rFonts w:ascii="仿宋" w:hAnsi="仿宋" w:eastAsia="仿宋" w:cs="宋体"/>
                <w:b/>
                <w:bCs/>
                <w:snapToGrid w:val="0"/>
                <w:color w:val="auto"/>
                <w:sz w:val="21"/>
                <w:szCs w:val="21"/>
                <w:highlight w:val="none"/>
                <w:lang w:eastAsia="zh-CN"/>
              </w:rPr>
            </w:pPr>
            <w:r>
              <w:rPr>
                <w:rFonts w:hint="eastAsia" w:ascii="仿宋" w:hAnsi="仿宋" w:eastAsia="仿宋" w:cs="宋体"/>
                <w:b/>
                <w:bCs/>
                <w:snapToGrid w:val="0"/>
                <w:color w:val="auto"/>
                <w:sz w:val="21"/>
                <w:szCs w:val="21"/>
                <w:highlight w:val="none"/>
                <w:lang w:eastAsia="zh-CN"/>
              </w:rPr>
              <w:t>承包人承诺的违约金额（元</w:t>
            </w:r>
            <w:r>
              <w:rPr>
                <w:rFonts w:ascii="仿宋" w:hAnsi="仿宋" w:eastAsia="仿宋" w:cs="宋体"/>
                <w:b/>
                <w:bCs/>
                <w:snapToGrid w:val="0"/>
                <w:color w:val="auto"/>
                <w:sz w:val="21"/>
                <w:szCs w:val="21"/>
                <w:highlight w:val="none"/>
                <w:lang w:eastAsia="zh-CN"/>
              </w:rPr>
              <w:t>/人次）</w:t>
            </w:r>
          </w:p>
        </w:tc>
      </w:tr>
      <w:tr w14:paraId="0C60F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703" w:type="dxa"/>
            <w:vMerge w:val="restart"/>
            <w:noWrap w:val="0"/>
            <w:vAlign w:val="center"/>
          </w:tcPr>
          <w:p w14:paraId="380C1EA5">
            <w:pPr>
              <w:jc w:val="center"/>
              <w:rPr>
                <w:rFonts w:ascii="仿宋" w:hAnsi="仿宋" w:eastAsia="仿宋" w:cs="宋体"/>
                <w:snapToGrid w:val="0"/>
                <w:color w:val="auto"/>
                <w:sz w:val="21"/>
                <w:szCs w:val="21"/>
                <w:highlight w:val="none"/>
              </w:rPr>
            </w:pPr>
            <w:r>
              <w:rPr>
                <w:rFonts w:hint="eastAsia" w:ascii="仿宋" w:hAnsi="仿宋" w:eastAsia="仿宋" w:cs="宋体"/>
                <w:snapToGrid w:val="0"/>
                <w:color w:val="auto"/>
                <w:sz w:val="21"/>
                <w:szCs w:val="21"/>
                <w:highlight w:val="none"/>
                <w:lang w:eastAsia="zh-CN"/>
              </w:rPr>
              <w:t>1</w:t>
            </w:r>
          </w:p>
        </w:tc>
        <w:tc>
          <w:tcPr>
            <w:tcW w:w="1984" w:type="dxa"/>
            <w:vMerge w:val="restart"/>
            <w:noWrap w:val="0"/>
            <w:vAlign w:val="center"/>
          </w:tcPr>
          <w:p w14:paraId="34361D92">
            <w:pPr>
              <w:ind w:firstLine="422" w:firstLineChars="200"/>
              <w:rPr>
                <w:rFonts w:ascii="仿宋" w:hAnsi="仿宋" w:eastAsia="仿宋" w:cs="宋体"/>
                <w:b/>
                <w:bCs/>
                <w:snapToGrid w:val="0"/>
                <w:color w:val="auto"/>
                <w:sz w:val="21"/>
                <w:szCs w:val="21"/>
                <w:highlight w:val="none"/>
                <w:lang w:eastAsia="zh-CN"/>
              </w:rPr>
            </w:pPr>
            <w:r>
              <w:rPr>
                <w:rFonts w:hint="eastAsia" w:ascii="仿宋" w:hAnsi="仿宋" w:eastAsia="仿宋" w:cs="宋体"/>
                <w:b/>
                <w:bCs/>
                <w:snapToGrid w:val="0"/>
                <w:color w:val="auto"/>
                <w:sz w:val="21"/>
                <w:szCs w:val="21"/>
                <w:highlight w:val="none"/>
                <w:lang w:eastAsia="zh-CN"/>
              </w:rPr>
              <w:t>设计人员</w:t>
            </w:r>
          </w:p>
        </w:tc>
        <w:tc>
          <w:tcPr>
            <w:tcW w:w="3253" w:type="dxa"/>
            <w:noWrap w:val="0"/>
            <w:vAlign w:val="center"/>
          </w:tcPr>
          <w:p w14:paraId="5B6EFF00">
            <w:pPr>
              <w:widowControl w:val="0"/>
              <w:spacing w:line="360" w:lineRule="auto"/>
              <w:rPr>
                <w:rFonts w:ascii="仿宋" w:hAnsi="仿宋" w:eastAsia="仿宋" w:cs="宋体"/>
                <w:snapToGrid w:val="0"/>
                <w:color w:val="auto"/>
                <w:kern w:val="2"/>
                <w:sz w:val="21"/>
                <w:szCs w:val="21"/>
                <w:highlight w:val="none"/>
                <w:lang w:eastAsia="zh-CN"/>
              </w:rPr>
            </w:pPr>
            <w:r>
              <w:rPr>
                <w:rFonts w:hint="eastAsia" w:ascii="仿宋" w:hAnsi="仿宋" w:eastAsia="仿宋" w:cs="宋体"/>
                <w:snapToGrid w:val="0"/>
                <w:color w:val="auto"/>
                <w:sz w:val="21"/>
                <w:szCs w:val="21"/>
                <w:highlight w:val="none"/>
                <w:lang w:eastAsia="zh-CN"/>
              </w:rPr>
              <w:t>更换项目设计总负责人或驻场设计代表总负责人或空缺</w:t>
            </w:r>
          </w:p>
        </w:tc>
        <w:tc>
          <w:tcPr>
            <w:tcW w:w="1260" w:type="dxa"/>
            <w:noWrap w:val="0"/>
            <w:vAlign w:val="center"/>
          </w:tcPr>
          <w:p w14:paraId="142E0907">
            <w:pPr>
              <w:widowControl w:val="0"/>
              <w:rPr>
                <w:rFonts w:ascii="仿宋" w:hAnsi="仿宋" w:eastAsia="仿宋" w:cs="宋体"/>
                <w:snapToGrid w:val="0"/>
                <w:color w:val="auto"/>
                <w:kern w:val="2"/>
                <w:sz w:val="21"/>
                <w:szCs w:val="21"/>
                <w:highlight w:val="none"/>
              </w:rPr>
            </w:pPr>
            <w:r>
              <w:rPr>
                <w:b/>
                <w:snapToGrid w:val="0"/>
                <w:color w:val="auto"/>
                <w:sz w:val="21"/>
                <w:szCs w:val="21"/>
                <w:highlight w:val="none"/>
                <w:bdr w:val="single" w:color="auto" w:sz="4" w:space="0"/>
              </w:rPr>
              <w:t>√</w:t>
            </w:r>
            <w:r>
              <w:rPr>
                <w:rFonts w:ascii="仿宋" w:hAnsi="仿宋" w:eastAsia="仿宋" w:cs="宋体"/>
                <w:snapToGrid w:val="0"/>
                <w:color w:val="auto"/>
                <w:sz w:val="21"/>
                <w:szCs w:val="21"/>
                <w:highlight w:val="none"/>
              </w:rPr>
              <w:t xml:space="preserve"> 150000</w:t>
            </w:r>
          </w:p>
        </w:tc>
        <w:tc>
          <w:tcPr>
            <w:tcW w:w="1260" w:type="dxa"/>
            <w:noWrap w:val="0"/>
            <w:vAlign w:val="center"/>
          </w:tcPr>
          <w:p w14:paraId="5BE0C5E0">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250000</w:t>
            </w:r>
          </w:p>
        </w:tc>
        <w:tc>
          <w:tcPr>
            <w:tcW w:w="1260" w:type="dxa"/>
            <w:noWrap w:val="0"/>
            <w:vAlign w:val="center"/>
          </w:tcPr>
          <w:p w14:paraId="130AF255">
            <w:pPr>
              <w:widowControl w:val="0"/>
              <w:rPr>
                <w:rFonts w:ascii="仿宋" w:hAnsi="仿宋" w:eastAsia="仿宋" w:cs="宋体"/>
                <w:snapToGrid w:val="0"/>
                <w:color w:val="auto"/>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350000</w:t>
            </w:r>
          </w:p>
        </w:tc>
      </w:tr>
      <w:tr w14:paraId="0B62E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703" w:type="dxa"/>
            <w:vMerge w:val="continue"/>
            <w:noWrap w:val="0"/>
            <w:vAlign w:val="center"/>
          </w:tcPr>
          <w:p w14:paraId="670EB57B">
            <w:pPr>
              <w:ind w:firstLine="420"/>
              <w:jc w:val="center"/>
              <w:rPr>
                <w:rFonts w:ascii="仿宋" w:hAnsi="仿宋" w:eastAsia="仿宋" w:cs="宋体"/>
                <w:snapToGrid w:val="0"/>
                <w:color w:val="auto"/>
                <w:sz w:val="21"/>
                <w:szCs w:val="21"/>
                <w:highlight w:val="none"/>
              </w:rPr>
            </w:pPr>
          </w:p>
        </w:tc>
        <w:tc>
          <w:tcPr>
            <w:tcW w:w="1984" w:type="dxa"/>
            <w:vMerge w:val="continue"/>
            <w:noWrap w:val="0"/>
            <w:vAlign w:val="center"/>
          </w:tcPr>
          <w:p w14:paraId="59A50957">
            <w:pPr>
              <w:ind w:firstLine="420"/>
              <w:rPr>
                <w:rFonts w:ascii="仿宋" w:hAnsi="仿宋" w:eastAsia="仿宋" w:cs="宋体"/>
                <w:b/>
                <w:bCs/>
                <w:snapToGrid w:val="0"/>
                <w:color w:val="auto"/>
                <w:sz w:val="21"/>
                <w:szCs w:val="21"/>
                <w:highlight w:val="none"/>
              </w:rPr>
            </w:pPr>
          </w:p>
        </w:tc>
        <w:tc>
          <w:tcPr>
            <w:tcW w:w="3253" w:type="dxa"/>
            <w:noWrap w:val="0"/>
            <w:vAlign w:val="center"/>
          </w:tcPr>
          <w:p w14:paraId="1D406D60">
            <w:pPr>
              <w:widowControl w:val="0"/>
              <w:spacing w:line="360" w:lineRule="auto"/>
              <w:rPr>
                <w:rFonts w:ascii="仿宋" w:hAnsi="仿宋" w:eastAsia="仿宋" w:cs="宋体"/>
                <w:snapToGrid w:val="0"/>
                <w:color w:val="auto"/>
                <w:kern w:val="2"/>
                <w:sz w:val="21"/>
                <w:szCs w:val="21"/>
                <w:highlight w:val="none"/>
                <w:lang w:eastAsia="zh-CN"/>
              </w:rPr>
            </w:pPr>
            <w:r>
              <w:rPr>
                <w:rFonts w:hint="eastAsia" w:ascii="仿宋" w:hAnsi="仿宋" w:eastAsia="仿宋" w:cs="宋体"/>
                <w:snapToGrid w:val="0"/>
                <w:color w:val="auto"/>
                <w:sz w:val="21"/>
                <w:szCs w:val="21"/>
                <w:highlight w:val="none"/>
                <w:lang w:eastAsia="zh-CN"/>
              </w:rPr>
              <w:t>更换专业设计负责人或空缺</w:t>
            </w:r>
          </w:p>
        </w:tc>
        <w:tc>
          <w:tcPr>
            <w:tcW w:w="1260" w:type="dxa"/>
            <w:noWrap w:val="0"/>
            <w:vAlign w:val="center"/>
          </w:tcPr>
          <w:p w14:paraId="77BFFCF6">
            <w:pPr>
              <w:widowControl w:val="0"/>
              <w:rPr>
                <w:rFonts w:ascii="仿宋" w:hAnsi="仿宋" w:eastAsia="仿宋" w:cs="宋体"/>
                <w:snapToGrid w:val="0"/>
                <w:color w:val="auto"/>
                <w:kern w:val="2"/>
                <w:sz w:val="21"/>
                <w:szCs w:val="21"/>
                <w:highlight w:val="none"/>
              </w:rPr>
            </w:pPr>
            <w:r>
              <w:rPr>
                <w:b/>
                <w:snapToGrid w:val="0"/>
                <w:color w:val="auto"/>
                <w:sz w:val="21"/>
                <w:szCs w:val="21"/>
                <w:highlight w:val="none"/>
                <w:bdr w:val="single" w:color="auto" w:sz="4" w:space="0"/>
              </w:rPr>
              <w:t>√</w:t>
            </w:r>
            <w:r>
              <w:rPr>
                <w:rFonts w:ascii="仿宋" w:hAnsi="仿宋" w:eastAsia="仿宋" w:cs="宋体"/>
                <w:snapToGrid w:val="0"/>
                <w:color w:val="auto"/>
                <w:sz w:val="21"/>
                <w:szCs w:val="21"/>
                <w:highlight w:val="none"/>
              </w:rPr>
              <w:t xml:space="preserve"> 100000</w:t>
            </w:r>
          </w:p>
        </w:tc>
        <w:tc>
          <w:tcPr>
            <w:tcW w:w="1260" w:type="dxa"/>
            <w:noWrap w:val="0"/>
            <w:vAlign w:val="center"/>
          </w:tcPr>
          <w:p w14:paraId="6B30C61A">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200000</w:t>
            </w:r>
          </w:p>
        </w:tc>
        <w:tc>
          <w:tcPr>
            <w:tcW w:w="1260" w:type="dxa"/>
            <w:noWrap w:val="0"/>
            <w:vAlign w:val="center"/>
          </w:tcPr>
          <w:p w14:paraId="566C0AEC">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300000</w:t>
            </w:r>
          </w:p>
        </w:tc>
      </w:tr>
      <w:tr w14:paraId="58B52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34" w:hRule="atLeast"/>
          <w:jc w:val="center"/>
        </w:trPr>
        <w:tc>
          <w:tcPr>
            <w:tcW w:w="703" w:type="dxa"/>
            <w:vMerge w:val="continue"/>
            <w:noWrap w:val="0"/>
            <w:vAlign w:val="center"/>
          </w:tcPr>
          <w:p w14:paraId="02D3A774">
            <w:pPr>
              <w:ind w:firstLine="420"/>
              <w:jc w:val="center"/>
              <w:rPr>
                <w:rFonts w:ascii="仿宋" w:hAnsi="仿宋" w:eastAsia="仿宋" w:cs="宋体"/>
                <w:snapToGrid w:val="0"/>
                <w:color w:val="auto"/>
                <w:sz w:val="21"/>
                <w:szCs w:val="21"/>
                <w:highlight w:val="none"/>
              </w:rPr>
            </w:pPr>
          </w:p>
        </w:tc>
        <w:tc>
          <w:tcPr>
            <w:tcW w:w="1984" w:type="dxa"/>
            <w:vMerge w:val="continue"/>
            <w:noWrap w:val="0"/>
            <w:vAlign w:val="center"/>
          </w:tcPr>
          <w:p w14:paraId="6D9BDCCA">
            <w:pPr>
              <w:ind w:firstLine="420"/>
              <w:rPr>
                <w:rFonts w:ascii="仿宋" w:hAnsi="仿宋" w:eastAsia="仿宋" w:cs="宋体"/>
                <w:b/>
                <w:bCs/>
                <w:snapToGrid w:val="0"/>
                <w:color w:val="auto"/>
                <w:sz w:val="21"/>
                <w:szCs w:val="21"/>
                <w:highlight w:val="none"/>
              </w:rPr>
            </w:pPr>
          </w:p>
        </w:tc>
        <w:tc>
          <w:tcPr>
            <w:tcW w:w="3253" w:type="dxa"/>
            <w:noWrap w:val="0"/>
            <w:vAlign w:val="center"/>
          </w:tcPr>
          <w:p w14:paraId="678C4939">
            <w:pPr>
              <w:widowControl w:val="0"/>
              <w:spacing w:line="360" w:lineRule="auto"/>
              <w:rPr>
                <w:rFonts w:ascii="仿宋" w:hAnsi="仿宋" w:eastAsia="仿宋" w:cs="宋体"/>
                <w:snapToGrid w:val="0"/>
                <w:color w:val="auto"/>
                <w:kern w:val="2"/>
                <w:sz w:val="21"/>
                <w:szCs w:val="21"/>
                <w:highlight w:val="none"/>
                <w:lang w:eastAsia="zh-CN"/>
              </w:rPr>
            </w:pPr>
            <w:r>
              <w:rPr>
                <w:rFonts w:hint="eastAsia" w:ascii="仿宋" w:hAnsi="仿宋" w:eastAsia="仿宋" w:cs="宋体"/>
                <w:snapToGrid w:val="0"/>
                <w:color w:val="auto"/>
                <w:sz w:val="21"/>
                <w:szCs w:val="21"/>
                <w:highlight w:val="none"/>
                <w:lang w:eastAsia="zh-CN"/>
              </w:rPr>
              <w:t>更换一般设计人员或空缺</w:t>
            </w:r>
          </w:p>
        </w:tc>
        <w:tc>
          <w:tcPr>
            <w:tcW w:w="1260" w:type="dxa"/>
            <w:noWrap w:val="0"/>
            <w:vAlign w:val="center"/>
          </w:tcPr>
          <w:p w14:paraId="20932B26">
            <w:pPr>
              <w:widowControl w:val="0"/>
              <w:rPr>
                <w:rFonts w:ascii="仿宋" w:hAnsi="仿宋" w:eastAsia="仿宋" w:cs="宋体"/>
                <w:snapToGrid w:val="0"/>
                <w:color w:val="auto"/>
                <w:kern w:val="2"/>
                <w:sz w:val="21"/>
                <w:szCs w:val="21"/>
                <w:highlight w:val="none"/>
              </w:rPr>
            </w:pPr>
            <w:r>
              <w:rPr>
                <w:b/>
                <w:snapToGrid w:val="0"/>
                <w:color w:val="auto"/>
                <w:sz w:val="21"/>
                <w:szCs w:val="21"/>
                <w:highlight w:val="none"/>
                <w:bdr w:val="single" w:color="auto" w:sz="4" w:space="0"/>
              </w:rPr>
              <w:t>√</w:t>
            </w:r>
            <w:r>
              <w:rPr>
                <w:rFonts w:ascii="仿宋" w:hAnsi="仿宋" w:eastAsia="仿宋" w:cs="宋体"/>
                <w:snapToGrid w:val="0"/>
                <w:color w:val="auto"/>
                <w:sz w:val="21"/>
                <w:szCs w:val="21"/>
                <w:highlight w:val="none"/>
              </w:rPr>
              <w:t xml:space="preserve"> 50000</w:t>
            </w:r>
          </w:p>
        </w:tc>
        <w:tc>
          <w:tcPr>
            <w:tcW w:w="1260" w:type="dxa"/>
            <w:noWrap w:val="0"/>
            <w:vAlign w:val="center"/>
          </w:tcPr>
          <w:p w14:paraId="2B4EFFEB">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100000</w:t>
            </w:r>
          </w:p>
        </w:tc>
        <w:tc>
          <w:tcPr>
            <w:tcW w:w="1260" w:type="dxa"/>
            <w:noWrap w:val="0"/>
            <w:vAlign w:val="center"/>
          </w:tcPr>
          <w:p w14:paraId="45213F49">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200000</w:t>
            </w:r>
          </w:p>
        </w:tc>
      </w:tr>
    </w:tbl>
    <w:p w14:paraId="6E9D8C78">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4）经发包人或监理单位抽查发现承包人未按规定办理用工实名制的,发包人有权要求承包人承担一般违约责任处罚1次。</w:t>
      </w:r>
    </w:p>
    <w:p w14:paraId="22D09EAD">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5</w:t>
      </w:r>
      <w:r>
        <w:rPr>
          <w:rFonts w:hint="eastAsia" w:ascii="仿宋" w:hAnsi="仿宋" w:eastAsia="仿宋" w:cs="宋体"/>
          <w:bCs/>
          <w:snapToGrid w:val="0"/>
          <w:color w:val="auto"/>
          <w:highlight w:val="none"/>
          <w:lang w:eastAsia="zh-CN"/>
        </w:rPr>
        <w:t>）承包人在发包人组织的考评中不合格的，必须按照考评通报的要求限期改正，</w:t>
      </w:r>
      <w:r>
        <w:rPr>
          <w:rFonts w:hint="eastAsia" w:ascii="仿宋" w:hAnsi="仿宋" w:eastAsia="仿宋" w:cs="宋体"/>
          <w:snapToGrid w:val="0"/>
          <w:color w:val="auto"/>
          <w:highlight w:val="none"/>
          <w:lang w:eastAsia="zh-CN"/>
        </w:rPr>
        <w:t>发包人有权要求承包人</w:t>
      </w:r>
      <w:r>
        <w:rPr>
          <w:rFonts w:hint="eastAsia" w:ascii="仿宋" w:hAnsi="仿宋" w:eastAsia="仿宋" w:cs="宋体"/>
          <w:bCs/>
          <w:snapToGrid w:val="0"/>
          <w:color w:val="auto"/>
          <w:highlight w:val="none"/>
          <w:lang w:eastAsia="zh-CN"/>
        </w:rPr>
        <w:t>承担</w:t>
      </w:r>
      <w:r>
        <w:rPr>
          <w:rFonts w:ascii="仿宋" w:hAnsi="仿宋" w:eastAsia="仿宋" w:cs="宋体"/>
          <w:bCs/>
          <w:snapToGrid w:val="0"/>
          <w:color w:val="auto"/>
          <w:highlight w:val="none"/>
          <w:lang w:eastAsia="zh-CN"/>
        </w:rPr>
        <w:t>1次一般违约责任处罚</w:t>
      </w:r>
      <w:r>
        <w:rPr>
          <w:rFonts w:hint="eastAsia" w:ascii="仿宋" w:hAnsi="仿宋" w:eastAsia="仿宋" w:cs="宋体"/>
          <w:bCs/>
          <w:snapToGrid w:val="0"/>
          <w:color w:val="auto"/>
          <w:highlight w:val="none"/>
          <w:lang w:eastAsia="zh-CN"/>
        </w:rPr>
        <w:t>。</w:t>
      </w:r>
    </w:p>
    <w:p w14:paraId="3273FF85">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6）若经发包人审查所投入的施工班组人员未能满足本项目的要求，发包人有权提出调整施工班组以满足本项目的需要，承包人在收到书面通知后，5天内未整改并征得发包人批复同意，发包人有权要求承包人承担一般违约责任处罚</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w:t>
      </w:r>
    </w:p>
    <w:p w14:paraId="4CA58875">
      <w:pPr>
        <w:spacing w:line="360" w:lineRule="auto"/>
        <w:ind w:right="11" w:firstLine="424" w:firstLineChars="177"/>
        <w:rPr>
          <w:rFonts w:ascii="仿宋" w:hAnsi="仿宋" w:eastAsia="仿宋"/>
          <w:snapToGrid w:val="0"/>
          <w:color w:val="auto"/>
          <w:highlight w:val="none"/>
          <w:lang w:eastAsia="zh-CN"/>
        </w:rPr>
      </w:pPr>
      <w:r>
        <w:rPr>
          <w:rFonts w:hint="eastAsia" w:ascii="仿宋" w:hAnsi="仿宋" w:eastAsia="仿宋" w:cs="宋体"/>
          <w:bCs/>
          <w:snapToGrid w:val="0"/>
          <w:color w:val="auto"/>
          <w:highlight w:val="none"/>
          <w:lang w:eastAsia="zh-CN"/>
        </w:rPr>
        <w:t>（7）</w:t>
      </w:r>
      <w:r>
        <w:rPr>
          <w:rFonts w:hint="eastAsia" w:ascii="仿宋" w:hAnsi="仿宋" w:eastAsia="仿宋"/>
          <w:snapToGrid w:val="0"/>
          <w:color w:val="auto"/>
          <w:highlight w:val="none"/>
          <w:lang w:eastAsia="zh-CN"/>
        </w:rPr>
        <w:t>承包人在履行合同过程中贿赂发包人人员的，视为不正当竞争，发包人有权要求承包人承担较大违约责任处罚1次；情节严重的，发包人有权要求承包人承担严重违约责任处罚1次；情节特别严重的，发包人有权要求承包人承担根本违约责任处罚；涉嫌犯罪的，移交司法部门处理。</w:t>
      </w:r>
    </w:p>
    <w:p w14:paraId="77B5C10B">
      <w:pPr>
        <w:spacing w:line="360" w:lineRule="auto"/>
        <w:ind w:right="11" w:firstLine="424" w:firstLineChars="177"/>
        <w:rPr>
          <w:rFonts w:ascii="仿宋" w:hAnsi="仿宋" w:eastAsia="仿宋"/>
          <w:snapToGrid w:val="0"/>
          <w:color w:val="auto"/>
          <w:highlight w:val="none"/>
          <w:lang w:eastAsia="zh-CN"/>
        </w:rPr>
      </w:pPr>
      <w:r>
        <w:rPr>
          <w:rFonts w:hint="eastAsia" w:ascii="仿宋" w:hAnsi="仿宋" w:eastAsia="仿宋"/>
          <w:snapToGrid w:val="0"/>
          <w:color w:val="auto"/>
          <w:highlight w:val="none"/>
          <w:lang w:eastAsia="zh-CN"/>
        </w:rPr>
        <w:t>（8）承包人单方面终止或解除本合同的，应参照合同专用条款1.10.9款承担违约责任并向发包人赔偿损失。</w:t>
      </w:r>
    </w:p>
    <w:p w14:paraId="3AB1B90D">
      <w:pPr>
        <w:spacing w:line="360" w:lineRule="auto"/>
        <w:ind w:right="11" w:firstLine="424" w:firstLineChars="177"/>
        <w:rPr>
          <w:rFonts w:hint="eastAsia" w:ascii="仿宋" w:hAnsi="仿宋" w:eastAsia="仿宋"/>
          <w:snapToGrid w:val="0"/>
          <w:color w:val="auto"/>
          <w:highlight w:val="none"/>
          <w:lang w:eastAsia="zh-CN"/>
        </w:rPr>
      </w:pPr>
      <w:r>
        <w:rPr>
          <w:rFonts w:hint="eastAsia" w:ascii="仿宋" w:hAnsi="仿宋" w:eastAsia="仿宋"/>
          <w:snapToGrid w:val="0"/>
          <w:color w:val="auto"/>
          <w:highlight w:val="none"/>
          <w:lang w:eastAsia="zh-CN"/>
        </w:rPr>
        <w:t>（9）对于发包人通知承包人（包括承包人分包单位）参加的会议，应参会人员未经发包人同意自行缺席的，发包人进行警告，警告3人次后仍缺席的，承包人承担1次一般违约责任处罚。</w:t>
      </w:r>
    </w:p>
    <w:p w14:paraId="01E0271B">
      <w:pPr>
        <w:spacing w:line="360" w:lineRule="auto"/>
        <w:ind w:right="11" w:firstLine="424" w:firstLineChars="177"/>
        <w:rPr>
          <w:rFonts w:hint="eastAsia" w:ascii="仿宋" w:hAnsi="仿宋" w:eastAsia="仿宋"/>
          <w:snapToGrid w:val="0"/>
          <w:color w:val="auto"/>
          <w:highlight w:val="none"/>
          <w:lang w:eastAsia="zh-CN"/>
        </w:rPr>
      </w:pPr>
      <w:r>
        <w:rPr>
          <w:rFonts w:hint="eastAsia" w:ascii="仿宋" w:hAnsi="仿宋" w:eastAsia="仿宋"/>
          <w:snapToGrid w:val="0"/>
          <w:color w:val="auto"/>
          <w:highlight w:val="none"/>
          <w:lang w:eastAsia="zh-CN"/>
        </w:rPr>
        <w:t>（10）建设单位、监理单位下发的书面联系函、通知单、罚款单需无条件签收，如有异议48小时内以书面文件回复或申诉，拒收的每次予以2000元罚款。</w:t>
      </w:r>
    </w:p>
    <w:p w14:paraId="319544E7">
      <w:pPr>
        <w:spacing w:line="360" w:lineRule="auto"/>
        <w:ind w:right="11" w:firstLine="424" w:firstLineChars="177"/>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95.</w:t>
      </w:r>
      <w:r>
        <w:rPr>
          <w:rFonts w:hint="eastAsia" w:ascii="仿宋" w:hAnsi="仿宋" w:eastAsia="仿宋" w:cs="宋体"/>
          <w:bCs/>
          <w:snapToGrid w:val="0"/>
          <w:color w:val="auto"/>
          <w:highlight w:val="none"/>
          <w:lang w:eastAsia="zh-CN"/>
        </w:rPr>
        <w:t>3 工期延误方面的违约责任</w:t>
      </w:r>
    </w:p>
    <w:p w14:paraId="058B99FB">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w:t>
      </w:r>
      <w:r>
        <w:rPr>
          <w:rFonts w:hint="eastAsia" w:ascii="仿宋" w:hAnsi="仿宋" w:eastAsia="仿宋" w:cs="宋体"/>
          <w:snapToGrid w:val="0"/>
          <w:color w:val="auto"/>
          <w:highlight w:val="none"/>
          <w:lang w:eastAsia="zh-CN"/>
        </w:rPr>
        <w:t>因承包人原因导致未按合同协议书第七条约定而延期开工、关键工期节点延期的，按专用条款40.4.1条款承担违约责任；竣工验收逾期 0-15 天内(不包含 15 天)，发包人有权要求承包人支付违约金 10 万元/天，竣工验收逾期 15天</w:t>
      </w:r>
      <w:r>
        <w:rPr>
          <w:rFonts w:hint="eastAsia" w:ascii="仿宋" w:hAnsi="仿宋" w:eastAsia="仿宋" w:cs="宋体"/>
          <w:snapToGrid w:val="0"/>
          <w:color w:val="auto"/>
          <w:highlight w:val="none"/>
          <w:lang w:val="en-US" w:eastAsia="zh-CN"/>
        </w:rPr>
        <w:t>以上</w:t>
      </w:r>
      <w:r>
        <w:rPr>
          <w:rFonts w:hint="eastAsia" w:ascii="仿宋" w:hAnsi="仿宋" w:eastAsia="仿宋" w:cs="宋体"/>
          <w:snapToGrid w:val="0"/>
          <w:color w:val="auto"/>
          <w:highlight w:val="none"/>
          <w:lang w:eastAsia="zh-CN"/>
        </w:rPr>
        <w:t>(含本数)的，发包人有权要求承包人支付违约金按照合同总价的万分之五/天(以延期总天数计算)，并承担违约责任，且发包人有权解除合同;</w:t>
      </w:r>
      <w:r>
        <w:rPr>
          <w:rFonts w:hint="eastAsia" w:ascii="仿宋" w:hAnsi="仿宋" w:eastAsia="仿宋" w:cs="宋体"/>
          <w:snapToGrid w:val="0"/>
          <w:color w:val="auto"/>
          <w:highlight w:val="none"/>
          <w:lang w:val="en-US" w:eastAsia="zh-CN"/>
        </w:rPr>
        <w:t>逾期交付</w:t>
      </w:r>
      <w:r>
        <w:rPr>
          <w:rFonts w:hint="eastAsia" w:ascii="仿宋" w:hAnsi="仿宋" w:eastAsia="仿宋" w:cs="宋体"/>
          <w:snapToGrid w:val="0"/>
          <w:color w:val="auto"/>
          <w:highlight w:val="none"/>
          <w:lang w:eastAsia="zh-CN"/>
        </w:rPr>
        <w:t>，发包人有权要求承包人支付违约金按照合同总价的千分之一天(以延期总天数计算)，且发包人有权解除合同；</w:t>
      </w:r>
    </w:p>
    <w:p w14:paraId="5871EB51">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（2</w:t>
      </w:r>
      <w:r>
        <w:rPr>
          <w:rFonts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eastAsia="zh-CN"/>
        </w:rPr>
        <w:t>因承包人原因导致未按专用条款第40.1款的约定，延期提交工程进度计划，延期3天以内的（含3天），发包人给予书面警告；延期4～7天的，发包人有权要求承包人承担1次一般违约责任处罚；延期8～10天的，发包人有权要求承包人承担1次较大违约责任处罚；延期11天以上的（含11天），发包人有权要求承包人承担1次严重违约责任处罚。</w:t>
      </w:r>
    </w:p>
    <w:p w14:paraId="36A4FBF7">
      <w:pPr>
        <w:spacing w:line="360" w:lineRule="auto"/>
        <w:ind w:right="11" w:firstLine="424" w:firstLineChars="177"/>
        <w:rPr>
          <w:rFonts w:hint="eastAsia"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95.</w:t>
      </w:r>
      <w:r>
        <w:rPr>
          <w:rFonts w:hint="eastAsia" w:ascii="仿宋" w:hAnsi="仿宋" w:eastAsia="仿宋" w:cs="宋体"/>
          <w:bCs/>
          <w:snapToGrid w:val="0"/>
          <w:color w:val="auto"/>
          <w:highlight w:val="none"/>
          <w:lang w:eastAsia="zh-CN"/>
        </w:rPr>
        <w:t>4 材料设备管理方面的违约责任</w:t>
      </w:r>
    </w:p>
    <w:p w14:paraId="72D9E48A">
      <w:pPr>
        <w:spacing w:line="360" w:lineRule="auto"/>
        <w:ind w:left="-2" w:leftChars="-1" w:firstLine="364" w:firstLineChars="152"/>
        <w:rPr>
          <w:rFonts w:hint="eastAsia" w:ascii="仿宋" w:hAnsi="仿宋" w:eastAsia="仿宋"/>
          <w:bCs/>
          <w:color w:val="auto"/>
          <w:highlight w:val="none"/>
          <w:lang w:eastAsia="zh-CN"/>
        </w:rPr>
      </w:pPr>
      <w:r>
        <w:rPr>
          <w:rFonts w:hint="eastAsia" w:ascii="仿宋" w:hAnsi="仿宋" w:eastAsia="仿宋"/>
          <w:bCs/>
          <w:color w:val="auto"/>
          <w:highlight w:val="none"/>
          <w:lang w:eastAsia="zh-CN"/>
        </w:rPr>
        <w:t>（1）</w:t>
      </w:r>
      <w:r>
        <w:rPr>
          <w:rFonts w:ascii="仿宋" w:hAnsi="仿宋" w:eastAsia="仿宋"/>
          <w:bCs/>
          <w:color w:val="auto"/>
          <w:highlight w:val="none"/>
          <w:lang w:eastAsia="zh-CN"/>
        </w:rPr>
        <w:t>材料设备使用违约责任：发包人（包括发包人委托的材料设备检验机构）或总监理工程师抽查承包人的工程材料设备</w:t>
      </w:r>
      <w:r>
        <w:rPr>
          <w:rFonts w:hint="eastAsia" w:ascii="仿宋" w:hAnsi="仿宋" w:eastAsia="仿宋"/>
          <w:bCs/>
          <w:color w:val="auto"/>
          <w:highlight w:val="none"/>
          <w:lang w:eastAsia="zh-CN"/>
        </w:rPr>
        <w:t>，</w:t>
      </w:r>
      <w:r>
        <w:rPr>
          <w:rFonts w:ascii="仿宋" w:hAnsi="仿宋" w:eastAsia="仿宋"/>
          <w:bCs/>
          <w:color w:val="auto"/>
          <w:highlight w:val="none"/>
          <w:lang w:eastAsia="zh-CN"/>
        </w:rPr>
        <w:t>发现抽查结果与设计要求或相关标准、规范任何一项不符的，则该抽检批次为不合格，造成工期延误的，发包人不予顺延工期；同时对该批次材料须扩大范围、增加双倍数量抽检，若抽检仍不合格，则该批次材料视为不合格。对被认定为不合格批次的材料，承包人必须在发包人通知的限期内全部无条件拆除、更换，并运出施工现场，由此造成的工期延误、费用增加等一切损失均由承包人承担，同时发包人还将根据该批材料的价值，要求承包人承担不同等级的违约责任：</w:t>
      </w:r>
    </w:p>
    <w:p w14:paraId="1A49B853">
      <w:pPr>
        <w:spacing w:line="360" w:lineRule="auto"/>
        <w:ind w:left="-2" w:leftChars="-1" w:firstLine="364" w:firstLineChars="152"/>
        <w:rPr>
          <w:rFonts w:hint="eastAsia" w:ascii="仿宋" w:hAnsi="仿宋" w:eastAsia="仿宋"/>
          <w:bCs/>
          <w:color w:val="auto"/>
          <w:spacing w:val="-6"/>
          <w:highlight w:val="none"/>
          <w:lang w:eastAsia="zh-CN"/>
        </w:rPr>
      </w:pPr>
      <w:r>
        <w:rPr>
          <w:rFonts w:ascii="仿宋" w:hAnsi="仿宋" w:eastAsia="仿宋"/>
          <w:bCs/>
          <w:color w:val="auto"/>
          <w:highlight w:val="none"/>
          <w:lang w:eastAsia="zh-CN"/>
        </w:rPr>
        <w:t>1）</w:t>
      </w:r>
      <w:r>
        <w:rPr>
          <w:rFonts w:ascii="仿宋" w:hAnsi="仿宋" w:eastAsia="仿宋"/>
          <w:color w:val="auto"/>
          <w:highlight w:val="none"/>
          <w:lang w:eastAsia="zh-CN"/>
        </w:rPr>
        <w:t>单宗材料在</w:t>
      </w:r>
      <w:r>
        <w:rPr>
          <w:rFonts w:ascii="仿宋" w:hAnsi="仿宋" w:eastAsia="仿宋"/>
          <w:bCs/>
          <w:color w:val="auto"/>
          <w:spacing w:val="-6"/>
          <w:highlight w:val="none"/>
          <w:lang w:eastAsia="zh-CN"/>
        </w:rPr>
        <w:t>5万元以内（含5万元），</w:t>
      </w:r>
      <w:r>
        <w:rPr>
          <w:rFonts w:ascii="仿宋" w:hAnsi="仿宋" w:eastAsia="仿宋"/>
          <w:bCs/>
          <w:color w:val="auto"/>
          <w:spacing w:val="-6"/>
          <w:highlight w:val="none"/>
          <w:u w:val="single"/>
          <w:lang w:eastAsia="zh-CN"/>
        </w:rPr>
        <w:t>承包人每次向发包人支付违约金1万元。</w:t>
      </w:r>
    </w:p>
    <w:p w14:paraId="180C5578">
      <w:pPr>
        <w:spacing w:line="360" w:lineRule="auto"/>
        <w:ind w:left="-2" w:leftChars="-1" w:firstLine="364" w:firstLineChars="152"/>
        <w:rPr>
          <w:rFonts w:ascii="仿宋" w:hAnsi="仿宋" w:eastAsia="仿宋"/>
          <w:bCs/>
          <w:color w:val="auto"/>
          <w:spacing w:val="-6"/>
          <w:highlight w:val="none"/>
          <w:u w:val="single"/>
          <w:lang w:eastAsia="zh-CN"/>
        </w:rPr>
      </w:pPr>
      <w:r>
        <w:rPr>
          <w:rFonts w:ascii="仿宋" w:hAnsi="仿宋" w:eastAsia="仿宋"/>
          <w:bCs/>
          <w:color w:val="auto"/>
          <w:highlight w:val="none"/>
          <w:lang w:eastAsia="zh-CN"/>
        </w:rPr>
        <w:t>2）单宗材料价值在5万元至10万元内（含10万元），承包人每次</w:t>
      </w:r>
      <w:r>
        <w:rPr>
          <w:rFonts w:ascii="仿宋" w:hAnsi="仿宋" w:eastAsia="仿宋"/>
          <w:bCs/>
          <w:color w:val="auto"/>
          <w:spacing w:val="-6"/>
          <w:highlight w:val="none"/>
          <w:u w:val="single"/>
          <w:lang w:eastAsia="zh-CN"/>
        </w:rPr>
        <w:t>向发包人支付违约金2万元。</w:t>
      </w:r>
    </w:p>
    <w:p w14:paraId="5F5FFB9E">
      <w:pPr>
        <w:spacing w:line="360" w:lineRule="auto"/>
        <w:ind w:left="-2" w:leftChars="-1" w:firstLine="364" w:firstLineChars="152"/>
        <w:rPr>
          <w:rFonts w:hint="eastAsia" w:ascii="仿宋" w:hAnsi="仿宋" w:eastAsia="仿宋"/>
          <w:bCs/>
          <w:color w:val="auto"/>
          <w:highlight w:val="none"/>
          <w:lang w:eastAsia="zh-CN"/>
        </w:rPr>
      </w:pPr>
      <w:r>
        <w:rPr>
          <w:rFonts w:ascii="仿宋" w:hAnsi="仿宋" w:eastAsia="仿宋"/>
          <w:bCs/>
          <w:color w:val="auto"/>
          <w:highlight w:val="none"/>
          <w:lang w:eastAsia="zh-CN"/>
        </w:rPr>
        <w:t>3）单宗材料价值在10至50万元（含50万元），承</w:t>
      </w:r>
      <w:r>
        <w:rPr>
          <w:rFonts w:ascii="仿宋" w:hAnsi="仿宋" w:eastAsia="仿宋"/>
          <w:bCs/>
          <w:color w:val="auto"/>
          <w:spacing w:val="-6"/>
          <w:highlight w:val="none"/>
          <w:u w:val="single"/>
          <w:lang w:eastAsia="zh-CN"/>
        </w:rPr>
        <w:t>包人每次向发包人支付违约金5万元。</w:t>
      </w:r>
    </w:p>
    <w:p w14:paraId="21D18A46">
      <w:pPr>
        <w:spacing w:line="360" w:lineRule="auto"/>
        <w:ind w:left="-2" w:leftChars="-1" w:firstLine="364" w:firstLineChars="152"/>
        <w:rPr>
          <w:rFonts w:hint="eastAsia" w:ascii="仿宋" w:hAnsi="仿宋" w:eastAsia="仿宋"/>
          <w:bCs/>
          <w:color w:val="auto"/>
          <w:highlight w:val="none"/>
          <w:lang w:eastAsia="zh-CN"/>
        </w:rPr>
      </w:pPr>
      <w:r>
        <w:rPr>
          <w:rFonts w:ascii="仿宋" w:hAnsi="仿宋" w:eastAsia="仿宋"/>
          <w:bCs/>
          <w:color w:val="auto"/>
          <w:highlight w:val="none"/>
          <w:lang w:eastAsia="zh-CN"/>
        </w:rPr>
        <w:t>4）单宗材料价值在50万元以上，承包人每次向</w:t>
      </w:r>
      <w:r>
        <w:rPr>
          <w:rFonts w:ascii="仿宋" w:hAnsi="仿宋" w:eastAsia="仿宋"/>
          <w:bCs/>
          <w:color w:val="auto"/>
          <w:spacing w:val="-6"/>
          <w:highlight w:val="none"/>
          <w:u w:val="single"/>
          <w:lang w:eastAsia="zh-CN"/>
        </w:rPr>
        <w:t>发包人支付违约金10万元</w:t>
      </w:r>
      <w:r>
        <w:rPr>
          <w:rFonts w:ascii="仿宋" w:hAnsi="仿宋" w:eastAsia="仿宋"/>
          <w:bCs/>
          <w:color w:val="auto"/>
          <w:highlight w:val="none"/>
          <w:lang w:eastAsia="zh-CN"/>
        </w:rPr>
        <w:t>。</w:t>
      </w:r>
    </w:p>
    <w:p w14:paraId="55C916D6">
      <w:pPr>
        <w:spacing w:line="360" w:lineRule="auto"/>
        <w:ind w:left="-2" w:leftChars="-1" w:firstLine="364" w:firstLineChars="152"/>
        <w:rPr>
          <w:rFonts w:ascii="仿宋" w:hAnsi="仿宋" w:eastAsia="仿宋"/>
          <w:bCs/>
          <w:color w:val="auto"/>
          <w:highlight w:val="none"/>
          <w:lang w:eastAsia="zh-CN"/>
        </w:rPr>
      </w:pPr>
      <w:r>
        <w:rPr>
          <w:rFonts w:ascii="仿宋" w:hAnsi="仿宋" w:eastAsia="仿宋"/>
          <w:bCs/>
          <w:color w:val="auto"/>
          <w:highlight w:val="none"/>
          <w:lang w:eastAsia="zh-CN"/>
        </w:rPr>
        <w:t>5）同一种材料连续发生2次不合格，承包人必须承担一</w:t>
      </w:r>
      <w:r>
        <w:rPr>
          <w:rFonts w:ascii="仿宋" w:hAnsi="仿宋" w:eastAsia="仿宋"/>
          <w:bCs/>
          <w:color w:val="auto"/>
          <w:spacing w:val="-6"/>
          <w:highlight w:val="none"/>
          <w:u w:val="single"/>
          <w:lang w:eastAsia="zh-CN"/>
        </w:rPr>
        <w:t>般违约责任1次</w:t>
      </w:r>
      <w:r>
        <w:rPr>
          <w:rFonts w:ascii="仿宋" w:hAnsi="仿宋" w:eastAsia="仿宋"/>
          <w:bCs/>
          <w:color w:val="auto"/>
          <w:highlight w:val="none"/>
          <w:lang w:eastAsia="zh-CN"/>
        </w:rPr>
        <w:t>；不同材料累计发生3次不合格，承包人必须承担</w:t>
      </w:r>
      <w:r>
        <w:rPr>
          <w:rFonts w:ascii="仿宋" w:hAnsi="仿宋" w:eastAsia="仿宋"/>
          <w:bCs/>
          <w:color w:val="auto"/>
          <w:spacing w:val="-6"/>
          <w:highlight w:val="none"/>
          <w:u w:val="single"/>
          <w:lang w:eastAsia="zh-CN"/>
        </w:rPr>
        <w:t>一般违约责任1次</w:t>
      </w:r>
      <w:r>
        <w:rPr>
          <w:rFonts w:ascii="仿宋" w:hAnsi="仿宋" w:eastAsia="仿宋"/>
          <w:bCs/>
          <w:color w:val="auto"/>
          <w:highlight w:val="none"/>
          <w:lang w:eastAsia="zh-CN"/>
        </w:rPr>
        <w:t>。</w:t>
      </w:r>
    </w:p>
    <w:p w14:paraId="39815A7E">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2）承包人必须保证用于本工程所有的材料设备的品牌、型号、规格、质量等符合本合同及招投标文件或公开择优竞价文件的要求。如发生不符合上述要求的情况（属于不可抗力或不可归责于承包人事由造成的除外），承包人必须无条件在发包人限定的时间内全部更换为符合要求的产品，并且发包人有权要求承包人承担一般违约责任处罚1次。因此给发包人造成损失的，由承包人负责赔偿；同时，发包人有权将承包人的上述行为通过媒体公开披露，并移送有关主管部门依法处理。</w:t>
      </w:r>
    </w:p>
    <w:p w14:paraId="2EB07594">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3）承包人不按专用条款约定对用于本工程的材料设备进行管理的，视同不服从发包人及监理单位管理；发包人有权要求承包人承担一般违约责任处罚1次。给发包人造成损失的，承包人应赔偿发包人的全部损失。同时发包人有权暂停支付本工程进度款，直到承包人完成相关工作为止。</w:t>
      </w:r>
    </w:p>
    <w:p w14:paraId="618ADDF1">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4）承包人使用的设备应充分了解本工程全面开工所需的设备投入要求，且在选定后经发包人审查同意方可进场。若承包人的材料设备未按约定的时间投入或发包人要求时间投入，在收到书面通知后，5天内未整改完成并征得发包人批复同意，发包人有权要求承包人承担较大违约责任处罚</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w:t>
      </w:r>
    </w:p>
    <w:p w14:paraId="62C15AA7">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5）承包人采购进场的建筑材料和设备应确保质量合格，若承包人采购进场的建筑材料和设备检测结果为不合格（或无效）造成复检、扩检或采用其他检测手段检测仍然不合格的，承包人除应承担复检的费用外，</w:t>
      </w:r>
      <w:r>
        <w:rPr>
          <w:rFonts w:hint="eastAsia" w:ascii="仿宋" w:hAnsi="仿宋" w:eastAsia="仿宋" w:cs="宋体"/>
          <w:snapToGrid w:val="0"/>
          <w:color w:val="auto"/>
          <w:highlight w:val="none"/>
          <w:lang w:eastAsia="zh-CN"/>
        </w:rPr>
        <w:t>发包人有权要求</w:t>
      </w:r>
      <w:r>
        <w:rPr>
          <w:rFonts w:hint="eastAsia" w:ascii="仿宋" w:hAnsi="仿宋" w:eastAsia="仿宋" w:cs="宋体"/>
          <w:bCs/>
          <w:snapToGrid w:val="0"/>
          <w:color w:val="auto"/>
          <w:highlight w:val="none"/>
          <w:lang w:eastAsia="zh-CN"/>
        </w:rPr>
        <w:t>承包人承担一般违约责任处罚</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w:t>
      </w:r>
    </w:p>
    <w:p w14:paraId="2A4F5C6F">
      <w:pPr>
        <w:spacing w:line="360" w:lineRule="auto"/>
        <w:ind w:right="11" w:firstLine="424" w:firstLineChars="177"/>
        <w:rPr>
          <w:rFonts w:ascii="仿宋" w:hAnsi="仿宋" w:eastAsia="仿宋"/>
          <w:snapToGrid w:val="0"/>
          <w:color w:val="auto"/>
          <w:highlight w:val="none"/>
          <w:lang w:eastAsia="zh-CN"/>
        </w:rPr>
      </w:pPr>
      <w:r>
        <w:rPr>
          <w:rFonts w:hint="eastAsia" w:ascii="仿宋" w:hAnsi="仿宋" w:eastAsia="仿宋" w:cs="宋体"/>
          <w:bCs/>
          <w:snapToGrid w:val="0"/>
          <w:color w:val="auto"/>
          <w:highlight w:val="none"/>
          <w:lang w:eastAsia="zh-CN"/>
        </w:rPr>
        <w:t>（6）若经发包人审查所投入的主要机械及材料未能满足本项目的要求，发包人有权提出调整设备投入以满足本项目的需要，在收到书面通知后，若承包人5天内未整改完成并征得发包人批复同意，发包人有权要求承包人承担一般违约责任处罚</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w:t>
      </w:r>
    </w:p>
    <w:p w14:paraId="2CA33B37">
      <w:pPr>
        <w:spacing w:line="360" w:lineRule="auto"/>
        <w:ind w:firstLine="480" w:firstLineChars="200"/>
        <w:rPr>
          <w:rFonts w:ascii="仿宋" w:hAnsi="仿宋" w:eastAsia="仿宋" w:cs="宋体"/>
          <w:snapToGrid w:val="0"/>
          <w:color w:val="auto"/>
          <w:highlight w:val="none"/>
          <w:lang w:eastAsia="zh-CN"/>
        </w:rPr>
      </w:pPr>
      <w:r>
        <w:rPr>
          <w:rFonts w:ascii="仿宋" w:hAnsi="仿宋" w:eastAsia="仿宋" w:cs="宋体"/>
          <w:bCs/>
          <w:snapToGrid w:val="0"/>
          <w:color w:val="auto"/>
          <w:highlight w:val="none"/>
          <w:lang w:eastAsia="zh-CN"/>
        </w:rPr>
        <w:t>95.</w:t>
      </w:r>
      <w:r>
        <w:rPr>
          <w:rFonts w:hint="eastAsia" w:ascii="仿宋" w:hAnsi="仿宋" w:eastAsia="仿宋" w:cs="宋体"/>
          <w:bCs/>
          <w:snapToGrid w:val="0"/>
          <w:color w:val="auto"/>
          <w:highlight w:val="none"/>
          <w:lang w:eastAsia="zh-CN"/>
        </w:rPr>
        <w:t>5</w:t>
      </w:r>
      <w:r>
        <w:rPr>
          <w:rFonts w:hint="eastAsia" w:ascii="仿宋" w:hAnsi="仿宋" w:eastAsia="仿宋" w:cs="宋体"/>
          <w:b/>
          <w:snapToGrid w:val="0"/>
          <w:color w:val="auto"/>
          <w:highlight w:val="none"/>
          <w:lang w:eastAsia="zh-CN"/>
        </w:rPr>
        <w:t xml:space="preserve"> </w:t>
      </w:r>
      <w:r>
        <w:rPr>
          <w:rFonts w:hint="eastAsia" w:ascii="仿宋" w:hAnsi="仿宋" w:eastAsia="仿宋" w:cs="宋体"/>
          <w:snapToGrid w:val="0"/>
          <w:color w:val="auto"/>
          <w:highlight w:val="none"/>
          <w:lang w:eastAsia="zh-CN"/>
        </w:rPr>
        <w:t>工程质量方面的违约责任</w:t>
      </w:r>
    </w:p>
    <w:p w14:paraId="37EC7036">
      <w:pPr>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1）承包人必须对各工序报验核查质量控制点。承包人申请报验后，经总监理工程师或发包人检查发现存在较大质量问题（存在质量问题的部分超过检查部分工程的10%）的，则该工序质量为不合格，承包人必须对不合格部分进行返工，返工后经检查合格才准进入下一工序，工期不予顺延。复检的结果，按每一分项工程计算，总计发现3次或连续发现2次质量控制点不合格的，发包人有权要求承包人承担1次一般违约责任处罚；总计发现3次以上（不含本数）或连续发现2次以上（不含本数）质量控制点不合格的，发包人有权要求承包人承担1次较大违约责任处罚；承包人采取整改措施后效果仍不明显的，发包人有权要求承包人承担1次严重违约责任处罚，且发包人有权将该分项工程另行发包，且不免除承包人应承担的违约赔偿责任。</w:t>
      </w:r>
    </w:p>
    <w:p w14:paraId="6C8BC270">
      <w:pPr>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2）日常工程技术资料检查：承包人应准确、及时地作好日常工程技术资料的记录、整理和归档工作。保证记录中原始数据的真实性和及时性，保证按国家、地方、行业的有关规定及时作好相关技术资料的整理和归档。发包人、监理单位有权抽查承包人日常工程技术资料的整理工作，如发现未按规定及时做好资料整理，累计发生3次，承包人承担一般违约责任1次；如发现原始记录数据不存在、不真实、不及时、不准确，经监理单位确认，发包人将有权拒绝相应部分工程量的计量和支付，视情节轻重，承包人承担一般违约责任或严重违约责任1次。</w:t>
      </w:r>
    </w:p>
    <w:p w14:paraId="08BE2693">
      <w:pPr>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3）工程竣工验收不符合国家强制性标准及规范要求或者未能实现一次验收合格的，发包人有权要求承包人承担1次严重违约责任处罚，并无偿采取补救措施及赔偿发包人的直接损失及间接损失，还应承担由此引起的一切责任。</w:t>
      </w:r>
    </w:p>
    <w:p w14:paraId="65311643">
      <w:pPr>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4）在本工程质量保修期内发现有重大质量问题的（该重大质量问题应界定为达不到要求的质量标准，属质量保修的问题除外），承包人必须在规定的期限内返工达到合同约定的质量等级并赔偿由此给发包人造成的损失，同时承担1次严重违约责任处罚。</w:t>
      </w:r>
    </w:p>
    <w:p w14:paraId="331E53BA">
      <w:pPr>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（5）施工质量违约责任及质量事故</w:t>
      </w:r>
    </w:p>
    <w:p w14:paraId="11C4C638">
      <w:pPr>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1）施工质量违约责任：对每次施工质量的抽查，如发现存在质量不合格或严重违反操作规程的现象，发包人有权要求承包人停工、返工；返工后经检查合格才准进入下一工序，工期不予顺延，承包人除赔偿发包人损失外，还应按以下约定承担违约责任：</w:t>
      </w:r>
    </w:p>
    <w:p w14:paraId="238FDDCC">
      <w:pPr>
        <w:spacing w:line="360" w:lineRule="auto"/>
        <w:ind w:firstLine="480" w:firstLineChars="200"/>
        <w:rPr>
          <w:rFonts w:hint="eastAsia" w:ascii="仿宋" w:hAnsi="仿宋" w:eastAsia="仿宋" w:cs="宋体"/>
          <w:snapToGrid w:val="0"/>
          <w:color w:val="auto"/>
          <w:highlight w:val="none"/>
          <w:lang w:val="zh-CN" w:eastAsia="zh-CN"/>
        </w:rPr>
      </w:pPr>
      <w:r>
        <w:rPr>
          <w:rFonts w:hint="eastAsia" w:ascii="仿宋" w:hAnsi="仿宋" w:eastAsia="仿宋" w:cs="宋体"/>
          <w:snapToGrid w:val="0"/>
          <w:color w:val="auto"/>
          <w:highlight w:val="none"/>
          <w:lang w:val="zh-CN" w:eastAsia="zh-CN"/>
        </w:rPr>
        <w:t>①造成工程质量问题导致发包人直接经济损失在20万元以下或工期延误3天以上5天以内的，施工承包人须就每宗工程质量问题向发包人支付违约金1.5万元；</w:t>
      </w:r>
    </w:p>
    <w:p w14:paraId="6181A344">
      <w:pPr>
        <w:spacing w:line="360" w:lineRule="auto"/>
        <w:ind w:firstLine="480" w:firstLineChars="200"/>
        <w:rPr>
          <w:rFonts w:hint="eastAsia" w:ascii="仿宋" w:hAnsi="仿宋" w:eastAsia="仿宋" w:cs="宋体"/>
          <w:snapToGrid w:val="0"/>
          <w:color w:val="auto"/>
          <w:highlight w:val="none"/>
          <w:lang w:val="zh-CN" w:eastAsia="zh-CN"/>
        </w:rPr>
      </w:pPr>
      <w:r>
        <w:rPr>
          <w:rFonts w:hint="eastAsia" w:ascii="仿宋" w:hAnsi="仿宋" w:eastAsia="仿宋" w:cs="宋体"/>
          <w:snapToGrid w:val="0"/>
          <w:color w:val="auto"/>
          <w:highlight w:val="none"/>
          <w:lang w:val="zh-CN" w:eastAsia="zh-CN"/>
        </w:rPr>
        <w:t>②造成工程质量问题导致发包人直接经济损失在20万元以上（含本数）50万以下或工期延误5天以上10天以内的，施工承包人须就每宗工程质量问题承担一般违约责任1次；</w:t>
      </w:r>
    </w:p>
    <w:p w14:paraId="04898B12">
      <w:pPr>
        <w:spacing w:line="360" w:lineRule="auto"/>
        <w:ind w:firstLine="480" w:firstLineChars="200"/>
        <w:rPr>
          <w:rFonts w:hint="eastAsia" w:ascii="仿宋" w:hAnsi="仿宋" w:eastAsia="仿宋" w:cs="宋体"/>
          <w:snapToGrid w:val="0"/>
          <w:color w:val="auto"/>
          <w:highlight w:val="none"/>
          <w:lang w:val="zh-CN" w:eastAsia="zh-CN"/>
        </w:rPr>
      </w:pPr>
      <w:r>
        <w:rPr>
          <w:rFonts w:hint="eastAsia" w:ascii="仿宋" w:hAnsi="仿宋" w:eastAsia="仿宋" w:cs="宋体"/>
          <w:snapToGrid w:val="0"/>
          <w:color w:val="auto"/>
          <w:highlight w:val="none"/>
          <w:lang w:val="zh-CN" w:eastAsia="zh-CN"/>
        </w:rPr>
        <w:t>③造成工程质量问题导致发包人直接经济损失在50万元以上（含本数）100万以下或工期延误10天以上15天以内的，施工承包人须就每宗工程质量问题承担严重违约责任1次；</w:t>
      </w:r>
    </w:p>
    <w:p w14:paraId="7454ED6F">
      <w:pPr>
        <w:spacing w:line="360" w:lineRule="auto"/>
        <w:ind w:firstLine="480" w:firstLineChars="200"/>
        <w:rPr>
          <w:rFonts w:hint="eastAsia" w:ascii="仿宋" w:hAnsi="仿宋" w:eastAsia="仿宋" w:cs="宋体"/>
          <w:snapToGrid w:val="0"/>
          <w:color w:val="auto"/>
          <w:highlight w:val="none"/>
          <w:lang w:val="zh-CN" w:eastAsia="zh-CN"/>
        </w:rPr>
      </w:pPr>
      <w:r>
        <w:rPr>
          <w:rFonts w:hint="eastAsia" w:ascii="仿宋" w:hAnsi="仿宋" w:eastAsia="仿宋" w:cs="宋体"/>
          <w:snapToGrid w:val="0"/>
          <w:color w:val="auto"/>
          <w:highlight w:val="none"/>
          <w:lang w:val="zh-CN" w:eastAsia="zh-CN"/>
        </w:rPr>
        <w:t>如承包人有意隐瞒质量问题或存在严重质量隐患，一经发现，承包人承担严重违约责任1次。</w:t>
      </w:r>
    </w:p>
    <w:p w14:paraId="0367C63C">
      <w:pPr>
        <w:spacing w:line="360" w:lineRule="auto"/>
        <w:ind w:firstLine="480" w:firstLineChars="200"/>
        <w:rPr>
          <w:rFonts w:hint="eastAsia" w:ascii="仿宋" w:hAnsi="仿宋" w:eastAsia="仿宋" w:cs="宋体"/>
          <w:snapToGrid w:val="0"/>
          <w:color w:val="auto"/>
          <w:highlight w:val="none"/>
          <w:lang w:val="zh-CN" w:eastAsia="zh-CN"/>
        </w:rPr>
      </w:pPr>
      <w:r>
        <w:rPr>
          <w:rFonts w:hint="eastAsia" w:ascii="仿宋" w:hAnsi="仿宋" w:eastAsia="仿宋" w:cs="宋体"/>
          <w:snapToGrid w:val="0"/>
          <w:color w:val="auto"/>
          <w:highlight w:val="none"/>
          <w:lang w:val="zh-CN" w:eastAsia="zh-CN"/>
        </w:rPr>
        <w:t>④造成工程质量事故的，除按国家及行业规定由上级主管部门承担违约责任外，同时须就每宗事故造成发包人直接经济损失金额的10％向发包人支付违约金。</w:t>
      </w:r>
    </w:p>
    <w:p w14:paraId="41EE0FF7">
      <w:pPr>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2）除了上述约定的违约金，若因此造成发包人或第三人损失的，承包人还应赔偿发包人或第三人因此造成的损失。</w:t>
      </w:r>
    </w:p>
    <w:p w14:paraId="35FBFCF4">
      <w:pPr>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（6）发包人、监理单位在施工过程中检查发现质量隐患、质量问题，或承包人未按发包人的要求及时整改、整改不到位，发包人有权要求承包人承担一般违约责任</w:t>
      </w:r>
      <w:r>
        <w:rPr>
          <w:rFonts w:ascii="仿宋" w:hAnsi="仿宋" w:eastAsia="仿宋" w:cs="宋体"/>
          <w:snapToGrid w:val="0"/>
          <w:color w:val="auto"/>
          <w:highlight w:val="none"/>
          <w:lang w:eastAsia="zh-CN"/>
        </w:rPr>
        <w:t>1</w:t>
      </w:r>
      <w:r>
        <w:rPr>
          <w:rFonts w:hint="eastAsia" w:ascii="仿宋" w:hAnsi="仿宋" w:eastAsia="仿宋" w:cs="宋体"/>
          <w:snapToGrid w:val="0"/>
          <w:color w:val="auto"/>
          <w:highlight w:val="none"/>
          <w:lang w:eastAsia="zh-CN"/>
        </w:rPr>
        <w:t>次，给发包人造成损失的，承包人应赔偿发包人的全部损失。</w:t>
      </w:r>
    </w:p>
    <w:p w14:paraId="1B95744D">
      <w:pPr>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7）承包人防水工程质量符合设计图纸及现行验收规范要求，若在施工期间发现渗水、漏水等情况，承包人在收到书面通知后，5天内未整改完成并征得发包人批复同意，发包人有权要求承包人承担较大违约责任处罚</w:t>
      </w:r>
      <w:r>
        <w:rPr>
          <w:rFonts w:ascii="仿宋" w:hAnsi="仿宋" w:eastAsia="仿宋" w:cs="宋体"/>
          <w:snapToGrid w:val="0"/>
          <w:color w:val="auto"/>
          <w:highlight w:val="none"/>
          <w:lang w:eastAsia="zh-CN"/>
        </w:rPr>
        <w:t>1</w:t>
      </w:r>
      <w:r>
        <w:rPr>
          <w:rFonts w:hint="eastAsia" w:ascii="仿宋" w:hAnsi="仿宋" w:eastAsia="仿宋" w:cs="宋体"/>
          <w:snapToGrid w:val="0"/>
          <w:color w:val="auto"/>
          <w:highlight w:val="none"/>
          <w:lang w:eastAsia="zh-CN"/>
        </w:rPr>
        <w:t>次。</w:t>
      </w:r>
    </w:p>
    <w:p w14:paraId="7A6038CB">
      <w:pPr>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承包人防水工程质量符合设计图纸及现行验收规范要求，若在质保期内出现渗水、漏水等影响正常办公、生活的情况，承包人在收到通知后24小时内必须赶到现场并及时进行维修，并赔偿由此引起的所有损失。若承包人未在约定期限内整改完成，发包人有权要求承包人承担严重违约责任处罚</w:t>
      </w:r>
      <w:r>
        <w:rPr>
          <w:rFonts w:ascii="仿宋" w:hAnsi="仿宋" w:eastAsia="仿宋" w:cs="宋体"/>
          <w:snapToGrid w:val="0"/>
          <w:color w:val="auto"/>
          <w:highlight w:val="none"/>
          <w:lang w:eastAsia="zh-CN"/>
        </w:rPr>
        <w:t>1</w:t>
      </w:r>
      <w:r>
        <w:rPr>
          <w:rFonts w:hint="eastAsia" w:ascii="仿宋" w:hAnsi="仿宋" w:eastAsia="仿宋" w:cs="宋体"/>
          <w:snapToGrid w:val="0"/>
          <w:color w:val="auto"/>
          <w:highlight w:val="none"/>
          <w:lang w:eastAsia="zh-CN"/>
        </w:rPr>
        <w:t>次。若发包人拒不整改的或多次整改仍不到位的，发包人有权指定其他人员维修，费用按实际发生费用从承包人质保金中扣除，并赔偿由此引起的所有损失。</w:t>
      </w:r>
    </w:p>
    <w:p w14:paraId="78BE2836">
      <w:pPr>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（8）承包人未按要求时间完成工程施工组织设计、工程策划、施工专项方案审批的，按1000元/天处罚；</w:t>
      </w:r>
    </w:p>
    <w:p w14:paraId="17E1F152">
      <w:pPr>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9）承包人未组织三级施工技术及安全交底及学习/在施工过程中，如发包人或监理现场检查提问施工操作人员交底情况不明或未学习/对检查不符合要求的技术交底，监理单位发出重新交底的通知，但承包人未按监理要求实施。由于设计的重大修改或现场条件、工艺的变化，未重新组织交底，按1000元/次处罚；材料进场未办理报审手续，或使用不合格材料或将未经发包人、监理认可的材料用于工程上，使用或存放一切不合格工程材料，按1～5万元/次处罚；</w:t>
      </w:r>
    </w:p>
    <w:p w14:paraId="24D0CFAF">
      <w:pPr>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（10）施工过程中发生损害工程质量的违规操作行为，如混凝土浇筑时注水、通过振动模板或钢筋来振动混凝土下沉、为方便施工利用铁件与构件受力钢筋进行焊接支撑等，按500～2000元/次处罚；</w:t>
      </w:r>
    </w:p>
    <w:p w14:paraId="4B6CA199">
      <w:pPr>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11）分项或工序工程（特别是分包工程）的交接界面的尺寸、标高、位置、坡度等不符合设计和规范要求/交接面残留浮浆、坑凸、砂土、垃圾等/专业工程部位的完工交接界面及质量不能一次报请验收通过，按1000元/项·次处罚；</w:t>
      </w:r>
    </w:p>
    <w:p w14:paraId="1DD649F2">
      <w:pPr>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（12）需要交叉互检验收的工序，施工班组检查不细致、不认真或不检查就直接在验收资料上签字确认，按500～1000元/次处罚；</w:t>
      </w:r>
    </w:p>
    <w:p w14:paraId="3AD39A56">
      <w:pPr>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（13）违反隐蔽工程质量管理要求，上一道工序未验收合格就进入下一道工序施工，关键工序未报验合格就进入下道工序施工的/关键工序质量存在问题，故意隐瞒不报，按0.5～2万元/次处罚；</w:t>
      </w:r>
    </w:p>
    <w:p w14:paraId="2D26469C">
      <w:pPr>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14）承包人施工中对各工序施工质量自检后，若经发包人、监理或质监站复查，发现有任何分部工程未能达到或符合《建筑工程施工质量验收统一标准》《工程质量标准》及有关的施工验收规范、标准的规定，除返工整改达到相关标准外，按500～2000元/次处罚；</w:t>
      </w:r>
    </w:p>
    <w:p w14:paraId="34EA5A65">
      <w:pPr>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（15）承包人施工质量不合格的，应当无条件返工或修复，并承担相关费用；工程质量必须达到本合同约定的工程质量标准且必须一次性验收通过。否则：</w:t>
      </w:r>
    </w:p>
    <w:p w14:paraId="00B5DB9C">
      <w:pPr>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a.若竣工验收综合评定工程质量达不到合格，经一次性处理后工程质量达到合格标准的，由承包人承担费用返工达到100%合格，并向发包人支付签约合同价的0.5‰的违约金；</w:t>
      </w:r>
    </w:p>
    <w:p w14:paraId="340F7B60">
      <w:pPr>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b.经一次性处理后工程质量仍然达不到合格标准的，经发包人同意后请有关部门鉴定为可使用工程的采取降级使用，承包人必须向发包人支付评定为不合格部分的单体工程结算款5%的违约金；</w:t>
      </w:r>
    </w:p>
    <w:p w14:paraId="7DACE33C">
      <w:pPr>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c.经一次性处理后工程质量仍然达不到合格标准的，且不能降级使用的工程，发包人有权解除合同，承包人必须退还发包人支付的全部工程款，按解除合同的违约条款执行；</w:t>
      </w:r>
    </w:p>
    <w:p w14:paraId="4482CA05">
      <w:pPr>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（16）承包人原因，导致工程质量或安全隐患，工程质量不合格、偷工减料或对工程弄虚作假的，按0.5～1万元/次处罚；</w:t>
      </w:r>
    </w:p>
    <w:p w14:paraId="14ABCF9A">
      <w:pPr>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17）出现的需调整缺陷均不得自行掩盖，应及时向工程师及发包人申报处理方案，构成质量事故的，要有事故处理报告，内容包括原因、责任、处理方案、处理效果、责任人的追究等，出现质量事故的情况除由承包人承担相应的实体检测费用、返工加固费用和其它经济损失外，还应向发包人支付违约金10万元/次；</w:t>
      </w:r>
    </w:p>
    <w:p w14:paraId="04B10104">
      <w:pPr>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18）质量事故引起群体事件，如群体性质量投诉、业主集体退房、业主拒绝收房等/交房后，因质量问题造成小业主在网上、报纸、电视等媒体曝光事件，对发包人社会形象造成不良影响的，视情节按签约合同价1‰以上处罚，并承担因此产生的经济损失；</w:t>
      </w:r>
    </w:p>
    <w:p w14:paraId="5E2D2C84">
      <w:pPr>
        <w:spacing w:line="360" w:lineRule="auto"/>
        <w:ind w:firstLine="480" w:firstLineChars="200"/>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95.</w:t>
      </w:r>
      <w:r>
        <w:rPr>
          <w:rFonts w:hint="eastAsia" w:ascii="仿宋" w:hAnsi="仿宋" w:eastAsia="仿宋" w:cs="宋体"/>
          <w:snapToGrid w:val="0"/>
          <w:color w:val="auto"/>
          <w:highlight w:val="none"/>
          <w:lang w:eastAsia="zh-CN"/>
        </w:rPr>
        <w:t>6 安全生产方面的违约责任</w:t>
      </w:r>
    </w:p>
    <w:p w14:paraId="34A09EB9">
      <w:pPr>
        <w:spacing w:line="360" w:lineRule="auto"/>
        <w:ind w:firstLine="480" w:firstLineChars="200"/>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1）违约赔偿：建设期间现场发生的安全事故，承包人必须承担全部的民事赔偿责任。如因此被行政主管部门通报批评或被新闻媒体曝光造成不良影响，除按国家及行业规定由上级主管部门实施处罚外，承包人应根据政府主管部门认定的事故等级，承担相应的违约赔偿责任。</w:t>
      </w:r>
    </w:p>
    <w:p w14:paraId="17397C96">
      <w:pPr>
        <w:spacing w:line="360" w:lineRule="auto"/>
        <w:ind w:firstLine="480" w:firstLineChars="200"/>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具体规定为：</w:t>
      </w:r>
    </w:p>
    <w:p w14:paraId="4D8329AA">
      <w:pPr>
        <w:spacing w:line="360" w:lineRule="auto"/>
        <w:ind w:firstLine="480" w:firstLineChars="200"/>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①发生特别重大事故，承包人除赔偿因此而给发包人造成的全部损失外，还应按合同总价4%向发包人支付违约金，违约金数额不得低于40万元；</w:t>
      </w:r>
    </w:p>
    <w:p w14:paraId="7BDF1E26">
      <w:pPr>
        <w:spacing w:line="360" w:lineRule="auto"/>
        <w:ind w:firstLine="480" w:firstLineChars="200"/>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②发生重大事故，承包人除赔偿因此而给发包人造成的全部损失外，还应按合同总价3%向发包人支付违约金，违约金数额不得低于20万元；</w:t>
      </w:r>
    </w:p>
    <w:p w14:paraId="0DE62D80">
      <w:pPr>
        <w:spacing w:line="360" w:lineRule="auto"/>
        <w:ind w:firstLine="480" w:firstLineChars="200"/>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③发生较大事故，承包人除赔偿因此而给发包人造成的全部损失外，还应按合同总价2%向发包人支付违约金，违约金数额不得低于10万元；</w:t>
      </w:r>
    </w:p>
    <w:p w14:paraId="03B1B4A9">
      <w:pPr>
        <w:spacing w:line="360" w:lineRule="auto"/>
        <w:ind w:firstLine="480" w:firstLineChars="200"/>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④发生一般事故，承包人除赔偿因此而给发包人造成的全部损失外，还应按合同总价1%向发包人支付违约金，违约金数额不得低于5万元。</w:t>
      </w:r>
    </w:p>
    <w:p w14:paraId="43307C75">
      <w:pPr>
        <w:spacing w:line="360" w:lineRule="auto"/>
        <w:ind w:firstLine="480" w:firstLineChars="200"/>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（2）发生上述重大事故，视情况严重程度，发包人有权按合同专用条款规定部分或全部解除合同。</w:t>
      </w:r>
    </w:p>
    <w:p w14:paraId="4C0FDBBE">
      <w:pPr>
        <w:spacing w:line="360" w:lineRule="auto"/>
        <w:ind w:firstLine="480" w:firstLineChars="200"/>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（3）在政府行政主管部门组织的安全检查中，承包人被发现存在严重安全隐患并被通报批评；或存在安全隐患被新闻媒体曝光的，承包人必须承担一般违约责任1次。</w:t>
      </w:r>
    </w:p>
    <w:p w14:paraId="4D9862E1">
      <w:pPr>
        <w:spacing w:line="360" w:lineRule="auto"/>
        <w:ind w:firstLine="480" w:firstLineChars="200"/>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4）承包人在发包人、监理单位进行的日常质量安全检查中，被发现存在安全隐患的，承包人应限期改正。若同样问题被发现2次或累计类似问题被发现3次，承包人必须支付违约金人民币1万元；此类问题的认定，以发包人确认的总监理工程师书面通知、指令、发包人督查记录及工程通报和会议纪要为准。</w:t>
      </w:r>
    </w:p>
    <w:p w14:paraId="0EB913C7">
      <w:pPr>
        <w:spacing w:line="360" w:lineRule="auto"/>
        <w:ind w:firstLine="480" w:firstLineChars="200"/>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（5</w:t>
      </w:r>
      <w:r>
        <w:rPr>
          <w:rFonts w:ascii="仿宋" w:hAnsi="仿宋" w:eastAsia="仿宋" w:cs="宋体"/>
          <w:bCs/>
          <w:snapToGrid w:val="0"/>
          <w:color w:val="auto"/>
          <w:highlight w:val="none"/>
          <w:lang w:eastAsia="zh-CN"/>
        </w:rPr>
        <w:t>）发包人、监理单位在施工过程中检查发现安全隐患、违规操作问题，或承包人未按发包人的要求及时整改、整改不到位，发包人有权要求承包人承担一般违约责任处罚1次，给发包人造成损失的，承包人应赔偿发包人的全部损失。</w:t>
      </w:r>
    </w:p>
    <w:p w14:paraId="59EAEEA7">
      <w:pPr>
        <w:spacing w:line="360" w:lineRule="auto"/>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6）基坑支护和高大支模施工时，若出现因承包人原因造成的基坑支护和高大支模、主体沉降监测异常（或到达报警值）需要第三方监测单位增加监测点、加大监测频率（次数）的情况，承包人须承担第三方增加监测点、加大监测频率（次数）所增加的监测费用，且承包人须承担严重违约责任处罚</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w:t>
      </w:r>
    </w:p>
    <w:p w14:paraId="47C1F786">
      <w:pPr>
        <w:spacing w:line="360" w:lineRule="auto"/>
        <w:ind w:firstLine="424" w:firstLineChars="177"/>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95.</w:t>
      </w:r>
      <w:r>
        <w:rPr>
          <w:rFonts w:hint="eastAsia" w:ascii="仿宋" w:hAnsi="仿宋" w:eastAsia="仿宋" w:cs="宋体"/>
          <w:bCs/>
          <w:snapToGrid w:val="0"/>
          <w:color w:val="auto"/>
          <w:highlight w:val="none"/>
          <w:lang w:eastAsia="zh-CN"/>
        </w:rPr>
        <w:t>7 文明施工、环境保护方面的违约责任</w:t>
      </w:r>
    </w:p>
    <w:p w14:paraId="35F7AEF1">
      <w:pPr>
        <w:spacing w:line="360" w:lineRule="auto"/>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1）监理单位及发包人将对承包人</w:t>
      </w:r>
      <w:r>
        <w:rPr>
          <w:rFonts w:hint="eastAsia" w:ascii="仿宋" w:hAnsi="仿宋" w:eastAsia="仿宋" w:cs="宋体"/>
          <w:bCs/>
          <w:snapToGrid w:val="0"/>
          <w:color w:val="auto"/>
          <w:highlight w:val="none"/>
          <w:lang w:eastAsia="zh-CN"/>
        </w:rPr>
        <w:t>绿色施工安全防护措施</w:t>
      </w:r>
      <w:r>
        <w:rPr>
          <w:rFonts w:ascii="仿宋" w:hAnsi="仿宋" w:eastAsia="仿宋" w:cs="宋体"/>
          <w:bCs/>
          <w:snapToGrid w:val="0"/>
          <w:color w:val="auto"/>
          <w:highlight w:val="none"/>
          <w:lang w:eastAsia="zh-CN"/>
        </w:rPr>
        <w:t>进行对照检查，若经检查发现承包人因自身原因未能按计划落实，承包人必须及时纠正，如仍不能及时纠正，承包人每次支付违约金人民币1000元，以此类推直至纠正。若承包人违反文明施工规定，危害到工地作业人员和周围居民的身体健康、人身安全或导致消防等安全隐患，承包人除必须立即整改外，还必须承担一般违约责任1次；被连续发现3次以上，承包人必须承担严重违约责任1次。</w:t>
      </w:r>
    </w:p>
    <w:p w14:paraId="1888E4C4">
      <w:pPr>
        <w:spacing w:line="360" w:lineRule="auto"/>
        <w:ind w:firstLine="424" w:firstLineChars="177"/>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（2）在政府行政主管部门组织的文明施工检查中，承包人被发现存在严重问题，被通报批评，或存在严重问题被新闻媒体曝光的，承包人每次支付违约金人民币10万元。</w:t>
      </w:r>
    </w:p>
    <w:p w14:paraId="3F7C41AA">
      <w:pPr>
        <w:spacing w:line="360" w:lineRule="auto"/>
        <w:ind w:firstLine="424" w:firstLineChars="177"/>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3）承包人在施工过程中因其自身原因造成周围环境卫生状况较差，被其他施工单位或周围居民投诉的，承包人必须在当天内完成整改。若故意拖延或类似问题累计被投诉2次以上且经查实的，承包人必须承担1次严重违约责任。</w:t>
      </w:r>
    </w:p>
    <w:p w14:paraId="1A52298F">
      <w:pPr>
        <w:spacing w:line="360" w:lineRule="auto"/>
        <w:ind w:firstLine="424" w:firstLineChars="177"/>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（4）安全文明施工要求：按协议书第五条约定。如承包人未能按合同约定取得“广州市安全文明绿色施工样板工地”称号，则须按工程结算分部分项工程费的0.4%为标准扣除市级文明工地增加费。</w:t>
      </w:r>
    </w:p>
    <w:p w14:paraId="538AC798">
      <w:pPr>
        <w:spacing w:line="360" w:lineRule="auto"/>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5）在工程整体交付使用前，承包人应充分考虑现场周边管线及地下管线等情况，并承诺采取有效的保护措施，若出现保护措施落实不到位的情况，在收到书面通知后，5天内未整改完成并征得发包人批复同意，发包人有权要求承包人承担一般违约责任处罚</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w:t>
      </w:r>
    </w:p>
    <w:p w14:paraId="40FDA53E">
      <w:pPr>
        <w:spacing w:line="360" w:lineRule="auto"/>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6）在工程整体交付使用前，承包人须负责成品保护及项目红线范围内卫生保洁工作、精保洁（精保洁以发包人要求次数为准）。若出现成品保护及卫生保洁措施、精保洁（精保洁以发包人要求次数为准）落实不到位的情况，在收到书面通知后，5天内未整改完成并征得发包人批复同意，发包人有权要求承包人承担较大违约责任处罚</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w:t>
      </w:r>
    </w:p>
    <w:p w14:paraId="61C4D4D0">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bCs/>
          <w:snapToGrid w:val="0"/>
          <w:color w:val="auto"/>
          <w:highlight w:val="none"/>
          <w:lang w:eastAsia="zh-CN"/>
        </w:rPr>
        <w:t>（7）未按照合同相关规定执行，出现文明施工和环境保护落实不到位的情况，在收到书面通知后，2天内未整改完成并征得发包人批复同意的，承包人须承担一般违约责任处罚</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w:t>
      </w:r>
    </w:p>
    <w:p w14:paraId="196A56DE">
      <w:pPr>
        <w:spacing w:line="360" w:lineRule="auto"/>
        <w:ind w:right="11" w:firstLine="424" w:firstLineChars="177"/>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95.</w:t>
      </w:r>
      <w:r>
        <w:rPr>
          <w:rFonts w:hint="eastAsia" w:ascii="仿宋" w:hAnsi="仿宋" w:eastAsia="仿宋" w:cs="宋体"/>
          <w:bCs/>
          <w:snapToGrid w:val="0"/>
          <w:color w:val="auto"/>
          <w:highlight w:val="none"/>
          <w:lang w:eastAsia="zh-CN"/>
        </w:rPr>
        <w:t>8 工程转包、分包方面的违约责任</w:t>
      </w:r>
    </w:p>
    <w:p w14:paraId="335BE99F">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（1）违法分包，是指在分包过程中的违法行为，包括以下几种情形：</w:t>
      </w:r>
    </w:p>
    <w:p w14:paraId="0D88D605">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1）承包人将建设工程分包给不具备相应资质条件的单位的；</w:t>
      </w:r>
    </w:p>
    <w:p w14:paraId="2055A81F">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2）合同中未有约定，又未经发包人认可，承包人将其承包的部分建设工程交由其他单位完成的；</w:t>
      </w:r>
    </w:p>
    <w:p w14:paraId="6BCDCB69">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3）承包人将建设工程主体结构的施工分包给其他单位的；</w:t>
      </w:r>
    </w:p>
    <w:p w14:paraId="07946656">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4）分包单位将其承包的建设工程再分包的。</w:t>
      </w:r>
    </w:p>
    <w:p w14:paraId="368A0821">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（2）承包单位承包建设工程后，不履行合同约定的责任和义务，将其承包的全部建设工程转给第三人或者将其承包的全部工程肢解以后以分包的名义分别转给第三人承包的行为。</w:t>
      </w:r>
    </w:p>
    <w:p w14:paraId="773ECD6B">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3）承包人转包工程或者违法分包工程，发包人有权要求承包人承担根本违约责任，经建设行政主管部门调查核实并作出处理决定的，发包人将严格服从建设行政主管部门的处理决定。因承包人转包工程或者违法分包工程给发包人造成损失的，发包人有权要求赔偿。</w:t>
      </w:r>
    </w:p>
    <w:p w14:paraId="0BE7AB5F">
      <w:pPr>
        <w:spacing w:line="360" w:lineRule="auto"/>
        <w:ind w:right="11" w:firstLine="424" w:firstLineChars="177"/>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95.</w:t>
      </w:r>
      <w:r>
        <w:rPr>
          <w:rFonts w:hint="eastAsia" w:ascii="仿宋" w:hAnsi="仿宋" w:eastAsia="仿宋" w:cs="宋体"/>
          <w:bCs/>
          <w:snapToGrid w:val="0"/>
          <w:color w:val="auto"/>
          <w:highlight w:val="none"/>
          <w:lang w:eastAsia="zh-CN"/>
        </w:rPr>
        <w:t>9 农民工工资支付方面的违约责任</w:t>
      </w:r>
    </w:p>
    <w:p w14:paraId="7A7A2997">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1）承包人不得拖欠工人工资。承包人是本工程工人管理的负责人，全面负责施工过程中工人的管理、用工合同管理和工人工资发放等工作；承包人必须选择有劳务分包资质的劳务分包企业承担本工程施工任务，所招用工人必须与施工企业或劳务分包企业签订有效劳动用工合同；承包人在施工过程中，必须确保按规定、按时支付工人工资，工人工资必须直接发放到工人本人手中；</w:t>
      </w:r>
    </w:p>
    <w:p w14:paraId="11C766D8">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2）若在本工程上发生拖欠、克扣劳动者报酬行为的，或者因本工程劳动者报酬纠纷使得贵司可能涉及诉讼、仲裁、或其他不利影响时，发包人有权从承包人工程款中扣除相应款项，直接支付给相关的劳动者，并有权解除施工合同，承包人赔偿因此给发包人造成的一切损失。</w:t>
      </w:r>
    </w:p>
    <w:p w14:paraId="4DE34BC5">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（3）</w:t>
      </w:r>
      <w:r>
        <w:rPr>
          <w:rFonts w:ascii="仿宋" w:hAnsi="仿宋" w:eastAsia="仿宋" w:cs="宋体"/>
          <w:bCs/>
          <w:snapToGrid w:val="0"/>
          <w:color w:val="auto"/>
          <w:highlight w:val="none"/>
          <w:lang w:eastAsia="zh-CN"/>
        </w:rPr>
        <w:t>如承包人因拖欠工人工资或材料设备供应商材料款而被反映到发包人处，需发包人出面协调，经发包人调查了解属实</w:t>
      </w: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确定为承包人责任的</w:t>
      </w:r>
      <w:r>
        <w:rPr>
          <w:rFonts w:hint="eastAsia" w:ascii="仿宋" w:hAnsi="仿宋" w:eastAsia="仿宋" w:cs="宋体"/>
          <w:bCs/>
          <w:snapToGrid w:val="0"/>
          <w:color w:val="auto"/>
          <w:highlight w:val="none"/>
          <w:lang w:eastAsia="zh-CN"/>
        </w:rPr>
        <w:t>，且</w:t>
      </w:r>
      <w:r>
        <w:rPr>
          <w:rFonts w:hint="eastAsia" w:ascii="仿宋" w:hAnsi="仿宋" w:eastAsia="仿宋" w:cs="宋体"/>
          <w:bCs/>
          <w:snapToGrid w:val="0"/>
          <w:color w:val="auto"/>
          <w:highlight w:val="none"/>
          <w:lang w:val="en-US" w:eastAsia="zh-CN"/>
        </w:rPr>
        <w:t>乙方</w:t>
      </w:r>
      <w:r>
        <w:rPr>
          <w:rFonts w:hint="eastAsia" w:ascii="仿宋" w:hAnsi="仿宋" w:eastAsia="仿宋" w:cs="宋体"/>
          <w:bCs/>
          <w:snapToGrid w:val="0"/>
          <w:color w:val="auto"/>
          <w:highlight w:val="none"/>
          <w:lang w:eastAsia="zh-CN"/>
        </w:rPr>
        <w:t>未及时主动劝阻或问题</w:t>
      </w:r>
      <w:r>
        <w:rPr>
          <w:rFonts w:hint="eastAsia" w:ascii="仿宋" w:hAnsi="仿宋" w:eastAsia="仿宋" w:cs="宋体"/>
          <w:bCs/>
          <w:snapToGrid w:val="0"/>
          <w:color w:val="auto"/>
          <w:highlight w:val="none"/>
          <w:lang w:val="en-US" w:eastAsia="zh-CN"/>
        </w:rPr>
        <w:t>未及时</w:t>
      </w:r>
      <w:r>
        <w:rPr>
          <w:rFonts w:hint="eastAsia" w:ascii="仿宋" w:hAnsi="仿宋" w:eastAsia="仿宋" w:cs="宋体"/>
          <w:bCs/>
          <w:snapToGrid w:val="0"/>
          <w:color w:val="auto"/>
          <w:highlight w:val="none"/>
          <w:lang w:eastAsia="zh-CN"/>
        </w:rPr>
        <w:t>得到解决的</w:t>
      </w:r>
      <w:r>
        <w:rPr>
          <w:rFonts w:ascii="仿宋" w:hAnsi="仿宋" w:eastAsia="仿宋" w:cs="宋体"/>
          <w:bCs/>
          <w:snapToGrid w:val="0"/>
          <w:color w:val="auto"/>
          <w:highlight w:val="none"/>
          <w:lang w:eastAsia="zh-CN"/>
        </w:rPr>
        <w:t>，每发生1次，承包人须承担一般违约责任1次；如因上述的拖欠，确属承包人责任且经发包人出面协调3次以上承包人仍拒不执行的，上述情况每发生一次，承包人应承担严重违约责任一次，同时发包人还有权将其拖欠的金额从应付工程款中直接支付给被拖欠方。</w:t>
      </w:r>
    </w:p>
    <w:p w14:paraId="3F0A111E">
      <w:pPr>
        <w:spacing w:line="360" w:lineRule="auto"/>
        <w:ind w:right="11"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（4</w:t>
      </w:r>
      <w:r>
        <w:rPr>
          <w:rFonts w:ascii="仿宋" w:hAnsi="仿宋" w:eastAsia="仿宋" w:cs="宋体"/>
          <w:snapToGrid w:val="0"/>
          <w:color w:val="auto"/>
          <w:highlight w:val="none"/>
          <w:lang w:eastAsia="zh-CN"/>
        </w:rPr>
        <w:t xml:space="preserve">）因承包人违约导致发包人暂停支付工程款时，承包人不得以此为理由拖欠农民工工资，在发包人和承包人就暂停支付工程款问题解决之前，承包人有义务先行支付其所属工人工资。 </w:t>
      </w:r>
    </w:p>
    <w:p w14:paraId="0FEA1C4F">
      <w:pPr>
        <w:spacing w:line="360" w:lineRule="auto"/>
        <w:ind w:right="11"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（5</w:t>
      </w:r>
      <w:r>
        <w:rPr>
          <w:rFonts w:ascii="仿宋" w:hAnsi="仿宋" w:eastAsia="仿宋" w:cs="宋体"/>
          <w:snapToGrid w:val="0"/>
          <w:color w:val="auto"/>
          <w:highlight w:val="none"/>
          <w:lang w:eastAsia="zh-CN"/>
        </w:rPr>
        <w:t>）承包人不按合同及有关规定按时、足额支付分包单位合同价款及民工工资</w:t>
      </w:r>
      <w:r>
        <w:rPr>
          <w:rFonts w:hint="eastAsia" w:ascii="仿宋" w:hAnsi="仿宋" w:eastAsia="仿宋" w:cs="宋体"/>
          <w:snapToGrid w:val="0"/>
          <w:color w:val="auto"/>
          <w:highlight w:val="none"/>
          <w:lang w:eastAsia="zh-CN"/>
        </w:rPr>
        <w:t>、未及时主动劝阻或问题未及时得到解决的，</w:t>
      </w:r>
      <w:r>
        <w:rPr>
          <w:rFonts w:ascii="仿宋" w:hAnsi="仿宋" w:eastAsia="仿宋" w:cs="宋体"/>
          <w:snapToGrid w:val="0"/>
          <w:color w:val="auto"/>
          <w:highlight w:val="none"/>
          <w:lang w:eastAsia="zh-CN"/>
        </w:rPr>
        <w:t>致使民工集体上访、集聚围阻</w:t>
      </w:r>
      <w:r>
        <w:rPr>
          <w:rFonts w:hint="eastAsia" w:ascii="仿宋" w:hAnsi="仿宋" w:eastAsia="仿宋" w:cs="宋体"/>
          <w:snapToGrid w:val="0"/>
          <w:color w:val="auto"/>
          <w:highlight w:val="none"/>
          <w:lang w:eastAsia="zh-CN"/>
        </w:rPr>
        <w:t>、网络媒体散播等</w:t>
      </w:r>
      <w:r>
        <w:rPr>
          <w:rFonts w:ascii="仿宋" w:hAnsi="仿宋" w:eastAsia="仿宋" w:cs="宋体"/>
          <w:snapToGrid w:val="0"/>
          <w:color w:val="auto"/>
          <w:highlight w:val="none"/>
          <w:lang w:eastAsia="zh-CN"/>
        </w:rPr>
        <w:t>而造成社会不良影响的，发包人将</w:t>
      </w:r>
      <w:r>
        <w:rPr>
          <w:rFonts w:hint="eastAsia" w:ascii="仿宋" w:hAnsi="仿宋" w:eastAsia="仿宋" w:cs="宋体"/>
          <w:snapToGrid w:val="0"/>
          <w:color w:val="auto"/>
          <w:highlight w:val="none"/>
          <w:lang w:eastAsia="zh-CN"/>
        </w:rPr>
        <w:t>有权</w:t>
      </w:r>
      <w:r>
        <w:rPr>
          <w:rFonts w:ascii="仿宋" w:hAnsi="仿宋" w:eastAsia="仿宋" w:cs="宋体"/>
          <w:snapToGrid w:val="0"/>
          <w:color w:val="auto"/>
          <w:highlight w:val="none"/>
          <w:lang w:eastAsia="zh-CN"/>
        </w:rPr>
        <w:t>终止与承包人的合同，</w:t>
      </w:r>
      <w:r>
        <w:rPr>
          <w:rFonts w:hint="eastAsia" w:ascii="仿宋" w:hAnsi="仿宋" w:eastAsia="仿宋" w:cs="宋体"/>
          <w:snapToGrid w:val="0"/>
          <w:color w:val="auto"/>
          <w:highlight w:val="none"/>
          <w:lang w:eastAsia="zh-CN"/>
        </w:rPr>
        <w:t>并</w:t>
      </w:r>
      <w:r>
        <w:rPr>
          <w:rFonts w:ascii="仿宋" w:hAnsi="仿宋" w:eastAsia="仿宋" w:cs="宋体"/>
          <w:snapToGrid w:val="0"/>
          <w:color w:val="auto"/>
          <w:highlight w:val="none"/>
          <w:lang w:eastAsia="zh-CN"/>
        </w:rPr>
        <w:t>取消其参加</w:t>
      </w:r>
      <w:r>
        <w:rPr>
          <w:rFonts w:hint="eastAsia" w:ascii="仿宋" w:hAnsi="仿宋" w:eastAsia="仿宋" w:cs="宋体"/>
          <w:snapToGrid w:val="0"/>
          <w:color w:val="auto"/>
          <w:highlight w:val="none"/>
          <w:lang w:eastAsia="zh-CN"/>
        </w:rPr>
        <w:t>本公司集团及旗下所有子公司</w:t>
      </w:r>
      <w:r>
        <w:rPr>
          <w:rFonts w:ascii="仿宋" w:hAnsi="仿宋" w:eastAsia="仿宋" w:cs="宋体"/>
          <w:snapToGrid w:val="0"/>
          <w:color w:val="auto"/>
          <w:highlight w:val="none"/>
          <w:lang w:eastAsia="zh-CN"/>
        </w:rPr>
        <w:t>的投标资格。如属恶意煽动并造成社会不良影响的，发包人将提请司法部门追究其法律责任。同时，</w:t>
      </w:r>
      <w:r>
        <w:rPr>
          <w:rFonts w:hint="eastAsia" w:ascii="仿宋" w:hAnsi="仿宋" w:eastAsia="仿宋" w:cs="宋体"/>
          <w:snapToGrid w:val="0"/>
          <w:color w:val="auto"/>
          <w:highlight w:val="none"/>
          <w:lang w:eastAsia="zh-CN"/>
        </w:rPr>
        <w:t>确系承包人未按照约定按时、足额支付工人工资，且未及时主动</w:t>
      </w:r>
      <w:r>
        <w:rPr>
          <w:rFonts w:hint="eastAsia" w:ascii="仿宋" w:hAnsi="仿宋" w:eastAsia="仿宋" w:cs="宋体"/>
          <w:snapToGrid w:val="0"/>
          <w:color w:val="auto"/>
          <w:highlight w:val="none"/>
          <w:lang w:val="en-US" w:eastAsia="zh-CN"/>
        </w:rPr>
        <w:t>劝阻</w:t>
      </w:r>
      <w:r>
        <w:rPr>
          <w:rFonts w:hint="eastAsia" w:ascii="仿宋" w:hAnsi="仿宋" w:eastAsia="仿宋" w:cs="宋体"/>
          <w:snapToGrid w:val="0"/>
          <w:color w:val="auto"/>
          <w:highlight w:val="none"/>
          <w:lang w:eastAsia="zh-CN"/>
        </w:rPr>
        <w:t>或者未及时解决，</w:t>
      </w:r>
      <w:r>
        <w:rPr>
          <w:rFonts w:hint="default" w:ascii="仿宋" w:hAnsi="仿宋" w:eastAsia="仿宋" w:cs="宋体"/>
          <w:snapToGrid w:val="0"/>
          <w:color w:val="auto"/>
          <w:highlight w:val="none"/>
          <w:lang w:val="en-US" w:eastAsia="zh-CN"/>
        </w:rPr>
        <w:t>若在本工程上</w:t>
      </w:r>
      <w:r>
        <w:rPr>
          <w:rFonts w:ascii="仿宋" w:hAnsi="仿宋" w:eastAsia="仿宋" w:cs="宋体"/>
          <w:snapToGrid w:val="0"/>
          <w:color w:val="auto"/>
          <w:highlight w:val="none"/>
          <w:lang w:eastAsia="zh-CN"/>
        </w:rPr>
        <w:t>发生以下舆情情况，承包人接受如下处罚：</w:t>
      </w:r>
    </w:p>
    <w:p w14:paraId="35BD5B44">
      <w:pPr>
        <w:spacing w:line="360" w:lineRule="auto"/>
        <w:ind w:right="11" w:firstLine="424" w:firstLineChars="177"/>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①本工程劳动者围堵项目或公司，进行处罚，处罚原则：第一次1~5万，第二次</w:t>
      </w:r>
      <w:r>
        <w:rPr>
          <w:rFonts w:hint="eastAsia" w:ascii="仿宋" w:hAnsi="仿宋" w:eastAsia="仿宋" w:cs="宋体"/>
          <w:snapToGrid w:val="0"/>
          <w:color w:val="auto"/>
          <w:highlight w:val="none"/>
          <w:lang w:val="en-US" w:eastAsia="zh-CN"/>
        </w:rPr>
        <w:t>5</w:t>
      </w:r>
      <w:r>
        <w:rPr>
          <w:rFonts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10</w:t>
      </w:r>
      <w:r>
        <w:rPr>
          <w:rFonts w:ascii="仿宋" w:hAnsi="仿宋" w:eastAsia="仿宋" w:cs="宋体"/>
          <w:snapToGrid w:val="0"/>
          <w:color w:val="auto"/>
          <w:highlight w:val="none"/>
          <w:lang w:eastAsia="zh-CN"/>
        </w:rPr>
        <w:t>万，第三次</w:t>
      </w:r>
      <w:r>
        <w:rPr>
          <w:rFonts w:hint="eastAsia" w:ascii="仿宋" w:hAnsi="仿宋" w:eastAsia="仿宋" w:cs="宋体"/>
          <w:snapToGrid w:val="0"/>
          <w:color w:val="auto"/>
          <w:highlight w:val="none"/>
          <w:lang w:val="en-US" w:eastAsia="zh-CN"/>
        </w:rPr>
        <w:t>10</w:t>
      </w:r>
      <w:r>
        <w:rPr>
          <w:rFonts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25</w:t>
      </w:r>
      <w:r>
        <w:rPr>
          <w:rFonts w:ascii="仿宋" w:hAnsi="仿宋" w:eastAsia="仿宋" w:cs="宋体"/>
          <w:snapToGrid w:val="0"/>
          <w:color w:val="auto"/>
          <w:highlight w:val="none"/>
          <w:lang w:eastAsia="zh-CN"/>
        </w:rPr>
        <w:t>万，第四次及以上每次按合同价的0.</w:t>
      </w:r>
      <w:r>
        <w:rPr>
          <w:rFonts w:hint="eastAsia" w:ascii="仿宋" w:hAnsi="仿宋" w:eastAsia="仿宋" w:cs="宋体"/>
          <w:snapToGrid w:val="0"/>
          <w:color w:val="auto"/>
          <w:highlight w:val="none"/>
          <w:lang w:val="en-US" w:eastAsia="zh-CN"/>
        </w:rPr>
        <w:t>1</w:t>
      </w:r>
      <w:r>
        <w:rPr>
          <w:rFonts w:ascii="仿宋" w:hAnsi="仿宋" w:eastAsia="仿宋" w:cs="宋体"/>
          <w:snapToGrid w:val="0"/>
          <w:color w:val="auto"/>
          <w:highlight w:val="none"/>
          <w:lang w:eastAsia="zh-CN"/>
        </w:rPr>
        <w:t>%金额罚款，具体视情节轻重确定处罚金额，且赔偿因此给发包人造成的一切损失。</w:t>
      </w:r>
    </w:p>
    <w:p w14:paraId="3C779E65">
      <w:pPr>
        <w:spacing w:line="360" w:lineRule="auto"/>
        <w:ind w:right="11" w:firstLine="424" w:firstLineChars="177"/>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②</w:t>
      </w:r>
      <w:r>
        <w:rPr>
          <w:rFonts w:hint="default" w:ascii="仿宋" w:hAnsi="仿宋" w:eastAsia="仿宋" w:cs="宋体"/>
          <w:snapToGrid w:val="0"/>
          <w:color w:val="auto"/>
          <w:highlight w:val="none"/>
          <w:lang w:val="en-US" w:eastAsia="zh-CN"/>
        </w:rPr>
        <w:t>本工程劳动者围堵政府，进行处罚，处罚原则：第一次</w:t>
      </w:r>
      <w:r>
        <w:rPr>
          <w:rFonts w:hint="eastAsia" w:ascii="仿宋" w:hAnsi="仿宋" w:eastAsia="仿宋" w:cs="宋体"/>
          <w:snapToGrid w:val="0"/>
          <w:color w:val="auto"/>
          <w:highlight w:val="none"/>
          <w:lang w:val="en-US" w:eastAsia="zh-CN"/>
        </w:rPr>
        <w:t>1~5</w:t>
      </w:r>
      <w:r>
        <w:rPr>
          <w:rFonts w:hint="default" w:ascii="仿宋" w:hAnsi="仿宋" w:eastAsia="仿宋" w:cs="宋体"/>
          <w:snapToGrid w:val="0"/>
          <w:color w:val="auto"/>
          <w:highlight w:val="none"/>
          <w:lang w:val="en-US" w:eastAsia="zh-CN"/>
        </w:rPr>
        <w:t>万，第二次</w:t>
      </w:r>
      <w:r>
        <w:rPr>
          <w:rFonts w:hint="eastAsia" w:ascii="仿宋" w:hAnsi="仿宋" w:eastAsia="仿宋" w:cs="宋体"/>
          <w:snapToGrid w:val="0"/>
          <w:color w:val="auto"/>
          <w:highlight w:val="none"/>
          <w:lang w:val="en-US" w:eastAsia="zh-CN"/>
        </w:rPr>
        <w:t>5~10</w:t>
      </w:r>
      <w:r>
        <w:rPr>
          <w:rFonts w:hint="default" w:ascii="仿宋" w:hAnsi="仿宋" w:eastAsia="仿宋" w:cs="宋体"/>
          <w:snapToGrid w:val="0"/>
          <w:color w:val="auto"/>
          <w:highlight w:val="none"/>
          <w:lang w:val="en-US" w:eastAsia="zh-CN"/>
        </w:rPr>
        <w:t>万，第三次</w:t>
      </w:r>
      <w:r>
        <w:rPr>
          <w:rFonts w:hint="eastAsia" w:ascii="仿宋" w:hAnsi="仿宋" w:eastAsia="仿宋" w:cs="宋体"/>
          <w:snapToGrid w:val="0"/>
          <w:color w:val="auto"/>
          <w:highlight w:val="none"/>
          <w:lang w:val="en-US" w:eastAsia="zh-CN"/>
        </w:rPr>
        <w:t>10~25</w:t>
      </w:r>
      <w:r>
        <w:rPr>
          <w:rFonts w:hint="default" w:ascii="仿宋" w:hAnsi="仿宋" w:eastAsia="仿宋" w:cs="宋体"/>
          <w:snapToGrid w:val="0"/>
          <w:color w:val="auto"/>
          <w:highlight w:val="none"/>
          <w:lang w:val="en-US" w:eastAsia="zh-CN"/>
        </w:rPr>
        <w:t>万，第四次及以上每次按合同价的</w:t>
      </w:r>
      <w:r>
        <w:rPr>
          <w:rFonts w:hint="eastAsia" w:ascii="仿宋" w:hAnsi="仿宋" w:eastAsia="仿宋" w:cs="宋体"/>
          <w:snapToGrid w:val="0"/>
          <w:color w:val="auto"/>
          <w:highlight w:val="none"/>
          <w:lang w:val="en-US" w:eastAsia="zh-CN"/>
        </w:rPr>
        <w:t>0.1</w:t>
      </w:r>
      <w:r>
        <w:rPr>
          <w:rFonts w:hint="default" w:ascii="仿宋" w:hAnsi="仿宋" w:eastAsia="仿宋" w:cs="宋体"/>
          <w:snapToGrid w:val="0"/>
          <w:color w:val="auto"/>
          <w:highlight w:val="none"/>
          <w:lang w:val="en-US" w:eastAsia="zh-CN"/>
        </w:rPr>
        <w:t>%金额罚款，具体视情节轻重确定处罚金额，且赔偿因此给发包人及政府造成的一切损失。</w:t>
      </w:r>
    </w:p>
    <w:p w14:paraId="26A57E61">
      <w:pPr>
        <w:spacing w:line="360" w:lineRule="auto"/>
        <w:ind w:right="11" w:firstLine="424" w:firstLineChars="177"/>
        <w:rPr>
          <w:rFonts w:ascii="仿宋" w:hAnsi="仿宋" w:eastAsia="仿宋" w:cs="宋体"/>
          <w:b/>
          <w:bCs/>
          <w:snapToGrid w:val="0"/>
          <w:color w:val="auto"/>
          <w:highlight w:val="none"/>
          <w:lang w:eastAsia="zh-CN"/>
        </w:rPr>
      </w:pPr>
      <w:r>
        <w:rPr>
          <w:rFonts w:ascii="仿宋" w:hAnsi="仿宋" w:eastAsia="仿宋" w:cs="宋体"/>
          <w:snapToGrid w:val="0"/>
          <w:color w:val="auto"/>
          <w:highlight w:val="none"/>
          <w:lang w:eastAsia="zh-CN"/>
        </w:rPr>
        <w:t>③本工程劳动者</w:t>
      </w:r>
      <w:r>
        <w:rPr>
          <w:rFonts w:hint="eastAsia" w:ascii="仿宋" w:hAnsi="仿宋" w:eastAsia="仿宋" w:cs="宋体"/>
          <w:snapToGrid w:val="0"/>
          <w:color w:val="auto"/>
          <w:highlight w:val="none"/>
          <w:lang w:eastAsia="zh-CN"/>
        </w:rPr>
        <w:t>投诉、</w:t>
      </w:r>
      <w:r>
        <w:rPr>
          <w:rFonts w:ascii="仿宋" w:hAnsi="仿宋" w:eastAsia="仿宋" w:cs="宋体"/>
          <w:snapToGrid w:val="0"/>
          <w:color w:val="auto"/>
          <w:highlight w:val="none"/>
          <w:lang w:eastAsia="zh-CN"/>
        </w:rPr>
        <w:t>上访（信访办、其他政府职能部门），因承包人原因或承包人处理不及时引起的，进行处罚，处罚原则：第一次1~5万，第二次</w:t>
      </w:r>
      <w:r>
        <w:rPr>
          <w:rFonts w:hint="eastAsia" w:ascii="仿宋" w:hAnsi="仿宋" w:eastAsia="仿宋" w:cs="宋体"/>
          <w:snapToGrid w:val="0"/>
          <w:color w:val="auto"/>
          <w:highlight w:val="none"/>
          <w:lang w:val="en-US" w:eastAsia="zh-CN"/>
        </w:rPr>
        <w:t>5</w:t>
      </w:r>
      <w:r>
        <w:rPr>
          <w:rFonts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10</w:t>
      </w:r>
      <w:r>
        <w:rPr>
          <w:rFonts w:ascii="仿宋" w:hAnsi="仿宋" w:eastAsia="仿宋" w:cs="宋体"/>
          <w:snapToGrid w:val="0"/>
          <w:color w:val="auto"/>
          <w:highlight w:val="none"/>
          <w:lang w:eastAsia="zh-CN"/>
        </w:rPr>
        <w:t>万，第三次</w:t>
      </w:r>
      <w:r>
        <w:rPr>
          <w:rFonts w:hint="eastAsia" w:ascii="仿宋" w:hAnsi="仿宋" w:eastAsia="仿宋" w:cs="宋体"/>
          <w:snapToGrid w:val="0"/>
          <w:color w:val="auto"/>
          <w:highlight w:val="none"/>
          <w:lang w:val="en-US" w:eastAsia="zh-CN"/>
        </w:rPr>
        <w:t>10</w:t>
      </w:r>
      <w:r>
        <w:rPr>
          <w:rFonts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25</w:t>
      </w:r>
      <w:r>
        <w:rPr>
          <w:rFonts w:ascii="仿宋" w:hAnsi="仿宋" w:eastAsia="仿宋" w:cs="宋体"/>
          <w:snapToGrid w:val="0"/>
          <w:color w:val="auto"/>
          <w:highlight w:val="none"/>
          <w:lang w:eastAsia="zh-CN"/>
        </w:rPr>
        <w:t>万，第四次及以上每次按合同价的0.</w:t>
      </w:r>
      <w:r>
        <w:rPr>
          <w:rFonts w:hint="eastAsia" w:ascii="仿宋" w:hAnsi="仿宋" w:eastAsia="仿宋" w:cs="宋体"/>
          <w:snapToGrid w:val="0"/>
          <w:color w:val="auto"/>
          <w:highlight w:val="none"/>
          <w:lang w:val="en-US" w:eastAsia="zh-CN"/>
        </w:rPr>
        <w:t>1</w:t>
      </w:r>
      <w:r>
        <w:rPr>
          <w:rFonts w:ascii="仿宋" w:hAnsi="仿宋" w:eastAsia="仿宋" w:cs="宋体"/>
          <w:snapToGrid w:val="0"/>
          <w:color w:val="auto"/>
          <w:highlight w:val="none"/>
          <w:lang w:eastAsia="zh-CN"/>
        </w:rPr>
        <w:t>%金额罚款，具体视情节轻重确定处罚金额，且赔偿因此给发包人及政府造成的一切损失。</w:t>
      </w:r>
    </w:p>
    <w:p w14:paraId="45816F0E">
      <w:pPr>
        <w:spacing w:line="360" w:lineRule="auto"/>
        <w:ind w:right="11"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95.10 承包人在行政主管部门及行业主管部门的各项检查中，由于被发现存在问题被通报批评或者被新闻媒体曝光的，被通报或被曝光一次，承包人必须承担1次严重违约责任处罚；承包人应立即采取切实有效措施予以整改，拒不采取切实有效措施整改或整改效果不明显的，发包人有权要求承包人承担根本违约责任；造成严重社会影响或累计被通报、被曝光3次以上（含本数）的，发包人有权要求承包人承担根本违约责任。</w:t>
      </w:r>
    </w:p>
    <w:p w14:paraId="30A3D26E">
      <w:pPr>
        <w:pStyle w:val="17"/>
        <w:spacing w:after="0"/>
        <w:ind w:firstLine="424" w:firstLineChars="177"/>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95.1</w:t>
      </w:r>
      <w:r>
        <w:rPr>
          <w:rFonts w:hint="eastAsia" w:ascii="仿宋" w:hAnsi="仿宋" w:eastAsia="仿宋" w:cs="宋体"/>
          <w:bCs/>
          <w:snapToGrid w:val="0"/>
          <w:color w:val="auto"/>
          <w:highlight w:val="none"/>
          <w:lang w:eastAsia="zh-CN"/>
        </w:rPr>
        <w:t>1 关于绿色建筑、装配式建筑（装修）、模块化建筑、智能建造、建筑业高质量发展的相关违约约定：</w:t>
      </w:r>
    </w:p>
    <w:p w14:paraId="67253639">
      <w:pPr>
        <w:pStyle w:val="17"/>
        <w:spacing w:after="0"/>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（1）绿色建筑：本项目内绿色建筑不低于国标《绿色建筑评价标准》GB/T50378-2019</w:t>
      </w:r>
      <w:r>
        <w:rPr>
          <w:rFonts w:hint="eastAsia" w:ascii="仿宋" w:hAnsi="仿宋" w:eastAsia="仿宋" w:cs="宋体"/>
          <w:bCs/>
          <w:snapToGrid w:val="0"/>
          <w:color w:val="auto"/>
          <w:highlight w:val="none"/>
          <w:lang w:val="en-US" w:eastAsia="zh-CN"/>
        </w:rPr>
        <w:t>三星</w:t>
      </w:r>
      <w:r>
        <w:rPr>
          <w:rFonts w:hint="eastAsia" w:ascii="仿宋" w:hAnsi="仿宋" w:eastAsia="仿宋" w:cs="宋体"/>
          <w:bCs/>
          <w:snapToGrid w:val="0"/>
          <w:color w:val="auto"/>
          <w:highlight w:val="none"/>
          <w:lang w:eastAsia="zh-CN"/>
        </w:rPr>
        <w:t>，同时满足住建“6+1”要求的绿色建筑等级、具体规划条件、政府部门文件、设计文件为准。</w:t>
      </w:r>
    </w:p>
    <w:p w14:paraId="38EB8D88">
      <w:pPr>
        <w:pStyle w:val="17"/>
        <w:spacing w:after="0"/>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（2）本项目内住宅项目均采用装配式建造，且至少满足广东省《装配式建筑评价标准》（DBJ/T15-163-2019）基本级或者广州市《装配式建筑评价标准》（DB4401/T 151—2022）基本级的要求。本条不代表排除有单体建筑采用模块化技术建造的情况。</w:t>
      </w:r>
    </w:p>
    <w:p w14:paraId="55309AE8">
      <w:pPr>
        <w:pStyle w:val="17"/>
        <w:spacing w:after="0"/>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（3）智能建造：参考</w:t>
      </w:r>
      <w:r>
        <w:rPr>
          <w:rFonts w:hint="eastAsia" w:ascii="仿宋" w:hAnsi="仿宋" w:eastAsia="仿宋" w:cs="宋体"/>
          <w:bCs/>
          <w:snapToGrid w:val="0"/>
          <w:color w:val="auto"/>
          <w:highlight w:val="none"/>
          <w:u w:val="single"/>
          <w:lang w:eastAsia="zh-CN"/>
        </w:rPr>
        <w:t>《广州市住房和城乡建设局关于开展广州市第一批智能建造试点项目申报工作的通知》（穗建筑【2022】278号）</w:t>
      </w:r>
      <w:r>
        <w:rPr>
          <w:rFonts w:hint="eastAsia" w:ascii="仿宋" w:hAnsi="仿宋" w:eastAsia="仿宋" w:cs="宋体"/>
          <w:bCs/>
          <w:snapToGrid w:val="0"/>
          <w:color w:val="auto"/>
          <w:highlight w:val="none"/>
          <w:lang w:eastAsia="zh-CN"/>
        </w:rPr>
        <w:t>的相关要求，从全阶段全专业标准化BIM正向设计、装配式构件数字化生产、智慧施工、智慧运维、项目全生命期数字化管理平台等方面开展工作，中标后无条件按照发包人的具体要求执行。</w:t>
      </w:r>
    </w:p>
    <w:p w14:paraId="4FE71DC5">
      <w:pPr>
        <w:pStyle w:val="17"/>
        <w:spacing w:after="0"/>
        <w:ind w:firstLine="424" w:firstLineChars="177"/>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（4）承包人未按照合同及发包人要求落实BIM技术应用的相关规定，出现落实不到位的情况，在收到书面通知后，未在发包人规定时间内整改完成并征得发包人批复同意的，</w:t>
      </w:r>
      <w:r>
        <w:rPr>
          <w:rFonts w:hint="eastAsia" w:ascii="仿宋" w:hAnsi="仿宋" w:eastAsia="仿宋" w:cs="宋体"/>
          <w:snapToGrid w:val="0"/>
          <w:color w:val="auto"/>
          <w:highlight w:val="none"/>
          <w:lang w:eastAsia="zh-CN"/>
        </w:rPr>
        <w:t>发包人有权要求</w:t>
      </w:r>
      <w:r>
        <w:rPr>
          <w:rFonts w:hint="eastAsia" w:ascii="仿宋" w:hAnsi="仿宋" w:eastAsia="仿宋" w:cs="宋体"/>
          <w:bCs/>
          <w:snapToGrid w:val="0"/>
          <w:color w:val="auto"/>
          <w:highlight w:val="none"/>
          <w:lang w:eastAsia="zh-CN"/>
        </w:rPr>
        <w:t>承包人承担一般违约责任处罚</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w:t>
      </w:r>
    </w:p>
    <w:p w14:paraId="26B1D6B5">
      <w:pPr>
        <w:pStyle w:val="17"/>
        <w:spacing w:after="0"/>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若未能实现上述第1～4条的，承包人须按每条以</w:t>
      </w:r>
      <w:r>
        <w:rPr>
          <w:rFonts w:hint="eastAsia" w:ascii="仿宋" w:hAnsi="仿宋" w:eastAsia="仿宋" w:cs="宋体"/>
          <w:bCs/>
          <w:snapToGrid w:val="0"/>
          <w:color w:val="auto"/>
          <w:highlight w:val="none"/>
          <w:u w:val="single"/>
          <w:lang w:eastAsia="zh-CN"/>
        </w:rPr>
        <w:t>20</w:t>
      </w:r>
      <w:r>
        <w:rPr>
          <w:rFonts w:hint="eastAsia" w:ascii="仿宋" w:hAnsi="仿宋" w:eastAsia="仿宋" w:cs="宋体"/>
          <w:bCs/>
          <w:snapToGrid w:val="0"/>
          <w:color w:val="auto"/>
          <w:highlight w:val="none"/>
          <w:lang w:eastAsia="zh-CN"/>
        </w:rPr>
        <w:t>万元接受违约处罚。</w:t>
      </w:r>
    </w:p>
    <w:p w14:paraId="7EA3B5BC">
      <w:pPr>
        <w:spacing w:line="360" w:lineRule="auto"/>
        <w:ind w:right="11" w:firstLine="424" w:firstLineChars="177"/>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95.1</w:t>
      </w:r>
      <w:r>
        <w:rPr>
          <w:rFonts w:hint="eastAsia" w:ascii="仿宋" w:hAnsi="仿宋" w:eastAsia="仿宋" w:cs="宋体"/>
          <w:bCs/>
          <w:snapToGrid w:val="0"/>
          <w:color w:val="auto"/>
          <w:highlight w:val="none"/>
          <w:lang w:eastAsia="zh-CN"/>
        </w:rPr>
        <w:t>2 承包人提供的设计概算/施工图预算经过发包人或造价咨询单位审核后确定误差超过±</w:t>
      </w:r>
      <w:r>
        <w:rPr>
          <w:rFonts w:ascii="仿宋" w:hAnsi="仿宋" w:eastAsia="仿宋" w:cs="宋体"/>
          <w:bCs/>
          <w:snapToGrid w:val="0"/>
          <w:color w:val="auto"/>
          <w:highlight w:val="none"/>
          <w:lang w:eastAsia="zh-CN"/>
        </w:rPr>
        <w:t>10%（不含±10%）的，</w:t>
      </w:r>
      <w:r>
        <w:rPr>
          <w:rFonts w:hint="eastAsia" w:ascii="仿宋" w:hAnsi="仿宋" w:eastAsia="仿宋" w:cs="宋体"/>
          <w:bCs/>
          <w:snapToGrid w:val="0"/>
          <w:color w:val="auto"/>
          <w:highlight w:val="none"/>
          <w:lang w:eastAsia="zh-CN"/>
        </w:rPr>
        <w:t>发包人有权要求</w:t>
      </w:r>
      <w:r>
        <w:rPr>
          <w:rFonts w:ascii="仿宋" w:hAnsi="仿宋" w:eastAsia="仿宋" w:cs="宋体"/>
          <w:bCs/>
          <w:snapToGrid w:val="0"/>
          <w:color w:val="auto"/>
          <w:highlight w:val="none"/>
          <w:lang w:eastAsia="zh-CN"/>
        </w:rPr>
        <w:t>承包人承担严重违约责任处罚1次。</w:t>
      </w:r>
    </w:p>
    <w:p w14:paraId="09C9D776">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95.13 除上述约定之外，承包人工程管理组织不力、未按发包人商定的要求投入资源或完成产值、材料设备管理不力、违反发包人颁布的相关制度，未严格落实发包人、监理单位的要求（口头、书面）或落实不力，发包人有权要求承包人承担一般违约责任</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次，给发包人造成损失的，承包人应赔偿发包人的全部损失。</w:t>
      </w:r>
    </w:p>
    <w:p w14:paraId="2834C735">
      <w:pPr>
        <w:spacing w:line="360" w:lineRule="auto"/>
        <w:ind w:firstLine="424" w:firstLineChars="177"/>
        <w:rPr>
          <w:rFonts w:ascii="仿宋" w:hAnsi="仿宋" w:eastAsia="仿宋" w:cs="仿宋"/>
          <w:color w:val="auto"/>
          <w:highlight w:val="none"/>
          <w:lang w:eastAsia="zh-CN"/>
        </w:rPr>
      </w:pPr>
      <w:r>
        <w:rPr>
          <w:rFonts w:hint="eastAsia" w:ascii="仿宋" w:hAnsi="仿宋" w:eastAsia="仿宋" w:cs="仿宋"/>
          <w:color w:val="auto"/>
          <w:highlight w:val="none"/>
          <w:lang w:eastAsia="zh-CN"/>
        </w:rPr>
        <w:t>95.14 承包人违约责任的认定方式、送达程序及违约金的处理</w:t>
      </w:r>
    </w:p>
    <w:p w14:paraId="350E9DC2">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1）认定方式：以发包人发出的通知、通报、会议纪要等书面文件确定的内容为准。</w:t>
      </w:r>
    </w:p>
    <w:p w14:paraId="04D8EEE3">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2）送达程序：发包人以下列方式之一将书面违约处理决定送达承包人：</w:t>
      </w:r>
    </w:p>
    <w:p w14:paraId="4614946D">
      <w:pPr>
        <w:spacing w:line="360" w:lineRule="auto"/>
        <w:ind w:firstLine="424" w:firstLineChars="177"/>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1）承包人现场管理机构工作人员签收。</w:t>
      </w:r>
    </w:p>
    <w:p w14:paraId="7C18BC52">
      <w:pPr>
        <w:spacing w:line="360" w:lineRule="auto"/>
        <w:ind w:firstLine="424" w:firstLineChars="177"/>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2）承包人其他工作人员签收。</w:t>
      </w:r>
    </w:p>
    <w:p w14:paraId="108DEE47">
      <w:pPr>
        <w:spacing w:line="360" w:lineRule="auto"/>
        <w:ind w:firstLine="424" w:firstLineChars="177"/>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3）发包人邮寄送达。</w:t>
      </w:r>
    </w:p>
    <w:p w14:paraId="44389BBD">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3）发包人以书面形式</w:t>
      </w:r>
      <w:r>
        <w:rPr>
          <w:rFonts w:hint="eastAsia" w:ascii="仿宋" w:hAnsi="仿宋" w:eastAsia="仿宋" w:cs="宋体"/>
          <w:snapToGrid w:val="0"/>
          <w:color w:val="auto"/>
          <w:highlight w:val="none"/>
          <w:lang w:eastAsia="zh-CN"/>
        </w:rPr>
        <w:t>作出的违约处理决定一经送达承包人立即生效。承包人如有足够证据证明不应由其承担违约责任的，属不需支付违约金的，应在收到违约处理决定之日起</w:t>
      </w:r>
      <w:r>
        <w:rPr>
          <w:rFonts w:ascii="仿宋" w:hAnsi="仿宋" w:eastAsia="仿宋" w:cs="宋体"/>
          <w:snapToGrid w:val="0"/>
          <w:color w:val="auto"/>
          <w:highlight w:val="none"/>
          <w:lang w:eastAsia="zh-CN"/>
        </w:rPr>
        <w:t>3天内以书面形式向发包人提出异议并附上有关证据</w:t>
      </w:r>
      <w:r>
        <w:rPr>
          <w:rFonts w:hint="eastAsia" w:ascii="仿宋" w:hAnsi="仿宋" w:eastAsia="仿宋" w:cs="宋体"/>
          <w:snapToGrid w:val="0"/>
          <w:color w:val="auto"/>
          <w:highlight w:val="none"/>
          <w:lang w:eastAsia="zh-CN"/>
        </w:rPr>
        <w:t>，否则视为无异议</w:t>
      </w:r>
      <w:r>
        <w:rPr>
          <w:rFonts w:ascii="仿宋" w:hAnsi="仿宋" w:eastAsia="仿宋" w:cs="宋体"/>
          <w:snapToGrid w:val="0"/>
          <w:color w:val="auto"/>
          <w:highlight w:val="none"/>
          <w:lang w:eastAsia="zh-CN"/>
        </w:rPr>
        <w:t>；属需要支付违约金的，应在工程结算报告送达监理单位前以书面形式向发包人提出异议并附上有关证据。发包人在收到承包人的异议后15个工作日内审核完毕且</w:t>
      </w:r>
      <w:r>
        <w:rPr>
          <w:rFonts w:hint="eastAsia" w:ascii="仿宋" w:hAnsi="仿宋" w:eastAsia="仿宋" w:cs="宋体"/>
          <w:snapToGrid w:val="0"/>
          <w:color w:val="auto"/>
          <w:highlight w:val="none"/>
          <w:lang w:eastAsia="zh-CN"/>
        </w:rPr>
        <w:t>作出书面决定并通知承包人。在异议审核期间，承包人须正常开展工作，不得以审核未确定为由拖延或者中止工程设计或施工。</w:t>
      </w:r>
    </w:p>
    <w:p w14:paraId="3D451972">
      <w:pPr>
        <w:spacing w:line="360" w:lineRule="auto"/>
        <w:ind w:firstLine="424" w:firstLineChars="177"/>
        <w:rPr>
          <w:color w:val="auto"/>
          <w:highlight w:val="none"/>
          <w:lang w:eastAsia="zh-CN"/>
        </w:rPr>
      </w:pPr>
      <w:r>
        <w:rPr>
          <w:rFonts w:hint="eastAsia" w:ascii="仿宋" w:hAnsi="仿宋" w:eastAsia="仿宋" w:cs="宋体"/>
          <w:snapToGrid w:val="0"/>
          <w:color w:val="auto"/>
          <w:highlight w:val="none"/>
          <w:lang w:eastAsia="zh-CN"/>
        </w:rPr>
        <w:t>（4）</w:t>
      </w:r>
      <w:r>
        <w:rPr>
          <w:rFonts w:hint="eastAsia" w:ascii="仿宋" w:hAnsi="仿宋" w:eastAsia="仿宋"/>
          <w:color w:val="auto"/>
          <w:highlight w:val="none"/>
          <w:lang w:eastAsia="zh-CN"/>
        </w:rPr>
        <w:t>承包人在本合同（包括合同文件）及合同附件项下所承担违约责任（包括但不限于违约金、赔偿金、扣（罚）款、处罚、赔偿损失等），累计总额以承包人按本合同约定可收取的合同价款为限。</w:t>
      </w:r>
    </w:p>
    <w:p w14:paraId="72A3955F">
      <w:pPr>
        <w:pStyle w:val="3"/>
        <w:tabs>
          <w:tab w:val="left" w:pos="360"/>
          <w:tab w:val="left" w:pos="420"/>
        </w:tabs>
        <w:spacing w:line="360" w:lineRule="auto"/>
        <w:rPr>
          <w:rFonts w:hint="eastAsia" w:ascii="仿宋" w:hAnsi="仿宋" w:eastAsia="仿宋" w:cs="仿宋"/>
          <w:b w:val="0"/>
          <w:bCs w:val="0"/>
          <w:i w:val="0"/>
          <w:iCs w:val="0"/>
          <w:color w:val="auto"/>
          <w:sz w:val="24"/>
          <w:szCs w:val="24"/>
          <w:highlight w:val="none"/>
          <w:lang w:eastAsia="zh-CN"/>
        </w:rPr>
      </w:pPr>
      <w:bookmarkStart w:id="1995" w:name="_Toc47694452"/>
      <w:bookmarkStart w:id="1996" w:name="_Toc31031"/>
      <w:bookmarkStart w:id="1997" w:name="_Toc4800"/>
      <w:bookmarkStart w:id="1998" w:name="_Toc18630"/>
      <w:bookmarkStart w:id="1999" w:name="_Toc921"/>
      <w:bookmarkStart w:id="2000" w:name="_Toc30532"/>
      <w:bookmarkStart w:id="2001" w:name="_Toc4381"/>
      <w:bookmarkStart w:id="2002" w:name="_Toc255"/>
      <w:r>
        <w:rPr>
          <w:rFonts w:hint="eastAsia" w:ascii="仿宋" w:hAnsi="仿宋" w:eastAsia="仿宋" w:cs="仿宋"/>
          <w:bCs w:val="0"/>
          <w:i w:val="0"/>
          <w:iCs w:val="0"/>
          <w:color w:val="auto"/>
          <w:sz w:val="24"/>
          <w:szCs w:val="24"/>
          <w:highlight w:val="none"/>
          <w:lang w:eastAsia="zh-CN"/>
        </w:rPr>
        <w:t>★</w:t>
      </w:r>
      <w:r>
        <w:rPr>
          <w:rFonts w:hint="eastAsia" w:ascii="仿宋" w:hAnsi="仿宋" w:eastAsia="仿宋" w:cs="仿宋"/>
          <w:b w:val="0"/>
          <w:i w:val="0"/>
          <w:iCs w:val="0"/>
          <w:color w:val="auto"/>
          <w:sz w:val="24"/>
          <w:szCs w:val="24"/>
          <w:highlight w:val="none"/>
          <w:lang w:eastAsia="zh-CN"/>
        </w:rPr>
        <w:t>96</w:t>
      </w:r>
      <w:r>
        <w:rPr>
          <w:rFonts w:ascii="仿宋" w:hAnsi="仿宋" w:eastAsia="仿宋" w:cs="仿宋"/>
          <w:bCs w:val="0"/>
          <w:i w:val="0"/>
          <w:iCs w:val="0"/>
          <w:color w:val="auto"/>
          <w:sz w:val="24"/>
          <w:szCs w:val="24"/>
          <w:highlight w:val="none"/>
          <w:lang w:eastAsia="zh-CN"/>
        </w:rPr>
        <w:t xml:space="preserve">  </w:t>
      </w:r>
      <w:r>
        <w:rPr>
          <w:rFonts w:hint="eastAsia" w:ascii="仿宋" w:hAnsi="仿宋" w:eastAsia="仿宋" w:cs="仿宋"/>
          <w:b w:val="0"/>
          <w:bCs w:val="0"/>
          <w:i w:val="0"/>
          <w:iCs w:val="0"/>
          <w:color w:val="auto"/>
          <w:sz w:val="24"/>
          <w:szCs w:val="24"/>
          <w:highlight w:val="none"/>
          <w:lang w:eastAsia="zh-CN"/>
        </w:rPr>
        <w:t>发包人违约</w:t>
      </w:r>
      <w:bookmarkEnd w:id="1995"/>
      <w:bookmarkEnd w:id="1996"/>
      <w:bookmarkEnd w:id="1997"/>
      <w:bookmarkEnd w:id="1998"/>
      <w:bookmarkEnd w:id="1999"/>
      <w:bookmarkEnd w:id="2000"/>
      <w:bookmarkEnd w:id="2001"/>
      <w:bookmarkEnd w:id="2002"/>
    </w:p>
    <w:p w14:paraId="623337A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96.1 发包人违约的情形</w:t>
      </w:r>
    </w:p>
    <w:p w14:paraId="25175B2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发包人违约的其他情形：</w:t>
      </w:r>
      <w:r>
        <w:rPr>
          <w:rFonts w:hint="eastAsia" w:ascii="仿宋" w:hAnsi="仿宋" w:eastAsia="仿宋" w:cs="仿宋"/>
          <w:color w:val="auto"/>
          <w:highlight w:val="none"/>
          <w:u w:val="single"/>
          <w:lang w:eastAsia="zh-CN"/>
        </w:rPr>
        <w:t xml:space="preserve">        /                                        </w:t>
      </w:r>
    </w:p>
    <w:p w14:paraId="6BDFCC9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96.3 发包人违约的责任</w:t>
      </w:r>
    </w:p>
    <w:p w14:paraId="3846801F">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发包人违约责任的承担方式和计算方法：</w:t>
      </w:r>
      <w:r>
        <w:rPr>
          <w:rFonts w:hint="eastAsia" w:ascii="仿宋" w:hAnsi="仿宋" w:eastAsia="仿宋" w:cs="仿宋"/>
          <w:color w:val="auto"/>
          <w:highlight w:val="none"/>
          <w:u w:val="single"/>
          <w:lang w:eastAsia="zh-CN"/>
        </w:rPr>
        <w:t xml:space="preserve">       /                          </w:t>
      </w:r>
    </w:p>
    <w:p w14:paraId="5D9FCE0D">
      <w:pPr>
        <w:pStyle w:val="3"/>
        <w:tabs>
          <w:tab w:val="left" w:pos="360"/>
          <w:tab w:val="left" w:pos="420"/>
        </w:tabs>
        <w:spacing w:line="360" w:lineRule="auto"/>
        <w:rPr>
          <w:rFonts w:hint="eastAsia" w:ascii="仿宋" w:hAnsi="仿宋" w:eastAsia="仿宋" w:cs="仿宋"/>
          <w:b w:val="0"/>
          <w:bCs w:val="0"/>
          <w:i w:val="0"/>
          <w:iCs w:val="0"/>
          <w:color w:val="auto"/>
          <w:sz w:val="24"/>
          <w:szCs w:val="24"/>
          <w:highlight w:val="none"/>
          <w:lang w:eastAsia="zh-CN"/>
        </w:rPr>
      </w:pPr>
      <w:bookmarkStart w:id="2003" w:name="_Toc24523"/>
      <w:bookmarkStart w:id="2004" w:name="_Toc6378"/>
      <w:bookmarkStart w:id="2005" w:name="_Toc31297"/>
      <w:bookmarkStart w:id="2006" w:name="_Toc47694453"/>
      <w:bookmarkStart w:id="2007" w:name="_Toc30990"/>
      <w:bookmarkStart w:id="2008" w:name="_Toc32163"/>
      <w:bookmarkStart w:id="2009" w:name="_Toc24678"/>
      <w:bookmarkStart w:id="2010" w:name="_Toc27181"/>
      <w:r>
        <w:rPr>
          <w:rFonts w:hint="eastAsia" w:ascii="仿宋" w:hAnsi="仿宋" w:eastAsia="仿宋" w:cs="仿宋"/>
          <w:b w:val="0"/>
          <w:bCs w:val="0"/>
          <w:i w:val="0"/>
          <w:iCs w:val="0"/>
          <w:color w:val="auto"/>
          <w:sz w:val="24"/>
          <w:szCs w:val="24"/>
          <w:highlight w:val="none"/>
          <w:lang w:eastAsia="zh-CN"/>
        </w:rPr>
        <w:t>99.  保密要求</w:t>
      </w:r>
      <w:bookmarkEnd w:id="2003"/>
      <w:bookmarkEnd w:id="2004"/>
      <w:bookmarkEnd w:id="2005"/>
      <w:bookmarkEnd w:id="2006"/>
      <w:bookmarkEnd w:id="2007"/>
      <w:bookmarkEnd w:id="2008"/>
      <w:bookmarkEnd w:id="2009"/>
      <w:bookmarkEnd w:id="2010"/>
    </w:p>
    <w:p w14:paraId="74AD902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99.1 提供保密信息和履行保密义务</w:t>
      </w:r>
    </w:p>
    <w:p w14:paraId="390018FA">
      <w:pPr>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提供保密信息的期限：</w:t>
      </w:r>
      <w:r>
        <w:rPr>
          <w:rFonts w:hint="eastAsia" w:ascii="仿宋" w:hAnsi="仿宋" w:eastAsia="仿宋" w:cs="仿宋"/>
          <w:color w:val="auto"/>
          <w:highlight w:val="none"/>
          <w:u w:val="single"/>
          <w:lang w:eastAsia="zh-CN"/>
        </w:rPr>
        <w:t>从获知发包人保密信息时起，至保密信息已由发包人通过合法途径让普通公众知悉时止。</w:t>
      </w:r>
    </w:p>
    <w:p w14:paraId="238AE589">
      <w:pPr>
        <w:pStyle w:val="3"/>
        <w:tabs>
          <w:tab w:val="left" w:pos="360"/>
          <w:tab w:val="left" w:pos="420"/>
        </w:tabs>
        <w:spacing w:line="360" w:lineRule="auto"/>
        <w:rPr>
          <w:rFonts w:hint="eastAsia" w:ascii="仿宋" w:hAnsi="仿宋" w:eastAsia="仿宋"/>
          <w:b w:val="0"/>
          <w:bCs w:val="0"/>
          <w:i w:val="0"/>
          <w:iCs w:val="0"/>
          <w:color w:val="auto"/>
          <w:sz w:val="24"/>
          <w:szCs w:val="24"/>
          <w:highlight w:val="none"/>
          <w:lang w:eastAsia="zh-CN"/>
        </w:rPr>
      </w:pPr>
      <w:bookmarkStart w:id="2011" w:name="_Toc15011"/>
      <w:bookmarkStart w:id="2012" w:name="_Toc1182"/>
      <w:bookmarkStart w:id="2013" w:name="_Toc47694454"/>
      <w:bookmarkStart w:id="2014" w:name="_Toc30364"/>
      <w:bookmarkStart w:id="2015" w:name="_Toc8691"/>
      <w:bookmarkStart w:id="2016" w:name="_Toc31638"/>
      <w:bookmarkStart w:id="2017" w:name="_Toc13215"/>
      <w:bookmarkStart w:id="2018" w:name="_Toc425"/>
      <w:r>
        <w:rPr>
          <w:rFonts w:hint="eastAsia" w:ascii="仿宋" w:hAnsi="仿宋" w:eastAsia="仿宋" w:cs="仿宋"/>
          <w:b w:val="0"/>
          <w:bCs w:val="0"/>
          <w:i w:val="0"/>
          <w:iCs w:val="0"/>
          <w:color w:val="auto"/>
          <w:sz w:val="24"/>
          <w:szCs w:val="24"/>
          <w:highlight w:val="none"/>
          <w:lang w:eastAsia="zh-CN"/>
        </w:rPr>
        <w:t>102.  合同份数</w:t>
      </w:r>
      <w:bookmarkEnd w:id="2011"/>
      <w:bookmarkEnd w:id="2012"/>
      <w:bookmarkEnd w:id="2013"/>
      <w:bookmarkEnd w:id="2014"/>
      <w:bookmarkEnd w:id="2015"/>
      <w:bookmarkEnd w:id="2016"/>
      <w:bookmarkEnd w:id="2017"/>
      <w:bookmarkEnd w:id="2018"/>
    </w:p>
    <w:p w14:paraId="1AC6A271">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102.1 约定提供合同文件</w:t>
      </w:r>
    </w:p>
    <w:p w14:paraId="10619D02">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提供合同文本：一式</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w:t>
      </w:r>
    </w:p>
    <w:p w14:paraId="463EEF63">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按通用条款的约定，由发包人向承包人提供。</w:t>
      </w:r>
    </w:p>
    <w:p w14:paraId="17DBFE09">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另有约定：</w:t>
      </w:r>
      <w:r>
        <w:rPr>
          <w:rFonts w:hint="eastAsia" w:ascii="仿宋" w:hAnsi="仿宋" w:eastAsia="仿宋" w:cs="仿宋"/>
          <w:color w:val="auto"/>
          <w:highlight w:val="none"/>
          <w:u w:val="single"/>
          <w:lang w:eastAsia="zh-CN"/>
        </w:rPr>
        <w:t xml:space="preserve">        /                              </w:t>
      </w:r>
    </w:p>
    <w:p w14:paraId="2267B444">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2019" w:name="_Toc7412"/>
      <w:r>
        <w:rPr>
          <w:rFonts w:hint="eastAsia" w:ascii="仿宋" w:hAnsi="仿宋" w:eastAsia="仿宋" w:cs="仿宋"/>
          <w:color w:val="auto"/>
          <w:highlight w:val="none"/>
          <w:lang w:eastAsia="zh-CN"/>
        </w:rPr>
        <w:t>102.2 正副本效力</w:t>
      </w:r>
      <w:bookmarkEnd w:id="2019"/>
    </w:p>
    <w:p w14:paraId="05D10592">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合同的份数：一式</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份，发包人   份，承包人各执</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份</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具有同等法律效力。</w:t>
      </w:r>
    </w:p>
    <w:p w14:paraId="45178796">
      <w:pPr>
        <w:ind w:firstLine="1077" w:firstLineChars="449"/>
        <w:rPr>
          <w:color w:val="auto"/>
          <w:highlight w:val="none"/>
          <w:lang w:eastAsia="zh-CN"/>
        </w:rPr>
      </w:pPr>
    </w:p>
    <w:p w14:paraId="31ADE81F">
      <w:pPr>
        <w:rPr>
          <w:color w:val="auto"/>
          <w:highlight w:val="none"/>
          <w:lang w:eastAsia="zh-CN"/>
        </w:rPr>
      </w:pPr>
    </w:p>
    <w:p w14:paraId="379861EC">
      <w:pPr>
        <w:ind w:firstLine="3296"/>
        <w:rPr>
          <w:rFonts w:hint="eastAsia"/>
          <w:color w:val="auto"/>
          <w:highlight w:val="none"/>
          <w:lang w:eastAsia="zh-CN"/>
        </w:rPr>
      </w:pPr>
    </w:p>
    <w:p w14:paraId="56CB0E94">
      <w:pPr>
        <w:rPr>
          <w:color w:val="auto"/>
          <w:highlight w:val="none"/>
          <w:lang w:eastAsia="zh-CN"/>
        </w:rPr>
      </w:pPr>
    </w:p>
    <w:p w14:paraId="37AA14C7">
      <w:pPr>
        <w:rPr>
          <w:color w:val="auto"/>
          <w:highlight w:val="none"/>
          <w:lang w:eastAsia="zh-CN"/>
        </w:rPr>
        <w:sectPr>
          <w:endnotePr>
            <w:numFmt w:val="decimal"/>
          </w:endnotePr>
          <w:pgSz w:w="11906" w:h="16838"/>
          <w:pgMar w:top="1417" w:right="1417" w:bottom="1417" w:left="1417" w:header="0" w:footer="850" w:gutter="0"/>
          <w:cols w:space="720" w:num="1"/>
        </w:sectPr>
      </w:pPr>
    </w:p>
    <w:p w14:paraId="31B56A7E">
      <w:pPr>
        <w:pStyle w:val="2"/>
        <w:numPr>
          <w:ilvl w:val="0"/>
          <w:numId w:val="28"/>
        </w:numPr>
        <w:tabs>
          <w:tab w:val="left" w:pos="420"/>
        </w:tabs>
        <w:jc w:val="center"/>
        <w:rPr>
          <w:rFonts w:hint="eastAsia" w:hAnsi="宋体"/>
          <w:color w:val="auto"/>
          <w:sz w:val="36"/>
          <w:szCs w:val="36"/>
          <w:highlight w:val="none"/>
          <w:lang w:eastAsia="zh-CN"/>
        </w:rPr>
      </w:pPr>
      <w:bookmarkStart w:id="2020" w:name="_Toc47694455"/>
      <w:bookmarkStart w:id="2021" w:name="_Toc27400"/>
      <w:bookmarkStart w:id="2022" w:name="_Toc26175"/>
      <w:r>
        <w:rPr>
          <w:rFonts w:hint="eastAsia" w:hAnsi="宋体"/>
          <w:color w:val="auto"/>
          <w:sz w:val="36"/>
          <w:szCs w:val="36"/>
          <w:highlight w:val="none"/>
          <w:lang w:eastAsia="zh-CN"/>
        </w:rPr>
        <w:t xml:space="preserve"> </w:t>
      </w:r>
      <w:bookmarkStart w:id="2023" w:name="_Toc9869"/>
      <w:bookmarkStart w:id="2024" w:name="_Toc6443"/>
      <w:bookmarkStart w:id="2025" w:name="_Toc23096"/>
      <w:bookmarkStart w:id="2026" w:name="_Toc14327"/>
      <w:bookmarkStart w:id="2027" w:name="_Toc19119"/>
      <w:r>
        <w:rPr>
          <w:rFonts w:hint="eastAsia" w:hAnsi="宋体"/>
          <w:color w:val="auto"/>
          <w:sz w:val="36"/>
          <w:szCs w:val="36"/>
          <w:highlight w:val="none"/>
          <w:lang w:eastAsia="zh-CN"/>
        </w:rPr>
        <w:t>附件与格式</w:t>
      </w:r>
      <w:bookmarkEnd w:id="2020"/>
      <w:bookmarkEnd w:id="2021"/>
      <w:bookmarkEnd w:id="2022"/>
      <w:bookmarkEnd w:id="2023"/>
      <w:bookmarkEnd w:id="2024"/>
      <w:bookmarkEnd w:id="2025"/>
      <w:bookmarkEnd w:id="2026"/>
      <w:bookmarkEnd w:id="2027"/>
    </w:p>
    <w:p w14:paraId="113781D9">
      <w:pPr>
        <w:rPr>
          <w:rFonts w:hint="eastAsia" w:hAnsi="宋体"/>
          <w:b/>
          <w:bCs/>
          <w:color w:val="auto"/>
          <w:sz w:val="36"/>
          <w:szCs w:val="36"/>
          <w:highlight w:val="none"/>
          <w:lang w:eastAsia="zh-CN"/>
        </w:rPr>
      </w:pPr>
    </w:p>
    <w:p w14:paraId="591F8223">
      <w:pPr>
        <w:rPr>
          <w:rFonts w:hint="eastAsia" w:hAnsi="宋体"/>
          <w:b/>
          <w:bCs/>
          <w:color w:val="auto"/>
          <w:sz w:val="36"/>
          <w:szCs w:val="36"/>
          <w:highlight w:val="none"/>
          <w:lang w:eastAsia="zh-CN"/>
        </w:rPr>
      </w:pPr>
    </w:p>
    <w:p w14:paraId="0375DC4B">
      <w:pPr>
        <w:pStyle w:val="17"/>
        <w:rPr>
          <w:rFonts w:ascii="仿宋" w:hAnsi="仿宋" w:eastAsia="仿宋"/>
          <w:b/>
          <w:bCs/>
          <w:color w:val="auto"/>
          <w:highlight w:val="none"/>
          <w:lang w:eastAsia="zh-CN"/>
        </w:rPr>
      </w:pPr>
      <w:r>
        <w:rPr>
          <w:rFonts w:hint="eastAsia" w:ascii="仿宋" w:hAnsi="仿宋" w:eastAsia="仿宋"/>
          <w:b/>
          <w:bCs/>
          <w:color w:val="auto"/>
          <w:highlight w:val="none"/>
          <w:lang w:eastAsia="zh-CN"/>
        </w:rPr>
        <w:t>附件一：</w:t>
      </w:r>
      <w:r>
        <w:rPr>
          <w:rFonts w:ascii="仿宋" w:hAnsi="仿宋" w:eastAsia="仿宋"/>
          <w:b/>
          <w:bCs/>
          <w:color w:val="auto"/>
          <w:highlight w:val="none"/>
          <w:lang w:eastAsia="zh-CN"/>
        </w:rPr>
        <w:t>联合体承包协议书</w:t>
      </w:r>
    </w:p>
    <w:p w14:paraId="3BD37604">
      <w:pPr>
        <w:pStyle w:val="17"/>
        <w:rPr>
          <w:rFonts w:ascii="仿宋" w:hAnsi="仿宋" w:eastAsia="仿宋"/>
          <w:b/>
          <w:bCs/>
          <w:color w:val="auto"/>
          <w:highlight w:val="none"/>
          <w:lang w:eastAsia="zh-CN"/>
        </w:rPr>
      </w:pPr>
      <w:r>
        <w:rPr>
          <w:rFonts w:hint="eastAsia" w:ascii="仿宋" w:hAnsi="仿宋" w:eastAsia="仿宋"/>
          <w:b/>
          <w:bCs/>
          <w:color w:val="auto"/>
          <w:highlight w:val="none"/>
          <w:lang w:eastAsia="zh-CN"/>
        </w:rPr>
        <w:t>附件二：</w:t>
      </w:r>
      <w:r>
        <w:rPr>
          <w:rFonts w:ascii="仿宋" w:hAnsi="仿宋" w:eastAsia="仿宋"/>
          <w:b/>
          <w:bCs/>
          <w:color w:val="auto"/>
          <w:highlight w:val="none"/>
          <w:lang w:eastAsia="zh-CN"/>
        </w:rPr>
        <w:t>工程质量保修书</w:t>
      </w:r>
    </w:p>
    <w:p w14:paraId="541E56DC">
      <w:pPr>
        <w:pStyle w:val="17"/>
        <w:rPr>
          <w:rFonts w:ascii="仿宋" w:hAnsi="仿宋" w:eastAsia="仿宋"/>
          <w:b/>
          <w:bCs/>
          <w:color w:val="auto"/>
          <w:highlight w:val="none"/>
          <w:lang w:eastAsia="zh-CN"/>
        </w:rPr>
      </w:pPr>
      <w:r>
        <w:rPr>
          <w:rFonts w:hint="eastAsia" w:ascii="仿宋" w:hAnsi="仿宋" w:eastAsia="仿宋"/>
          <w:b/>
          <w:bCs/>
          <w:color w:val="auto"/>
          <w:highlight w:val="none"/>
          <w:lang w:eastAsia="zh-CN"/>
        </w:rPr>
        <w:t>附件三：廉 政 合 同</w:t>
      </w:r>
    </w:p>
    <w:p w14:paraId="10D934B7">
      <w:pPr>
        <w:pStyle w:val="17"/>
        <w:rPr>
          <w:rFonts w:ascii="仿宋" w:hAnsi="仿宋" w:eastAsia="仿宋"/>
          <w:b/>
          <w:bCs/>
          <w:color w:val="auto"/>
          <w:highlight w:val="none"/>
          <w:lang w:eastAsia="zh-CN"/>
        </w:rPr>
      </w:pPr>
      <w:r>
        <w:rPr>
          <w:rFonts w:hint="eastAsia" w:ascii="仿宋" w:hAnsi="仿宋" w:eastAsia="仿宋"/>
          <w:b/>
          <w:bCs/>
          <w:color w:val="auto"/>
          <w:highlight w:val="none"/>
          <w:lang w:eastAsia="zh-CN"/>
        </w:rPr>
        <w:t>附件四：民工权益保障承诺书</w:t>
      </w:r>
    </w:p>
    <w:p w14:paraId="2EF8A475">
      <w:pPr>
        <w:pStyle w:val="37"/>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附件五：履约保函</w:t>
      </w:r>
    </w:p>
    <w:p w14:paraId="6D75C544">
      <w:pPr>
        <w:pStyle w:val="37"/>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附件六：</w:t>
      </w:r>
      <w:r>
        <w:rPr>
          <w:rFonts w:hint="eastAsia" w:ascii="仿宋" w:hAnsi="仿宋" w:eastAsia="仿宋" w:cs="仿宋"/>
          <w:color w:val="auto"/>
          <w:highlight w:val="none"/>
          <w:lang w:eastAsia="zh-CN"/>
        </w:rPr>
        <w:t>勘察设计任务书</w:t>
      </w:r>
      <w:r>
        <w:rPr>
          <w:rFonts w:hint="eastAsia" w:ascii="仿宋" w:hAnsi="仿宋" w:eastAsia="仿宋"/>
          <w:color w:val="auto"/>
          <w:highlight w:val="none"/>
          <w:lang w:eastAsia="zh-CN"/>
        </w:rPr>
        <w:t>（另册）</w:t>
      </w:r>
    </w:p>
    <w:p w14:paraId="47060C11">
      <w:pPr>
        <w:pStyle w:val="17"/>
        <w:rPr>
          <w:rFonts w:ascii="仿宋" w:hAnsi="仿宋" w:eastAsia="仿宋"/>
          <w:b/>
          <w:bCs/>
          <w:color w:val="auto"/>
          <w:highlight w:val="none"/>
          <w:lang w:eastAsia="zh-CN"/>
        </w:rPr>
      </w:pPr>
      <w:r>
        <w:rPr>
          <w:rFonts w:hint="eastAsia" w:ascii="仿宋" w:hAnsi="仿宋" w:eastAsia="仿宋"/>
          <w:b/>
          <w:bCs/>
          <w:color w:val="auto"/>
          <w:highlight w:val="none"/>
          <w:lang w:eastAsia="zh-CN"/>
        </w:rPr>
        <w:t>附件七：主要材料（设备）推荐品牌库</w:t>
      </w:r>
    </w:p>
    <w:p w14:paraId="77B6C586">
      <w:pPr>
        <w:pStyle w:val="17"/>
        <w:rPr>
          <w:rFonts w:hint="eastAsia" w:ascii="仿宋" w:hAnsi="仿宋" w:eastAsia="仿宋"/>
          <w:b/>
          <w:bCs/>
          <w:color w:val="auto"/>
          <w:highlight w:val="none"/>
          <w:lang w:eastAsia="zh-CN"/>
        </w:rPr>
      </w:pPr>
      <w:r>
        <w:rPr>
          <w:rFonts w:hint="eastAsia" w:ascii="仿宋" w:hAnsi="仿宋" w:eastAsia="仿宋"/>
          <w:b/>
          <w:bCs/>
          <w:color w:val="auto"/>
          <w:highlight w:val="none"/>
          <w:lang w:eastAsia="zh-CN"/>
        </w:rPr>
        <w:t>附件八：工人工资支付分账管理协议书</w:t>
      </w:r>
    </w:p>
    <w:p w14:paraId="7A190F22">
      <w:pPr>
        <w:pStyle w:val="17"/>
        <w:rPr>
          <w:rFonts w:ascii="仿宋" w:hAnsi="仿宋" w:eastAsia="仿宋"/>
          <w:b/>
          <w:bCs/>
          <w:color w:val="auto"/>
          <w:highlight w:val="none"/>
          <w:lang w:eastAsia="zh-CN"/>
        </w:rPr>
      </w:pPr>
      <w:r>
        <w:rPr>
          <w:rFonts w:hint="eastAsia" w:ascii="仿宋" w:hAnsi="仿宋" w:eastAsia="仿宋"/>
          <w:b/>
          <w:bCs/>
          <w:color w:val="auto"/>
          <w:highlight w:val="none"/>
          <w:lang w:eastAsia="zh-CN"/>
        </w:rPr>
        <w:t>附件九：安全管理协议书</w:t>
      </w:r>
    </w:p>
    <w:p w14:paraId="6BEBC1D3">
      <w:pPr>
        <w:pStyle w:val="37"/>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附件十：</w:t>
      </w:r>
      <w:r>
        <w:rPr>
          <w:rFonts w:hint="eastAsia" w:ascii="仿宋" w:hAnsi="仿宋" w:eastAsia="仿宋"/>
          <w:color w:val="auto"/>
          <w:szCs w:val="28"/>
          <w:highlight w:val="none"/>
          <w:lang w:eastAsia="zh-CN"/>
        </w:rPr>
        <w:t>中标通知书</w:t>
      </w:r>
    </w:p>
    <w:p w14:paraId="2E125C27">
      <w:pPr>
        <w:pStyle w:val="37"/>
        <w:spacing w:line="360" w:lineRule="auto"/>
        <w:rPr>
          <w:rFonts w:ascii="仿宋" w:hAnsi="仿宋" w:eastAsia="仿宋"/>
          <w:color w:val="auto"/>
          <w:highlight w:val="none"/>
          <w:lang w:eastAsia="zh-CN"/>
        </w:rPr>
      </w:pPr>
      <w:r>
        <w:rPr>
          <w:rFonts w:ascii="仿宋" w:hAnsi="仿宋" w:eastAsia="仿宋"/>
          <w:color w:val="auto"/>
          <w:highlight w:val="none"/>
          <w:lang w:eastAsia="zh-CN"/>
        </w:rPr>
        <w:t>附件十</w:t>
      </w:r>
      <w:r>
        <w:rPr>
          <w:rFonts w:hint="eastAsia" w:ascii="仿宋" w:hAnsi="仿宋" w:eastAsia="仿宋"/>
          <w:color w:val="auto"/>
          <w:highlight w:val="none"/>
          <w:lang w:eastAsia="zh-CN"/>
        </w:rPr>
        <w:t>一</w:t>
      </w:r>
      <w:r>
        <w:rPr>
          <w:rFonts w:ascii="仿宋" w:hAnsi="仿宋" w:eastAsia="仿宋"/>
          <w:color w:val="auto"/>
          <w:highlight w:val="none"/>
          <w:lang w:eastAsia="zh-CN"/>
        </w:rPr>
        <w:t>：</w:t>
      </w:r>
      <w:r>
        <w:rPr>
          <w:rFonts w:hint="eastAsia" w:ascii="仿宋" w:hAnsi="仿宋" w:eastAsia="仿宋"/>
          <w:color w:val="auto"/>
          <w:szCs w:val="28"/>
          <w:highlight w:val="none"/>
          <w:lang w:eastAsia="zh-CN"/>
        </w:rPr>
        <w:t>建设工程项目安全文明施工标准化图册（另册）</w:t>
      </w:r>
    </w:p>
    <w:p w14:paraId="69696F7B">
      <w:pPr>
        <w:pStyle w:val="37"/>
        <w:spacing w:line="360" w:lineRule="auto"/>
        <w:rPr>
          <w:rFonts w:hint="eastAsia" w:ascii="仿宋" w:hAnsi="仿宋" w:eastAsia="仿宋"/>
          <w:color w:val="auto"/>
          <w:highlight w:val="none"/>
          <w:lang w:eastAsia="zh-CN"/>
        </w:rPr>
      </w:pPr>
      <w:r>
        <w:rPr>
          <w:rFonts w:hint="eastAsia" w:ascii="仿宋" w:hAnsi="仿宋" w:eastAsia="仿宋"/>
          <w:color w:val="auto"/>
          <w:highlight w:val="none"/>
          <w:lang w:eastAsia="zh-CN"/>
        </w:rPr>
        <w:t>附件十二：安全文明措施费使用管理办法</w:t>
      </w:r>
    </w:p>
    <w:p w14:paraId="5A5DD318">
      <w:pPr>
        <w:spacing w:line="360" w:lineRule="auto"/>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附件十三：保密协议</w:t>
      </w:r>
    </w:p>
    <w:p w14:paraId="1F4835AB">
      <w:pPr>
        <w:pStyle w:val="37"/>
        <w:spacing w:line="360" w:lineRule="auto"/>
        <w:rPr>
          <w:color w:val="auto"/>
          <w:highlight w:val="none"/>
          <w:lang w:eastAsia="zh-CN"/>
        </w:rPr>
      </w:pPr>
      <w:r>
        <w:rPr>
          <w:rFonts w:hint="eastAsia" w:ascii="仿宋" w:hAnsi="仿宋" w:eastAsia="仿宋" w:cs="仿宋"/>
          <w:color w:val="auto"/>
          <w:highlight w:val="none"/>
          <w:lang w:eastAsia="zh-CN"/>
        </w:rPr>
        <w:t>附件十四：</w:t>
      </w:r>
      <w:r>
        <w:rPr>
          <w:rFonts w:hint="eastAsia" w:ascii="仿宋" w:hAnsi="仿宋" w:eastAsia="仿宋"/>
          <w:color w:val="auto"/>
          <w:highlight w:val="none"/>
          <w:lang w:eastAsia="zh-CN"/>
        </w:rPr>
        <w:t>本项目现场施工人员配置表</w:t>
      </w:r>
    </w:p>
    <w:p w14:paraId="3036C595">
      <w:pPr>
        <w:pStyle w:val="37"/>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附件十五：</w:t>
      </w:r>
      <w:r>
        <w:rPr>
          <w:rFonts w:hint="eastAsia" w:ascii="仿宋" w:hAnsi="仿宋" w:eastAsia="仿宋"/>
          <w:color w:val="auto"/>
          <w:highlight w:val="none"/>
          <w:lang w:eastAsia="zh-CN"/>
        </w:rPr>
        <w:t>施工总计划</w:t>
      </w:r>
    </w:p>
    <w:p w14:paraId="17A2E36A">
      <w:pPr>
        <w:pStyle w:val="17"/>
        <w:rPr>
          <w:rFonts w:hint="eastAsia" w:ascii="仿宋" w:hAnsi="仿宋" w:eastAsia="仿宋"/>
          <w:b/>
          <w:bCs/>
          <w:color w:val="auto"/>
          <w:highlight w:val="none"/>
          <w:lang w:val="en-US" w:eastAsia="zh-CN"/>
        </w:rPr>
      </w:pPr>
      <w:r>
        <w:rPr>
          <w:rFonts w:hint="eastAsia" w:ascii="仿宋" w:hAnsi="仿宋" w:eastAsia="仿宋"/>
          <w:b/>
          <w:bCs/>
          <w:color w:val="auto"/>
          <w:highlight w:val="none"/>
          <w:lang w:eastAsia="zh-CN"/>
        </w:rPr>
        <w:t>附件十六：</w:t>
      </w:r>
      <w:r>
        <w:rPr>
          <w:rFonts w:hint="eastAsia" w:ascii="仿宋" w:hAnsi="仿宋" w:eastAsia="仿宋" w:cs="等线"/>
          <w:b/>
          <w:bCs/>
          <w:color w:val="auto"/>
          <w:sz w:val="24"/>
          <w:szCs w:val="24"/>
          <w:highlight w:val="none"/>
          <w:lang w:val="en-US" w:eastAsia="zh-CN"/>
        </w:rPr>
        <w:t>广州白云城市发展集团有限公司建筑材料看样定板管理办法（试行）</w:t>
      </w:r>
    </w:p>
    <w:p w14:paraId="0E14CD69">
      <w:pPr>
        <w:pStyle w:val="37"/>
        <w:spacing w:line="360" w:lineRule="auto"/>
        <w:rPr>
          <w:rFonts w:hint="eastAsia" w:ascii="仿宋" w:hAnsi="仿宋" w:eastAsia="仿宋"/>
          <w:color w:val="auto"/>
          <w:highlight w:val="none"/>
          <w:lang w:eastAsia="zh-CN"/>
        </w:rPr>
      </w:pPr>
      <w:r>
        <w:rPr>
          <w:rFonts w:hint="eastAsia" w:ascii="仿宋" w:hAnsi="仿宋" w:eastAsia="仿宋" w:cs="仿宋"/>
          <w:color w:val="auto"/>
          <w:spacing w:val="-1"/>
          <w:highlight w:val="none"/>
          <w:lang w:val="en-US" w:eastAsia="zh-CN"/>
        </w:rPr>
        <w:t>附件十七：</w:t>
      </w:r>
      <w:r>
        <w:rPr>
          <w:rFonts w:hint="eastAsia" w:ascii="仿宋" w:hAnsi="仿宋" w:eastAsia="仿宋" w:cs="仿宋"/>
          <w:color w:val="auto"/>
          <w:spacing w:val="-1"/>
          <w:highlight w:val="none"/>
          <w:lang w:eastAsia="zh-CN"/>
        </w:rPr>
        <w:t>房屋质量交付验收标准</w:t>
      </w:r>
    </w:p>
    <w:p w14:paraId="5A4FA701">
      <w:pPr>
        <w:spacing w:line="360" w:lineRule="auto"/>
        <w:rPr>
          <w:rFonts w:ascii="仿宋" w:hAnsi="仿宋" w:eastAsia="仿宋" w:cs="仿宋"/>
          <w:b/>
          <w:bCs/>
          <w:color w:val="auto"/>
          <w:highlight w:val="none"/>
          <w:lang w:eastAsia="zh-CN"/>
        </w:rPr>
      </w:pPr>
    </w:p>
    <w:p w14:paraId="53B9E79C">
      <w:pPr>
        <w:pStyle w:val="37"/>
        <w:spacing w:line="360" w:lineRule="auto"/>
        <w:rPr>
          <w:rFonts w:hint="eastAsia" w:ascii="仿宋" w:hAnsi="仿宋" w:eastAsia="仿宋"/>
          <w:color w:val="auto"/>
          <w:highlight w:val="none"/>
          <w:lang w:eastAsia="zh-CN"/>
        </w:rPr>
      </w:pPr>
    </w:p>
    <w:p w14:paraId="3A0930A4">
      <w:pPr>
        <w:pStyle w:val="37"/>
        <w:spacing w:line="360" w:lineRule="auto"/>
        <w:rPr>
          <w:rFonts w:hint="eastAsia" w:ascii="仿宋" w:hAnsi="仿宋" w:eastAsia="仿宋"/>
          <w:color w:val="auto"/>
          <w:highlight w:val="none"/>
          <w:lang w:eastAsia="zh-CN"/>
        </w:rPr>
      </w:pPr>
    </w:p>
    <w:p w14:paraId="14C0CB81">
      <w:pPr>
        <w:pStyle w:val="17"/>
        <w:rPr>
          <w:rFonts w:ascii="仿宋" w:hAnsi="仿宋" w:eastAsia="仿宋"/>
          <w:b/>
          <w:bCs/>
          <w:color w:val="auto"/>
          <w:highlight w:val="none"/>
          <w:lang w:eastAsia="zh-CN"/>
        </w:rPr>
      </w:pPr>
      <w:r>
        <w:rPr>
          <w:rFonts w:hint="eastAsia" w:ascii="仿宋" w:hAnsi="仿宋" w:eastAsia="仿宋"/>
          <w:color w:val="auto"/>
          <w:highlight w:val="none"/>
          <w:lang w:eastAsia="zh-CN"/>
        </w:rPr>
        <w:br w:type="page"/>
      </w:r>
      <w:bookmarkStart w:id="2028" w:name="_Toc5581"/>
      <w:bookmarkStart w:id="2029" w:name="_Toc23118"/>
      <w:bookmarkStart w:id="2030" w:name="_Toc30352"/>
      <w:bookmarkStart w:id="2031" w:name="_Toc32097"/>
      <w:bookmarkStart w:id="2032" w:name="_Toc47694456"/>
      <w:bookmarkStart w:id="2033" w:name="_Toc11315"/>
      <w:r>
        <w:rPr>
          <w:rFonts w:hint="eastAsia" w:ascii="仿宋" w:hAnsi="仿宋" w:eastAsia="仿宋" w:cs="仿宋"/>
          <w:b/>
          <w:bCs/>
          <w:color w:val="auto"/>
          <w:highlight w:val="none"/>
          <w:lang w:eastAsia="zh-CN"/>
        </w:rPr>
        <w:t>附件一</w:t>
      </w:r>
      <w:bookmarkEnd w:id="2028"/>
      <w:bookmarkEnd w:id="2029"/>
      <w:bookmarkEnd w:id="2030"/>
      <w:bookmarkEnd w:id="2031"/>
      <w:bookmarkEnd w:id="2032"/>
      <w:bookmarkEnd w:id="2033"/>
      <w:r>
        <w:rPr>
          <w:rFonts w:hint="eastAsia" w:ascii="仿宋" w:hAnsi="仿宋" w:eastAsia="仿宋" w:cs="仿宋"/>
          <w:b/>
          <w:bCs/>
          <w:color w:val="auto"/>
          <w:highlight w:val="none"/>
          <w:lang w:eastAsia="zh-CN"/>
        </w:rPr>
        <w:t>：</w:t>
      </w:r>
      <w:r>
        <w:rPr>
          <w:rFonts w:ascii="仿宋" w:hAnsi="仿宋" w:eastAsia="仿宋"/>
          <w:b/>
          <w:bCs/>
          <w:color w:val="auto"/>
          <w:highlight w:val="none"/>
          <w:lang w:eastAsia="zh-CN"/>
        </w:rPr>
        <w:t>联合体承包协议书</w:t>
      </w:r>
    </w:p>
    <w:p w14:paraId="6507D027">
      <w:pPr>
        <w:spacing w:line="360" w:lineRule="auto"/>
        <w:outlineLvl w:val="1"/>
        <w:rPr>
          <w:rFonts w:hint="eastAsia" w:ascii="仿宋" w:hAnsi="仿宋" w:eastAsia="仿宋"/>
          <w:b/>
          <w:bCs/>
          <w:color w:val="auto"/>
          <w:highlight w:val="none"/>
          <w:lang w:eastAsia="zh-CN"/>
        </w:rPr>
      </w:pPr>
    </w:p>
    <w:p w14:paraId="01BBC6BC">
      <w:pPr>
        <w:spacing w:line="360" w:lineRule="auto"/>
        <w:rPr>
          <w:rFonts w:hint="eastAsia" w:ascii="仿宋" w:hAnsi="仿宋" w:eastAsia="仿宋"/>
          <w:color w:val="auto"/>
          <w:sz w:val="32"/>
          <w:szCs w:val="32"/>
          <w:highlight w:val="none"/>
          <w:lang w:eastAsia="zh-CN"/>
        </w:rPr>
      </w:pPr>
    </w:p>
    <w:p w14:paraId="187F6D1D">
      <w:pPr>
        <w:spacing w:line="360" w:lineRule="auto"/>
        <w:outlineLvl w:val="1"/>
        <w:rPr>
          <w:rFonts w:hint="eastAsia" w:ascii="仿宋" w:hAnsi="仿宋" w:eastAsia="仿宋"/>
          <w:b/>
          <w:bCs/>
          <w:color w:val="auto"/>
          <w:highlight w:val="none"/>
          <w:lang w:eastAsia="zh-CN"/>
        </w:rPr>
      </w:pPr>
      <w:bookmarkStart w:id="2034" w:name="_Toc16760"/>
      <w:bookmarkStart w:id="2035" w:name="_Toc12607"/>
      <w:bookmarkStart w:id="2036" w:name="_Toc47694457"/>
      <w:r>
        <w:rPr>
          <w:rFonts w:hint="eastAsia" w:ascii="仿宋" w:hAnsi="仿宋" w:eastAsia="仿宋" w:cs="仿宋"/>
          <w:b/>
          <w:bCs/>
          <w:color w:val="auto"/>
          <w:highlight w:val="none"/>
          <w:lang w:eastAsia="zh-CN"/>
        </w:rPr>
        <w:br w:type="page"/>
      </w:r>
      <w:bookmarkStart w:id="2037" w:name="_Toc27745"/>
      <w:bookmarkStart w:id="2038" w:name="_Toc10772"/>
      <w:bookmarkStart w:id="2039" w:name="_Toc5569"/>
      <w:bookmarkStart w:id="2040" w:name="_Toc18743"/>
      <w:bookmarkStart w:id="2041" w:name="_Toc18655"/>
      <w:r>
        <w:rPr>
          <w:rFonts w:hint="eastAsia" w:ascii="仿宋" w:hAnsi="仿宋" w:eastAsia="仿宋" w:cs="仿宋"/>
          <w:b/>
          <w:bCs/>
          <w:color w:val="auto"/>
          <w:highlight w:val="none"/>
          <w:lang w:eastAsia="zh-CN"/>
        </w:rPr>
        <w:t>附件二</w:t>
      </w:r>
      <w:bookmarkEnd w:id="2034"/>
      <w:bookmarkEnd w:id="2035"/>
      <w:bookmarkEnd w:id="2036"/>
      <w:bookmarkEnd w:id="2037"/>
      <w:bookmarkEnd w:id="2038"/>
      <w:bookmarkEnd w:id="2039"/>
      <w:bookmarkEnd w:id="2040"/>
      <w:bookmarkEnd w:id="2041"/>
    </w:p>
    <w:p w14:paraId="39CD3B94">
      <w:pPr>
        <w:spacing w:line="360" w:lineRule="auto"/>
        <w:rPr>
          <w:rFonts w:hint="eastAsia" w:ascii="仿宋" w:hAnsi="仿宋" w:eastAsia="仿宋"/>
          <w:color w:val="auto"/>
          <w:highlight w:val="none"/>
          <w:lang w:eastAsia="zh-CN"/>
        </w:rPr>
      </w:pPr>
    </w:p>
    <w:p w14:paraId="4879AE97">
      <w:pPr>
        <w:spacing w:line="360" w:lineRule="auto"/>
        <w:jc w:val="center"/>
        <w:rPr>
          <w:rFonts w:hint="eastAsia" w:ascii="仿宋" w:hAnsi="仿宋" w:eastAsia="仿宋"/>
          <w:b/>
          <w:bCs/>
          <w:color w:val="auto"/>
          <w:spacing w:val="32"/>
          <w:sz w:val="36"/>
          <w:szCs w:val="36"/>
          <w:highlight w:val="none"/>
          <w:lang w:eastAsia="zh-CN"/>
        </w:rPr>
      </w:pPr>
      <w:r>
        <w:rPr>
          <w:rFonts w:hint="eastAsia" w:ascii="仿宋" w:hAnsi="仿宋" w:eastAsia="仿宋" w:cs="仿宋"/>
          <w:b/>
          <w:bCs/>
          <w:color w:val="auto"/>
          <w:spacing w:val="32"/>
          <w:sz w:val="36"/>
          <w:szCs w:val="36"/>
          <w:highlight w:val="none"/>
          <w:lang w:eastAsia="zh-CN"/>
        </w:rPr>
        <w:t>工程质量保修书</w:t>
      </w:r>
    </w:p>
    <w:p w14:paraId="5DF6CC1A">
      <w:pPr>
        <w:spacing w:line="360" w:lineRule="auto"/>
        <w:rPr>
          <w:rFonts w:hint="eastAsia" w:ascii="仿宋" w:hAnsi="仿宋" w:eastAsia="仿宋"/>
          <w:color w:val="auto"/>
          <w:highlight w:val="none"/>
          <w:lang w:eastAsia="zh-CN"/>
        </w:rPr>
      </w:pPr>
    </w:p>
    <w:p w14:paraId="4E8C5FB4">
      <w:pPr>
        <w:spacing w:line="324"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发包人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（全称）</w:t>
      </w:r>
      <w:r>
        <w:rPr>
          <w:rFonts w:hint="eastAsia" w:ascii="仿宋" w:hAnsi="仿宋" w:eastAsia="仿宋"/>
          <w:color w:val="auto"/>
          <w:highlight w:val="none"/>
          <w:u w:val="single"/>
          <w:lang w:eastAsia="zh-CN"/>
        </w:rPr>
        <w:t xml:space="preserve">广州三元里片区改造投资有限公司 </w:t>
      </w:r>
      <w:r>
        <w:rPr>
          <w:rFonts w:ascii="仿宋" w:hAnsi="仿宋" w:eastAsia="仿宋" w:cs="仿宋"/>
          <w:color w:val="auto"/>
          <w:highlight w:val="none"/>
          <w:u w:val="single"/>
          <w:lang w:eastAsia="zh-CN"/>
        </w:rPr>
        <w:t xml:space="preserve">              </w:t>
      </w:r>
    </w:p>
    <w:p w14:paraId="304B607C">
      <w:pPr>
        <w:spacing w:line="324"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（全称）</w:t>
      </w:r>
      <w:r>
        <w:rPr>
          <w:rFonts w:hint="eastAsia" w:ascii="仿宋" w:hAnsi="仿宋" w:eastAsia="仿宋" w:cs="仿宋"/>
          <w:color w:val="auto"/>
          <w:highlight w:val="none"/>
          <w:u w:val="single"/>
          <w:lang w:eastAsia="zh-CN"/>
        </w:rPr>
        <w:t xml:space="preserve">(主)  、(成)  、(成)  </w:t>
      </w:r>
    </w:p>
    <w:p w14:paraId="504E5E24">
      <w:pPr>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为保证 </w:t>
      </w:r>
      <w:r>
        <w:rPr>
          <w:rFonts w:hint="eastAsia" w:ascii="仿宋" w:hAnsi="仿宋" w:eastAsia="仿宋" w:cs="仿宋"/>
          <w:color w:val="auto"/>
          <w:highlight w:val="none"/>
          <w:lang w:val="en-US" w:eastAsia="zh-CN"/>
        </w:rPr>
        <w:t>广州市白云区三元里村城中村改造项目二期安置房(AB3814008)勘察设计施工总承包（EPC）</w:t>
      </w:r>
      <w:r>
        <w:rPr>
          <w:rFonts w:hint="eastAsia" w:ascii="仿宋" w:hAnsi="仿宋" w:eastAsia="仿宋" w:cs="仿宋"/>
          <w:color w:val="auto"/>
          <w:highlight w:val="none"/>
          <w:lang w:eastAsia="zh-CN"/>
        </w:rPr>
        <w:t>（工程名称）在合理使用期限内正常使用，合同双方当事人根据《中华人民共和国建筑法》《建设工程质量管理条例》和《房屋建筑工程质量保修办法》等规定，经协商一致，订立本质量保修书。</w:t>
      </w:r>
    </w:p>
    <w:p w14:paraId="5D174566">
      <w:pPr>
        <w:spacing w:line="324" w:lineRule="auto"/>
        <w:ind w:firstLine="480" w:firstLineChars="200"/>
        <w:rPr>
          <w:rFonts w:hint="eastAsia" w:ascii="仿宋" w:hAnsi="仿宋" w:eastAsia="仿宋"/>
          <w:color w:val="auto"/>
          <w:highlight w:val="none"/>
          <w:lang w:eastAsia="zh-CN"/>
        </w:rPr>
      </w:pPr>
    </w:p>
    <w:p w14:paraId="0423DDF9">
      <w:pPr>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 xml:space="preserve">1． </w:t>
      </w:r>
      <w:r>
        <w:rPr>
          <w:rFonts w:hint="eastAsia" w:ascii="仿宋" w:hAnsi="仿宋" w:eastAsia="仿宋" w:cs="仿宋"/>
          <w:b/>
          <w:bCs/>
          <w:color w:val="auto"/>
          <w:highlight w:val="none"/>
          <w:lang w:eastAsia="zh-CN"/>
        </w:rPr>
        <w:t>质量保修范围</w:t>
      </w:r>
    </w:p>
    <w:p w14:paraId="04181DCE">
      <w:pPr>
        <w:spacing w:line="324" w:lineRule="auto"/>
        <w:ind w:firstLine="220" w:firstLineChars="200"/>
        <w:rPr>
          <w:rFonts w:hint="eastAsia" w:ascii="仿宋" w:hAnsi="仿宋" w:eastAsia="仿宋"/>
          <w:color w:val="auto"/>
          <w:sz w:val="11"/>
          <w:szCs w:val="11"/>
          <w:highlight w:val="none"/>
          <w:lang w:eastAsia="zh-CN"/>
        </w:rPr>
      </w:pPr>
    </w:p>
    <w:p w14:paraId="73EB80EB">
      <w:pPr>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p>
    <w:p w14:paraId="3F24689F">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1.1</w:t>
      </w:r>
      <w:r>
        <w:rPr>
          <w:rFonts w:ascii="仿宋" w:hAnsi="仿宋" w:eastAsia="仿宋" w:cs="仿宋"/>
          <w:color w:val="auto"/>
          <w:highlight w:val="none"/>
          <w:lang w:eastAsia="zh-CN"/>
        </w:rPr>
        <w:t>承包人在质量保修期内，按照有关法律、法规、规章规定和双方约定，承担</w:t>
      </w:r>
      <w:r>
        <w:rPr>
          <w:rFonts w:hint="eastAsia" w:ascii="仿宋" w:hAnsi="仿宋" w:eastAsia="仿宋" w:cs="仿宋"/>
          <w:color w:val="auto"/>
          <w:highlight w:val="none"/>
          <w:lang w:eastAsia="zh-CN"/>
        </w:rPr>
        <w:t>本合同项下</w:t>
      </w:r>
      <w:r>
        <w:rPr>
          <w:rFonts w:ascii="仿宋" w:hAnsi="仿宋" w:eastAsia="仿宋" w:cs="仿宋"/>
          <w:color w:val="auto"/>
          <w:highlight w:val="none"/>
          <w:lang w:eastAsia="zh-CN"/>
        </w:rPr>
        <w:t xml:space="preserve">工程质量保修责任。                                                                                    </w:t>
      </w:r>
    </w:p>
    <w:p w14:paraId="0F62E7E9">
      <w:pPr>
        <w:spacing w:line="324"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ascii="仿宋" w:hAnsi="仿宋" w:eastAsia="仿宋" w:cs="仿宋"/>
          <w:color w:val="auto"/>
          <w:highlight w:val="none"/>
          <w:lang w:eastAsia="zh-CN"/>
        </w:rPr>
        <w:t>2承包人承包范围内的所有工程均属保修范围。</w:t>
      </w:r>
    </w:p>
    <w:p w14:paraId="7F9EC848">
      <w:pPr>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 xml:space="preserve">2． </w:t>
      </w:r>
      <w:r>
        <w:rPr>
          <w:rFonts w:hint="eastAsia" w:ascii="仿宋" w:hAnsi="仿宋" w:eastAsia="仿宋" w:cs="仿宋"/>
          <w:b/>
          <w:bCs/>
          <w:color w:val="auto"/>
          <w:highlight w:val="none"/>
          <w:lang w:eastAsia="zh-CN"/>
        </w:rPr>
        <w:t>质量保修期</w:t>
      </w:r>
    </w:p>
    <w:p w14:paraId="2D7FBC3D">
      <w:pPr>
        <w:spacing w:line="324" w:lineRule="auto"/>
        <w:ind w:firstLine="220" w:firstLineChars="200"/>
        <w:rPr>
          <w:rFonts w:hint="eastAsia" w:ascii="仿宋" w:hAnsi="仿宋" w:eastAsia="仿宋"/>
          <w:color w:val="auto"/>
          <w:sz w:val="11"/>
          <w:szCs w:val="11"/>
          <w:highlight w:val="none"/>
          <w:lang w:eastAsia="zh-CN"/>
        </w:rPr>
      </w:pPr>
    </w:p>
    <w:p w14:paraId="4B461CB2">
      <w:pPr>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2.1 质量保修期从工程实际竣工之日算起。单项竣工验收的工程，按单项工程分别计算质量保修期。（移交到村民、物业居住有一段时间）本工程的保修期自总承包工程竣工验收合格、移交物业公司及交付公告中明确的交付之日（以三个日期中最晚日期，但不超过政府竣工验收合格后6个月）起计算，保修期不得低于法定最低保修年限，其中燃气工程为通过验收两年内。</w:t>
      </w:r>
    </w:p>
    <w:p w14:paraId="329FF529">
      <w:pPr>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2.2 </w:t>
      </w:r>
      <w:r>
        <w:rPr>
          <w:rFonts w:hint="eastAsia" w:ascii="仿宋" w:hAnsi="仿宋" w:eastAsia="仿宋" w:cs="仿宋"/>
          <w:color w:val="auto"/>
          <w:highlight w:val="none"/>
          <w:lang w:val="zh-CN" w:eastAsia="zh-CN"/>
        </w:rPr>
        <w:t>合同工程质量保修期，合同双方当事人约定如下</w:t>
      </w:r>
      <w:r>
        <w:rPr>
          <w:rFonts w:hint="eastAsia" w:ascii="仿宋" w:hAnsi="仿宋" w:eastAsia="仿宋" w:cs="仿宋"/>
          <w:color w:val="auto"/>
          <w:highlight w:val="none"/>
          <w:lang w:eastAsia="zh-CN"/>
        </w:rPr>
        <w:t>：</w:t>
      </w:r>
    </w:p>
    <w:p w14:paraId="155DB243">
      <w:pPr>
        <w:spacing w:line="360" w:lineRule="auto"/>
        <w:ind w:firstLine="480" w:firstLineChars="200"/>
        <w:rPr>
          <w:rFonts w:ascii="仿宋" w:hAnsi="仿宋" w:eastAsia="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．地基基础工程、主体结构工程为设计文件规定的合理使用年限；</w:t>
      </w:r>
    </w:p>
    <w:p w14:paraId="1D83258F">
      <w:pPr>
        <w:spacing w:line="360" w:lineRule="auto"/>
        <w:ind w:firstLine="480" w:firstLineChars="200"/>
        <w:rPr>
          <w:rFonts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．屋面防水工程、有防水要求的卫生间、房间和外墙面的防渗漏工程为</w:t>
      </w:r>
      <w:r>
        <w:rPr>
          <w:rFonts w:ascii="仿宋" w:hAnsi="仿宋" w:eastAsia="仿宋" w:cs="仿宋"/>
          <w:color w:val="auto"/>
          <w:highlight w:val="none"/>
          <w:u w:val="single"/>
          <w:lang w:eastAsia="zh-CN"/>
        </w:rPr>
        <w:t xml:space="preserve">  6 </w:t>
      </w:r>
      <w:r>
        <w:rPr>
          <w:rFonts w:hint="eastAsia" w:ascii="仿宋" w:hAnsi="仿宋" w:eastAsia="仿宋" w:cs="仿宋"/>
          <w:color w:val="auto"/>
          <w:highlight w:val="none"/>
          <w:lang w:eastAsia="zh-CN"/>
        </w:rPr>
        <w:t>年；</w:t>
      </w:r>
    </w:p>
    <w:p w14:paraId="44C49698">
      <w:pPr>
        <w:spacing w:line="360" w:lineRule="auto"/>
        <w:ind w:firstLine="240" w:firstLineChars="100"/>
        <w:rPr>
          <w:rFonts w:ascii="仿宋" w:hAnsi="仿宋" w:eastAsia="仿宋"/>
          <w:color w:val="auto"/>
          <w:highlight w:val="none"/>
          <w:lang w:eastAsia="zh-CN"/>
        </w:rPr>
      </w:pPr>
      <w:r>
        <w:rPr>
          <w:rFonts w:ascii="仿宋" w:hAnsi="仿宋" w:eastAsia="仿宋" w:cs="仿宋"/>
          <w:color w:val="auto"/>
          <w:highlight w:val="none"/>
          <w:lang w:eastAsia="zh-CN"/>
        </w:rPr>
        <w:t xml:space="preserve">  3</w:t>
      </w:r>
      <w:r>
        <w:rPr>
          <w:rFonts w:hint="eastAsia" w:ascii="仿宋" w:hAnsi="仿宋" w:eastAsia="仿宋" w:cs="仿宋"/>
          <w:color w:val="auto"/>
          <w:highlight w:val="none"/>
          <w:lang w:eastAsia="zh-CN"/>
        </w:rPr>
        <w:t>．电气管线工程、给排水管道工程、设备安装工程为</w:t>
      </w:r>
      <w:r>
        <w:rPr>
          <w:rFonts w:ascii="仿宋" w:hAnsi="仿宋" w:eastAsia="仿宋" w:cs="仿宋"/>
          <w:color w:val="auto"/>
          <w:highlight w:val="none"/>
          <w:u w:val="single"/>
          <w:lang w:eastAsia="zh-CN"/>
        </w:rPr>
        <w:t xml:space="preserve">  3 </w:t>
      </w:r>
      <w:r>
        <w:rPr>
          <w:rFonts w:hint="eastAsia" w:ascii="仿宋" w:hAnsi="仿宋" w:eastAsia="仿宋" w:cs="仿宋"/>
          <w:color w:val="auto"/>
          <w:highlight w:val="none"/>
          <w:lang w:eastAsia="zh-CN"/>
        </w:rPr>
        <w:t>年；</w:t>
      </w:r>
    </w:p>
    <w:p w14:paraId="718A7EC9">
      <w:pPr>
        <w:spacing w:line="360" w:lineRule="auto"/>
        <w:ind w:firstLine="480" w:firstLineChars="200"/>
        <w:rPr>
          <w:rFonts w:ascii="仿宋" w:hAnsi="仿宋" w:eastAsia="仿宋"/>
          <w:color w:val="auto"/>
          <w:highlight w:val="none"/>
          <w:lang w:eastAsia="zh-CN"/>
        </w:rPr>
      </w:pP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．供热、供冷系统工程为</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u w:val="single"/>
          <w:lang w:eastAsia="zh-CN"/>
        </w:rPr>
        <w:t>3</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个采暖期、供冷期；</w:t>
      </w:r>
    </w:p>
    <w:p w14:paraId="06277AE9">
      <w:pPr>
        <w:spacing w:line="360" w:lineRule="auto"/>
        <w:ind w:firstLine="480" w:firstLineChars="200"/>
        <w:rPr>
          <w:rFonts w:ascii="仿宋" w:hAnsi="仿宋" w:eastAsia="仿宋"/>
          <w:color w:val="auto"/>
          <w:highlight w:val="none"/>
          <w:lang w:eastAsia="zh-CN"/>
        </w:rPr>
      </w:pP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．装饰装修工程为</w:t>
      </w:r>
      <w:r>
        <w:rPr>
          <w:rFonts w:ascii="仿宋" w:hAnsi="仿宋" w:eastAsia="仿宋" w:cs="仿宋"/>
          <w:color w:val="auto"/>
          <w:highlight w:val="none"/>
          <w:u w:val="single"/>
          <w:lang w:eastAsia="zh-CN"/>
        </w:rPr>
        <w:t xml:space="preserve">  3  </w:t>
      </w:r>
      <w:r>
        <w:rPr>
          <w:rFonts w:hint="eastAsia" w:ascii="仿宋" w:hAnsi="仿宋" w:eastAsia="仿宋" w:cs="仿宋"/>
          <w:color w:val="auto"/>
          <w:highlight w:val="none"/>
          <w:lang w:eastAsia="zh-CN"/>
        </w:rPr>
        <w:t>年；</w:t>
      </w:r>
    </w:p>
    <w:p w14:paraId="68056CB3">
      <w:pPr>
        <w:spacing w:line="360" w:lineRule="auto"/>
        <w:ind w:firstLine="480" w:firstLineChars="200"/>
        <w:rPr>
          <w:rFonts w:ascii="仿宋" w:hAnsi="仿宋" w:eastAsia="仿宋"/>
          <w:color w:val="auto"/>
          <w:highlight w:val="none"/>
          <w:lang w:eastAsia="zh-CN"/>
        </w:rPr>
      </w:pPr>
      <w:r>
        <w:rPr>
          <w:rFonts w:ascii="仿宋" w:hAnsi="仿宋" w:eastAsia="仿宋" w:cs="仿宋"/>
          <w:color w:val="auto"/>
          <w:highlight w:val="none"/>
          <w:lang w:eastAsia="zh-CN"/>
        </w:rPr>
        <w:t>6</w:t>
      </w:r>
      <w:r>
        <w:rPr>
          <w:rFonts w:hint="eastAsia" w:ascii="仿宋" w:hAnsi="仿宋" w:eastAsia="仿宋" w:cs="仿宋"/>
          <w:color w:val="auto"/>
          <w:highlight w:val="none"/>
          <w:lang w:eastAsia="zh-CN"/>
        </w:rPr>
        <w:t>．其他项目：</w:t>
      </w:r>
      <w:r>
        <w:rPr>
          <w:rFonts w:hint="eastAsia" w:ascii="仿宋" w:hAnsi="仿宋" w:eastAsia="仿宋" w:cs="仿宋"/>
          <w:color w:val="auto"/>
          <w:highlight w:val="none"/>
          <w:u w:val="single"/>
          <w:lang w:eastAsia="zh-CN"/>
        </w:rPr>
        <w:t>保修期按《房屋建筑工程质量保修办法》规定的保修年限+1执行。</w:t>
      </w:r>
    </w:p>
    <w:p w14:paraId="67496DB5">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2.</w:t>
      </w:r>
      <w:r>
        <w:rPr>
          <w:rFonts w:hint="eastAsia" w:ascii="仿宋" w:hAnsi="仿宋" w:eastAsia="仿宋"/>
          <w:color w:val="auto"/>
          <w:highlight w:val="none"/>
          <w:lang w:eastAsia="zh-CN"/>
        </w:rPr>
        <w:t>3</w:t>
      </w:r>
      <w:r>
        <w:rPr>
          <w:rFonts w:ascii="仿宋" w:hAnsi="仿宋" w:eastAsia="仿宋"/>
          <w:color w:val="auto"/>
          <w:highlight w:val="none"/>
          <w:lang w:eastAsia="zh-CN"/>
        </w:rPr>
        <w:t>经双方协商，一致同意本合同项下其他工程的保修期限约定如下：</w:t>
      </w:r>
    </w:p>
    <w:p w14:paraId="507BA1F3">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给排水设施为</w:t>
      </w:r>
      <w:r>
        <w:rPr>
          <w:rFonts w:ascii="仿宋" w:hAnsi="仿宋" w:eastAsia="仿宋"/>
          <w:color w:val="auto"/>
          <w:highlight w:val="none"/>
          <w:u w:val="single"/>
          <w:lang w:eastAsia="zh-CN"/>
        </w:rPr>
        <w:t>3</w:t>
      </w:r>
      <w:r>
        <w:rPr>
          <w:rFonts w:ascii="仿宋" w:hAnsi="仿宋" w:eastAsia="仿宋"/>
          <w:color w:val="auto"/>
          <w:highlight w:val="none"/>
          <w:lang w:eastAsia="zh-CN"/>
        </w:rPr>
        <w:t>年；</w:t>
      </w:r>
    </w:p>
    <w:p w14:paraId="6B84C309">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2</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园建、道路工程为</w:t>
      </w:r>
      <w:r>
        <w:rPr>
          <w:rFonts w:ascii="仿宋" w:hAnsi="仿宋" w:eastAsia="仿宋"/>
          <w:color w:val="auto"/>
          <w:highlight w:val="none"/>
          <w:u w:val="single"/>
          <w:lang w:eastAsia="zh-CN"/>
        </w:rPr>
        <w:t xml:space="preserve"> 3</w:t>
      </w:r>
      <w:r>
        <w:rPr>
          <w:rFonts w:ascii="仿宋" w:hAnsi="仿宋" w:eastAsia="仿宋"/>
          <w:color w:val="auto"/>
          <w:highlight w:val="none"/>
          <w:lang w:eastAsia="zh-CN"/>
        </w:rPr>
        <w:t>年；</w:t>
      </w:r>
    </w:p>
    <w:p w14:paraId="06CB5C00">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绿化工程养护期</w:t>
      </w:r>
      <w:r>
        <w:rPr>
          <w:rFonts w:ascii="仿宋" w:hAnsi="仿宋" w:eastAsia="仿宋"/>
          <w:color w:val="auto"/>
          <w:highlight w:val="none"/>
          <w:u w:val="single"/>
          <w:lang w:eastAsia="zh-CN"/>
        </w:rPr>
        <w:t>2</w:t>
      </w:r>
      <w:r>
        <w:rPr>
          <w:rFonts w:ascii="仿宋" w:hAnsi="仿宋" w:eastAsia="仿宋"/>
          <w:color w:val="auto"/>
          <w:highlight w:val="none"/>
          <w:lang w:eastAsia="zh-CN"/>
        </w:rPr>
        <w:t>年。其中保养成活期</w:t>
      </w:r>
      <w:r>
        <w:rPr>
          <w:rFonts w:ascii="仿宋" w:hAnsi="仿宋" w:eastAsia="仿宋"/>
          <w:color w:val="auto"/>
          <w:highlight w:val="none"/>
          <w:u w:val="single"/>
          <w:lang w:eastAsia="zh-CN"/>
        </w:rPr>
        <w:t>3</w:t>
      </w:r>
      <w:r>
        <w:rPr>
          <w:rFonts w:ascii="仿宋" w:hAnsi="仿宋" w:eastAsia="仿宋"/>
          <w:color w:val="auto"/>
          <w:highlight w:val="none"/>
          <w:lang w:eastAsia="zh-CN"/>
        </w:rPr>
        <w:t>个月，保养期</w:t>
      </w:r>
      <w:r>
        <w:rPr>
          <w:rFonts w:ascii="仿宋" w:hAnsi="仿宋" w:eastAsia="仿宋"/>
          <w:color w:val="auto"/>
          <w:highlight w:val="none"/>
          <w:u w:val="single"/>
          <w:lang w:eastAsia="zh-CN"/>
        </w:rPr>
        <w:t>9</w:t>
      </w:r>
      <w:r>
        <w:rPr>
          <w:rFonts w:ascii="仿宋" w:hAnsi="仿宋" w:eastAsia="仿宋"/>
          <w:color w:val="auto"/>
          <w:highlight w:val="none"/>
          <w:lang w:eastAsia="zh-CN"/>
        </w:rPr>
        <w:t>个月；</w:t>
      </w:r>
    </w:p>
    <w:p w14:paraId="7D3F4280">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4</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门窗为</w:t>
      </w:r>
      <w:r>
        <w:rPr>
          <w:rFonts w:ascii="仿宋" w:hAnsi="仿宋" w:eastAsia="仿宋"/>
          <w:color w:val="auto"/>
          <w:highlight w:val="none"/>
          <w:u w:val="single"/>
          <w:lang w:eastAsia="zh-CN"/>
        </w:rPr>
        <w:t>3</w:t>
      </w:r>
      <w:r>
        <w:rPr>
          <w:rFonts w:ascii="仿宋" w:hAnsi="仿宋" w:eastAsia="仿宋"/>
          <w:color w:val="auto"/>
          <w:highlight w:val="none"/>
          <w:lang w:eastAsia="zh-CN"/>
        </w:rPr>
        <w:t>年；</w:t>
      </w:r>
    </w:p>
    <w:p w14:paraId="5944A83E">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5</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楼、地面空鼓开裂、大面积起砂为</w:t>
      </w:r>
      <w:r>
        <w:rPr>
          <w:rFonts w:ascii="仿宋" w:hAnsi="仿宋" w:eastAsia="仿宋"/>
          <w:color w:val="auto"/>
          <w:highlight w:val="none"/>
          <w:u w:val="single"/>
          <w:lang w:eastAsia="zh-CN"/>
        </w:rPr>
        <w:t>3</w:t>
      </w:r>
      <w:r>
        <w:rPr>
          <w:rFonts w:ascii="仿宋" w:hAnsi="仿宋" w:eastAsia="仿宋"/>
          <w:color w:val="auto"/>
          <w:highlight w:val="none"/>
          <w:lang w:eastAsia="zh-CN"/>
        </w:rPr>
        <w:t>年；</w:t>
      </w:r>
    </w:p>
    <w:p w14:paraId="72A3D911">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6</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卫生间洁具、配件为</w:t>
      </w:r>
      <w:r>
        <w:rPr>
          <w:rFonts w:ascii="仿宋" w:hAnsi="仿宋" w:eastAsia="仿宋"/>
          <w:color w:val="auto"/>
          <w:highlight w:val="none"/>
          <w:u w:val="single"/>
          <w:lang w:eastAsia="zh-CN"/>
        </w:rPr>
        <w:t>3</w:t>
      </w:r>
      <w:r>
        <w:rPr>
          <w:rFonts w:ascii="仿宋" w:hAnsi="仿宋" w:eastAsia="仿宋"/>
          <w:color w:val="auto"/>
          <w:highlight w:val="none"/>
          <w:lang w:eastAsia="zh-CN"/>
        </w:rPr>
        <w:t>年；</w:t>
      </w:r>
    </w:p>
    <w:p w14:paraId="020FAC8B">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7</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灯具、开关、插座为</w:t>
      </w:r>
      <w:r>
        <w:rPr>
          <w:rFonts w:ascii="仿宋" w:hAnsi="仿宋" w:eastAsia="仿宋"/>
          <w:color w:val="auto"/>
          <w:highlight w:val="none"/>
          <w:u w:val="single"/>
          <w:lang w:eastAsia="zh-CN"/>
        </w:rPr>
        <w:t>3</w:t>
      </w:r>
      <w:r>
        <w:rPr>
          <w:rFonts w:ascii="仿宋" w:hAnsi="仿宋" w:eastAsia="仿宋"/>
          <w:color w:val="auto"/>
          <w:highlight w:val="none"/>
          <w:lang w:eastAsia="zh-CN"/>
        </w:rPr>
        <w:t>年；</w:t>
      </w:r>
    </w:p>
    <w:p w14:paraId="13FB2070">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8</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墙面、顶棚抹灰脱落为</w:t>
      </w:r>
      <w:r>
        <w:rPr>
          <w:rFonts w:ascii="仿宋" w:hAnsi="仿宋" w:eastAsia="仿宋"/>
          <w:color w:val="auto"/>
          <w:highlight w:val="none"/>
          <w:u w:val="single"/>
          <w:lang w:eastAsia="zh-CN"/>
        </w:rPr>
        <w:t>3</w:t>
      </w:r>
      <w:r>
        <w:rPr>
          <w:rFonts w:ascii="仿宋" w:hAnsi="仿宋" w:eastAsia="仿宋"/>
          <w:color w:val="auto"/>
          <w:highlight w:val="none"/>
          <w:lang w:eastAsia="zh-CN"/>
        </w:rPr>
        <w:t>年；</w:t>
      </w:r>
    </w:p>
    <w:p w14:paraId="36B2FB14">
      <w:pPr>
        <w:spacing w:line="360" w:lineRule="auto"/>
        <w:ind w:firstLine="480" w:firstLineChars="200"/>
        <w:rPr>
          <w:rFonts w:ascii="仿宋" w:hAnsi="仿宋" w:eastAsia="仿宋"/>
          <w:color w:val="auto"/>
          <w:highlight w:val="none"/>
          <w:u w:val="single"/>
          <w:lang w:eastAsia="zh-CN"/>
        </w:rPr>
      </w:pPr>
      <w:r>
        <w:rPr>
          <w:rFonts w:ascii="仿宋" w:hAnsi="仿宋" w:eastAsia="仿宋"/>
          <w:color w:val="auto"/>
          <w:highlight w:val="none"/>
          <w:lang w:eastAsia="zh-CN"/>
        </w:rPr>
        <w:t>9</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其他：</w:t>
      </w:r>
      <w:r>
        <w:rPr>
          <w:rFonts w:ascii="仿宋" w:hAnsi="仿宋" w:eastAsia="仿宋"/>
          <w:color w:val="auto"/>
          <w:highlight w:val="none"/>
          <w:u w:val="single"/>
          <w:lang w:eastAsia="zh-CN"/>
        </w:rPr>
        <w:t>按照有关法律、法规、规章规定。</w:t>
      </w:r>
    </w:p>
    <w:p w14:paraId="43166180">
      <w:pPr>
        <w:spacing w:line="324" w:lineRule="auto"/>
        <w:ind w:firstLine="480" w:firstLineChars="200"/>
        <w:rPr>
          <w:rFonts w:hint="eastAsia" w:ascii="仿宋" w:hAnsi="仿宋" w:eastAsia="仿宋"/>
          <w:color w:val="auto"/>
          <w:highlight w:val="none"/>
          <w:lang w:eastAsia="zh-CN"/>
        </w:rPr>
      </w:pPr>
    </w:p>
    <w:p w14:paraId="2A6CB132">
      <w:pPr>
        <w:spacing w:line="324" w:lineRule="auto"/>
        <w:ind w:left="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3． </w:t>
      </w:r>
      <w:r>
        <w:rPr>
          <w:rFonts w:hint="eastAsia" w:ascii="仿宋" w:hAnsi="仿宋" w:eastAsia="仿宋" w:cs="仿宋"/>
          <w:b/>
          <w:bCs/>
          <w:color w:val="auto"/>
          <w:highlight w:val="none"/>
          <w:lang w:eastAsia="zh-CN"/>
        </w:rPr>
        <w:t>质量保修责任</w:t>
      </w:r>
    </w:p>
    <w:p w14:paraId="0315543B">
      <w:pPr>
        <w:spacing w:line="324" w:lineRule="auto"/>
        <w:ind w:firstLine="220" w:firstLineChars="200"/>
        <w:rPr>
          <w:rFonts w:hint="eastAsia" w:ascii="仿宋" w:hAnsi="仿宋" w:eastAsia="仿宋"/>
          <w:color w:val="auto"/>
          <w:sz w:val="11"/>
          <w:szCs w:val="11"/>
          <w:highlight w:val="none"/>
          <w:lang w:eastAsia="zh-CN"/>
        </w:rPr>
      </w:pPr>
    </w:p>
    <w:p w14:paraId="318C469A">
      <w:pPr>
        <w:spacing w:line="360" w:lineRule="auto"/>
        <w:ind w:firstLine="480" w:firstLineChars="200"/>
        <w:rPr>
          <w:rFonts w:ascii="仿宋" w:hAnsi="仿宋" w:eastAsia="仿宋"/>
          <w:color w:val="auto"/>
          <w:highlight w:val="none"/>
          <w:lang w:eastAsia="zh-CN"/>
        </w:rPr>
      </w:pPr>
      <w:r>
        <w:rPr>
          <w:rFonts w:ascii="仿宋" w:hAnsi="仿宋" w:eastAsia="仿宋" w:cs="仿宋"/>
          <w:color w:val="auto"/>
          <w:highlight w:val="none"/>
          <w:lang w:eastAsia="zh-CN"/>
        </w:rPr>
        <w:t xml:space="preserve">3.1  </w:t>
      </w:r>
      <w:r>
        <w:rPr>
          <w:rFonts w:hint="eastAsia" w:ascii="仿宋" w:hAnsi="仿宋" w:eastAsia="仿宋" w:cs="仿宋"/>
          <w:color w:val="auto"/>
          <w:highlight w:val="none"/>
          <w:lang w:val="zh-CN" w:eastAsia="zh-CN"/>
        </w:rPr>
        <w:t>属于保修范围的项目，承包人应在接到发包人通知后的</w:t>
      </w:r>
      <w:r>
        <w:rPr>
          <w:rFonts w:hint="eastAsia" w:ascii="仿宋" w:hAnsi="仿宋" w:eastAsia="仿宋" w:cs="仿宋"/>
          <w:color w:val="auto"/>
          <w:highlight w:val="none"/>
          <w:lang w:eastAsia="zh-CN"/>
        </w:rPr>
        <w:t>24小时</w:t>
      </w:r>
      <w:r>
        <w:rPr>
          <w:rFonts w:hint="eastAsia" w:ascii="仿宋" w:hAnsi="仿宋" w:eastAsia="仿宋" w:cs="仿宋"/>
          <w:color w:val="auto"/>
          <w:highlight w:val="none"/>
          <w:lang w:val="zh-CN" w:eastAsia="zh-CN"/>
        </w:rPr>
        <w:t>内派人保修。承包人未能在规定时间内派人保修的，发包人可自行或委托第三方保修，</w:t>
      </w:r>
      <w:r>
        <w:rPr>
          <w:rFonts w:ascii="仿宋" w:hAnsi="仿宋" w:eastAsia="仿宋" w:cs="仿宋"/>
          <w:color w:val="auto"/>
          <w:highlight w:val="none"/>
          <w:lang w:val="zh-CN" w:eastAsia="zh-CN"/>
        </w:rPr>
        <w:t>保修费用从质量保修金中扣除</w:t>
      </w:r>
      <w:r>
        <w:rPr>
          <w:rFonts w:ascii="仿宋" w:hAnsi="仿宋" w:eastAsia="仿宋"/>
          <w:color w:val="auto"/>
          <w:highlight w:val="none"/>
          <w:lang w:eastAsia="zh-CN"/>
        </w:rPr>
        <w:t>。</w:t>
      </w:r>
    </w:p>
    <w:p w14:paraId="5583D4DE">
      <w:pPr>
        <w:spacing w:line="360" w:lineRule="auto"/>
        <w:ind w:firstLine="480" w:firstLineChars="200"/>
        <w:rPr>
          <w:rFonts w:ascii="仿宋" w:hAnsi="仿宋" w:eastAsia="仿宋" w:cs="仿宋"/>
          <w:color w:val="auto"/>
          <w:highlight w:val="none"/>
          <w:lang w:eastAsia="zh-CN"/>
        </w:rPr>
      </w:pPr>
      <w:r>
        <w:rPr>
          <w:rFonts w:ascii="仿宋" w:hAnsi="仿宋" w:eastAsia="仿宋" w:cs="仿宋"/>
          <w:color w:val="auto"/>
          <w:highlight w:val="none"/>
          <w:lang w:eastAsia="zh-CN"/>
        </w:rPr>
        <w:t xml:space="preserve">3.2  </w:t>
      </w:r>
      <w:r>
        <w:rPr>
          <w:rFonts w:hint="eastAsia" w:ascii="仿宋" w:hAnsi="仿宋" w:eastAsia="仿宋" w:cs="仿宋"/>
          <w:color w:val="auto"/>
          <w:highlight w:val="none"/>
          <w:lang w:eastAsia="zh-CN"/>
        </w:rPr>
        <w:t>发生紧急抢修事故的，承包人在接到通知后，应立即到达事故现场抢修。</w:t>
      </w:r>
      <w:r>
        <w:rPr>
          <w:rFonts w:ascii="仿宋" w:hAnsi="仿宋" w:eastAsia="仿宋" w:cs="仿宋"/>
          <w:color w:val="auto"/>
          <w:highlight w:val="none"/>
          <w:lang w:eastAsia="zh-CN"/>
        </w:rPr>
        <w:t>保修通知可以口头或书面的方式发出。如以口头方式发出的，承包人应当如实记录通知时间和内容，并在到达现场保修时由发包人签字确认。书面方式包括但不限于电子邮件、传真、信函等方式。</w:t>
      </w:r>
    </w:p>
    <w:p w14:paraId="29015A99">
      <w:pPr>
        <w:spacing w:line="324" w:lineRule="auto"/>
        <w:ind w:firstLine="480" w:firstLineChars="20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3.3 </w:t>
      </w:r>
      <w:r>
        <w:rPr>
          <w:rFonts w:hint="eastAsia" w:ascii="仿宋" w:hAnsi="仿宋" w:eastAsia="仿宋" w:cs="仿宋"/>
          <w:color w:val="auto"/>
          <w:highlight w:val="none"/>
          <w:lang w:eastAsia="zh-CN"/>
        </w:rPr>
        <w:t>在国家规定的工程合理使用期限内，承包人应确保地基基础工程和主体结构的质量和安全。凡出现其质量问题，应立即报告当地建设行政主管部门，由承包人或具有相应资质等级的设计单位提出保修方案后，承包人应立即实施保修。</w:t>
      </w:r>
    </w:p>
    <w:p w14:paraId="23B28252">
      <w:pPr>
        <w:spacing w:line="360" w:lineRule="auto"/>
        <w:ind w:firstLine="480" w:firstLineChars="200"/>
        <w:rPr>
          <w:rFonts w:ascii="仿宋" w:hAnsi="仿宋" w:eastAsia="仿宋"/>
          <w:color w:val="auto"/>
          <w:highlight w:val="none"/>
          <w:lang w:eastAsia="zh-CN"/>
        </w:rPr>
      </w:pPr>
      <w:r>
        <w:rPr>
          <w:rFonts w:ascii="仿宋" w:hAnsi="仿宋" w:eastAsia="仿宋" w:cs="仿宋"/>
          <w:color w:val="auto"/>
          <w:highlight w:val="none"/>
          <w:lang w:eastAsia="zh-CN"/>
        </w:rPr>
        <w:t xml:space="preserve">3.4 </w:t>
      </w:r>
      <w:r>
        <w:rPr>
          <w:rFonts w:hint="eastAsia" w:ascii="仿宋" w:hAnsi="仿宋" w:eastAsia="仿宋" w:cs="仿宋"/>
          <w:color w:val="auto"/>
          <w:highlight w:val="none"/>
          <w:lang w:eastAsia="zh-CN"/>
        </w:rPr>
        <w:t>质量保修完成后，由发包人组织验收。</w:t>
      </w:r>
    </w:p>
    <w:p w14:paraId="0180EC6D">
      <w:pPr>
        <w:spacing w:line="324" w:lineRule="auto"/>
        <w:ind w:firstLine="480" w:firstLineChars="200"/>
        <w:rPr>
          <w:rFonts w:hint="eastAsia" w:ascii="仿宋" w:hAnsi="仿宋" w:eastAsia="仿宋"/>
          <w:color w:val="auto"/>
          <w:highlight w:val="none"/>
          <w:lang w:eastAsia="zh-CN"/>
        </w:rPr>
      </w:pPr>
    </w:p>
    <w:p w14:paraId="6D98D07C">
      <w:pPr>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w:t>
      </w:r>
      <w:r>
        <w:rPr>
          <w:rFonts w:hint="eastAsia" w:ascii="仿宋" w:hAnsi="仿宋" w:eastAsia="仿宋" w:cs="仿宋"/>
          <w:b/>
          <w:bCs/>
          <w:color w:val="auto"/>
          <w:highlight w:val="none"/>
          <w:lang w:eastAsia="zh-CN"/>
        </w:rPr>
        <w:t>质量保证金</w:t>
      </w:r>
    </w:p>
    <w:p w14:paraId="0DBCA577">
      <w:pPr>
        <w:spacing w:line="324" w:lineRule="auto"/>
        <w:ind w:firstLine="220" w:firstLineChars="200"/>
        <w:rPr>
          <w:rFonts w:hint="eastAsia" w:ascii="仿宋" w:hAnsi="仿宋" w:eastAsia="仿宋"/>
          <w:color w:val="auto"/>
          <w:sz w:val="11"/>
          <w:szCs w:val="11"/>
          <w:highlight w:val="none"/>
          <w:lang w:eastAsia="zh-CN"/>
        </w:rPr>
      </w:pPr>
    </w:p>
    <w:p w14:paraId="0FDDA787">
      <w:pPr>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val="zh-CN" w:eastAsia="zh-CN"/>
        </w:rPr>
        <w:t>质量保证金的约定、支付和使用与本合同第三部分《专用条款》第</w:t>
      </w:r>
      <w:r>
        <w:rPr>
          <w:rFonts w:hint="eastAsia" w:ascii="仿宋" w:hAnsi="仿宋" w:eastAsia="仿宋" w:cs="仿宋"/>
          <w:color w:val="auto"/>
          <w:highlight w:val="none"/>
          <w:lang w:eastAsia="zh-CN"/>
        </w:rPr>
        <w:t>89</w:t>
      </w:r>
      <w:r>
        <w:rPr>
          <w:rFonts w:hint="eastAsia" w:ascii="仿宋" w:hAnsi="仿宋" w:eastAsia="仿宋" w:cs="仿宋"/>
          <w:color w:val="auto"/>
          <w:highlight w:val="none"/>
          <w:lang w:val="zh-CN" w:eastAsia="zh-CN"/>
        </w:rPr>
        <w:t>条赋予的约定</w:t>
      </w:r>
      <w:r>
        <w:rPr>
          <w:rFonts w:hint="eastAsia" w:ascii="仿宋" w:hAnsi="仿宋" w:eastAsia="仿宋" w:cs="仿宋"/>
          <w:color w:val="auto"/>
          <w:highlight w:val="none"/>
          <w:lang w:eastAsia="zh-CN"/>
        </w:rPr>
        <w:t>一致。</w:t>
      </w:r>
    </w:p>
    <w:p w14:paraId="78937026">
      <w:pPr>
        <w:spacing w:line="324" w:lineRule="auto"/>
        <w:ind w:firstLine="480" w:firstLineChars="200"/>
        <w:rPr>
          <w:rFonts w:hint="eastAsia" w:ascii="仿宋" w:hAnsi="仿宋" w:eastAsia="仿宋"/>
          <w:color w:val="auto"/>
          <w:highlight w:val="none"/>
          <w:lang w:eastAsia="zh-CN"/>
        </w:rPr>
      </w:pPr>
    </w:p>
    <w:p w14:paraId="79517068">
      <w:pPr>
        <w:spacing w:line="324" w:lineRule="auto"/>
        <w:ind w:left="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w:t>
      </w:r>
      <w:r>
        <w:rPr>
          <w:rFonts w:hint="eastAsia" w:ascii="仿宋" w:hAnsi="仿宋" w:eastAsia="仿宋" w:cs="仿宋"/>
          <w:b/>
          <w:bCs/>
          <w:color w:val="auto"/>
          <w:highlight w:val="none"/>
          <w:lang w:eastAsia="zh-CN"/>
        </w:rPr>
        <w:t>其他</w:t>
      </w:r>
    </w:p>
    <w:p w14:paraId="1B506BD2">
      <w:pPr>
        <w:spacing w:line="324" w:lineRule="auto"/>
        <w:ind w:firstLine="220" w:firstLineChars="200"/>
        <w:rPr>
          <w:rFonts w:hint="eastAsia" w:ascii="仿宋" w:hAnsi="仿宋" w:eastAsia="仿宋"/>
          <w:color w:val="auto"/>
          <w:sz w:val="11"/>
          <w:szCs w:val="11"/>
          <w:highlight w:val="none"/>
          <w:lang w:eastAsia="zh-CN"/>
        </w:rPr>
      </w:pPr>
    </w:p>
    <w:p w14:paraId="51ABE1F7">
      <w:pPr>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5.1  </w:t>
      </w:r>
      <w:r>
        <w:rPr>
          <w:rFonts w:hint="eastAsia" w:ascii="仿宋" w:hAnsi="仿宋" w:eastAsia="仿宋" w:cs="仿宋"/>
          <w:color w:val="auto"/>
          <w:highlight w:val="none"/>
          <w:lang w:val="zh-CN" w:eastAsia="zh-CN"/>
        </w:rPr>
        <w:t>合同双方当事人约定的其他质量保修事</w:t>
      </w:r>
      <w:r>
        <w:rPr>
          <w:rFonts w:hint="eastAsia" w:ascii="仿宋" w:hAnsi="仿宋" w:eastAsia="仿宋" w:cs="仿宋"/>
          <w:color w:val="auto"/>
          <w:highlight w:val="none"/>
          <w:lang w:eastAsia="zh-CN"/>
        </w:rPr>
        <w:t>项：</w:t>
      </w:r>
      <w:r>
        <w:rPr>
          <w:rFonts w:hint="eastAsia" w:ascii="仿宋" w:hAnsi="仿宋" w:eastAsia="仿宋"/>
          <w:color w:val="auto"/>
          <w:highlight w:val="none"/>
          <w:u w:val="single"/>
          <w:lang w:eastAsia="zh-CN"/>
        </w:rPr>
        <w:t xml:space="preserve">  /  </w:t>
      </w:r>
      <w:r>
        <w:rPr>
          <w:rFonts w:ascii="仿宋" w:hAnsi="仿宋" w:eastAsia="仿宋"/>
          <w:color w:val="auto"/>
          <w:highlight w:val="none"/>
          <w:u w:val="single"/>
          <w:lang w:eastAsia="zh-CN"/>
        </w:rPr>
        <w:t>。</w:t>
      </w:r>
    </w:p>
    <w:p w14:paraId="09DEF399">
      <w:pPr>
        <w:spacing w:line="324" w:lineRule="auto"/>
        <w:ind w:firstLine="220" w:firstLineChars="200"/>
        <w:rPr>
          <w:rFonts w:hint="eastAsia" w:ascii="仿宋" w:hAnsi="仿宋" w:eastAsia="仿宋"/>
          <w:color w:val="auto"/>
          <w:sz w:val="11"/>
          <w:szCs w:val="11"/>
          <w:highlight w:val="none"/>
          <w:lang w:eastAsia="zh-CN"/>
        </w:rPr>
      </w:pPr>
    </w:p>
    <w:p w14:paraId="7B4A8531">
      <w:pPr>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5.2  </w:t>
      </w:r>
      <w:r>
        <w:rPr>
          <w:rFonts w:hint="eastAsia" w:ascii="仿宋" w:hAnsi="仿宋" w:eastAsia="仿宋" w:cs="仿宋"/>
          <w:color w:val="auto"/>
          <w:highlight w:val="none"/>
          <w:lang w:val="zh-CN" w:eastAsia="zh-CN"/>
        </w:rPr>
        <w:t>本质量保修书，由合同双方当事人在承包人向发包人提交竣工验收申请报告时签署，作为本合同的附件</w:t>
      </w:r>
      <w:r>
        <w:rPr>
          <w:rFonts w:hint="eastAsia" w:ascii="仿宋" w:hAnsi="仿宋" w:eastAsia="仿宋" w:cs="仿宋"/>
          <w:color w:val="auto"/>
          <w:highlight w:val="none"/>
          <w:lang w:eastAsia="zh-CN"/>
        </w:rPr>
        <w:t>。</w:t>
      </w:r>
    </w:p>
    <w:p w14:paraId="2B59B3A0">
      <w:pPr>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5.3  </w:t>
      </w:r>
      <w:r>
        <w:rPr>
          <w:rFonts w:hint="eastAsia" w:ascii="仿宋" w:hAnsi="仿宋" w:eastAsia="仿宋" w:cs="仿宋"/>
          <w:color w:val="auto"/>
          <w:highlight w:val="none"/>
          <w:lang w:val="zh-CN" w:eastAsia="zh-CN"/>
        </w:rPr>
        <w:t>本质量保修书，自合同双方当事人签署之日起生效，至质量保修期满后失效。</w:t>
      </w:r>
    </w:p>
    <w:p w14:paraId="088C679D">
      <w:pPr>
        <w:spacing w:line="324" w:lineRule="auto"/>
        <w:ind w:firstLine="480" w:firstLineChars="200"/>
        <w:rPr>
          <w:rFonts w:hint="eastAsia" w:ascii="仿宋" w:hAnsi="仿宋" w:eastAsia="仿宋"/>
          <w:color w:val="auto"/>
          <w:highlight w:val="none"/>
          <w:lang w:eastAsia="zh-CN"/>
        </w:rPr>
      </w:pPr>
    </w:p>
    <w:p w14:paraId="5F35461E">
      <w:pPr>
        <w:spacing w:line="324" w:lineRule="auto"/>
        <w:ind w:firstLine="480" w:firstLineChars="200"/>
        <w:rPr>
          <w:rFonts w:hint="eastAsia" w:ascii="仿宋" w:hAnsi="仿宋" w:eastAsia="仿宋"/>
          <w:color w:val="auto"/>
          <w:highlight w:val="none"/>
          <w:lang w:eastAsia="zh-CN"/>
        </w:rPr>
      </w:pPr>
    </w:p>
    <w:p w14:paraId="5860899A">
      <w:pPr>
        <w:spacing w:line="324" w:lineRule="auto"/>
        <w:ind w:firstLine="480" w:firstLineChars="200"/>
        <w:rPr>
          <w:rFonts w:hint="eastAsia" w:ascii="仿宋" w:hAnsi="仿宋" w:eastAsia="仿宋"/>
          <w:color w:val="auto"/>
          <w:highlight w:val="none"/>
          <w:lang w:eastAsia="zh-CN"/>
        </w:rPr>
      </w:pPr>
    </w:p>
    <w:p w14:paraId="22FDED0C">
      <w:pPr>
        <w:spacing w:line="324"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发 包 人：（盖章） 广州三元里片区改造投资有限公司      </w:t>
      </w:r>
    </w:p>
    <w:p w14:paraId="1D64AEBC">
      <w:pPr>
        <w:spacing w:line="324"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p>
    <w:p w14:paraId="49335922">
      <w:pPr>
        <w:spacing w:line="324" w:lineRule="auto"/>
        <w:rPr>
          <w:rFonts w:hint="eastAsia" w:ascii="仿宋" w:hAnsi="仿宋" w:eastAsia="仿宋" w:cs="仿宋"/>
          <w:color w:val="auto"/>
          <w:highlight w:val="none"/>
          <w:lang w:eastAsia="zh-CN"/>
        </w:rPr>
      </w:pPr>
    </w:p>
    <w:p w14:paraId="4201B86B">
      <w:pPr>
        <w:spacing w:line="324" w:lineRule="auto"/>
        <w:ind w:firstLine="480" w:firstLineChars="200"/>
        <w:rPr>
          <w:rFonts w:hint="eastAsia" w:ascii="仿宋" w:hAnsi="仿宋" w:eastAsia="仿宋" w:cs="仿宋"/>
          <w:color w:val="auto"/>
          <w:highlight w:val="none"/>
          <w:lang w:eastAsia="zh-CN"/>
        </w:rPr>
      </w:pPr>
    </w:p>
    <w:p w14:paraId="2A88C9E8">
      <w:pPr>
        <w:spacing w:line="324" w:lineRule="auto"/>
        <w:ind w:left="7200" w:hanging="7200" w:hangingChars="30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承 包 人：（盖章）(主)   </w:t>
      </w:r>
    </w:p>
    <w:p w14:paraId="385500A1">
      <w:pPr>
        <w:spacing w:line="324" w:lineRule="auto"/>
        <w:ind w:firstLine="0" w:firstLineChars="0"/>
        <w:rPr>
          <w:rFonts w:hint="eastAsia" w:ascii="仿宋" w:hAnsi="仿宋" w:eastAsia="仿宋"/>
          <w:color w:val="auto"/>
          <w:highlight w:val="none"/>
          <w:lang w:eastAsia="zh-CN"/>
        </w:rPr>
      </w:pPr>
    </w:p>
    <w:p w14:paraId="2686A4A8">
      <w:pPr>
        <w:spacing w:line="324" w:lineRule="auto"/>
        <w:ind w:firstLine="480" w:firstLineChars="200"/>
        <w:rPr>
          <w:rFonts w:hint="eastAsia" w:ascii="仿宋" w:hAnsi="仿宋" w:eastAsia="仿宋" w:cs="仿宋"/>
          <w:color w:val="auto"/>
          <w:highlight w:val="none"/>
          <w:lang w:eastAsia="zh-CN"/>
        </w:rPr>
      </w:pPr>
    </w:p>
    <w:p w14:paraId="3331B654">
      <w:pPr>
        <w:spacing w:line="324" w:lineRule="auto"/>
        <w:ind w:left="7200" w:hanging="7200" w:hangingChars="30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承 包 人：（盖章） (成)  </w:t>
      </w:r>
    </w:p>
    <w:p w14:paraId="48AB5227">
      <w:pPr>
        <w:spacing w:line="360" w:lineRule="auto"/>
        <w:ind w:firstLine="480" w:firstLineChars="200"/>
        <w:rPr>
          <w:rFonts w:ascii="仿宋" w:hAnsi="仿宋" w:eastAsia="仿宋"/>
          <w:color w:val="auto"/>
          <w:highlight w:val="none"/>
          <w:lang w:eastAsia="zh-CN"/>
        </w:rPr>
      </w:pPr>
    </w:p>
    <w:p w14:paraId="3B0239E0">
      <w:pPr>
        <w:spacing w:line="324" w:lineRule="auto"/>
        <w:ind w:firstLine="0" w:firstLineChars="0"/>
        <w:rPr>
          <w:rFonts w:hint="eastAsia" w:ascii="仿宋" w:hAnsi="仿宋" w:eastAsia="仿宋" w:cs="仿宋"/>
          <w:color w:val="auto"/>
          <w:highlight w:val="none"/>
          <w:lang w:eastAsia="zh-CN"/>
        </w:rPr>
      </w:pPr>
    </w:p>
    <w:p w14:paraId="7EF9879C">
      <w:pPr>
        <w:spacing w:line="324" w:lineRule="auto"/>
        <w:ind w:firstLine="0" w:firstLineChars="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 包 人：（盖章）(成)  </w:t>
      </w:r>
    </w:p>
    <w:p w14:paraId="4ECEE647">
      <w:pPr>
        <w:spacing w:line="324" w:lineRule="auto"/>
        <w:ind w:firstLine="0" w:firstLineChars="0"/>
        <w:rPr>
          <w:rFonts w:hint="eastAsia" w:ascii="仿宋" w:hAnsi="仿宋" w:eastAsia="仿宋" w:cs="仿宋"/>
          <w:color w:val="auto"/>
          <w:highlight w:val="none"/>
          <w:lang w:eastAsia="zh-CN"/>
        </w:rPr>
      </w:pPr>
    </w:p>
    <w:p w14:paraId="579A7DA5">
      <w:pPr>
        <w:spacing w:line="324" w:lineRule="auto"/>
        <w:ind w:left="7200" w:hanging="7200" w:hangingChars="3000"/>
        <w:rPr>
          <w:rFonts w:hint="eastAsia" w:ascii="仿宋" w:hAnsi="仿宋" w:eastAsia="仿宋"/>
          <w:color w:val="auto"/>
          <w:highlight w:val="none"/>
          <w:lang w:eastAsia="zh-CN"/>
        </w:rPr>
      </w:pPr>
    </w:p>
    <w:p w14:paraId="6499FD5E">
      <w:pPr>
        <w:spacing w:line="360" w:lineRule="auto"/>
        <w:ind w:firstLine="480" w:firstLineChars="200"/>
        <w:rPr>
          <w:rFonts w:ascii="仿宋" w:hAnsi="仿宋" w:eastAsia="仿宋"/>
          <w:color w:val="auto"/>
          <w:highlight w:val="none"/>
          <w:lang w:eastAsia="zh-CN"/>
        </w:rPr>
      </w:pPr>
    </w:p>
    <w:p w14:paraId="54EE51A6">
      <w:pPr>
        <w:spacing w:line="360" w:lineRule="auto"/>
        <w:ind w:firstLine="480" w:firstLineChars="200"/>
        <w:rPr>
          <w:rFonts w:hint="eastAsia" w:ascii="仿宋" w:hAnsi="仿宋" w:eastAsia="仿宋" w:cs="仿宋"/>
          <w:color w:val="auto"/>
          <w:highlight w:val="none"/>
          <w:lang w:eastAsia="zh-CN"/>
        </w:rPr>
      </w:pPr>
    </w:p>
    <w:p w14:paraId="670474DE">
      <w:pPr>
        <w:spacing w:line="360" w:lineRule="auto"/>
        <w:ind w:firstLine="480" w:firstLineChars="200"/>
        <w:rPr>
          <w:rFonts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签订日期：</w:t>
      </w:r>
      <w:r>
        <w:rPr>
          <w:rFonts w:ascii="仿宋" w:hAnsi="仿宋" w:eastAsia="仿宋" w:cs="仿宋"/>
          <w:color w:val="auto"/>
          <w:highlight w:val="none"/>
          <w:u w:val="single"/>
          <w:lang w:eastAsia="zh-CN"/>
        </w:rPr>
        <w:t xml:space="preserve">  202</w:t>
      </w:r>
      <w:r>
        <w:rPr>
          <w:rFonts w:hint="eastAsia" w:ascii="仿宋" w:hAnsi="仿宋" w:eastAsia="仿宋" w:cs="仿宋"/>
          <w:color w:val="auto"/>
          <w:highlight w:val="none"/>
          <w:u w:val="single"/>
          <w:lang w:eastAsia="zh-CN"/>
        </w:rPr>
        <w:t>5</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586B5C36">
      <w:pPr>
        <w:spacing w:line="324" w:lineRule="auto"/>
        <w:ind w:firstLine="480" w:firstLineChars="200"/>
        <w:rPr>
          <w:rFonts w:hint="eastAsia" w:ascii="仿宋" w:hAnsi="仿宋" w:eastAsia="仿宋"/>
          <w:color w:val="auto"/>
          <w:highlight w:val="none"/>
          <w:lang w:eastAsia="zh-CN"/>
        </w:rPr>
      </w:pPr>
    </w:p>
    <w:p w14:paraId="0853C6CA">
      <w:pPr>
        <w:spacing w:line="336" w:lineRule="auto"/>
        <w:rPr>
          <w:rFonts w:ascii="仿宋" w:hAnsi="仿宋" w:eastAsia="仿宋"/>
          <w:color w:val="auto"/>
          <w:highlight w:val="none"/>
          <w:lang w:eastAsia="zh-CN"/>
        </w:rPr>
      </w:pPr>
    </w:p>
    <w:p w14:paraId="1AA387D0">
      <w:pPr>
        <w:rPr>
          <w:color w:val="auto"/>
          <w:highlight w:val="none"/>
          <w:lang w:eastAsia="zh-CN"/>
        </w:rPr>
        <w:sectPr>
          <w:headerReference r:id="rId8" w:type="default"/>
          <w:footerReference r:id="rId9" w:type="default"/>
          <w:endnotePr>
            <w:numFmt w:val="decimal"/>
          </w:endnotePr>
          <w:pgSz w:w="11906" w:h="16838"/>
          <w:pgMar w:top="1418" w:right="1418" w:bottom="851" w:left="1418" w:header="0" w:footer="850" w:gutter="0"/>
          <w:cols w:space="720" w:num="1"/>
        </w:sectPr>
      </w:pPr>
    </w:p>
    <w:p w14:paraId="57977248">
      <w:pPr>
        <w:spacing w:line="360" w:lineRule="auto"/>
        <w:outlineLvl w:val="1"/>
        <w:rPr>
          <w:rFonts w:hint="eastAsia" w:ascii="仿宋" w:hAnsi="仿宋" w:eastAsia="仿宋"/>
          <w:b/>
          <w:bCs/>
          <w:color w:val="auto"/>
          <w:highlight w:val="none"/>
          <w:lang w:eastAsia="zh-CN"/>
        </w:rPr>
      </w:pPr>
      <w:bookmarkStart w:id="2042" w:name="_Toc47694459"/>
      <w:bookmarkStart w:id="2043" w:name="_Toc19285"/>
      <w:bookmarkStart w:id="2044" w:name="_Toc20596"/>
      <w:bookmarkStart w:id="2045" w:name="_Toc4752"/>
      <w:bookmarkStart w:id="2046" w:name="_Toc18014"/>
      <w:bookmarkStart w:id="2047" w:name="_Toc8181"/>
      <w:bookmarkStart w:id="2048" w:name="_Toc9652"/>
      <w:bookmarkStart w:id="2049" w:name="_Toc3234"/>
      <w:r>
        <w:rPr>
          <w:rFonts w:hint="eastAsia" w:ascii="仿宋" w:hAnsi="仿宋" w:eastAsia="仿宋" w:cs="仿宋"/>
          <w:b/>
          <w:bCs/>
          <w:color w:val="auto"/>
          <w:highlight w:val="none"/>
          <w:lang w:eastAsia="zh-CN"/>
        </w:rPr>
        <w:t>附件</w:t>
      </w:r>
      <w:bookmarkEnd w:id="2042"/>
      <w:r>
        <w:rPr>
          <w:rFonts w:hint="eastAsia" w:ascii="仿宋" w:hAnsi="仿宋" w:eastAsia="仿宋" w:cs="仿宋"/>
          <w:b/>
          <w:bCs/>
          <w:color w:val="auto"/>
          <w:highlight w:val="none"/>
          <w:lang w:eastAsia="zh-CN"/>
        </w:rPr>
        <w:t>三</w:t>
      </w:r>
      <w:bookmarkEnd w:id="2043"/>
      <w:bookmarkEnd w:id="2044"/>
      <w:bookmarkEnd w:id="2045"/>
      <w:bookmarkEnd w:id="2046"/>
      <w:bookmarkEnd w:id="2047"/>
      <w:bookmarkEnd w:id="2048"/>
      <w:bookmarkEnd w:id="2049"/>
    </w:p>
    <w:p w14:paraId="2AB9AE6D">
      <w:pPr>
        <w:spacing w:line="360" w:lineRule="auto"/>
        <w:jc w:val="center"/>
        <w:rPr>
          <w:rFonts w:hint="eastAsia" w:ascii="仿宋" w:hAnsi="仿宋" w:eastAsia="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廉 政 合 同</w:t>
      </w:r>
    </w:p>
    <w:p w14:paraId="2DBD0493">
      <w:pPr>
        <w:spacing w:line="360" w:lineRule="auto"/>
        <w:rPr>
          <w:rFonts w:hint="eastAsia" w:ascii="仿宋" w:hAnsi="仿宋" w:eastAsia="仿宋"/>
          <w:color w:val="auto"/>
          <w:highlight w:val="none"/>
          <w:lang w:eastAsia="zh-CN"/>
        </w:rPr>
      </w:pPr>
    </w:p>
    <w:p w14:paraId="49318561">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（全称）</w:t>
      </w:r>
      <w:r>
        <w:rPr>
          <w:rFonts w:hint="eastAsia" w:ascii="仿宋" w:hAnsi="仿宋" w:eastAsia="仿宋"/>
          <w:color w:val="auto"/>
          <w:highlight w:val="none"/>
          <w:u w:val="single"/>
          <w:lang w:eastAsia="zh-CN"/>
        </w:rPr>
        <w:t xml:space="preserve"> 广州三元里片区改造投资有限公司           </w:t>
      </w:r>
      <w:r>
        <w:rPr>
          <w:rFonts w:ascii="仿宋" w:hAnsi="仿宋" w:eastAsia="仿宋" w:cs="仿宋"/>
          <w:color w:val="auto"/>
          <w:highlight w:val="none"/>
          <w:u w:val="single"/>
          <w:lang w:eastAsia="zh-CN"/>
        </w:rPr>
        <w:t xml:space="preserve">    </w:t>
      </w:r>
    </w:p>
    <w:p w14:paraId="56B10C7A">
      <w:pPr>
        <w:spacing w:line="324"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承包人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（全称）</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(主)  、(成)  、(成)  </w:t>
      </w:r>
    </w:p>
    <w:p w14:paraId="7D0C0832">
      <w:pPr>
        <w:spacing w:line="360" w:lineRule="auto"/>
        <w:rPr>
          <w:rFonts w:hint="eastAsia" w:ascii="仿宋" w:hAnsi="仿宋" w:eastAsia="仿宋" w:cs="仿宋"/>
          <w:color w:val="auto"/>
          <w:highlight w:val="none"/>
          <w:lang w:eastAsia="zh-CN"/>
        </w:rPr>
      </w:pPr>
    </w:p>
    <w:p w14:paraId="1BFC408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val="zh-CN" w:eastAsia="zh-CN"/>
        </w:rPr>
        <w:t>根据国家、省有关廉政建设的规定，为做好合同工程的廉政建设，保证工程质量与施工安全，提高建设资金的有效使用和投资效益，合同双方当事人就加强合同工程的廉政建设，订立本合同</w:t>
      </w:r>
      <w:r>
        <w:rPr>
          <w:rFonts w:hint="eastAsia" w:ascii="仿宋" w:hAnsi="仿宋" w:eastAsia="仿宋" w:cs="仿宋"/>
          <w:color w:val="auto"/>
          <w:highlight w:val="none"/>
          <w:lang w:eastAsia="zh-CN"/>
        </w:rPr>
        <w:t>。</w:t>
      </w:r>
    </w:p>
    <w:p w14:paraId="69B45E24">
      <w:pPr>
        <w:spacing w:line="360" w:lineRule="auto"/>
        <w:rPr>
          <w:rFonts w:hint="eastAsia" w:ascii="仿宋" w:hAnsi="仿宋" w:eastAsia="仿宋"/>
          <w:b/>
          <w:bCs/>
          <w:color w:val="auto"/>
          <w:sz w:val="28"/>
          <w:szCs w:val="28"/>
          <w:highlight w:val="none"/>
          <w:lang w:eastAsia="zh-CN"/>
        </w:rPr>
      </w:pPr>
      <w:bookmarkStart w:id="2050" w:name="_Toc11148"/>
      <w:r>
        <w:rPr>
          <w:rFonts w:hint="eastAsia" w:ascii="仿宋" w:hAnsi="仿宋" w:eastAsia="仿宋" w:cs="仿宋"/>
          <w:b/>
          <w:bCs/>
          <w:color w:val="auto"/>
          <w:sz w:val="28"/>
          <w:szCs w:val="28"/>
          <w:highlight w:val="none"/>
          <w:lang w:eastAsia="zh-CN"/>
        </w:rPr>
        <w:t>1  双方权利和义务</w:t>
      </w:r>
      <w:bookmarkEnd w:id="2050"/>
    </w:p>
    <w:p w14:paraId="1D81D2D9">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1.1  严格遵守国家、省有关法律法规的规定。</w:t>
      </w:r>
    </w:p>
    <w:p w14:paraId="5AD58641">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1.2  严格执行合同工程一切合同文件，自觉按合同办事。</w:t>
      </w:r>
    </w:p>
    <w:p w14:paraId="1A37AD72">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1.3  </w:t>
      </w:r>
      <w:r>
        <w:rPr>
          <w:rFonts w:hint="eastAsia" w:ascii="仿宋" w:hAnsi="仿宋" w:eastAsia="仿宋" w:cs="仿宋"/>
          <w:color w:val="auto"/>
          <w:highlight w:val="none"/>
          <w:lang w:val="zh-CN" w:eastAsia="zh-CN"/>
        </w:rPr>
        <w:t>合同双方当事人的业务活动应坚持公平、公开、公正和诚信的原则（法律认定的商业秘密和合同文件另有规定除外），不得损害国家和集体利益，不得违反工程建设管理规章制度</w:t>
      </w:r>
      <w:r>
        <w:rPr>
          <w:rFonts w:hint="eastAsia" w:ascii="仿宋" w:hAnsi="仿宋" w:eastAsia="仿宋" w:cs="仿宋"/>
          <w:color w:val="auto"/>
          <w:highlight w:val="none"/>
          <w:lang w:eastAsia="zh-CN"/>
        </w:rPr>
        <w:t>。</w:t>
      </w:r>
    </w:p>
    <w:p w14:paraId="24CB539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1.4  建立健全廉政制度，开展廉政教育，设立廉政告示牌，公布举报电话，监督并认真查处违法违纪行为。</w:t>
      </w:r>
    </w:p>
    <w:p w14:paraId="7109E27D">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1.5  发现对方在业务活动中有违反廉政建设规定的行为，应及时给予提醒和纠正。</w:t>
      </w:r>
    </w:p>
    <w:p w14:paraId="15FFEA60">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1.6  发现对方严重违反合同的行为，有向其主管部门举报、建议给予处理并要求告知处理结果的权利。没有主管部门的，</w:t>
      </w:r>
      <w:r>
        <w:rPr>
          <w:rFonts w:hint="eastAsia" w:ascii="仿宋" w:hAnsi="仿宋" w:eastAsia="仿宋" w:cs="仿宋"/>
          <w:color w:val="auto"/>
          <w:highlight w:val="none"/>
          <w:lang w:val="zh-CN" w:eastAsia="zh-CN"/>
        </w:rPr>
        <w:t>可按本</w:t>
      </w:r>
      <w:r>
        <w:rPr>
          <w:rFonts w:hint="eastAsia" w:ascii="仿宋" w:hAnsi="仿宋" w:eastAsia="仿宋" w:cs="仿宋"/>
          <w:color w:val="auto"/>
          <w:highlight w:val="none"/>
          <w:lang w:eastAsia="zh-CN"/>
        </w:rPr>
        <w:t>工程总承包</w:t>
      </w:r>
      <w:r>
        <w:rPr>
          <w:rFonts w:hint="eastAsia" w:ascii="仿宋" w:hAnsi="仿宋" w:eastAsia="仿宋" w:cs="仿宋"/>
          <w:color w:val="auto"/>
          <w:highlight w:val="none"/>
          <w:lang w:val="zh-CN" w:eastAsia="zh-CN"/>
        </w:rPr>
        <w:t>合同第二部分《通用条款》第</w:t>
      </w:r>
      <w:r>
        <w:rPr>
          <w:rFonts w:hint="eastAsia" w:ascii="仿宋" w:hAnsi="仿宋" w:eastAsia="仿宋" w:cs="仿宋"/>
          <w:color w:val="auto"/>
          <w:highlight w:val="none"/>
          <w:lang w:eastAsia="zh-CN"/>
        </w:rPr>
        <w:t xml:space="preserve"> 101</w:t>
      </w:r>
      <w:r>
        <w:rPr>
          <w:rFonts w:hint="eastAsia" w:ascii="仿宋" w:hAnsi="仿宋" w:eastAsia="仿宋" w:cs="仿宋"/>
          <w:color w:val="auto"/>
          <w:highlight w:val="none"/>
          <w:lang w:val="zh-CN" w:eastAsia="zh-CN"/>
        </w:rPr>
        <w:t>条约定处理</w:t>
      </w:r>
      <w:r>
        <w:rPr>
          <w:rFonts w:hint="eastAsia" w:ascii="仿宋" w:hAnsi="仿宋" w:eastAsia="仿宋" w:cs="仿宋"/>
          <w:color w:val="auto"/>
          <w:highlight w:val="none"/>
          <w:lang w:eastAsia="zh-CN"/>
        </w:rPr>
        <w:t>。</w:t>
      </w:r>
    </w:p>
    <w:p w14:paraId="0D573544">
      <w:pPr>
        <w:spacing w:line="360" w:lineRule="auto"/>
        <w:rPr>
          <w:rFonts w:hint="eastAsia" w:ascii="仿宋" w:hAnsi="仿宋" w:eastAsia="仿宋"/>
          <w:b/>
          <w:bCs/>
          <w:color w:val="auto"/>
          <w:sz w:val="28"/>
          <w:szCs w:val="28"/>
          <w:highlight w:val="none"/>
          <w:lang w:eastAsia="zh-CN"/>
        </w:rPr>
      </w:pPr>
      <w:bookmarkStart w:id="2051" w:name="_Toc18074"/>
      <w:r>
        <w:rPr>
          <w:rFonts w:hint="eastAsia" w:ascii="仿宋" w:hAnsi="仿宋" w:eastAsia="仿宋" w:cs="仿宋"/>
          <w:b/>
          <w:bCs/>
          <w:color w:val="auto"/>
          <w:sz w:val="28"/>
          <w:szCs w:val="28"/>
          <w:highlight w:val="none"/>
          <w:lang w:eastAsia="zh-CN"/>
        </w:rPr>
        <w:t>2  发包人义务</w:t>
      </w:r>
      <w:bookmarkEnd w:id="2051"/>
    </w:p>
    <w:p w14:paraId="64A29C5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2.1  发包人及其工作人员不得索要或接受承包人的礼金、有价证券和贵重物品，不得在承包人报销任何应由发包人或工作人员个人支付的费用等。</w:t>
      </w:r>
    </w:p>
    <w:p w14:paraId="505929D6">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2.2  发包人及其工作人员不得参加承包人安排的宴请（工作餐除外）和娱乐活动；不得接受承包人提供的通讯工具、交通工具和高档办公用品等。</w:t>
      </w:r>
    </w:p>
    <w:p w14:paraId="12B8BFF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2.3  发包人及其工作人员不得要求或者接受承包人为其住房装修、婚丧嫁娶活动、配偶子女的工作安排以及出国出境、旅游等提供方便等。</w:t>
      </w:r>
    </w:p>
    <w:p w14:paraId="09E0DBE7">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2.4  </w:t>
      </w:r>
      <w:r>
        <w:rPr>
          <w:rFonts w:hint="eastAsia" w:ascii="仿宋" w:hAnsi="仿宋" w:eastAsia="仿宋" w:cs="仿宋"/>
          <w:color w:val="auto"/>
          <w:highlight w:val="none"/>
          <w:lang w:val="zh-CN" w:eastAsia="zh-CN"/>
        </w:rPr>
        <w:t>发包人及其工作人员不得以任何理由向承包人推荐分包人、推销工程材料和工程设备，不得要求承包人购买合同以外的工程材料和工程设备</w:t>
      </w:r>
      <w:r>
        <w:rPr>
          <w:rFonts w:hint="eastAsia" w:ascii="仿宋" w:hAnsi="仿宋" w:eastAsia="仿宋" w:cs="仿宋"/>
          <w:color w:val="auto"/>
          <w:highlight w:val="none"/>
          <w:lang w:eastAsia="zh-CN"/>
        </w:rPr>
        <w:t>。</w:t>
      </w:r>
    </w:p>
    <w:p w14:paraId="2EF3B33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2.5  </w:t>
      </w:r>
      <w:r>
        <w:rPr>
          <w:rFonts w:hint="eastAsia" w:ascii="仿宋" w:hAnsi="仿宋" w:eastAsia="仿宋" w:cs="仿宋"/>
          <w:color w:val="auto"/>
          <w:highlight w:val="none"/>
          <w:lang w:val="zh-CN" w:eastAsia="zh-CN"/>
        </w:rPr>
        <w:t>发包人及其工作人员要秉公办事，不准营私舞弊，不准利用职权私自为合同工程安排施工队伍，也不得从事与合同工程有关的各种有偿中介活动</w:t>
      </w:r>
      <w:r>
        <w:rPr>
          <w:rFonts w:hint="eastAsia" w:ascii="仿宋" w:hAnsi="仿宋" w:eastAsia="仿宋" w:cs="仿宋"/>
          <w:color w:val="auto"/>
          <w:highlight w:val="none"/>
          <w:lang w:eastAsia="zh-CN"/>
        </w:rPr>
        <w:t>。</w:t>
      </w:r>
    </w:p>
    <w:p w14:paraId="1085B43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2.6  </w:t>
      </w:r>
      <w:r>
        <w:rPr>
          <w:rFonts w:hint="eastAsia" w:ascii="仿宋" w:hAnsi="仿宋" w:eastAsia="仿宋" w:cs="仿宋"/>
          <w:color w:val="auto"/>
          <w:highlight w:val="none"/>
          <w:lang w:val="zh-CN" w:eastAsia="zh-CN"/>
        </w:rPr>
        <w:t>发包人及其工作人员（含其配偶、子女）不得从事与合同工程有关的工程材料和工程设备供应、工程分包、劳务等经济活动</w:t>
      </w:r>
      <w:r>
        <w:rPr>
          <w:rFonts w:hint="eastAsia" w:ascii="仿宋" w:hAnsi="仿宋" w:eastAsia="仿宋" w:cs="仿宋"/>
          <w:color w:val="auto"/>
          <w:highlight w:val="none"/>
          <w:lang w:eastAsia="zh-CN"/>
        </w:rPr>
        <w:t>。</w:t>
      </w:r>
    </w:p>
    <w:p w14:paraId="003D8B80">
      <w:pPr>
        <w:spacing w:line="360" w:lineRule="auto"/>
        <w:rPr>
          <w:rFonts w:hint="eastAsia" w:ascii="仿宋" w:hAnsi="仿宋" w:eastAsia="仿宋"/>
          <w:b/>
          <w:bCs/>
          <w:color w:val="auto"/>
          <w:sz w:val="28"/>
          <w:szCs w:val="28"/>
          <w:highlight w:val="none"/>
          <w:lang w:eastAsia="zh-CN"/>
        </w:rPr>
      </w:pPr>
      <w:bookmarkStart w:id="2052" w:name="_Toc14380"/>
      <w:r>
        <w:rPr>
          <w:rFonts w:hint="eastAsia" w:ascii="仿宋" w:hAnsi="仿宋" w:eastAsia="仿宋" w:cs="仿宋"/>
          <w:b/>
          <w:bCs/>
          <w:color w:val="auto"/>
          <w:sz w:val="28"/>
          <w:szCs w:val="28"/>
          <w:highlight w:val="none"/>
          <w:lang w:eastAsia="zh-CN"/>
        </w:rPr>
        <w:t>3  承包人义务</w:t>
      </w:r>
      <w:bookmarkEnd w:id="2052"/>
    </w:p>
    <w:p w14:paraId="46D97E0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3.1  承包人不得以任何理由向发包人及其工作人员行贿或馈赠礼金、有价证券、贵重礼品。</w:t>
      </w:r>
    </w:p>
    <w:p w14:paraId="6FEA86D0">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3.2  承包人不得以任何名义为发包人及其工作人员报销应由发包人或工作人员个人支付的任何费用。</w:t>
      </w:r>
    </w:p>
    <w:p w14:paraId="71F4BEC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3.3  承包人不得以任何理由安排发包人及其工作人员参加宴请（工作餐除外）及娱乐活动。</w:t>
      </w:r>
    </w:p>
    <w:p w14:paraId="51D5FC91">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3.4  承包人不得为发包人和个人购置或提供通讯工具、交通工具和高档办公用品等。</w:t>
      </w:r>
    </w:p>
    <w:p w14:paraId="6C4CF81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3.5  </w:t>
      </w:r>
      <w:r>
        <w:rPr>
          <w:rFonts w:hint="eastAsia" w:ascii="仿宋" w:hAnsi="仿宋" w:eastAsia="仿宋" w:cs="仿宋"/>
          <w:color w:val="auto"/>
          <w:highlight w:val="none"/>
          <w:lang w:val="zh-CN" w:eastAsia="zh-CN"/>
        </w:rPr>
        <w:t>承包人不得为发包人及其工作人员的住房装修、婚丧嫁娶活动、配偶子女工作安排以及出国出境、旅游等提供方便。</w:t>
      </w:r>
    </w:p>
    <w:p w14:paraId="1F552EB0">
      <w:pPr>
        <w:spacing w:line="360" w:lineRule="auto"/>
        <w:rPr>
          <w:rFonts w:hint="eastAsia" w:ascii="仿宋" w:hAnsi="仿宋" w:eastAsia="仿宋"/>
          <w:b/>
          <w:bCs/>
          <w:color w:val="auto"/>
          <w:sz w:val="28"/>
          <w:szCs w:val="28"/>
          <w:highlight w:val="none"/>
          <w:lang w:eastAsia="zh-CN"/>
        </w:rPr>
      </w:pPr>
      <w:bookmarkStart w:id="2053" w:name="_Toc8886"/>
      <w:r>
        <w:rPr>
          <w:rFonts w:hint="eastAsia" w:ascii="仿宋" w:hAnsi="仿宋" w:eastAsia="仿宋" w:cs="仿宋"/>
          <w:b/>
          <w:bCs/>
          <w:color w:val="auto"/>
          <w:sz w:val="28"/>
          <w:szCs w:val="28"/>
          <w:highlight w:val="none"/>
          <w:lang w:eastAsia="zh-CN"/>
        </w:rPr>
        <w:t>4  违约责任</w:t>
      </w:r>
      <w:bookmarkEnd w:id="2053"/>
    </w:p>
    <w:p w14:paraId="30477826">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4.1  发包人及其工作人员违反本合同第1条和第2条约定，应依据有关规定给予廉政建设规定的处分；涉嫌犯罪的，移交司法机关追究刑事责任；给承包人造成经济损失的，应予赔偿。</w:t>
      </w:r>
    </w:p>
    <w:p w14:paraId="436FB9BF">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4.2  </w:t>
      </w:r>
      <w:r>
        <w:rPr>
          <w:rFonts w:hint="eastAsia" w:ascii="仿宋" w:hAnsi="仿宋" w:eastAsia="仿宋" w:cs="仿宋"/>
          <w:color w:val="auto"/>
          <w:highlight w:val="none"/>
          <w:lang w:val="zh-CN" w:eastAsia="zh-CN"/>
        </w:rPr>
        <w:t>承包人及其工作人员违反本合同第</w:t>
      </w:r>
      <w:r>
        <w:rPr>
          <w:rFonts w:hint="eastAsia" w:ascii="仿宋" w:hAnsi="仿宋" w:eastAsia="仿宋" w:cs="仿宋"/>
          <w:color w:val="auto"/>
          <w:highlight w:val="none"/>
          <w:lang w:eastAsia="zh-CN"/>
        </w:rPr>
        <w:t xml:space="preserve"> 1 </w:t>
      </w:r>
      <w:r>
        <w:rPr>
          <w:rFonts w:hint="eastAsia" w:ascii="仿宋" w:hAnsi="仿宋" w:eastAsia="仿宋" w:cs="仿宋"/>
          <w:color w:val="auto"/>
          <w:highlight w:val="none"/>
          <w:lang w:val="zh-CN" w:eastAsia="zh-CN"/>
        </w:rPr>
        <w:t>条和第</w:t>
      </w:r>
      <w:r>
        <w:rPr>
          <w:rFonts w:hint="eastAsia" w:ascii="仿宋" w:hAnsi="仿宋" w:eastAsia="仿宋" w:cs="仿宋"/>
          <w:color w:val="auto"/>
          <w:highlight w:val="none"/>
          <w:lang w:eastAsia="zh-CN"/>
        </w:rPr>
        <w:t xml:space="preserve"> 3 </w:t>
      </w:r>
      <w:r>
        <w:rPr>
          <w:rFonts w:hint="eastAsia" w:ascii="仿宋" w:hAnsi="仿宋" w:eastAsia="仿宋" w:cs="仿宋"/>
          <w:color w:val="auto"/>
          <w:highlight w:val="none"/>
          <w:lang w:val="zh-CN" w:eastAsia="zh-CN"/>
        </w:rPr>
        <w:t>条约定，应按照廉政建设的有关规定给予处分；涉嫌犯罪的，移交司法机关追究刑事责任；给发包人造成损失的，应予赔偿。</w:t>
      </w:r>
    </w:p>
    <w:p w14:paraId="395010A7">
      <w:pPr>
        <w:spacing w:line="360" w:lineRule="auto"/>
        <w:rPr>
          <w:rFonts w:hint="eastAsia" w:ascii="仿宋" w:hAnsi="仿宋" w:eastAsia="仿宋"/>
          <w:b/>
          <w:bCs/>
          <w:color w:val="auto"/>
          <w:sz w:val="28"/>
          <w:szCs w:val="28"/>
          <w:highlight w:val="none"/>
          <w:lang w:eastAsia="zh-CN"/>
        </w:rPr>
      </w:pPr>
      <w:bookmarkStart w:id="2054" w:name="_Toc20236"/>
      <w:r>
        <w:rPr>
          <w:rFonts w:hint="eastAsia" w:ascii="仿宋" w:hAnsi="仿宋" w:eastAsia="仿宋" w:cs="仿宋"/>
          <w:b/>
          <w:bCs/>
          <w:color w:val="auto"/>
          <w:sz w:val="28"/>
          <w:szCs w:val="28"/>
          <w:highlight w:val="none"/>
          <w:lang w:eastAsia="zh-CN"/>
        </w:rPr>
        <w:t>5  双方约定</w:t>
      </w:r>
      <w:bookmarkEnd w:id="2054"/>
    </w:p>
    <w:p w14:paraId="196F678F">
      <w:pPr>
        <w:pStyle w:val="18"/>
        <w:spacing w:line="360" w:lineRule="auto"/>
        <w:ind w:firstLine="480" w:firstLineChars="200"/>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val="zh-CN" w:eastAsia="zh-CN"/>
        </w:rPr>
        <w:t>本合同由合同双方当事人或其主管部门负责监督执行</w:t>
      </w:r>
      <w:r>
        <w:rPr>
          <w:rFonts w:hint="eastAsia" w:ascii="仿宋" w:hAnsi="仿宋" w:eastAsia="仿宋" w:cs="仿宋"/>
          <w:color w:val="auto"/>
          <w:sz w:val="24"/>
          <w:szCs w:val="24"/>
          <w:highlight w:val="none"/>
          <w:lang w:eastAsia="zh-CN"/>
        </w:rPr>
        <w:t>。</w:t>
      </w:r>
    </w:p>
    <w:p w14:paraId="02514D80">
      <w:pPr>
        <w:spacing w:line="360" w:lineRule="auto"/>
        <w:rPr>
          <w:rFonts w:hint="eastAsia" w:ascii="仿宋" w:hAnsi="仿宋" w:eastAsia="仿宋"/>
          <w:b/>
          <w:bCs/>
          <w:color w:val="auto"/>
          <w:sz w:val="28"/>
          <w:szCs w:val="28"/>
          <w:highlight w:val="none"/>
          <w:lang w:eastAsia="zh-CN"/>
        </w:rPr>
      </w:pPr>
      <w:bookmarkStart w:id="2055" w:name="_Toc18718"/>
      <w:r>
        <w:rPr>
          <w:rFonts w:hint="eastAsia" w:ascii="仿宋" w:hAnsi="仿宋" w:eastAsia="仿宋" w:cs="仿宋"/>
          <w:b/>
          <w:bCs/>
          <w:color w:val="auto"/>
          <w:sz w:val="28"/>
          <w:szCs w:val="28"/>
          <w:highlight w:val="none"/>
          <w:lang w:eastAsia="zh-CN"/>
        </w:rPr>
        <w:t>6  合同法律效力</w:t>
      </w:r>
      <w:bookmarkEnd w:id="2055"/>
    </w:p>
    <w:p w14:paraId="1B7BA3A1">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本合同作为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广州市白云区三元里村城中村改造项目二期安置房（AB3814008）勘察设计施工总承包（EPC）</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（工程名称）合同的附件，与工程总承包合同具有同等的法律效力。</w:t>
      </w:r>
    </w:p>
    <w:p w14:paraId="013C85EA">
      <w:pPr>
        <w:spacing w:line="360" w:lineRule="auto"/>
        <w:rPr>
          <w:rFonts w:hint="eastAsia" w:ascii="仿宋" w:hAnsi="仿宋" w:eastAsia="仿宋"/>
          <w:b/>
          <w:bCs/>
          <w:color w:val="auto"/>
          <w:sz w:val="28"/>
          <w:szCs w:val="28"/>
          <w:highlight w:val="none"/>
          <w:lang w:eastAsia="zh-CN"/>
        </w:rPr>
      </w:pPr>
      <w:bookmarkStart w:id="2056" w:name="_Toc21722"/>
      <w:r>
        <w:rPr>
          <w:rFonts w:hint="eastAsia" w:ascii="仿宋" w:hAnsi="仿宋" w:eastAsia="仿宋" w:cs="仿宋"/>
          <w:b/>
          <w:bCs/>
          <w:color w:val="auto"/>
          <w:sz w:val="28"/>
          <w:szCs w:val="28"/>
          <w:highlight w:val="none"/>
          <w:lang w:eastAsia="zh-CN"/>
        </w:rPr>
        <w:t>7  合同份数</w:t>
      </w:r>
      <w:bookmarkEnd w:id="2056"/>
    </w:p>
    <w:p w14:paraId="053922A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本合同一式</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份，发包人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份，承包人各执</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份。有上级部门的，合同双方当事人应送交其上级部门各一份。</w:t>
      </w:r>
    </w:p>
    <w:p w14:paraId="42829ECF">
      <w:pPr>
        <w:spacing w:line="360" w:lineRule="auto"/>
        <w:ind w:firstLine="480" w:firstLineChars="200"/>
        <w:rPr>
          <w:rFonts w:hint="eastAsia" w:ascii="仿宋" w:hAnsi="仿宋" w:eastAsia="仿宋"/>
          <w:color w:val="auto"/>
          <w:highlight w:val="none"/>
          <w:lang w:eastAsia="zh-CN"/>
        </w:rPr>
      </w:pPr>
    </w:p>
    <w:p w14:paraId="6A6A9866">
      <w:pPr>
        <w:spacing w:line="324"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发 包 人：（盖章） 广州三元里片区改造投资有限公司      </w:t>
      </w:r>
    </w:p>
    <w:p w14:paraId="30F67DCC">
      <w:pPr>
        <w:spacing w:line="324"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p>
    <w:p w14:paraId="1367A915">
      <w:pPr>
        <w:spacing w:line="324" w:lineRule="auto"/>
        <w:rPr>
          <w:rFonts w:hint="eastAsia" w:ascii="仿宋" w:hAnsi="仿宋" w:eastAsia="仿宋" w:cs="仿宋"/>
          <w:color w:val="auto"/>
          <w:highlight w:val="none"/>
          <w:lang w:eastAsia="zh-CN"/>
        </w:rPr>
      </w:pPr>
    </w:p>
    <w:p w14:paraId="7C0BA3F5">
      <w:pPr>
        <w:spacing w:line="324" w:lineRule="auto"/>
        <w:ind w:firstLine="480" w:firstLineChars="200"/>
        <w:rPr>
          <w:rFonts w:hint="eastAsia" w:ascii="仿宋" w:hAnsi="仿宋" w:eastAsia="仿宋" w:cs="仿宋"/>
          <w:color w:val="auto"/>
          <w:highlight w:val="none"/>
          <w:lang w:eastAsia="zh-CN"/>
        </w:rPr>
      </w:pPr>
    </w:p>
    <w:p w14:paraId="554CBAE3">
      <w:pPr>
        <w:spacing w:line="324" w:lineRule="auto"/>
        <w:ind w:left="7200" w:hanging="7200" w:hangingChars="30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承 包 人：（盖章）(主)   </w:t>
      </w:r>
    </w:p>
    <w:p w14:paraId="34F4D7FD">
      <w:pPr>
        <w:spacing w:line="324" w:lineRule="auto"/>
        <w:ind w:firstLine="0" w:firstLineChars="0"/>
        <w:rPr>
          <w:rFonts w:hint="eastAsia" w:ascii="仿宋" w:hAnsi="仿宋" w:eastAsia="仿宋"/>
          <w:color w:val="auto"/>
          <w:highlight w:val="none"/>
          <w:lang w:eastAsia="zh-CN"/>
        </w:rPr>
      </w:pPr>
    </w:p>
    <w:p w14:paraId="2A02E11A">
      <w:pPr>
        <w:spacing w:line="324" w:lineRule="auto"/>
        <w:ind w:firstLine="480" w:firstLineChars="200"/>
        <w:rPr>
          <w:rFonts w:hint="eastAsia" w:ascii="仿宋" w:hAnsi="仿宋" w:eastAsia="仿宋" w:cs="仿宋"/>
          <w:color w:val="auto"/>
          <w:highlight w:val="none"/>
          <w:lang w:eastAsia="zh-CN"/>
        </w:rPr>
      </w:pPr>
    </w:p>
    <w:p w14:paraId="083FC558">
      <w:pPr>
        <w:spacing w:line="324" w:lineRule="auto"/>
        <w:ind w:left="7200" w:hanging="7200" w:hangingChars="30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承 包 人：（盖章） (成)  </w:t>
      </w:r>
    </w:p>
    <w:p w14:paraId="02EA409E">
      <w:pPr>
        <w:spacing w:line="360" w:lineRule="auto"/>
        <w:ind w:firstLine="480" w:firstLineChars="200"/>
        <w:rPr>
          <w:rFonts w:ascii="仿宋" w:hAnsi="仿宋" w:eastAsia="仿宋"/>
          <w:color w:val="auto"/>
          <w:highlight w:val="none"/>
          <w:lang w:eastAsia="zh-CN"/>
        </w:rPr>
      </w:pPr>
    </w:p>
    <w:p w14:paraId="64D5C0EB">
      <w:pPr>
        <w:spacing w:line="324" w:lineRule="auto"/>
        <w:ind w:firstLine="0" w:firstLineChars="0"/>
        <w:rPr>
          <w:rFonts w:hint="eastAsia" w:ascii="仿宋" w:hAnsi="仿宋" w:eastAsia="仿宋" w:cs="仿宋"/>
          <w:color w:val="auto"/>
          <w:highlight w:val="none"/>
          <w:lang w:eastAsia="zh-CN"/>
        </w:rPr>
      </w:pPr>
    </w:p>
    <w:p w14:paraId="5080E8F7">
      <w:pPr>
        <w:spacing w:line="324" w:lineRule="auto"/>
        <w:ind w:firstLine="0" w:firstLineChars="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 包 人：（盖章）(成)  </w:t>
      </w:r>
    </w:p>
    <w:p w14:paraId="609CBBB9">
      <w:pPr>
        <w:spacing w:line="324" w:lineRule="auto"/>
        <w:ind w:firstLine="0" w:firstLineChars="0"/>
        <w:rPr>
          <w:rFonts w:hint="eastAsia" w:ascii="仿宋" w:hAnsi="仿宋" w:eastAsia="仿宋" w:cs="仿宋"/>
          <w:color w:val="auto"/>
          <w:highlight w:val="none"/>
          <w:lang w:eastAsia="zh-CN"/>
        </w:rPr>
      </w:pPr>
    </w:p>
    <w:p w14:paraId="0B9F9E6F">
      <w:pPr>
        <w:spacing w:line="324" w:lineRule="auto"/>
        <w:rPr>
          <w:rFonts w:hint="eastAsia" w:ascii="仿宋" w:hAnsi="仿宋" w:eastAsia="仿宋" w:cs="仿宋"/>
          <w:color w:val="auto"/>
          <w:highlight w:val="none"/>
          <w:lang w:eastAsia="zh-CN"/>
        </w:rPr>
      </w:pPr>
    </w:p>
    <w:p w14:paraId="7064F9F8">
      <w:pPr>
        <w:spacing w:line="360" w:lineRule="auto"/>
        <w:ind w:firstLine="0" w:firstLineChars="0"/>
        <w:rPr>
          <w:rFonts w:hint="eastAsia" w:ascii="仿宋" w:hAnsi="仿宋" w:eastAsia="仿宋"/>
          <w:color w:val="auto"/>
          <w:highlight w:val="none"/>
          <w:lang w:eastAsia="zh-CN"/>
        </w:rPr>
      </w:pPr>
    </w:p>
    <w:p w14:paraId="59B0517D">
      <w:pPr>
        <w:spacing w:line="324"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p>
    <w:p w14:paraId="2E165769">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 xml:space="preserve"> </w:t>
      </w:r>
    </w:p>
    <w:p w14:paraId="755F1438">
      <w:pPr>
        <w:spacing w:line="360" w:lineRule="auto"/>
        <w:ind w:firstLine="480" w:firstLineChars="200"/>
        <w:rPr>
          <w:rFonts w:hint="eastAsia" w:ascii="仿宋" w:hAnsi="仿宋" w:eastAsia="仿宋"/>
          <w:color w:val="auto"/>
          <w:highlight w:val="none"/>
          <w:lang w:eastAsia="zh-CN"/>
        </w:rPr>
      </w:pPr>
    </w:p>
    <w:p w14:paraId="3EF88C99">
      <w:pPr>
        <w:spacing w:line="360" w:lineRule="auto"/>
        <w:ind w:firstLine="480" w:firstLineChars="200"/>
        <w:rPr>
          <w:rFonts w:hint="eastAsia" w:ascii="仿宋" w:hAnsi="仿宋" w:eastAsia="仿宋"/>
          <w:color w:val="auto"/>
          <w:highlight w:val="none"/>
          <w:lang w:eastAsia="zh-CN"/>
        </w:rPr>
      </w:pPr>
    </w:p>
    <w:p w14:paraId="15018E48">
      <w:pPr>
        <w:spacing w:line="360" w:lineRule="auto"/>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 xml:space="preserve"> 签订日期：</w:t>
      </w:r>
      <w:r>
        <w:rPr>
          <w:rFonts w:ascii="仿宋" w:hAnsi="仿宋" w:eastAsia="仿宋"/>
          <w:color w:val="auto"/>
          <w:highlight w:val="none"/>
          <w:lang w:eastAsia="zh-CN"/>
        </w:rPr>
        <w:t>202</w:t>
      </w:r>
      <w:r>
        <w:rPr>
          <w:rFonts w:hint="eastAsia" w:ascii="仿宋" w:hAnsi="仿宋" w:eastAsia="仿宋"/>
          <w:color w:val="auto"/>
          <w:highlight w:val="none"/>
          <w:lang w:eastAsia="zh-CN"/>
        </w:rPr>
        <w:t xml:space="preserve">5 年    月   日 </w:t>
      </w:r>
    </w:p>
    <w:p w14:paraId="3B09EE25">
      <w:pPr>
        <w:spacing w:line="360" w:lineRule="auto"/>
        <w:ind w:firstLine="480" w:firstLineChars="200"/>
        <w:rPr>
          <w:rFonts w:ascii="仿宋" w:hAnsi="仿宋" w:eastAsia="仿宋" w:cs="仿宋"/>
          <w:color w:val="auto"/>
          <w:highlight w:val="none"/>
          <w:lang w:eastAsia="zh-CN"/>
        </w:rPr>
      </w:pPr>
    </w:p>
    <w:p w14:paraId="65190318">
      <w:pPr>
        <w:rPr>
          <w:color w:val="auto"/>
          <w:highlight w:val="none"/>
          <w:lang w:eastAsia="zh-CN"/>
        </w:rPr>
        <w:sectPr>
          <w:endnotePr>
            <w:numFmt w:val="decimal"/>
          </w:endnotePr>
          <w:pgSz w:w="11906" w:h="16838"/>
          <w:pgMar w:top="1418" w:right="1418" w:bottom="851" w:left="1418" w:header="0" w:footer="850" w:gutter="0"/>
          <w:cols w:space="720" w:num="1"/>
        </w:sectPr>
      </w:pPr>
    </w:p>
    <w:p w14:paraId="107200B7">
      <w:pPr>
        <w:spacing w:line="360" w:lineRule="auto"/>
        <w:outlineLvl w:val="1"/>
        <w:rPr>
          <w:rFonts w:hint="eastAsia" w:ascii="仿宋" w:hAnsi="仿宋" w:eastAsia="仿宋"/>
          <w:b/>
          <w:bCs/>
          <w:color w:val="auto"/>
          <w:highlight w:val="none"/>
          <w:lang w:eastAsia="zh-CN"/>
        </w:rPr>
      </w:pPr>
      <w:bookmarkStart w:id="2057" w:name="_Toc47694460"/>
      <w:bookmarkStart w:id="2058" w:name="_Toc3522"/>
      <w:bookmarkStart w:id="2059" w:name="_Toc29231"/>
      <w:bookmarkStart w:id="2060" w:name="_Toc22260"/>
      <w:bookmarkStart w:id="2061" w:name="_Toc19554"/>
      <w:bookmarkStart w:id="2062" w:name="_Toc5122"/>
      <w:bookmarkStart w:id="2063" w:name="_Toc7093"/>
      <w:bookmarkStart w:id="2064" w:name="_Toc17849"/>
      <w:r>
        <w:rPr>
          <w:rFonts w:hint="eastAsia" w:ascii="仿宋" w:hAnsi="仿宋" w:eastAsia="仿宋" w:cs="仿宋"/>
          <w:b/>
          <w:bCs/>
          <w:color w:val="auto"/>
          <w:highlight w:val="none"/>
          <w:lang w:eastAsia="zh-CN"/>
        </w:rPr>
        <w:t>附件</w:t>
      </w:r>
      <w:bookmarkEnd w:id="2057"/>
      <w:r>
        <w:rPr>
          <w:rFonts w:hint="eastAsia" w:ascii="仿宋" w:hAnsi="仿宋" w:eastAsia="仿宋" w:cs="仿宋"/>
          <w:b/>
          <w:bCs/>
          <w:color w:val="auto"/>
          <w:highlight w:val="none"/>
          <w:lang w:eastAsia="zh-CN"/>
        </w:rPr>
        <w:t>四</w:t>
      </w:r>
      <w:bookmarkEnd w:id="2058"/>
      <w:bookmarkEnd w:id="2059"/>
      <w:bookmarkEnd w:id="2060"/>
      <w:bookmarkEnd w:id="2061"/>
      <w:bookmarkEnd w:id="2062"/>
      <w:bookmarkEnd w:id="2063"/>
      <w:bookmarkEnd w:id="2064"/>
    </w:p>
    <w:p w14:paraId="51A5E6CC">
      <w:pPr>
        <w:spacing w:line="360" w:lineRule="auto"/>
        <w:jc w:val="center"/>
        <w:rPr>
          <w:rFonts w:hint="eastAsia" w:ascii="仿宋" w:hAnsi="仿宋" w:eastAsia="仿宋" w:cs="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民工权益保障承诺书</w:t>
      </w:r>
    </w:p>
    <w:p w14:paraId="629B59D2">
      <w:pPr>
        <w:spacing w:line="360" w:lineRule="auto"/>
        <w:jc w:val="center"/>
        <w:rPr>
          <w:rFonts w:ascii="仿宋" w:hAnsi="仿宋" w:eastAsia="仿宋"/>
          <w:color w:val="auto"/>
          <w:highlight w:val="none"/>
          <w:lang w:eastAsia="zh-CN"/>
        </w:rPr>
      </w:pPr>
    </w:p>
    <w:p w14:paraId="33706D84">
      <w:pPr>
        <w:spacing w:line="360" w:lineRule="auto"/>
        <w:ind w:firstLine="482" w:firstLineChars="200"/>
        <w:rPr>
          <w:rFonts w:ascii="仿宋" w:hAnsi="仿宋" w:eastAsia="仿宋"/>
          <w:b/>
          <w:color w:val="auto"/>
          <w:highlight w:val="none"/>
          <w:u w:val="single"/>
          <w:lang w:eastAsia="zh-CN"/>
        </w:rPr>
      </w:pPr>
      <w:r>
        <w:rPr>
          <w:rFonts w:ascii="仿宋" w:hAnsi="仿宋" w:eastAsia="仿宋"/>
          <w:b/>
          <w:color w:val="auto"/>
          <w:highlight w:val="none"/>
          <w:lang w:eastAsia="zh-CN"/>
        </w:rPr>
        <w:t>致</w:t>
      </w:r>
      <w:r>
        <w:rPr>
          <w:rFonts w:ascii="仿宋" w:hAnsi="仿宋" w:eastAsia="仿宋"/>
          <w:b/>
          <w:color w:val="auto"/>
          <w:highlight w:val="none"/>
          <w:u w:val="single"/>
          <w:lang w:eastAsia="zh-CN"/>
        </w:rPr>
        <w:t>:</w:t>
      </w:r>
      <w:r>
        <w:rPr>
          <w:rFonts w:hint="eastAsia" w:ascii="仿宋" w:hAnsi="仿宋" w:eastAsia="仿宋"/>
          <w:b/>
          <w:color w:val="auto"/>
          <w:highlight w:val="none"/>
          <w:u w:val="single"/>
          <w:lang w:eastAsia="zh-CN"/>
        </w:rPr>
        <w:t>广州三元里片区改造投资有限公司</w:t>
      </w:r>
    </w:p>
    <w:p w14:paraId="3A5E75D5">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本公司与贵司签订</w:t>
      </w:r>
      <w:r>
        <w:rPr>
          <w:rFonts w:hint="eastAsia" w:ascii="仿宋" w:hAnsi="仿宋" w:eastAsia="仿宋"/>
          <w:color w:val="auto"/>
          <w:highlight w:val="none"/>
          <w:lang w:eastAsia="zh-CN"/>
        </w:rPr>
        <w:t>《广州市白云区三元里村城中村改造项目二期安置</w:t>
      </w:r>
      <w:r>
        <w:rPr>
          <w:rFonts w:hint="eastAsia" w:ascii="仿宋" w:hAnsi="仿宋" w:eastAsia="仿宋"/>
          <w:color w:val="auto"/>
          <w:highlight w:val="none"/>
          <w:lang w:eastAsia="zh"/>
        </w:rPr>
        <w:t>房</w:t>
      </w:r>
      <w:r>
        <w:rPr>
          <w:rFonts w:hint="eastAsia" w:ascii="仿宋" w:hAnsi="仿宋" w:eastAsia="仿宋"/>
          <w:color w:val="auto"/>
          <w:highlight w:val="none"/>
          <w:lang w:eastAsia="zh-CN"/>
        </w:rPr>
        <w:t>（AB3814008）</w:t>
      </w:r>
      <w:r>
        <w:rPr>
          <w:rFonts w:hint="eastAsia" w:ascii="仿宋" w:hAnsi="仿宋" w:eastAsia="仿宋" w:cs="仿宋"/>
          <w:color w:val="auto"/>
          <w:highlight w:val="none"/>
          <w:lang w:val="en-US" w:eastAsia="zh-CN"/>
        </w:rPr>
        <w:t>勘察设计施工总承包（EPC）</w:t>
      </w:r>
      <w:r>
        <w:rPr>
          <w:rFonts w:hint="eastAsia" w:ascii="仿宋" w:hAnsi="仿宋" w:eastAsia="仿宋" w:cs="仿宋"/>
          <w:color w:val="auto"/>
          <w:highlight w:val="none"/>
          <w:lang w:val="en-US" w:eastAsia="zh"/>
        </w:rPr>
        <w:t>合同</w:t>
      </w:r>
      <w:r>
        <w:rPr>
          <w:rFonts w:ascii="仿宋" w:hAnsi="仿宋" w:eastAsia="仿宋"/>
          <w:color w:val="auto"/>
          <w:highlight w:val="none"/>
          <w:lang w:eastAsia="zh-CN"/>
        </w:rPr>
        <w:t>》，我司同意在合同履行过程中，向贵司就民工权益保障工作做出如下承诺，并作为《</w:t>
      </w:r>
      <w:r>
        <w:rPr>
          <w:rFonts w:hint="eastAsia" w:ascii="仿宋" w:hAnsi="仿宋" w:eastAsia="仿宋"/>
          <w:color w:val="auto"/>
          <w:highlight w:val="none"/>
          <w:u w:val="single"/>
          <w:lang w:eastAsia="zh-CN"/>
        </w:rPr>
        <w:t xml:space="preserve"> </w:t>
      </w:r>
      <w:r>
        <w:rPr>
          <w:rFonts w:hint="eastAsia" w:ascii="仿宋" w:hAnsi="仿宋" w:eastAsia="仿宋"/>
          <w:color w:val="auto"/>
          <w:highlight w:val="none"/>
          <w:u w:val="single"/>
          <w:lang w:val="en-US" w:eastAsia="zh-CN"/>
        </w:rPr>
        <w:t>广州市白云区三元里村城中村改造项目二期安置房（AB3814008）勘察设计施工总承包（EPC）</w:t>
      </w:r>
      <w:r>
        <w:rPr>
          <w:rFonts w:hint="eastAsia" w:ascii="仿宋" w:hAnsi="仿宋" w:eastAsia="仿宋"/>
          <w:color w:val="auto"/>
          <w:highlight w:val="none"/>
          <w:u w:val="single"/>
          <w:lang w:eastAsia="zh-CN"/>
        </w:rPr>
        <w:t xml:space="preserve"> </w:t>
      </w:r>
      <w:r>
        <w:rPr>
          <w:rFonts w:ascii="仿宋" w:hAnsi="仿宋" w:eastAsia="仿宋"/>
          <w:color w:val="auto"/>
          <w:highlight w:val="none"/>
          <w:lang w:eastAsia="zh-CN"/>
        </w:rPr>
        <w:t>合同》的附件，与其具有同等法律效力。</w:t>
      </w:r>
    </w:p>
    <w:p w14:paraId="197D26F7">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1、我司承诺成立专人负责的民工权益保障专职部门，部门人员由项目经理、预算部经理、财务部经理、民工权益保障专员组成；项目经理兼任部门经理，与贵司负责民工权益保障的部门工作对接。</w:t>
      </w:r>
    </w:p>
    <w:p w14:paraId="4CE9C255">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2、我司承诺严格遵守国家、省、市劳务用工制度和有关</w:t>
      </w:r>
      <w:r>
        <w:rPr>
          <w:rFonts w:ascii="仿宋" w:hAnsi="仿宋" w:eastAsia="仿宋"/>
          <w:bCs/>
          <w:smallCaps/>
          <w:color w:val="auto"/>
          <w:highlight w:val="none"/>
          <w:lang w:eastAsia="zh-CN"/>
        </w:rPr>
        <w:t>农民工工资支付管理暂行办法，</w:t>
      </w:r>
      <w:r>
        <w:rPr>
          <w:rFonts w:ascii="仿宋" w:hAnsi="仿宋" w:eastAsia="仿宋"/>
          <w:color w:val="auto"/>
          <w:highlight w:val="none"/>
          <w:lang w:eastAsia="zh-CN"/>
        </w:rPr>
        <w:t>认真履行职责，做好本公司在贵司承建的施工项目的民工用工和管理工作，确保按时、足额支付劳务分包单位的劳务款，确保按时、足额将民工工资发放到民工本人，安排好本公司民工的生活，做好本公司民工的安全教育和管理工作，发放劳保和安全用品。</w:t>
      </w:r>
    </w:p>
    <w:p w14:paraId="349CF7D6">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我司承诺按贵司要求按时如实填报有关民工权益保障资料（包括如实记录支付单位、支付时间、支付对象、支付数额等工资支付情况的农民工工资支付凭证），并作为工程款支付依据之一（工程进度款支付申请资料除应附确认的形象进度资料外，同时应附确认的民工权益保障合格资料）。若未按贵司要求及时提供完整的相关资料和凭证的，同意贵司延期或不予支付相应的进度款。合同履行过程中，如贵司接到我司拖欠民工工资的投诉，且经核实为事实的，则贵司有权按照《</w:t>
      </w:r>
      <w:r>
        <w:rPr>
          <w:rFonts w:hint="eastAsia" w:ascii="仿宋" w:hAnsi="仿宋" w:eastAsia="仿宋" w:cs="仿宋"/>
          <w:color w:val="auto"/>
          <w:highlight w:val="none"/>
          <w:lang w:val="en-US" w:eastAsia="zh-CN"/>
        </w:rPr>
        <w:t>广州市白云区三元里村城中村改造项目二期安置房(AB3814008)勘察设计施工总承包（EPC）</w:t>
      </w:r>
      <w:r>
        <w:rPr>
          <w:rFonts w:hint="eastAsia" w:ascii="仿宋" w:hAnsi="仿宋" w:eastAsia="仿宋" w:cs="仿宋"/>
          <w:color w:val="auto"/>
          <w:highlight w:val="none"/>
          <w:lang w:val="en-US" w:eastAsia="zh"/>
        </w:rPr>
        <w:t>合同</w:t>
      </w:r>
      <w:r>
        <w:rPr>
          <w:rFonts w:ascii="仿宋" w:hAnsi="仿宋" w:eastAsia="仿宋"/>
          <w:color w:val="auto"/>
          <w:highlight w:val="none"/>
          <w:lang w:eastAsia="zh-CN"/>
        </w:rPr>
        <w:t>》中的相关条款进行处理，并有权将我司拖欠的金额从应付工程款中直接支付给被拖欠方。</w:t>
      </w:r>
    </w:p>
    <w:p w14:paraId="13EBC716">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特此承诺！</w:t>
      </w:r>
    </w:p>
    <w:p w14:paraId="774097BF">
      <w:pPr>
        <w:spacing w:line="360" w:lineRule="auto"/>
        <w:ind w:right="2432"/>
        <w:jc w:val="right"/>
        <w:rPr>
          <w:rFonts w:ascii="仿宋" w:hAnsi="仿宋" w:eastAsia="仿宋"/>
          <w:color w:val="auto"/>
          <w:highlight w:val="none"/>
          <w:lang w:eastAsia="zh-CN"/>
        </w:rPr>
      </w:pPr>
    </w:p>
    <w:p w14:paraId="42847C0C">
      <w:pPr>
        <w:spacing w:line="360" w:lineRule="auto"/>
        <w:ind w:firstLine="5280" w:firstLineChars="2200"/>
        <w:jc w:val="both"/>
        <w:rPr>
          <w:rFonts w:ascii="仿宋" w:hAnsi="仿宋" w:eastAsia="仿宋"/>
          <w:color w:val="auto"/>
          <w:highlight w:val="none"/>
          <w:lang w:eastAsia="zh-CN"/>
        </w:rPr>
      </w:pPr>
      <w:r>
        <w:rPr>
          <w:rFonts w:ascii="仿宋" w:hAnsi="仿宋" w:eastAsia="仿宋"/>
          <w:color w:val="auto"/>
          <w:highlight w:val="none"/>
          <w:lang w:eastAsia="zh-CN"/>
        </w:rPr>
        <w:t>承诺人：</w:t>
      </w:r>
      <w:r>
        <w:rPr>
          <w:rFonts w:hint="eastAsia" w:ascii="仿宋" w:hAnsi="仿宋" w:eastAsia="仿宋"/>
          <w:color w:val="auto"/>
          <w:highlight w:val="none"/>
          <w:lang w:eastAsia="zh-CN"/>
        </w:rPr>
        <w:t xml:space="preserve">       </w:t>
      </w:r>
    </w:p>
    <w:p w14:paraId="0F8EAD93">
      <w:pPr>
        <w:spacing w:line="360" w:lineRule="auto"/>
        <w:ind w:right="2432"/>
        <w:jc w:val="right"/>
        <w:rPr>
          <w:rFonts w:ascii="仿宋" w:hAnsi="仿宋" w:eastAsia="仿宋"/>
          <w:color w:val="auto"/>
          <w:highlight w:val="none"/>
          <w:lang w:eastAsia="zh-CN"/>
        </w:rPr>
      </w:pPr>
      <w:r>
        <w:rPr>
          <w:rFonts w:ascii="仿宋" w:hAnsi="仿宋" w:eastAsia="仿宋"/>
          <w:color w:val="auto"/>
          <w:highlight w:val="none"/>
          <w:lang w:eastAsia="zh-CN"/>
        </w:rPr>
        <w:t xml:space="preserve">法定代表人：                   </w:t>
      </w:r>
    </w:p>
    <w:p w14:paraId="07CE4620">
      <w:pPr>
        <w:rPr>
          <w:rFonts w:hint="eastAsia" w:ascii="仿宋" w:hAnsi="仿宋" w:eastAsia="仿宋" w:cs="仿宋"/>
          <w:color w:val="auto"/>
          <w:highlight w:val="none"/>
          <w:lang w:eastAsia="zh-CN"/>
        </w:rPr>
      </w:pPr>
      <w:r>
        <w:rPr>
          <w:rFonts w:ascii="仿宋" w:hAnsi="仿宋" w:eastAsia="仿宋"/>
          <w:color w:val="auto"/>
          <w:highlight w:val="none"/>
          <w:lang w:eastAsia="zh-CN"/>
        </w:rPr>
        <w:t xml:space="preserve">                                     </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 xml:space="preserve"> 承诺日期： 202</w:t>
      </w:r>
      <w:r>
        <w:rPr>
          <w:rFonts w:hint="eastAsia" w:ascii="仿宋" w:hAnsi="仿宋" w:eastAsia="仿宋"/>
          <w:color w:val="auto"/>
          <w:highlight w:val="none"/>
          <w:lang w:eastAsia="zh-CN"/>
        </w:rPr>
        <w:t>5</w:t>
      </w:r>
      <w:r>
        <w:rPr>
          <w:rFonts w:ascii="仿宋" w:hAnsi="仿宋" w:eastAsia="仿宋"/>
          <w:color w:val="auto"/>
          <w:highlight w:val="none"/>
          <w:lang w:eastAsia="zh-CN"/>
        </w:rPr>
        <w:t xml:space="preserve"> 年   月   日</w:t>
      </w:r>
    </w:p>
    <w:p w14:paraId="6CBDC534">
      <w:pPr>
        <w:pStyle w:val="3"/>
        <w:rPr>
          <w:rFonts w:hint="eastAsia" w:ascii="仿宋" w:hAnsi="仿宋" w:eastAsia="仿宋"/>
          <w:i w:val="0"/>
          <w:iCs w:val="0"/>
          <w:color w:val="auto"/>
          <w:sz w:val="24"/>
          <w:szCs w:val="24"/>
          <w:highlight w:val="none"/>
          <w:lang w:eastAsia="zh-CN"/>
        </w:rPr>
      </w:pPr>
      <w:bookmarkStart w:id="2065" w:name="_Toc24467827"/>
      <w:bookmarkStart w:id="2066" w:name="_Toc30116"/>
      <w:bookmarkStart w:id="2067" w:name="_Toc32634"/>
      <w:bookmarkStart w:id="2068" w:name="_Toc19883"/>
      <w:bookmarkStart w:id="2069" w:name="_Toc10325"/>
      <w:bookmarkStart w:id="2070" w:name="_Toc27454"/>
      <w:bookmarkStart w:id="2071" w:name="_Toc26210"/>
      <w:bookmarkStart w:id="2072" w:name="_Toc2194"/>
      <w:bookmarkStart w:id="2073" w:name="_Toc47694461"/>
      <w:r>
        <w:rPr>
          <w:rFonts w:ascii="仿宋" w:hAnsi="仿宋" w:eastAsia="仿宋"/>
          <w:i w:val="0"/>
          <w:iCs w:val="0"/>
          <w:color w:val="auto"/>
          <w:sz w:val="24"/>
          <w:szCs w:val="24"/>
          <w:highlight w:val="none"/>
          <w:lang w:eastAsia="zh-CN"/>
        </w:rPr>
        <w:t>附件</w:t>
      </w:r>
      <w:bookmarkEnd w:id="2065"/>
      <w:r>
        <w:rPr>
          <w:rFonts w:hint="eastAsia" w:ascii="仿宋" w:hAnsi="仿宋" w:eastAsia="仿宋"/>
          <w:i w:val="0"/>
          <w:iCs w:val="0"/>
          <w:color w:val="auto"/>
          <w:sz w:val="24"/>
          <w:szCs w:val="24"/>
          <w:highlight w:val="none"/>
          <w:lang w:eastAsia="zh-CN"/>
        </w:rPr>
        <w:t>五</w:t>
      </w:r>
      <w:bookmarkEnd w:id="2066"/>
      <w:bookmarkEnd w:id="2067"/>
      <w:bookmarkEnd w:id="2068"/>
      <w:bookmarkEnd w:id="2069"/>
      <w:bookmarkEnd w:id="2070"/>
      <w:bookmarkEnd w:id="2071"/>
      <w:bookmarkEnd w:id="2072"/>
      <w:r>
        <w:rPr>
          <w:rFonts w:hint="eastAsia" w:ascii="仿宋" w:hAnsi="仿宋" w:eastAsia="仿宋"/>
          <w:i w:val="0"/>
          <w:iCs w:val="0"/>
          <w:color w:val="auto"/>
          <w:sz w:val="24"/>
          <w:szCs w:val="24"/>
          <w:highlight w:val="none"/>
          <w:lang w:eastAsia="zh-CN"/>
        </w:rPr>
        <w:t xml:space="preserve">           </w:t>
      </w:r>
    </w:p>
    <w:p w14:paraId="63AB1114">
      <w:pPr>
        <w:ind w:firstLine="3092" w:firstLineChars="700"/>
        <w:rPr>
          <w:rFonts w:hint="eastAsia" w:ascii="仿宋" w:hAnsi="仿宋" w:eastAsia="仿宋"/>
          <w:b/>
          <w:color w:val="auto"/>
          <w:sz w:val="44"/>
          <w:szCs w:val="44"/>
          <w:highlight w:val="none"/>
          <w:lang w:eastAsia="zh-CN"/>
        </w:rPr>
      </w:pPr>
      <w:r>
        <w:rPr>
          <w:rFonts w:hint="eastAsia" w:ascii="仿宋" w:hAnsi="仿宋" w:eastAsia="仿宋"/>
          <w:b/>
          <w:color w:val="auto"/>
          <w:sz w:val="44"/>
          <w:szCs w:val="44"/>
          <w:highlight w:val="none"/>
          <w:lang w:eastAsia="zh-CN"/>
        </w:rPr>
        <w:t>履约保函</w:t>
      </w:r>
    </w:p>
    <w:p w14:paraId="4CA5663E">
      <w:pPr>
        <w:spacing w:line="360" w:lineRule="auto"/>
        <w:rPr>
          <w:rFonts w:ascii="仿宋" w:hAnsi="仿宋" w:eastAsia="仿宋"/>
          <w:b/>
          <w:color w:val="auto"/>
          <w:highlight w:val="none"/>
          <w:lang w:eastAsia="zh-CN"/>
        </w:rPr>
      </w:pPr>
      <w:r>
        <w:rPr>
          <w:rFonts w:ascii="仿宋" w:hAnsi="仿宋" w:eastAsia="仿宋"/>
          <w:b/>
          <w:color w:val="auto"/>
          <w:highlight w:val="none"/>
          <w:lang w:eastAsia="zh-CN"/>
        </w:rPr>
        <w:t xml:space="preserve">                                            编号：</w:t>
      </w:r>
    </w:p>
    <w:p w14:paraId="1D6B3463">
      <w:pPr>
        <w:spacing w:line="360" w:lineRule="auto"/>
        <w:rPr>
          <w:rFonts w:ascii="仿宋" w:hAnsi="仿宋" w:eastAsia="仿宋"/>
          <w:b/>
          <w:color w:val="auto"/>
          <w:highlight w:val="none"/>
          <w:lang w:eastAsia="zh-CN"/>
        </w:rPr>
      </w:pPr>
    </w:p>
    <w:p w14:paraId="16B5188E">
      <w:pPr>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 xml:space="preserve"> 致：              （发包人全称） </w:t>
      </w:r>
      <w:r>
        <w:rPr>
          <w:rFonts w:ascii="仿宋" w:hAnsi="仿宋" w:eastAsia="仿宋"/>
          <w:color w:val="auto"/>
          <w:highlight w:val="none"/>
          <w:lang w:eastAsia="zh-CN"/>
        </w:rPr>
        <w:t>：</w:t>
      </w:r>
    </w:p>
    <w:p w14:paraId="4CB6D134">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　　根据贵方与</w:t>
      </w:r>
      <w:r>
        <w:rPr>
          <w:rFonts w:ascii="仿宋" w:hAnsi="仿宋" w:eastAsia="仿宋"/>
          <w:color w:val="auto"/>
          <w:highlight w:val="none"/>
          <w:u w:val="single"/>
          <w:lang w:eastAsia="zh-CN"/>
        </w:rPr>
        <w:t xml:space="preserve">                           </w:t>
      </w:r>
      <w:r>
        <w:rPr>
          <w:rFonts w:ascii="仿宋" w:hAnsi="仿宋" w:eastAsia="仿宋"/>
          <w:color w:val="auto"/>
          <w:highlight w:val="none"/>
          <w:lang w:eastAsia="zh-CN"/>
        </w:rPr>
        <w:t>（以下简称“承包人”）于    年 月 日在</w:t>
      </w:r>
      <w:r>
        <w:rPr>
          <w:rFonts w:ascii="仿宋" w:hAnsi="仿宋" w:eastAsia="仿宋"/>
          <w:color w:val="auto"/>
          <w:highlight w:val="none"/>
          <w:u w:val="single"/>
          <w:lang w:eastAsia="zh-CN"/>
        </w:rPr>
        <w:t>广州市</w:t>
      </w:r>
      <w:r>
        <w:rPr>
          <w:rFonts w:ascii="仿宋" w:hAnsi="仿宋" w:eastAsia="仿宋"/>
          <w:color w:val="auto"/>
          <w:highlight w:val="none"/>
          <w:lang w:eastAsia="zh-CN"/>
        </w:rPr>
        <w:t>签署的编号为</w:t>
      </w:r>
      <w:r>
        <w:rPr>
          <w:rFonts w:ascii="仿宋" w:hAnsi="仿宋" w:eastAsia="仿宋"/>
          <w:color w:val="auto"/>
          <w:highlight w:val="none"/>
          <w:u w:val="single"/>
          <w:lang w:eastAsia="zh-CN"/>
        </w:rPr>
        <w:t xml:space="preserve">              </w:t>
      </w:r>
      <w:r>
        <w:rPr>
          <w:rFonts w:ascii="仿宋" w:hAnsi="仿宋" w:eastAsia="仿宋"/>
          <w:color w:val="auto"/>
          <w:highlight w:val="none"/>
          <w:lang w:eastAsia="zh-CN"/>
        </w:rPr>
        <w:t>的</w:t>
      </w:r>
      <w:r>
        <w:rPr>
          <w:rFonts w:ascii="仿宋" w:hAnsi="仿宋" w:eastAsia="仿宋"/>
          <w:color w:val="auto"/>
          <w:highlight w:val="none"/>
          <w:u w:val="single"/>
          <w:lang w:eastAsia="zh-CN"/>
        </w:rPr>
        <w:t>《                            合同》</w:t>
      </w:r>
      <w:r>
        <w:rPr>
          <w:rFonts w:ascii="仿宋" w:hAnsi="仿宋" w:eastAsia="仿宋"/>
          <w:color w:val="auto"/>
          <w:highlight w:val="none"/>
          <w:lang w:eastAsia="zh-CN"/>
        </w:rPr>
        <w:t>（以下简称“合同”），本行同意开立以贵方为受益人的不可撤销履约保函。</w:t>
      </w:r>
    </w:p>
    <w:p w14:paraId="5A4147FF">
      <w:pPr>
        <w:spacing w:line="360" w:lineRule="auto"/>
        <w:ind w:firstLine="420"/>
        <w:rPr>
          <w:rFonts w:ascii="仿宋" w:hAnsi="仿宋" w:eastAsia="仿宋"/>
          <w:color w:val="auto"/>
          <w:highlight w:val="none"/>
          <w:lang w:eastAsia="zh-CN"/>
        </w:rPr>
      </w:pPr>
      <w:r>
        <w:rPr>
          <w:rFonts w:ascii="仿宋" w:hAnsi="仿宋" w:eastAsia="仿宋"/>
          <w:color w:val="auto"/>
          <w:highlight w:val="none"/>
          <w:lang w:eastAsia="zh-CN"/>
        </w:rPr>
        <w:t>本行的保证范围是承包人未按照合同的约定履行义务，应承担的违约金或给贵方造成的经济损失。本行保证的金额是合同约定总价款的</w:t>
      </w:r>
      <w:r>
        <w:rPr>
          <w:rFonts w:hint="eastAsia" w:ascii="仿宋" w:hAnsi="仿宋" w:eastAsia="仿宋"/>
          <w:color w:val="auto"/>
          <w:highlight w:val="none"/>
          <w:lang w:eastAsia="zh-CN"/>
        </w:rPr>
        <w:t>10</w:t>
      </w:r>
      <w:r>
        <w:rPr>
          <w:rFonts w:ascii="仿宋" w:hAnsi="仿宋" w:eastAsia="仿宋"/>
          <w:color w:val="auto"/>
          <w:highlight w:val="none"/>
          <w:lang w:eastAsia="zh-CN"/>
        </w:rPr>
        <w:t>%，数额最高不超过人民币</w:t>
      </w:r>
      <w:r>
        <w:rPr>
          <w:rFonts w:ascii="仿宋" w:hAnsi="仿宋" w:eastAsia="仿宋"/>
          <w:color w:val="auto"/>
          <w:highlight w:val="none"/>
          <w:u w:val="single"/>
          <w:lang w:eastAsia="zh-CN"/>
        </w:rPr>
        <w:t xml:space="preserve"> </w:t>
      </w:r>
      <w:r>
        <w:rPr>
          <w:rFonts w:ascii="仿宋" w:hAnsi="仿宋" w:eastAsia="仿宋"/>
          <w:color w:val="auto"/>
          <w:highlight w:val="none"/>
          <w:lang w:eastAsia="zh-CN"/>
        </w:rPr>
        <w:t>元（大写：</w:t>
      </w:r>
      <w:r>
        <w:rPr>
          <w:rFonts w:ascii="仿宋" w:hAnsi="仿宋" w:eastAsia="仿宋"/>
          <w:color w:val="auto"/>
          <w:highlight w:val="none"/>
          <w:u w:val="single"/>
          <w:lang w:eastAsia="zh-CN"/>
        </w:rPr>
        <w:t xml:space="preserve">              </w:t>
      </w:r>
      <w:r>
        <w:rPr>
          <w:rFonts w:ascii="仿宋" w:hAnsi="仿宋" w:eastAsia="仿宋"/>
          <w:color w:val="auto"/>
          <w:highlight w:val="none"/>
          <w:lang w:eastAsia="zh-CN"/>
        </w:rPr>
        <w:t>）。</w:t>
      </w:r>
    </w:p>
    <w:p w14:paraId="1AA04B0D">
      <w:pPr>
        <w:spacing w:line="360" w:lineRule="auto"/>
        <w:ind w:firstLine="420"/>
        <w:rPr>
          <w:rFonts w:ascii="仿宋" w:hAnsi="仿宋" w:eastAsia="仿宋"/>
          <w:color w:val="auto"/>
          <w:highlight w:val="none"/>
          <w:lang w:eastAsia="zh-CN"/>
        </w:rPr>
      </w:pPr>
      <w:r>
        <w:rPr>
          <w:rFonts w:ascii="仿宋" w:hAnsi="仿宋" w:eastAsia="仿宋"/>
          <w:color w:val="auto"/>
          <w:highlight w:val="none"/>
          <w:lang w:eastAsia="zh-CN"/>
        </w:rPr>
        <w:t>在贵方书面提出要求索赔通知时，本行不挑剔、不争辩</w:t>
      </w:r>
      <w:r>
        <w:rPr>
          <w:rFonts w:hint="eastAsia" w:ascii="仿宋" w:hAnsi="仿宋" w:eastAsia="仿宋"/>
          <w:color w:val="auto"/>
          <w:highlight w:val="none"/>
          <w:lang w:eastAsia="zh-CN"/>
        </w:rPr>
        <w:t>，</w:t>
      </w:r>
      <w:r>
        <w:rPr>
          <w:rFonts w:ascii="仿宋" w:hAnsi="仿宋" w:eastAsia="仿宋"/>
          <w:color w:val="auto"/>
          <w:highlight w:val="none"/>
          <w:lang w:eastAsia="zh-CN"/>
        </w:rPr>
        <w:t>不要求贵方出具承包人的违约证明或说明背景、理由，并保证在收到贵方索赔通知书5个工作日内无条件支付。贵方单次索赔或者累计索赔总额以上述最高担保金额为限。</w:t>
      </w:r>
    </w:p>
    <w:p w14:paraId="56939D28">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　　本行放弃贵方应先向承包人要求赔偿上述金额后之后再向本行提出要求的权利。</w:t>
      </w:r>
    </w:p>
    <w:p w14:paraId="61C238BE">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　　本行进一步同意在贵方和承包人之间的合同条件、合同项下的工程或合同文件发生变化、补充或修改后，本行承担本保函的责任也不改变，有关上述变化、补充和修改也无须通知本行。</w:t>
      </w:r>
    </w:p>
    <w:p w14:paraId="66A0837E">
      <w:pPr>
        <w:spacing w:line="360" w:lineRule="auto"/>
        <w:ind w:firstLine="420"/>
        <w:rPr>
          <w:rFonts w:ascii="仿宋" w:hAnsi="仿宋" w:eastAsia="仿宋"/>
          <w:color w:val="auto"/>
          <w:highlight w:val="none"/>
          <w:lang w:eastAsia="zh-CN"/>
        </w:rPr>
      </w:pPr>
      <w:r>
        <w:rPr>
          <w:rFonts w:ascii="仿宋" w:hAnsi="仿宋" w:eastAsia="仿宋"/>
          <w:color w:val="auto"/>
          <w:highlight w:val="none"/>
          <w:lang w:eastAsia="zh-CN"/>
        </w:rPr>
        <w:t>本履约保函自开立之日起直至上述最高担保金额支付完毕或承包人交付合同项下工程且验收合格后30天内一直有效。</w:t>
      </w:r>
    </w:p>
    <w:p w14:paraId="4211F710">
      <w:pPr>
        <w:spacing w:line="360" w:lineRule="auto"/>
        <w:ind w:firstLine="420"/>
        <w:rPr>
          <w:rFonts w:ascii="仿宋" w:hAnsi="仿宋" w:eastAsia="仿宋"/>
          <w:color w:val="auto"/>
          <w:highlight w:val="none"/>
          <w:lang w:eastAsia="zh-CN"/>
        </w:rPr>
      </w:pPr>
    </w:p>
    <w:p w14:paraId="5AE1B762">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　　                               保证人：(银行盖章)</w:t>
      </w:r>
    </w:p>
    <w:p w14:paraId="6C2FC76B">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 xml:space="preserve">　　                               法定代表人（盖章）： </w:t>
      </w:r>
    </w:p>
    <w:p w14:paraId="214B7886">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　　　　                           日期： 202</w:t>
      </w:r>
      <w:r>
        <w:rPr>
          <w:rFonts w:hint="eastAsia" w:ascii="仿宋" w:hAnsi="仿宋" w:eastAsia="仿宋"/>
          <w:color w:val="auto"/>
          <w:highlight w:val="none"/>
          <w:lang w:eastAsia="zh-CN"/>
        </w:rPr>
        <w:t>5</w:t>
      </w:r>
      <w:r>
        <w:rPr>
          <w:rFonts w:ascii="仿宋" w:hAnsi="仿宋" w:eastAsia="仿宋"/>
          <w:color w:val="auto"/>
          <w:highlight w:val="none"/>
          <w:lang w:eastAsia="zh-CN"/>
        </w:rPr>
        <w:t xml:space="preserve"> 年    月    日</w:t>
      </w:r>
    </w:p>
    <w:p w14:paraId="4B4B8D59">
      <w:pPr>
        <w:spacing w:line="360" w:lineRule="auto"/>
        <w:rPr>
          <w:rFonts w:ascii="仿宋" w:hAnsi="仿宋" w:eastAsia="仿宋"/>
          <w:b/>
          <w:color w:val="auto"/>
          <w:highlight w:val="none"/>
          <w:lang w:eastAsia="zh-CN"/>
        </w:rPr>
      </w:pPr>
    </w:p>
    <w:p w14:paraId="54AC9EFF">
      <w:pPr>
        <w:spacing w:line="360" w:lineRule="auto"/>
        <w:rPr>
          <w:rFonts w:ascii="仿宋" w:hAnsi="仿宋" w:eastAsia="仿宋"/>
          <w:b/>
          <w:color w:val="auto"/>
          <w:highlight w:val="none"/>
          <w:lang w:eastAsia="zh-CN"/>
        </w:rPr>
      </w:pPr>
      <w:bookmarkStart w:id="2074" w:name="_toc426"/>
      <w:bookmarkEnd w:id="2074"/>
      <w:bookmarkStart w:id="2075" w:name="_toc417"/>
      <w:bookmarkEnd w:id="2075"/>
      <w:bookmarkStart w:id="2076" w:name="_toc332"/>
      <w:bookmarkEnd w:id="2076"/>
      <w:bookmarkStart w:id="2077" w:name="_toc38"/>
      <w:bookmarkEnd w:id="2077"/>
      <w:bookmarkStart w:id="2078" w:name="_toc78"/>
      <w:bookmarkEnd w:id="2078"/>
      <w:bookmarkStart w:id="2079" w:name="_toc37"/>
      <w:bookmarkEnd w:id="2079"/>
      <w:bookmarkStart w:id="2080" w:name="_toc1065"/>
      <w:bookmarkEnd w:id="2080"/>
      <w:bookmarkStart w:id="2081" w:name="_toc54"/>
      <w:bookmarkEnd w:id="2081"/>
      <w:bookmarkStart w:id="2082" w:name="_toc449"/>
      <w:bookmarkEnd w:id="2082"/>
      <w:bookmarkStart w:id="2083" w:name="_toc80"/>
      <w:bookmarkEnd w:id="2083"/>
      <w:bookmarkStart w:id="2084" w:name="_toc438"/>
      <w:bookmarkEnd w:id="2084"/>
      <w:bookmarkStart w:id="2085" w:name="_toc349"/>
      <w:bookmarkEnd w:id="2085"/>
    </w:p>
    <w:p w14:paraId="4BB6C1EF">
      <w:pPr>
        <w:spacing w:line="360" w:lineRule="auto"/>
        <w:ind w:firstLine="482" w:firstLineChars="200"/>
        <w:rPr>
          <w:rFonts w:ascii="仿宋" w:hAnsi="仿宋" w:eastAsia="仿宋"/>
          <w:b/>
          <w:color w:val="auto"/>
          <w:highlight w:val="none"/>
          <w:lang w:eastAsia="zh-CN"/>
        </w:rPr>
      </w:pPr>
    </w:p>
    <w:p w14:paraId="49708131">
      <w:pPr>
        <w:jc w:val="right"/>
        <w:rPr>
          <w:rFonts w:hint="eastAsia" w:ascii="仿宋" w:hAnsi="仿宋" w:eastAsia="仿宋"/>
          <w:b/>
          <w:color w:val="auto"/>
          <w:highlight w:val="none"/>
          <w:lang w:eastAsia="zh-CN"/>
        </w:rPr>
      </w:pPr>
    </w:p>
    <w:p w14:paraId="0A28FD92">
      <w:pPr>
        <w:spacing w:line="360" w:lineRule="auto"/>
        <w:outlineLvl w:val="1"/>
        <w:rPr>
          <w:rFonts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2086" w:name="_Toc14879"/>
      <w:bookmarkStart w:id="2087" w:name="_Toc24507"/>
      <w:bookmarkStart w:id="2088" w:name="_Toc19042"/>
      <w:bookmarkStart w:id="2089" w:name="_Toc25169"/>
      <w:bookmarkStart w:id="2090" w:name="_Toc10795"/>
      <w:bookmarkStart w:id="2091" w:name="_Toc5339"/>
      <w:bookmarkStart w:id="2092" w:name="_Toc26070"/>
      <w:r>
        <w:rPr>
          <w:rFonts w:hint="eastAsia" w:ascii="仿宋" w:hAnsi="仿宋" w:eastAsia="仿宋" w:cs="仿宋"/>
          <w:b/>
          <w:bCs/>
          <w:color w:val="auto"/>
          <w:highlight w:val="none"/>
          <w:lang w:eastAsia="zh-CN"/>
        </w:rPr>
        <w:t>附件六</w:t>
      </w:r>
      <w:bookmarkEnd w:id="2073"/>
      <w:bookmarkEnd w:id="2086"/>
      <w:bookmarkEnd w:id="2087"/>
      <w:bookmarkEnd w:id="2088"/>
      <w:bookmarkEnd w:id="2089"/>
      <w:bookmarkEnd w:id="2090"/>
      <w:bookmarkEnd w:id="2091"/>
      <w:bookmarkEnd w:id="2092"/>
      <w:r>
        <w:rPr>
          <w:rFonts w:hint="eastAsia" w:ascii="仿宋" w:hAnsi="仿宋" w:eastAsia="仿宋" w:cs="仿宋"/>
          <w:b/>
          <w:bCs/>
          <w:color w:val="auto"/>
          <w:highlight w:val="none"/>
          <w:lang w:eastAsia="zh-CN"/>
        </w:rPr>
        <w:t xml:space="preserve"> </w:t>
      </w:r>
    </w:p>
    <w:p w14:paraId="645D4739">
      <w:pPr>
        <w:spacing w:line="360" w:lineRule="auto"/>
        <w:ind w:firstLine="480" w:firstLineChars="200"/>
        <w:jc w:val="center"/>
        <w:rPr>
          <w:rFonts w:hint="eastAsia" w:ascii="仿宋" w:hAnsi="仿宋" w:eastAsia="仿宋"/>
          <w:color w:val="auto"/>
          <w:highlight w:val="none"/>
          <w:lang w:eastAsia="zh-CN"/>
        </w:rPr>
      </w:pPr>
      <w:r>
        <w:rPr>
          <w:rFonts w:hint="eastAsia" w:ascii="仿宋" w:hAnsi="仿宋" w:eastAsia="仿宋"/>
          <w:color w:val="auto"/>
          <w:highlight w:val="none"/>
          <w:lang w:eastAsia="zh-CN"/>
        </w:rPr>
        <w:t>勘察设计任务书（另册）</w:t>
      </w:r>
    </w:p>
    <w:p w14:paraId="21636E33">
      <w:pPr>
        <w:spacing w:line="360" w:lineRule="auto"/>
        <w:ind w:firstLine="480" w:firstLineChars="200"/>
        <w:jc w:val="center"/>
        <w:rPr>
          <w:rFonts w:hint="eastAsia" w:ascii="仿宋" w:hAnsi="仿宋" w:eastAsia="仿宋"/>
          <w:color w:val="auto"/>
          <w:highlight w:val="none"/>
          <w:lang w:eastAsia="zh-CN"/>
        </w:rPr>
      </w:pPr>
    </w:p>
    <w:p w14:paraId="3A202CC3">
      <w:pPr>
        <w:spacing w:line="360" w:lineRule="auto"/>
        <w:ind w:firstLine="480" w:firstLineChars="200"/>
        <w:rPr>
          <w:rFonts w:hint="eastAsia" w:ascii="仿宋" w:hAnsi="仿宋" w:eastAsia="仿宋"/>
          <w:strike/>
          <w:color w:val="auto"/>
          <w:highlight w:val="none"/>
          <w:lang w:eastAsia="zh-CN"/>
        </w:rPr>
      </w:pPr>
    </w:p>
    <w:p w14:paraId="0DF60B8B">
      <w:pPr>
        <w:spacing w:line="360" w:lineRule="auto"/>
        <w:ind w:firstLine="480" w:firstLineChars="200"/>
        <w:rPr>
          <w:rFonts w:hint="eastAsia" w:ascii="仿宋" w:hAnsi="仿宋" w:eastAsia="仿宋"/>
          <w:strike/>
          <w:color w:val="auto"/>
          <w:highlight w:val="none"/>
          <w:lang w:eastAsia="zh-CN"/>
        </w:rPr>
      </w:pPr>
    </w:p>
    <w:p w14:paraId="4D429394">
      <w:pPr>
        <w:spacing w:line="360" w:lineRule="auto"/>
        <w:ind w:firstLine="480" w:firstLineChars="200"/>
        <w:rPr>
          <w:rFonts w:hint="eastAsia" w:ascii="仿宋" w:hAnsi="仿宋" w:eastAsia="仿宋"/>
          <w:strike/>
          <w:color w:val="auto"/>
          <w:highlight w:val="none"/>
          <w:lang w:eastAsia="zh-CN"/>
        </w:rPr>
      </w:pPr>
    </w:p>
    <w:p w14:paraId="5742157A">
      <w:pPr>
        <w:spacing w:line="360" w:lineRule="auto"/>
        <w:ind w:firstLine="480" w:firstLineChars="200"/>
        <w:rPr>
          <w:rFonts w:hint="eastAsia" w:ascii="仿宋" w:hAnsi="仿宋" w:eastAsia="仿宋"/>
          <w:strike/>
          <w:color w:val="auto"/>
          <w:highlight w:val="none"/>
          <w:lang w:eastAsia="zh-CN"/>
        </w:rPr>
      </w:pPr>
    </w:p>
    <w:p w14:paraId="665F60B3">
      <w:pPr>
        <w:spacing w:line="360" w:lineRule="auto"/>
        <w:ind w:firstLine="480" w:firstLineChars="200"/>
        <w:rPr>
          <w:rFonts w:hint="eastAsia" w:ascii="仿宋" w:hAnsi="仿宋" w:eastAsia="仿宋"/>
          <w:strike/>
          <w:color w:val="auto"/>
          <w:highlight w:val="none"/>
          <w:lang w:eastAsia="zh-CN"/>
        </w:rPr>
      </w:pPr>
    </w:p>
    <w:p w14:paraId="37A2FAA1">
      <w:pPr>
        <w:spacing w:line="360" w:lineRule="auto"/>
        <w:ind w:firstLine="360" w:firstLineChars="150"/>
        <w:rPr>
          <w:rFonts w:ascii="仿宋" w:hAnsi="仿宋" w:eastAsia="仿宋"/>
          <w:color w:val="auto"/>
          <w:highlight w:val="none"/>
          <w:lang w:eastAsia="zh-CN"/>
        </w:rPr>
      </w:pPr>
    </w:p>
    <w:p w14:paraId="1F70645B">
      <w:pPr>
        <w:rPr>
          <w:rFonts w:hint="eastAsia" w:ascii="仿宋" w:hAnsi="仿宋" w:eastAsia="仿宋" w:cs="仿宋"/>
          <w:color w:val="auto"/>
          <w:highlight w:val="none"/>
          <w:lang w:eastAsia="zh-CN"/>
        </w:rPr>
      </w:pPr>
    </w:p>
    <w:p w14:paraId="16DC1E53">
      <w:pPr>
        <w:spacing w:before="240" w:after="240" w:line="360" w:lineRule="auto"/>
        <w:outlineLvl w:val="1"/>
        <w:rPr>
          <w:rFonts w:ascii="仿宋" w:hAnsi="仿宋" w:eastAsia="仿宋" w:cs="仿宋"/>
          <w:color w:val="auto"/>
          <w:highlight w:val="none"/>
          <w:lang w:eastAsia="zh-CN"/>
        </w:rPr>
      </w:pPr>
    </w:p>
    <w:p w14:paraId="40519957">
      <w:pPr>
        <w:rPr>
          <w:color w:val="auto"/>
          <w:highlight w:val="none"/>
          <w:lang w:eastAsia="zh-CN"/>
        </w:rPr>
        <w:sectPr>
          <w:endnotePr>
            <w:numFmt w:val="decimal"/>
          </w:endnotePr>
          <w:pgSz w:w="11906" w:h="16838"/>
          <w:pgMar w:top="1418" w:right="1418" w:bottom="851" w:left="1418" w:header="0" w:footer="850" w:gutter="0"/>
          <w:cols w:space="720" w:num="1"/>
        </w:sectPr>
      </w:pPr>
    </w:p>
    <w:p w14:paraId="7A6E8DC1">
      <w:pPr>
        <w:spacing w:before="312" w:after="312" w:line="360" w:lineRule="auto"/>
        <w:outlineLvl w:val="1"/>
        <w:rPr>
          <w:rFonts w:ascii="仿宋" w:hAnsi="仿宋" w:eastAsia="仿宋" w:cs="仿宋"/>
          <w:b/>
          <w:bCs/>
          <w:color w:val="auto"/>
          <w:highlight w:val="none"/>
          <w:lang w:eastAsia="zh-CN"/>
        </w:rPr>
      </w:pPr>
      <w:bookmarkStart w:id="2093" w:name="_Toc28179"/>
      <w:bookmarkStart w:id="2094" w:name="_Toc24267"/>
      <w:bookmarkStart w:id="2095" w:name="_Toc15790"/>
      <w:bookmarkStart w:id="2096" w:name="_Toc13061"/>
      <w:bookmarkStart w:id="2097" w:name="_Toc9288"/>
      <w:bookmarkStart w:id="2098" w:name="_Toc32525"/>
      <w:bookmarkStart w:id="2099" w:name="_Toc7307"/>
      <w:r>
        <w:rPr>
          <w:rFonts w:hint="eastAsia" w:ascii="仿宋" w:hAnsi="仿宋" w:eastAsia="仿宋" w:cs="仿宋"/>
          <w:b/>
          <w:bCs/>
          <w:color w:val="auto"/>
          <w:highlight w:val="none"/>
          <w:lang w:eastAsia="zh-CN"/>
        </w:rPr>
        <w:t>附件七</w:t>
      </w:r>
      <w:bookmarkEnd w:id="2093"/>
      <w:bookmarkEnd w:id="2094"/>
      <w:bookmarkEnd w:id="2095"/>
      <w:bookmarkEnd w:id="2096"/>
      <w:bookmarkEnd w:id="2097"/>
      <w:bookmarkEnd w:id="2098"/>
      <w:bookmarkEnd w:id="2099"/>
    </w:p>
    <w:p w14:paraId="0E2F9431">
      <w:pPr>
        <w:spacing w:line="360" w:lineRule="auto"/>
        <w:jc w:val="center"/>
        <w:rPr>
          <w:rFonts w:hint="eastAsia" w:ascii="仿宋" w:hAnsi="仿宋" w:eastAsia="仿宋" w:cs="仿宋"/>
          <w:b/>
          <w:bCs/>
          <w:color w:val="auto"/>
          <w:sz w:val="30"/>
          <w:szCs w:val="30"/>
          <w:highlight w:val="none"/>
          <w:lang w:eastAsia="zh-CN"/>
        </w:rPr>
      </w:pPr>
      <w:bookmarkStart w:id="2100" w:name="_Toc118"/>
      <w:bookmarkStart w:id="2101" w:name="_Toc21843"/>
      <w:bookmarkStart w:id="2102" w:name="_Toc26946"/>
      <w:r>
        <w:rPr>
          <w:rFonts w:hint="eastAsia" w:ascii="仿宋" w:hAnsi="仿宋" w:eastAsia="仿宋" w:cs="仿宋"/>
          <w:b/>
          <w:bCs/>
          <w:color w:val="auto"/>
          <w:sz w:val="30"/>
          <w:szCs w:val="30"/>
          <w:highlight w:val="none"/>
          <w:lang w:eastAsia="zh-CN"/>
        </w:rPr>
        <w:t>主要设备材料推荐品牌表</w:t>
      </w:r>
      <w:bookmarkEnd w:id="2100"/>
      <w:bookmarkEnd w:id="2101"/>
      <w:bookmarkEnd w:id="2102"/>
    </w:p>
    <w:p w14:paraId="37642444">
      <w:pPr>
        <w:spacing w:line="360" w:lineRule="auto"/>
        <w:ind w:firstLine="480" w:firstLineChars="200"/>
        <w:jc w:val="both"/>
        <w:rPr>
          <w:rFonts w:hint="eastAsia" w:ascii="仿宋" w:hAnsi="仿宋" w:eastAsia="仿宋" w:cs="仿宋"/>
          <w:color w:val="auto"/>
          <w:highlight w:val="none"/>
          <w:lang w:eastAsia="zh-CN"/>
        </w:rPr>
      </w:pPr>
      <w:bookmarkStart w:id="2103" w:name="_Toc11381"/>
      <w:bookmarkStart w:id="2104" w:name="_Toc6974"/>
      <w:bookmarkStart w:id="2105" w:name="_Toc10122"/>
      <w:r>
        <w:rPr>
          <w:rFonts w:hint="eastAsia" w:ascii="仿宋" w:hAnsi="仿宋" w:eastAsia="仿宋" w:cs="仿宋"/>
          <w:color w:val="auto"/>
          <w:highlight w:val="none"/>
          <w:lang w:eastAsia="zh-CN"/>
        </w:rPr>
        <w:t>本工程材料、设备品牌按甲方看样定版程序，由建设单位、建设管理单位、设计单位、监理单位、施工单位现场定板封样。</w:t>
      </w:r>
      <w:bookmarkEnd w:id="2103"/>
      <w:bookmarkEnd w:id="2104"/>
      <w:bookmarkEnd w:id="2105"/>
    </w:p>
    <w:p w14:paraId="25E02C5D">
      <w:pPr>
        <w:spacing w:line="360" w:lineRule="auto"/>
        <w:jc w:val="center"/>
        <w:outlineLvl w:val="1"/>
        <w:rPr>
          <w:rFonts w:hint="eastAsia" w:ascii="仿宋" w:hAnsi="仿宋" w:eastAsia="仿宋" w:cs="仿宋"/>
          <w:b/>
          <w:bCs/>
          <w:color w:val="auto"/>
          <w:sz w:val="30"/>
          <w:szCs w:val="30"/>
          <w:highlight w:val="none"/>
          <w:lang w:eastAsia="zh-CN"/>
        </w:rPr>
      </w:pPr>
    </w:p>
    <w:p w14:paraId="2F5CBDE3">
      <w:pPr>
        <w:spacing w:line="360" w:lineRule="auto"/>
        <w:jc w:val="center"/>
        <w:outlineLvl w:val="1"/>
        <w:rPr>
          <w:rFonts w:hint="eastAsia" w:ascii="仿宋" w:hAnsi="仿宋" w:eastAsia="仿宋" w:cs="仿宋"/>
          <w:b/>
          <w:bCs/>
          <w:color w:val="auto"/>
          <w:sz w:val="30"/>
          <w:szCs w:val="30"/>
          <w:highlight w:val="none"/>
          <w:lang w:eastAsia="zh-CN"/>
        </w:rPr>
      </w:pPr>
    </w:p>
    <w:p w14:paraId="4D43E842">
      <w:pPr>
        <w:spacing w:line="360" w:lineRule="auto"/>
        <w:outlineLvl w:val="1"/>
        <w:rPr>
          <w:rFonts w:hint="eastAsia" w:ascii="仿宋" w:hAnsi="仿宋" w:eastAsia="仿宋" w:cs="仿宋"/>
          <w:b/>
          <w:bCs/>
          <w:color w:val="auto"/>
          <w:highlight w:val="none"/>
          <w:lang w:eastAsia="zh-CN"/>
        </w:rPr>
      </w:pPr>
    </w:p>
    <w:p w14:paraId="62C0B395">
      <w:pPr>
        <w:rPr>
          <w:color w:val="auto"/>
          <w:highlight w:val="none"/>
          <w:lang w:eastAsia="zh-CN"/>
        </w:rPr>
      </w:pPr>
    </w:p>
    <w:p w14:paraId="37A72D5B">
      <w:pPr>
        <w:spacing w:line="360" w:lineRule="auto"/>
        <w:rPr>
          <w:rFonts w:hint="eastAsia" w:ascii="仿宋" w:hAnsi="仿宋" w:eastAsia="仿宋"/>
          <w:color w:val="auto"/>
          <w:highlight w:val="none"/>
          <w:lang w:eastAsia="zh-CN"/>
        </w:rPr>
      </w:pPr>
    </w:p>
    <w:p w14:paraId="0235B7C7">
      <w:pPr>
        <w:rPr>
          <w:color w:val="auto"/>
          <w:highlight w:val="none"/>
          <w:lang w:eastAsia="zh-CN"/>
        </w:rPr>
      </w:pPr>
    </w:p>
    <w:p w14:paraId="3A18C831">
      <w:pPr>
        <w:pStyle w:val="23"/>
        <w:rPr>
          <w:color w:val="auto"/>
          <w:highlight w:val="none"/>
          <w:lang w:eastAsia="zh-CN"/>
        </w:rPr>
      </w:pPr>
    </w:p>
    <w:p w14:paraId="2D1556B7">
      <w:pPr>
        <w:rPr>
          <w:color w:val="auto"/>
          <w:highlight w:val="none"/>
          <w:lang w:eastAsia="zh-CN"/>
        </w:rPr>
      </w:pPr>
    </w:p>
    <w:p w14:paraId="0B5B2F69">
      <w:pPr>
        <w:pStyle w:val="23"/>
        <w:rPr>
          <w:color w:val="auto"/>
          <w:highlight w:val="none"/>
          <w:lang w:eastAsia="zh-CN"/>
        </w:rPr>
      </w:pPr>
    </w:p>
    <w:p w14:paraId="5B34B135">
      <w:pPr>
        <w:rPr>
          <w:color w:val="auto"/>
          <w:highlight w:val="none"/>
          <w:lang w:eastAsia="zh-CN"/>
        </w:rPr>
      </w:pPr>
    </w:p>
    <w:p w14:paraId="3E4012DD">
      <w:pPr>
        <w:pStyle w:val="23"/>
        <w:rPr>
          <w:color w:val="auto"/>
          <w:highlight w:val="none"/>
          <w:lang w:eastAsia="zh-CN"/>
        </w:rPr>
      </w:pPr>
    </w:p>
    <w:p w14:paraId="7AC96FBB">
      <w:pPr>
        <w:rPr>
          <w:color w:val="auto"/>
          <w:highlight w:val="none"/>
          <w:lang w:eastAsia="zh-CN"/>
        </w:rPr>
      </w:pPr>
    </w:p>
    <w:p w14:paraId="74011D1E">
      <w:pPr>
        <w:pStyle w:val="23"/>
        <w:rPr>
          <w:color w:val="auto"/>
          <w:highlight w:val="none"/>
          <w:lang w:eastAsia="zh-CN"/>
        </w:rPr>
      </w:pPr>
    </w:p>
    <w:p w14:paraId="20EEDCD6">
      <w:pPr>
        <w:rPr>
          <w:color w:val="auto"/>
          <w:highlight w:val="none"/>
          <w:lang w:eastAsia="zh-CN"/>
        </w:rPr>
      </w:pPr>
    </w:p>
    <w:p w14:paraId="3DD9C4D7">
      <w:pPr>
        <w:rPr>
          <w:color w:val="auto"/>
          <w:highlight w:val="none"/>
          <w:lang w:eastAsia="zh-CN"/>
        </w:rPr>
      </w:pPr>
    </w:p>
    <w:p w14:paraId="056EDF91">
      <w:pPr>
        <w:rPr>
          <w:color w:val="auto"/>
          <w:highlight w:val="none"/>
          <w:lang w:eastAsia="zh-CN"/>
        </w:rPr>
      </w:pPr>
    </w:p>
    <w:p w14:paraId="66DC75FF">
      <w:pPr>
        <w:rPr>
          <w:color w:val="auto"/>
          <w:highlight w:val="none"/>
          <w:lang w:eastAsia="zh-CN"/>
        </w:rPr>
      </w:pPr>
    </w:p>
    <w:p w14:paraId="15E9BEC7">
      <w:pPr>
        <w:rPr>
          <w:color w:val="auto"/>
          <w:highlight w:val="none"/>
          <w:lang w:eastAsia="zh-CN"/>
        </w:rPr>
      </w:pPr>
    </w:p>
    <w:p w14:paraId="7D808A92">
      <w:pPr>
        <w:rPr>
          <w:color w:val="auto"/>
          <w:highlight w:val="none"/>
          <w:lang w:eastAsia="zh-CN"/>
        </w:rPr>
      </w:pPr>
    </w:p>
    <w:p w14:paraId="1355337B">
      <w:pPr>
        <w:rPr>
          <w:color w:val="auto"/>
          <w:highlight w:val="none"/>
          <w:lang w:eastAsia="zh-CN"/>
        </w:rPr>
      </w:pPr>
    </w:p>
    <w:p w14:paraId="16D4A5A5">
      <w:pPr>
        <w:rPr>
          <w:color w:val="auto"/>
          <w:highlight w:val="none"/>
          <w:lang w:eastAsia="zh-CN"/>
        </w:rPr>
      </w:pPr>
    </w:p>
    <w:p w14:paraId="2C6F63EC">
      <w:pPr>
        <w:rPr>
          <w:color w:val="auto"/>
          <w:highlight w:val="none"/>
          <w:lang w:eastAsia="zh-CN"/>
        </w:rPr>
      </w:pPr>
    </w:p>
    <w:p w14:paraId="32E297F4">
      <w:pPr>
        <w:rPr>
          <w:color w:val="auto"/>
          <w:highlight w:val="none"/>
          <w:lang w:eastAsia="zh-CN"/>
        </w:rPr>
      </w:pPr>
    </w:p>
    <w:p w14:paraId="4440BBAC">
      <w:pPr>
        <w:rPr>
          <w:color w:val="auto"/>
          <w:highlight w:val="none"/>
          <w:lang w:eastAsia="zh-CN"/>
        </w:rPr>
      </w:pPr>
    </w:p>
    <w:p w14:paraId="24622753">
      <w:pPr>
        <w:rPr>
          <w:color w:val="auto"/>
          <w:highlight w:val="none"/>
          <w:lang w:eastAsia="zh-CN"/>
        </w:rPr>
      </w:pPr>
    </w:p>
    <w:p w14:paraId="2950954F">
      <w:pPr>
        <w:rPr>
          <w:color w:val="auto"/>
          <w:highlight w:val="none"/>
          <w:lang w:eastAsia="zh-CN"/>
        </w:rPr>
      </w:pPr>
    </w:p>
    <w:p w14:paraId="3D775345">
      <w:pPr>
        <w:rPr>
          <w:color w:val="auto"/>
          <w:highlight w:val="none"/>
          <w:lang w:eastAsia="zh-CN"/>
        </w:rPr>
      </w:pPr>
    </w:p>
    <w:p w14:paraId="2BF74A42">
      <w:pPr>
        <w:rPr>
          <w:color w:val="auto"/>
          <w:highlight w:val="none"/>
          <w:lang w:eastAsia="zh-CN"/>
        </w:rPr>
      </w:pPr>
    </w:p>
    <w:p w14:paraId="0F74C418">
      <w:pPr>
        <w:rPr>
          <w:color w:val="auto"/>
          <w:highlight w:val="none"/>
          <w:lang w:eastAsia="zh-CN"/>
        </w:rPr>
      </w:pPr>
    </w:p>
    <w:p w14:paraId="682D7FD0">
      <w:pPr>
        <w:rPr>
          <w:color w:val="auto"/>
          <w:highlight w:val="none"/>
          <w:lang w:eastAsia="zh-CN"/>
        </w:rPr>
      </w:pPr>
    </w:p>
    <w:p w14:paraId="0B4DEDC3">
      <w:pPr>
        <w:rPr>
          <w:color w:val="auto"/>
          <w:highlight w:val="none"/>
          <w:lang w:eastAsia="zh-CN"/>
        </w:rPr>
      </w:pPr>
    </w:p>
    <w:p w14:paraId="47217787">
      <w:pPr>
        <w:rPr>
          <w:color w:val="auto"/>
          <w:highlight w:val="none"/>
          <w:lang w:eastAsia="zh-CN"/>
        </w:rPr>
      </w:pPr>
    </w:p>
    <w:p w14:paraId="0EACBAAD">
      <w:pPr>
        <w:rPr>
          <w:color w:val="auto"/>
          <w:highlight w:val="none"/>
          <w:lang w:eastAsia="zh-CN"/>
        </w:rPr>
      </w:pPr>
    </w:p>
    <w:p w14:paraId="3B1D8F9B">
      <w:pPr>
        <w:rPr>
          <w:color w:val="auto"/>
          <w:highlight w:val="none"/>
          <w:lang w:eastAsia="zh-CN"/>
        </w:rPr>
      </w:pPr>
    </w:p>
    <w:p w14:paraId="013C0CF4">
      <w:pPr>
        <w:pStyle w:val="23"/>
        <w:rPr>
          <w:color w:val="auto"/>
          <w:highlight w:val="none"/>
          <w:lang w:eastAsia="zh-CN"/>
        </w:rPr>
      </w:pPr>
    </w:p>
    <w:p w14:paraId="37061552">
      <w:pPr>
        <w:pStyle w:val="3"/>
        <w:tabs>
          <w:tab w:val="left" w:pos="360"/>
        </w:tabs>
        <w:rPr>
          <w:rFonts w:ascii="仿宋" w:hAnsi="仿宋" w:eastAsia="仿宋"/>
          <w:i w:val="0"/>
          <w:iCs w:val="0"/>
          <w:color w:val="auto"/>
          <w:sz w:val="24"/>
          <w:highlight w:val="none"/>
          <w:lang w:eastAsia="zh-CN"/>
        </w:rPr>
      </w:pPr>
      <w:bookmarkStart w:id="2106" w:name="_Toc5832"/>
      <w:bookmarkStart w:id="2107" w:name="_Toc13756888"/>
      <w:bookmarkStart w:id="2108" w:name="_Toc14712"/>
      <w:bookmarkStart w:id="2109" w:name="_Toc18162"/>
      <w:bookmarkStart w:id="2110" w:name="_Toc16739"/>
      <w:bookmarkStart w:id="2111" w:name="_Toc7937"/>
      <w:bookmarkStart w:id="2112" w:name="_Toc1829"/>
      <w:bookmarkStart w:id="2113" w:name="_Toc26852"/>
      <w:bookmarkStart w:id="2114" w:name="_Toc22483"/>
      <w:r>
        <w:rPr>
          <w:rFonts w:hint="eastAsia" w:ascii="仿宋" w:hAnsi="仿宋" w:eastAsia="仿宋"/>
          <w:i w:val="0"/>
          <w:iCs w:val="0"/>
          <w:color w:val="auto"/>
          <w:sz w:val="24"/>
          <w:highlight w:val="none"/>
          <w:lang w:eastAsia="zh-CN"/>
        </w:rPr>
        <w:t>附件</w:t>
      </w:r>
      <w:bookmarkEnd w:id="2106"/>
      <w:bookmarkEnd w:id="2107"/>
      <w:bookmarkEnd w:id="2108"/>
      <w:bookmarkEnd w:id="2109"/>
      <w:r>
        <w:rPr>
          <w:rFonts w:hint="eastAsia" w:ascii="仿宋" w:hAnsi="仿宋" w:eastAsia="仿宋"/>
          <w:i w:val="0"/>
          <w:iCs w:val="0"/>
          <w:color w:val="auto"/>
          <w:sz w:val="24"/>
          <w:highlight w:val="none"/>
          <w:lang w:eastAsia="zh-CN"/>
        </w:rPr>
        <w:t>八</w:t>
      </w:r>
      <w:bookmarkEnd w:id="2110"/>
      <w:bookmarkEnd w:id="2111"/>
      <w:bookmarkEnd w:id="2112"/>
      <w:bookmarkEnd w:id="2113"/>
      <w:bookmarkEnd w:id="2114"/>
    </w:p>
    <w:p w14:paraId="7FB450FD">
      <w:pPr>
        <w:spacing w:line="360" w:lineRule="auto"/>
        <w:jc w:val="center"/>
        <w:rPr>
          <w:rFonts w:hint="eastAsia" w:ascii="仿宋" w:hAnsi="仿宋" w:eastAsia="仿宋"/>
          <w:snapToGrid w:val="0"/>
          <w:color w:val="auto"/>
          <w:spacing w:val="-20"/>
          <w:sz w:val="32"/>
          <w:szCs w:val="32"/>
          <w:highlight w:val="none"/>
          <w:lang w:eastAsia="zh-CN"/>
        </w:rPr>
      </w:pPr>
      <w:r>
        <w:rPr>
          <w:rFonts w:hint="eastAsia" w:ascii="仿宋" w:hAnsi="仿宋" w:eastAsia="仿宋"/>
          <w:snapToGrid w:val="0"/>
          <w:color w:val="auto"/>
          <w:spacing w:val="-20"/>
          <w:sz w:val="32"/>
          <w:szCs w:val="32"/>
          <w:highlight w:val="none"/>
          <w:lang w:eastAsia="zh-CN"/>
        </w:rPr>
        <w:t>工人工资支付分账管理协议书</w:t>
      </w:r>
    </w:p>
    <w:p w14:paraId="1FDF3E09">
      <w:pPr>
        <w:spacing w:line="360" w:lineRule="auto"/>
        <w:rPr>
          <w:rFonts w:hint="eastAsia" w:ascii="仿宋" w:hAnsi="仿宋" w:eastAsia="仿宋"/>
          <w:bCs/>
          <w:snapToGrid w:val="0"/>
          <w:color w:val="auto"/>
          <w:highlight w:val="none"/>
          <w:lang w:eastAsia="zh-CN"/>
        </w:rPr>
      </w:pPr>
    </w:p>
    <w:p w14:paraId="200CB141">
      <w:pPr>
        <w:spacing w:line="360" w:lineRule="auto"/>
        <w:rPr>
          <w:rFonts w:hint="eastAsia" w:ascii="仿宋" w:hAnsi="仿宋" w:eastAsia="仿宋"/>
          <w:b/>
          <w:bCs/>
          <w:snapToGrid w:val="0"/>
          <w:color w:val="auto"/>
          <w:highlight w:val="none"/>
          <w:lang w:eastAsia="zh-CN"/>
        </w:rPr>
      </w:pPr>
      <w:r>
        <w:rPr>
          <w:rFonts w:ascii="仿宋" w:hAnsi="仿宋" w:eastAsia="仿宋"/>
          <w:b/>
          <w:bCs/>
          <w:snapToGrid w:val="0"/>
          <w:color w:val="auto"/>
          <w:highlight w:val="none"/>
          <w:lang w:eastAsia="zh-CN"/>
        </w:rPr>
        <w:t>发包人（甲方）：</w:t>
      </w:r>
      <w:r>
        <w:rPr>
          <w:rFonts w:hint="eastAsia" w:ascii="仿宋" w:hAnsi="仿宋" w:eastAsia="仿宋"/>
          <w:bCs/>
          <w:snapToGrid w:val="0"/>
          <w:color w:val="auto"/>
          <w:highlight w:val="none"/>
          <w:u w:val="single"/>
          <w:lang w:eastAsia="zh-CN"/>
        </w:rPr>
        <w:t xml:space="preserve">广州三元里片区改造投资有限公司  </w:t>
      </w:r>
    </w:p>
    <w:p w14:paraId="7A799585">
      <w:pPr>
        <w:rPr>
          <w:rFonts w:ascii="仿宋" w:hAnsi="仿宋" w:eastAsia="仿宋"/>
          <w:bCs/>
          <w:snapToGrid w:val="0"/>
          <w:color w:val="auto"/>
          <w:highlight w:val="none"/>
          <w:u w:val="single"/>
          <w:lang w:eastAsia="zh-CN"/>
        </w:rPr>
      </w:pPr>
      <w:r>
        <w:rPr>
          <w:rFonts w:ascii="仿宋" w:hAnsi="仿宋" w:eastAsia="仿宋"/>
          <w:b/>
          <w:bCs/>
          <w:snapToGrid w:val="0"/>
          <w:color w:val="auto"/>
          <w:highlight w:val="none"/>
          <w:lang w:eastAsia="zh-CN"/>
        </w:rPr>
        <w:t>承包人（乙方）</w:t>
      </w:r>
      <w:r>
        <w:rPr>
          <w:rFonts w:hint="eastAsia" w:ascii="仿宋" w:hAnsi="仿宋" w:eastAsia="仿宋"/>
          <w:b/>
          <w:bCs/>
          <w:snapToGrid w:val="0"/>
          <w:color w:val="auto"/>
          <w:highlight w:val="none"/>
          <w:lang w:eastAsia="zh-CN"/>
        </w:rPr>
        <w:t>：</w:t>
      </w:r>
    </w:p>
    <w:p w14:paraId="635349E4">
      <w:pPr>
        <w:spacing w:line="360" w:lineRule="auto"/>
        <w:rPr>
          <w:rFonts w:ascii="仿宋" w:hAnsi="仿宋" w:eastAsia="仿宋"/>
          <w:b/>
          <w:snapToGrid w:val="0"/>
          <w:color w:val="auto"/>
          <w:spacing w:val="-20"/>
          <w:highlight w:val="none"/>
          <w:lang w:eastAsia="zh-CN"/>
        </w:rPr>
      </w:pPr>
      <w:r>
        <w:rPr>
          <w:rFonts w:hint="eastAsia" w:ascii="仿宋" w:hAnsi="仿宋" w:eastAsia="仿宋"/>
          <w:b/>
          <w:snapToGrid w:val="0"/>
          <w:color w:val="auto"/>
          <w:spacing w:val="-20"/>
          <w:highlight w:val="none"/>
          <w:lang w:eastAsia="zh-CN"/>
        </w:rPr>
        <w:t xml:space="preserve"> </w:t>
      </w:r>
    </w:p>
    <w:p w14:paraId="31A31C59">
      <w:pPr>
        <w:spacing w:line="360" w:lineRule="auto"/>
        <w:ind w:firstLine="540" w:firstLineChars="225"/>
        <w:rPr>
          <w:rFonts w:ascii="仿宋" w:hAnsi="仿宋" w:eastAsia="仿宋" w:cs="宋体"/>
          <w:snapToGrid w:val="0"/>
          <w:color w:val="auto"/>
          <w:highlight w:val="none"/>
          <w:lang w:eastAsia="zh-CN"/>
        </w:rPr>
      </w:pPr>
      <w:r>
        <w:rPr>
          <w:rFonts w:ascii="仿宋" w:hAnsi="仿宋" w:eastAsia="仿宋"/>
          <w:color w:val="auto"/>
          <w:highlight w:val="none"/>
          <w:lang w:eastAsia="zh-CN"/>
        </w:rPr>
        <w:t>鉴于</w:t>
      </w:r>
      <w:r>
        <w:rPr>
          <w:rFonts w:hint="eastAsia" w:ascii="仿宋" w:hAnsi="仿宋" w:eastAsia="仿宋" w:cs="宋体"/>
          <w:snapToGrid w:val="0"/>
          <w:color w:val="auto"/>
          <w:highlight w:val="none"/>
          <w:u w:val="single"/>
          <w:lang w:eastAsia="zh-CN"/>
        </w:rPr>
        <w:t xml:space="preserve">  2025  </w:t>
      </w:r>
      <w:r>
        <w:rPr>
          <w:rFonts w:ascii="仿宋" w:hAnsi="仿宋" w:eastAsia="仿宋" w:cs="宋体"/>
          <w:snapToGrid w:val="0"/>
          <w:color w:val="auto"/>
          <w:highlight w:val="none"/>
          <w:lang w:eastAsia="zh-CN"/>
        </w:rPr>
        <w:t>年</w:t>
      </w:r>
      <w:r>
        <w:rPr>
          <w:rFonts w:ascii="仿宋" w:hAnsi="仿宋" w:eastAsia="仿宋" w:cs="宋体"/>
          <w:snapToGrid w:val="0"/>
          <w:color w:val="auto"/>
          <w:highlight w:val="none"/>
          <w:u w:val="single"/>
          <w:lang w:eastAsia="zh-CN"/>
        </w:rPr>
        <w:t xml:space="preserve"> </w:t>
      </w:r>
      <w:r>
        <w:rPr>
          <w:rFonts w:hint="eastAsia" w:ascii="仿宋" w:hAnsi="仿宋" w:eastAsia="仿宋" w:cs="宋体"/>
          <w:snapToGrid w:val="0"/>
          <w:color w:val="auto"/>
          <w:highlight w:val="none"/>
          <w:u w:val="single"/>
          <w:lang w:eastAsia="zh-CN"/>
        </w:rPr>
        <w:t xml:space="preserve">  </w:t>
      </w:r>
      <w:r>
        <w:rPr>
          <w:rFonts w:ascii="仿宋" w:hAnsi="仿宋" w:eastAsia="仿宋" w:cs="宋体"/>
          <w:snapToGrid w:val="0"/>
          <w:color w:val="auto"/>
          <w:highlight w:val="none"/>
          <w:u w:val="single"/>
          <w:lang w:eastAsia="zh-CN"/>
        </w:rPr>
        <w:t xml:space="preserve"> </w:t>
      </w:r>
      <w:r>
        <w:rPr>
          <w:rFonts w:ascii="仿宋" w:hAnsi="仿宋" w:eastAsia="仿宋" w:cs="宋体"/>
          <w:snapToGrid w:val="0"/>
          <w:color w:val="auto"/>
          <w:highlight w:val="none"/>
          <w:lang w:eastAsia="zh-CN"/>
        </w:rPr>
        <w:t>月</w:t>
      </w:r>
      <w:r>
        <w:rPr>
          <w:rFonts w:ascii="仿宋" w:hAnsi="仿宋" w:eastAsia="仿宋" w:cs="宋体"/>
          <w:snapToGrid w:val="0"/>
          <w:color w:val="auto"/>
          <w:highlight w:val="none"/>
          <w:u w:val="single"/>
          <w:lang w:eastAsia="zh-CN"/>
        </w:rPr>
        <w:t xml:space="preserve"> </w:t>
      </w:r>
      <w:r>
        <w:rPr>
          <w:rFonts w:hint="eastAsia" w:ascii="仿宋" w:hAnsi="仿宋" w:eastAsia="仿宋" w:cs="宋体"/>
          <w:snapToGrid w:val="0"/>
          <w:color w:val="auto"/>
          <w:highlight w:val="none"/>
          <w:u w:val="single"/>
          <w:lang w:eastAsia="zh-CN"/>
        </w:rPr>
        <w:t xml:space="preserve">  </w:t>
      </w:r>
      <w:r>
        <w:rPr>
          <w:rFonts w:ascii="仿宋" w:hAnsi="仿宋" w:eastAsia="仿宋" w:cs="宋体"/>
          <w:snapToGrid w:val="0"/>
          <w:color w:val="auto"/>
          <w:highlight w:val="none"/>
          <w:u w:val="single"/>
          <w:lang w:eastAsia="zh-CN"/>
        </w:rPr>
        <w:t xml:space="preserve"> </w:t>
      </w:r>
      <w:r>
        <w:rPr>
          <w:rFonts w:ascii="仿宋" w:hAnsi="仿宋" w:eastAsia="仿宋" w:cs="宋体"/>
          <w:snapToGrid w:val="0"/>
          <w:color w:val="auto"/>
          <w:highlight w:val="none"/>
          <w:lang w:eastAsia="zh-CN"/>
        </w:rPr>
        <w:t>日，发包人</w:t>
      </w:r>
      <w:r>
        <w:rPr>
          <w:rFonts w:hint="eastAsia" w:ascii="仿宋" w:hAnsi="仿宋" w:eastAsia="仿宋" w:cs="宋体"/>
          <w:snapToGrid w:val="0"/>
          <w:color w:val="auto"/>
          <w:highlight w:val="none"/>
          <w:u w:val="single"/>
          <w:lang w:eastAsia="zh-CN"/>
        </w:rPr>
        <w:t xml:space="preserve">广州三元里片区改造投资有限公司 </w:t>
      </w:r>
      <w:r>
        <w:rPr>
          <w:rFonts w:ascii="仿宋" w:hAnsi="仿宋" w:eastAsia="仿宋" w:cs="宋体"/>
          <w:b/>
          <w:snapToGrid w:val="0"/>
          <w:color w:val="auto"/>
          <w:highlight w:val="none"/>
          <w:lang w:eastAsia="zh-CN"/>
        </w:rPr>
        <w:t xml:space="preserve"> </w:t>
      </w:r>
      <w:r>
        <w:rPr>
          <w:rFonts w:ascii="仿宋" w:hAnsi="仿宋" w:eastAsia="仿宋" w:cs="宋体"/>
          <w:snapToGrid w:val="0"/>
          <w:color w:val="auto"/>
          <w:highlight w:val="none"/>
          <w:lang w:eastAsia="zh-CN"/>
        </w:rPr>
        <w:t>（以下称甲方）、承包人</w:t>
      </w:r>
      <w:r>
        <w:rPr>
          <w:rFonts w:hint="eastAsia" w:ascii="仿宋" w:hAnsi="仿宋" w:eastAsia="仿宋" w:cs="宋体"/>
          <w:snapToGrid w:val="0"/>
          <w:color w:val="auto"/>
          <w:highlight w:val="none"/>
          <w:lang w:eastAsia="zh-CN"/>
        </w:rPr>
        <w:t>(主)  、(成)</w:t>
      </w:r>
      <w:r>
        <w:rPr>
          <w:rFonts w:ascii="仿宋" w:hAnsi="仿宋" w:eastAsia="仿宋" w:cs="宋体"/>
          <w:snapToGrid w:val="0"/>
          <w:color w:val="auto"/>
          <w:highlight w:val="none"/>
          <w:lang w:eastAsia="zh-CN"/>
        </w:rPr>
        <w:t>（以下称乙方）双方就</w:t>
      </w:r>
      <w:r>
        <w:rPr>
          <w:rFonts w:hint="eastAsia" w:ascii="仿宋" w:hAnsi="仿宋" w:eastAsia="仿宋"/>
          <w:bCs/>
          <w:snapToGrid w:val="0"/>
          <w:color w:val="auto"/>
          <w:highlight w:val="none"/>
          <w:u w:val="single"/>
          <w:lang w:eastAsia="zh-CN"/>
        </w:rPr>
        <w:t xml:space="preserve">  </w:t>
      </w:r>
      <w:r>
        <w:rPr>
          <w:rFonts w:hint="eastAsia" w:ascii="仿宋" w:hAnsi="仿宋" w:eastAsia="仿宋"/>
          <w:bCs/>
          <w:snapToGrid w:val="0"/>
          <w:color w:val="auto"/>
          <w:highlight w:val="none"/>
          <w:u w:val="single"/>
          <w:lang w:val="en-US" w:eastAsia="zh-CN"/>
        </w:rPr>
        <w:t>广州市白云区三元里村城中村改造项目二期安置房（AB3814008）勘察设计施工总承包（EPC）</w:t>
      </w:r>
      <w:r>
        <w:rPr>
          <w:rFonts w:ascii="仿宋" w:hAnsi="仿宋" w:eastAsia="仿宋" w:cs="宋体"/>
          <w:snapToGrid w:val="0"/>
          <w:color w:val="auto"/>
          <w:highlight w:val="none"/>
          <w:lang w:eastAsia="zh-CN"/>
        </w:rPr>
        <w:t>（以下称本项目）签订《</w:t>
      </w:r>
      <w:r>
        <w:rPr>
          <w:rFonts w:hint="eastAsia" w:ascii="仿宋" w:hAnsi="仿宋" w:eastAsia="仿宋" w:cs="宋体"/>
          <w:snapToGrid w:val="0"/>
          <w:color w:val="auto"/>
          <w:highlight w:val="none"/>
          <w:lang w:val="en-US" w:eastAsia="zh-CN"/>
        </w:rPr>
        <w:t>广州市白云区三元里村城中村改造项目二期安置房（AB3814008）勘察设计施工总承包（EPC）</w:t>
      </w:r>
      <w:r>
        <w:rPr>
          <w:rFonts w:hint="eastAsia" w:ascii="仿宋" w:hAnsi="仿宋" w:eastAsia="仿宋"/>
          <w:color w:val="auto"/>
          <w:highlight w:val="none"/>
          <w:u w:val="single"/>
          <w:lang w:eastAsia="zh-CN"/>
        </w:rPr>
        <w:t>合同</w:t>
      </w:r>
      <w:r>
        <w:rPr>
          <w:rFonts w:ascii="仿宋" w:hAnsi="仿宋" w:eastAsia="仿宋" w:cs="宋体"/>
          <w:snapToGrid w:val="0"/>
          <w:color w:val="auto"/>
          <w:highlight w:val="none"/>
          <w:lang w:eastAsia="zh-CN"/>
        </w:rPr>
        <w:t>》（合同编号：</w:t>
      </w:r>
      <w:r>
        <w:rPr>
          <w:rFonts w:hint="eastAsia" w:ascii="仿宋" w:hAnsi="仿宋" w:eastAsia="仿宋"/>
          <w:bCs/>
          <w:snapToGrid w:val="0"/>
          <w:color w:val="auto"/>
          <w:highlight w:val="none"/>
          <w:u w:val="single"/>
          <w:lang w:eastAsia="zh-CN"/>
        </w:rPr>
        <w:t xml:space="preserve">            </w:t>
      </w:r>
      <w:r>
        <w:rPr>
          <w:rFonts w:ascii="仿宋" w:hAnsi="仿宋" w:eastAsia="仿宋" w:cs="宋体"/>
          <w:snapToGrid w:val="0"/>
          <w:color w:val="auto"/>
          <w:highlight w:val="none"/>
          <w:lang w:eastAsia="zh-CN"/>
        </w:rPr>
        <w:t>，以下称主合同）。</w:t>
      </w:r>
    </w:p>
    <w:p w14:paraId="7FDE7C97">
      <w:pPr>
        <w:spacing w:line="360" w:lineRule="auto"/>
        <w:ind w:firstLine="480" w:firstLineChars="200"/>
        <w:rPr>
          <w:rFonts w:ascii="仿宋" w:hAnsi="仿宋" w:eastAsia="仿宋"/>
          <w:snapToGrid w:val="0"/>
          <w:color w:val="auto"/>
          <w:highlight w:val="none"/>
          <w:lang w:eastAsia="zh-CN"/>
        </w:rPr>
      </w:pPr>
      <w:r>
        <w:rPr>
          <w:rFonts w:ascii="仿宋" w:hAnsi="仿宋" w:eastAsia="仿宋"/>
          <w:snapToGrid w:val="0"/>
          <w:color w:val="auto"/>
          <w:highlight w:val="none"/>
          <w:lang w:eastAsia="zh-CN"/>
        </w:rPr>
        <w:t>现根据</w:t>
      </w:r>
      <w:r>
        <w:rPr>
          <w:rFonts w:hint="eastAsia" w:ascii="仿宋" w:hAnsi="仿宋" w:eastAsia="仿宋" w:cs="仿宋"/>
          <w:color w:val="auto"/>
          <w:highlight w:val="none"/>
          <w:u w:val="single"/>
          <w:lang w:eastAsia="zh-CN"/>
        </w:rPr>
        <w:t>《广州市住房和城乡建设局关于印发&lt;广州市建筑施工实名制管理办法&gt;的通知》（穗建规字〔2020〕18号）、《关于印发广州市建设领域工人工资支付分账管理实施细则的通知》（穗建规字〔2020〕37号）</w:t>
      </w:r>
      <w:r>
        <w:rPr>
          <w:rFonts w:ascii="仿宋" w:hAnsi="仿宋" w:eastAsia="仿宋"/>
          <w:snapToGrid w:val="0"/>
          <w:color w:val="auto"/>
          <w:highlight w:val="none"/>
          <w:lang w:eastAsia="zh-CN"/>
        </w:rPr>
        <w:t>等有关规定，双方就本项目</w:t>
      </w:r>
      <w:r>
        <w:rPr>
          <w:rFonts w:ascii="仿宋" w:hAnsi="仿宋" w:eastAsia="仿宋" w:cs="宋体"/>
          <w:snapToGrid w:val="0"/>
          <w:color w:val="auto"/>
          <w:highlight w:val="none"/>
          <w:lang w:eastAsia="zh-CN"/>
        </w:rPr>
        <w:t>工人工资支付分账管理</w:t>
      </w:r>
      <w:r>
        <w:rPr>
          <w:rFonts w:ascii="仿宋" w:hAnsi="仿宋" w:eastAsia="仿宋"/>
          <w:snapToGrid w:val="0"/>
          <w:color w:val="auto"/>
          <w:highlight w:val="none"/>
          <w:lang w:eastAsia="zh-CN"/>
        </w:rPr>
        <w:t>事宜协商一致，达成如下协议，以资共同遵守。</w:t>
      </w:r>
    </w:p>
    <w:p w14:paraId="795764C9">
      <w:pPr>
        <w:spacing w:line="360" w:lineRule="auto"/>
        <w:ind w:right="11" w:firstLine="472" w:firstLineChars="196"/>
        <w:rPr>
          <w:rFonts w:ascii="仿宋" w:hAnsi="仿宋" w:eastAsia="仿宋"/>
          <w:snapToGrid w:val="0"/>
          <w:color w:val="auto"/>
          <w:highlight w:val="none"/>
          <w:lang w:eastAsia="zh-CN"/>
        </w:rPr>
      </w:pPr>
      <w:r>
        <w:rPr>
          <w:rFonts w:ascii="仿宋" w:hAnsi="仿宋" w:eastAsia="仿宋"/>
          <w:b/>
          <w:snapToGrid w:val="0"/>
          <w:color w:val="auto"/>
          <w:highlight w:val="none"/>
          <w:lang w:eastAsia="zh-CN"/>
        </w:rPr>
        <w:t xml:space="preserve">第一条 </w:t>
      </w:r>
      <w:r>
        <w:rPr>
          <w:rFonts w:ascii="仿宋" w:hAnsi="仿宋" w:eastAsia="仿宋"/>
          <w:snapToGrid w:val="0"/>
          <w:color w:val="auto"/>
          <w:highlight w:val="none"/>
          <w:lang w:eastAsia="zh-CN"/>
        </w:rPr>
        <w:t>甲方负责监督乙方的工人工资支付情况，协调本项目的工人工资支付事宜。乙方服从甲方有关工人工资支付的监督管理，若乙方拖欠或克扣工人工资造成群体性事件或不良影响的，甲方有权降低乙方诚信评分，将乙方列入黑名单，拒绝乙方参与甲方后续工程投标。</w:t>
      </w:r>
    </w:p>
    <w:p w14:paraId="573699F2">
      <w:pPr>
        <w:spacing w:line="360" w:lineRule="auto"/>
        <w:ind w:right="11" w:firstLine="472" w:firstLineChars="196"/>
        <w:rPr>
          <w:rFonts w:hint="eastAsia" w:ascii="仿宋" w:hAnsi="仿宋" w:eastAsia="仿宋"/>
          <w:snapToGrid w:val="0"/>
          <w:color w:val="auto"/>
          <w:highlight w:val="none"/>
          <w:lang w:eastAsia="zh-CN"/>
        </w:rPr>
      </w:pPr>
      <w:r>
        <w:rPr>
          <w:rFonts w:ascii="仿宋" w:hAnsi="仿宋" w:eastAsia="仿宋"/>
          <w:b/>
          <w:snapToGrid w:val="0"/>
          <w:color w:val="auto"/>
          <w:highlight w:val="none"/>
          <w:lang w:eastAsia="zh-CN"/>
        </w:rPr>
        <w:t xml:space="preserve">第二条 </w:t>
      </w:r>
      <w:r>
        <w:rPr>
          <w:rFonts w:ascii="仿宋" w:hAnsi="仿宋" w:eastAsia="仿宋"/>
          <w:snapToGrid w:val="0"/>
          <w:color w:val="auto"/>
          <w:highlight w:val="none"/>
          <w:lang w:eastAsia="zh-CN"/>
        </w:rPr>
        <w:t>乙方须对本项目工程款中的工人工资开立工人工资支付专用账户，严禁挪作他用，确保专款专用</w:t>
      </w:r>
      <w:r>
        <w:rPr>
          <w:rFonts w:hint="eastAsia" w:ascii="仿宋" w:hAnsi="仿宋" w:eastAsia="仿宋"/>
          <w:snapToGrid w:val="0"/>
          <w:color w:val="auto"/>
          <w:highlight w:val="none"/>
          <w:lang w:eastAsia="zh-CN"/>
        </w:rPr>
        <w:t>。</w:t>
      </w:r>
    </w:p>
    <w:p w14:paraId="3D0BBE44">
      <w:pPr>
        <w:spacing w:line="360" w:lineRule="auto"/>
        <w:ind w:right="11" w:firstLine="470" w:firstLineChars="196"/>
        <w:rPr>
          <w:rFonts w:ascii="仿宋" w:hAnsi="仿宋" w:eastAsia="仿宋"/>
          <w:snapToGrid w:val="0"/>
          <w:color w:val="auto"/>
          <w:highlight w:val="none"/>
          <w:lang w:eastAsia="zh-CN"/>
        </w:rPr>
      </w:pPr>
      <w:r>
        <w:rPr>
          <w:rFonts w:ascii="仿宋" w:hAnsi="仿宋" w:eastAsia="仿宋"/>
          <w:snapToGrid w:val="0"/>
          <w:color w:val="auto"/>
          <w:highlight w:val="none"/>
          <w:lang w:eastAsia="zh-CN"/>
        </w:rPr>
        <w:t>乙方办理工人工资支付专用账户撤销手续的，应在本项目完工且乙方已结清工人工资后，取得甲方书面同意。</w:t>
      </w:r>
    </w:p>
    <w:p w14:paraId="76DD4653">
      <w:pPr>
        <w:spacing w:line="360" w:lineRule="auto"/>
        <w:ind w:right="11" w:firstLine="472" w:firstLineChars="196"/>
        <w:rPr>
          <w:rFonts w:ascii="仿宋" w:hAnsi="仿宋" w:eastAsia="仿宋"/>
          <w:snapToGrid w:val="0"/>
          <w:color w:val="auto"/>
          <w:highlight w:val="none"/>
          <w:lang w:eastAsia="zh-CN"/>
        </w:rPr>
      </w:pPr>
      <w:r>
        <w:rPr>
          <w:rFonts w:ascii="仿宋" w:hAnsi="仿宋" w:eastAsia="仿宋"/>
          <w:b/>
          <w:snapToGrid w:val="0"/>
          <w:color w:val="auto"/>
          <w:highlight w:val="none"/>
          <w:lang w:eastAsia="zh-CN"/>
        </w:rPr>
        <w:t xml:space="preserve">第三条 </w:t>
      </w:r>
      <w:r>
        <w:rPr>
          <w:rFonts w:ascii="仿宋" w:hAnsi="仿宋" w:eastAsia="仿宋"/>
          <w:snapToGrid w:val="0"/>
          <w:color w:val="auto"/>
          <w:highlight w:val="none"/>
          <w:lang w:eastAsia="zh-CN"/>
        </w:rPr>
        <w:t>乙方按照主合同约定申请工程款时，每一期工程款都必须按照规定比例将工程款项中的工人工资单列，</w:t>
      </w:r>
      <w:r>
        <w:rPr>
          <w:rFonts w:hint="eastAsia" w:ascii="仿宋" w:hAnsi="仿宋" w:eastAsia="仿宋"/>
          <w:snapToGrid w:val="0"/>
          <w:color w:val="auto"/>
          <w:highlight w:val="none"/>
          <w:lang w:eastAsia="zh-CN"/>
        </w:rPr>
        <w:t>并提供工人工资专用账户相关资料。</w:t>
      </w:r>
      <w:r>
        <w:rPr>
          <w:rFonts w:ascii="仿宋" w:hAnsi="仿宋" w:eastAsia="仿宋"/>
          <w:snapToGrid w:val="0"/>
          <w:color w:val="auto"/>
          <w:highlight w:val="none"/>
          <w:lang w:eastAsia="zh-CN"/>
        </w:rPr>
        <w:t>以便甲方进行分账支付。如因乙方错误提供工人工资单列金额而导致相关工人工资无法支付的，由乙方承担由此引起的一切法律责任。</w:t>
      </w:r>
    </w:p>
    <w:p w14:paraId="25B26F0F">
      <w:pPr>
        <w:spacing w:line="360" w:lineRule="auto"/>
        <w:ind w:right="11" w:firstLine="470" w:firstLineChars="196"/>
        <w:rPr>
          <w:rFonts w:ascii="仿宋" w:hAnsi="仿宋" w:eastAsia="仿宋"/>
          <w:snapToGrid w:val="0"/>
          <w:color w:val="auto"/>
          <w:highlight w:val="none"/>
          <w:lang w:eastAsia="zh-CN"/>
        </w:rPr>
      </w:pPr>
      <w:r>
        <w:rPr>
          <w:rFonts w:ascii="仿宋" w:hAnsi="仿宋" w:eastAsia="仿宋"/>
          <w:snapToGrid w:val="0"/>
          <w:color w:val="auto"/>
          <w:highlight w:val="none"/>
          <w:lang w:eastAsia="zh-CN"/>
        </w:rPr>
        <w:t>工人工资款比例按照主合同第一部分协议书第五条合同价款中单列的人工费金额除以合同总价计算，暂定为</w:t>
      </w:r>
      <w:r>
        <w:rPr>
          <w:rFonts w:hint="eastAsia" w:ascii="仿宋" w:hAnsi="仿宋" w:eastAsia="仿宋"/>
          <w:snapToGrid w:val="0"/>
          <w:color w:val="auto"/>
          <w:highlight w:val="none"/>
          <w:u w:val="single"/>
          <w:lang w:eastAsia="zh-CN"/>
        </w:rPr>
        <w:t xml:space="preserve"> </w:t>
      </w:r>
      <w:r>
        <w:rPr>
          <w:rFonts w:hint="eastAsia" w:ascii="仿宋" w:hAnsi="仿宋" w:eastAsia="仿宋"/>
          <w:color w:val="auto"/>
          <w:highlight w:val="none"/>
          <w:u w:val="single"/>
          <w:lang w:eastAsia="zh-CN"/>
        </w:rPr>
        <w:t xml:space="preserve"> 20  </w:t>
      </w:r>
      <w:r>
        <w:rPr>
          <w:rFonts w:ascii="仿宋" w:hAnsi="仿宋" w:eastAsia="仿宋"/>
          <w:snapToGrid w:val="0"/>
          <w:color w:val="auto"/>
          <w:highlight w:val="none"/>
          <w:lang w:eastAsia="zh-CN"/>
        </w:rPr>
        <w:t>%，由甲方按照主合同约定每一期足额支付至第二条所述乙方工人工资专用账户，且工人工资款金额最终以有权结算终审部门审定为准。</w:t>
      </w:r>
    </w:p>
    <w:p w14:paraId="5CA0175A">
      <w:pPr>
        <w:spacing w:line="360" w:lineRule="auto"/>
        <w:ind w:left="105" w:right="11" w:firstLine="390" w:firstLineChars="162"/>
        <w:rPr>
          <w:rFonts w:ascii="仿宋" w:hAnsi="仿宋" w:eastAsia="仿宋"/>
          <w:snapToGrid w:val="0"/>
          <w:color w:val="auto"/>
          <w:highlight w:val="none"/>
          <w:lang w:eastAsia="zh-CN"/>
        </w:rPr>
      </w:pPr>
      <w:r>
        <w:rPr>
          <w:rFonts w:ascii="仿宋" w:hAnsi="仿宋" w:eastAsia="仿宋"/>
          <w:b/>
          <w:snapToGrid w:val="0"/>
          <w:color w:val="auto"/>
          <w:highlight w:val="none"/>
          <w:lang w:eastAsia="zh-CN"/>
        </w:rPr>
        <w:t xml:space="preserve">第四条 </w:t>
      </w:r>
      <w:r>
        <w:rPr>
          <w:rFonts w:ascii="仿宋" w:hAnsi="仿宋" w:eastAsia="仿宋"/>
          <w:snapToGrid w:val="0"/>
          <w:color w:val="auto"/>
          <w:highlight w:val="none"/>
          <w:lang w:eastAsia="zh-CN"/>
        </w:rPr>
        <w:t>乙方须建立工人考勤、工资结算和支付等管理台账，并于每次申请工程款时向甲方报备。</w:t>
      </w:r>
    </w:p>
    <w:p w14:paraId="0AE21BAD">
      <w:pPr>
        <w:spacing w:line="360" w:lineRule="auto"/>
        <w:ind w:right="11" w:firstLine="472" w:firstLineChars="196"/>
        <w:rPr>
          <w:rFonts w:ascii="仿宋" w:hAnsi="仿宋" w:eastAsia="仿宋"/>
          <w:color w:val="auto"/>
          <w:highlight w:val="none"/>
          <w:lang w:eastAsia="zh-CN"/>
        </w:rPr>
      </w:pPr>
      <w:r>
        <w:rPr>
          <w:rFonts w:ascii="仿宋" w:hAnsi="仿宋" w:eastAsia="仿宋"/>
          <w:b/>
          <w:snapToGrid w:val="0"/>
          <w:color w:val="auto"/>
          <w:highlight w:val="none"/>
          <w:lang w:eastAsia="zh-CN"/>
        </w:rPr>
        <w:t>第五条</w:t>
      </w:r>
      <w:r>
        <w:rPr>
          <w:rFonts w:ascii="仿宋" w:hAnsi="仿宋" w:eastAsia="仿宋"/>
          <w:snapToGrid w:val="0"/>
          <w:color w:val="auto"/>
          <w:highlight w:val="none"/>
          <w:lang w:eastAsia="zh-CN"/>
        </w:rPr>
        <w:t xml:space="preserve"> 本协议是</w:t>
      </w:r>
      <w:r>
        <w:rPr>
          <w:rFonts w:hint="eastAsia" w:ascii="仿宋" w:hAnsi="仿宋" w:eastAsia="仿宋"/>
          <w:bCs/>
          <w:snapToGrid w:val="0"/>
          <w:color w:val="auto"/>
          <w:highlight w:val="none"/>
          <w:u w:val="single"/>
          <w:lang w:eastAsia="zh-CN"/>
        </w:rPr>
        <w:t xml:space="preserve"> </w:t>
      </w:r>
      <w:r>
        <w:rPr>
          <w:rFonts w:hint="eastAsia" w:ascii="仿宋" w:hAnsi="仿宋" w:eastAsia="仿宋"/>
          <w:bCs/>
          <w:snapToGrid w:val="0"/>
          <w:color w:val="auto"/>
          <w:highlight w:val="none"/>
          <w:u w:val="single"/>
          <w:lang w:val="en-US" w:eastAsia="zh-CN"/>
        </w:rPr>
        <w:t>广州市白云区三元里村城中村改造项目二期安置房（AB3814008）勘察设计施工总承包（EPC）</w:t>
      </w:r>
      <w:r>
        <w:rPr>
          <w:rFonts w:hint="eastAsia" w:ascii="仿宋" w:hAnsi="仿宋" w:eastAsia="仿宋"/>
          <w:color w:val="auto"/>
          <w:highlight w:val="none"/>
          <w:u w:val="single"/>
          <w:lang w:eastAsia="zh-CN"/>
        </w:rPr>
        <w:t>合同</w:t>
      </w:r>
      <w:r>
        <w:rPr>
          <w:rFonts w:ascii="仿宋" w:hAnsi="仿宋" w:eastAsia="仿宋"/>
          <w:snapToGrid w:val="0"/>
          <w:color w:val="auto"/>
          <w:highlight w:val="none"/>
          <w:lang w:eastAsia="zh-CN"/>
        </w:rPr>
        <w:t>的附件，与主合同效力等同，</w:t>
      </w:r>
      <w:r>
        <w:rPr>
          <w:rFonts w:ascii="仿宋" w:hAnsi="仿宋" w:eastAsia="仿宋"/>
          <w:color w:val="auto"/>
          <w:highlight w:val="none"/>
          <w:lang w:eastAsia="zh-CN"/>
        </w:rPr>
        <w:t>自双方法定代表人（或委托代理人）签字并加盖公章之日起生效。</w:t>
      </w:r>
    </w:p>
    <w:p w14:paraId="34F57A26">
      <w:pPr>
        <w:spacing w:line="360" w:lineRule="auto"/>
        <w:ind w:right="11" w:firstLine="472" w:firstLineChars="196"/>
        <w:rPr>
          <w:rFonts w:ascii="仿宋" w:hAnsi="仿宋" w:eastAsia="仿宋"/>
          <w:bCs/>
          <w:snapToGrid w:val="0"/>
          <w:color w:val="auto"/>
          <w:highlight w:val="none"/>
          <w:lang w:eastAsia="zh-CN"/>
        </w:rPr>
      </w:pPr>
      <w:r>
        <w:rPr>
          <w:rFonts w:ascii="仿宋" w:hAnsi="仿宋" w:eastAsia="仿宋"/>
          <w:b/>
          <w:snapToGrid w:val="0"/>
          <w:color w:val="auto"/>
          <w:highlight w:val="none"/>
          <w:lang w:eastAsia="zh-CN"/>
        </w:rPr>
        <w:t>第六条</w:t>
      </w:r>
      <w:r>
        <w:rPr>
          <w:rFonts w:ascii="仿宋" w:hAnsi="仿宋" w:eastAsia="仿宋"/>
          <w:snapToGrid w:val="0"/>
          <w:color w:val="auto"/>
          <w:highlight w:val="none"/>
          <w:lang w:eastAsia="zh-CN"/>
        </w:rPr>
        <w:t xml:space="preserve"> </w:t>
      </w:r>
      <w:r>
        <w:rPr>
          <w:rFonts w:ascii="仿宋" w:hAnsi="仿宋" w:eastAsia="仿宋"/>
          <w:color w:val="auto"/>
          <w:highlight w:val="none"/>
          <w:lang w:eastAsia="zh-CN"/>
        </w:rPr>
        <w:t>本协议</w:t>
      </w:r>
      <w:r>
        <w:rPr>
          <w:rFonts w:hint="eastAsia" w:ascii="仿宋" w:hAnsi="仿宋" w:eastAsia="仿宋" w:cs="仿宋"/>
          <w:color w:val="auto"/>
          <w:highlight w:val="none"/>
          <w:lang w:eastAsia="zh-CN"/>
        </w:rPr>
        <w:t>一式</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份，具有同等法律效力，其中发包人</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份，承包人</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份</w:t>
      </w:r>
      <w:r>
        <w:rPr>
          <w:rFonts w:hint="eastAsia" w:ascii="仿宋" w:hAnsi="仿宋" w:eastAsia="仿宋"/>
          <w:color w:val="auto"/>
          <w:highlight w:val="none"/>
          <w:lang w:eastAsia="zh-CN"/>
        </w:rPr>
        <w:t>。</w:t>
      </w:r>
    </w:p>
    <w:p w14:paraId="190AF091">
      <w:pPr>
        <w:spacing w:line="360" w:lineRule="auto"/>
        <w:ind w:right="11" w:firstLine="470" w:firstLineChars="196"/>
        <w:rPr>
          <w:rFonts w:ascii="仿宋" w:hAnsi="仿宋" w:eastAsia="仿宋"/>
          <w:bCs/>
          <w:snapToGrid w:val="0"/>
          <w:color w:val="auto"/>
          <w:highlight w:val="none"/>
          <w:lang w:eastAsia="zh-CN"/>
        </w:rPr>
      </w:pPr>
    </w:p>
    <w:p w14:paraId="114D3770">
      <w:pPr>
        <w:spacing w:line="360" w:lineRule="auto"/>
        <w:ind w:right="11" w:firstLine="470" w:firstLineChars="196"/>
        <w:rPr>
          <w:rFonts w:ascii="仿宋" w:hAnsi="仿宋" w:eastAsia="仿宋"/>
          <w:bCs/>
          <w:snapToGrid w:val="0"/>
          <w:color w:val="auto"/>
          <w:highlight w:val="none"/>
          <w:lang w:eastAsia="zh-CN"/>
        </w:rPr>
      </w:pPr>
    </w:p>
    <w:p w14:paraId="76E4FA5D">
      <w:pPr>
        <w:spacing w:line="360" w:lineRule="auto"/>
        <w:ind w:right="11" w:firstLine="470" w:firstLineChars="196"/>
        <w:rPr>
          <w:rFonts w:ascii="仿宋" w:hAnsi="仿宋" w:eastAsia="仿宋"/>
          <w:color w:val="auto"/>
          <w:highlight w:val="none"/>
          <w:lang w:eastAsia="zh-CN"/>
        </w:rPr>
      </w:pPr>
    </w:p>
    <w:p w14:paraId="40CB430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包</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人：（盖章）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广州三元里片区改造投资有限公司 </w:t>
      </w:r>
      <w:r>
        <w:rPr>
          <w:rFonts w:ascii="仿宋" w:hAnsi="仿宋" w:eastAsia="仿宋" w:cs="仿宋"/>
          <w:color w:val="auto"/>
          <w:highlight w:val="none"/>
          <w:lang w:eastAsia="zh-CN"/>
        </w:rPr>
        <w:t xml:space="preserve">                 </w:t>
      </w:r>
    </w:p>
    <w:p w14:paraId="124690F3">
      <w:pPr>
        <w:spacing w:line="360" w:lineRule="auto"/>
        <w:ind w:firstLine="480" w:firstLineChars="200"/>
        <w:rPr>
          <w:rFonts w:ascii="仿宋" w:hAnsi="仿宋" w:eastAsia="仿宋" w:cs="仿宋"/>
          <w:color w:val="auto"/>
          <w:highlight w:val="none"/>
          <w:lang w:eastAsia="zh-CN"/>
        </w:rPr>
      </w:pPr>
    </w:p>
    <w:p w14:paraId="24FD2007">
      <w:pPr>
        <w:spacing w:line="360" w:lineRule="auto"/>
        <w:ind w:firstLine="0" w:firstLineChars="0"/>
        <w:rPr>
          <w:rFonts w:ascii="仿宋" w:hAnsi="仿宋" w:eastAsia="仿宋" w:cs="仿宋"/>
          <w:color w:val="auto"/>
          <w:highlight w:val="none"/>
          <w:lang w:eastAsia="zh-CN"/>
        </w:rPr>
      </w:pPr>
    </w:p>
    <w:p w14:paraId="0A648CA4">
      <w:pPr>
        <w:spacing w:line="360" w:lineRule="auto"/>
        <w:ind w:firstLine="480" w:firstLineChars="200"/>
        <w:rPr>
          <w:rFonts w:ascii="仿宋" w:hAnsi="仿宋" w:eastAsia="仿宋" w:cs="仿宋"/>
          <w:color w:val="auto"/>
          <w:highlight w:val="none"/>
          <w:lang w:eastAsia="zh-CN"/>
        </w:rPr>
      </w:pPr>
    </w:p>
    <w:p w14:paraId="04F3CB1C">
      <w:pPr>
        <w:spacing w:line="324" w:lineRule="auto"/>
        <w:ind w:left="7159" w:leftChars="183" w:hanging="6720" w:hangingChars="28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包</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人：（盖章） (主) </w:t>
      </w:r>
    </w:p>
    <w:p w14:paraId="5FF0D153">
      <w:pPr>
        <w:spacing w:line="324" w:lineRule="auto"/>
        <w:ind w:left="7159" w:leftChars="183" w:hanging="6720" w:hangingChars="2800"/>
        <w:rPr>
          <w:rFonts w:hint="eastAsia" w:ascii="仿宋" w:hAnsi="仿宋" w:eastAsia="仿宋" w:cs="仿宋"/>
          <w:color w:val="auto"/>
          <w:highlight w:val="none"/>
          <w:lang w:eastAsia="zh-CN"/>
        </w:rPr>
      </w:pPr>
    </w:p>
    <w:p w14:paraId="47AC0380">
      <w:pPr>
        <w:spacing w:line="324" w:lineRule="auto"/>
        <w:ind w:left="7159" w:leftChars="183" w:hanging="6720" w:hangingChars="2800"/>
        <w:rPr>
          <w:rFonts w:hint="eastAsia" w:ascii="仿宋" w:hAnsi="仿宋" w:eastAsia="仿宋" w:cs="仿宋"/>
          <w:color w:val="auto"/>
          <w:highlight w:val="none"/>
          <w:lang w:eastAsia="zh-CN"/>
        </w:rPr>
      </w:pPr>
    </w:p>
    <w:p w14:paraId="095A6696">
      <w:pPr>
        <w:spacing w:line="324" w:lineRule="auto"/>
        <w:ind w:left="7159" w:leftChars="183" w:hanging="6720" w:hangingChars="2800"/>
        <w:rPr>
          <w:rFonts w:hint="eastAsia" w:ascii="仿宋" w:hAnsi="仿宋" w:eastAsia="仿宋" w:cs="仿宋"/>
          <w:color w:val="auto"/>
          <w:highlight w:val="none"/>
          <w:lang w:eastAsia="zh-CN"/>
        </w:rPr>
      </w:pPr>
    </w:p>
    <w:p w14:paraId="5F4DDA35">
      <w:pPr>
        <w:spacing w:line="324" w:lineRule="auto"/>
        <w:ind w:left="7159" w:leftChars="183" w:hanging="6720" w:hangingChars="28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包</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人：（盖章） (成) </w:t>
      </w:r>
    </w:p>
    <w:p w14:paraId="6FD2C327">
      <w:pPr>
        <w:spacing w:line="360" w:lineRule="auto"/>
        <w:rPr>
          <w:rFonts w:hint="eastAsia" w:ascii="仿宋" w:hAnsi="仿宋" w:eastAsia="仿宋" w:cs="仿宋"/>
          <w:color w:val="auto"/>
          <w:highlight w:val="none"/>
          <w:lang w:eastAsia="zh-CN"/>
        </w:rPr>
      </w:pPr>
    </w:p>
    <w:p w14:paraId="678CA7DB">
      <w:pPr>
        <w:spacing w:line="360" w:lineRule="auto"/>
        <w:ind w:firstLine="480" w:firstLineChars="200"/>
        <w:rPr>
          <w:rFonts w:hint="eastAsia" w:ascii="仿宋" w:hAnsi="仿宋" w:eastAsia="仿宋" w:cs="仿宋"/>
          <w:color w:val="auto"/>
          <w:highlight w:val="none"/>
          <w:lang w:eastAsia="zh-CN"/>
        </w:rPr>
      </w:pPr>
    </w:p>
    <w:p w14:paraId="140340AA">
      <w:pPr>
        <w:spacing w:line="360" w:lineRule="auto"/>
        <w:ind w:firstLine="480" w:firstLineChars="200"/>
        <w:rPr>
          <w:rFonts w:ascii="仿宋" w:hAnsi="仿宋" w:eastAsia="仿宋"/>
          <w:color w:val="auto"/>
          <w:highlight w:val="none"/>
          <w:lang w:eastAsia="zh-CN"/>
        </w:rPr>
      </w:pPr>
    </w:p>
    <w:p w14:paraId="3FCA9962">
      <w:pPr>
        <w:spacing w:line="360" w:lineRule="auto"/>
        <w:ind w:firstLine="480" w:firstLineChars="200"/>
        <w:rPr>
          <w:rFonts w:hint="eastAsia" w:ascii="仿宋" w:hAnsi="仿宋" w:eastAsia="仿宋" w:cs="仿宋"/>
          <w:color w:val="auto"/>
          <w:highlight w:val="none"/>
          <w:lang w:eastAsia="zh-CN"/>
        </w:rPr>
      </w:pPr>
    </w:p>
    <w:p w14:paraId="17B7D0CB">
      <w:pPr>
        <w:spacing w:line="360" w:lineRule="auto"/>
        <w:ind w:firstLine="5280" w:firstLineChars="2200"/>
        <w:rPr>
          <w:rFonts w:hint="eastAsia" w:ascii="仿宋" w:hAnsi="仿宋" w:eastAsia="仿宋" w:cs="仿宋"/>
          <w:color w:val="auto"/>
          <w:highlight w:val="none"/>
          <w:lang w:eastAsia="zh-CN"/>
        </w:rPr>
      </w:pPr>
    </w:p>
    <w:p w14:paraId="7B1A53F9">
      <w:pPr>
        <w:spacing w:line="360" w:lineRule="auto"/>
        <w:ind w:firstLine="3840" w:firstLineChars="1600"/>
        <w:rPr>
          <w:rFonts w:hint="eastAsia" w:ascii="仿宋" w:hAnsi="仿宋" w:eastAsia="仿宋"/>
          <w:snapToGrid w:val="0"/>
          <w:color w:val="auto"/>
          <w:highlight w:val="none"/>
          <w:lang w:eastAsia="zh-CN"/>
        </w:rPr>
      </w:pPr>
    </w:p>
    <w:p w14:paraId="1B2D4593">
      <w:pPr>
        <w:spacing w:line="360" w:lineRule="auto"/>
        <w:ind w:firstLine="3840" w:firstLineChars="1600"/>
        <w:rPr>
          <w:rFonts w:hint="eastAsia" w:ascii="仿宋" w:hAnsi="仿宋" w:eastAsia="仿宋"/>
          <w:snapToGrid w:val="0"/>
          <w:color w:val="auto"/>
          <w:highlight w:val="none"/>
          <w:lang w:eastAsia="zh-CN"/>
        </w:rPr>
      </w:pPr>
    </w:p>
    <w:p w14:paraId="2BFEC8E3">
      <w:pPr>
        <w:spacing w:line="360" w:lineRule="auto"/>
        <w:ind w:firstLine="3840" w:firstLineChars="1600"/>
        <w:rPr>
          <w:rFonts w:ascii="仿宋" w:hAnsi="仿宋" w:eastAsia="仿宋"/>
          <w:snapToGrid w:val="0"/>
          <w:color w:val="auto"/>
          <w:highlight w:val="none"/>
          <w:lang w:eastAsia="zh-CN"/>
        </w:rPr>
      </w:pPr>
      <w:r>
        <w:rPr>
          <w:rFonts w:ascii="仿宋" w:hAnsi="仿宋" w:eastAsia="仿宋"/>
          <w:snapToGrid w:val="0"/>
          <w:color w:val="auto"/>
          <w:highlight w:val="none"/>
          <w:lang w:eastAsia="zh-CN"/>
        </w:rPr>
        <w:t>日期：</w:t>
      </w:r>
      <w:r>
        <w:rPr>
          <w:rFonts w:hint="eastAsia" w:ascii="仿宋" w:hAnsi="仿宋" w:eastAsia="仿宋"/>
          <w:snapToGrid w:val="0"/>
          <w:color w:val="auto"/>
          <w:highlight w:val="none"/>
          <w:lang w:eastAsia="zh-CN"/>
        </w:rPr>
        <w:t>2025</w:t>
      </w:r>
      <w:r>
        <w:rPr>
          <w:rFonts w:ascii="仿宋" w:hAnsi="仿宋" w:eastAsia="仿宋"/>
          <w:snapToGrid w:val="0"/>
          <w:color w:val="auto"/>
          <w:highlight w:val="none"/>
          <w:lang w:eastAsia="zh-CN"/>
        </w:rPr>
        <w:t xml:space="preserve">年 </w:t>
      </w:r>
      <w:r>
        <w:rPr>
          <w:rFonts w:hint="eastAsia" w:ascii="仿宋" w:hAnsi="仿宋" w:eastAsia="仿宋"/>
          <w:snapToGrid w:val="0"/>
          <w:color w:val="auto"/>
          <w:highlight w:val="none"/>
          <w:lang w:eastAsia="zh-CN"/>
        </w:rPr>
        <w:t xml:space="preserve"> </w:t>
      </w:r>
      <w:r>
        <w:rPr>
          <w:rFonts w:ascii="仿宋" w:hAnsi="仿宋" w:eastAsia="仿宋"/>
          <w:snapToGrid w:val="0"/>
          <w:color w:val="auto"/>
          <w:highlight w:val="none"/>
          <w:lang w:eastAsia="zh-CN"/>
        </w:rPr>
        <w:t xml:space="preserve"> 月</w:t>
      </w:r>
      <w:r>
        <w:rPr>
          <w:rFonts w:hint="eastAsia" w:ascii="仿宋" w:hAnsi="仿宋" w:eastAsia="仿宋"/>
          <w:snapToGrid w:val="0"/>
          <w:color w:val="auto"/>
          <w:highlight w:val="none"/>
          <w:lang w:eastAsia="zh-CN"/>
        </w:rPr>
        <w:t xml:space="preserve">  </w:t>
      </w:r>
      <w:r>
        <w:rPr>
          <w:rFonts w:ascii="仿宋" w:hAnsi="仿宋" w:eastAsia="仿宋"/>
          <w:snapToGrid w:val="0"/>
          <w:color w:val="auto"/>
          <w:highlight w:val="none"/>
          <w:lang w:eastAsia="zh-CN"/>
        </w:rPr>
        <w:t>日</w:t>
      </w:r>
    </w:p>
    <w:p w14:paraId="7035ED30">
      <w:pPr>
        <w:spacing w:line="360" w:lineRule="auto"/>
        <w:jc w:val="both"/>
        <w:rPr>
          <w:rFonts w:hint="eastAsia" w:ascii="仿宋" w:hAnsi="仿宋" w:eastAsia="仿宋"/>
          <w:color w:val="auto"/>
          <w:highlight w:val="none"/>
          <w:lang w:eastAsia="zh-CN"/>
        </w:rPr>
      </w:pPr>
    </w:p>
    <w:p w14:paraId="402D078F">
      <w:pPr>
        <w:spacing w:line="360" w:lineRule="auto"/>
        <w:jc w:val="both"/>
        <w:outlineLvl w:val="1"/>
        <w:rPr>
          <w:rFonts w:hint="eastAsia" w:ascii="仿宋" w:hAnsi="仿宋" w:eastAsia="仿宋"/>
          <w:color w:val="auto"/>
          <w:highlight w:val="none"/>
          <w:lang w:eastAsia="zh-CN"/>
        </w:rPr>
      </w:pPr>
      <w:r>
        <w:rPr>
          <w:rFonts w:hint="eastAsia" w:ascii="仿宋" w:hAnsi="仿宋" w:eastAsia="仿宋"/>
          <w:color w:val="auto"/>
          <w:highlight w:val="none"/>
          <w:lang w:eastAsia="zh-CN"/>
        </w:rPr>
        <w:br w:type="page"/>
      </w:r>
      <w:bookmarkStart w:id="2115" w:name="_Toc5209"/>
      <w:bookmarkStart w:id="2116" w:name="_Toc2360"/>
      <w:bookmarkStart w:id="2117" w:name="_Toc17168"/>
      <w:bookmarkStart w:id="2118" w:name="_Toc26940"/>
      <w:bookmarkStart w:id="2119" w:name="_Toc23594"/>
      <w:bookmarkStart w:id="2120" w:name="_Toc5732"/>
      <w:bookmarkStart w:id="2121" w:name="_Toc28302"/>
      <w:bookmarkStart w:id="2122" w:name="_Toc29034"/>
      <w:r>
        <w:rPr>
          <w:rFonts w:hint="eastAsia" w:ascii="仿宋" w:hAnsi="仿宋" w:eastAsia="仿宋"/>
          <w:b/>
          <w:bCs/>
          <w:color w:val="auto"/>
          <w:highlight w:val="none"/>
          <w:lang w:eastAsia="zh-CN"/>
        </w:rPr>
        <w:t>附件</w:t>
      </w:r>
      <w:bookmarkEnd w:id="2115"/>
      <w:bookmarkEnd w:id="2116"/>
      <w:bookmarkEnd w:id="2117"/>
      <w:r>
        <w:rPr>
          <w:rFonts w:hint="eastAsia" w:ascii="仿宋" w:hAnsi="仿宋" w:eastAsia="仿宋"/>
          <w:b/>
          <w:bCs/>
          <w:color w:val="auto"/>
          <w:highlight w:val="none"/>
          <w:lang w:eastAsia="zh-CN"/>
        </w:rPr>
        <w:t>九：安全管理协议书</w:t>
      </w:r>
      <w:bookmarkEnd w:id="2118"/>
      <w:bookmarkEnd w:id="2119"/>
      <w:bookmarkEnd w:id="2120"/>
      <w:bookmarkEnd w:id="2121"/>
      <w:bookmarkEnd w:id="2122"/>
    </w:p>
    <w:p w14:paraId="4348C470">
      <w:pPr>
        <w:spacing w:before="120"/>
        <w:jc w:val="center"/>
        <w:rPr>
          <w:b/>
          <w:color w:val="auto"/>
          <w:sz w:val="28"/>
          <w:szCs w:val="28"/>
          <w:highlight w:val="none"/>
          <w:lang w:eastAsia="zh-CN"/>
        </w:rPr>
      </w:pPr>
      <w:r>
        <w:rPr>
          <w:rFonts w:hint="eastAsia" w:ascii="仿宋" w:hAnsi="仿宋" w:eastAsia="仿宋" w:cs="仿宋"/>
          <w:b/>
          <w:color w:val="auto"/>
          <w:sz w:val="28"/>
          <w:szCs w:val="28"/>
          <w:highlight w:val="none"/>
          <w:lang w:eastAsia="zh-CN"/>
        </w:rPr>
        <w:t xml:space="preserve">安 全 管 理 协 议 书   </w:t>
      </w:r>
    </w:p>
    <w:p w14:paraId="72730654">
      <w:pPr>
        <w:spacing w:line="360" w:lineRule="auto"/>
        <w:rPr>
          <w:rFonts w:hint="eastAsia" w:ascii="仿宋" w:hAnsi="仿宋" w:eastAsia="仿宋"/>
          <w:color w:val="auto"/>
          <w:highlight w:val="none"/>
          <w:lang w:eastAsia="zh-CN"/>
        </w:rPr>
      </w:pPr>
    </w:p>
    <w:p w14:paraId="70154975">
      <w:pPr>
        <w:spacing w:line="360" w:lineRule="auto"/>
        <w:rPr>
          <w:rFonts w:ascii="仿宋" w:hAnsi="仿宋" w:eastAsia="仿宋"/>
          <w:color w:val="auto"/>
          <w:highlight w:val="none"/>
          <w:u w:val="single"/>
          <w:lang w:eastAsia="zh-CN"/>
        </w:rPr>
      </w:pPr>
      <w:r>
        <w:rPr>
          <w:rFonts w:hint="eastAsia" w:ascii="仿宋" w:hAnsi="仿宋" w:eastAsia="仿宋"/>
          <w:color w:val="auto"/>
          <w:highlight w:val="none"/>
          <w:lang w:eastAsia="zh-CN"/>
        </w:rPr>
        <w:t>发包人：</w:t>
      </w:r>
      <w:r>
        <w:rPr>
          <w:rFonts w:hint="eastAsia" w:ascii="仿宋" w:hAnsi="仿宋" w:eastAsia="仿宋"/>
          <w:color w:val="auto"/>
          <w:highlight w:val="none"/>
          <w:u w:val="single"/>
          <w:lang w:eastAsia="zh-CN"/>
        </w:rPr>
        <w:t xml:space="preserve">广州三元里片区改造投资有限公司 </w:t>
      </w:r>
    </w:p>
    <w:p w14:paraId="60D03C3B">
      <w:pPr>
        <w:spacing w:line="360" w:lineRule="auto"/>
        <w:ind w:left="0" w:leftChars="0" w:firstLine="0" w:firstLineChars="0"/>
        <w:rPr>
          <w:rFonts w:hint="eastAsia" w:ascii="仿宋" w:hAnsi="仿宋" w:eastAsia="仿宋" w:cs="仿宋"/>
          <w:color w:val="auto"/>
          <w:highlight w:val="none"/>
          <w:u w:val="single"/>
          <w:lang w:eastAsia="zh-CN"/>
        </w:rPr>
      </w:pPr>
      <w:r>
        <w:rPr>
          <w:rFonts w:hint="eastAsia" w:ascii="仿宋" w:hAnsi="仿宋" w:eastAsia="仿宋"/>
          <w:color w:val="auto"/>
          <w:highlight w:val="none"/>
          <w:lang w:eastAsia="zh-CN"/>
        </w:rPr>
        <w:t>承包人：</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(主) </w:t>
      </w:r>
    </w:p>
    <w:p w14:paraId="058F1D61">
      <w:pPr>
        <w:spacing w:line="360" w:lineRule="auto"/>
        <w:ind w:left="0" w:leftChars="0"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(成) </w:t>
      </w:r>
    </w:p>
    <w:p w14:paraId="36D39018">
      <w:pPr>
        <w:spacing w:line="360" w:lineRule="auto"/>
        <w:ind w:left="0" w:leftChars="0"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(成) </w:t>
      </w:r>
    </w:p>
    <w:p w14:paraId="7F9D3261">
      <w:pPr>
        <w:spacing w:line="360" w:lineRule="auto"/>
        <w:ind w:firstLine="960" w:firstLineChars="400"/>
        <w:rPr>
          <w:rFonts w:ascii="仿宋" w:hAnsi="仿宋" w:eastAsia="仿宋" w:cs="仿宋"/>
          <w:color w:val="auto"/>
          <w:highlight w:val="none"/>
          <w:u w:val="single"/>
          <w:lang w:eastAsia="zh-CN"/>
        </w:rPr>
      </w:pPr>
    </w:p>
    <w:p w14:paraId="3A2965C0">
      <w:pPr>
        <w:spacing w:line="360" w:lineRule="auto"/>
        <w:rPr>
          <w:rFonts w:ascii="仿宋" w:hAnsi="仿宋" w:eastAsia="仿宋"/>
          <w:bCs/>
          <w:color w:val="auto"/>
          <w:highlight w:val="none"/>
          <w:lang w:eastAsia="zh-CN"/>
        </w:rPr>
      </w:pPr>
    </w:p>
    <w:p w14:paraId="12F8F935">
      <w:pPr>
        <w:spacing w:line="360" w:lineRule="auto"/>
        <w:ind w:left="1200" w:hanging="1200" w:hangingChars="500"/>
        <w:rPr>
          <w:rFonts w:hint="eastAsia" w:ascii="仿宋" w:hAnsi="仿宋" w:eastAsia="仿宋"/>
          <w:color w:val="auto"/>
          <w:highlight w:val="none"/>
          <w:u w:val="single"/>
          <w:lang w:eastAsia="zh-CN"/>
        </w:rPr>
      </w:pPr>
      <w:r>
        <w:rPr>
          <w:rFonts w:hint="eastAsia" w:ascii="仿宋" w:hAnsi="仿宋" w:eastAsia="仿宋"/>
          <w:bCs/>
          <w:color w:val="auto"/>
          <w:highlight w:val="none"/>
          <w:lang w:eastAsia="zh-CN"/>
        </w:rPr>
        <w:t>工程项目：</w:t>
      </w:r>
      <w:r>
        <w:rPr>
          <w:rFonts w:hint="eastAsia" w:ascii="仿宋" w:hAnsi="仿宋" w:eastAsia="仿宋"/>
          <w:bCs/>
          <w:color w:val="auto"/>
          <w:highlight w:val="none"/>
          <w:lang w:val="en-US" w:eastAsia="zh-CN"/>
        </w:rPr>
        <w:t>广州市白云区三元里村城中村改造项目二期安置房（AB3814008）勘察设计施工总承包（EPC）</w:t>
      </w:r>
      <w:r>
        <w:rPr>
          <w:rFonts w:hint="eastAsia" w:ascii="仿宋" w:hAnsi="仿宋" w:eastAsia="仿宋"/>
          <w:color w:val="auto"/>
          <w:highlight w:val="none"/>
          <w:u w:val="none"/>
          <w:lang w:eastAsia="zh-CN"/>
        </w:rPr>
        <w:t xml:space="preserve">  </w:t>
      </w:r>
    </w:p>
    <w:p w14:paraId="07D8C903">
      <w:pPr>
        <w:spacing w:line="360" w:lineRule="auto"/>
        <w:ind w:left="1200" w:hanging="1200" w:hangingChars="500"/>
        <w:rPr>
          <w:rFonts w:hint="default" w:ascii="仿宋" w:hAnsi="仿宋" w:eastAsia="仿宋"/>
          <w:color w:val="auto"/>
          <w:sz w:val="20"/>
          <w:szCs w:val="20"/>
          <w:highlight w:val="none"/>
          <w:u w:val="single"/>
          <w:lang w:val="en-US" w:eastAsia="zh-CN"/>
        </w:rPr>
      </w:pPr>
      <w:r>
        <w:rPr>
          <w:rFonts w:hint="eastAsia" w:ascii="仿宋" w:hAnsi="仿宋" w:eastAsia="仿宋"/>
          <w:bCs/>
          <w:color w:val="auto"/>
          <w:highlight w:val="none"/>
          <w:lang w:eastAsia="zh-CN"/>
        </w:rPr>
        <w:t>工程地点：</w:t>
      </w:r>
      <w:r>
        <w:rPr>
          <w:rFonts w:hint="eastAsia" w:ascii="仿宋" w:hAnsi="仿宋" w:eastAsia="仿宋" w:cs="Times New Roman"/>
          <w:bCs/>
          <w:color w:val="auto"/>
          <w:sz w:val="24"/>
          <w:szCs w:val="24"/>
          <w:highlight w:val="none"/>
          <w:u w:val="none"/>
          <w:lang w:eastAsia="zh"/>
        </w:rPr>
        <w:t>项目为AB3814008地块，位于广州白云区三元里街道，南临三元里大道。</w:t>
      </w:r>
    </w:p>
    <w:p w14:paraId="32319525">
      <w:pPr>
        <w:spacing w:line="360" w:lineRule="auto"/>
        <w:ind w:firstLine="480" w:firstLineChars="200"/>
        <w:rPr>
          <w:rFonts w:hint="eastAsia" w:ascii="仿宋" w:hAnsi="仿宋" w:eastAsia="仿宋"/>
          <w:bCs/>
          <w:color w:val="auto"/>
          <w:highlight w:val="none"/>
          <w:lang w:eastAsia="zh-CN"/>
        </w:rPr>
      </w:pPr>
    </w:p>
    <w:p w14:paraId="6EF21A88">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为贯彻“安全第一、预防为主、综合治理”的安全管理工作指导方针，明确双方的安全管理责任，依据《中华人民共和国安全生产法》《中华人民共和国消防法》《建设工程安全生产管理条例》等法律、法规以及甲方安全生产管理规章制度，经双方协商，特约定以下条款。</w:t>
      </w:r>
    </w:p>
    <w:p w14:paraId="625E3D6F">
      <w:pPr>
        <w:adjustRightInd w:val="0"/>
        <w:snapToGrid w:val="0"/>
        <w:spacing w:line="360" w:lineRule="auto"/>
        <w:ind w:firstLine="482" w:firstLineChars="2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第一条乙方安全管理的责任目标</w:t>
      </w:r>
    </w:p>
    <w:p w14:paraId="2E6309EB">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乙方对接管区域的安全管理目标和责任，自乙方接管该区域之日起生效。</w:t>
      </w:r>
    </w:p>
    <w:p w14:paraId="160F8838">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（一）安全生产目标</w:t>
      </w:r>
    </w:p>
    <w:p w14:paraId="7A5AA298">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1、乙方管辖区域内不发生一般及以上安全生产责任事故。</w:t>
      </w:r>
    </w:p>
    <w:p w14:paraId="4AA42699">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2、不发生人员死亡、1人以上重伤，或直接经济损失100万元以上的火灾事故。</w:t>
      </w:r>
    </w:p>
    <w:p w14:paraId="2BB69D20">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3、监管范围内生产安全事故重伤人数控制在1人以内。</w:t>
      </w:r>
    </w:p>
    <w:p w14:paraId="6710EFD7">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4、办公场所、宿舍、附属临时用房不发生责任火灾事故。</w:t>
      </w:r>
    </w:p>
    <w:p w14:paraId="19BE7654">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5、不发生涉及乙方责任的甲方及第三方设施设备的致损事件。</w:t>
      </w:r>
    </w:p>
    <w:p w14:paraId="4CFE0B9B">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6、不发生管辖区域的责任涉险事故。</w:t>
      </w:r>
    </w:p>
    <w:p w14:paraId="285EBF15">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7、控制和减少责任事件的发生。</w:t>
      </w:r>
    </w:p>
    <w:p w14:paraId="22EABDC8">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8、不发生责任交通安全亡人事故。</w:t>
      </w:r>
    </w:p>
    <w:p w14:paraId="75A9DC32">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（二）维稳综治责任目标</w:t>
      </w:r>
    </w:p>
    <w:p w14:paraId="5877CEBA">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1、不发生乙方人员违法犯罪受刑事处罚以及受公安机关治安、行政处罚等有损甲方声誉的事件。</w:t>
      </w:r>
    </w:p>
    <w:p w14:paraId="1BF9AC77">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2、不发生乙方人员或因本单位责任引发的管辖区域的人员群体性上访、怠工、罢工等事件。</w:t>
      </w:r>
    </w:p>
    <w:p w14:paraId="0A5DAF1F">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3、不发生因安保管理不到位，造成管辖区域内公共财产、设备设施被盗，损失达1万元及以上的事件。</w:t>
      </w:r>
    </w:p>
    <w:p w14:paraId="6A1C31B0">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4、不发生对社会具有重大负面影响、严重损害甲方声誉的事件。</w:t>
      </w:r>
    </w:p>
    <w:p w14:paraId="3708B10D">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（三）环境及公共卫生管理责任目标</w:t>
      </w:r>
    </w:p>
    <w:p w14:paraId="3451BD23">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1、管辖区域内不发生违反环境法律法规事件。</w:t>
      </w:r>
    </w:p>
    <w:p w14:paraId="01772CCF">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2、管辖区域内不发生严重环境污染事故。</w:t>
      </w:r>
    </w:p>
    <w:p w14:paraId="0C5D78B5">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3、控制和减少管辖区域内有害废弃物对外界环境的影响。</w:t>
      </w:r>
    </w:p>
    <w:p w14:paraId="050BA9C0">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4、不发生涉及乙方责任的公共卫生事件。</w:t>
      </w:r>
    </w:p>
    <w:p w14:paraId="7C34A84C">
      <w:pPr>
        <w:adjustRightInd w:val="0"/>
        <w:snapToGrid w:val="0"/>
        <w:spacing w:line="360" w:lineRule="auto"/>
        <w:ind w:firstLine="482" w:firstLineChars="2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第二条乙方安全管理责任</w:t>
      </w:r>
    </w:p>
    <w:p w14:paraId="4F699D69">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一）认真贯彻执行《中华人民共和国安全生产法》《中华人民共和国消防法》《中华人民共和国突发事件应对法》《中华人民共和国职业病防治法》《中华人民共和国环境保护法》及国家、省、市有关生产安全、应急管理、消防安全、职业病防治、交通安全、维稳综治内保、环境管理相关的法律、法规、行业标准、规范性文件及甲方各项安全管理制度。</w:t>
      </w:r>
    </w:p>
    <w:p w14:paraId="3E281FB5">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二）结合消防综治实际，加强安全管理标准化、精细化安全管理体系建设，规范安全管理各环节，完善各项管理程序。落实建设生产安全、应急管理、消防安全、职业病防治、交通安全、维稳综治工作机制，建立健全辖下场所安全管理责任制度、考核奖惩制度、安全检查制度、安全工作会议制度，落实专（兼）职安全管理人员设置。</w:t>
      </w:r>
    </w:p>
    <w:p w14:paraId="0E6128BD">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（三）落实乙方主要负责人对安全、环保工作负总责，乙方项目经理是施工场所安全管理的第一责任人。</w:t>
      </w:r>
    </w:p>
    <w:p w14:paraId="25DC94EE">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（四）根据安全生产工作目标和要求，制订本管辖区域的安全生产工作目标和计划，明确安全生产工作重点和内容，并组织实施。</w:t>
      </w:r>
    </w:p>
    <w:p w14:paraId="03560A1B">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（五）建立安全隐患排查和专项整治工作的长效机制，定期组织对本管辖范围内的安全隐患进行排查和专项治理，加大安全投入并采取有效措施及时消除或减少安全隐患。</w:t>
      </w:r>
    </w:p>
    <w:p w14:paraId="08455E9B">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六）落实安全风险分级管控工作，组织排查安全风险，形成风险管理情况记录。如实告知员工岗位安全风险，做好安全风险管理宣传培训、消防演练、应急预案演练等。落实安全风险管理的各项工作，每月向甲方上报安全风险、危险源辨识评价及分级管控台账。</w:t>
      </w:r>
    </w:p>
    <w:p w14:paraId="5BB537A0">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七）加强应急管理工作，建立健全应急管理体系，落实应急准备措施，加强应急演练工作，综合应急演练每年不少于一次，消防演练每年不少于两次，上下半年各一次。根据甲方有关应急信息报送的要求（见附件1），如实快速做好突发事件的信息报送和应急处置。指导和督促相关单位完善应急救援体系并定期组织演练，提升应急保障能力。</w:t>
      </w:r>
    </w:p>
    <w:p w14:paraId="753D5318">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（八）落实对本工程区域的设备、设施管理，确保符合安全要求，落实足够的防火、防毒、防人员伤害和职业病危害措施，并定期组织对其维护、保养及检测。</w:t>
      </w:r>
    </w:p>
    <w:p w14:paraId="06EC5E49">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（九）建立健全志愿消防队，落实消防安全巡查制度，组织制定管辖区域的灭火和应急疏散预案，并实施演练。强化管辖区域的防火检查工作，严禁存在住宿与生产、储存、经营合用的“三合一”场所。</w:t>
      </w:r>
    </w:p>
    <w:p w14:paraId="480BA23F">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（十）明确安全管理目标，落实本工程工地内部的安全考核工作，将安全管理不力、发生安全事故的责任单位和责任人记入安全生产不良记录，并按照有关规定进行处理。</w:t>
      </w:r>
    </w:p>
    <w:p w14:paraId="18269121">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十一）参加甲方组织的安全管理会议及培训。落实对乙方全体员工开展安全生产政策法规宣传、教育、培训，乙方项目部级工人进场安全教育应严格按照《关于进一步强化建设项目安全管理的通知》（云城开投〔2023〕76号）要求开展。积极开展“安全生产月”“119”消防宣传月等活动。落实对工地范围内内全体员工开展环境管理法律法规及环保措施的宣传、教育、培训。</w:t>
      </w:r>
    </w:p>
    <w:p w14:paraId="7BA5E37D">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（十二）落实管辖内区域的环境因素识别与评价，确定重要环境因素及对应的法律法规要求，按相关法律法规要求严格执行。</w:t>
      </w:r>
    </w:p>
    <w:p w14:paraId="2733DB20">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（十三）落实对管辖区域的公共卫生管理，加强传染病、食物和职业中毒的防控工作，做好办公、生活区域的卫生保洁。</w:t>
      </w:r>
    </w:p>
    <w:p w14:paraId="1C236669">
      <w:pPr>
        <w:adjustRightInd w:val="0"/>
        <w:snapToGrid w:val="0"/>
        <w:spacing w:line="360" w:lineRule="auto"/>
        <w:ind w:firstLine="482" w:firstLineChars="2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第三条安全问题整改</w:t>
      </w:r>
    </w:p>
    <w:p w14:paraId="7539D184">
      <w:pPr>
        <w:adjustRightInd w:val="0"/>
        <w:snapToGrid w:val="0"/>
        <w:spacing w:line="360" w:lineRule="auto"/>
        <w:ind w:firstLine="482" w:firstLineChars="2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甲方将不定期到乙方管辖区域进行安全检查。</w:t>
      </w:r>
    </w:p>
    <w:p w14:paraId="79AB7005">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一）如在检查过程发现乙方场地存在安全隐患，甲方及甲方集团有权下发《安全文明整改通知书》《安全检查记录》《安全停工令》（格式见附件3、4）并向乙方通报，乙方应在通知书指定的期限内进行整改，并书面回复甲方。</w:t>
      </w:r>
    </w:p>
    <w:p w14:paraId="1DEFCDAA">
      <w:pPr>
        <w:adjustRightInd w:val="0"/>
        <w:snapToGrid w:val="0"/>
        <w:spacing w:line="360" w:lineRule="auto"/>
        <w:ind w:firstLine="480" w:firstLineChars="200"/>
        <w:rPr>
          <w:rFonts w:hint="eastAsia" w:ascii="仿宋" w:hAnsi="仿宋" w:eastAsia="仿宋" w:cs="仿宋"/>
          <w:b/>
          <w:bCs/>
          <w:color w:val="auto"/>
          <w:highlight w:val="none"/>
          <w:lang w:eastAsia="zh-CN"/>
        </w:rPr>
      </w:pPr>
      <w:r>
        <w:rPr>
          <w:rFonts w:hint="eastAsia" w:ascii="仿宋" w:hAnsi="仿宋" w:eastAsia="仿宋" w:cs="仿宋"/>
          <w:color w:val="auto"/>
          <w:highlight w:val="none"/>
          <w:lang w:eastAsia="zh-CN"/>
        </w:rPr>
        <w:t>（二）如未按甲方整改通知书要求整改的，甲方有权按国家相关规定及双方签署的合同及补充协议条款进行处理。</w:t>
      </w:r>
    </w:p>
    <w:p w14:paraId="693188E0">
      <w:pPr>
        <w:adjustRightInd w:val="0"/>
        <w:snapToGrid w:val="0"/>
        <w:spacing w:line="360" w:lineRule="auto"/>
        <w:ind w:firstLine="482" w:firstLineChars="2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第四条事故（事件）分类及认定标准</w:t>
      </w:r>
    </w:p>
    <w:p w14:paraId="642AAE97">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按照生产安全事故（事件）造成的人员伤亡、直接经济损失等影响和危害程度，生产安全事故（事件）分为特别重大事故、重大事故、较大事故、一般事故、一般事件。</w:t>
      </w:r>
    </w:p>
    <w:p w14:paraId="00D75958">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（一）特别重大事故构成条件</w:t>
      </w:r>
    </w:p>
    <w:p w14:paraId="61EAD5A9">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发生下列情况或造成下列后果之一的为特别重大事故：</w:t>
      </w:r>
    </w:p>
    <w:p w14:paraId="074E9266">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1）死亡30人（含失踪，下同）以上；</w:t>
      </w:r>
    </w:p>
    <w:p w14:paraId="7FFE3D3C">
      <w:pPr>
        <w:pStyle w:val="18"/>
        <w:adjustRightInd w:val="0"/>
        <w:snapToGrid w:val="0"/>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2）重伤100人（含急性工业中毒，下同）以上；</w:t>
      </w:r>
    </w:p>
    <w:p w14:paraId="401A1C46">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3）直接经济损失1亿元（人民币，下同）以上。</w:t>
      </w:r>
    </w:p>
    <w:p w14:paraId="5268EA77">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（二）重大事故构成条件</w:t>
      </w:r>
    </w:p>
    <w:p w14:paraId="0EB1EAB7">
      <w:pPr>
        <w:pStyle w:val="18"/>
        <w:adjustRightInd w:val="0"/>
        <w:snapToGrid w:val="0"/>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发生下列情况或造成下列后果之一的为重大事故：</w:t>
      </w:r>
    </w:p>
    <w:p w14:paraId="7BC2A95D">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1）死亡10人以上30人以下；</w:t>
      </w:r>
    </w:p>
    <w:p w14:paraId="296D449E">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2）重伤50人以上100人以下；</w:t>
      </w:r>
    </w:p>
    <w:p w14:paraId="404A9DCD">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3）直接经济损失5000万元以上1亿元以下；</w:t>
      </w:r>
    </w:p>
    <w:p w14:paraId="57D99922">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（三）较大事故构成条件</w:t>
      </w:r>
    </w:p>
    <w:p w14:paraId="20B6311F">
      <w:pPr>
        <w:pStyle w:val="18"/>
        <w:adjustRightInd w:val="0"/>
        <w:snapToGrid w:val="0"/>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发生下列情况或造成下列后果之一的为较大事故：</w:t>
      </w:r>
    </w:p>
    <w:p w14:paraId="7670A0FE">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1）死亡3人以上10人以下；</w:t>
      </w:r>
    </w:p>
    <w:p w14:paraId="1DE5A933">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2）重伤10人以上50人以下；</w:t>
      </w:r>
    </w:p>
    <w:p w14:paraId="132206F2">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3）直接经济损失1000万元以上5000万元以下；</w:t>
      </w:r>
    </w:p>
    <w:p w14:paraId="1BDE6427">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（四）一般事故构成条件</w:t>
      </w:r>
    </w:p>
    <w:p w14:paraId="2003EDBC">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发生下列情况或造成下列后果之一的为一般事故：</w:t>
      </w:r>
    </w:p>
    <w:p w14:paraId="3D1C500C">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1）死亡1人以上3人以下；</w:t>
      </w:r>
    </w:p>
    <w:p w14:paraId="7E790139">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2）重伤3人以上10人以下；</w:t>
      </w:r>
    </w:p>
    <w:p w14:paraId="6488157D">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3）直接经济损失100万元以上1000万元以下；</w:t>
      </w:r>
    </w:p>
    <w:p w14:paraId="1B2375E8">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（五）一般事件构成条件</w:t>
      </w:r>
    </w:p>
    <w:p w14:paraId="15ECA49D">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发生下列情况或造成下列后果之一的为险性事件：</w:t>
      </w:r>
    </w:p>
    <w:p w14:paraId="73AE07E6">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1）1人以上3人以下重伤；</w:t>
      </w:r>
    </w:p>
    <w:p w14:paraId="677E6DEE">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2）直接经济损失1万元以上100万元以下；</w:t>
      </w:r>
    </w:p>
    <w:p w14:paraId="16D79A6E">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3）发生对社会产生重大负面影响、严重损害甲方集团声誉的事件，因安全质量问题被政府通报、媒体负面报道；</w:t>
      </w:r>
    </w:p>
    <w:p w14:paraId="4F31821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4）不配合甲方或第三方安全质量检查，或不按期消除安全质量隐患，或第三方人员、设备设施损害后不立即进行应急抢救抢险或不配合应急抢救抢险，或不按照甲方要求报送应急信息，或不参加安全质量约谈。</w:t>
      </w:r>
    </w:p>
    <w:p w14:paraId="5CD1949B">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5）其他性质严重、影响恶劣的事件。</w:t>
      </w:r>
    </w:p>
    <w:p w14:paraId="76249FCB">
      <w:pPr>
        <w:adjustRightInd w:val="0"/>
        <w:snapToGrid w:val="0"/>
        <w:spacing w:line="360" w:lineRule="auto"/>
        <w:ind w:firstLine="482" w:firstLineChars="2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第五条 事故（事件）的扣罚标准</w:t>
      </w:r>
    </w:p>
    <w:p w14:paraId="65609589">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（一）履行合同期间，发生一起生产安全责任事故（事件）的，根据乙方所承担的责任定性不同，扣罚标准如下： </w:t>
      </w:r>
    </w:p>
    <w:tbl>
      <w:tblPr>
        <w:tblStyle w:val="44"/>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3"/>
        <w:gridCol w:w="2551"/>
        <w:gridCol w:w="2552"/>
      </w:tblGrid>
      <w:tr w14:paraId="6E01C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163" w:type="dxa"/>
            <w:noWrap w:val="0"/>
            <w:vAlign w:val="center"/>
          </w:tcPr>
          <w:p w14:paraId="4BAE7143">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事件性质</w:t>
            </w:r>
          </w:p>
        </w:tc>
        <w:tc>
          <w:tcPr>
            <w:tcW w:w="2551" w:type="dxa"/>
            <w:noWrap w:val="0"/>
            <w:vAlign w:val="center"/>
          </w:tcPr>
          <w:p w14:paraId="4E492CC6">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乙方负主体责任</w:t>
            </w:r>
          </w:p>
        </w:tc>
        <w:tc>
          <w:tcPr>
            <w:tcW w:w="2552" w:type="dxa"/>
            <w:noWrap w:val="0"/>
            <w:vAlign w:val="center"/>
          </w:tcPr>
          <w:p w14:paraId="5334F220">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乙方负监管责任</w:t>
            </w:r>
          </w:p>
        </w:tc>
      </w:tr>
      <w:tr w14:paraId="74959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163" w:type="dxa"/>
            <w:noWrap w:val="0"/>
            <w:vAlign w:val="center"/>
          </w:tcPr>
          <w:p w14:paraId="120A02A4">
            <w:pPr>
              <w:adjustRightInd w:val="0"/>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一般事件</w:t>
            </w:r>
          </w:p>
        </w:tc>
        <w:tc>
          <w:tcPr>
            <w:tcW w:w="2551" w:type="dxa"/>
            <w:noWrap w:val="0"/>
            <w:vAlign w:val="center"/>
          </w:tcPr>
          <w:p w14:paraId="0094BC6B">
            <w:pPr>
              <w:adjustRightInd w:val="0"/>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100000元</w:t>
            </w:r>
          </w:p>
        </w:tc>
        <w:tc>
          <w:tcPr>
            <w:tcW w:w="2552" w:type="dxa"/>
            <w:noWrap w:val="0"/>
            <w:vAlign w:val="center"/>
          </w:tcPr>
          <w:p w14:paraId="4C22789D">
            <w:pPr>
              <w:adjustRightInd w:val="0"/>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40000元</w:t>
            </w:r>
          </w:p>
        </w:tc>
      </w:tr>
      <w:tr w14:paraId="3B8E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163" w:type="dxa"/>
            <w:noWrap w:val="0"/>
            <w:vAlign w:val="center"/>
          </w:tcPr>
          <w:p w14:paraId="180D3E38">
            <w:pPr>
              <w:adjustRightInd w:val="0"/>
              <w:spacing w:line="360"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一般事故（涉险事故）</w:t>
            </w:r>
          </w:p>
        </w:tc>
        <w:tc>
          <w:tcPr>
            <w:tcW w:w="2551" w:type="dxa"/>
            <w:noWrap w:val="0"/>
            <w:vAlign w:val="center"/>
          </w:tcPr>
          <w:p w14:paraId="7387EFD3">
            <w:pPr>
              <w:adjustRightInd w:val="0"/>
              <w:spacing w:line="360"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同合同专用条款95.6（1）条款</w:t>
            </w:r>
          </w:p>
        </w:tc>
        <w:tc>
          <w:tcPr>
            <w:tcW w:w="2552" w:type="dxa"/>
            <w:noWrap w:val="0"/>
            <w:vAlign w:val="center"/>
          </w:tcPr>
          <w:p w14:paraId="384BC065">
            <w:pPr>
              <w:adjustRightInd w:val="0"/>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200000元</w:t>
            </w:r>
          </w:p>
        </w:tc>
      </w:tr>
      <w:tr w14:paraId="7B561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3163" w:type="dxa"/>
            <w:noWrap w:val="0"/>
            <w:vAlign w:val="center"/>
          </w:tcPr>
          <w:p w14:paraId="7BB31C63">
            <w:pPr>
              <w:adjustRightInd w:val="0"/>
              <w:spacing w:line="360"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较大以上事故（含较大事故、重大事故、特别重大事故）</w:t>
            </w:r>
          </w:p>
        </w:tc>
        <w:tc>
          <w:tcPr>
            <w:tcW w:w="2551" w:type="dxa"/>
            <w:noWrap w:val="0"/>
            <w:vAlign w:val="center"/>
          </w:tcPr>
          <w:p w14:paraId="4A99A4DA">
            <w:pPr>
              <w:adjustRightInd w:val="0"/>
              <w:spacing w:line="360" w:lineRule="auto"/>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同合同专用条款95.6（1）条款</w:t>
            </w:r>
          </w:p>
        </w:tc>
        <w:tc>
          <w:tcPr>
            <w:tcW w:w="2552" w:type="dxa"/>
            <w:noWrap w:val="0"/>
            <w:vAlign w:val="center"/>
          </w:tcPr>
          <w:p w14:paraId="119C1122">
            <w:pPr>
              <w:adjustRightInd w:val="0"/>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400000元</w:t>
            </w:r>
          </w:p>
        </w:tc>
      </w:tr>
    </w:tbl>
    <w:p w14:paraId="06597448">
      <w:pPr>
        <w:adjustRightInd w:val="0"/>
        <w:snapToGrid w:val="0"/>
        <w:spacing w:line="360" w:lineRule="auto"/>
        <w:rPr>
          <w:rFonts w:hint="eastAsia" w:ascii="仿宋" w:hAnsi="仿宋" w:eastAsia="仿宋" w:cs="仿宋"/>
          <w:color w:val="auto"/>
          <w:highlight w:val="none"/>
        </w:rPr>
      </w:pPr>
    </w:p>
    <w:p w14:paraId="162BA0D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（二）上述扣罚在当期进度款中扣除，不足部分按以下顺序扣罚：</w:t>
      </w:r>
    </w:p>
    <w:p w14:paraId="6D1C773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1、下期进度款，结算款；</w:t>
      </w:r>
    </w:p>
    <w:p w14:paraId="06A13A8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2、履约保证金。</w:t>
      </w:r>
    </w:p>
    <w:p w14:paraId="5902C19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上述扣罚款（绩效考核罚款及其他罚款等）不减少合同金额，且不能抵消乙方应当履行的赔偿责任。</w:t>
      </w:r>
    </w:p>
    <w:p w14:paraId="2C6355EF">
      <w:pPr>
        <w:spacing w:line="360" w:lineRule="auto"/>
        <w:ind w:firstLine="480" w:firstLineChars="200"/>
        <w:rPr>
          <w:rFonts w:hint="eastAsia" w:ascii="仿宋" w:hAnsi="仿宋" w:eastAsia="仿宋" w:cs="仿宋"/>
          <w:b/>
          <w:bCs/>
          <w:color w:val="auto"/>
          <w:highlight w:val="none"/>
          <w:lang w:eastAsia="zh-CN"/>
        </w:rPr>
      </w:pPr>
      <w:r>
        <w:rPr>
          <w:rFonts w:hint="eastAsia" w:ascii="仿宋" w:hAnsi="仿宋" w:eastAsia="仿宋" w:cs="仿宋"/>
          <w:color w:val="auto"/>
          <w:highlight w:val="none"/>
          <w:lang w:eastAsia="zh-CN"/>
        </w:rPr>
        <w:t>（三）发生一起一般安全生产责任事件的，甲方对乙方进行通报批评。发生一起一般安全生产责任事故的，甲方约谈乙方法定代表人或授权代表人，进行安全谈话，形成谈话内容纪要，正式印发给乙方。</w:t>
      </w:r>
    </w:p>
    <w:p w14:paraId="0A2FAE78">
      <w:pPr>
        <w:spacing w:line="360" w:lineRule="auto"/>
        <w:ind w:firstLine="482" w:firstLineChars="2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第六条 安全专项检查评分及结果运用</w:t>
      </w:r>
    </w:p>
    <w:p w14:paraId="29A01584">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一）安全检查为专项检查，甲方组织检查，并通报每月的检查结果。对于发现的问题和隐患，视情况严重程度给予当面提醒、口头警告，对于重大安全隐患或屡次频发的安全问题下发书面《安全文明整改通知书》（参见附件3），对严重威胁安全生产的问题下发安全停工令，责令停工整改，并可提请甲方下发“项目监管函”警示。</w:t>
      </w:r>
    </w:p>
    <w:p w14:paraId="68550D8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检查标准依照《建筑施工安全检查标准》（JGJ59）、国家、行业强制性标准及本协议规定的推荐性标准，具体检查内容详见附件2《施工单位安全文明检查标准》，甲方或甲方集团有权根据自身安全管理需要对附件2、3有关内容进行修改调整，并以书面形式通知乙方，乙方须按相关文件内容执行。</w:t>
      </w:r>
    </w:p>
    <w:p w14:paraId="2C72B6C8">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对于甲方集团检查项目后对甲方发出的《安全检查记录》，经甲方向乙方通报后，视同为甲方下发《安全文明整改通知书》。</w:t>
      </w:r>
    </w:p>
    <w:p w14:paraId="58E22E3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（二）经检查（抽查）发现一般性隐患与问题达到6条及以上的，或存在重大安全隐患的，或隐患问题不整改，整改不彻底、不及时的工地，由甲方及甲方集团集团给予挂牌警告。</w:t>
      </w:r>
    </w:p>
    <w:p w14:paraId="397659C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（三）乙方因安全文明管理问题被挂牌警告的，甲方有权做如下处理：</w:t>
      </w:r>
    </w:p>
    <w:p w14:paraId="146497E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1、甲方有权对其进行通报批评；</w:t>
      </w:r>
    </w:p>
    <w:p w14:paraId="760C7A0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2、提请甲方下发“项目监管函”警示，并扣罚5000-50000元；</w:t>
      </w:r>
    </w:p>
    <w:p w14:paraId="77049DD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3、提请甲方采取约谈法定代表人措施，对乙方单位现场第一负责人、法人公司负责人进行安全谈话，形成谈话内容纪要，正式印发给乙方；</w:t>
      </w:r>
    </w:p>
    <w:p w14:paraId="19821276">
      <w:pPr>
        <w:spacing w:line="360" w:lineRule="auto"/>
        <w:ind w:firstLine="480" w:firstLineChars="200"/>
        <w:rPr>
          <w:rFonts w:hint="eastAsia" w:ascii="仿宋" w:hAnsi="仿宋" w:eastAsia="仿宋" w:cs="仿宋"/>
          <w:b/>
          <w:bCs/>
          <w:color w:val="auto"/>
          <w:highlight w:val="none"/>
          <w:lang w:eastAsia="zh-CN"/>
        </w:rPr>
      </w:pPr>
      <w:r>
        <w:rPr>
          <w:rFonts w:hint="eastAsia" w:ascii="仿宋" w:hAnsi="仿宋" w:eastAsia="仿宋" w:cs="仿宋"/>
          <w:color w:val="auto"/>
          <w:highlight w:val="none"/>
          <w:lang w:eastAsia="zh-CN"/>
        </w:rPr>
        <w:t>4、纳入甲方集团履约“黑名单”，警示期1年以上。</w:t>
      </w:r>
    </w:p>
    <w:p w14:paraId="2572000E">
      <w:pPr>
        <w:spacing w:line="360" w:lineRule="auto"/>
        <w:ind w:firstLine="482" w:firstLineChars="2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 xml:space="preserve">第七条 </w:t>
      </w:r>
    </w:p>
    <w:p w14:paraId="3CC473D8">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bCs/>
          <w:color w:val="auto"/>
          <w:highlight w:val="none"/>
          <w:lang w:eastAsia="zh-CN"/>
        </w:rPr>
        <w:t>乙方应遵守以下推荐性标准</w:t>
      </w:r>
      <w:r>
        <w:rPr>
          <w:rFonts w:hint="eastAsia" w:ascii="仿宋" w:hAnsi="仿宋" w:eastAsia="仿宋" w:cs="仿宋"/>
          <w:color w:val="auto"/>
          <w:highlight w:val="none"/>
          <w:lang w:eastAsia="zh-CN"/>
        </w:rPr>
        <w:t>条文内容：</w:t>
      </w:r>
    </w:p>
    <w:p w14:paraId="6C4E4A5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1、建筑施工易发事故防治安全标准（JGJ/T429）</w:t>
      </w:r>
    </w:p>
    <w:p w14:paraId="0D3E8D1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2、施工升降机安全使用规程（GB/T34023）</w:t>
      </w:r>
    </w:p>
    <w:p w14:paraId="4D087418">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3、起重机 钢丝绳 保养、维护、安装、检验和报废(GB/T5972)</w:t>
      </w:r>
    </w:p>
    <w:p w14:paraId="22FDB9F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4、钢丝绳夹（GB/T5976）</w:t>
      </w:r>
    </w:p>
    <w:p w14:paraId="57CDB0F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5、建筑施工机械与设备 钢筋加工机械 安全要求（GB/T38176）</w:t>
      </w:r>
    </w:p>
    <w:p w14:paraId="4DF517A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6、建筑施工机械与设备 履带式强夯机安全要求（GB/T37465）</w:t>
      </w:r>
    </w:p>
    <w:p w14:paraId="21E7AAFA">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7、移动式道路施工机械 夯实机械安全要求（GB/T36513）</w:t>
      </w:r>
    </w:p>
    <w:p w14:paraId="2C574BE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8、建筑施工机械与设备 混凝土和砂浆制备机械与设备安全要求（GB/T37168）</w:t>
      </w:r>
    </w:p>
    <w:p w14:paraId="5477C27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9、高处作业吊篮安装、拆卸、使用技术规程（JB/T11699）</w:t>
      </w:r>
    </w:p>
    <w:p w14:paraId="0354CBC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若本协议生效之日后，上述适用于本协议的推荐性标准条文有更新的，以最新的为准。若有其他新增推荐性标准，甲方也可通过工程例会形式告知乙方，并在会议纪要中记录，以该种形式告知后的推荐性标准在本协议中生效，乙方应该知晓并遵守。</w:t>
      </w:r>
    </w:p>
    <w:p w14:paraId="1B01B93A">
      <w:pPr>
        <w:spacing w:line="360" w:lineRule="auto"/>
        <w:ind w:firstLine="482" w:firstLineChars="2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 xml:space="preserve">第八条 </w:t>
      </w:r>
    </w:p>
    <w:p w14:paraId="61216B8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（一）本协议自双方法定代表人（或授权代表）签字并加盖公章之日起生效。</w:t>
      </w:r>
    </w:p>
    <w:p w14:paraId="20BF744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（二）本协议在履行过程中发生纠纷，双方应及时协商解决。协商不成时，任何一方均可向甲方所在地人民法院提起诉讼。</w:t>
      </w:r>
    </w:p>
    <w:p w14:paraId="4E3D0398">
      <w:pPr>
        <w:adjustRightInd w:val="0"/>
        <w:snapToGrid w:val="0"/>
        <w:spacing w:line="360" w:lineRule="auto"/>
        <w:ind w:firstLine="472" w:firstLineChars="196"/>
        <w:rPr>
          <w:rFonts w:hint="eastAsia" w:ascii="仿宋" w:hAnsi="仿宋" w:eastAsia="仿宋" w:cs="仿宋"/>
          <w:b/>
          <w:bCs/>
          <w:color w:val="auto"/>
          <w:highlight w:val="none"/>
          <w:lang w:eastAsia="zh-CN"/>
        </w:rPr>
      </w:pPr>
    </w:p>
    <w:p w14:paraId="01B46AEC">
      <w:pPr>
        <w:adjustRightInd w:val="0"/>
        <w:snapToGrid w:val="0"/>
        <w:spacing w:line="360" w:lineRule="auto"/>
        <w:ind w:firstLine="460" w:firstLineChars="192"/>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附件1：应急信息报送要求及事故（件）速报表</w:t>
      </w:r>
    </w:p>
    <w:p w14:paraId="7EF9035F">
      <w:pPr>
        <w:adjustRightInd w:val="0"/>
        <w:snapToGrid w:val="0"/>
        <w:spacing w:line="360" w:lineRule="auto"/>
        <w:ind w:firstLine="460" w:firstLineChars="192"/>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附件2：施工单位安全文明检查标准</w:t>
      </w:r>
    </w:p>
    <w:p w14:paraId="2D8105AA">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附件3：安全文明整改通知书、安全检查记录</w:t>
      </w:r>
    </w:p>
    <w:p w14:paraId="2F5ED055">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附件4：安全停工令</w:t>
      </w:r>
    </w:p>
    <w:p w14:paraId="6825B066">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br w:type="page"/>
      </w:r>
      <w:r>
        <w:rPr>
          <w:rFonts w:hint="eastAsia" w:ascii="仿宋" w:hAnsi="仿宋" w:eastAsia="仿宋" w:cs="仿宋"/>
          <w:color w:val="auto"/>
          <w:highlight w:val="none"/>
          <w:lang w:eastAsia="zh-CN"/>
        </w:rPr>
        <w:t>（本页为签署页）</w:t>
      </w:r>
    </w:p>
    <w:p w14:paraId="4C14F4DF">
      <w:pPr>
        <w:pStyle w:val="12"/>
        <w:rPr>
          <w:rFonts w:hint="eastAsia" w:ascii="仿宋" w:hAnsi="仿宋" w:eastAsia="仿宋" w:cs="仿宋"/>
          <w:color w:val="auto"/>
          <w:highlight w:val="none"/>
          <w:lang w:eastAsia="zh-CN"/>
        </w:rPr>
      </w:pPr>
    </w:p>
    <w:p w14:paraId="459A4CCE">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甲方：</w:t>
      </w:r>
      <w:r>
        <w:rPr>
          <w:rFonts w:hint="eastAsia" w:ascii="仿宋" w:hAnsi="仿宋" w:eastAsia="仿宋"/>
          <w:color w:val="auto"/>
          <w:highlight w:val="none"/>
          <w:lang w:eastAsia="zh-CN"/>
        </w:rPr>
        <w:t xml:space="preserve">广州三元里片区改造投资有限公司 </w:t>
      </w:r>
      <w:r>
        <w:rPr>
          <w:rFonts w:hint="eastAsia" w:ascii="仿宋" w:hAnsi="仿宋" w:eastAsia="仿宋" w:cs="仿宋"/>
          <w:color w:val="auto"/>
          <w:highlight w:val="none"/>
          <w:lang w:eastAsia="zh-CN"/>
        </w:rPr>
        <w:t>（盖章）</w:t>
      </w:r>
    </w:p>
    <w:p w14:paraId="26CEB0A9">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地址：</w:t>
      </w:r>
    </w:p>
    <w:p w14:paraId="1EACB422">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法定代表人：     </w:t>
      </w:r>
    </w:p>
    <w:p w14:paraId="0865A69B">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电话：</w:t>
      </w:r>
    </w:p>
    <w:p w14:paraId="0715667D">
      <w:pPr>
        <w:adjustRightInd w:val="0"/>
        <w:snapToGrid w:val="0"/>
        <w:spacing w:line="360" w:lineRule="auto"/>
        <w:ind w:firstLine="480" w:firstLineChars="200"/>
        <w:rPr>
          <w:rFonts w:hint="eastAsia" w:ascii="仿宋" w:hAnsi="仿宋" w:eastAsia="仿宋" w:cs="仿宋"/>
          <w:color w:val="auto"/>
          <w:highlight w:val="none"/>
          <w:lang w:eastAsia="zh-CN"/>
        </w:rPr>
      </w:pPr>
    </w:p>
    <w:p w14:paraId="27EC7ABB">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乙方（主）： （盖章）  </w:t>
      </w:r>
    </w:p>
    <w:p w14:paraId="3F03B9DA">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通讯地址： </w:t>
      </w:r>
    </w:p>
    <w:p w14:paraId="49D68CBB">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法定代表人：　</w:t>
      </w:r>
    </w:p>
    <w:p w14:paraId="51E135AB">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签约代表：　</w:t>
      </w:r>
    </w:p>
    <w:p w14:paraId="13C439AD">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电话：</w:t>
      </w:r>
    </w:p>
    <w:p w14:paraId="60D02B80">
      <w:pPr>
        <w:adjustRightInd w:val="0"/>
        <w:snapToGrid w:val="0"/>
        <w:spacing w:line="360" w:lineRule="auto"/>
        <w:ind w:firstLine="480" w:firstLineChars="200"/>
        <w:rPr>
          <w:rFonts w:hint="eastAsia" w:ascii="仿宋" w:hAnsi="仿宋" w:eastAsia="仿宋" w:cs="仿宋"/>
          <w:color w:val="auto"/>
          <w:highlight w:val="none"/>
          <w:lang w:eastAsia="zh-CN"/>
        </w:rPr>
      </w:pPr>
    </w:p>
    <w:p w14:paraId="7373EB98">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乙方（成）：  （盖章）</w:t>
      </w:r>
    </w:p>
    <w:p w14:paraId="0E6161E4">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通讯地址： </w:t>
      </w:r>
    </w:p>
    <w:p w14:paraId="26D84D04">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法定代表人：    </w:t>
      </w:r>
    </w:p>
    <w:p w14:paraId="56840C5B">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签约代表：   </w:t>
      </w:r>
    </w:p>
    <w:p w14:paraId="35D4765C">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电话：</w:t>
      </w:r>
    </w:p>
    <w:p w14:paraId="2CEA32FA">
      <w:pPr>
        <w:adjustRightInd w:val="0"/>
        <w:snapToGrid w:val="0"/>
        <w:spacing w:line="360" w:lineRule="auto"/>
        <w:ind w:firstLine="480" w:firstLineChars="200"/>
        <w:rPr>
          <w:rFonts w:hint="eastAsia" w:ascii="仿宋" w:hAnsi="仿宋" w:eastAsia="仿宋" w:cs="仿宋"/>
          <w:color w:val="auto"/>
          <w:highlight w:val="none"/>
          <w:lang w:eastAsia="zh-CN"/>
        </w:rPr>
      </w:pPr>
    </w:p>
    <w:p w14:paraId="7806C847">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乙方（成）： （盖章）</w:t>
      </w:r>
    </w:p>
    <w:p w14:paraId="336F6C06">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通讯地址： </w:t>
      </w:r>
    </w:p>
    <w:p w14:paraId="562EFC4D">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法定代表人：    </w:t>
      </w:r>
    </w:p>
    <w:p w14:paraId="2A32CA5F">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签约代表：   </w:t>
      </w:r>
    </w:p>
    <w:p w14:paraId="78AA1499">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电话：</w:t>
      </w:r>
    </w:p>
    <w:p w14:paraId="3C75A073">
      <w:pPr>
        <w:adjustRightInd w:val="0"/>
        <w:snapToGrid w:val="0"/>
        <w:spacing w:line="360" w:lineRule="auto"/>
        <w:ind w:firstLine="480" w:firstLineChars="200"/>
        <w:rPr>
          <w:rFonts w:hint="eastAsia" w:ascii="仿宋" w:hAnsi="仿宋" w:eastAsia="仿宋" w:cs="仿宋"/>
          <w:color w:val="auto"/>
          <w:highlight w:val="none"/>
          <w:lang w:eastAsia="zh-CN"/>
        </w:rPr>
      </w:pPr>
    </w:p>
    <w:p w14:paraId="777BC1F3">
      <w:pPr>
        <w:spacing w:line="360" w:lineRule="auto"/>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br w:type="page"/>
      </w:r>
    </w:p>
    <w:p w14:paraId="50C38363">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附件1：应急信息报送要求</w:t>
      </w:r>
    </w:p>
    <w:p w14:paraId="72C3B936">
      <w:pPr>
        <w:spacing w:line="360" w:lineRule="auto"/>
        <w:ind w:firstLine="482" w:firstLineChars="2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一、时间要求：</w:t>
      </w:r>
    </w:p>
    <w:p w14:paraId="5FB86BF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第一次报送必须在5分钟内以电话形式或当面报送，10分钟内以邮件方式报送，随后以纸质方式正式上报。</w:t>
      </w:r>
    </w:p>
    <w:p w14:paraId="19FD2C97">
      <w:pPr>
        <w:spacing w:line="360" w:lineRule="auto"/>
        <w:ind w:firstLine="482" w:firstLineChars="2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二、报送对象：</w:t>
      </w:r>
    </w:p>
    <w:p w14:paraId="725F250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项目经理报送给甲方项目负责人，如项目负责人电话不通情况下，应报送给甲方工程管理人员，如果两电话均确实不通（无信号），立即编制信息发送（其他的报送形式无效），并须越级向甲方工程管理部门上报。</w:t>
      </w:r>
    </w:p>
    <w:p w14:paraId="156B65E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如乙方项目经理不在场（休假），应事先进行授权，由被授权人上报。</w:t>
      </w:r>
    </w:p>
    <w:p w14:paraId="42A42EF2">
      <w:pPr>
        <w:spacing w:line="360" w:lineRule="auto"/>
        <w:ind w:firstLine="482" w:firstLineChars="2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三、报送范围：</w:t>
      </w:r>
    </w:p>
    <w:p w14:paraId="1E54D3C0">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1.根据合同要求明确的安全管理责任范围内发生的责任应急事件；</w:t>
      </w:r>
    </w:p>
    <w:p w14:paraId="397659D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2.甲方规定的报送范围</w:t>
      </w:r>
    </w:p>
    <w:p w14:paraId="538FCB24">
      <w:pPr>
        <w:spacing w:line="360" w:lineRule="auto"/>
        <w:ind w:firstLine="482" w:firstLineChars="2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四、报送格式要求</w:t>
      </w:r>
    </w:p>
    <w:p w14:paraId="071252E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1.第一次电话报送格式：“某某地点几时几分发生什么事件，具体情况和原因正在调查中”。详细情况待了解清楚后再上报。</w:t>
      </w:r>
    </w:p>
    <w:p w14:paraId="7EDA60A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2.书面速报格式见《事故（件）速报表》。</w:t>
      </w:r>
    </w:p>
    <w:p w14:paraId="02686097">
      <w:pPr>
        <w:spacing w:line="360" w:lineRule="auto"/>
        <w:ind w:firstLine="482" w:firstLineChars="2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五、其他要求</w:t>
      </w:r>
    </w:p>
    <w:p w14:paraId="1E379C6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1.对于责任范围内的突发事件，有事即报，不需任何人授权。</w:t>
      </w:r>
    </w:p>
    <w:p w14:paraId="63C9976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2.有信息报送责任的人员需保持通信工具畅通，不得关机。</w:t>
      </w:r>
    </w:p>
    <w:p w14:paraId="126E61D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3.各环节责任人需记录信息报送时间信息，作为调查时的依据。乙方相关涉及人员，不得拒接甲方房产总部安全管理部负责人电话，因未接电话，导致信息报送延时的，追究其责任。</w:t>
      </w:r>
    </w:p>
    <w:p w14:paraId="29DB7A3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4.乙方必须在5分钟之内电话报甲方工程管理部，根据报送流程优化并制定内部信息报送流程和处理流程，对相关报送要求进行培训，以确保报送信息畅通、及时。</w:t>
      </w:r>
    </w:p>
    <w:p w14:paraId="626912B3">
      <w:pPr>
        <w:spacing w:line="360" w:lineRule="auto"/>
        <w:ind w:firstLine="480" w:firstLineChars="200"/>
        <w:rPr>
          <w:rFonts w:hint="eastAsia" w:ascii="仿宋" w:hAnsi="仿宋" w:eastAsia="仿宋" w:cs="仿宋"/>
          <w:color w:val="auto"/>
          <w:highlight w:val="none"/>
          <w:lang w:eastAsia="zh-CN"/>
        </w:rPr>
      </w:pPr>
    </w:p>
    <w:p w14:paraId="1540B3FD">
      <w:pPr>
        <w:spacing w:line="360" w:lineRule="auto"/>
        <w:ind w:firstLine="480" w:firstLineChars="200"/>
        <w:rPr>
          <w:rFonts w:hint="eastAsia" w:ascii="仿宋" w:hAnsi="仿宋" w:eastAsia="仿宋" w:cs="仿宋"/>
          <w:color w:val="auto"/>
          <w:highlight w:val="none"/>
          <w:lang w:eastAsia="zh-CN"/>
        </w:rPr>
      </w:pPr>
    </w:p>
    <w:p w14:paraId="6C0AC6AE">
      <w:pPr>
        <w:spacing w:line="360" w:lineRule="auto"/>
        <w:jc w:val="center"/>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br w:type="page"/>
      </w:r>
      <w:r>
        <w:rPr>
          <w:rFonts w:hint="eastAsia" w:ascii="仿宋" w:hAnsi="仿宋" w:eastAsia="仿宋" w:cs="仿宋"/>
          <w:b/>
          <w:bCs/>
          <w:color w:val="auto"/>
          <w:highlight w:val="none"/>
          <w:lang w:eastAsia="zh-CN"/>
        </w:rPr>
        <w:t>事故（件）速报表</w:t>
      </w:r>
    </w:p>
    <w:p w14:paraId="426A218B">
      <w:pPr>
        <w:spacing w:line="360" w:lineRule="auto"/>
        <w:ind w:firstLine="120" w:firstLineChars="50"/>
        <w:rPr>
          <w:rFonts w:hint="eastAsia" w:ascii="仿宋" w:hAnsi="仿宋" w:eastAsia="仿宋" w:cs="仿宋"/>
          <w:color w:val="auto"/>
          <w:highlight w:val="none"/>
          <w:lang w:eastAsia="zh-CN"/>
        </w:rPr>
      </w:pPr>
    </w:p>
    <w:p w14:paraId="3102078E">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填报单位（公章）：</w:t>
      </w:r>
    </w:p>
    <w:p w14:paraId="411EEC94">
      <w:pPr>
        <w:spacing w:line="360" w:lineRule="auto"/>
        <w:rPr>
          <w:rFonts w:hint="eastAsia" w:ascii="仿宋" w:hAnsi="仿宋" w:eastAsia="仿宋" w:cs="仿宋"/>
          <w:b/>
          <w:bCs/>
          <w:color w:val="auto"/>
          <w:highlight w:val="none"/>
          <w:lang w:eastAsia="zh-CN"/>
        </w:rPr>
      </w:pPr>
    </w:p>
    <w:tbl>
      <w:tblPr>
        <w:tblStyle w:val="44"/>
        <w:tblW w:w="0" w:type="auto"/>
        <w:tblInd w:w="-176" w:type="dxa"/>
        <w:tblLayout w:type="fixed"/>
        <w:tblCellMar>
          <w:top w:w="0" w:type="dxa"/>
          <w:left w:w="108" w:type="dxa"/>
          <w:bottom w:w="0" w:type="dxa"/>
          <w:right w:w="108" w:type="dxa"/>
        </w:tblCellMar>
      </w:tblPr>
      <w:tblGrid>
        <w:gridCol w:w="1844"/>
        <w:gridCol w:w="1417"/>
        <w:gridCol w:w="83"/>
        <w:gridCol w:w="1618"/>
        <w:gridCol w:w="451"/>
        <w:gridCol w:w="1675"/>
        <w:gridCol w:w="1444"/>
      </w:tblGrid>
      <w:tr w14:paraId="02792114">
        <w:tblPrEx>
          <w:tblCellMar>
            <w:top w:w="0" w:type="dxa"/>
            <w:left w:w="108" w:type="dxa"/>
            <w:bottom w:w="0" w:type="dxa"/>
            <w:right w:w="108" w:type="dxa"/>
          </w:tblCellMar>
        </w:tblPrEx>
        <w:trPr>
          <w:cantSplit/>
          <w:trHeight w:val="1529" w:hRule="atLeast"/>
        </w:trPr>
        <w:tc>
          <w:tcPr>
            <w:tcW w:w="1844" w:type="dxa"/>
            <w:vMerge w:val="restart"/>
            <w:tcBorders>
              <w:top w:val="double" w:color="auto" w:sz="2" w:space="0"/>
              <w:left w:val="double" w:color="auto" w:sz="2" w:space="0"/>
              <w:bottom w:val="single" w:color="auto" w:sz="4" w:space="0"/>
              <w:right w:val="single" w:color="auto" w:sz="4" w:space="0"/>
            </w:tcBorders>
            <w:noWrap w:val="0"/>
            <w:vAlign w:val="center"/>
          </w:tcPr>
          <w:p w14:paraId="59391ED3">
            <w:pPr>
              <w:spacing w:before="120"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基本信息</w:t>
            </w:r>
          </w:p>
        </w:tc>
        <w:tc>
          <w:tcPr>
            <w:tcW w:w="1417" w:type="dxa"/>
            <w:tcBorders>
              <w:top w:val="double" w:color="auto" w:sz="2" w:space="0"/>
              <w:left w:val="single" w:color="auto" w:sz="4" w:space="0"/>
              <w:bottom w:val="single" w:color="auto" w:sz="4" w:space="0"/>
              <w:right w:val="single" w:color="auto" w:sz="4" w:space="0"/>
            </w:tcBorders>
            <w:noWrap w:val="0"/>
            <w:vAlign w:val="center"/>
          </w:tcPr>
          <w:p w14:paraId="64E5A890">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事故（件）单位</w:t>
            </w:r>
          </w:p>
        </w:tc>
        <w:tc>
          <w:tcPr>
            <w:tcW w:w="5271" w:type="dxa"/>
            <w:gridSpan w:val="5"/>
            <w:tcBorders>
              <w:top w:val="double" w:color="auto" w:sz="2" w:space="0"/>
              <w:left w:val="single" w:color="auto" w:sz="4" w:space="0"/>
              <w:bottom w:val="single" w:color="auto" w:sz="4" w:space="0"/>
              <w:right w:val="double" w:color="auto" w:sz="2" w:space="0"/>
            </w:tcBorders>
            <w:noWrap w:val="0"/>
            <w:vAlign w:val="center"/>
          </w:tcPr>
          <w:p w14:paraId="2C59AB7A">
            <w:pPr>
              <w:spacing w:line="360" w:lineRule="auto"/>
              <w:jc w:val="center"/>
              <w:rPr>
                <w:rFonts w:hint="eastAsia" w:ascii="仿宋" w:hAnsi="仿宋" w:eastAsia="仿宋" w:cs="仿宋"/>
                <w:color w:val="auto"/>
                <w:highlight w:val="none"/>
              </w:rPr>
            </w:pPr>
          </w:p>
        </w:tc>
      </w:tr>
      <w:tr w14:paraId="69610A10">
        <w:tblPrEx>
          <w:tblCellMar>
            <w:top w:w="0" w:type="dxa"/>
            <w:left w:w="108" w:type="dxa"/>
            <w:bottom w:w="0" w:type="dxa"/>
            <w:right w:w="108" w:type="dxa"/>
          </w:tblCellMar>
        </w:tblPrEx>
        <w:trPr>
          <w:cantSplit/>
          <w:trHeight w:val="1064" w:hRule="atLeast"/>
        </w:trPr>
        <w:tc>
          <w:tcPr>
            <w:tcW w:w="1844" w:type="dxa"/>
            <w:vMerge w:val="continue"/>
            <w:tcBorders>
              <w:top w:val="double" w:color="auto" w:sz="2" w:space="0"/>
              <w:left w:val="double" w:color="auto" w:sz="2" w:space="0"/>
              <w:bottom w:val="single" w:color="auto" w:sz="4" w:space="0"/>
              <w:right w:val="single" w:color="auto" w:sz="4" w:space="0"/>
            </w:tcBorders>
            <w:noWrap w:val="0"/>
            <w:vAlign w:val="center"/>
          </w:tcPr>
          <w:p w14:paraId="6FDCC659">
            <w:pPr>
              <w:spacing w:line="360" w:lineRule="auto"/>
              <w:rPr>
                <w:rFonts w:hint="eastAsia" w:ascii="仿宋" w:hAnsi="仿宋" w:eastAsia="仿宋" w:cs="仿宋"/>
                <w:color w:val="auto"/>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7271895">
            <w:pPr>
              <w:adjustRightInd w:val="0"/>
              <w:spacing w:line="360" w:lineRule="auto"/>
              <w:ind w:right="-108"/>
              <w:jc w:val="center"/>
              <w:rPr>
                <w:rFonts w:hint="eastAsia" w:ascii="仿宋" w:hAnsi="仿宋" w:eastAsia="仿宋" w:cs="仿宋"/>
                <w:color w:val="auto"/>
                <w:highlight w:val="none"/>
              </w:rPr>
            </w:pPr>
            <w:r>
              <w:rPr>
                <w:rFonts w:hint="eastAsia" w:ascii="仿宋" w:hAnsi="仿宋" w:eastAsia="仿宋" w:cs="仿宋"/>
                <w:color w:val="auto"/>
                <w:highlight w:val="none"/>
              </w:rPr>
              <w:t>发生时间</w:t>
            </w:r>
          </w:p>
        </w:tc>
        <w:tc>
          <w:tcPr>
            <w:tcW w:w="1701" w:type="dxa"/>
            <w:gridSpan w:val="2"/>
            <w:tcBorders>
              <w:top w:val="single" w:color="auto" w:sz="4" w:space="0"/>
              <w:left w:val="single" w:color="auto" w:sz="4" w:space="0"/>
              <w:bottom w:val="single" w:color="auto" w:sz="4" w:space="0"/>
              <w:right w:val="single" w:color="auto" w:sz="4" w:space="0"/>
            </w:tcBorders>
            <w:noWrap w:val="0"/>
            <w:vAlign w:val="center"/>
          </w:tcPr>
          <w:p w14:paraId="554A251A">
            <w:pPr>
              <w:adjustRightInd w:val="0"/>
              <w:spacing w:line="360" w:lineRule="auto"/>
              <w:ind w:right="210"/>
              <w:jc w:val="right"/>
              <w:rPr>
                <w:rFonts w:hint="eastAsia" w:ascii="仿宋" w:hAnsi="仿宋" w:eastAsia="仿宋" w:cs="仿宋"/>
                <w:color w:val="auto"/>
                <w:highlight w:val="none"/>
              </w:rPr>
            </w:pPr>
            <w:r>
              <w:rPr>
                <w:rFonts w:hint="eastAsia" w:ascii="仿宋" w:hAnsi="仿宋" w:eastAsia="仿宋" w:cs="仿宋"/>
                <w:color w:val="auto"/>
                <w:highlight w:val="none"/>
              </w:rPr>
              <w:t>月日时分</w:t>
            </w:r>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14:paraId="0D5B82C4">
            <w:pPr>
              <w:adjustRightInd w:val="0"/>
              <w:spacing w:line="360"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（预计）处理结束时间</w:t>
            </w:r>
          </w:p>
        </w:tc>
        <w:tc>
          <w:tcPr>
            <w:tcW w:w="1444" w:type="dxa"/>
            <w:tcBorders>
              <w:top w:val="single" w:color="auto" w:sz="4" w:space="0"/>
              <w:left w:val="single" w:color="auto" w:sz="4" w:space="0"/>
              <w:bottom w:val="single" w:color="auto" w:sz="4" w:space="0"/>
              <w:right w:val="double" w:color="auto" w:sz="2" w:space="0"/>
            </w:tcBorders>
            <w:noWrap w:val="0"/>
            <w:vAlign w:val="center"/>
          </w:tcPr>
          <w:p w14:paraId="4C2A5538">
            <w:pPr>
              <w:spacing w:line="360" w:lineRule="auto"/>
              <w:ind w:right="82" w:rightChars="34"/>
              <w:jc w:val="right"/>
              <w:rPr>
                <w:rFonts w:hint="eastAsia" w:ascii="仿宋" w:hAnsi="仿宋" w:eastAsia="仿宋" w:cs="仿宋"/>
                <w:color w:val="auto"/>
                <w:highlight w:val="none"/>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月  日  时  分</w:t>
            </w:r>
          </w:p>
        </w:tc>
      </w:tr>
      <w:tr w14:paraId="5F1A58CC">
        <w:tblPrEx>
          <w:tblCellMar>
            <w:top w:w="0" w:type="dxa"/>
            <w:left w:w="108" w:type="dxa"/>
            <w:bottom w:w="0" w:type="dxa"/>
            <w:right w:w="108" w:type="dxa"/>
          </w:tblCellMar>
        </w:tblPrEx>
        <w:trPr>
          <w:cantSplit/>
          <w:trHeight w:val="547" w:hRule="atLeast"/>
        </w:trPr>
        <w:tc>
          <w:tcPr>
            <w:tcW w:w="1844" w:type="dxa"/>
            <w:vMerge w:val="continue"/>
            <w:tcBorders>
              <w:top w:val="double" w:color="auto" w:sz="2" w:space="0"/>
              <w:left w:val="double" w:color="auto" w:sz="2" w:space="0"/>
              <w:bottom w:val="single" w:color="auto" w:sz="4" w:space="0"/>
              <w:right w:val="single" w:color="auto" w:sz="4" w:space="0"/>
            </w:tcBorders>
            <w:noWrap w:val="0"/>
            <w:vAlign w:val="center"/>
          </w:tcPr>
          <w:p w14:paraId="23E97850">
            <w:pPr>
              <w:spacing w:line="360" w:lineRule="auto"/>
              <w:rPr>
                <w:rFonts w:hint="eastAsia" w:ascii="仿宋" w:hAnsi="仿宋" w:eastAsia="仿宋" w:cs="仿宋"/>
                <w:color w:val="auto"/>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1C4A985">
            <w:pPr>
              <w:adjustRightInd w:val="0"/>
              <w:spacing w:line="360" w:lineRule="auto"/>
              <w:ind w:right="-122" w:rightChars="-51"/>
              <w:jc w:val="center"/>
              <w:rPr>
                <w:rFonts w:hint="eastAsia" w:ascii="仿宋" w:hAnsi="仿宋" w:eastAsia="仿宋" w:cs="仿宋"/>
                <w:color w:val="auto"/>
                <w:highlight w:val="none"/>
              </w:rPr>
            </w:pPr>
            <w:r>
              <w:rPr>
                <w:rFonts w:hint="eastAsia" w:ascii="仿宋" w:hAnsi="仿宋" w:eastAsia="仿宋" w:cs="仿宋"/>
                <w:color w:val="auto"/>
                <w:highlight w:val="none"/>
              </w:rPr>
              <w:t>地点</w:t>
            </w:r>
          </w:p>
        </w:tc>
        <w:tc>
          <w:tcPr>
            <w:tcW w:w="5271" w:type="dxa"/>
            <w:gridSpan w:val="5"/>
            <w:tcBorders>
              <w:top w:val="single" w:color="auto" w:sz="4" w:space="0"/>
              <w:left w:val="single" w:color="auto" w:sz="4" w:space="0"/>
              <w:bottom w:val="single" w:color="auto" w:sz="4" w:space="0"/>
              <w:right w:val="double" w:color="auto" w:sz="2" w:space="0"/>
            </w:tcBorders>
            <w:noWrap w:val="0"/>
            <w:vAlign w:val="center"/>
          </w:tcPr>
          <w:p w14:paraId="2B894147">
            <w:pPr>
              <w:spacing w:line="360" w:lineRule="auto"/>
              <w:jc w:val="center"/>
              <w:rPr>
                <w:rFonts w:hint="eastAsia" w:ascii="仿宋" w:hAnsi="仿宋" w:eastAsia="仿宋" w:cs="仿宋"/>
                <w:color w:val="auto"/>
                <w:highlight w:val="none"/>
              </w:rPr>
            </w:pPr>
          </w:p>
        </w:tc>
      </w:tr>
      <w:tr w14:paraId="5DED9C56">
        <w:tblPrEx>
          <w:tblCellMar>
            <w:top w:w="0" w:type="dxa"/>
            <w:left w:w="108" w:type="dxa"/>
            <w:bottom w:w="0" w:type="dxa"/>
            <w:right w:w="108" w:type="dxa"/>
          </w:tblCellMar>
        </w:tblPrEx>
        <w:trPr>
          <w:cantSplit/>
          <w:trHeight w:val="1185" w:hRule="atLeast"/>
        </w:trPr>
        <w:tc>
          <w:tcPr>
            <w:tcW w:w="1844" w:type="dxa"/>
            <w:tcBorders>
              <w:top w:val="single" w:color="auto" w:sz="4" w:space="0"/>
              <w:left w:val="double" w:color="auto" w:sz="2" w:space="0"/>
              <w:bottom w:val="single" w:color="auto" w:sz="4" w:space="0"/>
              <w:right w:val="single" w:color="auto" w:sz="4" w:space="0"/>
            </w:tcBorders>
            <w:noWrap w:val="0"/>
            <w:vAlign w:val="center"/>
          </w:tcPr>
          <w:p w14:paraId="0256BB14">
            <w:pPr>
              <w:adjustRightInd w:val="0"/>
              <w:spacing w:before="120"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事故（件）概况</w:t>
            </w:r>
          </w:p>
        </w:tc>
        <w:tc>
          <w:tcPr>
            <w:tcW w:w="6688" w:type="dxa"/>
            <w:gridSpan w:val="6"/>
            <w:tcBorders>
              <w:top w:val="single" w:color="auto" w:sz="4" w:space="0"/>
              <w:left w:val="single" w:color="auto" w:sz="4" w:space="0"/>
              <w:bottom w:val="single" w:color="auto" w:sz="4" w:space="0"/>
              <w:right w:val="double" w:color="auto" w:sz="2" w:space="0"/>
            </w:tcBorders>
            <w:noWrap w:val="0"/>
            <w:vAlign w:val="center"/>
          </w:tcPr>
          <w:p w14:paraId="6F7CBF7C">
            <w:pPr>
              <w:spacing w:line="360" w:lineRule="auto"/>
              <w:jc w:val="center"/>
              <w:rPr>
                <w:rFonts w:hint="eastAsia" w:ascii="仿宋" w:hAnsi="仿宋" w:eastAsia="仿宋" w:cs="仿宋"/>
                <w:color w:val="auto"/>
                <w:highlight w:val="none"/>
              </w:rPr>
            </w:pPr>
          </w:p>
        </w:tc>
      </w:tr>
      <w:tr w14:paraId="12033184">
        <w:tblPrEx>
          <w:tblCellMar>
            <w:top w:w="0" w:type="dxa"/>
            <w:left w:w="108" w:type="dxa"/>
            <w:bottom w:w="0" w:type="dxa"/>
            <w:right w:w="108" w:type="dxa"/>
          </w:tblCellMar>
        </w:tblPrEx>
        <w:trPr>
          <w:cantSplit/>
          <w:trHeight w:val="1091" w:hRule="atLeast"/>
        </w:trPr>
        <w:tc>
          <w:tcPr>
            <w:tcW w:w="1844" w:type="dxa"/>
            <w:tcBorders>
              <w:top w:val="single" w:color="auto" w:sz="4" w:space="0"/>
              <w:left w:val="double" w:color="auto" w:sz="2" w:space="0"/>
              <w:bottom w:val="single" w:color="auto" w:sz="4" w:space="0"/>
              <w:right w:val="single" w:color="auto" w:sz="4" w:space="0"/>
            </w:tcBorders>
            <w:noWrap w:val="0"/>
            <w:vAlign w:val="center"/>
          </w:tcPr>
          <w:p w14:paraId="1398C8E4">
            <w:pPr>
              <w:adjustRightInd w:val="0"/>
              <w:spacing w:line="360" w:lineRule="auto"/>
              <w:ind w:left="113" w:right="113"/>
              <w:jc w:val="center"/>
              <w:rPr>
                <w:rFonts w:hint="eastAsia" w:ascii="仿宋" w:hAnsi="仿宋" w:eastAsia="仿宋" w:cs="仿宋"/>
                <w:color w:val="auto"/>
                <w:highlight w:val="none"/>
              </w:rPr>
            </w:pPr>
            <w:r>
              <w:rPr>
                <w:rFonts w:hint="eastAsia" w:ascii="仿宋" w:hAnsi="仿宋" w:eastAsia="仿宋" w:cs="仿宋"/>
                <w:color w:val="auto"/>
                <w:highlight w:val="none"/>
              </w:rPr>
              <w:t>事故（件）损失</w:t>
            </w:r>
          </w:p>
        </w:tc>
        <w:tc>
          <w:tcPr>
            <w:tcW w:w="6688" w:type="dxa"/>
            <w:gridSpan w:val="6"/>
            <w:tcBorders>
              <w:top w:val="single" w:color="auto" w:sz="4" w:space="0"/>
              <w:left w:val="single" w:color="auto" w:sz="4" w:space="0"/>
              <w:bottom w:val="single" w:color="auto" w:sz="4" w:space="0"/>
              <w:right w:val="double" w:color="auto" w:sz="2" w:space="0"/>
            </w:tcBorders>
            <w:noWrap w:val="0"/>
            <w:vAlign w:val="center"/>
          </w:tcPr>
          <w:p w14:paraId="106E973F">
            <w:pPr>
              <w:spacing w:line="360" w:lineRule="auto"/>
              <w:jc w:val="center"/>
              <w:rPr>
                <w:rFonts w:hint="eastAsia" w:ascii="仿宋" w:hAnsi="仿宋" w:eastAsia="仿宋" w:cs="仿宋"/>
                <w:color w:val="auto"/>
                <w:highlight w:val="none"/>
              </w:rPr>
            </w:pPr>
          </w:p>
        </w:tc>
      </w:tr>
      <w:tr w14:paraId="1E7564B3">
        <w:tblPrEx>
          <w:tblCellMar>
            <w:top w:w="0" w:type="dxa"/>
            <w:left w:w="108" w:type="dxa"/>
            <w:bottom w:w="0" w:type="dxa"/>
            <w:right w:w="108" w:type="dxa"/>
          </w:tblCellMar>
        </w:tblPrEx>
        <w:trPr>
          <w:cantSplit/>
          <w:trHeight w:val="1247" w:hRule="atLeast"/>
        </w:trPr>
        <w:tc>
          <w:tcPr>
            <w:tcW w:w="1844" w:type="dxa"/>
            <w:tcBorders>
              <w:top w:val="single" w:color="auto" w:sz="4" w:space="0"/>
              <w:left w:val="double" w:color="auto" w:sz="2" w:space="0"/>
              <w:bottom w:val="single" w:color="auto" w:sz="4" w:space="0"/>
              <w:right w:val="single" w:color="auto" w:sz="4" w:space="0"/>
            </w:tcBorders>
            <w:noWrap w:val="0"/>
            <w:vAlign w:val="center"/>
          </w:tcPr>
          <w:p w14:paraId="3D6C18EB">
            <w:pPr>
              <w:adjustRightInd w:val="0"/>
              <w:spacing w:line="360" w:lineRule="auto"/>
              <w:ind w:left="113" w:right="113"/>
              <w:jc w:val="center"/>
              <w:rPr>
                <w:rFonts w:hint="eastAsia" w:ascii="仿宋" w:hAnsi="仿宋" w:eastAsia="仿宋" w:cs="仿宋"/>
                <w:color w:val="auto"/>
                <w:highlight w:val="none"/>
              </w:rPr>
            </w:pPr>
            <w:r>
              <w:rPr>
                <w:rFonts w:hint="eastAsia" w:ascii="仿宋" w:hAnsi="仿宋" w:eastAsia="仿宋" w:cs="仿宋"/>
                <w:color w:val="auto"/>
                <w:highlight w:val="none"/>
              </w:rPr>
              <w:t>初步原因分析</w:t>
            </w:r>
          </w:p>
        </w:tc>
        <w:tc>
          <w:tcPr>
            <w:tcW w:w="6688" w:type="dxa"/>
            <w:gridSpan w:val="6"/>
            <w:tcBorders>
              <w:top w:val="single" w:color="auto" w:sz="4" w:space="0"/>
              <w:left w:val="single" w:color="auto" w:sz="4" w:space="0"/>
              <w:bottom w:val="single" w:color="auto" w:sz="4" w:space="0"/>
              <w:right w:val="double" w:color="auto" w:sz="2" w:space="0"/>
            </w:tcBorders>
            <w:noWrap w:val="0"/>
            <w:vAlign w:val="center"/>
          </w:tcPr>
          <w:p w14:paraId="39ADFC93">
            <w:pPr>
              <w:spacing w:line="360" w:lineRule="auto"/>
              <w:jc w:val="center"/>
              <w:rPr>
                <w:rFonts w:hint="eastAsia" w:ascii="仿宋" w:hAnsi="仿宋" w:eastAsia="仿宋" w:cs="仿宋"/>
                <w:color w:val="auto"/>
                <w:highlight w:val="none"/>
              </w:rPr>
            </w:pPr>
          </w:p>
        </w:tc>
      </w:tr>
      <w:tr w14:paraId="57218457">
        <w:tblPrEx>
          <w:tblCellMar>
            <w:top w:w="0" w:type="dxa"/>
            <w:left w:w="108" w:type="dxa"/>
            <w:bottom w:w="0" w:type="dxa"/>
            <w:right w:w="108" w:type="dxa"/>
          </w:tblCellMar>
        </w:tblPrEx>
        <w:trPr>
          <w:cantSplit/>
          <w:trHeight w:val="1141" w:hRule="atLeast"/>
        </w:trPr>
        <w:tc>
          <w:tcPr>
            <w:tcW w:w="1844" w:type="dxa"/>
            <w:tcBorders>
              <w:top w:val="single" w:color="auto" w:sz="4" w:space="0"/>
              <w:left w:val="double" w:color="auto" w:sz="2" w:space="0"/>
              <w:bottom w:val="single" w:color="auto" w:sz="4" w:space="0"/>
              <w:right w:val="single" w:color="auto" w:sz="4" w:space="0"/>
            </w:tcBorders>
            <w:noWrap w:val="0"/>
            <w:vAlign w:val="center"/>
          </w:tcPr>
          <w:p w14:paraId="7AB1A867">
            <w:pPr>
              <w:adjustRightInd w:val="0"/>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已采取</w:t>
            </w:r>
          </w:p>
          <w:p w14:paraId="010581F3">
            <w:pPr>
              <w:adjustRightInd w:val="0"/>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措施</w:t>
            </w:r>
          </w:p>
        </w:tc>
        <w:tc>
          <w:tcPr>
            <w:tcW w:w="6688" w:type="dxa"/>
            <w:gridSpan w:val="6"/>
            <w:tcBorders>
              <w:top w:val="single" w:color="auto" w:sz="4" w:space="0"/>
              <w:left w:val="single" w:color="auto" w:sz="4" w:space="0"/>
              <w:bottom w:val="single" w:color="auto" w:sz="4" w:space="0"/>
              <w:right w:val="double" w:color="auto" w:sz="2" w:space="0"/>
            </w:tcBorders>
            <w:noWrap w:val="0"/>
            <w:vAlign w:val="center"/>
          </w:tcPr>
          <w:p w14:paraId="22F04616">
            <w:pPr>
              <w:spacing w:line="360" w:lineRule="auto"/>
              <w:jc w:val="center"/>
              <w:rPr>
                <w:rFonts w:hint="eastAsia" w:ascii="仿宋" w:hAnsi="仿宋" w:eastAsia="仿宋" w:cs="仿宋"/>
                <w:color w:val="auto"/>
                <w:highlight w:val="none"/>
              </w:rPr>
            </w:pPr>
          </w:p>
        </w:tc>
      </w:tr>
      <w:tr w14:paraId="1EEDEDA9">
        <w:tblPrEx>
          <w:tblCellMar>
            <w:top w:w="0" w:type="dxa"/>
            <w:left w:w="108" w:type="dxa"/>
            <w:bottom w:w="0" w:type="dxa"/>
            <w:right w:w="108" w:type="dxa"/>
          </w:tblCellMar>
        </w:tblPrEx>
        <w:trPr>
          <w:cantSplit/>
          <w:trHeight w:val="454" w:hRule="atLeast"/>
        </w:trPr>
        <w:tc>
          <w:tcPr>
            <w:tcW w:w="1844" w:type="dxa"/>
            <w:vMerge w:val="restart"/>
            <w:tcBorders>
              <w:top w:val="single" w:color="auto" w:sz="4" w:space="0"/>
              <w:left w:val="double" w:color="auto" w:sz="2" w:space="0"/>
              <w:bottom w:val="single" w:color="auto" w:sz="4" w:space="0"/>
              <w:right w:val="single" w:color="auto" w:sz="4" w:space="0"/>
            </w:tcBorders>
            <w:noWrap w:val="0"/>
            <w:vAlign w:val="center"/>
          </w:tcPr>
          <w:p w14:paraId="53D4627B">
            <w:pPr>
              <w:adjustRightInd w:val="0"/>
              <w:spacing w:line="360"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事故（件）处理</w:t>
            </w:r>
          </w:p>
          <w:p w14:paraId="70282202">
            <w:pPr>
              <w:adjustRightInd w:val="0"/>
              <w:spacing w:line="360"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负责人</w:t>
            </w:r>
          </w:p>
        </w:tc>
        <w:tc>
          <w:tcPr>
            <w:tcW w:w="1500" w:type="dxa"/>
            <w:gridSpan w:val="2"/>
            <w:tcBorders>
              <w:top w:val="single" w:color="auto" w:sz="4" w:space="0"/>
              <w:left w:val="single" w:color="auto" w:sz="4" w:space="0"/>
              <w:bottom w:val="single" w:color="auto" w:sz="4" w:space="0"/>
              <w:right w:val="single" w:color="auto" w:sz="4" w:space="0"/>
            </w:tcBorders>
            <w:noWrap w:val="0"/>
            <w:vAlign w:val="center"/>
          </w:tcPr>
          <w:p w14:paraId="54EF049C">
            <w:pPr>
              <w:adjustRightInd w:val="0"/>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姓名</w:t>
            </w:r>
          </w:p>
        </w:tc>
        <w:tc>
          <w:tcPr>
            <w:tcW w:w="2069" w:type="dxa"/>
            <w:gridSpan w:val="2"/>
            <w:tcBorders>
              <w:top w:val="single" w:color="auto" w:sz="4" w:space="0"/>
              <w:left w:val="single" w:color="auto" w:sz="4" w:space="0"/>
              <w:bottom w:val="single" w:color="auto" w:sz="4" w:space="0"/>
              <w:right w:val="single" w:color="auto" w:sz="4" w:space="0"/>
            </w:tcBorders>
            <w:noWrap w:val="0"/>
            <w:vAlign w:val="center"/>
          </w:tcPr>
          <w:p w14:paraId="4B3FE54C">
            <w:pPr>
              <w:adjustRightInd w:val="0"/>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职务</w:t>
            </w:r>
          </w:p>
        </w:tc>
        <w:tc>
          <w:tcPr>
            <w:tcW w:w="3119" w:type="dxa"/>
            <w:gridSpan w:val="2"/>
            <w:tcBorders>
              <w:top w:val="single" w:color="auto" w:sz="4" w:space="0"/>
              <w:left w:val="single" w:color="auto" w:sz="4" w:space="0"/>
              <w:bottom w:val="single" w:color="auto" w:sz="4" w:space="0"/>
              <w:right w:val="double" w:color="auto" w:sz="2" w:space="0"/>
            </w:tcBorders>
            <w:noWrap w:val="0"/>
            <w:vAlign w:val="center"/>
          </w:tcPr>
          <w:p w14:paraId="4934306C">
            <w:pPr>
              <w:adjustRightInd w:val="0"/>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联系电话</w:t>
            </w:r>
          </w:p>
        </w:tc>
      </w:tr>
      <w:tr w14:paraId="1A8F2707">
        <w:tblPrEx>
          <w:tblCellMar>
            <w:top w:w="0" w:type="dxa"/>
            <w:left w:w="108" w:type="dxa"/>
            <w:bottom w:w="0" w:type="dxa"/>
            <w:right w:w="108" w:type="dxa"/>
          </w:tblCellMar>
        </w:tblPrEx>
        <w:trPr>
          <w:cantSplit/>
          <w:trHeight w:val="454" w:hRule="atLeast"/>
        </w:trPr>
        <w:tc>
          <w:tcPr>
            <w:tcW w:w="1844" w:type="dxa"/>
            <w:vMerge w:val="continue"/>
            <w:tcBorders>
              <w:top w:val="single" w:color="auto" w:sz="4" w:space="0"/>
              <w:left w:val="double" w:color="auto" w:sz="2" w:space="0"/>
              <w:bottom w:val="single" w:color="auto" w:sz="4" w:space="0"/>
              <w:right w:val="single" w:color="auto" w:sz="4" w:space="0"/>
            </w:tcBorders>
            <w:noWrap w:val="0"/>
            <w:vAlign w:val="center"/>
          </w:tcPr>
          <w:p w14:paraId="496FAF5A">
            <w:pPr>
              <w:spacing w:line="360" w:lineRule="auto"/>
              <w:rPr>
                <w:rFonts w:hint="eastAsia" w:ascii="仿宋" w:hAnsi="仿宋" w:eastAsia="仿宋" w:cs="仿宋"/>
                <w:color w:val="auto"/>
                <w:highlight w:val="none"/>
              </w:rPr>
            </w:pPr>
          </w:p>
        </w:tc>
        <w:tc>
          <w:tcPr>
            <w:tcW w:w="1500" w:type="dxa"/>
            <w:gridSpan w:val="2"/>
            <w:tcBorders>
              <w:top w:val="single" w:color="auto" w:sz="4" w:space="0"/>
              <w:left w:val="single" w:color="auto" w:sz="4" w:space="0"/>
              <w:bottom w:val="single" w:color="auto" w:sz="4" w:space="0"/>
              <w:right w:val="single" w:color="auto" w:sz="4" w:space="0"/>
            </w:tcBorders>
            <w:noWrap w:val="0"/>
            <w:vAlign w:val="center"/>
          </w:tcPr>
          <w:p w14:paraId="27B3CCCA">
            <w:pPr>
              <w:spacing w:line="360" w:lineRule="auto"/>
              <w:jc w:val="center"/>
              <w:rPr>
                <w:rFonts w:hint="eastAsia" w:ascii="仿宋" w:hAnsi="仿宋" w:eastAsia="仿宋" w:cs="仿宋"/>
                <w:color w:val="auto"/>
                <w:highlight w:val="none"/>
              </w:rPr>
            </w:pPr>
          </w:p>
        </w:tc>
        <w:tc>
          <w:tcPr>
            <w:tcW w:w="2069" w:type="dxa"/>
            <w:gridSpan w:val="2"/>
            <w:tcBorders>
              <w:top w:val="single" w:color="auto" w:sz="4" w:space="0"/>
              <w:left w:val="single" w:color="auto" w:sz="4" w:space="0"/>
              <w:bottom w:val="single" w:color="auto" w:sz="4" w:space="0"/>
              <w:right w:val="single" w:color="auto" w:sz="4" w:space="0"/>
            </w:tcBorders>
            <w:noWrap w:val="0"/>
            <w:vAlign w:val="center"/>
          </w:tcPr>
          <w:p w14:paraId="663F8084">
            <w:pPr>
              <w:spacing w:line="360" w:lineRule="auto"/>
              <w:jc w:val="center"/>
              <w:rPr>
                <w:rFonts w:hint="eastAsia" w:ascii="仿宋" w:hAnsi="仿宋" w:eastAsia="仿宋" w:cs="仿宋"/>
                <w:color w:val="auto"/>
                <w:highlight w:val="none"/>
              </w:rPr>
            </w:pPr>
          </w:p>
        </w:tc>
        <w:tc>
          <w:tcPr>
            <w:tcW w:w="3119" w:type="dxa"/>
            <w:gridSpan w:val="2"/>
            <w:tcBorders>
              <w:top w:val="single" w:color="auto" w:sz="4" w:space="0"/>
              <w:left w:val="single" w:color="auto" w:sz="4" w:space="0"/>
              <w:bottom w:val="single" w:color="auto" w:sz="4" w:space="0"/>
              <w:right w:val="double" w:color="auto" w:sz="2" w:space="0"/>
            </w:tcBorders>
            <w:noWrap w:val="0"/>
            <w:vAlign w:val="center"/>
          </w:tcPr>
          <w:p w14:paraId="680C877A">
            <w:pPr>
              <w:spacing w:line="360" w:lineRule="auto"/>
              <w:jc w:val="center"/>
              <w:rPr>
                <w:rFonts w:hint="eastAsia" w:ascii="仿宋" w:hAnsi="仿宋" w:eastAsia="仿宋" w:cs="仿宋"/>
                <w:color w:val="auto"/>
                <w:highlight w:val="none"/>
              </w:rPr>
            </w:pPr>
          </w:p>
        </w:tc>
      </w:tr>
      <w:tr w14:paraId="466BE5E8">
        <w:tblPrEx>
          <w:tblCellMar>
            <w:top w:w="0" w:type="dxa"/>
            <w:left w:w="108" w:type="dxa"/>
            <w:bottom w:w="0" w:type="dxa"/>
            <w:right w:w="108" w:type="dxa"/>
          </w:tblCellMar>
        </w:tblPrEx>
        <w:trPr>
          <w:cantSplit/>
          <w:trHeight w:val="454" w:hRule="atLeast"/>
        </w:trPr>
        <w:tc>
          <w:tcPr>
            <w:tcW w:w="1844" w:type="dxa"/>
            <w:vMerge w:val="continue"/>
            <w:tcBorders>
              <w:top w:val="single" w:color="auto" w:sz="4" w:space="0"/>
              <w:left w:val="double" w:color="auto" w:sz="2" w:space="0"/>
              <w:bottom w:val="single" w:color="auto" w:sz="4" w:space="0"/>
              <w:right w:val="single" w:color="auto" w:sz="4" w:space="0"/>
            </w:tcBorders>
            <w:noWrap w:val="0"/>
            <w:vAlign w:val="center"/>
          </w:tcPr>
          <w:p w14:paraId="4DB23ACD">
            <w:pPr>
              <w:spacing w:line="360" w:lineRule="auto"/>
              <w:rPr>
                <w:rFonts w:hint="eastAsia" w:ascii="仿宋" w:hAnsi="仿宋" w:eastAsia="仿宋" w:cs="仿宋"/>
                <w:color w:val="auto"/>
                <w:highlight w:val="none"/>
              </w:rPr>
            </w:pPr>
          </w:p>
        </w:tc>
        <w:tc>
          <w:tcPr>
            <w:tcW w:w="1500" w:type="dxa"/>
            <w:gridSpan w:val="2"/>
            <w:tcBorders>
              <w:top w:val="single" w:color="auto" w:sz="4" w:space="0"/>
              <w:left w:val="single" w:color="auto" w:sz="4" w:space="0"/>
              <w:bottom w:val="single" w:color="auto" w:sz="4" w:space="0"/>
              <w:right w:val="single" w:color="auto" w:sz="4" w:space="0"/>
            </w:tcBorders>
            <w:noWrap w:val="0"/>
            <w:vAlign w:val="center"/>
          </w:tcPr>
          <w:p w14:paraId="777CDA0D">
            <w:pPr>
              <w:spacing w:line="360" w:lineRule="auto"/>
              <w:jc w:val="center"/>
              <w:rPr>
                <w:rFonts w:hint="eastAsia" w:ascii="仿宋" w:hAnsi="仿宋" w:eastAsia="仿宋" w:cs="仿宋"/>
                <w:color w:val="auto"/>
                <w:highlight w:val="none"/>
              </w:rPr>
            </w:pPr>
          </w:p>
        </w:tc>
        <w:tc>
          <w:tcPr>
            <w:tcW w:w="2069" w:type="dxa"/>
            <w:gridSpan w:val="2"/>
            <w:tcBorders>
              <w:top w:val="single" w:color="auto" w:sz="4" w:space="0"/>
              <w:left w:val="single" w:color="auto" w:sz="4" w:space="0"/>
              <w:bottom w:val="single" w:color="auto" w:sz="4" w:space="0"/>
              <w:right w:val="single" w:color="auto" w:sz="4" w:space="0"/>
            </w:tcBorders>
            <w:noWrap w:val="0"/>
            <w:vAlign w:val="center"/>
          </w:tcPr>
          <w:p w14:paraId="7C78DD8A">
            <w:pPr>
              <w:spacing w:line="360" w:lineRule="auto"/>
              <w:jc w:val="center"/>
              <w:rPr>
                <w:rFonts w:hint="eastAsia" w:ascii="仿宋" w:hAnsi="仿宋" w:eastAsia="仿宋" w:cs="仿宋"/>
                <w:color w:val="auto"/>
                <w:highlight w:val="none"/>
              </w:rPr>
            </w:pPr>
          </w:p>
        </w:tc>
        <w:tc>
          <w:tcPr>
            <w:tcW w:w="3119" w:type="dxa"/>
            <w:gridSpan w:val="2"/>
            <w:tcBorders>
              <w:top w:val="single" w:color="auto" w:sz="4" w:space="0"/>
              <w:left w:val="single" w:color="auto" w:sz="4" w:space="0"/>
              <w:bottom w:val="single" w:color="auto" w:sz="4" w:space="0"/>
              <w:right w:val="double" w:color="auto" w:sz="2" w:space="0"/>
            </w:tcBorders>
            <w:noWrap w:val="0"/>
            <w:vAlign w:val="center"/>
          </w:tcPr>
          <w:p w14:paraId="3802228F">
            <w:pPr>
              <w:spacing w:line="360" w:lineRule="auto"/>
              <w:jc w:val="center"/>
              <w:rPr>
                <w:rFonts w:hint="eastAsia" w:ascii="仿宋" w:hAnsi="仿宋" w:eastAsia="仿宋" w:cs="仿宋"/>
                <w:color w:val="auto"/>
                <w:highlight w:val="none"/>
              </w:rPr>
            </w:pPr>
          </w:p>
        </w:tc>
      </w:tr>
      <w:tr w14:paraId="7FD745E7">
        <w:tblPrEx>
          <w:tblCellMar>
            <w:top w:w="0" w:type="dxa"/>
            <w:left w:w="108" w:type="dxa"/>
            <w:bottom w:w="0" w:type="dxa"/>
            <w:right w:w="108" w:type="dxa"/>
          </w:tblCellMar>
        </w:tblPrEx>
        <w:trPr>
          <w:cantSplit/>
          <w:trHeight w:val="454" w:hRule="atLeast"/>
        </w:trPr>
        <w:tc>
          <w:tcPr>
            <w:tcW w:w="1844" w:type="dxa"/>
            <w:vMerge w:val="continue"/>
            <w:tcBorders>
              <w:top w:val="single" w:color="auto" w:sz="4" w:space="0"/>
              <w:left w:val="double" w:color="auto" w:sz="2" w:space="0"/>
              <w:bottom w:val="single" w:color="auto" w:sz="4" w:space="0"/>
              <w:right w:val="single" w:color="auto" w:sz="4" w:space="0"/>
            </w:tcBorders>
            <w:noWrap w:val="0"/>
            <w:vAlign w:val="center"/>
          </w:tcPr>
          <w:p w14:paraId="6AAA909A">
            <w:pPr>
              <w:spacing w:line="360" w:lineRule="auto"/>
              <w:rPr>
                <w:rFonts w:hint="eastAsia" w:ascii="仿宋" w:hAnsi="仿宋" w:eastAsia="仿宋" w:cs="仿宋"/>
                <w:color w:val="auto"/>
                <w:highlight w:val="none"/>
              </w:rPr>
            </w:pPr>
          </w:p>
        </w:tc>
        <w:tc>
          <w:tcPr>
            <w:tcW w:w="1500" w:type="dxa"/>
            <w:gridSpan w:val="2"/>
            <w:tcBorders>
              <w:top w:val="single" w:color="auto" w:sz="4" w:space="0"/>
              <w:left w:val="single" w:color="auto" w:sz="4" w:space="0"/>
              <w:bottom w:val="double" w:color="auto" w:sz="2" w:space="0"/>
              <w:right w:val="single" w:color="auto" w:sz="4" w:space="0"/>
            </w:tcBorders>
            <w:noWrap w:val="0"/>
            <w:vAlign w:val="center"/>
          </w:tcPr>
          <w:p w14:paraId="5A64689C">
            <w:pPr>
              <w:spacing w:line="360" w:lineRule="auto"/>
              <w:jc w:val="center"/>
              <w:rPr>
                <w:rFonts w:hint="eastAsia" w:ascii="仿宋" w:hAnsi="仿宋" w:eastAsia="仿宋" w:cs="仿宋"/>
                <w:color w:val="auto"/>
                <w:highlight w:val="none"/>
              </w:rPr>
            </w:pPr>
          </w:p>
        </w:tc>
        <w:tc>
          <w:tcPr>
            <w:tcW w:w="2069" w:type="dxa"/>
            <w:gridSpan w:val="2"/>
            <w:tcBorders>
              <w:top w:val="single" w:color="auto" w:sz="4" w:space="0"/>
              <w:left w:val="single" w:color="auto" w:sz="4" w:space="0"/>
              <w:bottom w:val="double" w:color="auto" w:sz="2" w:space="0"/>
              <w:right w:val="single" w:color="auto" w:sz="4" w:space="0"/>
            </w:tcBorders>
            <w:noWrap w:val="0"/>
            <w:vAlign w:val="center"/>
          </w:tcPr>
          <w:p w14:paraId="74F3F6B8">
            <w:pPr>
              <w:spacing w:line="360" w:lineRule="auto"/>
              <w:jc w:val="center"/>
              <w:rPr>
                <w:rFonts w:hint="eastAsia" w:ascii="仿宋" w:hAnsi="仿宋" w:eastAsia="仿宋" w:cs="仿宋"/>
                <w:color w:val="auto"/>
                <w:highlight w:val="none"/>
              </w:rPr>
            </w:pPr>
          </w:p>
        </w:tc>
        <w:tc>
          <w:tcPr>
            <w:tcW w:w="3119" w:type="dxa"/>
            <w:gridSpan w:val="2"/>
            <w:tcBorders>
              <w:top w:val="single" w:color="auto" w:sz="4" w:space="0"/>
              <w:left w:val="single" w:color="auto" w:sz="4" w:space="0"/>
              <w:bottom w:val="double" w:color="auto" w:sz="2" w:space="0"/>
              <w:right w:val="double" w:color="auto" w:sz="2" w:space="0"/>
            </w:tcBorders>
            <w:noWrap w:val="0"/>
            <w:vAlign w:val="center"/>
          </w:tcPr>
          <w:p w14:paraId="02665649">
            <w:pPr>
              <w:spacing w:line="360" w:lineRule="auto"/>
              <w:jc w:val="center"/>
              <w:rPr>
                <w:rFonts w:hint="eastAsia" w:ascii="仿宋" w:hAnsi="仿宋" w:eastAsia="仿宋" w:cs="仿宋"/>
                <w:color w:val="auto"/>
                <w:highlight w:val="none"/>
              </w:rPr>
            </w:pPr>
          </w:p>
        </w:tc>
      </w:tr>
    </w:tbl>
    <w:p w14:paraId="47029DBE">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单位领导：        施工单位负责人：             填表人：          填报时间：</w:t>
      </w:r>
    </w:p>
    <w:p w14:paraId="0FB82436">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注：本表由施工单位填写，“事故（件）单位”指事故发生单位，涉及多家单位时，</w:t>
      </w:r>
    </w:p>
    <w:p w14:paraId="190D9EB4">
      <w:pPr>
        <w:spacing w:line="360" w:lineRule="auto"/>
        <w:rPr>
          <w:rFonts w:hint="eastAsia" w:ascii="仿宋" w:hAnsi="仿宋" w:eastAsia="仿宋" w:cs="仿宋"/>
          <w:b/>
          <w:bCs/>
          <w:color w:val="auto"/>
          <w:highlight w:val="none"/>
          <w:lang w:eastAsia="zh-CN"/>
        </w:rPr>
      </w:pPr>
      <w:r>
        <w:rPr>
          <w:rFonts w:hint="eastAsia" w:ascii="仿宋" w:hAnsi="仿宋" w:eastAsia="仿宋" w:cs="仿宋"/>
          <w:color w:val="auto"/>
          <w:highlight w:val="none"/>
          <w:lang w:eastAsia="zh-CN"/>
        </w:rPr>
        <w:t>一并填入。</w:t>
      </w:r>
    </w:p>
    <w:p w14:paraId="79297401">
      <w:pPr>
        <w:adjustRightInd w:val="0"/>
        <w:snapToGrid w:val="0"/>
        <w:spacing w:line="360" w:lineRule="auto"/>
        <w:ind w:left="960" w:hanging="960" w:hangingChars="400"/>
        <w:rPr>
          <w:rFonts w:hint="eastAsia" w:ascii="仿宋" w:hAnsi="仿宋" w:eastAsia="仿宋" w:cs="仿宋"/>
          <w:color w:val="auto"/>
          <w:highlight w:val="none"/>
          <w:lang w:eastAsia="zh-CN"/>
        </w:rPr>
      </w:pPr>
    </w:p>
    <w:p w14:paraId="79DB810B">
      <w:pPr>
        <w:adjustRightInd w:val="0"/>
        <w:snapToGrid w:val="0"/>
        <w:spacing w:line="360" w:lineRule="auto"/>
        <w:ind w:left="960" w:hanging="960" w:hangingChars="400"/>
        <w:rPr>
          <w:rFonts w:hint="eastAsia" w:ascii="仿宋" w:hAnsi="仿宋" w:eastAsia="仿宋" w:cs="仿宋"/>
          <w:color w:val="auto"/>
          <w:highlight w:val="none"/>
          <w:lang w:eastAsia="zh-CN"/>
        </w:rPr>
      </w:pPr>
    </w:p>
    <w:p w14:paraId="270F6383">
      <w:pPr>
        <w:adjustRightInd w:val="0"/>
        <w:snapToGrid w:val="0"/>
        <w:spacing w:line="360" w:lineRule="auto"/>
        <w:ind w:left="960" w:hanging="960" w:hanging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附件2</w:t>
      </w:r>
    </w:p>
    <w:p w14:paraId="551C61A8">
      <w:pPr>
        <w:adjustRightInd w:val="0"/>
        <w:snapToGrid w:val="0"/>
        <w:spacing w:line="360" w:lineRule="auto"/>
        <w:ind w:left="964" w:hanging="964" w:hangingChars="400"/>
        <w:jc w:val="center"/>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施工单位安全文明检查标准</w:t>
      </w:r>
    </w:p>
    <w:tbl>
      <w:tblPr>
        <w:tblStyle w:val="44"/>
        <w:tblW w:w="0" w:type="auto"/>
        <w:jc w:val="center"/>
        <w:tblLayout w:type="fixed"/>
        <w:tblCellMar>
          <w:top w:w="0" w:type="dxa"/>
          <w:left w:w="108" w:type="dxa"/>
          <w:bottom w:w="0" w:type="dxa"/>
          <w:right w:w="108" w:type="dxa"/>
        </w:tblCellMar>
      </w:tblPr>
      <w:tblGrid>
        <w:gridCol w:w="682"/>
        <w:gridCol w:w="636"/>
        <w:gridCol w:w="957"/>
        <w:gridCol w:w="6711"/>
      </w:tblGrid>
      <w:tr w14:paraId="205BA4AC">
        <w:tblPrEx>
          <w:tblCellMar>
            <w:top w:w="0" w:type="dxa"/>
            <w:left w:w="108" w:type="dxa"/>
            <w:bottom w:w="0" w:type="dxa"/>
            <w:right w:w="108" w:type="dxa"/>
          </w:tblCellMar>
        </w:tblPrEx>
        <w:trPr>
          <w:trHeight w:val="148"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09D268BE">
            <w:pPr>
              <w:spacing w:line="360" w:lineRule="auto"/>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序号</w:t>
            </w:r>
          </w:p>
        </w:tc>
        <w:tc>
          <w:tcPr>
            <w:tcW w:w="1593" w:type="dxa"/>
            <w:gridSpan w:val="2"/>
            <w:tcBorders>
              <w:top w:val="single" w:color="auto" w:sz="4" w:space="0"/>
              <w:left w:val="nil"/>
              <w:bottom w:val="single" w:color="auto" w:sz="4" w:space="0"/>
              <w:right w:val="single" w:color="auto" w:sz="4" w:space="0"/>
            </w:tcBorders>
            <w:noWrap w:val="0"/>
            <w:vAlign w:val="center"/>
          </w:tcPr>
          <w:p w14:paraId="6942D16D">
            <w:pPr>
              <w:spacing w:line="360" w:lineRule="auto"/>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检查项目</w:t>
            </w:r>
          </w:p>
        </w:tc>
        <w:tc>
          <w:tcPr>
            <w:tcW w:w="6711" w:type="dxa"/>
            <w:tcBorders>
              <w:top w:val="single" w:color="auto" w:sz="4" w:space="0"/>
              <w:left w:val="nil"/>
              <w:bottom w:val="single" w:color="auto" w:sz="4" w:space="0"/>
              <w:right w:val="single" w:color="auto" w:sz="4" w:space="0"/>
            </w:tcBorders>
            <w:noWrap w:val="0"/>
            <w:vAlign w:val="center"/>
          </w:tcPr>
          <w:p w14:paraId="742D5B3A">
            <w:pPr>
              <w:spacing w:line="360" w:lineRule="auto"/>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检查标准</w:t>
            </w:r>
          </w:p>
        </w:tc>
      </w:tr>
      <w:tr w14:paraId="3C415351">
        <w:tblPrEx>
          <w:tblCellMar>
            <w:top w:w="0" w:type="dxa"/>
            <w:left w:w="108" w:type="dxa"/>
            <w:bottom w:w="0" w:type="dxa"/>
            <w:right w:w="108" w:type="dxa"/>
          </w:tblCellMar>
        </w:tblPrEx>
        <w:trPr>
          <w:trHeight w:val="2409"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1498E741">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636" w:type="dxa"/>
            <w:vMerge w:val="restart"/>
            <w:tcBorders>
              <w:top w:val="nil"/>
              <w:left w:val="nil"/>
              <w:bottom w:val="single" w:color="auto" w:sz="4" w:space="0"/>
              <w:right w:val="single" w:color="auto" w:sz="4" w:space="0"/>
            </w:tcBorders>
            <w:noWrap w:val="0"/>
            <w:vAlign w:val="center"/>
          </w:tcPr>
          <w:p w14:paraId="4DD71B62">
            <w:pPr>
              <w:spacing w:line="360" w:lineRule="auto"/>
              <w:ind w:left="113" w:right="113"/>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安全管理</w:t>
            </w:r>
          </w:p>
        </w:tc>
        <w:tc>
          <w:tcPr>
            <w:tcW w:w="957" w:type="dxa"/>
            <w:tcBorders>
              <w:top w:val="single" w:color="auto" w:sz="4" w:space="0"/>
              <w:left w:val="nil"/>
              <w:bottom w:val="single" w:color="auto" w:sz="4" w:space="0"/>
              <w:right w:val="single" w:color="auto" w:sz="4" w:space="0"/>
            </w:tcBorders>
            <w:noWrap w:val="0"/>
            <w:vAlign w:val="center"/>
          </w:tcPr>
          <w:p w14:paraId="5BA97B4E">
            <w:pPr>
              <w:snapToGrid w:val="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项目组织</w:t>
            </w:r>
          </w:p>
        </w:tc>
        <w:tc>
          <w:tcPr>
            <w:tcW w:w="6711" w:type="dxa"/>
            <w:tcBorders>
              <w:top w:val="single" w:color="auto" w:sz="4" w:space="0"/>
              <w:left w:val="nil"/>
              <w:bottom w:val="single" w:color="auto" w:sz="4" w:space="0"/>
              <w:right w:val="single" w:color="auto" w:sz="4" w:space="0"/>
            </w:tcBorders>
            <w:noWrap w:val="0"/>
            <w:vAlign w:val="center"/>
          </w:tcPr>
          <w:p w14:paraId="520A778A">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项目部经理、副经理、总工和专职安全管理人员是否与投标承诺或合同一致；如不一致，是否已更换，是否已完善审批、备案手续；主要管理人员资质是否与投标承诺或合同相符；是否建立安全责任制；是否明确安全管理目标，并按人员和单位进行目标分解。</w:t>
            </w:r>
          </w:p>
          <w:p w14:paraId="0C885751">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2、是否按有关规定配备足够数量安全管理人员。</w:t>
            </w:r>
          </w:p>
          <w:p w14:paraId="2DCD68D1">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3、项目经理、主管安全领导是否出席项目部各项安全会议、安全大检查；根据考勤记录，是否有项目经理长期不在岗现象。</w:t>
            </w:r>
          </w:p>
          <w:p w14:paraId="4FA9305B">
            <w:pPr>
              <w:snapToGrid w:val="0"/>
              <w:ind w:left="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4、分包单位是否有安全生产许可证，是否具备相应的施工资质等级；总承包单位是否与分包单位签订安全协议，是否出现转包、以包代管；安全管理目标是否与总承包单位一致。</w:t>
            </w:r>
          </w:p>
          <w:p w14:paraId="77E90D72">
            <w:pPr>
              <w:snapToGrid w:val="0"/>
              <w:ind w:left="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5、围墙内涉及相关单位（非本工程参建单位）共同作业时，是否签订安全管理协议。</w:t>
            </w:r>
          </w:p>
        </w:tc>
      </w:tr>
      <w:tr w14:paraId="676F41B0">
        <w:tblPrEx>
          <w:tblCellMar>
            <w:top w:w="0" w:type="dxa"/>
            <w:left w:w="108" w:type="dxa"/>
            <w:bottom w:w="0" w:type="dxa"/>
            <w:right w:w="108" w:type="dxa"/>
          </w:tblCellMar>
        </w:tblPrEx>
        <w:trPr>
          <w:trHeight w:val="1551"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635BBAB6">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2</w:t>
            </w:r>
          </w:p>
        </w:tc>
        <w:tc>
          <w:tcPr>
            <w:tcW w:w="636" w:type="dxa"/>
            <w:vMerge w:val="continue"/>
            <w:tcBorders>
              <w:top w:val="nil"/>
              <w:left w:val="nil"/>
              <w:bottom w:val="single" w:color="auto" w:sz="4" w:space="0"/>
              <w:right w:val="single" w:color="auto" w:sz="4" w:space="0"/>
            </w:tcBorders>
            <w:noWrap w:val="0"/>
            <w:vAlign w:val="center"/>
          </w:tcPr>
          <w:p w14:paraId="2163EA08">
            <w:pPr>
              <w:spacing w:line="360" w:lineRule="auto"/>
              <w:rPr>
                <w:rFonts w:hint="eastAsia" w:ascii="仿宋" w:hAnsi="仿宋" w:eastAsia="仿宋" w:cs="仿宋"/>
                <w:b/>
                <w:bCs/>
                <w:color w:val="auto"/>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030410AC">
            <w:pPr>
              <w:snapToGrid w:val="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安全检查</w:t>
            </w:r>
          </w:p>
        </w:tc>
        <w:tc>
          <w:tcPr>
            <w:tcW w:w="6711" w:type="dxa"/>
            <w:tcBorders>
              <w:top w:val="single" w:color="auto" w:sz="4" w:space="0"/>
              <w:left w:val="nil"/>
              <w:bottom w:val="single" w:color="auto" w:sz="4" w:space="0"/>
              <w:right w:val="single" w:color="auto" w:sz="4" w:space="0"/>
            </w:tcBorders>
            <w:noWrap w:val="0"/>
            <w:vAlign w:val="center"/>
          </w:tcPr>
          <w:p w14:paraId="11411C65">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1．是否按照安全检查制度进行检查；安全直接责任人每周是否带队对工地检查一次。</w:t>
            </w:r>
          </w:p>
          <w:p w14:paraId="54D8294E">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2．项目经理每月是否带队安全检查一次。</w:t>
            </w:r>
          </w:p>
          <w:p w14:paraId="407E268B">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3、每月是否对照《广东省建筑施工安全管理资料统一用表》检查一次。</w:t>
            </w:r>
          </w:p>
          <w:p w14:paraId="2A160DDA">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4．施工单位的管理人员是否积极主动配合检查。</w:t>
            </w:r>
          </w:p>
        </w:tc>
      </w:tr>
      <w:tr w14:paraId="41108F11">
        <w:tblPrEx>
          <w:tblCellMar>
            <w:top w:w="0" w:type="dxa"/>
            <w:left w:w="108" w:type="dxa"/>
            <w:bottom w:w="0" w:type="dxa"/>
            <w:right w:w="108" w:type="dxa"/>
          </w:tblCellMar>
        </w:tblPrEx>
        <w:trPr>
          <w:trHeight w:val="282"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4406A299">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3</w:t>
            </w:r>
          </w:p>
        </w:tc>
        <w:tc>
          <w:tcPr>
            <w:tcW w:w="636" w:type="dxa"/>
            <w:vMerge w:val="restart"/>
            <w:tcBorders>
              <w:top w:val="nil"/>
              <w:left w:val="nil"/>
              <w:bottom w:val="single" w:color="auto" w:sz="4" w:space="0"/>
              <w:right w:val="single" w:color="auto" w:sz="4" w:space="0"/>
            </w:tcBorders>
            <w:noWrap w:val="0"/>
            <w:vAlign w:val="center"/>
          </w:tcPr>
          <w:p w14:paraId="759FED0A">
            <w:pPr>
              <w:spacing w:line="360" w:lineRule="auto"/>
              <w:ind w:left="113" w:right="113"/>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内业资料</w:t>
            </w:r>
          </w:p>
        </w:tc>
        <w:tc>
          <w:tcPr>
            <w:tcW w:w="957" w:type="dxa"/>
            <w:tcBorders>
              <w:top w:val="single" w:color="auto" w:sz="4" w:space="0"/>
              <w:left w:val="nil"/>
              <w:bottom w:val="single" w:color="auto" w:sz="4" w:space="0"/>
              <w:right w:val="single" w:color="auto" w:sz="4" w:space="0"/>
            </w:tcBorders>
            <w:noWrap w:val="0"/>
            <w:vAlign w:val="center"/>
          </w:tcPr>
          <w:p w14:paraId="0FA2AC87">
            <w:pPr>
              <w:snapToGrid w:val="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安全制度及资料</w:t>
            </w:r>
          </w:p>
        </w:tc>
        <w:tc>
          <w:tcPr>
            <w:tcW w:w="6711" w:type="dxa"/>
            <w:tcBorders>
              <w:top w:val="single" w:color="auto" w:sz="4" w:space="0"/>
              <w:left w:val="nil"/>
              <w:bottom w:val="single" w:color="auto" w:sz="4" w:space="0"/>
              <w:right w:val="single" w:color="auto" w:sz="4" w:space="0"/>
            </w:tcBorders>
            <w:noWrap w:val="0"/>
            <w:vAlign w:val="center"/>
          </w:tcPr>
          <w:p w14:paraId="1446A360">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1、项目部是否建立和完善规章制度和内业资料；</w:t>
            </w:r>
          </w:p>
          <w:p w14:paraId="2CED45E9">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2、开展安全风险排查、辨识及过程控制工作。是否按照要求开展安全风险排查；是否按时上报风险排查辨识成果、台账；是否开展风险过程控制；</w:t>
            </w:r>
          </w:p>
        </w:tc>
      </w:tr>
      <w:tr w14:paraId="1E0AB919">
        <w:tblPrEx>
          <w:tblCellMar>
            <w:top w:w="0" w:type="dxa"/>
            <w:left w:w="108" w:type="dxa"/>
            <w:bottom w:w="0" w:type="dxa"/>
            <w:right w:w="108" w:type="dxa"/>
          </w:tblCellMar>
        </w:tblPrEx>
        <w:trPr>
          <w:trHeight w:val="1079"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316BFA2D">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4</w:t>
            </w:r>
          </w:p>
        </w:tc>
        <w:tc>
          <w:tcPr>
            <w:tcW w:w="636" w:type="dxa"/>
            <w:vMerge w:val="continue"/>
            <w:tcBorders>
              <w:top w:val="nil"/>
              <w:left w:val="nil"/>
              <w:bottom w:val="single" w:color="auto" w:sz="4" w:space="0"/>
              <w:right w:val="single" w:color="auto" w:sz="4" w:space="0"/>
            </w:tcBorders>
            <w:noWrap w:val="0"/>
            <w:vAlign w:val="center"/>
          </w:tcPr>
          <w:p w14:paraId="002DB1FA">
            <w:pPr>
              <w:spacing w:line="360" w:lineRule="auto"/>
              <w:rPr>
                <w:rFonts w:hint="eastAsia" w:ascii="仿宋" w:hAnsi="仿宋" w:eastAsia="仿宋" w:cs="仿宋"/>
                <w:b/>
                <w:bCs/>
                <w:color w:val="auto"/>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6E4124E6">
            <w:pPr>
              <w:snapToGrid w:val="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员工安全教育及培训</w:t>
            </w:r>
          </w:p>
        </w:tc>
        <w:tc>
          <w:tcPr>
            <w:tcW w:w="6711" w:type="dxa"/>
            <w:tcBorders>
              <w:top w:val="single" w:color="auto" w:sz="4" w:space="0"/>
              <w:left w:val="nil"/>
              <w:bottom w:val="single" w:color="auto" w:sz="4" w:space="0"/>
              <w:right w:val="single" w:color="auto" w:sz="4" w:space="0"/>
            </w:tcBorders>
            <w:noWrap w:val="0"/>
            <w:vAlign w:val="center"/>
          </w:tcPr>
          <w:p w14:paraId="5A9E93DB">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1、员工应经过安全培训合格，工人按规定需进行三级安全教育后才能上岗，进场工人是否已进行三级安全教育；三级安全教育记录是否完善，是否满足学时要求，有无代签名现象；</w:t>
            </w:r>
          </w:p>
          <w:p w14:paraId="2FF25A6A">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2、是否每日落实班前教育，并将班前教育照片上报至白云城投安全生产工作群；</w:t>
            </w:r>
          </w:p>
          <w:p w14:paraId="4D027809">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3、项目部级进场教育是否按甲方《关于进一步强化建设项目安全管理的通知》要求执行。</w:t>
            </w:r>
          </w:p>
        </w:tc>
      </w:tr>
      <w:tr w14:paraId="2FC94337">
        <w:tblPrEx>
          <w:tblCellMar>
            <w:top w:w="0" w:type="dxa"/>
            <w:left w:w="108" w:type="dxa"/>
            <w:bottom w:w="0" w:type="dxa"/>
            <w:right w:w="108" w:type="dxa"/>
          </w:tblCellMar>
        </w:tblPrEx>
        <w:trPr>
          <w:trHeight w:val="2058"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234889EB">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5</w:t>
            </w:r>
          </w:p>
        </w:tc>
        <w:tc>
          <w:tcPr>
            <w:tcW w:w="636" w:type="dxa"/>
            <w:vMerge w:val="continue"/>
            <w:tcBorders>
              <w:top w:val="nil"/>
              <w:left w:val="nil"/>
              <w:bottom w:val="single" w:color="auto" w:sz="4" w:space="0"/>
              <w:right w:val="single" w:color="auto" w:sz="4" w:space="0"/>
            </w:tcBorders>
            <w:noWrap w:val="0"/>
            <w:vAlign w:val="center"/>
          </w:tcPr>
          <w:p w14:paraId="4FCA4968">
            <w:pPr>
              <w:spacing w:line="360" w:lineRule="auto"/>
              <w:rPr>
                <w:rFonts w:hint="eastAsia" w:ascii="仿宋" w:hAnsi="仿宋" w:eastAsia="仿宋" w:cs="仿宋"/>
                <w:b/>
                <w:bCs/>
                <w:color w:val="auto"/>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7F9DBDA8">
            <w:pPr>
              <w:snapToGrid w:val="0"/>
              <w:rPr>
                <w:rFonts w:hint="eastAsia" w:ascii="仿宋" w:hAnsi="仿宋" w:eastAsia="仿宋" w:cs="仿宋"/>
                <w:b/>
                <w:bCs/>
                <w:color w:val="auto"/>
                <w:highlight w:val="none"/>
              </w:rPr>
            </w:pPr>
            <w:r>
              <w:rPr>
                <w:rFonts w:hint="eastAsia" w:ascii="仿宋" w:hAnsi="仿宋" w:eastAsia="仿宋" w:cs="仿宋"/>
                <w:b/>
                <w:bCs/>
                <w:color w:val="auto"/>
                <w:highlight w:val="none"/>
              </w:rPr>
              <w:t>隐患整改</w:t>
            </w:r>
          </w:p>
        </w:tc>
        <w:tc>
          <w:tcPr>
            <w:tcW w:w="6711" w:type="dxa"/>
            <w:tcBorders>
              <w:top w:val="single" w:color="auto" w:sz="4" w:space="0"/>
              <w:left w:val="nil"/>
              <w:bottom w:val="single" w:color="auto" w:sz="4" w:space="0"/>
              <w:right w:val="single" w:color="auto" w:sz="4" w:space="0"/>
            </w:tcBorders>
            <w:noWrap w:val="0"/>
            <w:vAlign w:val="center"/>
          </w:tcPr>
          <w:p w14:paraId="4DA53947">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1．对监理、政府部门查出的隐患下达的整改通知书，是否及时整改，按时回复；隐患或问题重复出现且有无落实整改；</w:t>
            </w:r>
          </w:p>
          <w:p w14:paraId="04C3FF2C">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2．甲方检查时，下发的整改通知书是否及时整改并回复；是否出现同一类问题当月多次下发整改通知书，同样问题是否出现多次被下发整改通知书；是否因现场问题较多且严重，被发停工通知或</w:t>
            </w:r>
            <w:r>
              <w:rPr>
                <w:rFonts w:hint="eastAsia" w:ascii="仿宋" w:hAnsi="仿宋" w:eastAsia="仿宋" w:cs="仿宋"/>
                <w:color w:val="auto"/>
                <w:highlight w:val="none"/>
                <w:lang w:val="en-US" w:eastAsia="zh-CN"/>
              </w:rPr>
              <w:t>发包人</w:t>
            </w:r>
            <w:r>
              <w:rPr>
                <w:rFonts w:hint="eastAsia" w:ascii="仿宋" w:hAnsi="仿宋" w:eastAsia="仿宋" w:cs="仿宋"/>
                <w:color w:val="auto"/>
                <w:highlight w:val="none"/>
                <w:lang w:eastAsia="zh-CN"/>
              </w:rPr>
              <w:t>要求监理发停工通知；是否出现停工后问题未整改，第二次发书面整改通知；</w:t>
            </w:r>
          </w:p>
          <w:p w14:paraId="142B3F6D">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3、是否按时回复甲方通报的安全检查记录。</w:t>
            </w:r>
          </w:p>
        </w:tc>
      </w:tr>
      <w:tr w14:paraId="2D4AFC49">
        <w:tblPrEx>
          <w:tblCellMar>
            <w:top w:w="0" w:type="dxa"/>
            <w:left w:w="108" w:type="dxa"/>
            <w:bottom w:w="0" w:type="dxa"/>
            <w:right w:w="108" w:type="dxa"/>
          </w:tblCellMar>
        </w:tblPrEx>
        <w:trPr>
          <w:trHeight w:val="93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59822DDE">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6</w:t>
            </w:r>
          </w:p>
        </w:tc>
        <w:tc>
          <w:tcPr>
            <w:tcW w:w="636" w:type="dxa"/>
            <w:vMerge w:val="continue"/>
            <w:tcBorders>
              <w:top w:val="nil"/>
              <w:left w:val="nil"/>
              <w:bottom w:val="single" w:color="auto" w:sz="4" w:space="0"/>
              <w:right w:val="single" w:color="auto" w:sz="4" w:space="0"/>
            </w:tcBorders>
            <w:noWrap w:val="0"/>
            <w:vAlign w:val="center"/>
          </w:tcPr>
          <w:p w14:paraId="68BC0A61">
            <w:pPr>
              <w:spacing w:line="360" w:lineRule="auto"/>
              <w:rPr>
                <w:rFonts w:hint="eastAsia" w:ascii="仿宋" w:hAnsi="仿宋" w:eastAsia="仿宋" w:cs="仿宋"/>
                <w:b/>
                <w:bCs/>
                <w:color w:val="auto"/>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7DE1E2D7">
            <w:pPr>
              <w:snapToGrid w:val="0"/>
              <w:rPr>
                <w:rFonts w:hint="eastAsia" w:ascii="仿宋" w:hAnsi="仿宋" w:eastAsia="仿宋" w:cs="仿宋"/>
                <w:b/>
                <w:bCs/>
                <w:color w:val="auto"/>
                <w:highlight w:val="none"/>
              </w:rPr>
            </w:pPr>
            <w:r>
              <w:rPr>
                <w:rFonts w:hint="eastAsia" w:ascii="仿宋" w:hAnsi="仿宋" w:eastAsia="仿宋" w:cs="仿宋"/>
                <w:b/>
                <w:bCs/>
                <w:color w:val="auto"/>
                <w:highlight w:val="none"/>
              </w:rPr>
              <w:t>特种作业人员上岗证</w:t>
            </w:r>
          </w:p>
        </w:tc>
        <w:tc>
          <w:tcPr>
            <w:tcW w:w="6711" w:type="dxa"/>
            <w:tcBorders>
              <w:top w:val="single" w:color="auto" w:sz="4" w:space="0"/>
              <w:left w:val="nil"/>
              <w:bottom w:val="single" w:color="auto" w:sz="4" w:space="0"/>
              <w:right w:val="single" w:color="auto" w:sz="4" w:space="0"/>
            </w:tcBorders>
            <w:noWrap w:val="0"/>
            <w:vAlign w:val="center"/>
          </w:tcPr>
          <w:p w14:paraId="0CBA19EB">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特种作业人员是否取得相应的特种作业操作资格证后上岗；操作证是否经年审或过期；</w:t>
            </w:r>
          </w:p>
        </w:tc>
      </w:tr>
      <w:tr w14:paraId="7D13DCBC">
        <w:tblPrEx>
          <w:tblCellMar>
            <w:top w:w="0" w:type="dxa"/>
            <w:left w:w="108" w:type="dxa"/>
            <w:bottom w:w="0" w:type="dxa"/>
            <w:right w:w="108" w:type="dxa"/>
          </w:tblCellMar>
        </w:tblPrEx>
        <w:trPr>
          <w:trHeight w:val="169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2D641BD0">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7</w:t>
            </w:r>
          </w:p>
        </w:tc>
        <w:tc>
          <w:tcPr>
            <w:tcW w:w="636" w:type="dxa"/>
            <w:vMerge w:val="continue"/>
            <w:tcBorders>
              <w:top w:val="nil"/>
              <w:left w:val="nil"/>
              <w:bottom w:val="single" w:color="auto" w:sz="4" w:space="0"/>
              <w:right w:val="single" w:color="auto" w:sz="4" w:space="0"/>
            </w:tcBorders>
            <w:noWrap w:val="0"/>
            <w:vAlign w:val="center"/>
          </w:tcPr>
          <w:p w14:paraId="774975FA">
            <w:pPr>
              <w:spacing w:line="360" w:lineRule="auto"/>
              <w:rPr>
                <w:rFonts w:hint="eastAsia" w:ascii="仿宋" w:hAnsi="仿宋" w:eastAsia="仿宋" w:cs="仿宋"/>
                <w:b/>
                <w:bCs/>
                <w:color w:val="auto"/>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4B879E55">
            <w:pPr>
              <w:snapToGrid w:val="0"/>
              <w:rPr>
                <w:rFonts w:hint="eastAsia" w:ascii="仿宋" w:hAnsi="仿宋" w:eastAsia="仿宋" w:cs="仿宋"/>
                <w:b/>
                <w:bCs/>
                <w:color w:val="auto"/>
                <w:highlight w:val="none"/>
              </w:rPr>
            </w:pPr>
            <w:r>
              <w:rPr>
                <w:rFonts w:hint="eastAsia" w:ascii="仿宋" w:hAnsi="仿宋" w:eastAsia="仿宋" w:cs="仿宋"/>
                <w:b/>
                <w:bCs/>
                <w:color w:val="auto"/>
                <w:highlight w:val="none"/>
              </w:rPr>
              <w:t>安全专项施工方案</w:t>
            </w:r>
          </w:p>
        </w:tc>
        <w:tc>
          <w:tcPr>
            <w:tcW w:w="6711" w:type="dxa"/>
            <w:tcBorders>
              <w:top w:val="single" w:color="auto" w:sz="4" w:space="0"/>
              <w:left w:val="nil"/>
              <w:bottom w:val="single" w:color="auto" w:sz="4" w:space="0"/>
              <w:right w:val="single" w:color="auto" w:sz="4" w:space="0"/>
            </w:tcBorders>
            <w:noWrap w:val="0"/>
            <w:vAlign w:val="center"/>
          </w:tcPr>
          <w:p w14:paraId="4394DE02">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是否按《危险性较大的分部分项工程安全管理规定》（住建部【2018】37号令）规定对危险性较大的分部分项工程编制安全专项施工方案；是否按规定进行验收；对于超过一定规模的危险性较大的分部分项工程，施工单位是否组织专家论证会；方案是否按规定程序审批；是否按照方案施工；</w:t>
            </w:r>
          </w:p>
        </w:tc>
      </w:tr>
      <w:tr w14:paraId="60621430">
        <w:tblPrEx>
          <w:tblCellMar>
            <w:top w:w="0" w:type="dxa"/>
            <w:left w:w="108" w:type="dxa"/>
            <w:bottom w:w="0" w:type="dxa"/>
            <w:right w:w="108" w:type="dxa"/>
          </w:tblCellMar>
        </w:tblPrEx>
        <w:trPr>
          <w:trHeight w:val="1393"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1F0ACC79">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8</w:t>
            </w:r>
          </w:p>
        </w:tc>
        <w:tc>
          <w:tcPr>
            <w:tcW w:w="636" w:type="dxa"/>
            <w:vMerge w:val="continue"/>
            <w:tcBorders>
              <w:top w:val="nil"/>
              <w:left w:val="nil"/>
              <w:bottom w:val="single" w:color="auto" w:sz="4" w:space="0"/>
              <w:right w:val="single" w:color="auto" w:sz="4" w:space="0"/>
            </w:tcBorders>
            <w:noWrap w:val="0"/>
            <w:vAlign w:val="center"/>
          </w:tcPr>
          <w:p w14:paraId="2626AB57">
            <w:pPr>
              <w:spacing w:line="360" w:lineRule="auto"/>
              <w:rPr>
                <w:rFonts w:hint="eastAsia" w:ascii="仿宋" w:hAnsi="仿宋" w:eastAsia="仿宋" w:cs="仿宋"/>
                <w:b/>
                <w:bCs/>
                <w:color w:val="auto"/>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70FA4B72">
            <w:pPr>
              <w:snapToGrid w:val="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特种设备的检测、检验、维修保养</w:t>
            </w:r>
          </w:p>
        </w:tc>
        <w:tc>
          <w:tcPr>
            <w:tcW w:w="6711" w:type="dxa"/>
            <w:tcBorders>
              <w:top w:val="single" w:color="auto" w:sz="4" w:space="0"/>
              <w:left w:val="nil"/>
              <w:bottom w:val="single" w:color="auto" w:sz="4" w:space="0"/>
              <w:right w:val="single" w:color="auto" w:sz="4" w:space="0"/>
            </w:tcBorders>
            <w:noWrap w:val="0"/>
            <w:vAlign w:val="center"/>
          </w:tcPr>
          <w:p w14:paraId="0B3400ED">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特种设备应经有资质的机构检测检验，并有有效的安全准用证（非标设备为备案登记），有无安全准用证或备案登记证；准用证有无超过有效期；有无维修保养记录，维修保养记录是否完善；</w:t>
            </w:r>
          </w:p>
        </w:tc>
      </w:tr>
      <w:tr w14:paraId="56BFCB0D">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3E2BEF09">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9</w:t>
            </w:r>
          </w:p>
        </w:tc>
        <w:tc>
          <w:tcPr>
            <w:tcW w:w="636" w:type="dxa"/>
            <w:vMerge w:val="continue"/>
            <w:tcBorders>
              <w:top w:val="nil"/>
              <w:left w:val="nil"/>
              <w:bottom w:val="single" w:color="auto" w:sz="4" w:space="0"/>
              <w:right w:val="single" w:color="auto" w:sz="4" w:space="0"/>
            </w:tcBorders>
            <w:noWrap w:val="0"/>
            <w:vAlign w:val="center"/>
          </w:tcPr>
          <w:p w14:paraId="7482015C">
            <w:pPr>
              <w:spacing w:line="360" w:lineRule="auto"/>
              <w:rPr>
                <w:rFonts w:hint="eastAsia" w:ascii="仿宋" w:hAnsi="仿宋" w:eastAsia="仿宋" w:cs="仿宋"/>
                <w:b/>
                <w:bCs/>
                <w:color w:val="auto"/>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19CD0E94">
            <w:pPr>
              <w:snapToGrid w:val="0"/>
              <w:rPr>
                <w:rFonts w:hint="eastAsia" w:ascii="仿宋" w:hAnsi="仿宋" w:eastAsia="仿宋" w:cs="仿宋"/>
                <w:b/>
                <w:bCs/>
                <w:color w:val="auto"/>
                <w:highlight w:val="none"/>
              </w:rPr>
            </w:pPr>
            <w:r>
              <w:rPr>
                <w:rFonts w:hint="eastAsia" w:ascii="仿宋" w:hAnsi="仿宋" w:eastAsia="仿宋" w:cs="仿宋"/>
                <w:b/>
                <w:bCs/>
                <w:color w:val="auto"/>
                <w:highlight w:val="none"/>
              </w:rPr>
              <w:t>安全资料报送</w:t>
            </w:r>
          </w:p>
        </w:tc>
        <w:tc>
          <w:tcPr>
            <w:tcW w:w="6711" w:type="dxa"/>
            <w:tcBorders>
              <w:top w:val="single" w:color="auto" w:sz="4" w:space="0"/>
              <w:left w:val="nil"/>
              <w:bottom w:val="single" w:color="auto" w:sz="4" w:space="0"/>
              <w:right w:val="single" w:color="auto" w:sz="4" w:space="0"/>
            </w:tcBorders>
            <w:noWrap w:val="0"/>
            <w:vAlign w:val="center"/>
          </w:tcPr>
          <w:p w14:paraId="6E9BBF54">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发包人</w:t>
            </w:r>
            <w:r>
              <w:rPr>
                <w:rFonts w:hint="eastAsia" w:ascii="仿宋" w:hAnsi="仿宋" w:eastAsia="仿宋" w:cs="仿宋"/>
                <w:color w:val="auto"/>
                <w:highlight w:val="none"/>
                <w:lang w:eastAsia="zh-CN"/>
              </w:rPr>
              <w:t>要求报送的安全资料是否及时上报；</w:t>
            </w:r>
          </w:p>
        </w:tc>
      </w:tr>
      <w:tr w14:paraId="3D67611D">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2EE8EBBC">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10</w:t>
            </w:r>
          </w:p>
        </w:tc>
        <w:tc>
          <w:tcPr>
            <w:tcW w:w="636" w:type="dxa"/>
            <w:vMerge w:val="restart"/>
            <w:tcBorders>
              <w:top w:val="nil"/>
              <w:left w:val="nil"/>
              <w:right w:val="single" w:color="auto" w:sz="4" w:space="0"/>
            </w:tcBorders>
            <w:noWrap w:val="0"/>
            <w:vAlign w:val="center"/>
          </w:tcPr>
          <w:p w14:paraId="2FAFEABA">
            <w:pPr>
              <w:spacing w:line="360" w:lineRule="auto"/>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文明施工</w:t>
            </w:r>
          </w:p>
        </w:tc>
        <w:tc>
          <w:tcPr>
            <w:tcW w:w="957" w:type="dxa"/>
            <w:tcBorders>
              <w:top w:val="single" w:color="auto" w:sz="4" w:space="0"/>
              <w:left w:val="nil"/>
              <w:bottom w:val="single" w:color="auto" w:sz="4" w:space="0"/>
              <w:right w:val="single" w:color="auto" w:sz="4" w:space="0"/>
            </w:tcBorders>
            <w:noWrap w:val="0"/>
            <w:vAlign w:val="center"/>
          </w:tcPr>
          <w:p w14:paraId="6D59E4C4">
            <w:pPr>
              <w:snapToGrid w:val="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现场</w:t>
            </w:r>
          </w:p>
          <w:p w14:paraId="202A9A8A">
            <w:pPr>
              <w:snapToGrid w:val="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围挡</w:t>
            </w:r>
          </w:p>
        </w:tc>
        <w:tc>
          <w:tcPr>
            <w:tcW w:w="6711" w:type="dxa"/>
            <w:tcBorders>
              <w:top w:val="single" w:color="auto" w:sz="4" w:space="0"/>
              <w:left w:val="nil"/>
              <w:bottom w:val="single" w:color="auto" w:sz="4" w:space="0"/>
              <w:right w:val="single" w:color="auto" w:sz="4" w:space="0"/>
            </w:tcBorders>
            <w:noWrap w:val="0"/>
            <w:vAlign w:val="center"/>
          </w:tcPr>
          <w:p w14:paraId="7C7FEE41">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1、是否按照当地政府要求设置封闭围挡、围墙、喷雾、车辆冲洗设施，设施是否健全并能正常投入使用</w:t>
            </w:r>
          </w:p>
          <w:p w14:paraId="3D3CCB2C">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2、围挡是否坚固、稳定、整洁、美观；围挡是否沿工地四周连续设置。</w:t>
            </w:r>
          </w:p>
        </w:tc>
      </w:tr>
      <w:tr w14:paraId="2EEE832C">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4373DA1A">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11</w:t>
            </w:r>
          </w:p>
        </w:tc>
        <w:tc>
          <w:tcPr>
            <w:tcW w:w="636" w:type="dxa"/>
            <w:vMerge w:val="continue"/>
            <w:tcBorders>
              <w:left w:val="nil"/>
              <w:right w:val="single" w:color="auto" w:sz="4" w:space="0"/>
            </w:tcBorders>
            <w:noWrap w:val="0"/>
            <w:vAlign w:val="center"/>
          </w:tcPr>
          <w:p w14:paraId="5A0D1119">
            <w:pPr>
              <w:spacing w:line="360" w:lineRule="auto"/>
              <w:rPr>
                <w:rFonts w:hint="eastAsia" w:ascii="仿宋" w:hAnsi="仿宋" w:eastAsia="仿宋" w:cs="仿宋"/>
                <w:b/>
                <w:bCs/>
                <w:color w:val="auto"/>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41E84116">
            <w:pPr>
              <w:snapToGrid w:val="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封闭</w:t>
            </w:r>
          </w:p>
          <w:p w14:paraId="2CF34A0F">
            <w:pPr>
              <w:snapToGrid w:val="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管理</w:t>
            </w:r>
          </w:p>
        </w:tc>
        <w:tc>
          <w:tcPr>
            <w:tcW w:w="6711" w:type="dxa"/>
            <w:tcBorders>
              <w:top w:val="single" w:color="auto" w:sz="4" w:space="0"/>
              <w:left w:val="nil"/>
              <w:bottom w:val="single" w:color="auto" w:sz="4" w:space="0"/>
              <w:right w:val="single" w:color="auto" w:sz="4" w:space="0"/>
            </w:tcBorders>
            <w:noWrap w:val="0"/>
            <w:vAlign w:val="center"/>
          </w:tcPr>
          <w:p w14:paraId="54A54E8C">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施工现场进出口是否有大门；有无门卫和门卫制度情况；是否对进场人员实行来访登记及体温检测；进入施工现场有无佩带工作卡；门头有无设置企业标志。</w:t>
            </w:r>
          </w:p>
        </w:tc>
      </w:tr>
      <w:tr w14:paraId="3D3E78E2">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6D6C7B00">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12</w:t>
            </w:r>
          </w:p>
        </w:tc>
        <w:tc>
          <w:tcPr>
            <w:tcW w:w="636" w:type="dxa"/>
            <w:vMerge w:val="continue"/>
            <w:tcBorders>
              <w:left w:val="nil"/>
              <w:right w:val="single" w:color="auto" w:sz="4" w:space="0"/>
            </w:tcBorders>
            <w:noWrap w:val="0"/>
            <w:vAlign w:val="center"/>
          </w:tcPr>
          <w:p w14:paraId="5159ACAD">
            <w:pPr>
              <w:spacing w:line="360" w:lineRule="auto"/>
              <w:rPr>
                <w:rFonts w:hint="eastAsia" w:ascii="仿宋" w:hAnsi="仿宋" w:eastAsia="仿宋" w:cs="仿宋"/>
                <w:b/>
                <w:bCs/>
                <w:color w:val="auto"/>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416ED1D1">
            <w:pPr>
              <w:snapToGrid w:val="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施工</w:t>
            </w:r>
          </w:p>
          <w:p w14:paraId="115E6A0A">
            <w:pPr>
              <w:snapToGrid w:val="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场地</w:t>
            </w:r>
          </w:p>
        </w:tc>
        <w:tc>
          <w:tcPr>
            <w:tcW w:w="6711" w:type="dxa"/>
            <w:tcBorders>
              <w:top w:val="single" w:color="auto" w:sz="4" w:space="0"/>
              <w:left w:val="nil"/>
              <w:bottom w:val="single" w:color="auto" w:sz="4" w:space="0"/>
              <w:right w:val="single" w:color="auto" w:sz="4" w:space="0"/>
            </w:tcBorders>
            <w:noWrap w:val="0"/>
            <w:vAlign w:val="center"/>
          </w:tcPr>
          <w:p w14:paraId="4E77790F">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工地路面是否已做硬化处理；道路是否畅通；是否有排水设施，排水是否通畅；有无防止泥浆、污水及废水外流或堵塞下水道和排水河道措施；工地有无积水；工地是否设置吸烟处、是否有随意吸烟现象；是否对暂不开发的场地进行绿化布置；有无设置并使用洗车槽；建筑垃圾运输车辆是否有超载、无遮盖、未冲洗干净车轮和车身，驶出工地的现象。</w:t>
            </w:r>
          </w:p>
        </w:tc>
      </w:tr>
      <w:tr w14:paraId="27FB127E">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205CCDCD">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13</w:t>
            </w:r>
          </w:p>
        </w:tc>
        <w:tc>
          <w:tcPr>
            <w:tcW w:w="636" w:type="dxa"/>
            <w:vMerge w:val="continue"/>
            <w:tcBorders>
              <w:left w:val="nil"/>
              <w:right w:val="single" w:color="auto" w:sz="4" w:space="0"/>
            </w:tcBorders>
            <w:noWrap w:val="0"/>
            <w:vAlign w:val="center"/>
          </w:tcPr>
          <w:p w14:paraId="2405CED1">
            <w:pPr>
              <w:spacing w:line="360" w:lineRule="auto"/>
              <w:rPr>
                <w:rFonts w:hint="eastAsia" w:ascii="仿宋" w:hAnsi="仿宋" w:eastAsia="仿宋" w:cs="仿宋"/>
                <w:b/>
                <w:bCs/>
                <w:color w:val="auto"/>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6D67AB1A">
            <w:pPr>
              <w:snapToGrid w:val="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材料</w:t>
            </w:r>
          </w:p>
          <w:p w14:paraId="65787333">
            <w:pPr>
              <w:snapToGrid w:val="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堆放</w:t>
            </w:r>
          </w:p>
        </w:tc>
        <w:tc>
          <w:tcPr>
            <w:tcW w:w="6711" w:type="dxa"/>
            <w:tcBorders>
              <w:top w:val="single" w:color="auto" w:sz="4" w:space="0"/>
              <w:left w:val="nil"/>
              <w:bottom w:val="single" w:color="auto" w:sz="4" w:space="0"/>
              <w:right w:val="single" w:color="auto" w:sz="4" w:space="0"/>
            </w:tcBorders>
            <w:noWrap w:val="0"/>
            <w:vAlign w:val="center"/>
          </w:tcPr>
          <w:p w14:paraId="67E1EC15">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建筑材料、构件、料具是否按总平面布局堆放；料堆是否挂名称、品种、规格等标牌；堆放是否整齐；是否做到工完场清；建筑垃圾堆放是否整齐、是否标出名称、品种。</w:t>
            </w:r>
          </w:p>
        </w:tc>
      </w:tr>
      <w:tr w14:paraId="256646D5">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78CC024A">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14</w:t>
            </w:r>
          </w:p>
        </w:tc>
        <w:tc>
          <w:tcPr>
            <w:tcW w:w="636" w:type="dxa"/>
            <w:vMerge w:val="continue"/>
            <w:tcBorders>
              <w:left w:val="nil"/>
              <w:right w:val="single" w:color="auto" w:sz="4" w:space="0"/>
            </w:tcBorders>
            <w:noWrap w:val="0"/>
            <w:vAlign w:val="center"/>
          </w:tcPr>
          <w:p w14:paraId="58BC8E0E">
            <w:pPr>
              <w:spacing w:line="360" w:lineRule="auto"/>
              <w:rPr>
                <w:rFonts w:hint="eastAsia" w:ascii="仿宋" w:hAnsi="仿宋" w:eastAsia="仿宋" w:cs="仿宋"/>
                <w:b/>
                <w:bCs/>
                <w:color w:val="auto"/>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2CCEFB78">
            <w:pPr>
              <w:snapToGrid w:val="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现场</w:t>
            </w:r>
          </w:p>
          <w:p w14:paraId="32A9C6FB">
            <w:pPr>
              <w:snapToGrid w:val="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住宿</w:t>
            </w:r>
          </w:p>
        </w:tc>
        <w:tc>
          <w:tcPr>
            <w:tcW w:w="6711" w:type="dxa"/>
            <w:tcBorders>
              <w:top w:val="single" w:color="auto" w:sz="4" w:space="0"/>
              <w:left w:val="nil"/>
              <w:bottom w:val="single" w:color="auto" w:sz="4" w:space="0"/>
              <w:right w:val="single" w:color="auto" w:sz="4" w:space="0"/>
            </w:tcBorders>
            <w:noWrap w:val="0"/>
            <w:vAlign w:val="center"/>
          </w:tcPr>
          <w:p w14:paraId="6C7F592D">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现场住宿应是否建立宿舍管理制度和值日制度；是否存在在建工程兼作住宿现象；施工作业区与办公、生活区是否能明显划分；宿舍有无消暑和防蚊虫叮咬措施；无床铺、生活用品放置是否整齐；宿舍周围环境是否卫生、安全。</w:t>
            </w:r>
          </w:p>
        </w:tc>
      </w:tr>
      <w:tr w14:paraId="456A00F1">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0BC7B0C7">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15</w:t>
            </w:r>
          </w:p>
        </w:tc>
        <w:tc>
          <w:tcPr>
            <w:tcW w:w="636" w:type="dxa"/>
            <w:vMerge w:val="continue"/>
            <w:tcBorders>
              <w:left w:val="nil"/>
              <w:right w:val="single" w:color="auto" w:sz="4" w:space="0"/>
            </w:tcBorders>
            <w:noWrap w:val="0"/>
            <w:vAlign w:val="center"/>
          </w:tcPr>
          <w:p w14:paraId="5C2E4A57">
            <w:pPr>
              <w:spacing w:line="360" w:lineRule="auto"/>
              <w:rPr>
                <w:rFonts w:hint="eastAsia" w:ascii="仿宋" w:hAnsi="仿宋" w:eastAsia="仿宋" w:cs="仿宋"/>
                <w:b/>
                <w:bCs/>
                <w:color w:val="auto"/>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57FFD9B6">
            <w:pPr>
              <w:snapToGrid w:val="0"/>
              <w:jc w:val="center"/>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现场防火与危险品管理</w:t>
            </w:r>
          </w:p>
        </w:tc>
        <w:tc>
          <w:tcPr>
            <w:tcW w:w="6711" w:type="dxa"/>
            <w:tcBorders>
              <w:top w:val="single" w:color="auto" w:sz="4" w:space="0"/>
              <w:left w:val="nil"/>
              <w:bottom w:val="single" w:color="auto" w:sz="4" w:space="0"/>
              <w:right w:val="single" w:color="auto" w:sz="4" w:space="0"/>
            </w:tcBorders>
            <w:noWrap w:val="0"/>
            <w:vAlign w:val="center"/>
          </w:tcPr>
          <w:p w14:paraId="3EDA0DCD">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有无消防制度、措施及无灭火器材；灭火器材配置是否合理；有无消防水源（高层建筑）或是否满足消防要求；有无动火审批手续和动火监护；</w:t>
            </w:r>
          </w:p>
          <w:p w14:paraId="1BC54CFE">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现场危险化学品、易燃易爆物品有无专门仓库分类存放；是否悬挂警示标；是否在宿舍内煮食或使用大功率电器设备；</w:t>
            </w:r>
          </w:p>
        </w:tc>
      </w:tr>
      <w:tr w14:paraId="3668524F">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06D2F78E">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16</w:t>
            </w:r>
          </w:p>
        </w:tc>
        <w:tc>
          <w:tcPr>
            <w:tcW w:w="636" w:type="dxa"/>
            <w:vMerge w:val="continue"/>
            <w:tcBorders>
              <w:left w:val="nil"/>
              <w:right w:val="single" w:color="auto" w:sz="4" w:space="0"/>
            </w:tcBorders>
            <w:noWrap w:val="0"/>
            <w:vAlign w:val="center"/>
          </w:tcPr>
          <w:p w14:paraId="595DFE49">
            <w:pPr>
              <w:spacing w:line="360" w:lineRule="auto"/>
              <w:rPr>
                <w:rFonts w:hint="eastAsia" w:ascii="仿宋" w:hAnsi="仿宋" w:eastAsia="仿宋" w:cs="仿宋"/>
                <w:b/>
                <w:bCs/>
                <w:color w:val="auto"/>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52AE0093">
            <w:pPr>
              <w:snapToGrid w:val="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治安</w:t>
            </w:r>
          </w:p>
          <w:p w14:paraId="33E859AB">
            <w:pPr>
              <w:snapToGrid w:val="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综合</w:t>
            </w:r>
          </w:p>
          <w:p w14:paraId="74A3D765">
            <w:pPr>
              <w:snapToGrid w:val="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治理</w:t>
            </w:r>
          </w:p>
        </w:tc>
        <w:tc>
          <w:tcPr>
            <w:tcW w:w="6711" w:type="dxa"/>
            <w:tcBorders>
              <w:top w:val="single" w:color="auto" w:sz="4" w:space="0"/>
              <w:left w:val="nil"/>
              <w:bottom w:val="single" w:color="auto" w:sz="4" w:space="0"/>
              <w:right w:val="single" w:color="auto" w:sz="4" w:space="0"/>
            </w:tcBorders>
            <w:noWrap w:val="0"/>
            <w:vAlign w:val="center"/>
          </w:tcPr>
          <w:p w14:paraId="5E748F16">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是否在生活区给工人设置学习和娱乐场所；是否建立治安保卫制度的、责任未分解到人；治安防范措施是否到位，是否常发生失盗事件。</w:t>
            </w:r>
          </w:p>
        </w:tc>
      </w:tr>
      <w:tr w14:paraId="7E8C0966">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281F7662">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17</w:t>
            </w:r>
          </w:p>
        </w:tc>
        <w:tc>
          <w:tcPr>
            <w:tcW w:w="636" w:type="dxa"/>
            <w:vMerge w:val="continue"/>
            <w:tcBorders>
              <w:left w:val="nil"/>
              <w:right w:val="single" w:color="auto" w:sz="4" w:space="0"/>
            </w:tcBorders>
            <w:noWrap w:val="0"/>
            <w:vAlign w:val="center"/>
          </w:tcPr>
          <w:p w14:paraId="7A35370B">
            <w:pPr>
              <w:spacing w:line="360" w:lineRule="auto"/>
              <w:rPr>
                <w:rFonts w:hint="eastAsia" w:ascii="仿宋" w:hAnsi="仿宋" w:eastAsia="仿宋" w:cs="仿宋"/>
                <w:b/>
                <w:bCs/>
                <w:color w:val="auto"/>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179A30A9">
            <w:pPr>
              <w:snapToGrid w:val="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施工</w:t>
            </w:r>
          </w:p>
          <w:p w14:paraId="5356C02A">
            <w:pPr>
              <w:snapToGrid w:val="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现场</w:t>
            </w:r>
          </w:p>
          <w:p w14:paraId="3E801B4C">
            <w:pPr>
              <w:snapToGrid w:val="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标牌</w:t>
            </w:r>
          </w:p>
        </w:tc>
        <w:tc>
          <w:tcPr>
            <w:tcW w:w="6711" w:type="dxa"/>
            <w:tcBorders>
              <w:top w:val="single" w:color="auto" w:sz="4" w:space="0"/>
              <w:left w:val="nil"/>
              <w:bottom w:val="single" w:color="auto" w:sz="4" w:space="0"/>
              <w:right w:val="single" w:color="auto" w:sz="4" w:space="0"/>
            </w:tcBorders>
            <w:noWrap w:val="0"/>
            <w:vAlign w:val="center"/>
          </w:tcPr>
          <w:p w14:paraId="626148F6">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五牌一图内容是否全面；标牌是否规范、整齐；有无安全标语；有无宣传栏、读报栏、黑板报等。</w:t>
            </w:r>
          </w:p>
        </w:tc>
      </w:tr>
      <w:tr w14:paraId="7EEB7DC7">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31B89A3C">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18</w:t>
            </w:r>
          </w:p>
        </w:tc>
        <w:tc>
          <w:tcPr>
            <w:tcW w:w="636" w:type="dxa"/>
            <w:vMerge w:val="continue"/>
            <w:tcBorders>
              <w:left w:val="nil"/>
              <w:right w:val="single" w:color="auto" w:sz="4" w:space="0"/>
            </w:tcBorders>
            <w:noWrap w:val="0"/>
            <w:vAlign w:val="center"/>
          </w:tcPr>
          <w:p w14:paraId="42BCF39B">
            <w:pPr>
              <w:spacing w:line="360" w:lineRule="auto"/>
              <w:rPr>
                <w:rFonts w:hint="eastAsia" w:ascii="仿宋" w:hAnsi="仿宋" w:eastAsia="仿宋" w:cs="仿宋"/>
                <w:b/>
                <w:bCs/>
                <w:color w:val="auto"/>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01220C9A">
            <w:pPr>
              <w:snapToGrid w:val="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生活</w:t>
            </w:r>
          </w:p>
          <w:p w14:paraId="49BF2C2A">
            <w:pPr>
              <w:snapToGrid w:val="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设施</w:t>
            </w:r>
          </w:p>
        </w:tc>
        <w:tc>
          <w:tcPr>
            <w:tcW w:w="6711" w:type="dxa"/>
            <w:tcBorders>
              <w:top w:val="single" w:color="auto" w:sz="4" w:space="0"/>
              <w:left w:val="nil"/>
              <w:bottom w:val="single" w:color="auto" w:sz="4" w:space="0"/>
              <w:right w:val="single" w:color="auto" w:sz="4" w:space="0"/>
            </w:tcBorders>
            <w:noWrap w:val="0"/>
            <w:vAlign w:val="center"/>
          </w:tcPr>
          <w:p w14:paraId="4EA641A2">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厕所是否符合卫生要求；有无厕所、随地大小便；食堂是否符合卫生要求；有无卫生责任制；是否保证供应卫生饮水；有无淋浴室，淋浴室是否符合要求；生活垃圾是否及时清理，装容器，且专人管理。</w:t>
            </w:r>
          </w:p>
        </w:tc>
      </w:tr>
      <w:tr w14:paraId="04A22588">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613259EE">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19</w:t>
            </w:r>
          </w:p>
        </w:tc>
        <w:tc>
          <w:tcPr>
            <w:tcW w:w="636" w:type="dxa"/>
            <w:vMerge w:val="continue"/>
            <w:tcBorders>
              <w:left w:val="nil"/>
              <w:right w:val="single" w:color="auto" w:sz="4" w:space="0"/>
            </w:tcBorders>
            <w:noWrap w:val="0"/>
            <w:vAlign w:val="center"/>
          </w:tcPr>
          <w:p w14:paraId="5F4F6C54">
            <w:pPr>
              <w:spacing w:line="360" w:lineRule="auto"/>
              <w:rPr>
                <w:rFonts w:hint="eastAsia" w:ascii="仿宋" w:hAnsi="仿宋" w:eastAsia="仿宋" w:cs="仿宋"/>
                <w:b/>
                <w:bCs/>
                <w:color w:val="auto"/>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14C3AD80">
            <w:pPr>
              <w:snapToGrid w:val="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保健</w:t>
            </w:r>
          </w:p>
          <w:p w14:paraId="6CBEAEC3">
            <w:pPr>
              <w:snapToGrid w:val="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急救</w:t>
            </w:r>
          </w:p>
        </w:tc>
        <w:tc>
          <w:tcPr>
            <w:tcW w:w="6711" w:type="dxa"/>
            <w:tcBorders>
              <w:top w:val="single" w:color="auto" w:sz="4" w:space="0"/>
              <w:left w:val="nil"/>
              <w:bottom w:val="single" w:color="auto" w:sz="4" w:space="0"/>
              <w:right w:val="single" w:color="auto" w:sz="4" w:space="0"/>
            </w:tcBorders>
            <w:noWrap w:val="0"/>
            <w:vAlign w:val="center"/>
          </w:tcPr>
          <w:p w14:paraId="528BD687">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有无保健医药箱；有无储备充足防疫物资；有无急救措施和急救器材；是否开展卫生防病宣传教育；</w:t>
            </w:r>
          </w:p>
        </w:tc>
      </w:tr>
      <w:tr w14:paraId="2BEF8D49">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0118F3F5">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20</w:t>
            </w:r>
          </w:p>
        </w:tc>
        <w:tc>
          <w:tcPr>
            <w:tcW w:w="636" w:type="dxa"/>
            <w:vMerge w:val="continue"/>
            <w:tcBorders>
              <w:left w:val="nil"/>
              <w:right w:val="single" w:color="auto" w:sz="4" w:space="0"/>
            </w:tcBorders>
            <w:noWrap w:val="0"/>
            <w:vAlign w:val="center"/>
          </w:tcPr>
          <w:p w14:paraId="1785622B">
            <w:pPr>
              <w:spacing w:line="360" w:lineRule="auto"/>
              <w:rPr>
                <w:rFonts w:hint="eastAsia" w:ascii="仿宋" w:hAnsi="仿宋" w:eastAsia="仿宋" w:cs="仿宋"/>
                <w:b/>
                <w:bCs/>
                <w:color w:val="auto"/>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0A5C1012">
            <w:pPr>
              <w:snapToGrid w:val="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社区</w:t>
            </w:r>
          </w:p>
          <w:p w14:paraId="1315CC17">
            <w:pPr>
              <w:snapToGrid w:val="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服务</w:t>
            </w:r>
          </w:p>
        </w:tc>
        <w:tc>
          <w:tcPr>
            <w:tcW w:w="6711" w:type="dxa"/>
            <w:tcBorders>
              <w:top w:val="single" w:color="auto" w:sz="4" w:space="0"/>
              <w:left w:val="nil"/>
              <w:bottom w:val="single" w:color="auto" w:sz="4" w:space="0"/>
              <w:right w:val="single" w:color="auto" w:sz="4" w:space="0"/>
            </w:tcBorders>
            <w:noWrap w:val="0"/>
            <w:vAlign w:val="center"/>
          </w:tcPr>
          <w:p w14:paraId="0C1DA03A">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有无防尘粉和防噪音措施；夜间是否经许可施工；现场有无焚烧有毒、有害物质。</w:t>
            </w:r>
          </w:p>
        </w:tc>
      </w:tr>
      <w:tr w14:paraId="131B45B7">
        <w:tblPrEx>
          <w:tblCellMar>
            <w:top w:w="0" w:type="dxa"/>
            <w:left w:w="108" w:type="dxa"/>
            <w:bottom w:w="0" w:type="dxa"/>
            <w:right w:w="108" w:type="dxa"/>
          </w:tblCellMar>
        </w:tblPrEx>
        <w:trPr>
          <w:trHeight w:val="762"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12912481">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21</w:t>
            </w:r>
          </w:p>
        </w:tc>
        <w:tc>
          <w:tcPr>
            <w:tcW w:w="636" w:type="dxa"/>
            <w:vMerge w:val="restart"/>
            <w:tcBorders>
              <w:top w:val="nil"/>
              <w:left w:val="nil"/>
              <w:bottom w:val="single" w:color="auto" w:sz="4" w:space="0"/>
              <w:right w:val="single" w:color="auto" w:sz="4" w:space="0"/>
            </w:tcBorders>
            <w:noWrap w:val="0"/>
            <w:vAlign w:val="center"/>
          </w:tcPr>
          <w:p w14:paraId="11F26CC5">
            <w:pPr>
              <w:spacing w:line="360" w:lineRule="auto"/>
              <w:ind w:left="113" w:right="113"/>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现场管理</w:t>
            </w:r>
          </w:p>
        </w:tc>
        <w:tc>
          <w:tcPr>
            <w:tcW w:w="957" w:type="dxa"/>
            <w:tcBorders>
              <w:top w:val="single" w:color="auto" w:sz="4" w:space="0"/>
              <w:left w:val="nil"/>
              <w:bottom w:val="single" w:color="auto" w:sz="4" w:space="0"/>
              <w:right w:val="single" w:color="auto" w:sz="4" w:space="0"/>
            </w:tcBorders>
            <w:noWrap w:val="0"/>
            <w:vAlign w:val="center"/>
          </w:tcPr>
          <w:p w14:paraId="6E0A605F">
            <w:pPr>
              <w:snapToGrid w:val="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现场安全施工</w:t>
            </w:r>
          </w:p>
        </w:tc>
        <w:tc>
          <w:tcPr>
            <w:tcW w:w="6711" w:type="dxa"/>
            <w:tcBorders>
              <w:top w:val="single" w:color="auto" w:sz="4" w:space="0"/>
              <w:left w:val="nil"/>
              <w:bottom w:val="single" w:color="auto" w:sz="4" w:space="0"/>
              <w:right w:val="single" w:color="auto" w:sz="4" w:space="0"/>
            </w:tcBorders>
            <w:noWrap w:val="0"/>
            <w:vAlign w:val="center"/>
          </w:tcPr>
          <w:p w14:paraId="604B4DA0">
            <w:pPr>
              <w:adjustRightInd w:val="0"/>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安全生产现场检查内容以《建筑施工安全检查标准》（JGJ59-2011）附表为主，同时参照国家、行业强制性标准及本协议所规定的推荐性标准。</w:t>
            </w:r>
          </w:p>
        </w:tc>
      </w:tr>
      <w:tr w14:paraId="1377A710">
        <w:tblPrEx>
          <w:tblCellMar>
            <w:top w:w="0" w:type="dxa"/>
            <w:left w:w="108" w:type="dxa"/>
            <w:bottom w:w="0" w:type="dxa"/>
            <w:right w:w="108" w:type="dxa"/>
          </w:tblCellMar>
        </w:tblPrEx>
        <w:trPr>
          <w:trHeight w:val="46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2DAA520C">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22</w:t>
            </w:r>
          </w:p>
        </w:tc>
        <w:tc>
          <w:tcPr>
            <w:tcW w:w="636" w:type="dxa"/>
            <w:vMerge w:val="continue"/>
            <w:tcBorders>
              <w:top w:val="nil"/>
              <w:left w:val="nil"/>
              <w:bottom w:val="single" w:color="auto" w:sz="4" w:space="0"/>
              <w:right w:val="single" w:color="auto" w:sz="4" w:space="0"/>
            </w:tcBorders>
            <w:noWrap w:val="0"/>
            <w:vAlign w:val="center"/>
          </w:tcPr>
          <w:p w14:paraId="1021CC68">
            <w:pPr>
              <w:spacing w:line="360" w:lineRule="auto"/>
              <w:rPr>
                <w:rFonts w:hint="eastAsia" w:ascii="仿宋" w:hAnsi="仿宋" w:eastAsia="仿宋" w:cs="仿宋"/>
                <w:b/>
                <w:bCs/>
                <w:color w:val="auto"/>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2EA941A9">
            <w:pPr>
              <w:snapToGrid w:val="0"/>
              <w:jc w:val="center"/>
              <w:rPr>
                <w:rFonts w:hint="eastAsia" w:ascii="仿宋" w:hAnsi="仿宋" w:eastAsia="仿宋" w:cs="仿宋"/>
                <w:color w:val="auto"/>
                <w:highlight w:val="none"/>
              </w:rPr>
            </w:pPr>
            <w:r>
              <w:rPr>
                <w:rFonts w:hint="eastAsia" w:ascii="仿宋" w:hAnsi="仿宋" w:eastAsia="仿宋" w:cs="仿宋"/>
                <w:b/>
                <w:bCs/>
                <w:color w:val="auto"/>
                <w:highlight w:val="none"/>
              </w:rPr>
              <w:t>文明施工</w:t>
            </w:r>
          </w:p>
        </w:tc>
        <w:tc>
          <w:tcPr>
            <w:tcW w:w="6711" w:type="dxa"/>
            <w:tcBorders>
              <w:top w:val="single" w:color="auto" w:sz="4" w:space="0"/>
              <w:left w:val="nil"/>
              <w:bottom w:val="single" w:color="auto" w:sz="4" w:space="0"/>
              <w:right w:val="single" w:color="auto" w:sz="4" w:space="0"/>
            </w:tcBorders>
            <w:noWrap w:val="0"/>
            <w:vAlign w:val="center"/>
          </w:tcPr>
          <w:p w14:paraId="00D95AD8">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文明施工现场检查内容详见《文明施工检查标准》；</w:t>
            </w:r>
          </w:p>
        </w:tc>
      </w:tr>
      <w:tr w14:paraId="634B22DB">
        <w:tblPrEx>
          <w:tblCellMar>
            <w:top w:w="0" w:type="dxa"/>
            <w:left w:w="108" w:type="dxa"/>
            <w:bottom w:w="0" w:type="dxa"/>
            <w:right w:w="108" w:type="dxa"/>
          </w:tblCellMar>
        </w:tblPrEx>
        <w:trPr>
          <w:trHeight w:val="61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2D08FCD5">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23</w:t>
            </w:r>
          </w:p>
        </w:tc>
        <w:tc>
          <w:tcPr>
            <w:tcW w:w="636" w:type="dxa"/>
            <w:vMerge w:val="continue"/>
            <w:tcBorders>
              <w:top w:val="nil"/>
              <w:left w:val="nil"/>
              <w:bottom w:val="single" w:color="auto" w:sz="4" w:space="0"/>
              <w:right w:val="single" w:color="auto" w:sz="4" w:space="0"/>
            </w:tcBorders>
            <w:noWrap w:val="0"/>
            <w:vAlign w:val="center"/>
          </w:tcPr>
          <w:p w14:paraId="346891CE">
            <w:pPr>
              <w:spacing w:line="360" w:lineRule="auto"/>
              <w:rPr>
                <w:rFonts w:hint="eastAsia" w:ascii="仿宋" w:hAnsi="仿宋" w:eastAsia="仿宋" w:cs="仿宋"/>
                <w:b/>
                <w:bCs/>
                <w:color w:val="auto"/>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7DB1780D">
            <w:pPr>
              <w:snapToGrid w:val="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信息</w:t>
            </w:r>
          </w:p>
          <w:p w14:paraId="1E498540">
            <w:pPr>
              <w:snapToGrid w:val="0"/>
              <w:jc w:val="center"/>
              <w:rPr>
                <w:rFonts w:hint="eastAsia" w:ascii="仿宋" w:hAnsi="仿宋" w:eastAsia="仿宋" w:cs="仿宋"/>
                <w:color w:val="auto"/>
                <w:highlight w:val="none"/>
              </w:rPr>
            </w:pPr>
            <w:r>
              <w:rPr>
                <w:rFonts w:hint="eastAsia" w:ascii="仿宋" w:hAnsi="仿宋" w:eastAsia="仿宋" w:cs="仿宋"/>
                <w:b/>
                <w:bCs/>
                <w:color w:val="auto"/>
                <w:highlight w:val="none"/>
              </w:rPr>
              <w:t>管理</w:t>
            </w:r>
          </w:p>
        </w:tc>
        <w:tc>
          <w:tcPr>
            <w:tcW w:w="6711" w:type="dxa"/>
            <w:tcBorders>
              <w:top w:val="single" w:color="auto" w:sz="4" w:space="0"/>
              <w:left w:val="nil"/>
              <w:bottom w:val="single" w:color="auto" w:sz="4" w:space="0"/>
              <w:right w:val="single" w:color="auto" w:sz="4" w:space="0"/>
            </w:tcBorders>
            <w:noWrap w:val="0"/>
            <w:vAlign w:val="center"/>
          </w:tcPr>
          <w:p w14:paraId="2857856C">
            <w:pPr>
              <w:snapToGrid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有无发生施工单位迟报、漏报事故、事件；有无发生瞒报事故、事件。</w:t>
            </w:r>
          </w:p>
        </w:tc>
      </w:tr>
    </w:tbl>
    <w:p w14:paraId="09894B68">
      <w:pPr>
        <w:spacing w:line="360" w:lineRule="auto"/>
        <w:rPr>
          <w:rFonts w:hint="eastAsia" w:ascii="仿宋" w:hAnsi="仿宋" w:eastAsia="仿宋" w:cs="仿宋"/>
          <w:color w:val="auto"/>
          <w:highlight w:val="none"/>
          <w:lang w:eastAsia="zh-CN"/>
        </w:rPr>
      </w:pPr>
    </w:p>
    <w:p w14:paraId="7CF1BDC6">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br w:type="page"/>
      </w:r>
      <w:r>
        <w:rPr>
          <w:rFonts w:hint="eastAsia" w:ascii="仿宋" w:hAnsi="仿宋" w:eastAsia="仿宋" w:cs="仿宋"/>
          <w:color w:val="auto"/>
          <w:highlight w:val="none"/>
          <w:lang w:eastAsia="zh-CN"/>
        </w:rPr>
        <w:t xml:space="preserve"> 附件3-1：</w:t>
      </w:r>
    </w:p>
    <w:p w14:paraId="3D9C398F">
      <w:pPr>
        <w:wordWrap w:val="0"/>
        <w:spacing w:line="360" w:lineRule="auto"/>
        <w:jc w:val="right"/>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编号：    </w:t>
      </w:r>
    </w:p>
    <w:p w14:paraId="45D1C0D4">
      <w:pPr>
        <w:spacing w:line="360"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安全文明整改通知书</w:t>
      </w:r>
    </w:p>
    <w:p w14:paraId="1454809B">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工程名称：</w:t>
      </w:r>
    </w:p>
    <w:p w14:paraId="64804165">
      <w:pPr>
        <w:spacing w:line="360" w:lineRule="auto"/>
        <w:ind w:left="590" w:leftChars="1" w:hanging="588" w:hangingChars="24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责任部门：</w:t>
      </w:r>
    </w:p>
    <w:p w14:paraId="7A3623C4">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你单位负责的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项目，经公司检查组于   年  月  日检查，存在以下安全文明问题：</w:t>
      </w:r>
    </w:p>
    <w:p w14:paraId="12553C92">
      <w:pPr>
        <w:spacing w:line="360" w:lineRule="auto"/>
        <w:ind w:firstLine="480" w:firstLineChars="200"/>
        <w:rPr>
          <w:rFonts w:hint="eastAsia" w:ascii="仿宋" w:hAnsi="仿宋" w:eastAsia="仿宋" w:cs="仿宋"/>
          <w:color w:val="auto"/>
          <w:highlight w:val="none"/>
          <w:lang w:eastAsia="zh-CN"/>
        </w:rPr>
      </w:pPr>
    </w:p>
    <w:p w14:paraId="2636F0FB">
      <w:pPr>
        <w:spacing w:line="360" w:lineRule="auto"/>
        <w:ind w:firstLine="480" w:firstLineChars="200"/>
        <w:rPr>
          <w:rFonts w:hint="eastAsia" w:ascii="仿宋" w:hAnsi="仿宋" w:eastAsia="仿宋" w:cs="仿宋"/>
          <w:color w:val="auto"/>
          <w:highlight w:val="none"/>
          <w:lang w:eastAsia="zh-CN"/>
        </w:rPr>
      </w:pPr>
    </w:p>
    <w:p w14:paraId="4993D840">
      <w:pPr>
        <w:spacing w:line="360" w:lineRule="auto"/>
        <w:ind w:firstLine="480" w:firstLineChars="200"/>
        <w:rPr>
          <w:rFonts w:hint="eastAsia" w:ascii="仿宋" w:hAnsi="仿宋" w:eastAsia="仿宋" w:cs="仿宋"/>
          <w:color w:val="auto"/>
          <w:highlight w:val="none"/>
          <w:u w:val="single"/>
          <w:lang w:eastAsia="zh-CN"/>
        </w:rPr>
      </w:pPr>
    </w:p>
    <w:p w14:paraId="6888269E">
      <w:pPr>
        <w:spacing w:line="360" w:lineRule="auto"/>
        <w:ind w:firstLine="480" w:firstLineChars="200"/>
        <w:rPr>
          <w:rFonts w:hint="eastAsia" w:ascii="仿宋" w:hAnsi="仿宋" w:eastAsia="仿宋" w:cs="仿宋"/>
          <w:color w:val="auto"/>
          <w:highlight w:val="none"/>
          <w:u w:val="single"/>
          <w:lang w:eastAsia="zh-CN"/>
        </w:rPr>
      </w:pPr>
    </w:p>
    <w:p w14:paraId="6A271243">
      <w:pPr>
        <w:spacing w:line="360" w:lineRule="auto"/>
        <w:ind w:firstLine="480" w:firstLineChars="200"/>
        <w:rPr>
          <w:rFonts w:hint="eastAsia" w:ascii="仿宋" w:hAnsi="仿宋" w:eastAsia="仿宋" w:cs="仿宋"/>
          <w:color w:val="auto"/>
          <w:highlight w:val="none"/>
          <w:u w:val="single"/>
          <w:lang w:eastAsia="zh-CN"/>
        </w:rPr>
      </w:pPr>
    </w:p>
    <w:p w14:paraId="75D08E96">
      <w:pPr>
        <w:spacing w:line="360" w:lineRule="auto"/>
        <w:ind w:firstLine="480" w:firstLineChars="200"/>
        <w:rPr>
          <w:rFonts w:hint="eastAsia" w:ascii="仿宋" w:hAnsi="仿宋" w:eastAsia="仿宋" w:cs="仿宋"/>
          <w:color w:val="auto"/>
          <w:highlight w:val="none"/>
          <w:u w:val="single"/>
          <w:lang w:eastAsia="zh-CN"/>
        </w:rPr>
      </w:pPr>
    </w:p>
    <w:p w14:paraId="608E1924">
      <w:pPr>
        <w:spacing w:line="360" w:lineRule="auto"/>
        <w:ind w:firstLine="480" w:firstLineChars="200"/>
        <w:rPr>
          <w:rFonts w:hint="eastAsia" w:ascii="仿宋" w:hAnsi="仿宋" w:eastAsia="仿宋" w:cs="仿宋"/>
          <w:color w:val="auto"/>
          <w:highlight w:val="none"/>
          <w:lang w:eastAsia="zh-CN"/>
        </w:rPr>
      </w:pPr>
    </w:p>
    <w:p w14:paraId="76D79497">
      <w:pPr>
        <w:autoSpaceDE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上述条安全文明问题限于  年  月  日前整改完毕，并将整改结果书面报告（甲方）签发单位。</w:t>
      </w:r>
    </w:p>
    <w:p w14:paraId="2EBD82EA">
      <w:pPr>
        <w:spacing w:line="360" w:lineRule="auto"/>
        <w:rPr>
          <w:rFonts w:hint="eastAsia" w:ascii="仿宋" w:hAnsi="仿宋" w:eastAsia="仿宋" w:cs="仿宋"/>
          <w:color w:val="auto"/>
          <w:highlight w:val="none"/>
          <w:lang w:eastAsia="zh-CN"/>
        </w:rPr>
      </w:pPr>
    </w:p>
    <w:p w14:paraId="39A47027">
      <w:pPr>
        <w:spacing w:line="360" w:lineRule="auto"/>
        <w:rPr>
          <w:rFonts w:hint="eastAsia" w:ascii="仿宋" w:hAnsi="仿宋" w:eastAsia="仿宋" w:cs="仿宋"/>
          <w:color w:val="auto"/>
          <w:highlight w:val="none"/>
          <w:lang w:eastAsia="zh-CN"/>
        </w:rPr>
      </w:pPr>
    </w:p>
    <w:p w14:paraId="696C61C9">
      <w:p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检查人员：                            签发单位：</w:t>
      </w:r>
    </w:p>
    <w:p w14:paraId="22669934">
      <w:pPr>
        <w:spacing w:line="360" w:lineRule="auto"/>
        <w:jc w:val="right"/>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年  月  日</w:t>
      </w:r>
    </w:p>
    <w:p w14:paraId="221A38F5">
      <w:pPr>
        <w:spacing w:line="360" w:lineRule="auto"/>
        <w:rPr>
          <w:rFonts w:hint="eastAsia" w:ascii="仿宋" w:hAnsi="仿宋" w:eastAsia="仿宋" w:cs="仿宋"/>
          <w:color w:val="auto"/>
          <w:highlight w:val="none"/>
          <w:u w:val="single"/>
          <w:lang w:eastAsia="zh-CN"/>
        </w:rPr>
      </w:pPr>
    </w:p>
    <w:p w14:paraId="20369D64">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注：本通知一式三联：一联（甲方签发单位自存），二联（甲方责任业务部门），三联（责任单位）。本通知书由甲方责任业务部门（公司）督促整改，并书面回复签发部门。</w:t>
      </w:r>
    </w:p>
    <w:p w14:paraId="31A1434C">
      <w:pPr>
        <w:spacing w:line="360" w:lineRule="auto"/>
        <w:rPr>
          <w:rFonts w:hint="eastAsia" w:ascii="仿宋" w:hAnsi="仿宋" w:eastAsia="仿宋" w:cs="仿宋"/>
          <w:b/>
          <w:bCs/>
          <w:color w:val="auto"/>
          <w:highlight w:val="none"/>
          <w:lang w:eastAsia="zh-CN"/>
        </w:rPr>
      </w:pPr>
    </w:p>
    <w:p w14:paraId="6FC90FF5">
      <w:pPr>
        <w:spacing w:line="360" w:lineRule="auto"/>
        <w:rPr>
          <w:rFonts w:hint="eastAsia" w:ascii="仿宋" w:hAnsi="仿宋" w:eastAsia="仿宋" w:cs="仿宋"/>
          <w:color w:val="auto"/>
          <w:highlight w:val="none"/>
          <w:lang w:eastAsia="zh-CN"/>
        </w:rPr>
      </w:pPr>
    </w:p>
    <w:p w14:paraId="57C3C9BF">
      <w:pPr>
        <w:spacing w:line="360" w:lineRule="auto"/>
        <w:rPr>
          <w:rFonts w:hint="eastAsia" w:ascii="仿宋" w:hAnsi="仿宋" w:eastAsia="仿宋" w:cs="仿宋"/>
          <w:b/>
          <w:bCs/>
          <w:color w:val="auto"/>
          <w:highlight w:val="none"/>
          <w:lang w:eastAsia="zh-CN"/>
        </w:rPr>
      </w:pPr>
    </w:p>
    <w:p w14:paraId="7B589C67">
      <w:pPr>
        <w:spacing w:line="360" w:lineRule="auto"/>
        <w:rPr>
          <w:rFonts w:hint="eastAsia" w:ascii="仿宋" w:hAnsi="仿宋" w:eastAsia="仿宋" w:cs="仿宋"/>
          <w:color w:val="auto"/>
          <w:highlight w:val="none"/>
          <w:lang w:eastAsia="zh-CN"/>
        </w:rPr>
      </w:pPr>
    </w:p>
    <w:p w14:paraId="316A8B08">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br w:type="page"/>
      </w:r>
    </w:p>
    <w:p w14:paraId="18821F11">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附件3-2：</w:t>
      </w:r>
    </w:p>
    <w:p w14:paraId="154B722C">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项目（场所）名称：</w:t>
      </w:r>
    </w:p>
    <w:p w14:paraId="306A26C1">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由：（签发部门）</w:t>
      </w:r>
    </w:p>
    <w:p w14:paraId="0670D896">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至：（责任部门/公司）</w:t>
      </w:r>
    </w:p>
    <w:p w14:paraId="387737C1">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编号：</w:t>
      </w:r>
    </w:p>
    <w:p w14:paraId="5A4A6109">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检查日期：   年  月  日</w:t>
      </w:r>
    </w:p>
    <w:p w14:paraId="22E27F0C">
      <w:pPr>
        <w:spacing w:line="360" w:lineRule="auto"/>
        <w:rPr>
          <w:rFonts w:hint="eastAsia" w:ascii="仿宋" w:hAnsi="仿宋" w:eastAsia="仿宋" w:cs="仿宋"/>
          <w:color w:val="auto"/>
          <w:highlight w:val="none"/>
          <w:lang w:eastAsia="zh-CN"/>
        </w:rPr>
      </w:pPr>
    </w:p>
    <w:p w14:paraId="196876A6">
      <w:pPr>
        <w:spacing w:line="360" w:lineRule="auto"/>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安全检查记录</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119"/>
        <w:gridCol w:w="4473"/>
      </w:tblGrid>
      <w:tr w14:paraId="2E3E0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noWrap w:val="0"/>
            <w:vAlign w:val="center"/>
          </w:tcPr>
          <w:p w14:paraId="5F4F7216">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序号</w:t>
            </w:r>
          </w:p>
        </w:tc>
        <w:tc>
          <w:tcPr>
            <w:tcW w:w="3119" w:type="dxa"/>
            <w:noWrap w:val="0"/>
            <w:vAlign w:val="center"/>
          </w:tcPr>
          <w:p w14:paraId="4F42D7B5">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隐患描述</w:t>
            </w:r>
          </w:p>
        </w:tc>
        <w:tc>
          <w:tcPr>
            <w:tcW w:w="4473" w:type="dxa"/>
            <w:noWrap w:val="0"/>
            <w:vAlign w:val="center"/>
          </w:tcPr>
          <w:p w14:paraId="19930FF2">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照片</w:t>
            </w:r>
          </w:p>
        </w:tc>
      </w:tr>
      <w:tr w14:paraId="451B3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704" w:type="dxa"/>
            <w:noWrap w:val="0"/>
            <w:vAlign w:val="center"/>
          </w:tcPr>
          <w:p w14:paraId="3A7C0C7B">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3119" w:type="dxa"/>
            <w:noWrap w:val="0"/>
            <w:vAlign w:val="center"/>
          </w:tcPr>
          <w:p w14:paraId="61F2D4D9">
            <w:pPr>
              <w:spacing w:line="360" w:lineRule="auto"/>
              <w:jc w:val="center"/>
              <w:rPr>
                <w:rFonts w:hint="eastAsia" w:ascii="仿宋" w:hAnsi="仿宋" w:eastAsia="仿宋" w:cs="仿宋"/>
                <w:color w:val="auto"/>
                <w:highlight w:val="none"/>
              </w:rPr>
            </w:pPr>
          </w:p>
        </w:tc>
        <w:tc>
          <w:tcPr>
            <w:tcW w:w="4473" w:type="dxa"/>
            <w:noWrap w:val="0"/>
            <w:vAlign w:val="center"/>
          </w:tcPr>
          <w:p w14:paraId="11D18530">
            <w:pPr>
              <w:spacing w:line="360" w:lineRule="auto"/>
              <w:jc w:val="center"/>
              <w:rPr>
                <w:rFonts w:hint="eastAsia" w:ascii="仿宋" w:hAnsi="仿宋" w:eastAsia="仿宋" w:cs="仿宋"/>
                <w:color w:val="auto"/>
                <w:highlight w:val="none"/>
              </w:rPr>
            </w:pPr>
          </w:p>
        </w:tc>
      </w:tr>
      <w:tr w14:paraId="1CB5A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704" w:type="dxa"/>
            <w:noWrap w:val="0"/>
            <w:vAlign w:val="center"/>
          </w:tcPr>
          <w:p w14:paraId="4E19BC8C">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2</w:t>
            </w:r>
          </w:p>
        </w:tc>
        <w:tc>
          <w:tcPr>
            <w:tcW w:w="3119" w:type="dxa"/>
            <w:noWrap w:val="0"/>
            <w:vAlign w:val="center"/>
          </w:tcPr>
          <w:p w14:paraId="59062191">
            <w:pPr>
              <w:spacing w:line="360" w:lineRule="auto"/>
              <w:jc w:val="center"/>
              <w:rPr>
                <w:rFonts w:hint="eastAsia" w:ascii="仿宋" w:hAnsi="仿宋" w:eastAsia="仿宋" w:cs="仿宋"/>
                <w:color w:val="auto"/>
                <w:highlight w:val="none"/>
              </w:rPr>
            </w:pPr>
          </w:p>
        </w:tc>
        <w:tc>
          <w:tcPr>
            <w:tcW w:w="4473" w:type="dxa"/>
            <w:noWrap w:val="0"/>
            <w:vAlign w:val="center"/>
          </w:tcPr>
          <w:p w14:paraId="359CEF84">
            <w:pPr>
              <w:spacing w:line="360" w:lineRule="auto"/>
              <w:jc w:val="center"/>
              <w:rPr>
                <w:rFonts w:hint="eastAsia" w:ascii="仿宋" w:hAnsi="仿宋" w:eastAsia="仿宋" w:cs="仿宋"/>
                <w:color w:val="auto"/>
                <w:highlight w:val="none"/>
              </w:rPr>
            </w:pPr>
          </w:p>
        </w:tc>
      </w:tr>
      <w:tr w14:paraId="6E7C9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704" w:type="dxa"/>
            <w:noWrap w:val="0"/>
            <w:vAlign w:val="center"/>
          </w:tcPr>
          <w:p w14:paraId="619F3757">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3</w:t>
            </w:r>
          </w:p>
        </w:tc>
        <w:tc>
          <w:tcPr>
            <w:tcW w:w="3119" w:type="dxa"/>
            <w:noWrap w:val="0"/>
            <w:vAlign w:val="center"/>
          </w:tcPr>
          <w:p w14:paraId="50B71A2F">
            <w:pPr>
              <w:spacing w:line="360" w:lineRule="auto"/>
              <w:jc w:val="center"/>
              <w:rPr>
                <w:rFonts w:hint="eastAsia" w:ascii="仿宋" w:hAnsi="仿宋" w:eastAsia="仿宋" w:cs="仿宋"/>
                <w:color w:val="auto"/>
                <w:highlight w:val="none"/>
              </w:rPr>
            </w:pPr>
          </w:p>
        </w:tc>
        <w:tc>
          <w:tcPr>
            <w:tcW w:w="4473" w:type="dxa"/>
            <w:noWrap w:val="0"/>
            <w:vAlign w:val="center"/>
          </w:tcPr>
          <w:p w14:paraId="1FD499AB">
            <w:pPr>
              <w:spacing w:line="360" w:lineRule="auto"/>
              <w:jc w:val="center"/>
              <w:rPr>
                <w:rFonts w:hint="eastAsia" w:ascii="仿宋" w:hAnsi="仿宋" w:eastAsia="仿宋" w:cs="仿宋"/>
                <w:color w:val="auto"/>
                <w:highlight w:val="none"/>
              </w:rPr>
            </w:pPr>
          </w:p>
        </w:tc>
      </w:tr>
      <w:tr w14:paraId="5A50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704" w:type="dxa"/>
            <w:noWrap w:val="0"/>
            <w:vAlign w:val="center"/>
          </w:tcPr>
          <w:p w14:paraId="7A4FC1D9">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4</w:t>
            </w:r>
          </w:p>
        </w:tc>
        <w:tc>
          <w:tcPr>
            <w:tcW w:w="3119" w:type="dxa"/>
            <w:noWrap w:val="0"/>
            <w:vAlign w:val="center"/>
          </w:tcPr>
          <w:p w14:paraId="0B6E1DA9">
            <w:pPr>
              <w:spacing w:line="360" w:lineRule="auto"/>
              <w:jc w:val="center"/>
              <w:rPr>
                <w:rFonts w:hint="eastAsia" w:ascii="仿宋" w:hAnsi="仿宋" w:eastAsia="仿宋" w:cs="仿宋"/>
                <w:color w:val="auto"/>
                <w:highlight w:val="none"/>
              </w:rPr>
            </w:pPr>
          </w:p>
        </w:tc>
        <w:tc>
          <w:tcPr>
            <w:tcW w:w="4473" w:type="dxa"/>
            <w:noWrap w:val="0"/>
            <w:vAlign w:val="center"/>
          </w:tcPr>
          <w:p w14:paraId="6AC10D7A">
            <w:pPr>
              <w:spacing w:line="360" w:lineRule="auto"/>
              <w:jc w:val="center"/>
              <w:rPr>
                <w:rFonts w:hint="eastAsia" w:ascii="仿宋" w:hAnsi="仿宋" w:eastAsia="仿宋" w:cs="仿宋"/>
                <w:color w:val="auto"/>
                <w:highlight w:val="none"/>
              </w:rPr>
            </w:pPr>
          </w:p>
        </w:tc>
      </w:tr>
    </w:tbl>
    <w:p w14:paraId="4071895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现要求你单位在</w:t>
      </w:r>
      <w:r>
        <w:rPr>
          <w:rFonts w:hint="eastAsia" w:ascii="仿宋" w:hAnsi="仿宋" w:eastAsia="仿宋" w:cs="仿宋"/>
          <w:color w:val="auto"/>
          <w:highlight w:val="none"/>
          <w:u w:val="single"/>
          <w:lang w:eastAsia="zh-CN"/>
        </w:rPr>
        <w:t xml:space="preserve">    年  月  日</w:t>
      </w:r>
      <w:r>
        <w:rPr>
          <w:rFonts w:hint="eastAsia" w:ascii="仿宋" w:hAnsi="仿宋" w:eastAsia="仿宋" w:cs="仿宋"/>
          <w:color w:val="auto"/>
          <w:highlight w:val="none"/>
          <w:lang w:eastAsia="zh-CN"/>
        </w:rPr>
        <w:t>前完成上述隐患的整改，并将有关整改情况按《安全检查制度》要求回复至签发部门。</w:t>
      </w:r>
    </w:p>
    <w:p w14:paraId="52FA2197">
      <w:pPr>
        <w:spacing w:before="240" w:beforeLines="100"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检查人：</w:t>
      </w:r>
    </w:p>
    <w:p w14:paraId="377844A9">
      <w:pPr>
        <w:spacing w:before="240" w:beforeLines="100" w:line="360" w:lineRule="auto"/>
        <w:rPr>
          <w:rFonts w:hint="eastAsia" w:ascii="仿宋" w:hAnsi="仿宋" w:eastAsia="仿宋" w:cs="仿宋"/>
          <w:color w:val="auto"/>
          <w:highlight w:val="none"/>
          <w:lang w:eastAsia="zh-CN"/>
        </w:rPr>
      </w:pPr>
    </w:p>
    <w:p w14:paraId="12B49D2F">
      <w:pPr>
        <w:spacing w:line="360" w:lineRule="auto"/>
        <w:rPr>
          <w:rFonts w:hint="eastAsia" w:ascii="仿宋" w:hAnsi="仿宋" w:eastAsia="仿宋" w:cs="仿宋"/>
          <w:color w:val="auto"/>
          <w:highlight w:val="none"/>
          <w:lang w:eastAsia="zh-CN"/>
        </w:rPr>
      </w:pPr>
    </w:p>
    <w:p w14:paraId="09072CCA">
      <w:pPr>
        <w:spacing w:line="360" w:lineRule="auto"/>
        <w:rPr>
          <w:rFonts w:hint="eastAsia" w:ascii="仿宋" w:hAnsi="仿宋" w:eastAsia="仿宋" w:cs="仿宋"/>
          <w:color w:val="auto"/>
          <w:highlight w:val="none"/>
          <w:lang w:eastAsia="zh-CN"/>
        </w:rPr>
      </w:pPr>
    </w:p>
    <w:p w14:paraId="1693D4E0">
      <w:pPr>
        <w:spacing w:line="360" w:lineRule="auto"/>
        <w:rPr>
          <w:rFonts w:hint="eastAsia" w:ascii="仿宋" w:hAnsi="仿宋" w:eastAsia="仿宋" w:cs="仿宋"/>
          <w:color w:val="auto"/>
          <w:highlight w:val="none"/>
          <w:lang w:eastAsia="zh-CN"/>
        </w:rPr>
      </w:pPr>
    </w:p>
    <w:p w14:paraId="599F05D4">
      <w:pPr>
        <w:spacing w:line="360" w:lineRule="auto"/>
        <w:rPr>
          <w:rFonts w:hint="eastAsia" w:ascii="仿宋" w:hAnsi="仿宋" w:eastAsia="仿宋" w:cs="仿宋"/>
          <w:color w:val="auto"/>
          <w:highlight w:val="none"/>
          <w:lang w:eastAsia="zh-CN"/>
        </w:rPr>
      </w:pPr>
    </w:p>
    <w:p w14:paraId="1AB5B449">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附件4</w:t>
      </w:r>
    </w:p>
    <w:p w14:paraId="580B9B64">
      <w:pPr>
        <w:spacing w:line="360" w:lineRule="auto"/>
        <w:rPr>
          <w:rFonts w:hint="eastAsia" w:ascii="仿宋" w:hAnsi="仿宋" w:eastAsia="仿宋" w:cs="仿宋"/>
          <w:b/>
          <w:bCs/>
          <w:color w:val="auto"/>
          <w:highlight w:val="none"/>
          <w:lang w:eastAsia="zh-CN"/>
        </w:rPr>
      </w:pPr>
    </w:p>
    <w:p w14:paraId="094A8B0C">
      <w:pPr>
        <w:wordWrap w:val="0"/>
        <w:spacing w:line="360" w:lineRule="auto"/>
        <w:jc w:val="right"/>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编号：     </w:t>
      </w:r>
    </w:p>
    <w:p w14:paraId="479AF574">
      <w:pPr>
        <w:spacing w:line="360"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安全停工令</w:t>
      </w:r>
    </w:p>
    <w:p w14:paraId="297B2A57">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工程名称：</w:t>
      </w:r>
    </w:p>
    <w:p w14:paraId="770B0CAB">
      <w:pPr>
        <w:spacing w:line="360" w:lineRule="auto"/>
        <w:ind w:left="590" w:leftChars="1" w:hanging="588" w:hangingChars="24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责任部门：</w:t>
      </w:r>
    </w:p>
    <w:p w14:paraId="0D59CCD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你单位负责的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项目，经公司检查组于    年  月  日检查，存在以下安全问题：</w:t>
      </w:r>
    </w:p>
    <w:p w14:paraId="1C39BF3E">
      <w:pPr>
        <w:spacing w:line="360" w:lineRule="auto"/>
        <w:ind w:firstLine="480" w:firstLineChars="200"/>
        <w:rPr>
          <w:rFonts w:hint="eastAsia" w:ascii="仿宋" w:hAnsi="仿宋" w:eastAsia="仿宋" w:cs="仿宋"/>
          <w:color w:val="auto"/>
          <w:highlight w:val="none"/>
          <w:lang w:eastAsia="zh-CN"/>
        </w:rPr>
      </w:pPr>
    </w:p>
    <w:p w14:paraId="3C82EA11">
      <w:pPr>
        <w:spacing w:line="360" w:lineRule="auto"/>
        <w:ind w:firstLine="480" w:firstLineChars="200"/>
        <w:rPr>
          <w:rFonts w:hint="eastAsia" w:ascii="仿宋" w:hAnsi="仿宋" w:eastAsia="仿宋" w:cs="仿宋"/>
          <w:color w:val="auto"/>
          <w:highlight w:val="none"/>
          <w:u w:val="single"/>
          <w:lang w:eastAsia="zh-CN"/>
        </w:rPr>
      </w:pPr>
    </w:p>
    <w:p w14:paraId="468E4923">
      <w:pPr>
        <w:spacing w:line="360" w:lineRule="auto"/>
        <w:ind w:firstLine="480" w:firstLineChars="200"/>
        <w:rPr>
          <w:rFonts w:hint="eastAsia" w:ascii="仿宋" w:hAnsi="仿宋" w:eastAsia="仿宋" w:cs="仿宋"/>
          <w:color w:val="auto"/>
          <w:highlight w:val="none"/>
          <w:u w:val="single"/>
          <w:lang w:eastAsia="zh-CN"/>
        </w:rPr>
      </w:pPr>
    </w:p>
    <w:p w14:paraId="2442FC2E">
      <w:pPr>
        <w:spacing w:line="360" w:lineRule="auto"/>
        <w:ind w:firstLine="480" w:firstLineChars="200"/>
        <w:rPr>
          <w:rFonts w:hint="eastAsia" w:ascii="仿宋" w:hAnsi="仿宋" w:eastAsia="仿宋" w:cs="仿宋"/>
          <w:color w:val="auto"/>
          <w:highlight w:val="none"/>
          <w:u w:val="single"/>
          <w:lang w:eastAsia="zh-CN"/>
        </w:rPr>
      </w:pPr>
    </w:p>
    <w:p w14:paraId="6538FF89">
      <w:pPr>
        <w:spacing w:line="360" w:lineRule="auto"/>
        <w:ind w:firstLine="480" w:firstLineChars="200"/>
        <w:rPr>
          <w:rFonts w:hint="eastAsia" w:ascii="仿宋" w:hAnsi="仿宋" w:eastAsia="仿宋" w:cs="仿宋"/>
          <w:color w:val="auto"/>
          <w:highlight w:val="none"/>
          <w:u w:val="single"/>
          <w:lang w:eastAsia="zh-CN"/>
        </w:rPr>
      </w:pPr>
    </w:p>
    <w:p w14:paraId="63B6F3C8">
      <w:pPr>
        <w:spacing w:line="360" w:lineRule="auto"/>
        <w:ind w:firstLine="480" w:firstLineChars="200"/>
        <w:rPr>
          <w:rFonts w:hint="eastAsia" w:ascii="仿宋" w:hAnsi="仿宋" w:eastAsia="仿宋" w:cs="仿宋"/>
          <w:color w:val="auto"/>
          <w:highlight w:val="none"/>
          <w:u w:val="single"/>
          <w:lang w:eastAsia="zh-CN"/>
        </w:rPr>
      </w:pPr>
    </w:p>
    <w:p w14:paraId="4CA5394A">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上述条安全问题立即停工整改，整改完毕后将整改结果书面报告（甲方）签发部门申请复工复业。</w:t>
      </w:r>
    </w:p>
    <w:p w14:paraId="38C56533">
      <w:pPr>
        <w:spacing w:line="360" w:lineRule="auto"/>
        <w:rPr>
          <w:rFonts w:hint="eastAsia" w:ascii="仿宋" w:hAnsi="仿宋" w:eastAsia="仿宋" w:cs="仿宋"/>
          <w:color w:val="auto"/>
          <w:highlight w:val="none"/>
          <w:lang w:eastAsia="zh-CN"/>
        </w:rPr>
      </w:pPr>
    </w:p>
    <w:p w14:paraId="1D6FAA75">
      <w:pPr>
        <w:spacing w:line="360" w:lineRule="auto"/>
        <w:rPr>
          <w:rFonts w:hint="eastAsia" w:ascii="仿宋" w:hAnsi="仿宋" w:eastAsia="仿宋" w:cs="仿宋"/>
          <w:color w:val="auto"/>
          <w:highlight w:val="none"/>
          <w:lang w:eastAsia="zh-CN"/>
        </w:rPr>
      </w:pPr>
    </w:p>
    <w:p w14:paraId="4548A092">
      <w:p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检查人员：                                   签发人：</w:t>
      </w:r>
    </w:p>
    <w:p w14:paraId="48E6B9E2">
      <w:pPr>
        <w:spacing w:line="360" w:lineRule="auto"/>
        <w:rPr>
          <w:rFonts w:hint="eastAsia" w:ascii="仿宋" w:hAnsi="仿宋" w:eastAsia="仿宋" w:cs="仿宋"/>
          <w:color w:val="auto"/>
          <w:highlight w:val="none"/>
          <w:u w:val="single"/>
          <w:lang w:eastAsia="zh-CN"/>
        </w:rPr>
      </w:pPr>
    </w:p>
    <w:p w14:paraId="76850D32">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责任部门：                                   责任部门负责人：</w:t>
      </w:r>
    </w:p>
    <w:p w14:paraId="51677DA8">
      <w:pPr>
        <w:spacing w:line="360" w:lineRule="auto"/>
        <w:rPr>
          <w:rFonts w:hint="eastAsia" w:ascii="仿宋" w:hAnsi="仿宋" w:eastAsia="仿宋" w:cs="仿宋"/>
          <w:color w:val="auto"/>
          <w:highlight w:val="none"/>
          <w:lang w:eastAsia="zh-CN"/>
        </w:rPr>
      </w:pPr>
    </w:p>
    <w:p w14:paraId="7F914A7E">
      <w:pPr>
        <w:pStyle w:val="12"/>
        <w:spacing w:line="360" w:lineRule="auto"/>
        <w:rPr>
          <w:rFonts w:hint="eastAsia" w:ascii="宋体" w:hAnsi="宋体" w:cs="宋体"/>
          <w:color w:val="auto"/>
          <w:highlight w:val="none"/>
          <w:lang w:eastAsia="zh-CN"/>
        </w:rPr>
      </w:pPr>
    </w:p>
    <w:p w14:paraId="022F03C4">
      <w:pPr>
        <w:pStyle w:val="12"/>
        <w:spacing w:line="360" w:lineRule="auto"/>
        <w:rPr>
          <w:rFonts w:hint="eastAsia" w:ascii="宋体" w:hAnsi="宋体" w:cs="宋体"/>
          <w:color w:val="auto"/>
          <w:highlight w:val="none"/>
          <w:lang w:eastAsia="zh-CN"/>
        </w:rPr>
      </w:pPr>
    </w:p>
    <w:p w14:paraId="2659857F">
      <w:pPr>
        <w:pStyle w:val="12"/>
        <w:spacing w:line="360" w:lineRule="auto"/>
        <w:rPr>
          <w:rFonts w:hint="eastAsia" w:ascii="宋体" w:hAnsi="宋体" w:cs="宋体"/>
          <w:color w:val="auto"/>
          <w:highlight w:val="none"/>
          <w:lang w:eastAsia="zh-CN"/>
        </w:rPr>
      </w:pPr>
    </w:p>
    <w:p w14:paraId="191986C8">
      <w:pPr>
        <w:pStyle w:val="12"/>
        <w:spacing w:line="360" w:lineRule="auto"/>
        <w:rPr>
          <w:rFonts w:hint="eastAsia" w:ascii="宋体" w:hAnsi="宋体" w:cs="宋体"/>
          <w:color w:val="auto"/>
          <w:highlight w:val="none"/>
          <w:lang w:eastAsia="zh-CN"/>
        </w:rPr>
      </w:pPr>
    </w:p>
    <w:p w14:paraId="7B0D4F82">
      <w:pPr>
        <w:pStyle w:val="12"/>
        <w:spacing w:line="360" w:lineRule="auto"/>
        <w:rPr>
          <w:rFonts w:hint="eastAsia" w:ascii="宋体" w:hAnsi="宋体" w:cs="宋体"/>
          <w:color w:val="auto"/>
          <w:highlight w:val="none"/>
          <w:lang w:eastAsia="zh-CN"/>
        </w:rPr>
      </w:pPr>
    </w:p>
    <w:p w14:paraId="2BAC28A5">
      <w:pPr>
        <w:pStyle w:val="12"/>
        <w:spacing w:line="360" w:lineRule="auto"/>
        <w:rPr>
          <w:rFonts w:hint="eastAsia" w:ascii="宋体" w:hAnsi="宋体" w:cs="宋体"/>
          <w:color w:val="auto"/>
          <w:highlight w:val="none"/>
          <w:lang w:eastAsia="zh-CN"/>
        </w:rPr>
      </w:pPr>
    </w:p>
    <w:p w14:paraId="4C440AF1">
      <w:pPr>
        <w:pStyle w:val="12"/>
        <w:spacing w:line="360" w:lineRule="auto"/>
        <w:rPr>
          <w:rFonts w:ascii="宋体" w:hAnsi="宋体" w:cs="宋体"/>
          <w:color w:val="auto"/>
          <w:highlight w:val="none"/>
          <w:lang w:eastAsia="zh-CN"/>
        </w:rPr>
      </w:pPr>
    </w:p>
    <w:p w14:paraId="1CB7D241">
      <w:pPr>
        <w:pStyle w:val="12"/>
        <w:spacing w:line="360" w:lineRule="auto"/>
        <w:rPr>
          <w:rFonts w:ascii="宋体" w:hAnsi="宋体" w:cs="宋体"/>
          <w:color w:val="auto"/>
          <w:highlight w:val="none"/>
          <w:lang w:eastAsia="zh-CN"/>
        </w:rPr>
      </w:pPr>
    </w:p>
    <w:p w14:paraId="4BC72B02">
      <w:pPr>
        <w:pStyle w:val="23"/>
        <w:rPr>
          <w:color w:val="auto"/>
          <w:highlight w:val="none"/>
          <w:lang w:eastAsia="zh-CN"/>
        </w:rPr>
      </w:pPr>
    </w:p>
    <w:p w14:paraId="3621E39B">
      <w:pPr>
        <w:pStyle w:val="3"/>
        <w:tabs>
          <w:tab w:val="left" w:pos="360"/>
        </w:tabs>
        <w:spacing w:before="0" w:after="0"/>
        <w:rPr>
          <w:rFonts w:ascii="仿宋" w:hAnsi="仿宋" w:eastAsia="仿宋"/>
          <w:i w:val="0"/>
          <w:iCs w:val="0"/>
          <w:color w:val="auto"/>
          <w:sz w:val="24"/>
          <w:highlight w:val="none"/>
          <w:lang w:eastAsia="zh-CN"/>
        </w:rPr>
      </w:pPr>
      <w:bookmarkStart w:id="2123" w:name="_Toc12885"/>
      <w:bookmarkStart w:id="2124" w:name="_Toc20510"/>
      <w:bookmarkStart w:id="2125" w:name="_Toc13090"/>
      <w:bookmarkStart w:id="2126" w:name="_Toc498"/>
      <w:bookmarkStart w:id="2127" w:name="_Toc31213"/>
      <w:r>
        <w:rPr>
          <w:rFonts w:hint="eastAsia" w:ascii="仿宋" w:hAnsi="仿宋" w:eastAsia="仿宋"/>
          <w:i w:val="0"/>
          <w:iCs w:val="0"/>
          <w:color w:val="auto"/>
          <w:sz w:val="24"/>
          <w:highlight w:val="none"/>
          <w:lang w:eastAsia="zh-CN"/>
        </w:rPr>
        <w:t>附件十：中标通知书</w:t>
      </w:r>
      <w:bookmarkEnd w:id="2123"/>
      <w:bookmarkEnd w:id="2124"/>
      <w:bookmarkEnd w:id="2125"/>
      <w:bookmarkEnd w:id="2126"/>
      <w:bookmarkEnd w:id="2127"/>
    </w:p>
    <w:p w14:paraId="779FFF40">
      <w:pPr>
        <w:pStyle w:val="23"/>
        <w:rPr>
          <w:color w:val="auto"/>
          <w:highlight w:val="none"/>
          <w:lang w:eastAsia="zh-CN"/>
        </w:rPr>
      </w:pPr>
      <w:r>
        <w:rPr>
          <w:color w:val="auto"/>
          <w:highlight w:val="none"/>
          <w:lang w:eastAsia="zh-CN"/>
        </w:rPr>
        <w:br w:type="page"/>
      </w:r>
    </w:p>
    <w:p w14:paraId="045D704E">
      <w:pPr>
        <w:pStyle w:val="23"/>
        <w:rPr>
          <w:rFonts w:hint="eastAsia" w:ascii="仿宋" w:hAnsi="仿宋" w:eastAsia="仿宋"/>
          <w:b/>
          <w:bCs/>
          <w:color w:val="auto"/>
          <w:sz w:val="24"/>
          <w:szCs w:val="28"/>
          <w:highlight w:val="none"/>
          <w:lang w:eastAsia="zh-CN"/>
        </w:rPr>
      </w:pPr>
      <w:r>
        <w:rPr>
          <w:rFonts w:hint="eastAsia"/>
          <w:color w:val="auto"/>
          <w:highlight w:val="none"/>
          <w:lang w:eastAsia="zh-CN"/>
        </w:rPr>
        <w:t xml:space="preserve">  </w:t>
      </w:r>
      <w:bookmarkStart w:id="2128" w:name="_Toc6059"/>
      <w:bookmarkStart w:id="2129" w:name="_Toc15630"/>
      <w:bookmarkStart w:id="2130" w:name="_Toc5068"/>
      <w:bookmarkStart w:id="2131" w:name="_Toc31371"/>
      <w:bookmarkStart w:id="2132" w:name="_Toc4826"/>
      <w:r>
        <w:rPr>
          <w:rFonts w:hint="eastAsia" w:ascii="仿宋" w:hAnsi="仿宋" w:eastAsia="仿宋"/>
          <w:b/>
          <w:bCs/>
          <w:color w:val="auto"/>
          <w:sz w:val="24"/>
          <w:szCs w:val="28"/>
          <w:highlight w:val="none"/>
          <w:lang w:eastAsia="zh-CN"/>
        </w:rPr>
        <w:t>附件十一：建设工程项目安全文明施工标准化图册（另册）</w:t>
      </w:r>
      <w:bookmarkEnd w:id="2128"/>
      <w:bookmarkEnd w:id="2129"/>
      <w:bookmarkEnd w:id="2130"/>
      <w:bookmarkEnd w:id="2131"/>
      <w:bookmarkEnd w:id="2132"/>
    </w:p>
    <w:p w14:paraId="18DBF20F">
      <w:pPr>
        <w:rPr>
          <w:rFonts w:hint="eastAsia" w:ascii="仿宋" w:hAnsi="仿宋" w:eastAsia="仿宋"/>
          <w:color w:val="auto"/>
          <w:szCs w:val="28"/>
          <w:highlight w:val="none"/>
          <w:lang w:eastAsia="zh-CN"/>
        </w:rPr>
      </w:pPr>
    </w:p>
    <w:p w14:paraId="454513FF">
      <w:pPr>
        <w:pStyle w:val="17"/>
        <w:rPr>
          <w:rFonts w:hint="eastAsia" w:ascii="仿宋" w:hAnsi="仿宋" w:eastAsia="仿宋"/>
          <w:color w:val="auto"/>
          <w:szCs w:val="28"/>
          <w:highlight w:val="none"/>
          <w:lang w:eastAsia="zh-CN"/>
        </w:rPr>
      </w:pPr>
    </w:p>
    <w:p w14:paraId="7AEAF56B">
      <w:pPr>
        <w:pStyle w:val="37"/>
        <w:rPr>
          <w:rFonts w:hint="eastAsia" w:ascii="仿宋" w:hAnsi="仿宋" w:eastAsia="仿宋"/>
          <w:color w:val="auto"/>
          <w:szCs w:val="28"/>
          <w:highlight w:val="none"/>
          <w:lang w:eastAsia="zh-CN"/>
        </w:rPr>
      </w:pPr>
    </w:p>
    <w:p w14:paraId="7FAF5481">
      <w:pPr>
        <w:pStyle w:val="37"/>
        <w:rPr>
          <w:rFonts w:hint="eastAsia" w:ascii="仿宋" w:hAnsi="仿宋" w:eastAsia="仿宋"/>
          <w:color w:val="auto"/>
          <w:szCs w:val="28"/>
          <w:highlight w:val="none"/>
          <w:lang w:eastAsia="zh-CN"/>
        </w:rPr>
      </w:pPr>
    </w:p>
    <w:p w14:paraId="01B8E07C">
      <w:pPr>
        <w:pStyle w:val="37"/>
        <w:rPr>
          <w:rFonts w:hint="eastAsia" w:ascii="仿宋" w:hAnsi="仿宋" w:eastAsia="仿宋"/>
          <w:color w:val="auto"/>
          <w:szCs w:val="28"/>
          <w:highlight w:val="none"/>
          <w:lang w:eastAsia="zh-CN"/>
        </w:rPr>
      </w:pPr>
    </w:p>
    <w:p w14:paraId="21343B9C">
      <w:pPr>
        <w:pStyle w:val="37"/>
        <w:rPr>
          <w:rFonts w:hint="eastAsia" w:ascii="仿宋" w:hAnsi="仿宋" w:eastAsia="仿宋"/>
          <w:color w:val="auto"/>
          <w:szCs w:val="28"/>
          <w:highlight w:val="none"/>
          <w:lang w:eastAsia="zh-CN"/>
        </w:rPr>
      </w:pPr>
    </w:p>
    <w:p w14:paraId="597C31CE">
      <w:pPr>
        <w:pStyle w:val="37"/>
        <w:rPr>
          <w:rFonts w:hint="eastAsia" w:ascii="仿宋" w:hAnsi="仿宋" w:eastAsia="仿宋"/>
          <w:color w:val="auto"/>
          <w:szCs w:val="28"/>
          <w:highlight w:val="none"/>
          <w:lang w:eastAsia="zh-CN"/>
        </w:rPr>
      </w:pPr>
    </w:p>
    <w:p w14:paraId="6831FF4C">
      <w:pPr>
        <w:pStyle w:val="37"/>
        <w:rPr>
          <w:rFonts w:hint="eastAsia" w:ascii="仿宋" w:hAnsi="仿宋" w:eastAsia="仿宋"/>
          <w:color w:val="auto"/>
          <w:szCs w:val="28"/>
          <w:highlight w:val="none"/>
          <w:lang w:eastAsia="zh-CN"/>
        </w:rPr>
      </w:pPr>
    </w:p>
    <w:p w14:paraId="058F5E48">
      <w:pPr>
        <w:pStyle w:val="37"/>
        <w:rPr>
          <w:rFonts w:hint="eastAsia" w:ascii="仿宋" w:hAnsi="仿宋" w:eastAsia="仿宋"/>
          <w:color w:val="auto"/>
          <w:szCs w:val="28"/>
          <w:highlight w:val="none"/>
          <w:lang w:eastAsia="zh-CN"/>
        </w:rPr>
      </w:pPr>
    </w:p>
    <w:p w14:paraId="2B39CA3D">
      <w:pPr>
        <w:pStyle w:val="37"/>
        <w:rPr>
          <w:rFonts w:hint="eastAsia" w:ascii="仿宋" w:hAnsi="仿宋" w:eastAsia="仿宋"/>
          <w:color w:val="auto"/>
          <w:szCs w:val="28"/>
          <w:highlight w:val="none"/>
          <w:lang w:eastAsia="zh-CN"/>
        </w:rPr>
      </w:pPr>
    </w:p>
    <w:p w14:paraId="12D4B447">
      <w:pPr>
        <w:pStyle w:val="37"/>
        <w:rPr>
          <w:rFonts w:hint="eastAsia" w:ascii="仿宋" w:hAnsi="仿宋" w:eastAsia="仿宋"/>
          <w:color w:val="auto"/>
          <w:szCs w:val="28"/>
          <w:highlight w:val="none"/>
          <w:lang w:eastAsia="zh-CN"/>
        </w:rPr>
      </w:pPr>
    </w:p>
    <w:p w14:paraId="1A419CE8">
      <w:pPr>
        <w:pStyle w:val="37"/>
        <w:rPr>
          <w:rFonts w:hint="eastAsia" w:ascii="仿宋" w:hAnsi="仿宋" w:eastAsia="仿宋"/>
          <w:color w:val="auto"/>
          <w:szCs w:val="28"/>
          <w:highlight w:val="none"/>
          <w:lang w:eastAsia="zh-CN"/>
        </w:rPr>
      </w:pPr>
    </w:p>
    <w:p w14:paraId="34B7AFA2">
      <w:pPr>
        <w:pStyle w:val="37"/>
        <w:rPr>
          <w:rFonts w:hint="eastAsia" w:ascii="仿宋" w:hAnsi="仿宋" w:eastAsia="仿宋"/>
          <w:color w:val="auto"/>
          <w:szCs w:val="28"/>
          <w:highlight w:val="none"/>
          <w:lang w:eastAsia="zh-CN"/>
        </w:rPr>
      </w:pPr>
    </w:p>
    <w:p w14:paraId="20742384">
      <w:pPr>
        <w:pStyle w:val="37"/>
        <w:rPr>
          <w:rFonts w:hint="eastAsia" w:ascii="仿宋" w:hAnsi="仿宋" w:eastAsia="仿宋"/>
          <w:color w:val="auto"/>
          <w:szCs w:val="28"/>
          <w:highlight w:val="none"/>
          <w:lang w:eastAsia="zh-CN"/>
        </w:rPr>
      </w:pPr>
    </w:p>
    <w:p w14:paraId="211A42E6">
      <w:pPr>
        <w:pStyle w:val="37"/>
        <w:rPr>
          <w:rFonts w:hint="eastAsia" w:ascii="仿宋" w:hAnsi="仿宋" w:eastAsia="仿宋"/>
          <w:color w:val="auto"/>
          <w:szCs w:val="28"/>
          <w:highlight w:val="none"/>
          <w:lang w:eastAsia="zh-CN"/>
        </w:rPr>
      </w:pPr>
    </w:p>
    <w:p w14:paraId="6B3250F1">
      <w:pPr>
        <w:pStyle w:val="37"/>
        <w:rPr>
          <w:rFonts w:hint="eastAsia" w:ascii="仿宋" w:hAnsi="仿宋" w:eastAsia="仿宋"/>
          <w:color w:val="auto"/>
          <w:szCs w:val="28"/>
          <w:highlight w:val="none"/>
          <w:lang w:eastAsia="zh-CN"/>
        </w:rPr>
      </w:pPr>
    </w:p>
    <w:p w14:paraId="7B58BFE6">
      <w:pPr>
        <w:pStyle w:val="37"/>
        <w:rPr>
          <w:rFonts w:hint="eastAsia" w:ascii="仿宋" w:hAnsi="仿宋" w:eastAsia="仿宋"/>
          <w:color w:val="auto"/>
          <w:szCs w:val="28"/>
          <w:highlight w:val="none"/>
          <w:lang w:eastAsia="zh-CN"/>
        </w:rPr>
      </w:pPr>
    </w:p>
    <w:p w14:paraId="6F4DB9DB">
      <w:pPr>
        <w:pStyle w:val="37"/>
        <w:rPr>
          <w:rFonts w:hint="eastAsia" w:ascii="仿宋" w:hAnsi="仿宋" w:eastAsia="仿宋"/>
          <w:color w:val="auto"/>
          <w:szCs w:val="28"/>
          <w:highlight w:val="none"/>
          <w:lang w:eastAsia="zh-CN"/>
        </w:rPr>
      </w:pPr>
    </w:p>
    <w:p w14:paraId="552CDA25">
      <w:pPr>
        <w:pStyle w:val="37"/>
        <w:rPr>
          <w:rFonts w:hint="eastAsia" w:ascii="仿宋" w:hAnsi="仿宋" w:eastAsia="仿宋"/>
          <w:color w:val="auto"/>
          <w:szCs w:val="28"/>
          <w:highlight w:val="none"/>
          <w:lang w:eastAsia="zh-CN"/>
        </w:rPr>
      </w:pPr>
    </w:p>
    <w:p w14:paraId="53152C16">
      <w:pPr>
        <w:pStyle w:val="37"/>
        <w:rPr>
          <w:rFonts w:hint="eastAsia" w:ascii="仿宋" w:hAnsi="仿宋" w:eastAsia="仿宋"/>
          <w:color w:val="auto"/>
          <w:szCs w:val="28"/>
          <w:highlight w:val="none"/>
          <w:lang w:eastAsia="zh-CN"/>
        </w:rPr>
      </w:pPr>
    </w:p>
    <w:p w14:paraId="2A5CDC48">
      <w:pPr>
        <w:pStyle w:val="37"/>
        <w:rPr>
          <w:rFonts w:hint="eastAsia" w:ascii="仿宋" w:hAnsi="仿宋" w:eastAsia="仿宋"/>
          <w:color w:val="auto"/>
          <w:szCs w:val="28"/>
          <w:highlight w:val="none"/>
          <w:lang w:eastAsia="zh-CN"/>
        </w:rPr>
      </w:pPr>
    </w:p>
    <w:p w14:paraId="170EDA12">
      <w:pPr>
        <w:pStyle w:val="37"/>
        <w:rPr>
          <w:rFonts w:hint="eastAsia" w:ascii="仿宋" w:hAnsi="仿宋" w:eastAsia="仿宋"/>
          <w:color w:val="auto"/>
          <w:szCs w:val="28"/>
          <w:highlight w:val="none"/>
          <w:lang w:eastAsia="zh-CN"/>
        </w:rPr>
      </w:pPr>
    </w:p>
    <w:p w14:paraId="57A91075">
      <w:pPr>
        <w:pStyle w:val="37"/>
        <w:rPr>
          <w:rFonts w:hint="eastAsia" w:ascii="仿宋" w:hAnsi="仿宋" w:eastAsia="仿宋"/>
          <w:color w:val="auto"/>
          <w:szCs w:val="28"/>
          <w:highlight w:val="none"/>
          <w:lang w:eastAsia="zh-CN"/>
        </w:rPr>
      </w:pPr>
    </w:p>
    <w:p w14:paraId="29A68963">
      <w:pPr>
        <w:pStyle w:val="37"/>
        <w:rPr>
          <w:rFonts w:hint="eastAsia" w:ascii="仿宋" w:hAnsi="仿宋" w:eastAsia="仿宋"/>
          <w:color w:val="auto"/>
          <w:szCs w:val="28"/>
          <w:highlight w:val="none"/>
          <w:lang w:eastAsia="zh-CN"/>
        </w:rPr>
      </w:pPr>
    </w:p>
    <w:p w14:paraId="29BF1B2B">
      <w:pPr>
        <w:pStyle w:val="37"/>
        <w:rPr>
          <w:rFonts w:hint="eastAsia" w:ascii="仿宋" w:hAnsi="仿宋" w:eastAsia="仿宋"/>
          <w:color w:val="auto"/>
          <w:szCs w:val="28"/>
          <w:highlight w:val="none"/>
          <w:lang w:eastAsia="zh-CN"/>
        </w:rPr>
      </w:pPr>
    </w:p>
    <w:p w14:paraId="770150C4">
      <w:pPr>
        <w:pStyle w:val="37"/>
        <w:rPr>
          <w:rFonts w:hint="eastAsia" w:ascii="仿宋" w:hAnsi="仿宋" w:eastAsia="仿宋"/>
          <w:color w:val="auto"/>
          <w:szCs w:val="28"/>
          <w:highlight w:val="none"/>
          <w:lang w:eastAsia="zh-CN"/>
        </w:rPr>
      </w:pPr>
    </w:p>
    <w:p w14:paraId="0F947F80">
      <w:pPr>
        <w:pStyle w:val="37"/>
        <w:rPr>
          <w:rFonts w:hint="eastAsia" w:ascii="仿宋" w:hAnsi="仿宋" w:eastAsia="仿宋"/>
          <w:color w:val="auto"/>
          <w:szCs w:val="28"/>
          <w:highlight w:val="none"/>
          <w:lang w:eastAsia="zh-CN"/>
        </w:rPr>
      </w:pPr>
    </w:p>
    <w:p w14:paraId="22C1B84A">
      <w:pPr>
        <w:pStyle w:val="37"/>
        <w:rPr>
          <w:rFonts w:hint="eastAsia" w:ascii="仿宋" w:hAnsi="仿宋" w:eastAsia="仿宋"/>
          <w:color w:val="auto"/>
          <w:szCs w:val="28"/>
          <w:highlight w:val="none"/>
          <w:lang w:eastAsia="zh-CN"/>
        </w:rPr>
      </w:pPr>
    </w:p>
    <w:p w14:paraId="5CACEC5A">
      <w:pPr>
        <w:pStyle w:val="37"/>
        <w:rPr>
          <w:rFonts w:hint="eastAsia" w:ascii="仿宋" w:hAnsi="仿宋" w:eastAsia="仿宋"/>
          <w:color w:val="auto"/>
          <w:szCs w:val="28"/>
          <w:highlight w:val="none"/>
          <w:lang w:eastAsia="zh-CN"/>
        </w:rPr>
      </w:pPr>
    </w:p>
    <w:p w14:paraId="73F2E8AC">
      <w:pPr>
        <w:pStyle w:val="37"/>
        <w:rPr>
          <w:rFonts w:hint="eastAsia" w:ascii="仿宋" w:hAnsi="仿宋" w:eastAsia="仿宋"/>
          <w:color w:val="auto"/>
          <w:szCs w:val="28"/>
          <w:highlight w:val="none"/>
          <w:lang w:eastAsia="zh-CN"/>
        </w:rPr>
      </w:pPr>
    </w:p>
    <w:p w14:paraId="5EF679F2">
      <w:pPr>
        <w:pStyle w:val="37"/>
        <w:rPr>
          <w:rFonts w:hint="eastAsia" w:ascii="仿宋" w:hAnsi="仿宋" w:eastAsia="仿宋"/>
          <w:color w:val="auto"/>
          <w:szCs w:val="28"/>
          <w:highlight w:val="none"/>
          <w:lang w:eastAsia="zh-CN"/>
        </w:rPr>
      </w:pPr>
    </w:p>
    <w:p w14:paraId="5FAB35F7">
      <w:pPr>
        <w:pStyle w:val="37"/>
        <w:rPr>
          <w:rFonts w:hint="eastAsia" w:ascii="仿宋" w:hAnsi="仿宋" w:eastAsia="仿宋"/>
          <w:color w:val="auto"/>
          <w:szCs w:val="28"/>
          <w:highlight w:val="none"/>
          <w:lang w:eastAsia="zh-CN"/>
        </w:rPr>
      </w:pPr>
    </w:p>
    <w:p w14:paraId="5D3F0FC6">
      <w:pPr>
        <w:pStyle w:val="37"/>
        <w:rPr>
          <w:rFonts w:hint="eastAsia" w:ascii="仿宋" w:hAnsi="仿宋" w:eastAsia="仿宋"/>
          <w:color w:val="auto"/>
          <w:szCs w:val="28"/>
          <w:highlight w:val="none"/>
          <w:lang w:eastAsia="zh-CN"/>
        </w:rPr>
      </w:pPr>
    </w:p>
    <w:p w14:paraId="5FADB9CC">
      <w:pPr>
        <w:pStyle w:val="37"/>
        <w:rPr>
          <w:rFonts w:hint="eastAsia" w:ascii="仿宋" w:hAnsi="仿宋" w:eastAsia="仿宋"/>
          <w:color w:val="auto"/>
          <w:szCs w:val="28"/>
          <w:highlight w:val="none"/>
          <w:lang w:eastAsia="zh-CN"/>
        </w:rPr>
      </w:pPr>
    </w:p>
    <w:p w14:paraId="3682D3D5">
      <w:pPr>
        <w:pStyle w:val="37"/>
        <w:rPr>
          <w:rFonts w:hint="eastAsia" w:ascii="仿宋" w:hAnsi="仿宋" w:eastAsia="仿宋"/>
          <w:color w:val="auto"/>
          <w:szCs w:val="28"/>
          <w:highlight w:val="none"/>
          <w:lang w:eastAsia="zh-CN"/>
        </w:rPr>
      </w:pPr>
    </w:p>
    <w:p w14:paraId="3FB8E085">
      <w:pPr>
        <w:pStyle w:val="37"/>
        <w:rPr>
          <w:rFonts w:hint="eastAsia" w:ascii="仿宋" w:hAnsi="仿宋" w:eastAsia="仿宋"/>
          <w:color w:val="auto"/>
          <w:szCs w:val="28"/>
          <w:highlight w:val="none"/>
          <w:lang w:eastAsia="zh-CN"/>
        </w:rPr>
      </w:pPr>
    </w:p>
    <w:p w14:paraId="1C0268D4">
      <w:pPr>
        <w:pStyle w:val="37"/>
        <w:rPr>
          <w:rFonts w:hint="eastAsia" w:ascii="仿宋" w:hAnsi="仿宋" w:eastAsia="仿宋"/>
          <w:color w:val="auto"/>
          <w:szCs w:val="28"/>
          <w:highlight w:val="none"/>
          <w:lang w:eastAsia="zh-CN"/>
        </w:rPr>
      </w:pPr>
    </w:p>
    <w:p w14:paraId="7A730997">
      <w:pPr>
        <w:pStyle w:val="37"/>
        <w:rPr>
          <w:rFonts w:hint="eastAsia" w:ascii="仿宋" w:hAnsi="仿宋" w:eastAsia="仿宋"/>
          <w:color w:val="auto"/>
          <w:szCs w:val="28"/>
          <w:highlight w:val="none"/>
          <w:lang w:eastAsia="zh-CN"/>
        </w:rPr>
      </w:pPr>
    </w:p>
    <w:p w14:paraId="4A929EB7">
      <w:pPr>
        <w:pStyle w:val="37"/>
        <w:rPr>
          <w:rFonts w:hint="eastAsia" w:ascii="仿宋" w:hAnsi="仿宋" w:eastAsia="仿宋"/>
          <w:color w:val="auto"/>
          <w:szCs w:val="28"/>
          <w:highlight w:val="none"/>
          <w:lang w:eastAsia="zh-CN"/>
        </w:rPr>
      </w:pPr>
    </w:p>
    <w:p w14:paraId="6D824B9D">
      <w:pPr>
        <w:pStyle w:val="37"/>
        <w:rPr>
          <w:rFonts w:hint="eastAsia" w:ascii="仿宋" w:hAnsi="仿宋" w:eastAsia="仿宋"/>
          <w:color w:val="auto"/>
          <w:szCs w:val="28"/>
          <w:highlight w:val="none"/>
          <w:lang w:eastAsia="zh-CN"/>
        </w:rPr>
      </w:pPr>
    </w:p>
    <w:p w14:paraId="14B6E373">
      <w:pPr>
        <w:pStyle w:val="37"/>
        <w:rPr>
          <w:rFonts w:hint="eastAsia" w:ascii="仿宋" w:hAnsi="仿宋" w:eastAsia="仿宋"/>
          <w:color w:val="auto"/>
          <w:szCs w:val="28"/>
          <w:highlight w:val="none"/>
          <w:lang w:eastAsia="zh-CN"/>
        </w:rPr>
      </w:pPr>
    </w:p>
    <w:p w14:paraId="78CCB954">
      <w:pPr>
        <w:pStyle w:val="37"/>
        <w:rPr>
          <w:rFonts w:hint="eastAsia" w:ascii="仿宋" w:hAnsi="仿宋" w:eastAsia="仿宋"/>
          <w:color w:val="auto"/>
          <w:szCs w:val="28"/>
          <w:highlight w:val="none"/>
          <w:lang w:eastAsia="zh-CN"/>
        </w:rPr>
      </w:pPr>
    </w:p>
    <w:p w14:paraId="79A53ACB">
      <w:pPr>
        <w:pStyle w:val="3"/>
        <w:numPr>
          <w:ilvl w:val="1"/>
          <w:numId w:val="0"/>
        </w:numPr>
        <w:ind w:left="1205" w:hanging="1205" w:hangingChars="500"/>
        <w:rPr>
          <w:rFonts w:hint="eastAsia" w:ascii="仿宋" w:hAnsi="仿宋" w:eastAsia="仿宋"/>
          <w:i w:val="0"/>
          <w:iCs w:val="0"/>
          <w:color w:val="auto"/>
          <w:sz w:val="24"/>
          <w:highlight w:val="none"/>
          <w:lang w:eastAsia="zh-CN"/>
        </w:rPr>
      </w:pPr>
      <w:bookmarkStart w:id="2133" w:name="_Toc9663"/>
      <w:bookmarkStart w:id="2134" w:name="_Toc2430"/>
      <w:bookmarkStart w:id="2135" w:name="_Toc6474"/>
      <w:bookmarkStart w:id="2136" w:name="_Toc2089"/>
      <w:bookmarkStart w:id="2137" w:name="_Toc1201"/>
      <w:r>
        <w:rPr>
          <w:rFonts w:hint="eastAsia" w:ascii="仿宋" w:hAnsi="仿宋" w:eastAsia="仿宋"/>
          <w:i w:val="0"/>
          <w:iCs w:val="0"/>
          <w:color w:val="auto"/>
          <w:sz w:val="24"/>
          <w:highlight w:val="none"/>
          <w:lang w:eastAsia="zh-CN"/>
        </w:rPr>
        <w:t>附件十二：</w:t>
      </w:r>
      <w:bookmarkEnd w:id="2133"/>
      <w:bookmarkEnd w:id="2134"/>
      <w:bookmarkEnd w:id="2135"/>
      <w:bookmarkEnd w:id="2136"/>
      <w:bookmarkEnd w:id="2137"/>
    </w:p>
    <w:p w14:paraId="7BDE9F46">
      <w:pPr>
        <w:spacing w:line="360" w:lineRule="auto"/>
        <w:jc w:val="center"/>
        <w:rPr>
          <w:rFonts w:ascii="宋体" w:hAnsi="宋体" w:cs="宋体"/>
          <w:b/>
          <w:bCs/>
          <w:color w:val="auto"/>
          <w:sz w:val="36"/>
          <w:szCs w:val="36"/>
          <w:highlight w:val="none"/>
          <w:lang w:eastAsia="zh-CN"/>
        </w:rPr>
      </w:pPr>
      <w:r>
        <w:rPr>
          <w:rFonts w:hint="eastAsia" w:ascii="宋体" w:hAnsi="宋体" w:cs="宋体"/>
          <w:b/>
          <w:bCs/>
          <w:color w:val="auto"/>
          <w:sz w:val="36"/>
          <w:szCs w:val="36"/>
          <w:highlight w:val="none"/>
          <w:lang w:eastAsia="zh-CN"/>
        </w:rPr>
        <w:t>安全文明措施费使用管理办法</w:t>
      </w:r>
    </w:p>
    <w:p w14:paraId="16655035">
      <w:pPr>
        <w:ind w:firstLine="480" w:firstLineChars="200"/>
        <w:rPr>
          <w:rFonts w:ascii="宋体" w:hAnsi="宋体" w:cs="宋体"/>
          <w:color w:val="auto"/>
          <w:highlight w:val="none"/>
          <w:lang w:eastAsia="zh-CN"/>
        </w:rPr>
      </w:pPr>
    </w:p>
    <w:p w14:paraId="1B768A68">
      <w:pPr>
        <w:spacing w:line="360" w:lineRule="auto"/>
        <w:jc w:val="center"/>
        <w:rPr>
          <w:rFonts w:ascii="宋体" w:hAnsi="宋体" w:cs="宋体"/>
          <w:b/>
          <w:color w:val="auto"/>
          <w:spacing w:val="12"/>
          <w:kern w:val="10"/>
          <w:sz w:val="32"/>
          <w:szCs w:val="32"/>
          <w:highlight w:val="none"/>
          <w:lang w:eastAsia="zh-CN"/>
        </w:rPr>
      </w:pPr>
      <w:r>
        <w:rPr>
          <w:rFonts w:hint="eastAsia" w:ascii="宋体" w:hAnsi="宋体" w:cs="宋体"/>
          <w:b/>
          <w:color w:val="auto"/>
          <w:spacing w:val="12"/>
          <w:kern w:val="10"/>
          <w:sz w:val="32"/>
          <w:szCs w:val="32"/>
          <w:highlight w:val="none"/>
          <w:lang w:eastAsia="zh-CN"/>
        </w:rPr>
        <w:t>第一章 总则</w:t>
      </w:r>
    </w:p>
    <w:p w14:paraId="16645373">
      <w:pPr>
        <w:spacing w:line="360" w:lineRule="auto"/>
        <w:ind w:firstLine="530" w:firstLineChars="200"/>
        <w:rPr>
          <w:rFonts w:ascii="宋体" w:hAnsi="宋体" w:cs="宋体"/>
          <w:color w:val="auto"/>
          <w:spacing w:val="12"/>
          <w:kern w:val="10"/>
          <w:highlight w:val="none"/>
          <w:lang w:eastAsia="zh-CN"/>
        </w:rPr>
      </w:pPr>
      <w:r>
        <w:rPr>
          <w:rFonts w:hint="eastAsia" w:ascii="宋体" w:hAnsi="宋体" w:cs="宋体"/>
          <w:b/>
          <w:color w:val="auto"/>
          <w:spacing w:val="12"/>
          <w:kern w:val="10"/>
          <w:highlight w:val="none"/>
          <w:lang w:eastAsia="zh-CN"/>
        </w:rPr>
        <w:t xml:space="preserve">第一条 </w:t>
      </w:r>
      <w:r>
        <w:rPr>
          <w:rFonts w:hint="eastAsia" w:ascii="宋体" w:hAnsi="宋体" w:cs="宋体"/>
          <w:color w:val="auto"/>
          <w:spacing w:val="12"/>
          <w:kern w:val="10"/>
          <w:highlight w:val="none"/>
          <w:lang w:eastAsia="zh-CN"/>
        </w:rPr>
        <w:t>为加强公司及属下各级企业开发、管理的建设项目安全文明措施费的使用管理，确保建设项目安全文明措施费足额投入，维护社会公共利益，维护建设项目人身和财产安全，根据《建筑法》《安全生产法》</w:t>
      </w:r>
      <w:r>
        <w:rPr>
          <w:rFonts w:hint="eastAsia" w:ascii="宋体" w:hAnsi="宋体" w:cs="宋体"/>
          <w:color w:val="auto"/>
          <w:highlight w:val="none"/>
          <w:lang w:eastAsia="zh-CN"/>
        </w:rPr>
        <w:t>《企业安全费用提取和使用管理办法》</w:t>
      </w:r>
      <w:r>
        <w:rPr>
          <w:rFonts w:hint="eastAsia" w:ascii="宋体" w:hAnsi="宋体" w:cs="宋体"/>
          <w:color w:val="auto"/>
          <w:spacing w:val="12"/>
          <w:kern w:val="10"/>
          <w:highlight w:val="none"/>
          <w:lang w:eastAsia="zh-CN"/>
        </w:rPr>
        <w:t>《建设工程质量管理条例》《建筑施工安全检查标准》《建设工程施工发包与承包计价管理办法》《建设工程造价管理规定》等法律法规、文件的规定，结合我司实际，制定本办法。</w:t>
      </w:r>
    </w:p>
    <w:p w14:paraId="23C578CE">
      <w:pPr>
        <w:spacing w:line="360" w:lineRule="auto"/>
        <w:ind w:firstLine="530" w:firstLineChars="200"/>
        <w:rPr>
          <w:rFonts w:ascii="宋体" w:hAnsi="宋体" w:cs="宋体"/>
          <w:color w:val="auto"/>
          <w:spacing w:val="12"/>
          <w:kern w:val="10"/>
          <w:highlight w:val="none"/>
          <w:lang w:eastAsia="zh-CN"/>
        </w:rPr>
      </w:pPr>
      <w:r>
        <w:rPr>
          <w:rFonts w:hint="eastAsia" w:ascii="宋体" w:hAnsi="宋体" w:cs="宋体"/>
          <w:b/>
          <w:color w:val="auto"/>
          <w:spacing w:val="12"/>
          <w:kern w:val="10"/>
          <w:highlight w:val="none"/>
          <w:lang w:eastAsia="zh-CN"/>
        </w:rPr>
        <w:t>第二条</w:t>
      </w:r>
      <w:r>
        <w:rPr>
          <w:rFonts w:hint="eastAsia" w:ascii="宋体" w:hAnsi="宋体" w:cs="宋体"/>
          <w:color w:val="auto"/>
          <w:spacing w:val="12"/>
          <w:kern w:val="10"/>
          <w:highlight w:val="none"/>
          <w:lang w:eastAsia="zh-CN"/>
        </w:rPr>
        <w:t xml:space="preserve"> 公司及属下各级企业作为建设单位与其余参建主体签订的施工承包合同、监理合同中约定的安全文明措施费的支付、使用、结算及管理适用本办法。</w:t>
      </w:r>
    </w:p>
    <w:p w14:paraId="17F8C59A">
      <w:pPr>
        <w:spacing w:line="360" w:lineRule="auto"/>
        <w:ind w:firstLine="528" w:firstLineChars="200"/>
        <w:rPr>
          <w:rFonts w:ascii="宋体" w:hAnsi="宋体" w:cs="宋体"/>
          <w:color w:val="auto"/>
          <w:spacing w:val="12"/>
          <w:kern w:val="10"/>
          <w:highlight w:val="none"/>
          <w:lang w:eastAsia="zh-CN"/>
        </w:rPr>
      </w:pPr>
      <w:r>
        <w:rPr>
          <w:rFonts w:hint="eastAsia" w:ascii="宋体" w:hAnsi="宋体" w:cs="宋体"/>
          <w:color w:val="auto"/>
          <w:spacing w:val="12"/>
          <w:kern w:val="10"/>
          <w:highlight w:val="none"/>
          <w:lang w:eastAsia="zh-CN"/>
        </w:rPr>
        <w:t>属下各级企业作为建设管理单位、全过程工程咨询单位时，在本办法范围内的安全文明措施费管理上行使建设单位职责。</w:t>
      </w:r>
    </w:p>
    <w:p w14:paraId="5C037FF8">
      <w:pPr>
        <w:spacing w:line="360" w:lineRule="auto"/>
        <w:ind w:firstLine="530" w:firstLineChars="200"/>
        <w:rPr>
          <w:rFonts w:ascii="宋体" w:hAnsi="宋体" w:cs="宋体"/>
          <w:color w:val="auto"/>
          <w:spacing w:val="12"/>
          <w:kern w:val="10"/>
          <w:highlight w:val="none"/>
          <w:lang w:eastAsia="zh-CN"/>
        </w:rPr>
      </w:pPr>
      <w:r>
        <w:rPr>
          <w:rFonts w:hint="eastAsia" w:ascii="宋体" w:hAnsi="宋体" w:cs="宋体"/>
          <w:b/>
          <w:color w:val="auto"/>
          <w:spacing w:val="12"/>
          <w:kern w:val="10"/>
          <w:highlight w:val="none"/>
          <w:lang w:eastAsia="zh-CN"/>
        </w:rPr>
        <w:t xml:space="preserve">第三条 </w:t>
      </w:r>
      <w:r>
        <w:rPr>
          <w:rFonts w:hint="eastAsia" w:ascii="宋体" w:hAnsi="宋体" w:cs="宋体"/>
          <w:color w:val="auto"/>
          <w:spacing w:val="12"/>
          <w:kern w:val="10"/>
          <w:highlight w:val="none"/>
          <w:lang w:eastAsia="zh-CN"/>
        </w:rPr>
        <w:t>本办法所称安全文明措施费是指按照国家现行的建筑施工安全、施工现场环境与卫生标准和有关规定，购置和更新施工安全防护用具及设施、改善安全生产条件和作业环境所需要的费用。</w:t>
      </w:r>
    </w:p>
    <w:p w14:paraId="22C511F9">
      <w:pPr>
        <w:spacing w:line="360" w:lineRule="auto"/>
        <w:jc w:val="center"/>
        <w:rPr>
          <w:rFonts w:ascii="宋体" w:hAnsi="宋体" w:cs="宋体"/>
          <w:b/>
          <w:color w:val="auto"/>
          <w:spacing w:val="12"/>
          <w:kern w:val="10"/>
          <w:sz w:val="32"/>
          <w:szCs w:val="32"/>
          <w:highlight w:val="none"/>
          <w:lang w:eastAsia="zh-CN"/>
        </w:rPr>
      </w:pPr>
      <w:r>
        <w:rPr>
          <w:rFonts w:hint="eastAsia" w:ascii="宋体" w:hAnsi="宋体" w:cs="宋体"/>
          <w:b/>
          <w:color w:val="auto"/>
          <w:spacing w:val="12"/>
          <w:kern w:val="10"/>
          <w:sz w:val="32"/>
          <w:szCs w:val="32"/>
          <w:highlight w:val="none"/>
          <w:lang w:eastAsia="zh-CN"/>
        </w:rPr>
        <w:t>第二章 安全文明措施费的使用</w:t>
      </w:r>
    </w:p>
    <w:p w14:paraId="463C6C38">
      <w:pPr>
        <w:spacing w:line="360" w:lineRule="auto"/>
        <w:ind w:firstLine="530" w:firstLineChars="200"/>
        <w:rPr>
          <w:rFonts w:ascii="宋体" w:hAnsi="宋体" w:cs="宋体"/>
          <w:color w:val="auto"/>
          <w:spacing w:val="12"/>
          <w:kern w:val="10"/>
          <w:highlight w:val="none"/>
          <w:lang w:eastAsia="zh-CN"/>
        </w:rPr>
      </w:pPr>
      <w:r>
        <w:rPr>
          <w:rFonts w:hint="eastAsia" w:ascii="宋体" w:hAnsi="宋体" w:cs="宋体"/>
          <w:b/>
          <w:color w:val="auto"/>
          <w:spacing w:val="12"/>
          <w:kern w:val="10"/>
          <w:highlight w:val="none"/>
          <w:lang w:eastAsia="zh-CN"/>
        </w:rPr>
        <w:t xml:space="preserve">第四条 </w:t>
      </w:r>
      <w:r>
        <w:rPr>
          <w:rFonts w:hint="eastAsia" w:ascii="宋体" w:hAnsi="宋体" w:cs="宋体"/>
          <w:color w:val="auto"/>
          <w:spacing w:val="12"/>
          <w:kern w:val="10"/>
          <w:highlight w:val="none"/>
          <w:lang w:eastAsia="zh-CN"/>
        </w:rPr>
        <w:t>安全文明措施费按照国家规定的计算办法确定，在计划额度内包干使用，超支部分由施工总承包单位自行负责。</w:t>
      </w:r>
    </w:p>
    <w:p w14:paraId="27F36BFF">
      <w:pPr>
        <w:spacing w:line="360" w:lineRule="auto"/>
        <w:ind w:firstLine="530" w:firstLineChars="200"/>
        <w:rPr>
          <w:rFonts w:ascii="宋体" w:hAnsi="宋体" w:cs="宋体"/>
          <w:color w:val="auto"/>
          <w:spacing w:val="12"/>
          <w:kern w:val="10"/>
          <w:highlight w:val="none"/>
          <w:lang w:eastAsia="zh-CN"/>
        </w:rPr>
      </w:pPr>
      <w:r>
        <w:rPr>
          <w:rFonts w:hint="eastAsia" w:ascii="宋体" w:hAnsi="宋体" w:cs="宋体"/>
          <w:b/>
          <w:color w:val="auto"/>
          <w:spacing w:val="12"/>
          <w:kern w:val="10"/>
          <w:highlight w:val="none"/>
          <w:lang w:eastAsia="zh-CN"/>
        </w:rPr>
        <w:t xml:space="preserve">第五条 </w:t>
      </w:r>
      <w:r>
        <w:rPr>
          <w:rFonts w:hint="eastAsia" w:ascii="宋体" w:hAnsi="宋体" w:cs="宋体"/>
          <w:color w:val="auto"/>
          <w:spacing w:val="12"/>
          <w:kern w:val="10"/>
          <w:highlight w:val="none"/>
          <w:lang w:eastAsia="zh-CN"/>
        </w:rPr>
        <w:t>安全文明措施费需专款专用，必须在规定许可的范围内安排使用，不得挤占挪用。</w:t>
      </w:r>
    </w:p>
    <w:p w14:paraId="4EDD7540">
      <w:pPr>
        <w:spacing w:line="360" w:lineRule="auto"/>
        <w:ind w:firstLine="530" w:firstLineChars="200"/>
        <w:rPr>
          <w:rFonts w:ascii="宋体" w:hAnsi="宋体" w:cs="宋体"/>
          <w:color w:val="auto"/>
          <w:spacing w:val="12"/>
          <w:kern w:val="10"/>
          <w:highlight w:val="none"/>
          <w:lang w:eastAsia="zh-CN"/>
        </w:rPr>
      </w:pPr>
      <w:r>
        <w:rPr>
          <w:rFonts w:hint="eastAsia" w:ascii="宋体" w:hAnsi="宋体" w:cs="宋体"/>
          <w:b/>
          <w:color w:val="auto"/>
          <w:spacing w:val="12"/>
          <w:kern w:val="10"/>
          <w:highlight w:val="none"/>
          <w:lang w:eastAsia="zh-CN"/>
        </w:rPr>
        <w:t>第六条</w:t>
      </w:r>
      <w:r>
        <w:rPr>
          <w:rFonts w:hint="eastAsia" w:ascii="宋体" w:hAnsi="宋体" w:cs="宋体"/>
          <w:color w:val="auto"/>
          <w:spacing w:val="12"/>
          <w:kern w:val="10"/>
          <w:highlight w:val="none"/>
          <w:lang w:eastAsia="zh-CN"/>
        </w:rPr>
        <w:t xml:space="preserve"> 安全文明施工费应当按照《企业安全费用提取和使用管理办法》（财企〔2012〕16号）及工程属地造价规范的规定在合理范围内使用，使用范围见附表1。</w:t>
      </w:r>
    </w:p>
    <w:p w14:paraId="6EB3E173">
      <w:pPr>
        <w:spacing w:line="360" w:lineRule="auto"/>
        <w:ind w:firstLine="530" w:firstLineChars="200"/>
        <w:rPr>
          <w:rFonts w:ascii="宋体" w:hAnsi="宋体" w:cs="宋体"/>
          <w:color w:val="auto"/>
          <w:spacing w:val="12"/>
          <w:kern w:val="10"/>
          <w:highlight w:val="none"/>
          <w:lang w:eastAsia="zh-CN"/>
        </w:rPr>
      </w:pPr>
      <w:r>
        <w:rPr>
          <w:rFonts w:hint="eastAsia" w:ascii="宋体" w:hAnsi="宋体" w:cs="宋体"/>
          <w:b/>
          <w:color w:val="auto"/>
          <w:spacing w:val="12"/>
          <w:kern w:val="10"/>
          <w:highlight w:val="none"/>
          <w:lang w:eastAsia="zh-CN"/>
        </w:rPr>
        <w:t xml:space="preserve">第七条 </w:t>
      </w:r>
      <w:r>
        <w:rPr>
          <w:rFonts w:hint="eastAsia" w:ascii="宋体" w:hAnsi="宋体" w:cs="宋体"/>
          <w:color w:val="auto"/>
          <w:spacing w:val="12"/>
          <w:kern w:val="10"/>
          <w:highlight w:val="none"/>
          <w:lang w:eastAsia="zh-CN"/>
        </w:rPr>
        <w:t>在签订施工总承包合同前，施工总承包中标单位需要详细调查施工项目所在场地环境条件，分析、研判施工期间存在的安全风险，并结合国家、广东省、广州市有关安全文明施工、环境保护、职业健康等文件要求，合理编制安全文明措施费使用总计划(附表2)、安全文明措施费使用计划明细表（附表3），按照格式要求报送监理单位、建设单位审核。</w:t>
      </w:r>
    </w:p>
    <w:p w14:paraId="672E38EF">
      <w:pPr>
        <w:spacing w:line="360" w:lineRule="auto"/>
        <w:ind w:firstLine="530" w:firstLineChars="200"/>
        <w:rPr>
          <w:rFonts w:ascii="宋体" w:hAnsi="宋体" w:cs="宋体"/>
          <w:color w:val="auto"/>
          <w:spacing w:val="12"/>
          <w:kern w:val="10"/>
          <w:highlight w:val="none"/>
          <w:lang w:eastAsia="zh-CN"/>
        </w:rPr>
      </w:pPr>
      <w:r>
        <w:rPr>
          <w:rFonts w:hint="eastAsia" w:ascii="宋体" w:hAnsi="宋体" w:cs="宋体"/>
          <w:b/>
          <w:color w:val="auto"/>
          <w:spacing w:val="12"/>
          <w:kern w:val="10"/>
          <w:highlight w:val="none"/>
          <w:lang w:eastAsia="zh-CN"/>
        </w:rPr>
        <w:t xml:space="preserve">第八条 </w:t>
      </w:r>
      <w:r>
        <w:rPr>
          <w:rFonts w:hint="eastAsia" w:ascii="宋体" w:hAnsi="宋体" w:cs="宋体"/>
          <w:color w:val="auto"/>
          <w:spacing w:val="12"/>
          <w:kern w:val="10"/>
          <w:highlight w:val="none"/>
          <w:lang w:eastAsia="zh-CN"/>
        </w:rPr>
        <w:t>施工总承包单位应在项目开工前,根据施工总承包合同中安全文明措施费项目清单修订安全文明措施费使用总计划(附表2)、安全文明措施费使用计划明细表（附表3），报监理单位及建设单位审批。施工总承包单位依据审批通过的总计划按照施工进度适时分解到季度安全文明措施费使用计划，每季度末最后一月20日前填报下季度项目季度安全文明措施费使用计划(附表4), 项目季度安全文明措施费使用计划均需上报监理单位、建设单位审批。</w:t>
      </w:r>
    </w:p>
    <w:p w14:paraId="529C6274">
      <w:pPr>
        <w:spacing w:line="360" w:lineRule="auto"/>
        <w:ind w:firstLine="530" w:firstLineChars="200"/>
        <w:rPr>
          <w:rFonts w:ascii="宋体" w:hAnsi="宋体" w:cs="宋体"/>
          <w:color w:val="auto"/>
          <w:spacing w:val="12"/>
          <w:kern w:val="10"/>
          <w:highlight w:val="none"/>
          <w:lang w:eastAsia="zh-CN"/>
        </w:rPr>
      </w:pPr>
      <w:r>
        <w:rPr>
          <w:rFonts w:hint="eastAsia" w:ascii="宋体" w:hAnsi="宋体" w:cs="宋体"/>
          <w:b/>
          <w:color w:val="auto"/>
          <w:spacing w:val="12"/>
          <w:kern w:val="10"/>
          <w:highlight w:val="none"/>
          <w:lang w:eastAsia="zh-CN"/>
        </w:rPr>
        <w:t xml:space="preserve">第九条 </w:t>
      </w:r>
      <w:r>
        <w:rPr>
          <w:rFonts w:hint="eastAsia" w:ascii="宋体" w:hAnsi="宋体" w:cs="宋体"/>
          <w:color w:val="auto"/>
          <w:spacing w:val="12"/>
          <w:kern w:val="10"/>
          <w:highlight w:val="none"/>
          <w:lang w:eastAsia="zh-CN"/>
        </w:rPr>
        <w:t>安全文明措施费计划上报建设单位、监理单位审查审批，经批复后执行。不编制，不上报安全文明措施费使用计划或未经批复,不按批复的计划执行的，不予验收计量认定。如遇特殊情况，在征得建设单位同意后可先实施相关安全文明措施，后补报审批手续。</w:t>
      </w:r>
    </w:p>
    <w:p w14:paraId="7CB63F5C">
      <w:pPr>
        <w:spacing w:line="360" w:lineRule="auto"/>
        <w:ind w:firstLine="530" w:firstLineChars="200"/>
        <w:rPr>
          <w:rFonts w:ascii="宋体" w:hAnsi="宋体" w:cs="宋体"/>
          <w:color w:val="auto"/>
          <w:spacing w:val="12"/>
          <w:kern w:val="10"/>
          <w:highlight w:val="none"/>
          <w:lang w:eastAsia="zh-CN"/>
        </w:rPr>
      </w:pPr>
      <w:r>
        <w:rPr>
          <w:rFonts w:hint="eastAsia" w:ascii="宋体" w:hAnsi="宋体" w:cs="宋体"/>
          <w:b/>
          <w:color w:val="auto"/>
          <w:spacing w:val="12"/>
          <w:kern w:val="10"/>
          <w:highlight w:val="none"/>
          <w:lang w:eastAsia="zh-CN"/>
        </w:rPr>
        <w:t>第十条</w:t>
      </w:r>
      <w:r>
        <w:rPr>
          <w:rFonts w:hint="eastAsia" w:ascii="宋体" w:hAnsi="宋体" w:cs="宋体"/>
          <w:color w:val="auto"/>
          <w:spacing w:val="12"/>
          <w:kern w:val="10"/>
          <w:highlight w:val="none"/>
          <w:lang w:eastAsia="zh-CN"/>
        </w:rPr>
        <w:t xml:space="preserve"> 施工现场发生的安全措施项目在实施完成后，施工单位应以“安全投入工程量现场确认单”（详见附表6）的形式予以签认，此确认单作为安全文明措施费结算的重要依据。</w:t>
      </w:r>
    </w:p>
    <w:p w14:paraId="0A3D6168">
      <w:pPr>
        <w:spacing w:line="360" w:lineRule="auto"/>
        <w:ind w:firstLine="530" w:firstLineChars="200"/>
        <w:rPr>
          <w:rFonts w:ascii="宋体" w:hAnsi="宋体" w:cs="宋体"/>
          <w:color w:val="auto"/>
          <w:spacing w:val="12"/>
          <w:kern w:val="10"/>
          <w:highlight w:val="none"/>
          <w:lang w:eastAsia="zh-CN"/>
        </w:rPr>
      </w:pPr>
      <w:r>
        <w:rPr>
          <w:rFonts w:hint="eastAsia" w:ascii="宋体" w:hAnsi="宋体" w:cs="宋体"/>
          <w:b/>
          <w:color w:val="auto"/>
          <w:spacing w:val="12"/>
          <w:kern w:val="10"/>
          <w:highlight w:val="none"/>
          <w:lang w:eastAsia="zh-CN"/>
        </w:rPr>
        <w:t>第十一条</w:t>
      </w:r>
      <w:r>
        <w:rPr>
          <w:rFonts w:hint="eastAsia" w:ascii="宋体" w:hAnsi="宋体" w:cs="宋体"/>
          <w:color w:val="auto"/>
          <w:spacing w:val="12"/>
          <w:kern w:val="10"/>
          <w:highlight w:val="none"/>
          <w:lang w:eastAsia="zh-CN"/>
        </w:rPr>
        <w:t xml:space="preserve"> 安全文明措施费使用情况应建立台帐，详细记录每笔费用投入方向，开展安全工作具体内容、数量、单价及相关签收手续等，以备地方有关职能部门、建设单位及监理单位检查。</w:t>
      </w:r>
    </w:p>
    <w:p w14:paraId="30150936">
      <w:pPr>
        <w:spacing w:line="360" w:lineRule="auto"/>
        <w:jc w:val="center"/>
        <w:rPr>
          <w:rFonts w:ascii="宋体" w:hAnsi="宋体" w:cs="宋体"/>
          <w:b/>
          <w:color w:val="auto"/>
          <w:spacing w:val="12"/>
          <w:kern w:val="10"/>
          <w:sz w:val="32"/>
          <w:szCs w:val="32"/>
          <w:highlight w:val="none"/>
          <w:lang w:eastAsia="zh-CN"/>
        </w:rPr>
      </w:pPr>
      <w:r>
        <w:rPr>
          <w:rFonts w:hint="eastAsia" w:ascii="宋体" w:hAnsi="宋体" w:cs="宋体"/>
          <w:b/>
          <w:color w:val="auto"/>
          <w:spacing w:val="12"/>
          <w:kern w:val="10"/>
          <w:sz w:val="32"/>
          <w:szCs w:val="32"/>
          <w:highlight w:val="none"/>
          <w:lang w:eastAsia="zh-CN"/>
        </w:rPr>
        <w:t>第三章 安全文明措施费的支付</w:t>
      </w:r>
    </w:p>
    <w:p w14:paraId="4A602A76">
      <w:pPr>
        <w:spacing w:line="360" w:lineRule="auto"/>
        <w:ind w:firstLine="530" w:firstLineChars="200"/>
        <w:rPr>
          <w:rFonts w:ascii="宋体" w:hAnsi="宋体" w:cs="宋体"/>
          <w:color w:val="auto"/>
          <w:spacing w:val="12"/>
          <w:kern w:val="10"/>
          <w:highlight w:val="none"/>
          <w:lang w:eastAsia="zh-CN"/>
        </w:rPr>
      </w:pPr>
      <w:r>
        <w:rPr>
          <w:rFonts w:hint="eastAsia" w:ascii="宋体" w:hAnsi="宋体" w:cs="宋体"/>
          <w:b/>
          <w:color w:val="auto"/>
          <w:spacing w:val="12"/>
          <w:kern w:val="10"/>
          <w:highlight w:val="none"/>
          <w:lang w:eastAsia="zh-CN"/>
        </w:rPr>
        <w:t xml:space="preserve">第十二条 </w:t>
      </w:r>
      <w:r>
        <w:rPr>
          <w:rFonts w:hint="eastAsia" w:ascii="宋体" w:hAnsi="宋体" w:cs="宋体"/>
          <w:color w:val="auto"/>
          <w:spacing w:val="12"/>
          <w:kern w:val="10"/>
          <w:highlight w:val="none"/>
          <w:lang w:eastAsia="zh-CN"/>
        </w:rPr>
        <w:t>安全文明措施费的支付实行“先付后审”，即施工单位应在下一期安全文明措施费支付前，将已支付安全文明措施费的使用依据足额提交建设单位审核，审核合格后方可支付下一期安全文明措施费。</w:t>
      </w:r>
    </w:p>
    <w:p w14:paraId="59E91B1C">
      <w:pPr>
        <w:spacing w:line="360" w:lineRule="auto"/>
        <w:ind w:firstLine="528" w:firstLineChars="200"/>
        <w:rPr>
          <w:rFonts w:ascii="宋体" w:hAnsi="宋体" w:cs="宋体"/>
          <w:color w:val="auto"/>
          <w:spacing w:val="12"/>
          <w:kern w:val="10"/>
          <w:highlight w:val="none"/>
          <w:lang w:eastAsia="zh-CN"/>
        </w:rPr>
      </w:pPr>
      <w:r>
        <w:rPr>
          <w:rFonts w:hint="eastAsia" w:ascii="宋体" w:hAnsi="宋体" w:cs="宋体"/>
          <w:color w:val="auto"/>
          <w:spacing w:val="12"/>
          <w:kern w:val="10"/>
          <w:highlight w:val="none"/>
          <w:lang w:eastAsia="zh-CN"/>
        </w:rPr>
        <w:t>安全文明措施费首次支付为预付款方式，其余按施工总承包合同专用条款约定支付。</w:t>
      </w:r>
    </w:p>
    <w:p w14:paraId="7F79152B">
      <w:pPr>
        <w:spacing w:line="360" w:lineRule="auto"/>
        <w:ind w:firstLine="530" w:firstLineChars="200"/>
        <w:rPr>
          <w:rFonts w:ascii="宋体" w:hAnsi="宋体" w:cs="宋体"/>
          <w:b/>
          <w:color w:val="auto"/>
          <w:spacing w:val="12"/>
          <w:kern w:val="10"/>
          <w:highlight w:val="none"/>
          <w:lang w:eastAsia="zh-CN"/>
        </w:rPr>
      </w:pPr>
      <w:r>
        <w:rPr>
          <w:rFonts w:hint="eastAsia" w:ascii="宋体" w:hAnsi="宋体" w:cs="宋体"/>
          <w:b/>
          <w:color w:val="auto"/>
          <w:spacing w:val="12"/>
          <w:kern w:val="10"/>
          <w:highlight w:val="none"/>
          <w:lang w:eastAsia="zh-CN"/>
        </w:rPr>
        <w:t>第十三条</w:t>
      </w:r>
      <w:r>
        <w:rPr>
          <w:rFonts w:hint="eastAsia" w:ascii="宋体" w:hAnsi="宋体" w:cs="宋体"/>
          <w:color w:val="auto"/>
          <w:spacing w:val="12"/>
          <w:kern w:val="10"/>
          <w:highlight w:val="none"/>
          <w:lang w:eastAsia="zh-CN"/>
        </w:rPr>
        <w:t xml:space="preserve"> 施工单位在每季度末将安全文明措施费使用审查表（附表7）及相关使用证明报监理单位，经监理单位严格审查项目、单价和工程量后，审查合格后方可作为使用依据予以计量。安全文明措施费审查内容包括但不限于：安全生文明措施费使用总计划、季度使用计划，安全文明措施费使用计划明细表，安全投入工程量现场确认单、项目安全费用投入统计台帐、发票凭证（备注注明项目名称）、安全教育培训、安全评估、安全检查等支出需附该活动的文字资料和图片资料、现场安全文明设施验收资料(包括图片资料)、专业分包合同、经监理工程师签证的工程量签证单和单价分析表等。</w:t>
      </w:r>
    </w:p>
    <w:p w14:paraId="396CE592">
      <w:pPr>
        <w:spacing w:line="360" w:lineRule="auto"/>
        <w:ind w:firstLine="530" w:firstLineChars="200"/>
        <w:rPr>
          <w:rFonts w:ascii="宋体" w:hAnsi="宋体" w:cs="宋体"/>
          <w:color w:val="auto"/>
          <w:spacing w:val="12"/>
          <w:kern w:val="10"/>
          <w:highlight w:val="none"/>
          <w:lang w:eastAsia="zh-CN"/>
        </w:rPr>
      </w:pPr>
      <w:r>
        <w:rPr>
          <w:rFonts w:hint="eastAsia" w:ascii="宋体" w:hAnsi="宋体" w:cs="宋体"/>
          <w:b/>
          <w:color w:val="auto"/>
          <w:spacing w:val="12"/>
          <w:kern w:val="10"/>
          <w:highlight w:val="none"/>
          <w:lang w:eastAsia="zh-CN"/>
        </w:rPr>
        <w:t xml:space="preserve">第十四条 </w:t>
      </w:r>
      <w:r>
        <w:rPr>
          <w:rFonts w:hint="eastAsia" w:ascii="宋体" w:hAnsi="宋体" w:cs="宋体"/>
          <w:color w:val="auto"/>
          <w:spacing w:val="12"/>
          <w:kern w:val="10"/>
          <w:highlight w:val="none"/>
          <w:lang w:eastAsia="zh-CN"/>
        </w:rPr>
        <w:t>施工单位在申报安全文明措施费计量结算时要依据审批通过的计划提供用于安全生产投入的票据(收据、发票)、影像资料等证明材料，建设单位、监理单位需对票据的真实性进行审查，账物不符，不得支付安全文明措施费。监理单位要对施工单位的项目安全费用投入统计台帐（附表5）定期检查，做到账物相符，入库、出库、使用记录与统计台账一一对应，保证安全生产物资、设施真正用于安全生产，确保工程安全施工。</w:t>
      </w:r>
    </w:p>
    <w:p w14:paraId="2BC4230C">
      <w:pPr>
        <w:spacing w:line="360" w:lineRule="auto"/>
        <w:ind w:firstLine="530" w:firstLineChars="200"/>
        <w:rPr>
          <w:rFonts w:ascii="宋体" w:hAnsi="宋体" w:cs="宋体"/>
          <w:color w:val="auto"/>
          <w:spacing w:val="12"/>
          <w:kern w:val="10"/>
          <w:highlight w:val="none"/>
          <w:lang w:eastAsia="zh-CN"/>
        </w:rPr>
      </w:pPr>
      <w:r>
        <w:rPr>
          <w:rFonts w:hint="eastAsia" w:ascii="宋体" w:hAnsi="宋体" w:cs="宋体"/>
          <w:b/>
          <w:color w:val="auto"/>
          <w:spacing w:val="12"/>
          <w:kern w:val="10"/>
          <w:highlight w:val="none"/>
          <w:lang w:eastAsia="zh-CN"/>
        </w:rPr>
        <w:t xml:space="preserve">第十五条 </w:t>
      </w:r>
      <w:r>
        <w:rPr>
          <w:rFonts w:hint="eastAsia" w:ascii="宋体" w:hAnsi="宋体" w:cs="宋体"/>
          <w:color w:val="auto"/>
          <w:spacing w:val="12"/>
          <w:kern w:val="10"/>
          <w:highlight w:val="none"/>
          <w:lang w:eastAsia="zh-CN"/>
        </w:rPr>
        <w:t>安全文明措施费应当优先用于安全监督管理部门检查提出的安全整改措施，或为确保各单位生产安全所采取措施及安全生产达标所需支出。</w:t>
      </w:r>
    </w:p>
    <w:p w14:paraId="29CEB4D7">
      <w:pPr>
        <w:spacing w:line="360" w:lineRule="auto"/>
        <w:ind w:firstLine="530" w:firstLineChars="200"/>
        <w:rPr>
          <w:rFonts w:ascii="宋体" w:hAnsi="宋体" w:cs="宋体"/>
          <w:color w:val="auto"/>
          <w:spacing w:val="12"/>
          <w:kern w:val="10"/>
          <w:highlight w:val="none"/>
          <w:lang w:eastAsia="zh-CN"/>
        </w:rPr>
      </w:pPr>
      <w:r>
        <w:rPr>
          <w:rFonts w:hint="eastAsia" w:ascii="宋体" w:hAnsi="宋体" w:cs="宋体"/>
          <w:b/>
          <w:color w:val="auto"/>
          <w:spacing w:val="12"/>
          <w:kern w:val="10"/>
          <w:highlight w:val="none"/>
          <w:lang w:eastAsia="zh-CN"/>
        </w:rPr>
        <w:t>第十六条</w:t>
      </w:r>
      <w:r>
        <w:rPr>
          <w:rFonts w:hint="eastAsia" w:ascii="宋体" w:hAnsi="宋体" w:cs="宋体"/>
          <w:color w:val="auto"/>
          <w:spacing w:val="12"/>
          <w:kern w:val="10"/>
          <w:highlight w:val="none"/>
          <w:lang w:eastAsia="zh-CN"/>
        </w:rPr>
        <w:t xml:space="preserve"> 实行工程总承包的，总承包单位依法将工程分包给</w:t>
      </w:r>
      <w:r>
        <w:rPr>
          <w:rFonts w:hint="eastAsia" w:ascii="宋体" w:hAnsi="宋体" w:cs="宋体"/>
          <w:color w:val="auto"/>
          <w:spacing w:val="12"/>
          <w:kern w:val="10"/>
          <w:highlight w:val="none"/>
          <w:lang w:val="en-US" w:eastAsia="zh-CN"/>
        </w:rPr>
        <w:t>项目业主</w:t>
      </w:r>
      <w:r>
        <w:rPr>
          <w:rFonts w:hint="eastAsia" w:ascii="宋体" w:hAnsi="宋体" w:cs="宋体"/>
          <w:color w:val="auto"/>
          <w:spacing w:val="12"/>
          <w:kern w:val="10"/>
          <w:highlight w:val="none"/>
          <w:lang w:eastAsia="zh-CN"/>
        </w:rPr>
        <w:t>同意分包的其他单位的，总承包单位应当与分包单位在分包合同中明确由分包单位实施的安全措施及分包工程安全文明措施费。</w:t>
      </w:r>
    </w:p>
    <w:p w14:paraId="71BE667E">
      <w:pPr>
        <w:spacing w:line="360" w:lineRule="auto"/>
        <w:ind w:firstLine="528" w:firstLineChars="200"/>
        <w:rPr>
          <w:rFonts w:ascii="宋体" w:hAnsi="宋体" w:cs="宋体"/>
          <w:color w:val="auto"/>
          <w:spacing w:val="12"/>
          <w:kern w:val="10"/>
          <w:highlight w:val="none"/>
          <w:lang w:eastAsia="zh-CN"/>
        </w:rPr>
      </w:pPr>
      <w:r>
        <w:rPr>
          <w:rFonts w:hint="eastAsia" w:ascii="宋体" w:hAnsi="宋体" w:cs="宋体"/>
          <w:color w:val="auto"/>
          <w:spacing w:val="12"/>
          <w:kern w:val="10"/>
          <w:highlight w:val="none"/>
          <w:lang w:eastAsia="zh-CN"/>
        </w:rPr>
        <w:t>若总承包单位未在分包合同中明确由分包单位实施的安全措施及分包工程安全文明措施费的，由该分包单位开具的一切票据将不作为总承包单位安全文明措施费的计量结算依据。</w:t>
      </w:r>
    </w:p>
    <w:p w14:paraId="347EE98B">
      <w:pPr>
        <w:spacing w:line="360" w:lineRule="auto"/>
        <w:jc w:val="center"/>
        <w:rPr>
          <w:rFonts w:ascii="宋体" w:hAnsi="宋体" w:cs="宋体"/>
          <w:b/>
          <w:color w:val="auto"/>
          <w:spacing w:val="12"/>
          <w:kern w:val="10"/>
          <w:sz w:val="32"/>
          <w:szCs w:val="32"/>
          <w:highlight w:val="none"/>
          <w:lang w:eastAsia="zh-CN"/>
        </w:rPr>
      </w:pPr>
      <w:r>
        <w:rPr>
          <w:rFonts w:hint="eastAsia" w:ascii="宋体" w:hAnsi="宋体" w:cs="宋体"/>
          <w:b/>
          <w:color w:val="auto"/>
          <w:spacing w:val="12"/>
          <w:kern w:val="10"/>
          <w:sz w:val="32"/>
          <w:szCs w:val="32"/>
          <w:highlight w:val="none"/>
          <w:lang w:eastAsia="zh-CN"/>
        </w:rPr>
        <w:t>第四章 安全文明措施费的监督管理</w:t>
      </w:r>
    </w:p>
    <w:p w14:paraId="32EDF266">
      <w:pPr>
        <w:spacing w:line="360" w:lineRule="auto"/>
        <w:ind w:firstLine="530" w:firstLineChars="200"/>
        <w:rPr>
          <w:rFonts w:ascii="宋体" w:hAnsi="宋体" w:cs="宋体"/>
          <w:color w:val="auto"/>
          <w:spacing w:val="12"/>
          <w:kern w:val="10"/>
          <w:highlight w:val="none"/>
          <w:lang w:eastAsia="zh-CN"/>
        </w:rPr>
      </w:pPr>
      <w:r>
        <w:rPr>
          <w:rFonts w:hint="eastAsia" w:ascii="宋体" w:hAnsi="宋体" w:cs="宋体"/>
          <w:b/>
          <w:color w:val="auto"/>
          <w:spacing w:val="12"/>
          <w:kern w:val="10"/>
          <w:highlight w:val="none"/>
          <w:lang w:eastAsia="zh-CN"/>
        </w:rPr>
        <w:t xml:space="preserve">第十七条 </w:t>
      </w:r>
      <w:r>
        <w:rPr>
          <w:rFonts w:hint="eastAsia" w:ascii="宋体" w:hAnsi="宋体" w:cs="宋体"/>
          <w:color w:val="auto"/>
          <w:spacing w:val="12"/>
          <w:kern w:val="10"/>
          <w:highlight w:val="none"/>
          <w:lang w:eastAsia="zh-CN"/>
        </w:rPr>
        <w:t>建设单位、监理单位应依据现行的标准、规范定期对工程项目施工现场安全生产情况进行检查评价，对于评价结果不合格的，施工单位应无条件增加不合格项的安全整改投入，施工单位不整改或整改不到位，不予认可处理不合格项发生的费用。</w:t>
      </w:r>
    </w:p>
    <w:p w14:paraId="50DE087F">
      <w:pPr>
        <w:spacing w:line="360" w:lineRule="auto"/>
        <w:ind w:firstLine="530" w:firstLineChars="200"/>
        <w:rPr>
          <w:rFonts w:ascii="宋体" w:hAnsi="宋体" w:cs="宋体"/>
          <w:color w:val="auto"/>
          <w:spacing w:val="12"/>
          <w:kern w:val="10"/>
          <w:highlight w:val="none"/>
          <w:lang w:eastAsia="zh-CN"/>
        </w:rPr>
      </w:pPr>
      <w:r>
        <w:rPr>
          <w:rFonts w:hint="eastAsia" w:ascii="宋体" w:hAnsi="宋体" w:cs="宋体"/>
          <w:b/>
          <w:color w:val="auto"/>
          <w:spacing w:val="12"/>
          <w:kern w:val="10"/>
          <w:highlight w:val="none"/>
          <w:lang w:eastAsia="zh-CN"/>
        </w:rPr>
        <w:t xml:space="preserve">第十八条 </w:t>
      </w:r>
      <w:r>
        <w:rPr>
          <w:rFonts w:hint="eastAsia" w:ascii="宋体" w:hAnsi="宋体" w:cs="宋体"/>
          <w:color w:val="auto"/>
          <w:spacing w:val="12"/>
          <w:kern w:val="10"/>
          <w:highlight w:val="none"/>
          <w:lang w:eastAsia="zh-CN"/>
        </w:rPr>
        <w:t>安全文明措施费专款专用管理作为施工单位竣工结算的必要条件。在办理竣工结算前，施工单位必须将已支付的安全文明措施费使用依据足额提交建设单位审核合格，否则将视为挤占挪用安全文明措施费，情节严重的将不予办理竣工结算。</w:t>
      </w:r>
    </w:p>
    <w:p w14:paraId="7432A4F4">
      <w:pPr>
        <w:spacing w:line="360" w:lineRule="auto"/>
        <w:ind w:firstLine="530" w:firstLineChars="200"/>
        <w:rPr>
          <w:rFonts w:ascii="宋体" w:hAnsi="宋体" w:cs="宋体"/>
          <w:color w:val="auto"/>
          <w:spacing w:val="12"/>
          <w:kern w:val="10"/>
          <w:highlight w:val="none"/>
          <w:lang w:eastAsia="zh-CN"/>
        </w:rPr>
      </w:pPr>
      <w:r>
        <w:rPr>
          <w:rFonts w:hint="eastAsia" w:ascii="宋体" w:hAnsi="宋体" w:cs="宋体"/>
          <w:b/>
          <w:color w:val="auto"/>
          <w:spacing w:val="12"/>
          <w:kern w:val="10"/>
          <w:highlight w:val="none"/>
          <w:lang w:eastAsia="zh-CN"/>
        </w:rPr>
        <w:t>第十九条</w:t>
      </w:r>
      <w:r>
        <w:rPr>
          <w:rFonts w:hint="eastAsia" w:ascii="宋体" w:hAnsi="宋体" w:cs="宋体"/>
          <w:color w:val="auto"/>
          <w:spacing w:val="12"/>
          <w:kern w:val="10"/>
          <w:highlight w:val="none"/>
          <w:lang w:eastAsia="zh-CN"/>
        </w:rPr>
        <w:t xml:space="preserve"> 对于不用或滥用安全文明措施费，未建立安全文明措施费管理制度或管理混乱的施工单位，发出“项目监管函”处理；对安全文明措施费管理问题整改不力或屡教不改的单位，建设单位有权约谈该单位法定代表人。</w:t>
      </w:r>
    </w:p>
    <w:p w14:paraId="2001E4FC">
      <w:pPr>
        <w:spacing w:line="360" w:lineRule="auto"/>
        <w:ind w:firstLine="530" w:firstLineChars="200"/>
        <w:rPr>
          <w:rFonts w:ascii="宋体" w:hAnsi="宋体" w:cs="宋体"/>
          <w:color w:val="auto"/>
          <w:spacing w:val="12"/>
          <w:kern w:val="10"/>
          <w:highlight w:val="none"/>
          <w:lang w:eastAsia="zh-CN"/>
        </w:rPr>
      </w:pPr>
      <w:r>
        <w:rPr>
          <w:rFonts w:hint="eastAsia" w:ascii="宋体" w:hAnsi="宋体" w:cs="宋体"/>
          <w:b/>
          <w:color w:val="auto"/>
          <w:spacing w:val="12"/>
          <w:kern w:val="10"/>
          <w:highlight w:val="none"/>
          <w:lang w:eastAsia="zh-CN"/>
        </w:rPr>
        <w:t>第二十条</w:t>
      </w:r>
      <w:r>
        <w:rPr>
          <w:rFonts w:hint="eastAsia" w:ascii="宋体" w:hAnsi="宋体" w:cs="宋体"/>
          <w:color w:val="auto"/>
          <w:spacing w:val="12"/>
          <w:kern w:val="10"/>
          <w:highlight w:val="none"/>
          <w:lang w:eastAsia="zh-CN"/>
        </w:rPr>
        <w:t xml:space="preserve"> 施工单位未将安全文明措施费正确投入到安全工作中，或安全文明措施费不足时，未按照本办法第五、六条之规定及时列支、投入，对施工单位挤占挪用“安全文明措施费”的部分，施工单位必须在建设单位规定的限期内补齐并落实不合格项的整改，否则建设单位有权对施工单位扣罚挤占挪用部分金额的违约金。若施工单位拒绝整改、或敷衍应付，建设单位有权安排其它单位对建设项目安全工作进行完善，由此引起的费用由相关责任单位承担。</w:t>
      </w:r>
    </w:p>
    <w:p w14:paraId="7D4E18B9">
      <w:pPr>
        <w:spacing w:line="360" w:lineRule="auto"/>
        <w:ind w:firstLine="530" w:firstLineChars="200"/>
        <w:rPr>
          <w:rFonts w:ascii="宋体" w:hAnsi="宋体" w:cs="宋体"/>
          <w:color w:val="auto"/>
          <w:spacing w:val="12"/>
          <w:kern w:val="10"/>
          <w:highlight w:val="none"/>
          <w:lang w:eastAsia="zh-CN"/>
        </w:rPr>
      </w:pPr>
      <w:r>
        <w:rPr>
          <w:rFonts w:hint="eastAsia" w:ascii="宋体" w:hAnsi="宋体" w:cs="宋体"/>
          <w:b/>
          <w:color w:val="auto"/>
          <w:spacing w:val="12"/>
          <w:kern w:val="10"/>
          <w:highlight w:val="none"/>
          <w:lang w:eastAsia="zh-CN"/>
        </w:rPr>
        <w:t xml:space="preserve">第二十一条 </w:t>
      </w:r>
      <w:r>
        <w:rPr>
          <w:rFonts w:hint="eastAsia" w:ascii="宋体" w:hAnsi="宋体" w:cs="宋体"/>
          <w:color w:val="auto"/>
          <w:spacing w:val="12"/>
          <w:kern w:val="10"/>
          <w:highlight w:val="none"/>
          <w:lang w:eastAsia="zh-CN"/>
        </w:rPr>
        <w:t>监理单位应当对施工单位安全文明措施费落实情况实施监理。监理单位发现施工单位在施工现场存在安全隐患、未落实安全文明措施费的，有权要求其改正，施工单位拒不改正的，监理单位应当及时向建设单位报告，必要时依法责令其暂停施工。</w:t>
      </w:r>
    </w:p>
    <w:p w14:paraId="4140DCC0">
      <w:pPr>
        <w:spacing w:line="360" w:lineRule="auto"/>
        <w:ind w:firstLine="528" w:firstLineChars="200"/>
        <w:rPr>
          <w:rFonts w:ascii="宋体" w:hAnsi="宋体" w:cs="宋体"/>
          <w:color w:val="auto"/>
          <w:spacing w:val="12"/>
          <w:kern w:val="10"/>
          <w:highlight w:val="none"/>
          <w:lang w:eastAsia="zh-CN"/>
        </w:rPr>
      </w:pPr>
      <w:r>
        <w:rPr>
          <w:rFonts w:hint="eastAsia" w:ascii="宋体" w:hAnsi="宋体" w:cs="宋体"/>
          <w:color w:val="auto"/>
          <w:spacing w:val="12"/>
          <w:kern w:val="10"/>
          <w:highlight w:val="none"/>
          <w:lang w:eastAsia="zh-CN"/>
        </w:rPr>
        <w:t>建设单位按照</w:t>
      </w:r>
      <w:r>
        <w:rPr>
          <w:rFonts w:hint="eastAsia" w:ascii="宋体" w:hAnsi="宋体" w:cs="宋体"/>
          <w:color w:val="auto"/>
          <w:spacing w:val="12"/>
          <w:kern w:val="10"/>
          <w:highlight w:val="none"/>
          <w:lang w:val="en-US" w:eastAsia="zh-CN"/>
        </w:rPr>
        <w:t>附件九安全协议书第五条</w:t>
      </w:r>
      <w:r>
        <w:rPr>
          <w:rFonts w:hint="eastAsia" w:ascii="宋体" w:hAnsi="宋体" w:cs="宋体"/>
          <w:color w:val="auto"/>
          <w:spacing w:val="12"/>
          <w:kern w:val="10"/>
          <w:highlight w:val="none"/>
          <w:lang w:eastAsia="zh-CN"/>
        </w:rPr>
        <w:t>对未履行安全文明措施费监理职责的监理单位作出处罚。</w:t>
      </w:r>
    </w:p>
    <w:p w14:paraId="0E0E9541">
      <w:pPr>
        <w:spacing w:line="360" w:lineRule="auto"/>
        <w:ind w:firstLine="530" w:firstLineChars="200"/>
        <w:rPr>
          <w:rFonts w:ascii="宋体" w:hAnsi="宋体" w:cs="宋体"/>
          <w:color w:val="auto"/>
          <w:spacing w:val="12"/>
          <w:kern w:val="10"/>
          <w:highlight w:val="none"/>
          <w:lang w:eastAsia="zh-CN"/>
        </w:rPr>
      </w:pPr>
      <w:r>
        <w:rPr>
          <w:rFonts w:hint="eastAsia" w:ascii="宋体" w:hAnsi="宋体" w:cs="宋体"/>
          <w:b/>
          <w:color w:val="auto"/>
          <w:spacing w:val="12"/>
          <w:kern w:val="10"/>
          <w:highlight w:val="none"/>
          <w:lang w:eastAsia="zh-CN"/>
        </w:rPr>
        <w:t xml:space="preserve">第二十二条 </w:t>
      </w:r>
      <w:r>
        <w:rPr>
          <w:rFonts w:hint="eastAsia" w:ascii="宋体" w:hAnsi="宋体" w:cs="宋体"/>
          <w:color w:val="auto"/>
          <w:spacing w:val="12"/>
          <w:kern w:val="10"/>
          <w:highlight w:val="none"/>
          <w:lang w:eastAsia="zh-CN"/>
        </w:rPr>
        <w:t>施工单位、监理单位均需执行本办法使用、管理安全文明措施费，按时提报使用计划，按计划开展工作。</w:t>
      </w:r>
    </w:p>
    <w:p w14:paraId="2C2BC619">
      <w:pPr>
        <w:spacing w:line="360" w:lineRule="auto"/>
        <w:jc w:val="center"/>
        <w:rPr>
          <w:rFonts w:ascii="宋体" w:hAnsi="宋体" w:cs="宋体"/>
          <w:b/>
          <w:color w:val="auto"/>
          <w:spacing w:val="12"/>
          <w:kern w:val="10"/>
          <w:sz w:val="32"/>
          <w:szCs w:val="32"/>
          <w:highlight w:val="none"/>
          <w:lang w:eastAsia="zh-CN"/>
        </w:rPr>
      </w:pPr>
      <w:r>
        <w:rPr>
          <w:rFonts w:hint="eastAsia" w:ascii="宋体" w:hAnsi="宋体" w:cs="宋体"/>
          <w:b/>
          <w:color w:val="auto"/>
          <w:spacing w:val="12"/>
          <w:kern w:val="10"/>
          <w:sz w:val="32"/>
          <w:szCs w:val="32"/>
          <w:highlight w:val="none"/>
          <w:lang w:eastAsia="zh-CN"/>
        </w:rPr>
        <w:t>第五章 附则</w:t>
      </w:r>
    </w:p>
    <w:p w14:paraId="37C818E2">
      <w:pPr>
        <w:spacing w:line="360" w:lineRule="auto"/>
        <w:ind w:firstLine="530" w:firstLineChars="200"/>
        <w:rPr>
          <w:rFonts w:ascii="宋体" w:hAnsi="宋体" w:cs="宋体"/>
          <w:color w:val="auto"/>
          <w:spacing w:val="12"/>
          <w:kern w:val="10"/>
          <w:highlight w:val="none"/>
          <w:lang w:eastAsia="zh-CN"/>
        </w:rPr>
      </w:pPr>
      <w:r>
        <w:rPr>
          <w:rFonts w:hint="eastAsia" w:ascii="宋体" w:hAnsi="宋体" w:cs="宋体"/>
          <w:b/>
          <w:color w:val="auto"/>
          <w:spacing w:val="12"/>
          <w:kern w:val="10"/>
          <w:highlight w:val="none"/>
          <w:lang w:eastAsia="zh-CN"/>
        </w:rPr>
        <w:t xml:space="preserve">第二十三条 </w:t>
      </w:r>
      <w:r>
        <w:rPr>
          <w:rFonts w:hint="eastAsia" w:ascii="宋体" w:hAnsi="宋体" w:cs="宋体"/>
          <w:color w:val="auto"/>
          <w:spacing w:val="12"/>
          <w:kern w:val="10"/>
          <w:highlight w:val="none"/>
          <w:lang w:eastAsia="zh-CN"/>
        </w:rPr>
        <w:t>本办法由甲方负责解释。</w:t>
      </w:r>
    </w:p>
    <w:p w14:paraId="22DA1FC7">
      <w:pPr>
        <w:rPr>
          <w:rFonts w:ascii="宋体" w:hAnsi="宋体" w:cs="宋体"/>
          <w:b/>
          <w:bCs/>
          <w:color w:val="auto"/>
          <w:sz w:val="28"/>
          <w:szCs w:val="28"/>
          <w:highlight w:val="none"/>
          <w:lang w:eastAsia="zh-CN"/>
        </w:rPr>
      </w:pPr>
    </w:p>
    <w:p w14:paraId="7E828C30">
      <w:pPr>
        <w:rPr>
          <w:rFonts w:ascii="宋体" w:hAnsi="宋体" w:cs="宋体"/>
          <w:b/>
          <w:bCs/>
          <w:color w:val="auto"/>
          <w:sz w:val="28"/>
          <w:szCs w:val="28"/>
          <w:highlight w:val="none"/>
          <w:lang w:eastAsia="zh-CN"/>
        </w:rPr>
      </w:pPr>
    </w:p>
    <w:p w14:paraId="553A2807">
      <w:pPr>
        <w:rPr>
          <w:rFonts w:ascii="宋体" w:hAnsi="宋体" w:cs="宋体"/>
          <w:b/>
          <w:bCs/>
          <w:color w:val="auto"/>
          <w:sz w:val="28"/>
          <w:szCs w:val="28"/>
          <w:highlight w:val="none"/>
          <w:lang w:eastAsia="zh-CN"/>
        </w:rPr>
      </w:pPr>
    </w:p>
    <w:p w14:paraId="03BC98A1">
      <w:pPr>
        <w:rPr>
          <w:rFonts w:ascii="宋体" w:hAnsi="宋体" w:cs="宋体"/>
          <w:b/>
          <w:bCs/>
          <w:color w:val="auto"/>
          <w:sz w:val="28"/>
          <w:szCs w:val="28"/>
          <w:highlight w:val="none"/>
          <w:lang w:eastAsia="zh-CN"/>
        </w:rPr>
      </w:pPr>
    </w:p>
    <w:p w14:paraId="1F36B3E1">
      <w:pPr>
        <w:rPr>
          <w:rFonts w:ascii="宋体" w:hAnsi="宋体" w:cs="宋体"/>
          <w:b/>
          <w:bCs/>
          <w:color w:val="auto"/>
          <w:sz w:val="28"/>
          <w:szCs w:val="28"/>
          <w:highlight w:val="none"/>
          <w:lang w:eastAsia="zh-CN"/>
        </w:rPr>
      </w:pPr>
    </w:p>
    <w:p w14:paraId="4369F9EE">
      <w:pPr>
        <w:rPr>
          <w:rFonts w:ascii="宋体" w:hAnsi="宋体" w:cs="宋体"/>
          <w:b/>
          <w:bCs/>
          <w:color w:val="auto"/>
          <w:sz w:val="28"/>
          <w:szCs w:val="28"/>
          <w:highlight w:val="none"/>
          <w:lang w:eastAsia="zh-CN"/>
        </w:rPr>
      </w:pPr>
    </w:p>
    <w:p w14:paraId="2B1FE55A">
      <w:pPr>
        <w:rPr>
          <w:rFonts w:ascii="宋体" w:hAnsi="宋体" w:cs="宋体"/>
          <w:b/>
          <w:bCs/>
          <w:color w:val="auto"/>
          <w:sz w:val="28"/>
          <w:szCs w:val="28"/>
          <w:highlight w:val="none"/>
          <w:lang w:eastAsia="zh-CN"/>
        </w:rPr>
      </w:pPr>
    </w:p>
    <w:p w14:paraId="50763B0F">
      <w:pPr>
        <w:rPr>
          <w:rFonts w:ascii="宋体" w:hAnsi="宋体" w:cs="宋体"/>
          <w:b/>
          <w:bCs/>
          <w:color w:val="auto"/>
          <w:sz w:val="28"/>
          <w:szCs w:val="28"/>
          <w:highlight w:val="none"/>
          <w:lang w:eastAsia="zh-CN"/>
        </w:rPr>
      </w:pPr>
    </w:p>
    <w:p w14:paraId="16B10669">
      <w:pPr>
        <w:rPr>
          <w:rFonts w:ascii="宋体" w:hAnsi="宋体" w:cs="宋体"/>
          <w:b/>
          <w:bCs/>
          <w:color w:val="auto"/>
          <w:sz w:val="28"/>
          <w:szCs w:val="28"/>
          <w:highlight w:val="none"/>
          <w:lang w:eastAsia="zh-CN"/>
        </w:rPr>
      </w:pPr>
    </w:p>
    <w:p w14:paraId="5B6A18D0">
      <w:pPr>
        <w:rPr>
          <w:rFonts w:ascii="宋体" w:hAnsi="宋体" w:cs="宋体"/>
          <w:b/>
          <w:bCs/>
          <w:color w:val="auto"/>
          <w:sz w:val="28"/>
          <w:szCs w:val="28"/>
          <w:highlight w:val="none"/>
          <w:lang w:eastAsia="zh-CN"/>
        </w:rPr>
      </w:pPr>
    </w:p>
    <w:p w14:paraId="4B4C68E6">
      <w:pPr>
        <w:rPr>
          <w:rFonts w:ascii="宋体" w:hAnsi="宋体" w:cs="宋体"/>
          <w:b/>
          <w:bCs/>
          <w:color w:val="auto"/>
          <w:sz w:val="28"/>
          <w:szCs w:val="28"/>
          <w:highlight w:val="none"/>
          <w:lang w:eastAsia="zh-CN"/>
        </w:rPr>
      </w:pPr>
      <w:r>
        <w:rPr>
          <w:rFonts w:ascii="宋体" w:hAnsi="宋体" w:cs="宋体"/>
          <w:b/>
          <w:bCs/>
          <w:color w:val="auto"/>
          <w:sz w:val="28"/>
          <w:szCs w:val="28"/>
          <w:highlight w:val="none"/>
          <w:lang w:eastAsia="zh-CN"/>
        </w:rPr>
        <w:br w:type="page"/>
      </w:r>
    </w:p>
    <w:p w14:paraId="4860C5E2">
      <w:pPr>
        <w:rPr>
          <w:rFonts w:ascii="宋体" w:hAnsi="宋体" w:cs="宋体"/>
          <w:b/>
          <w:bCs/>
          <w:color w:val="auto"/>
          <w:sz w:val="28"/>
          <w:szCs w:val="28"/>
          <w:highlight w:val="none"/>
          <w:lang w:eastAsia="zh-CN"/>
        </w:rPr>
      </w:pPr>
    </w:p>
    <w:p w14:paraId="2235CA08">
      <w:pPr>
        <w:pStyle w:val="12"/>
        <w:rPr>
          <w:rFonts w:ascii="宋体" w:hAnsi="宋体" w:cs="宋体"/>
          <w:color w:val="auto"/>
          <w:highlight w:val="none"/>
          <w:lang w:eastAsia="zh-CN"/>
        </w:rPr>
      </w:pPr>
    </w:p>
    <w:p w14:paraId="36906793">
      <w:pPr>
        <w:pStyle w:val="12"/>
        <w:rPr>
          <w:rFonts w:ascii="宋体" w:hAnsi="宋体" w:cs="宋体"/>
          <w:color w:val="auto"/>
          <w:highlight w:val="none"/>
          <w:lang w:eastAsia="zh-CN"/>
        </w:rPr>
      </w:pPr>
    </w:p>
    <w:p w14:paraId="58867E2D">
      <w:pPr>
        <w:pStyle w:val="12"/>
        <w:rPr>
          <w:rFonts w:ascii="宋体" w:hAnsi="宋体" w:cs="宋体"/>
          <w:color w:val="auto"/>
          <w:highlight w:val="none"/>
          <w:lang w:eastAsia="zh-CN"/>
        </w:rPr>
      </w:pPr>
    </w:p>
    <w:p w14:paraId="5DF6C08C">
      <w:pPr>
        <w:spacing w:line="360" w:lineRule="auto"/>
        <w:rPr>
          <w:rFonts w:hint="eastAsia" w:ascii="宋体" w:hAnsi="宋体" w:cs="宋体"/>
          <w:color w:val="auto"/>
          <w:spacing w:val="12"/>
          <w:kern w:val="10"/>
          <w:sz w:val="32"/>
          <w:szCs w:val="32"/>
          <w:highlight w:val="none"/>
          <w:lang w:eastAsia="zh-CN"/>
        </w:rPr>
      </w:pPr>
      <w:r>
        <w:rPr>
          <w:rFonts w:hint="eastAsia" w:ascii="宋体" w:hAnsi="宋体" w:cs="宋体"/>
          <w:color w:val="auto"/>
          <w:spacing w:val="12"/>
          <w:kern w:val="10"/>
          <w:sz w:val="32"/>
          <w:szCs w:val="32"/>
          <w:highlight w:val="none"/>
          <w:lang w:eastAsia="zh-CN"/>
        </w:rPr>
        <w:t>附表1：</w:t>
      </w:r>
    </w:p>
    <w:p w14:paraId="5C742A78">
      <w:pPr>
        <w:spacing w:line="360" w:lineRule="auto"/>
        <w:rPr>
          <w:rFonts w:hint="eastAsia" w:ascii="宋体" w:hAnsi="宋体" w:cs="宋体"/>
          <w:b/>
          <w:color w:val="auto"/>
          <w:spacing w:val="12"/>
          <w:kern w:val="10"/>
          <w:sz w:val="32"/>
          <w:szCs w:val="32"/>
          <w:highlight w:val="none"/>
          <w:lang w:eastAsia="zh-CN"/>
        </w:rPr>
      </w:pPr>
      <w:r>
        <w:rPr>
          <w:rFonts w:hint="eastAsia" w:ascii="宋体" w:hAnsi="宋体" w:cs="宋体"/>
          <w:b/>
          <w:color w:val="auto"/>
          <w:spacing w:val="12"/>
          <w:kern w:val="10"/>
          <w:sz w:val="32"/>
          <w:szCs w:val="32"/>
          <w:highlight w:val="none"/>
          <w:lang w:eastAsia="zh-CN"/>
        </w:rPr>
        <w:t>安全文明施工费用使用范围：</w:t>
      </w:r>
    </w:p>
    <w:p w14:paraId="0C670816">
      <w:pPr>
        <w:spacing w:line="360" w:lineRule="auto"/>
        <w:ind w:firstLine="528" w:firstLineChars="200"/>
        <w:rPr>
          <w:rFonts w:ascii="宋体" w:hAnsi="宋体" w:cs="宋体"/>
          <w:color w:val="auto"/>
          <w:spacing w:val="12"/>
          <w:kern w:val="10"/>
          <w:highlight w:val="none"/>
          <w:lang w:eastAsia="zh-CN"/>
        </w:rPr>
      </w:pPr>
      <w:r>
        <w:rPr>
          <w:rFonts w:hint="eastAsia" w:ascii="宋体" w:hAnsi="宋体" w:cs="宋体"/>
          <w:color w:val="auto"/>
          <w:spacing w:val="12"/>
          <w:kern w:val="10"/>
          <w:highlight w:val="none"/>
          <w:lang w:eastAsia="zh-CN"/>
        </w:rPr>
        <w:t>（一）完善、改造和维护安全防护设施设备支出（不含“三同时”要求初期投入的安全设施），包括施工现场临时用电系统、洞口、临边、机械设备、高处作业防护、交叉作业防护、防火、防爆、防尘、防毒、防雷、防台风、防地质灾害、地下工程有害气体监测、通风、临时安全防护等设施设备支出；</w:t>
      </w:r>
    </w:p>
    <w:p w14:paraId="470DE129">
      <w:pPr>
        <w:spacing w:line="360" w:lineRule="auto"/>
        <w:ind w:firstLine="528" w:firstLineChars="200"/>
        <w:rPr>
          <w:rFonts w:ascii="宋体" w:hAnsi="宋体" w:cs="宋体"/>
          <w:color w:val="auto"/>
          <w:spacing w:val="12"/>
          <w:kern w:val="10"/>
          <w:highlight w:val="none"/>
          <w:lang w:eastAsia="zh-CN"/>
        </w:rPr>
      </w:pPr>
      <w:r>
        <w:rPr>
          <w:rFonts w:hint="eastAsia" w:ascii="宋体" w:hAnsi="宋体" w:cs="宋体"/>
          <w:color w:val="auto"/>
          <w:spacing w:val="12"/>
          <w:kern w:val="10"/>
          <w:highlight w:val="none"/>
          <w:lang w:eastAsia="zh-CN"/>
        </w:rPr>
        <w:t>（二）配备、维护、保养应急救援器材、设备支出和应急救援队伍建设与应急演练支出；</w:t>
      </w:r>
    </w:p>
    <w:p w14:paraId="21137F07">
      <w:pPr>
        <w:spacing w:line="360" w:lineRule="auto"/>
        <w:ind w:firstLine="528" w:firstLineChars="200"/>
        <w:rPr>
          <w:rFonts w:ascii="宋体" w:hAnsi="宋体" w:cs="宋体"/>
          <w:color w:val="auto"/>
          <w:spacing w:val="12"/>
          <w:kern w:val="10"/>
          <w:highlight w:val="none"/>
          <w:lang w:eastAsia="zh-CN"/>
        </w:rPr>
      </w:pPr>
      <w:r>
        <w:rPr>
          <w:rFonts w:hint="eastAsia" w:ascii="宋体" w:hAnsi="宋体" w:cs="宋体"/>
          <w:color w:val="auto"/>
          <w:spacing w:val="12"/>
          <w:kern w:val="10"/>
          <w:highlight w:val="none"/>
          <w:lang w:eastAsia="zh-CN"/>
        </w:rPr>
        <w:t>（三）开展重大危险源和事故隐患评估、监测监控和整改支出；</w:t>
      </w:r>
    </w:p>
    <w:p w14:paraId="15E4D583">
      <w:pPr>
        <w:spacing w:line="360" w:lineRule="auto"/>
        <w:ind w:firstLine="528" w:firstLineChars="200"/>
        <w:rPr>
          <w:rFonts w:ascii="宋体" w:hAnsi="宋体" w:cs="宋体"/>
          <w:color w:val="auto"/>
          <w:spacing w:val="12"/>
          <w:kern w:val="10"/>
          <w:highlight w:val="none"/>
          <w:lang w:eastAsia="zh-CN"/>
        </w:rPr>
      </w:pPr>
      <w:r>
        <w:rPr>
          <w:rFonts w:hint="eastAsia" w:ascii="宋体" w:hAnsi="宋体" w:cs="宋体"/>
          <w:color w:val="auto"/>
          <w:spacing w:val="12"/>
          <w:kern w:val="10"/>
          <w:highlight w:val="none"/>
          <w:lang w:eastAsia="zh-CN"/>
        </w:rPr>
        <w:t>（四）安全生产检查、评价（不包括新建、改建、扩建项目安全评价）、咨询和标准化建设支出；</w:t>
      </w:r>
    </w:p>
    <w:p w14:paraId="30F2F6B4">
      <w:pPr>
        <w:spacing w:line="360" w:lineRule="auto"/>
        <w:ind w:firstLine="528" w:firstLineChars="200"/>
        <w:rPr>
          <w:rFonts w:ascii="宋体" w:hAnsi="宋体" w:cs="宋体"/>
          <w:color w:val="auto"/>
          <w:spacing w:val="12"/>
          <w:kern w:val="10"/>
          <w:highlight w:val="none"/>
          <w:lang w:eastAsia="zh-CN"/>
        </w:rPr>
      </w:pPr>
      <w:r>
        <w:rPr>
          <w:rFonts w:hint="eastAsia" w:ascii="宋体" w:hAnsi="宋体" w:cs="宋体"/>
          <w:color w:val="auto"/>
          <w:spacing w:val="12"/>
          <w:kern w:val="10"/>
          <w:highlight w:val="none"/>
          <w:lang w:eastAsia="zh-CN"/>
        </w:rPr>
        <w:t>（五）配备和更新现场作业人员安全防护用品支出；</w:t>
      </w:r>
    </w:p>
    <w:p w14:paraId="0FF14156">
      <w:pPr>
        <w:spacing w:line="360" w:lineRule="auto"/>
        <w:ind w:firstLine="528" w:firstLineChars="200"/>
        <w:rPr>
          <w:rFonts w:ascii="宋体" w:hAnsi="宋体" w:cs="宋体"/>
          <w:color w:val="auto"/>
          <w:spacing w:val="12"/>
          <w:kern w:val="10"/>
          <w:highlight w:val="none"/>
          <w:lang w:eastAsia="zh-CN"/>
        </w:rPr>
      </w:pPr>
      <w:r>
        <w:rPr>
          <w:rFonts w:hint="eastAsia" w:ascii="宋体" w:hAnsi="宋体" w:cs="宋体"/>
          <w:color w:val="auto"/>
          <w:spacing w:val="12"/>
          <w:kern w:val="10"/>
          <w:highlight w:val="none"/>
          <w:lang w:eastAsia="zh-CN"/>
        </w:rPr>
        <w:t>（六）安全生产宣传、教育、培训支出；</w:t>
      </w:r>
    </w:p>
    <w:p w14:paraId="10E0526E">
      <w:pPr>
        <w:spacing w:line="360" w:lineRule="auto"/>
        <w:ind w:firstLine="528" w:firstLineChars="200"/>
        <w:rPr>
          <w:rFonts w:ascii="宋体" w:hAnsi="宋体" w:cs="宋体"/>
          <w:color w:val="auto"/>
          <w:spacing w:val="12"/>
          <w:kern w:val="10"/>
          <w:highlight w:val="none"/>
          <w:lang w:eastAsia="zh-CN"/>
        </w:rPr>
      </w:pPr>
      <w:r>
        <w:rPr>
          <w:rFonts w:hint="eastAsia" w:ascii="宋体" w:hAnsi="宋体" w:cs="宋体"/>
          <w:color w:val="auto"/>
          <w:spacing w:val="12"/>
          <w:kern w:val="10"/>
          <w:highlight w:val="none"/>
          <w:lang w:eastAsia="zh-CN"/>
        </w:rPr>
        <w:t>（七）安全生产适用的新技术、新标准、新工艺、新装备的推广应用支出；</w:t>
      </w:r>
    </w:p>
    <w:p w14:paraId="043DF740">
      <w:pPr>
        <w:spacing w:line="360" w:lineRule="auto"/>
        <w:ind w:firstLine="528" w:firstLineChars="200"/>
        <w:rPr>
          <w:rFonts w:ascii="宋体" w:hAnsi="宋体" w:cs="宋体"/>
          <w:color w:val="auto"/>
          <w:spacing w:val="12"/>
          <w:kern w:val="10"/>
          <w:highlight w:val="none"/>
          <w:lang w:eastAsia="zh-CN"/>
        </w:rPr>
      </w:pPr>
      <w:r>
        <w:rPr>
          <w:rFonts w:hint="eastAsia" w:ascii="宋体" w:hAnsi="宋体" w:cs="宋体"/>
          <w:color w:val="auto"/>
          <w:spacing w:val="12"/>
          <w:kern w:val="10"/>
          <w:highlight w:val="none"/>
          <w:lang w:eastAsia="zh-CN"/>
        </w:rPr>
        <w:t>（八）安全设施及特种设备检测检验支出；</w:t>
      </w:r>
    </w:p>
    <w:p w14:paraId="5FEEFA43">
      <w:pPr>
        <w:spacing w:line="360" w:lineRule="auto"/>
        <w:ind w:firstLine="528" w:firstLineChars="200"/>
        <w:rPr>
          <w:rFonts w:ascii="宋体" w:hAnsi="宋体" w:cs="宋体"/>
          <w:color w:val="auto"/>
          <w:spacing w:val="12"/>
          <w:kern w:val="10"/>
          <w:highlight w:val="none"/>
          <w:lang w:eastAsia="zh-CN"/>
        </w:rPr>
      </w:pPr>
      <w:r>
        <w:rPr>
          <w:rFonts w:hint="eastAsia" w:ascii="宋体" w:hAnsi="宋体" w:cs="宋体"/>
          <w:color w:val="auto"/>
          <w:spacing w:val="12"/>
          <w:kern w:val="10"/>
          <w:highlight w:val="none"/>
          <w:lang w:eastAsia="zh-CN"/>
        </w:rPr>
        <w:t>（九）安全生产责任保险支出；</w:t>
      </w:r>
    </w:p>
    <w:p w14:paraId="634D5999">
      <w:pPr>
        <w:spacing w:line="360" w:lineRule="auto"/>
        <w:ind w:firstLine="528" w:firstLineChars="200"/>
        <w:rPr>
          <w:rFonts w:ascii="宋体" w:hAnsi="宋体" w:cs="宋体"/>
          <w:color w:val="auto"/>
          <w:spacing w:val="12"/>
          <w:kern w:val="10"/>
          <w:highlight w:val="none"/>
          <w:lang w:eastAsia="zh-CN"/>
        </w:rPr>
      </w:pPr>
      <w:r>
        <w:rPr>
          <w:rFonts w:hint="eastAsia" w:ascii="宋体" w:hAnsi="宋体" w:cs="宋体"/>
          <w:color w:val="auto"/>
          <w:spacing w:val="12"/>
          <w:kern w:val="10"/>
          <w:highlight w:val="none"/>
          <w:lang w:eastAsia="zh-CN"/>
        </w:rPr>
        <w:t>（十）法律法规及相关标准规定按安全文明施工费计取的其他项目；</w:t>
      </w:r>
    </w:p>
    <w:p w14:paraId="2AB7F651">
      <w:pPr>
        <w:spacing w:line="360" w:lineRule="auto"/>
        <w:ind w:firstLine="528" w:firstLineChars="200"/>
        <w:rPr>
          <w:rFonts w:ascii="宋体" w:hAnsi="宋体" w:cs="宋体"/>
          <w:color w:val="auto"/>
          <w:spacing w:val="12"/>
          <w:kern w:val="10"/>
          <w:highlight w:val="none"/>
          <w:lang w:eastAsia="zh-CN"/>
        </w:rPr>
      </w:pPr>
      <w:r>
        <w:rPr>
          <w:rFonts w:hint="eastAsia" w:ascii="宋体" w:hAnsi="宋体" w:cs="宋体"/>
          <w:color w:val="auto"/>
          <w:spacing w:val="12"/>
          <w:kern w:val="10"/>
          <w:highlight w:val="none"/>
          <w:lang w:eastAsia="zh-CN"/>
        </w:rPr>
        <w:t>（十一）其他与绿色施工、文明施工、环境保护及安全生产直接相关的支出（含支付给分包单位的安全生产费用）。</w:t>
      </w:r>
    </w:p>
    <w:p w14:paraId="34665493">
      <w:pPr>
        <w:spacing w:line="360" w:lineRule="auto"/>
        <w:rPr>
          <w:rFonts w:ascii="宋体" w:hAnsi="宋体" w:cs="宋体"/>
          <w:color w:val="auto"/>
          <w:spacing w:val="12"/>
          <w:kern w:val="10"/>
          <w:highlight w:val="none"/>
          <w:lang w:eastAsia="zh-CN"/>
        </w:rPr>
      </w:pPr>
    </w:p>
    <w:p w14:paraId="6A2D9ECF">
      <w:pPr>
        <w:rPr>
          <w:rFonts w:ascii="宋体" w:hAnsi="宋体" w:cs="宋体"/>
          <w:color w:val="auto"/>
          <w:spacing w:val="12"/>
          <w:kern w:val="10"/>
          <w:sz w:val="32"/>
          <w:szCs w:val="32"/>
          <w:highlight w:val="none"/>
          <w:lang w:eastAsia="zh-CN"/>
        </w:rPr>
      </w:pPr>
    </w:p>
    <w:p w14:paraId="09D56E9F">
      <w:pPr>
        <w:rPr>
          <w:rFonts w:ascii="宋体" w:hAnsi="宋体" w:cs="宋体"/>
          <w:color w:val="auto"/>
          <w:highlight w:val="none"/>
          <w:lang w:eastAsia="zh-CN"/>
        </w:rPr>
        <w:sectPr>
          <w:headerReference r:id="rId10" w:type="default"/>
          <w:pgSz w:w="11906" w:h="16838"/>
          <w:pgMar w:top="1440" w:right="1418" w:bottom="1440" w:left="1418" w:header="851" w:footer="539" w:gutter="0"/>
          <w:cols w:space="720" w:num="1"/>
          <w:docGrid w:linePitch="312" w:charSpace="0"/>
        </w:sectPr>
      </w:pPr>
    </w:p>
    <w:p w14:paraId="4DBB9349">
      <w:pPr>
        <w:spacing w:line="460" w:lineRule="exact"/>
        <w:rPr>
          <w:rFonts w:ascii="宋体" w:hAnsi="宋体" w:cs="宋体"/>
          <w:color w:val="auto"/>
          <w:spacing w:val="12"/>
          <w:kern w:val="10"/>
          <w:sz w:val="32"/>
          <w:szCs w:val="32"/>
          <w:highlight w:val="none"/>
          <w:lang w:eastAsia="zh-CN"/>
        </w:rPr>
      </w:pPr>
      <w:r>
        <w:rPr>
          <w:rFonts w:hint="eastAsia" w:ascii="宋体" w:hAnsi="宋体" w:cs="宋体"/>
          <w:color w:val="auto"/>
          <w:spacing w:val="12"/>
          <w:kern w:val="10"/>
          <w:sz w:val="32"/>
          <w:szCs w:val="32"/>
          <w:highlight w:val="none"/>
          <w:lang w:eastAsia="zh-CN"/>
        </w:rPr>
        <w:t>附表2</w:t>
      </w:r>
    </w:p>
    <w:p w14:paraId="75106776">
      <w:pPr>
        <w:spacing w:line="460" w:lineRule="exact"/>
        <w:jc w:val="center"/>
        <w:rPr>
          <w:rFonts w:ascii="宋体" w:hAnsi="宋体" w:cs="宋体"/>
          <w:b/>
          <w:bCs/>
          <w:color w:val="auto"/>
          <w:sz w:val="30"/>
          <w:szCs w:val="30"/>
          <w:highlight w:val="none"/>
          <w:lang w:eastAsia="zh-CN"/>
        </w:rPr>
      </w:pPr>
      <w:r>
        <w:rPr>
          <w:rFonts w:hint="eastAsia" w:ascii="宋体" w:hAnsi="宋体" w:cs="宋体"/>
          <w:b/>
          <w:bCs/>
          <w:color w:val="auto"/>
          <w:sz w:val="30"/>
          <w:szCs w:val="30"/>
          <w:highlight w:val="none"/>
          <w:lang w:eastAsia="zh-CN"/>
        </w:rPr>
        <w:t>项目安全费用投入总计划</w:t>
      </w:r>
    </w:p>
    <w:p w14:paraId="48595A27">
      <w:pPr>
        <w:spacing w:line="460" w:lineRule="exact"/>
        <w:rPr>
          <w:rFonts w:hint="eastAsia" w:ascii="宋体" w:hAnsi="宋体" w:cs="宋体"/>
          <w:color w:val="auto"/>
          <w:highlight w:val="none"/>
        </w:rPr>
      </w:pPr>
      <w:r>
        <w:rPr>
          <w:rFonts w:hint="eastAsia" w:ascii="宋体" w:hAnsi="宋体" w:cs="宋体"/>
          <w:color w:val="auto"/>
          <w:highlight w:val="none"/>
        </w:rPr>
        <w:t>项目名称：</w:t>
      </w:r>
    </w:p>
    <w:tbl>
      <w:tblPr>
        <w:tblStyle w:val="44"/>
        <w:tblW w:w="0" w:type="auto"/>
        <w:jc w:val="center"/>
        <w:tblLayout w:type="fixed"/>
        <w:tblCellMar>
          <w:top w:w="0" w:type="dxa"/>
          <w:left w:w="108" w:type="dxa"/>
          <w:bottom w:w="0" w:type="dxa"/>
          <w:right w:w="108" w:type="dxa"/>
        </w:tblCellMar>
      </w:tblPr>
      <w:tblGrid>
        <w:gridCol w:w="846"/>
        <w:gridCol w:w="2129"/>
        <w:gridCol w:w="2975"/>
        <w:gridCol w:w="708"/>
        <w:gridCol w:w="2268"/>
      </w:tblGrid>
      <w:tr w14:paraId="760430A4">
        <w:tblPrEx>
          <w:tblCellMar>
            <w:top w:w="0" w:type="dxa"/>
            <w:left w:w="108" w:type="dxa"/>
            <w:bottom w:w="0" w:type="dxa"/>
            <w:right w:w="108" w:type="dxa"/>
          </w:tblCellMar>
        </w:tblPrEx>
        <w:trPr>
          <w:trHeight w:val="463" w:hRule="atLeast"/>
          <w:jc w:val="center"/>
        </w:trPr>
        <w:tc>
          <w:tcPr>
            <w:tcW w:w="846" w:type="dxa"/>
            <w:tcBorders>
              <w:top w:val="single" w:color="auto" w:sz="4" w:space="0"/>
              <w:left w:val="single" w:color="auto" w:sz="4" w:space="0"/>
              <w:bottom w:val="single" w:color="auto" w:sz="4" w:space="0"/>
              <w:right w:val="single" w:color="auto" w:sz="4" w:space="0"/>
            </w:tcBorders>
            <w:noWrap w:val="0"/>
            <w:vAlign w:val="center"/>
          </w:tcPr>
          <w:p w14:paraId="60CDD14D">
            <w:pPr>
              <w:jc w:val="center"/>
              <w:rPr>
                <w:rFonts w:ascii="宋体" w:hAnsi="宋体" w:cs="宋体"/>
                <w:color w:val="auto"/>
                <w:highlight w:val="none"/>
              </w:rPr>
            </w:pPr>
            <w:r>
              <w:rPr>
                <w:rFonts w:hint="eastAsia" w:ascii="宋体" w:hAnsi="宋体" w:cs="宋体"/>
                <w:color w:val="auto"/>
                <w:highlight w:val="none"/>
              </w:rPr>
              <w:t>序号</w:t>
            </w:r>
          </w:p>
        </w:tc>
        <w:tc>
          <w:tcPr>
            <w:tcW w:w="5812" w:type="dxa"/>
            <w:gridSpan w:val="3"/>
            <w:tcBorders>
              <w:top w:val="single" w:color="auto" w:sz="4" w:space="0"/>
              <w:left w:val="nil"/>
              <w:bottom w:val="single" w:color="auto" w:sz="4" w:space="0"/>
              <w:right w:val="single" w:color="auto" w:sz="4" w:space="0"/>
            </w:tcBorders>
            <w:noWrap w:val="0"/>
            <w:vAlign w:val="center"/>
          </w:tcPr>
          <w:p w14:paraId="70020C2F">
            <w:pPr>
              <w:jc w:val="center"/>
              <w:rPr>
                <w:rFonts w:ascii="宋体" w:hAnsi="宋体" w:cs="宋体"/>
                <w:color w:val="auto"/>
                <w:highlight w:val="none"/>
              </w:rPr>
            </w:pPr>
            <w:r>
              <w:rPr>
                <w:rFonts w:hint="eastAsia" w:ascii="宋体" w:hAnsi="宋体" w:cs="宋体"/>
                <w:color w:val="auto"/>
                <w:highlight w:val="none"/>
              </w:rPr>
              <w:t>安  全  用  款  范  围</w:t>
            </w:r>
          </w:p>
        </w:tc>
        <w:tc>
          <w:tcPr>
            <w:tcW w:w="2268" w:type="dxa"/>
            <w:tcBorders>
              <w:top w:val="single" w:color="auto" w:sz="4" w:space="0"/>
              <w:left w:val="nil"/>
              <w:bottom w:val="single" w:color="auto" w:sz="4" w:space="0"/>
              <w:right w:val="single" w:color="auto" w:sz="4" w:space="0"/>
            </w:tcBorders>
            <w:noWrap w:val="0"/>
            <w:vAlign w:val="center"/>
          </w:tcPr>
          <w:p w14:paraId="6A0344D7">
            <w:pPr>
              <w:jc w:val="center"/>
              <w:rPr>
                <w:rFonts w:ascii="宋体" w:hAnsi="宋体" w:cs="宋体"/>
                <w:color w:val="auto"/>
                <w:highlight w:val="none"/>
              </w:rPr>
            </w:pPr>
            <w:r>
              <w:rPr>
                <w:rFonts w:hint="eastAsia" w:ascii="宋体" w:hAnsi="宋体" w:cs="宋体"/>
                <w:color w:val="auto"/>
                <w:highlight w:val="none"/>
              </w:rPr>
              <w:t>金  额（元）</w:t>
            </w:r>
          </w:p>
        </w:tc>
      </w:tr>
      <w:tr w14:paraId="2D759885">
        <w:tblPrEx>
          <w:tblCellMar>
            <w:top w:w="0" w:type="dxa"/>
            <w:left w:w="108" w:type="dxa"/>
            <w:bottom w:w="0" w:type="dxa"/>
            <w:right w:w="108" w:type="dxa"/>
          </w:tblCellMar>
        </w:tblPrEx>
        <w:trPr>
          <w:trHeight w:val="640" w:hRule="atLeast"/>
          <w:jc w:val="center"/>
        </w:trPr>
        <w:tc>
          <w:tcPr>
            <w:tcW w:w="846" w:type="dxa"/>
            <w:tcBorders>
              <w:top w:val="nil"/>
              <w:left w:val="single" w:color="auto" w:sz="4" w:space="0"/>
              <w:bottom w:val="single" w:color="auto" w:sz="4" w:space="0"/>
              <w:right w:val="single" w:color="auto" w:sz="4" w:space="0"/>
            </w:tcBorders>
            <w:noWrap w:val="0"/>
            <w:vAlign w:val="center"/>
          </w:tcPr>
          <w:p w14:paraId="37ED77D0">
            <w:pPr>
              <w:jc w:val="center"/>
              <w:rPr>
                <w:rFonts w:ascii="宋体" w:hAnsi="宋体" w:cs="宋体"/>
                <w:color w:val="auto"/>
                <w:highlight w:val="none"/>
              </w:rPr>
            </w:pPr>
            <w:r>
              <w:rPr>
                <w:rFonts w:hint="eastAsia" w:ascii="宋体" w:hAnsi="宋体" w:cs="宋体"/>
                <w:color w:val="auto"/>
                <w:highlight w:val="none"/>
              </w:rPr>
              <w:t>1</w:t>
            </w:r>
          </w:p>
        </w:tc>
        <w:tc>
          <w:tcPr>
            <w:tcW w:w="5812" w:type="dxa"/>
            <w:gridSpan w:val="3"/>
            <w:tcBorders>
              <w:top w:val="nil"/>
              <w:left w:val="nil"/>
              <w:bottom w:val="single" w:color="auto" w:sz="4" w:space="0"/>
              <w:right w:val="single" w:color="auto" w:sz="4" w:space="0"/>
            </w:tcBorders>
            <w:noWrap w:val="0"/>
            <w:vAlign w:val="center"/>
          </w:tcPr>
          <w:p w14:paraId="7C64013B">
            <w:pPr>
              <w:rPr>
                <w:rFonts w:ascii="宋体" w:hAnsi="宋体" w:cs="宋体"/>
                <w:color w:val="auto"/>
                <w:highlight w:val="none"/>
                <w:lang w:eastAsia="zh-CN"/>
              </w:rPr>
            </w:pPr>
            <w:r>
              <w:rPr>
                <w:rFonts w:hint="eastAsia" w:ascii="宋体" w:hAnsi="宋体" w:cs="宋体"/>
                <w:color w:val="auto"/>
                <w:highlight w:val="none"/>
                <w:lang w:eastAsia="zh-CN"/>
              </w:rPr>
              <w:t>完善、改造和维护安全防护设施设备支出</w:t>
            </w:r>
          </w:p>
        </w:tc>
        <w:tc>
          <w:tcPr>
            <w:tcW w:w="2268" w:type="dxa"/>
            <w:tcBorders>
              <w:top w:val="single" w:color="auto" w:sz="4" w:space="0"/>
              <w:left w:val="nil"/>
              <w:bottom w:val="single" w:color="auto" w:sz="4" w:space="0"/>
              <w:right w:val="single" w:color="auto" w:sz="4" w:space="0"/>
            </w:tcBorders>
            <w:noWrap w:val="0"/>
            <w:vAlign w:val="center"/>
          </w:tcPr>
          <w:p w14:paraId="467FF3AF">
            <w:pPr>
              <w:jc w:val="center"/>
              <w:rPr>
                <w:rFonts w:ascii="宋体" w:hAnsi="宋体" w:cs="宋体"/>
                <w:color w:val="auto"/>
                <w:highlight w:val="none"/>
                <w:lang w:eastAsia="zh-CN"/>
              </w:rPr>
            </w:pPr>
          </w:p>
        </w:tc>
      </w:tr>
      <w:tr w14:paraId="2AB49125">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noWrap w:val="0"/>
            <w:vAlign w:val="center"/>
          </w:tcPr>
          <w:p w14:paraId="5900F8AF">
            <w:pPr>
              <w:jc w:val="center"/>
              <w:rPr>
                <w:rFonts w:ascii="宋体" w:hAnsi="宋体" w:cs="宋体"/>
                <w:color w:val="auto"/>
                <w:highlight w:val="none"/>
              </w:rPr>
            </w:pPr>
            <w:r>
              <w:rPr>
                <w:rFonts w:hint="eastAsia" w:ascii="宋体" w:hAnsi="宋体" w:cs="宋体"/>
                <w:color w:val="auto"/>
                <w:highlight w:val="none"/>
              </w:rPr>
              <w:t>2</w:t>
            </w:r>
          </w:p>
        </w:tc>
        <w:tc>
          <w:tcPr>
            <w:tcW w:w="5812" w:type="dxa"/>
            <w:gridSpan w:val="3"/>
            <w:tcBorders>
              <w:top w:val="nil"/>
              <w:left w:val="nil"/>
              <w:bottom w:val="single" w:color="auto" w:sz="4" w:space="0"/>
              <w:right w:val="single" w:color="auto" w:sz="4" w:space="0"/>
            </w:tcBorders>
            <w:noWrap w:val="0"/>
            <w:vAlign w:val="center"/>
          </w:tcPr>
          <w:p w14:paraId="0BE521D2">
            <w:pPr>
              <w:rPr>
                <w:rFonts w:ascii="宋体" w:hAnsi="宋体" w:cs="宋体"/>
                <w:color w:val="auto"/>
                <w:highlight w:val="none"/>
                <w:lang w:eastAsia="zh-CN"/>
              </w:rPr>
            </w:pPr>
            <w:r>
              <w:rPr>
                <w:rFonts w:hint="eastAsia" w:ascii="宋体" w:hAnsi="宋体" w:cs="宋体"/>
                <w:color w:val="auto"/>
                <w:highlight w:val="none"/>
                <w:lang w:eastAsia="zh-CN"/>
              </w:rPr>
              <w:t>配备、维护、保养应急救援器材、设备支出和应急救援队伍建设与应急演练支出</w:t>
            </w:r>
          </w:p>
        </w:tc>
        <w:tc>
          <w:tcPr>
            <w:tcW w:w="2268" w:type="dxa"/>
            <w:tcBorders>
              <w:top w:val="single" w:color="auto" w:sz="4" w:space="0"/>
              <w:left w:val="nil"/>
              <w:bottom w:val="single" w:color="auto" w:sz="4" w:space="0"/>
              <w:right w:val="single" w:color="auto" w:sz="4" w:space="0"/>
            </w:tcBorders>
            <w:noWrap w:val="0"/>
            <w:vAlign w:val="center"/>
          </w:tcPr>
          <w:p w14:paraId="295C7905">
            <w:pPr>
              <w:jc w:val="center"/>
              <w:rPr>
                <w:rFonts w:ascii="宋体" w:hAnsi="宋体" w:cs="宋体"/>
                <w:color w:val="auto"/>
                <w:highlight w:val="none"/>
                <w:lang w:eastAsia="zh-CN"/>
              </w:rPr>
            </w:pPr>
          </w:p>
        </w:tc>
      </w:tr>
      <w:tr w14:paraId="43D1C73E">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noWrap w:val="0"/>
            <w:vAlign w:val="center"/>
          </w:tcPr>
          <w:p w14:paraId="197C165C">
            <w:pPr>
              <w:jc w:val="center"/>
              <w:rPr>
                <w:rFonts w:ascii="宋体" w:hAnsi="宋体" w:cs="宋体"/>
                <w:color w:val="auto"/>
                <w:highlight w:val="none"/>
              </w:rPr>
            </w:pPr>
            <w:r>
              <w:rPr>
                <w:rFonts w:hint="eastAsia" w:ascii="宋体" w:hAnsi="宋体" w:cs="宋体"/>
                <w:color w:val="auto"/>
                <w:highlight w:val="none"/>
              </w:rPr>
              <w:t>3</w:t>
            </w:r>
          </w:p>
        </w:tc>
        <w:tc>
          <w:tcPr>
            <w:tcW w:w="5812" w:type="dxa"/>
            <w:gridSpan w:val="3"/>
            <w:tcBorders>
              <w:top w:val="nil"/>
              <w:left w:val="nil"/>
              <w:bottom w:val="single" w:color="auto" w:sz="4" w:space="0"/>
              <w:right w:val="single" w:color="auto" w:sz="4" w:space="0"/>
            </w:tcBorders>
            <w:noWrap w:val="0"/>
            <w:vAlign w:val="center"/>
          </w:tcPr>
          <w:p w14:paraId="1E7CB85A">
            <w:pPr>
              <w:rPr>
                <w:rFonts w:ascii="宋体" w:hAnsi="宋体" w:cs="宋体"/>
                <w:color w:val="auto"/>
                <w:highlight w:val="none"/>
                <w:lang w:eastAsia="zh-CN"/>
              </w:rPr>
            </w:pPr>
            <w:r>
              <w:rPr>
                <w:rFonts w:hint="eastAsia" w:ascii="宋体" w:hAnsi="宋体" w:cs="宋体"/>
                <w:color w:val="auto"/>
                <w:highlight w:val="none"/>
                <w:lang w:eastAsia="zh-CN"/>
              </w:rPr>
              <w:t>开展重大危险源和事故隐患评估、监测监控和整改支出</w:t>
            </w:r>
          </w:p>
        </w:tc>
        <w:tc>
          <w:tcPr>
            <w:tcW w:w="2268" w:type="dxa"/>
            <w:tcBorders>
              <w:top w:val="single" w:color="auto" w:sz="4" w:space="0"/>
              <w:left w:val="nil"/>
              <w:bottom w:val="single" w:color="auto" w:sz="4" w:space="0"/>
              <w:right w:val="single" w:color="auto" w:sz="4" w:space="0"/>
            </w:tcBorders>
            <w:noWrap w:val="0"/>
            <w:vAlign w:val="center"/>
          </w:tcPr>
          <w:p w14:paraId="6188F33C">
            <w:pPr>
              <w:jc w:val="center"/>
              <w:rPr>
                <w:rFonts w:ascii="宋体" w:hAnsi="宋体" w:cs="宋体"/>
                <w:color w:val="auto"/>
                <w:highlight w:val="none"/>
                <w:lang w:eastAsia="zh-CN"/>
              </w:rPr>
            </w:pPr>
          </w:p>
        </w:tc>
      </w:tr>
      <w:tr w14:paraId="0AC126DB">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noWrap w:val="0"/>
            <w:vAlign w:val="center"/>
          </w:tcPr>
          <w:p w14:paraId="14E91BD5">
            <w:pPr>
              <w:jc w:val="center"/>
              <w:rPr>
                <w:rFonts w:ascii="宋体" w:hAnsi="宋体" w:cs="宋体"/>
                <w:color w:val="auto"/>
                <w:highlight w:val="none"/>
              </w:rPr>
            </w:pPr>
            <w:r>
              <w:rPr>
                <w:rFonts w:hint="eastAsia" w:ascii="宋体" w:hAnsi="宋体" w:cs="宋体"/>
                <w:color w:val="auto"/>
                <w:highlight w:val="none"/>
              </w:rPr>
              <w:t>4</w:t>
            </w:r>
          </w:p>
        </w:tc>
        <w:tc>
          <w:tcPr>
            <w:tcW w:w="5812" w:type="dxa"/>
            <w:gridSpan w:val="3"/>
            <w:tcBorders>
              <w:top w:val="nil"/>
              <w:left w:val="nil"/>
              <w:bottom w:val="single" w:color="auto" w:sz="4" w:space="0"/>
              <w:right w:val="single" w:color="auto" w:sz="4" w:space="0"/>
            </w:tcBorders>
            <w:noWrap w:val="0"/>
            <w:vAlign w:val="center"/>
          </w:tcPr>
          <w:p w14:paraId="756698C2">
            <w:pPr>
              <w:rPr>
                <w:rFonts w:ascii="宋体" w:hAnsi="宋体" w:cs="宋体"/>
                <w:color w:val="auto"/>
                <w:highlight w:val="none"/>
                <w:lang w:eastAsia="zh-CN"/>
              </w:rPr>
            </w:pPr>
            <w:r>
              <w:rPr>
                <w:rFonts w:hint="eastAsia" w:ascii="宋体" w:hAnsi="宋体" w:cs="宋体"/>
                <w:color w:val="auto"/>
                <w:highlight w:val="none"/>
                <w:lang w:eastAsia="zh-CN"/>
              </w:rPr>
              <w:t>安全生产检查、评价（不包括新建、改建、扩建项目安全评价）、咨询和标准化建设支出</w:t>
            </w:r>
          </w:p>
        </w:tc>
        <w:tc>
          <w:tcPr>
            <w:tcW w:w="2268" w:type="dxa"/>
            <w:tcBorders>
              <w:top w:val="single" w:color="auto" w:sz="4" w:space="0"/>
              <w:left w:val="nil"/>
              <w:bottom w:val="single" w:color="auto" w:sz="4" w:space="0"/>
              <w:right w:val="single" w:color="auto" w:sz="4" w:space="0"/>
            </w:tcBorders>
            <w:noWrap w:val="0"/>
            <w:vAlign w:val="center"/>
          </w:tcPr>
          <w:p w14:paraId="3E2050A6">
            <w:pPr>
              <w:jc w:val="center"/>
              <w:rPr>
                <w:rFonts w:ascii="宋体" w:hAnsi="宋体" w:cs="宋体"/>
                <w:color w:val="auto"/>
                <w:highlight w:val="none"/>
                <w:lang w:eastAsia="zh-CN"/>
              </w:rPr>
            </w:pPr>
          </w:p>
        </w:tc>
      </w:tr>
      <w:tr w14:paraId="7AF6D883">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noWrap w:val="0"/>
            <w:vAlign w:val="center"/>
          </w:tcPr>
          <w:p w14:paraId="63B0F551">
            <w:pPr>
              <w:jc w:val="center"/>
              <w:rPr>
                <w:rFonts w:ascii="宋体" w:hAnsi="宋体" w:cs="宋体"/>
                <w:color w:val="auto"/>
                <w:highlight w:val="none"/>
              </w:rPr>
            </w:pPr>
            <w:r>
              <w:rPr>
                <w:rFonts w:hint="eastAsia" w:ascii="宋体" w:hAnsi="宋体" w:cs="宋体"/>
                <w:color w:val="auto"/>
                <w:highlight w:val="none"/>
              </w:rPr>
              <w:t>5</w:t>
            </w:r>
          </w:p>
        </w:tc>
        <w:tc>
          <w:tcPr>
            <w:tcW w:w="5812" w:type="dxa"/>
            <w:gridSpan w:val="3"/>
            <w:tcBorders>
              <w:top w:val="nil"/>
              <w:left w:val="nil"/>
              <w:bottom w:val="single" w:color="auto" w:sz="4" w:space="0"/>
              <w:right w:val="single" w:color="auto" w:sz="4" w:space="0"/>
            </w:tcBorders>
            <w:noWrap w:val="0"/>
            <w:vAlign w:val="center"/>
          </w:tcPr>
          <w:p w14:paraId="1B046E58">
            <w:pPr>
              <w:rPr>
                <w:rFonts w:ascii="宋体" w:hAnsi="宋体" w:cs="宋体"/>
                <w:color w:val="auto"/>
                <w:highlight w:val="none"/>
                <w:lang w:eastAsia="zh-CN"/>
              </w:rPr>
            </w:pPr>
            <w:r>
              <w:rPr>
                <w:rFonts w:hint="eastAsia" w:ascii="宋体" w:hAnsi="宋体" w:cs="宋体"/>
                <w:color w:val="auto"/>
                <w:highlight w:val="none"/>
                <w:lang w:eastAsia="zh-CN"/>
              </w:rPr>
              <w:t>配备和更新现场作业人员安全防护用品支出</w:t>
            </w:r>
          </w:p>
        </w:tc>
        <w:tc>
          <w:tcPr>
            <w:tcW w:w="2268" w:type="dxa"/>
            <w:tcBorders>
              <w:top w:val="single" w:color="auto" w:sz="4" w:space="0"/>
              <w:left w:val="nil"/>
              <w:bottom w:val="single" w:color="auto" w:sz="4" w:space="0"/>
              <w:right w:val="single" w:color="auto" w:sz="4" w:space="0"/>
            </w:tcBorders>
            <w:noWrap w:val="0"/>
            <w:vAlign w:val="center"/>
          </w:tcPr>
          <w:p w14:paraId="22963706">
            <w:pPr>
              <w:jc w:val="center"/>
              <w:rPr>
                <w:rFonts w:ascii="宋体" w:hAnsi="宋体" w:cs="宋体"/>
                <w:color w:val="auto"/>
                <w:highlight w:val="none"/>
                <w:lang w:eastAsia="zh-CN"/>
              </w:rPr>
            </w:pPr>
          </w:p>
        </w:tc>
      </w:tr>
      <w:tr w14:paraId="64E3766E">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noWrap w:val="0"/>
            <w:vAlign w:val="center"/>
          </w:tcPr>
          <w:p w14:paraId="489A702C">
            <w:pPr>
              <w:jc w:val="center"/>
              <w:rPr>
                <w:rFonts w:ascii="宋体" w:hAnsi="宋体" w:cs="宋体"/>
                <w:color w:val="auto"/>
                <w:highlight w:val="none"/>
              </w:rPr>
            </w:pPr>
            <w:r>
              <w:rPr>
                <w:rFonts w:hint="eastAsia" w:ascii="宋体" w:hAnsi="宋体" w:cs="宋体"/>
                <w:color w:val="auto"/>
                <w:highlight w:val="none"/>
              </w:rPr>
              <w:t>6</w:t>
            </w:r>
          </w:p>
        </w:tc>
        <w:tc>
          <w:tcPr>
            <w:tcW w:w="5812" w:type="dxa"/>
            <w:gridSpan w:val="3"/>
            <w:tcBorders>
              <w:top w:val="nil"/>
              <w:left w:val="nil"/>
              <w:bottom w:val="single" w:color="auto" w:sz="4" w:space="0"/>
              <w:right w:val="single" w:color="auto" w:sz="4" w:space="0"/>
            </w:tcBorders>
            <w:noWrap w:val="0"/>
            <w:vAlign w:val="center"/>
          </w:tcPr>
          <w:p w14:paraId="39BE163E">
            <w:pPr>
              <w:rPr>
                <w:rFonts w:ascii="宋体" w:hAnsi="宋体" w:cs="宋体"/>
                <w:color w:val="auto"/>
                <w:highlight w:val="none"/>
                <w:lang w:eastAsia="zh-CN"/>
              </w:rPr>
            </w:pPr>
            <w:r>
              <w:rPr>
                <w:rFonts w:hint="eastAsia" w:ascii="宋体" w:hAnsi="宋体" w:cs="宋体"/>
                <w:color w:val="auto"/>
                <w:highlight w:val="none"/>
                <w:lang w:eastAsia="zh-CN"/>
              </w:rPr>
              <w:t>安全生产宣传、教育、培训支出</w:t>
            </w:r>
          </w:p>
        </w:tc>
        <w:tc>
          <w:tcPr>
            <w:tcW w:w="2268" w:type="dxa"/>
            <w:tcBorders>
              <w:top w:val="single" w:color="auto" w:sz="4" w:space="0"/>
              <w:left w:val="nil"/>
              <w:bottom w:val="single" w:color="auto" w:sz="4" w:space="0"/>
              <w:right w:val="single" w:color="auto" w:sz="4" w:space="0"/>
            </w:tcBorders>
            <w:noWrap w:val="0"/>
            <w:vAlign w:val="center"/>
          </w:tcPr>
          <w:p w14:paraId="39556E7C">
            <w:pPr>
              <w:jc w:val="center"/>
              <w:rPr>
                <w:rFonts w:ascii="宋体" w:hAnsi="宋体" w:cs="宋体"/>
                <w:color w:val="auto"/>
                <w:highlight w:val="none"/>
                <w:lang w:eastAsia="zh-CN"/>
              </w:rPr>
            </w:pPr>
          </w:p>
        </w:tc>
      </w:tr>
      <w:tr w14:paraId="3A851E1B">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noWrap w:val="0"/>
            <w:vAlign w:val="center"/>
          </w:tcPr>
          <w:p w14:paraId="5E9BB1F0">
            <w:pPr>
              <w:jc w:val="center"/>
              <w:rPr>
                <w:rFonts w:ascii="宋体" w:hAnsi="宋体" w:cs="宋体"/>
                <w:color w:val="auto"/>
                <w:highlight w:val="none"/>
              </w:rPr>
            </w:pPr>
            <w:r>
              <w:rPr>
                <w:rFonts w:hint="eastAsia" w:ascii="宋体" w:hAnsi="宋体" w:cs="宋体"/>
                <w:color w:val="auto"/>
                <w:highlight w:val="none"/>
              </w:rPr>
              <w:t>7</w:t>
            </w:r>
          </w:p>
        </w:tc>
        <w:tc>
          <w:tcPr>
            <w:tcW w:w="5812" w:type="dxa"/>
            <w:gridSpan w:val="3"/>
            <w:tcBorders>
              <w:top w:val="nil"/>
              <w:left w:val="nil"/>
              <w:bottom w:val="single" w:color="auto" w:sz="4" w:space="0"/>
              <w:right w:val="single" w:color="auto" w:sz="4" w:space="0"/>
            </w:tcBorders>
            <w:noWrap w:val="0"/>
            <w:vAlign w:val="center"/>
          </w:tcPr>
          <w:p w14:paraId="70FC95E6">
            <w:pPr>
              <w:rPr>
                <w:rFonts w:ascii="宋体" w:hAnsi="宋体" w:cs="宋体"/>
                <w:color w:val="auto"/>
                <w:highlight w:val="none"/>
                <w:lang w:eastAsia="zh-CN"/>
              </w:rPr>
            </w:pPr>
            <w:r>
              <w:rPr>
                <w:rFonts w:hint="eastAsia" w:ascii="宋体" w:hAnsi="宋体" w:cs="宋体"/>
                <w:color w:val="auto"/>
                <w:highlight w:val="none"/>
                <w:lang w:eastAsia="zh-CN"/>
              </w:rPr>
              <w:t>安全生产适用的新技术、新标准、新工艺、新装备的推广应用支出</w:t>
            </w:r>
          </w:p>
        </w:tc>
        <w:tc>
          <w:tcPr>
            <w:tcW w:w="2268" w:type="dxa"/>
            <w:tcBorders>
              <w:top w:val="single" w:color="auto" w:sz="4" w:space="0"/>
              <w:left w:val="nil"/>
              <w:bottom w:val="single" w:color="auto" w:sz="4" w:space="0"/>
              <w:right w:val="single" w:color="auto" w:sz="4" w:space="0"/>
            </w:tcBorders>
            <w:noWrap w:val="0"/>
            <w:vAlign w:val="center"/>
          </w:tcPr>
          <w:p w14:paraId="3E6B0EB9">
            <w:pPr>
              <w:jc w:val="center"/>
              <w:rPr>
                <w:rFonts w:ascii="宋体" w:hAnsi="宋体" w:cs="宋体"/>
                <w:color w:val="auto"/>
                <w:highlight w:val="none"/>
                <w:lang w:eastAsia="zh-CN"/>
              </w:rPr>
            </w:pPr>
          </w:p>
        </w:tc>
      </w:tr>
      <w:tr w14:paraId="307E0A7D">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noWrap w:val="0"/>
            <w:vAlign w:val="center"/>
          </w:tcPr>
          <w:p w14:paraId="30347B57">
            <w:pPr>
              <w:jc w:val="center"/>
              <w:rPr>
                <w:rFonts w:ascii="宋体" w:hAnsi="宋体" w:cs="宋体"/>
                <w:color w:val="auto"/>
                <w:highlight w:val="none"/>
              </w:rPr>
            </w:pPr>
            <w:r>
              <w:rPr>
                <w:rFonts w:hint="eastAsia" w:ascii="宋体" w:hAnsi="宋体" w:cs="宋体"/>
                <w:color w:val="auto"/>
                <w:highlight w:val="none"/>
              </w:rPr>
              <w:t>8</w:t>
            </w:r>
          </w:p>
        </w:tc>
        <w:tc>
          <w:tcPr>
            <w:tcW w:w="5812" w:type="dxa"/>
            <w:gridSpan w:val="3"/>
            <w:tcBorders>
              <w:top w:val="nil"/>
              <w:left w:val="nil"/>
              <w:bottom w:val="single" w:color="auto" w:sz="4" w:space="0"/>
              <w:right w:val="single" w:color="auto" w:sz="4" w:space="0"/>
            </w:tcBorders>
            <w:noWrap w:val="0"/>
            <w:vAlign w:val="center"/>
          </w:tcPr>
          <w:p w14:paraId="4D7A7620">
            <w:pPr>
              <w:rPr>
                <w:rFonts w:ascii="宋体" w:hAnsi="宋体" w:cs="宋体"/>
                <w:color w:val="auto"/>
                <w:highlight w:val="none"/>
                <w:lang w:eastAsia="zh-CN"/>
              </w:rPr>
            </w:pPr>
            <w:r>
              <w:rPr>
                <w:rFonts w:hint="eastAsia" w:ascii="宋体" w:hAnsi="宋体" w:cs="宋体"/>
                <w:color w:val="auto"/>
                <w:highlight w:val="none"/>
                <w:lang w:eastAsia="zh-CN"/>
              </w:rPr>
              <w:t>安全设施及特种设备检测检验支出</w:t>
            </w:r>
          </w:p>
        </w:tc>
        <w:tc>
          <w:tcPr>
            <w:tcW w:w="2268" w:type="dxa"/>
            <w:tcBorders>
              <w:top w:val="single" w:color="auto" w:sz="4" w:space="0"/>
              <w:left w:val="nil"/>
              <w:bottom w:val="single" w:color="auto" w:sz="4" w:space="0"/>
              <w:right w:val="single" w:color="auto" w:sz="4" w:space="0"/>
            </w:tcBorders>
            <w:noWrap w:val="0"/>
            <w:vAlign w:val="center"/>
          </w:tcPr>
          <w:p w14:paraId="2CBAF5BE">
            <w:pPr>
              <w:jc w:val="center"/>
              <w:rPr>
                <w:rFonts w:ascii="宋体" w:hAnsi="宋体" w:cs="宋体"/>
                <w:color w:val="auto"/>
                <w:highlight w:val="none"/>
                <w:lang w:eastAsia="zh-CN"/>
              </w:rPr>
            </w:pPr>
          </w:p>
        </w:tc>
      </w:tr>
      <w:tr w14:paraId="0EF8A6D9">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noWrap w:val="0"/>
            <w:vAlign w:val="center"/>
          </w:tcPr>
          <w:p w14:paraId="55D05791">
            <w:pPr>
              <w:jc w:val="center"/>
              <w:rPr>
                <w:rFonts w:ascii="宋体" w:hAnsi="宋体" w:cs="宋体"/>
                <w:color w:val="auto"/>
                <w:highlight w:val="none"/>
              </w:rPr>
            </w:pPr>
            <w:r>
              <w:rPr>
                <w:rFonts w:hint="eastAsia" w:ascii="宋体" w:hAnsi="宋体" w:cs="宋体"/>
                <w:color w:val="auto"/>
                <w:highlight w:val="none"/>
              </w:rPr>
              <w:t>9</w:t>
            </w:r>
          </w:p>
        </w:tc>
        <w:tc>
          <w:tcPr>
            <w:tcW w:w="5812" w:type="dxa"/>
            <w:gridSpan w:val="3"/>
            <w:tcBorders>
              <w:top w:val="nil"/>
              <w:left w:val="nil"/>
              <w:bottom w:val="single" w:color="auto" w:sz="4" w:space="0"/>
              <w:right w:val="single" w:color="auto" w:sz="4" w:space="0"/>
            </w:tcBorders>
            <w:noWrap w:val="0"/>
            <w:vAlign w:val="center"/>
          </w:tcPr>
          <w:p w14:paraId="3426596C">
            <w:pPr>
              <w:rPr>
                <w:rFonts w:ascii="宋体" w:hAnsi="宋体" w:cs="宋体"/>
                <w:color w:val="auto"/>
                <w:highlight w:val="none"/>
                <w:lang w:eastAsia="zh-CN"/>
              </w:rPr>
            </w:pPr>
            <w:r>
              <w:rPr>
                <w:rFonts w:hint="eastAsia" w:ascii="宋体" w:hAnsi="宋体" w:cs="宋体"/>
                <w:color w:val="auto"/>
                <w:highlight w:val="none"/>
                <w:lang w:eastAsia="zh-CN"/>
              </w:rPr>
              <w:t>安全生产责任保险支出</w:t>
            </w:r>
          </w:p>
        </w:tc>
        <w:tc>
          <w:tcPr>
            <w:tcW w:w="2268" w:type="dxa"/>
            <w:tcBorders>
              <w:top w:val="single" w:color="auto" w:sz="4" w:space="0"/>
              <w:left w:val="nil"/>
              <w:bottom w:val="single" w:color="auto" w:sz="4" w:space="0"/>
              <w:right w:val="single" w:color="auto" w:sz="4" w:space="0"/>
            </w:tcBorders>
            <w:noWrap w:val="0"/>
            <w:vAlign w:val="center"/>
          </w:tcPr>
          <w:p w14:paraId="60ADDE99">
            <w:pPr>
              <w:jc w:val="center"/>
              <w:rPr>
                <w:rFonts w:ascii="宋体" w:hAnsi="宋体" w:cs="宋体"/>
                <w:color w:val="auto"/>
                <w:highlight w:val="none"/>
                <w:lang w:eastAsia="zh-CN"/>
              </w:rPr>
            </w:pPr>
          </w:p>
        </w:tc>
      </w:tr>
      <w:tr w14:paraId="1FEDD9E8">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noWrap w:val="0"/>
            <w:vAlign w:val="center"/>
          </w:tcPr>
          <w:p w14:paraId="4A86AB55">
            <w:pPr>
              <w:jc w:val="center"/>
              <w:rPr>
                <w:rFonts w:ascii="宋体" w:hAnsi="宋体" w:cs="宋体"/>
                <w:color w:val="auto"/>
                <w:highlight w:val="none"/>
              </w:rPr>
            </w:pPr>
            <w:r>
              <w:rPr>
                <w:rFonts w:hint="eastAsia" w:ascii="宋体" w:hAnsi="宋体" w:cs="宋体"/>
                <w:color w:val="auto"/>
                <w:highlight w:val="none"/>
              </w:rPr>
              <w:t>10</w:t>
            </w:r>
          </w:p>
        </w:tc>
        <w:tc>
          <w:tcPr>
            <w:tcW w:w="5812" w:type="dxa"/>
            <w:gridSpan w:val="3"/>
            <w:tcBorders>
              <w:top w:val="nil"/>
              <w:left w:val="nil"/>
              <w:bottom w:val="single" w:color="auto" w:sz="4" w:space="0"/>
              <w:right w:val="single" w:color="auto" w:sz="4" w:space="0"/>
            </w:tcBorders>
            <w:noWrap w:val="0"/>
            <w:vAlign w:val="center"/>
          </w:tcPr>
          <w:p w14:paraId="614AEE18">
            <w:pPr>
              <w:rPr>
                <w:rFonts w:ascii="宋体" w:hAnsi="宋体" w:cs="宋体"/>
                <w:color w:val="auto"/>
                <w:highlight w:val="none"/>
                <w:lang w:eastAsia="zh-CN"/>
              </w:rPr>
            </w:pPr>
            <w:r>
              <w:rPr>
                <w:rFonts w:hint="eastAsia" w:ascii="宋体" w:hAnsi="宋体" w:cs="宋体"/>
                <w:color w:val="auto"/>
                <w:highlight w:val="none"/>
                <w:lang w:eastAsia="zh-CN"/>
              </w:rPr>
              <w:t>法律法规及相关标准规定按安全文明施工费计取的其他项目</w:t>
            </w:r>
          </w:p>
        </w:tc>
        <w:tc>
          <w:tcPr>
            <w:tcW w:w="2268" w:type="dxa"/>
            <w:tcBorders>
              <w:top w:val="single" w:color="auto" w:sz="4" w:space="0"/>
              <w:left w:val="nil"/>
              <w:bottom w:val="single" w:color="auto" w:sz="4" w:space="0"/>
              <w:right w:val="single" w:color="auto" w:sz="4" w:space="0"/>
            </w:tcBorders>
            <w:noWrap w:val="0"/>
            <w:vAlign w:val="center"/>
          </w:tcPr>
          <w:p w14:paraId="341B78F1">
            <w:pPr>
              <w:jc w:val="center"/>
              <w:rPr>
                <w:rFonts w:ascii="宋体" w:hAnsi="宋体" w:cs="宋体"/>
                <w:color w:val="auto"/>
                <w:highlight w:val="none"/>
                <w:lang w:eastAsia="zh-CN"/>
              </w:rPr>
            </w:pPr>
          </w:p>
        </w:tc>
      </w:tr>
      <w:tr w14:paraId="75043844">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noWrap w:val="0"/>
            <w:vAlign w:val="center"/>
          </w:tcPr>
          <w:p w14:paraId="018CD77D">
            <w:pPr>
              <w:jc w:val="center"/>
              <w:rPr>
                <w:rFonts w:ascii="宋体" w:hAnsi="宋体" w:cs="宋体"/>
                <w:color w:val="auto"/>
                <w:highlight w:val="none"/>
              </w:rPr>
            </w:pPr>
            <w:r>
              <w:rPr>
                <w:rFonts w:hint="eastAsia" w:ascii="宋体" w:hAnsi="宋体" w:cs="宋体"/>
                <w:color w:val="auto"/>
                <w:highlight w:val="none"/>
              </w:rPr>
              <w:t>11</w:t>
            </w:r>
          </w:p>
        </w:tc>
        <w:tc>
          <w:tcPr>
            <w:tcW w:w="5812" w:type="dxa"/>
            <w:gridSpan w:val="3"/>
            <w:tcBorders>
              <w:top w:val="nil"/>
              <w:left w:val="nil"/>
              <w:bottom w:val="single" w:color="auto" w:sz="4" w:space="0"/>
              <w:right w:val="single" w:color="auto" w:sz="4" w:space="0"/>
            </w:tcBorders>
            <w:noWrap w:val="0"/>
            <w:vAlign w:val="center"/>
          </w:tcPr>
          <w:p w14:paraId="3A5D4B3F">
            <w:pPr>
              <w:rPr>
                <w:rFonts w:ascii="宋体" w:hAnsi="宋体" w:cs="宋体"/>
                <w:color w:val="auto"/>
                <w:highlight w:val="none"/>
                <w:lang w:eastAsia="zh-CN"/>
              </w:rPr>
            </w:pPr>
            <w:r>
              <w:rPr>
                <w:rFonts w:hint="eastAsia" w:ascii="宋体" w:hAnsi="宋体" w:cs="宋体"/>
                <w:color w:val="auto"/>
                <w:highlight w:val="none"/>
                <w:lang w:eastAsia="zh-CN"/>
              </w:rPr>
              <w:t>其他与绿色施工、文明施工、环境保护及安全生产直接相关的支出（含支付给分包单位的安全生产费用）</w:t>
            </w:r>
          </w:p>
        </w:tc>
        <w:tc>
          <w:tcPr>
            <w:tcW w:w="2268" w:type="dxa"/>
            <w:tcBorders>
              <w:top w:val="single" w:color="auto" w:sz="4" w:space="0"/>
              <w:left w:val="nil"/>
              <w:bottom w:val="single" w:color="auto" w:sz="4" w:space="0"/>
              <w:right w:val="single" w:color="auto" w:sz="4" w:space="0"/>
            </w:tcBorders>
            <w:noWrap w:val="0"/>
            <w:vAlign w:val="center"/>
          </w:tcPr>
          <w:p w14:paraId="63AC6818">
            <w:pPr>
              <w:jc w:val="center"/>
              <w:rPr>
                <w:rFonts w:ascii="宋体" w:hAnsi="宋体" w:cs="宋体"/>
                <w:color w:val="auto"/>
                <w:highlight w:val="none"/>
                <w:lang w:eastAsia="zh-CN"/>
              </w:rPr>
            </w:pPr>
          </w:p>
        </w:tc>
      </w:tr>
      <w:tr w14:paraId="359784FC">
        <w:tblPrEx>
          <w:tblCellMar>
            <w:top w:w="0" w:type="dxa"/>
            <w:left w:w="108" w:type="dxa"/>
            <w:bottom w:w="0" w:type="dxa"/>
            <w:right w:w="108" w:type="dxa"/>
          </w:tblCellMar>
        </w:tblPrEx>
        <w:trPr>
          <w:trHeight w:val="640" w:hRule="atLeast"/>
          <w:jc w:val="center"/>
        </w:trPr>
        <w:tc>
          <w:tcPr>
            <w:tcW w:w="6658" w:type="dxa"/>
            <w:gridSpan w:val="4"/>
            <w:tcBorders>
              <w:top w:val="single" w:color="auto" w:sz="4" w:space="0"/>
              <w:left w:val="single" w:color="auto" w:sz="4" w:space="0"/>
              <w:bottom w:val="single" w:color="auto" w:sz="4" w:space="0"/>
              <w:right w:val="single" w:color="auto" w:sz="4" w:space="0"/>
            </w:tcBorders>
            <w:noWrap w:val="0"/>
            <w:vAlign w:val="center"/>
          </w:tcPr>
          <w:p w14:paraId="37BA2DCD">
            <w:pPr>
              <w:jc w:val="center"/>
              <w:rPr>
                <w:rFonts w:ascii="宋体" w:hAnsi="宋体" w:cs="宋体"/>
                <w:color w:val="auto"/>
                <w:highlight w:val="none"/>
              </w:rPr>
            </w:pPr>
            <w:r>
              <w:rPr>
                <w:rFonts w:hint="eastAsia" w:ascii="宋体" w:hAnsi="宋体" w:cs="宋体"/>
                <w:color w:val="auto"/>
                <w:highlight w:val="none"/>
              </w:rPr>
              <w:t>合    计：</w:t>
            </w:r>
          </w:p>
        </w:tc>
        <w:tc>
          <w:tcPr>
            <w:tcW w:w="2268" w:type="dxa"/>
            <w:tcBorders>
              <w:top w:val="single" w:color="auto" w:sz="4" w:space="0"/>
              <w:left w:val="nil"/>
              <w:bottom w:val="single" w:color="auto" w:sz="4" w:space="0"/>
              <w:right w:val="single" w:color="auto" w:sz="4" w:space="0"/>
            </w:tcBorders>
            <w:noWrap w:val="0"/>
            <w:vAlign w:val="center"/>
          </w:tcPr>
          <w:p w14:paraId="39406CFD">
            <w:pPr>
              <w:jc w:val="center"/>
              <w:rPr>
                <w:rFonts w:ascii="宋体" w:hAnsi="宋体" w:cs="宋体"/>
                <w:color w:val="auto"/>
                <w:highlight w:val="none"/>
              </w:rPr>
            </w:pPr>
          </w:p>
        </w:tc>
      </w:tr>
      <w:tr w14:paraId="61EE0A28">
        <w:tblPrEx>
          <w:tblCellMar>
            <w:top w:w="0" w:type="dxa"/>
            <w:left w:w="108" w:type="dxa"/>
            <w:bottom w:w="0" w:type="dxa"/>
            <w:right w:w="108" w:type="dxa"/>
          </w:tblCellMar>
        </w:tblPrEx>
        <w:trPr>
          <w:trHeight w:val="640" w:hRule="atLeast"/>
          <w:jc w:val="center"/>
        </w:trPr>
        <w:tc>
          <w:tcPr>
            <w:tcW w:w="2975" w:type="dxa"/>
            <w:gridSpan w:val="2"/>
            <w:tcBorders>
              <w:top w:val="single" w:color="auto" w:sz="4" w:space="0"/>
              <w:left w:val="single" w:color="auto" w:sz="4" w:space="0"/>
              <w:bottom w:val="single" w:color="auto" w:sz="4" w:space="0"/>
              <w:right w:val="single" w:color="auto" w:sz="4" w:space="0"/>
            </w:tcBorders>
            <w:noWrap w:val="0"/>
            <w:vAlign w:val="top"/>
          </w:tcPr>
          <w:p w14:paraId="5B079E4D">
            <w:pPr>
              <w:rPr>
                <w:rFonts w:ascii="宋体" w:hAnsi="宋体" w:cs="宋体"/>
                <w:color w:val="auto"/>
                <w:highlight w:val="none"/>
                <w:lang w:eastAsia="zh-CN"/>
              </w:rPr>
            </w:pPr>
            <w:r>
              <w:rPr>
                <w:rFonts w:hint="eastAsia" w:ascii="宋体" w:hAnsi="宋体" w:cs="宋体"/>
                <w:color w:val="auto"/>
                <w:highlight w:val="none"/>
                <w:lang w:eastAsia="zh-CN"/>
              </w:rPr>
              <w:t>施工单位：</w:t>
            </w:r>
          </w:p>
          <w:p w14:paraId="61CFBDB5">
            <w:pPr>
              <w:rPr>
                <w:rFonts w:ascii="宋体" w:hAnsi="宋体" w:cs="宋体"/>
                <w:color w:val="auto"/>
                <w:highlight w:val="none"/>
                <w:lang w:eastAsia="zh-CN"/>
              </w:rPr>
            </w:pPr>
          </w:p>
          <w:p w14:paraId="5B62A95D">
            <w:pPr>
              <w:rPr>
                <w:rFonts w:ascii="宋体" w:hAnsi="宋体" w:cs="宋体"/>
                <w:color w:val="auto"/>
                <w:highlight w:val="none"/>
                <w:lang w:eastAsia="zh-CN"/>
              </w:rPr>
            </w:pPr>
            <w:r>
              <w:rPr>
                <w:rFonts w:hint="eastAsia" w:ascii="宋体" w:hAnsi="宋体" w:cs="宋体"/>
                <w:color w:val="auto"/>
                <w:highlight w:val="none"/>
                <w:lang w:eastAsia="zh-CN"/>
              </w:rPr>
              <w:t>签字：</w:t>
            </w:r>
          </w:p>
          <w:p w14:paraId="1176C057">
            <w:pPr>
              <w:rPr>
                <w:rFonts w:ascii="宋体" w:hAnsi="宋体" w:cs="宋体"/>
                <w:color w:val="auto"/>
                <w:highlight w:val="none"/>
                <w:lang w:eastAsia="zh-CN"/>
              </w:rPr>
            </w:pPr>
          </w:p>
          <w:p w14:paraId="53072FEA">
            <w:pPr>
              <w:jc w:val="center"/>
              <w:rPr>
                <w:rFonts w:ascii="宋体" w:hAnsi="宋体" w:cs="宋体"/>
                <w:color w:val="auto"/>
                <w:highlight w:val="none"/>
                <w:lang w:eastAsia="zh-CN"/>
              </w:rPr>
            </w:pPr>
            <w:r>
              <w:rPr>
                <w:rFonts w:hint="eastAsia" w:ascii="宋体" w:hAnsi="宋体" w:cs="宋体"/>
                <w:color w:val="auto"/>
                <w:highlight w:val="none"/>
                <w:lang w:eastAsia="zh-CN"/>
              </w:rPr>
              <w:t xml:space="preserve">           年  月  日</w:t>
            </w:r>
          </w:p>
        </w:tc>
        <w:tc>
          <w:tcPr>
            <w:tcW w:w="2975" w:type="dxa"/>
            <w:tcBorders>
              <w:top w:val="single" w:color="auto" w:sz="4" w:space="0"/>
              <w:left w:val="single" w:color="auto" w:sz="4" w:space="0"/>
              <w:bottom w:val="single" w:color="auto" w:sz="4" w:space="0"/>
              <w:right w:val="single" w:color="auto" w:sz="4" w:space="0"/>
            </w:tcBorders>
            <w:noWrap w:val="0"/>
            <w:vAlign w:val="top"/>
          </w:tcPr>
          <w:p w14:paraId="20FB50C2">
            <w:pPr>
              <w:rPr>
                <w:rFonts w:ascii="宋体" w:hAnsi="宋体" w:cs="宋体"/>
                <w:color w:val="auto"/>
                <w:highlight w:val="none"/>
                <w:lang w:eastAsia="zh-CN"/>
              </w:rPr>
            </w:pPr>
            <w:r>
              <w:rPr>
                <w:rFonts w:hint="eastAsia" w:ascii="宋体" w:hAnsi="宋体" w:cs="宋体"/>
                <w:color w:val="auto"/>
                <w:highlight w:val="none"/>
                <w:lang w:eastAsia="zh-CN"/>
              </w:rPr>
              <w:t>监理单位：</w:t>
            </w:r>
          </w:p>
          <w:p w14:paraId="60902BE3">
            <w:pPr>
              <w:rPr>
                <w:rFonts w:ascii="宋体" w:hAnsi="宋体" w:cs="宋体"/>
                <w:color w:val="auto"/>
                <w:highlight w:val="none"/>
                <w:lang w:eastAsia="zh-CN"/>
              </w:rPr>
            </w:pPr>
          </w:p>
          <w:p w14:paraId="1CD903C2">
            <w:pPr>
              <w:rPr>
                <w:rFonts w:ascii="宋体" w:hAnsi="宋体" w:cs="宋体"/>
                <w:color w:val="auto"/>
                <w:highlight w:val="none"/>
                <w:lang w:eastAsia="zh-CN"/>
              </w:rPr>
            </w:pPr>
            <w:r>
              <w:rPr>
                <w:rFonts w:hint="eastAsia" w:ascii="宋体" w:hAnsi="宋体" w:cs="宋体"/>
                <w:color w:val="auto"/>
                <w:highlight w:val="none"/>
                <w:lang w:eastAsia="zh-CN"/>
              </w:rPr>
              <w:t>签字：</w:t>
            </w:r>
          </w:p>
          <w:p w14:paraId="757FE0FF">
            <w:pPr>
              <w:rPr>
                <w:rFonts w:ascii="宋体" w:hAnsi="宋体" w:cs="宋体"/>
                <w:color w:val="auto"/>
                <w:highlight w:val="none"/>
                <w:lang w:eastAsia="zh-CN"/>
              </w:rPr>
            </w:pPr>
          </w:p>
          <w:p w14:paraId="2072E07A">
            <w:pPr>
              <w:jc w:val="center"/>
              <w:rPr>
                <w:rFonts w:ascii="宋体" w:hAnsi="宋体" w:cs="宋体"/>
                <w:color w:val="auto"/>
                <w:highlight w:val="none"/>
                <w:lang w:eastAsia="zh-CN"/>
              </w:rPr>
            </w:pPr>
            <w:r>
              <w:rPr>
                <w:rFonts w:hint="eastAsia" w:ascii="宋体" w:hAnsi="宋体" w:cs="宋体"/>
                <w:color w:val="auto"/>
                <w:highlight w:val="none"/>
                <w:lang w:eastAsia="zh-CN"/>
              </w:rPr>
              <w:t xml:space="preserve">         年  月  日</w:t>
            </w:r>
          </w:p>
        </w:tc>
        <w:tc>
          <w:tcPr>
            <w:tcW w:w="2976" w:type="dxa"/>
            <w:gridSpan w:val="2"/>
            <w:tcBorders>
              <w:top w:val="single" w:color="auto" w:sz="4" w:space="0"/>
              <w:left w:val="single" w:color="auto" w:sz="4" w:space="0"/>
              <w:bottom w:val="single" w:color="auto" w:sz="4" w:space="0"/>
              <w:right w:val="single" w:color="auto" w:sz="4" w:space="0"/>
            </w:tcBorders>
            <w:noWrap w:val="0"/>
            <w:vAlign w:val="top"/>
          </w:tcPr>
          <w:p w14:paraId="2AA6A450">
            <w:pPr>
              <w:rPr>
                <w:rFonts w:ascii="宋体" w:hAnsi="宋体" w:cs="宋体"/>
                <w:color w:val="auto"/>
                <w:highlight w:val="none"/>
                <w:lang w:eastAsia="zh-CN"/>
              </w:rPr>
            </w:pPr>
            <w:r>
              <w:rPr>
                <w:rFonts w:hint="eastAsia" w:ascii="宋体" w:hAnsi="宋体" w:cs="宋体"/>
                <w:color w:val="auto"/>
                <w:highlight w:val="none"/>
                <w:lang w:eastAsia="zh-CN"/>
              </w:rPr>
              <w:t>建设单位：</w:t>
            </w:r>
          </w:p>
          <w:p w14:paraId="50EFEE89">
            <w:pPr>
              <w:rPr>
                <w:rFonts w:ascii="宋体" w:hAnsi="宋体" w:cs="宋体"/>
                <w:color w:val="auto"/>
                <w:highlight w:val="none"/>
                <w:lang w:eastAsia="zh-CN"/>
              </w:rPr>
            </w:pPr>
          </w:p>
          <w:p w14:paraId="76D86119">
            <w:pPr>
              <w:rPr>
                <w:rFonts w:ascii="宋体" w:hAnsi="宋体" w:cs="宋体"/>
                <w:color w:val="auto"/>
                <w:highlight w:val="none"/>
                <w:lang w:eastAsia="zh-CN"/>
              </w:rPr>
            </w:pPr>
            <w:r>
              <w:rPr>
                <w:rFonts w:hint="eastAsia" w:ascii="宋体" w:hAnsi="宋体" w:cs="宋体"/>
                <w:color w:val="auto"/>
                <w:highlight w:val="none"/>
                <w:lang w:eastAsia="zh-CN"/>
              </w:rPr>
              <w:t>签字：</w:t>
            </w:r>
          </w:p>
          <w:p w14:paraId="7466E1B3">
            <w:pPr>
              <w:rPr>
                <w:rFonts w:ascii="宋体" w:hAnsi="宋体" w:cs="宋体"/>
                <w:color w:val="auto"/>
                <w:highlight w:val="none"/>
                <w:lang w:eastAsia="zh-CN"/>
              </w:rPr>
            </w:pPr>
          </w:p>
          <w:p w14:paraId="3659CCF9">
            <w:pPr>
              <w:jc w:val="center"/>
              <w:rPr>
                <w:rFonts w:ascii="宋体" w:hAnsi="宋体" w:cs="宋体"/>
                <w:color w:val="auto"/>
                <w:highlight w:val="none"/>
                <w:lang w:eastAsia="zh-CN"/>
              </w:rPr>
            </w:pPr>
            <w:r>
              <w:rPr>
                <w:rFonts w:hint="eastAsia" w:ascii="宋体" w:hAnsi="宋体" w:cs="宋体"/>
                <w:color w:val="auto"/>
                <w:highlight w:val="none"/>
                <w:lang w:eastAsia="zh-CN"/>
              </w:rPr>
              <w:t xml:space="preserve">           年  月  日</w:t>
            </w:r>
          </w:p>
        </w:tc>
      </w:tr>
    </w:tbl>
    <w:p w14:paraId="6F7E356C">
      <w:pPr>
        <w:rPr>
          <w:rFonts w:ascii="宋体" w:hAnsi="宋体" w:cs="宋体"/>
          <w:color w:val="auto"/>
          <w:spacing w:val="12"/>
          <w:kern w:val="10"/>
          <w:sz w:val="32"/>
          <w:szCs w:val="32"/>
          <w:highlight w:val="none"/>
          <w:lang w:eastAsia="zh-CN"/>
        </w:rPr>
      </w:pPr>
    </w:p>
    <w:p w14:paraId="5D3F559D">
      <w:pPr>
        <w:rPr>
          <w:rFonts w:ascii="宋体" w:hAnsi="宋体" w:cs="宋体"/>
          <w:color w:val="auto"/>
          <w:highlight w:val="none"/>
          <w:lang w:eastAsia="zh-CN"/>
        </w:rPr>
        <w:sectPr>
          <w:pgSz w:w="11906" w:h="16838"/>
          <w:pgMar w:top="1440" w:right="1418" w:bottom="1440" w:left="1418" w:header="851" w:footer="539" w:gutter="0"/>
          <w:cols w:space="720" w:num="1"/>
          <w:docGrid w:type="lines" w:linePitch="312" w:charSpace="0"/>
        </w:sectPr>
      </w:pPr>
    </w:p>
    <w:p w14:paraId="230395A4">
      <w:pPr>
        <w:rPr>
          <w:rFonts w:ascii="宋体" w:hAnsi="宋体" w:cs="宋体"/>
          <w:color w:val="auto"/>
          <w:sz w:val="32"/>
          <w:szCs w:val="32"/>
          <w:highlight w:val="none"/>
          <w:lang w:eastAsia="zh-CN"/>
        </w:rPr>
      </w:pPr>
      <w:r>
        <w:rPr>
          <w:rFonts w:hint="eastAsia" w:ascii="宋体" w:hAnsi="宋体" w:cs="宋体"/>
          <w:color w:val="auto"/>
          <w:sz w:val="32"/>
          <w:szCs w:val="32"/>
          <w:highlight w:val="none"/>
          <w:lang w:eastAsia="zh-CN"/>
        </w:rPr>
        <w:t>附</w:t>
      </w:r>
      <w:r>
        <w:rPr>
          <w:rFonts w:hint="eastAsia" w:ascii="宋体" w:hAnsi="宋体" w:cs="宋体"/>
          <w:color w:val="auto"/>
          <w:spacing w:val="12"/>
          <w:kern w:val="10"/>
          <w:sz w:val="32"/>
          <w:szCs w:val="32"/>
          <w:highlight w:val="none"/>
          <w:lang w:eastAsia="zh-CN"/>
        </w:rPr>
        <w:t>表</w:t>
      </w:r>
      <w:r>
        <w:rPr>
          <w:rFonts w:hint="eastAsia" w:ascii="宋体" w:hAnsi="宋体" w:cs="宋体"/>
          <w:color w:val="auto"/>
          <w:sz w:val="32"/>
          <w:szCs w:val="32"/>
          <w:highlight w:val="none"/>
          <w:lang w:eastAsia="zh-CN"/>
        </w:rPr>
        <w:t>3</w:t>
      </w:r>
    </w:p>
    <w:p w14:paraId="78EF19B2">
      <w:pPr>
        <w:jc w:val="center"/>
        <w:rPr>
          <w:rFonts w:ascii="宋体" w:hAnsi="宋体" w:cs="宋体"/>
          <w:color w:val="auto"/>
          <w:sz w:val="30"/>
          <w:szCs w:val="30"/>
          <w:highlight w:val="none"/>
          <w:lang w:eastAsia="zh-CN"/>
        </w:rPr>
      </w:pPr>
      <w:r>
        <w:rPr>
          <w:rFonts w:hint="eastAsia" w:ascii="宋体" w:hAnsi="宋体" w:cs="宋体"/>
          <w:color w:val="auto"/>
          <w:sz w:val="30"/>
          <w:szCs w:val="30"/>
          <w:highlight w:val="none"/>
          <w:lang w:eastAsia="zh-CN"/>
        </w:rPr>
        <w:t>安全文明措施费使用计划明细表</w:t>
      </w:r>
    </w:p>
    <w:p w14:paraId="37CDC4D3">
      <w:pPr>
        <w:rPr>
          <w:rFonts w:ascii="宋体" w:hAnsi="宋体" w:cs="宋体"/>
          <w:color w:val="auto"/>
          <w:spacing w:val="12"/>
          <w:kern w:val="10"/>
          <w:highlight w:val="none"/>
        </w:rPr>
      </w:pPr>
      <w:r>
        <w:rPr>
          <w:rFonts w:hint="eastAsia" w:ascii="宋体" w:hAnsi="宋体" w:cs="宋体"/>
          <w:color w:val="auto"/>
          <w:highlight w:val="none"/>
        </w:rPr>
        <w:t>项目名称：</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419"/>
        <w:gridCol w:w="1199"/>
        <w:gridCol w:w="159"/>
        <w:gridCol w:w="1742"/>
        <w:gridCol w:w="1559"/>
        <w:gridCol w:w="851"/>
        <w:gridCol w:w="475"/>
        <w:gridCol w:w="1084"/>
        <w:gridCol w:w="1559"/>
        <w:gridCol w:w="1985"/>
      </w:tblGrid>
      <w:tr w14:paraId="013BB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tblHeader/>
          <w:jc w:val="center"/>
        </w:trPr>
        <w:tc>
          <w:tcPr>
            <w:tcW w:w="850" w:type="dxa"/>
            <w:noWrap w:val="0"/>
            <w:vAlign w:val="center"/>
          </w:tcPr>
          <w:p w14:paraId="6B9FD918">
            <w:pPr>
              <w:jc w:val="center"/>
              <w:rPr>
                <w:rFonts w:ascii="宋体" w:hAnsi="宋体" w:cs="宋体"/>
                <w:color w:val="auto"/>
                <w:highlight w:val="none"/>
              </w:rPr>
            </w:pPr>
            <w:r>
              <w:rPr>
                <w:rFonts w:hint="eastAsia" w:ascii="宋体" w:hAnsi="宋体" w:cs="宋体"/>
                <w:color w:val="auto"/>
                <w:highlight w:val="none"/>
              </w:rPr>
              <w:t>序号</w:t>
            </w:r>
          </w:p>
        </w:tc>
        <w:tc>
          <w:tcPr>
            <w:tcW w:w="5519" w:type="dxa"/>
            <w:gridSpan w:val="4"/>
            <w:noWrap w:val="0"/>
            <w:vAlign w:val="center"/>
          </w:tcPr>
          <w:p w14:paraId="784913C0">
            <w:pPr>
              <w:jc w:val="center"/>
              <w:rPr>
                <w:rFonts w:ascii="宋体" w:hAnsi="宋体" w:cs="宋体"/>
                <w:color w:val="auto"/>
                <w:highlight w:val="none"/>
                <w:lang w:eastAsia="zh-CN"/>
              </w:rPr>
            </w:pPr>
            <w:r>
              <w:rPr>
                <w:rFonts w:hint="eastAsia" w:ascii="宋体" w:hAnsi="宋体" w:cs="宋体"/>
                <w:color w:val="auto"/>
                <w:highlight w:val="none"/>
                <w:lang w:eastAsia="zh-CN"/>
              </w:rPr>
              <w:t>项目（以下仅为填写范例）</w:t>
            </w:r>
          </w:p>
        </w:tc>
        <w:tc>
          <w:tcPr>
            <w:tcW w:w="1559" w:type="dxa"/>
            <w:noWrap w:val="0"/>
            <w:vAlign w:val="center"/>
          </w:tcPr>
          <w:p w14:paraId="4F20DC66">
            <w:pPr>
              <w:jc w:val="center"/>
              <w:rPr>
                <w:rFonts w:ascii="宋体" w:hAnsi="宋体" w:cs="宋体"/>
                <w:color w:val="auto"/>
                <w:highlight w:val="none"/>
              </w:rPr>
            </w:pPr>
            <w:r>
              <w:rPr>
                <w:rFonts w:hint="eastAsia" w:ascii="宋体" w:hAnsi="宋体" w:cs="宋体"/>
                <w:color w:val="auto"/>
                <w:highlight w:val="none"/>
              </w:rPr>
              <w:t>单价</w:t>
            </w:r>
          </w:p>
        </w:tc>
        <w:tc>
          <w:tcPr>
            <w:tcW w:w="851" w:type="dxa"/>
            <w:noWrap w:val="0"/>
            <w:vAlign w:val="center"/>
          </w:tcPr>
          <w:p w14:paraId="27C5AD4E">
            <w:pPr>
              <w:jc w:val="center"/>
              <w:rPr>
                <w:rFonts w:ascii="宋体" w:hAnsi="宋体" w:cs="宋体"/>
                <w:color w:val="auto"/>
                <w:highlight w:val="none"/>
              </w:rPr>
            </w:pPr>
            <w:r>
              <w:rPr>
                <w:rFonts w:hint="eastAsia" w:ascii="宋体" w:hAnsi="宋体" w:cs="宋体"/>
                <w:color w:val="auto"/>
                <w:highlight w:val="none"/>
              </w:rPr>
              <w:t>数量</w:t>
            </w:r>
          </w:p>
        </w:tc>
        <w:tc>
          <w:tcPr>
            <w:tcW w:w="1559" w:type="dxa"/>
            <w:gridSpan w:val="2"/>
            <w:noWrap w:val="0"/>
            <w:vAlign w:val="center"/>
          </w:tcPr>
          <w:p w14:paraId="013DD2F5">
            <w:pPr>
              <w:jc w:val="center"/>
              <w:rPr>
                <w:rFonts w:ascii="宋体" w:hAnsi="宋体" w:cs="宋体"/>
                <w:color w:val="auto"/>
                <w:highlight w:val="none"/>
              </w:rPr>
            </w:pPr>
            <w:r>
              <w:rPr>
                <w:rFonts w:hint="eastAsia" w:ascii="宋体" w:hAnsi="宋体" w:cs="宋体"/>
                <w:color w:val="auto"/>
                <w:highlight w:val="none"/>
              </w:rPr>
              <w:t>总费用</w:t>
            </w:r>
          </w:p>
        </w:tc>
        <w:tc>
          <w:tcPr>
            <w:tcW w:w="1559" w:type="dxa"/>
            <w:noWrap w:val="0"/>
            <w:vAlign w:val="center"/>
          </w:tcPr>
          <w:p w14:paraId="47F1FE5E">
            <w:pPr>
              <w:jc w:val="center"/>
              <w:rPr>
                <w:rFonts w:ascii="宋体" w:hAnsi="宋体" w:cs="宋体"/>
                <w:color w:val="auto"/>
                <w:highlight w:val="none"/>
                <w:lang w:eastAsia="zh-CN"/>
              </w:rPr>
            </w:pPr>
            <w:r>
              <w:rPr>
                <w:rFonts w:hint="eastAsia" w:ascii="宋体" w:hAnsi="宋体" w:cs="宋体"/>
                <w:color w:val="auto"/>
                <w:highlight w:val="none"/>
                <w:lang w:eastAsia="zh-CN"/>
              </w:rPr>
              <w:t>计划使用时间（阶段）</w:t>
            </w:r>
          </w:p>
        </w:tc>
        <w:tc>
          <w:tcPr>
            <w:tcW w:w="1985" w:type="dxa"/>
            <w:noWrap w:val="0"/>
            <w:vAlign w:val="center"/>
          </w:tcPr>
          <w:p w14:paraId="3A653CDF">
            <w:pPr>
              <w:jc w:val="center"/>
              <w:rPr>
                <w:rFonts w:ascii="宋体" w:hAnsi="宋体" w:cs="宋体"/>
                <w:color w:val="auto"/>
                <w:highlight w:val="none"/>
              </w:rPr>
            </w:pPr>
            <w:r>
              <w:rPr>
                <w:rFonts w:hint="eastAsia" w:ascii="宋体" w:hAnsi="宋体" w:cs="宋体"/>
                <w:color w:val="auto"/>
                <w:highlight w:val="none"/>
              </w:rPr>
              <w:t>备注</w:t>
            </w:r>
          </w:p>
        </w:tc>
      </w:tr>
      <w:tr w14:paraId="46D8A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restart"/>
            <w:noWrap w:val="0"/>
            <w:vAlign w:val="center"/>
          </w:tcPr>
          <w:p w14:paraId="14C90CD5">
            <w:pPr>
              <w:jc w:val="center"/>
              <w:rPr>
                <w:rFonts w:ascii="宋体" w:hAnsi="宋体" w:cs="宋体"/>
                <w:color w:val="auto"/>
                <w:highlight w:val="none"/>
              </w:rPr>
            </w:pPr>
            <w:r>
              <w:rPr>
                <w:rFonts w:hint="eastAsia" w:ascii="宋体" w:hAnsi="宋体" w:cs="宋体"/>
                <w:color w:val="auto"/>
                <w:highlight w:val="none"/>
              </w:rPr>
              <w:t>1</w:t>
            </w:r>
          </w:p>
        </w:tc>
        <w:tc>
          <w:tcPr>
            <w:tcW w:w="2419" w:type="dxa"/>
            <w:vMerge w:val="restart"/>
            <w:noWrap w:val="0"/>
            <w:vAlign w:val="center"/>
          </w:tcPr>
          <w:p w14:paraId="70DECFB9">
            <w:pPr>
              <w:jc w:val="center"/>
              <w:rPr>
                <w:rFonts w:ascii="宋体" w:hAnsi="宋体" w:cs="宋体"/>
                <w:color w:val="auto"/>
                <w:highlight w:val="none"/>
                <w:lang w:eastAsia="zh-CN"/>
              </w:rPr>
            </w:pPr>
            <w:r>
              <w:rPr>
                <w:rFonts w:hint="eastAsia" w:ascii="宋体" w:hAnsi="宋体" w:cs="宋体"/>
                <w:color w:val="auto"/>
                <w:highlight w:val="none"/>
                <w:lang w:eastAsia="zh-CN"/>
              </w:rPr>
              <w:t>一、完善、改造和维护安全防护设施设备支出</w:t>
            </w:r>
          </w:p>
        </w:tc>
        <w:tc>
          <w:tcPr>
            <w:tcW w:w="1199" w:type="dxa"/>
            <w:vMerge w:val="restart"/>
            <w:noWrap w:val="0"/>
            <w:vAlign w:val="center"/>
          </w:tcPr>
          <w:p w14:paraId="5C202489">
            <w:pPr>
              <w:jc w:val="center"/>
              <w:rPr>
                <w:rFonts w:ascii="宋体" w:hAnsi="宋体" w:cs="宋体"/>
                <w:color w:val="auto"/>
                <w:highlight w:val="none"/>
              </w:rPr>
            </w:pPr>
            <w:r>
              <w:rPr>
                <w:rFonts w:hint="eastAsia" w:ascii="宋体" w:hAnsi="宋体" w:cs="宋体"/>
                <w:color w:val="auto"/>
                <w:highlight w:val="none"/>
              </w:rPr>
              <w:t>安全网</w:t>
            </w:r>
          </w:p>
        </w:tc>
        <w:tc>
          <w:tcPr>
            <w:tcW w:w="1901" w:type="dxa"/>
            <w:gridSpan w:val="2"/>
            <w:noWrap w:val="0"/>
            <w:vAlign w:val="center"/>
          </w:tcPr>
          <w:p w14:paraId="1B97DB3B">
            <w:pPr>
              <w:jc w:val="center"/>
              <w:rPr>
                <w:rFonts w:ascii="宋体" w:hAnsi="宋体" w:cs="宋体"/>
                <w:color w:val="auto"/>
                <w:highlight w:val="none"/>
              </w:rPr>
            </w:pPr>
            <w:r>
              <w:rPr>
                <w:rFonts w:hint="eastAsia" w:ascii="宋体" w:hAnsi="宋体" w:cs="宋体"/>
                <w:color w:val="auto"/>
                <w:highlight w:val="none"/>
              </w:rPr>
              <w:t>材料费</w:t>
            </w:r>
          </w:p>
        </w:tc>
        <w:tc>
          <w:tcPr>
            <w:tcW w:w="1559" w:type="dxa"/>
            <w:noWrap w:val="0"/>
            <w:vAlign w:val="center"/>
          </w:tcPr>
          <w:p w14:paraId="14B80B29">
            <w:pPr>
              <w:jc w:val="center"/>
              <w:rPr>
                <w:rFonts w:ascii="宋体" w:hAnsi="宋体" w:cs="宋体"/>
                <w:color w:val="auto"/>
                <w:highlight w:val="none"/>
              </w:rPr>
            </w:pPr>
          </w:p>
        </w:tc>
        <w:tc>
          <w:tcPr>
            <w:tcW w:w="851" w:type="dxa"/>
            <w:noWrap w:val="0"/>
            <w:vAlign w:val="center"/>
          </w:tcPr>
          <w:p w14:paraId="12E754F1">
            <w:pPr>
              <w:jc w:val="center"/>
              <w:rPr>
                <w:rFonts w:ascii="宋体" w:hAnsi="宋体" w:cs="宋体"/>
                <w:color w:val="auto"/>
                <w:highlight w:val="none"/>
              </w:rPr>
            </w:pPr>
          </w:p>
        </w:tc>
        <w:tc>
          <w:tcPr>
            <w:tcW w:w="1559" w:type="dxa"/>
            <w:gridSpan w:val="2"/>
            <w:noWrap w:val="0"/>
            <w:vAlign w:val="center"/>
          </w:tcPr>
          <w:p w14:paraId="6C04637E">
            <w:pPr>
              <w:jc w:val="center"/>
              <w:rPr>
                <w:rFonts w:ascii="宋体" w:hAnsi="宋体" w:cs="宋体"/>
                <w:color w:val="auto"/>
                <w:highlight w:val="none"/>
              </w:rPr>
            </w:pPr>
          </w:p>
        </w:tc>
        <w:tc>
          <w:tcPr>
            <w:tcW w:w="1559" w:type="dxa"/>
            <w:noWrap w:val="0"/>
            <w:vAlign w:val="center"/>
          </w:tcPr>
          <w:p w14:paraId="2B9F5699">
            <w:pPr>
              <w:jc w:val="center"/>
              <w:rPr>
                <w:rFonts w:ascii="宋体" w:hAnsi="宋体" w:cs="宋体"/>
                <w:color w:val="auto"/>
                <w:highlight w:val="none"/>
              </w:rPr>
            </w:pPr>
          </w:p>
        </w:tc>
        <w:tc>
          <w:tcPr>
            <w:tcW w:w="1985" w:type="dxa"/>
            <w:noWrap w:val="0"/>
            <w:vAlign w:val="center"/>
          </w:tcPr>
          <w:p w14:paraId="71DDF37F">
            <w:pPr>
              <w:jc w:val="center"/>
              <w:rPr>
                <w:rFonts w:ascii="宋体" w:hAnsi="宋体" w:cs="宋体"/>
                <w:color w:val="auto"/>
                <w:highlight w:val="none"/>
              </w:rPr>
            </w:pPr>
          </w:p>
        </w:tc>
      </w:tr>
      <w:tr w14:paraId="7D48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noWrap w:val="0"/>
            <w:vAlign w:val="center"/>
          </w:tcPr>
          <w:p w14:paraId="58288DD6">
            <w:pPr>
              <w:jc w:val="center"/>
              <w:rPr>
                <w:rFonts w:ascii="宋体" w:hAnsi="宋体" w:cs="宋体"/>
                <w:color w:val="auto"/>
                <w:highlight w:val="none"/>
              </w:rPr>
            </w:pPr>
          </w:p>
        </w:tc>
        <w:tc>
          <w:tcPr>
            <w:tcW w:w="2419" w:type="dxa"/>
            <w:vMerge w:val="continue"/>
            <w:noWrap w:val="0"/>
            <w:vAlign w:val="center"/>
          </w:tcPr>
          <w:p w14:paraId="23EF420A">
            <w:pPr>
              <w:jc w:val="center"/>
              <w:rPr>
                <w:rFonts w:ascii="宋体" w:hAnsi="宋体" w:cs="宋体"/>
                <w:color w:val="auto"/>
                <w:highlight w:val="none"/>
              </w:rPr>
            </w:pPr>
          </w:p>
        </w:tc>
        <w:tc>
          <w:tcPr>
            <w:tcW w:w="1199" w:type="dxa"/>
            <w:vMerge w:val="continue"/>
            <w:noWrap w:val="0"/>
            <w:vAlign w:val="center"/>
          </w:tcPr>
          <w:p w14:paraId="5FF154D0">
            <w:pPr>
              <w:jc w:val="center"/>
              <w:rPr>
                <w:rFonts w:ascii="宋体" w:hAnsi="宋体" w:cs="宋体"/>
                <w:color w:val="auto"/>
                <w:highlight w:val="none"/>
              </w:rPr>
            </w:pPr>
          </w:p>
        </w:tc>
        <w:tc>
          <w:tcPr>
            <w:tcW w:w="1901" w:type="dxa"/>
            <w:gridSpan w:val="2"/>
            <w:noWrap w:val="0"/>
            <w:vAlign w:val="center"/>
          </w:tcPr>
          <w:p w14:paraId="6BFE3174">
            <w:pPr>
              <w:jc w:val="center"/>
              <w:rPr>
                <w:rFonts w:ascii="宋体" w:hAnsi="宋体" w:cs="宋体"/>
                <w:color w:val="auto"/>
                <w:highlight w:val="none"/>
              </w:rPr>
            </w:pPr>
            <w:r>
              <w:rPr>
                <w:rFonts w:hint="eastAsia" w:ascii="宋体" w:hAnsi="宋体" w:cs="宋体"/>
                <w:color w:val="auto"/>
                <w:highlight w:val="none"/>
              </w:rPr>
              <w:t>人工费</w:t>
            </w:r>
          </w:p>
        </w:tc>
        <w:tc>
          <w:tcPr>
            <w:tcW w:w="1559" w:type="dxa"/>
            <w:noWrap w:val="0"/>
            <w:vAlign w:val="center"/>
          </w:tcPr>
          <w:p w14:paraId="2B9552E0">
            <w:pPr>
              <w:jc w:val="center"/>
              <w:rPr>
                <w:rFonts w:ascii="宋体" w:hAnsi="宋体" w:cs="宋体"/>
                <w:color w:val="auto"/>
                <w:highlight w:val="none"/>
              </w:rPr>
            </w:pPr>
          </w:p>
        </w:tc>
        <w:tc>
          <w:tcPr>
            <w:tcW w:w="851" w:type="dxa"/>
            <w:noWrap w:val="0"/>
            <w:vAlign w:val="center"/>
          </w:tcPr>
          <w:p w14:paraId="5C6BD06D">
            <w:pPr>
              <w:jc w:val="center"/>
              <w:rPr>
                <w:rFonts w:ascii="宋体" w:hAnsi="宋体" w:cs="宋体"/>
                <w:color w:val="auto"/>
                <w:highlight w:val="none"/>
              </w:rPr>
            </w:pPr>
          </w:p>
        </w:tc>
        <w:tc>
          <w:tcPr>
            <w:tcW w:w="1559" w:type="dxa"/>
            <w:gridSpan w:val="2"/>
            <w:noWrap w:val="0"/>
            <w:vAlign w:val="center"/>
          </w:tcPr>
          <w:p w14:paraId="367ED1AC">
            <w:pPr>
              <w:jc w:val="center"/>
              <w:rPr>
                <w:rFonts w:ascii="宋体" w:hAnsi="宋体" w:cs="宋体"/>
                <w:color w:val="auto"/>
                <w:highlight w:val="none"/>
              </w:rPr>
            </w:pPr>
          </w:p>
        </w:tc>
        <w:tc>
          <w:tcPr>
            <w:tcW w:w="1559" w:type="dxa"/>
            <w:noWrap w:val="0"/>
            <w:vAlign w:val="center"/>
          </w:tcPr>
          <w:p w14:paraId="5437D056">
            <w:pPr>
              <w:jc w:val="center"/>
              <w:rPr>
                <w:rFonts w:ascii="宋体" w:hAnsi="宋体" w:cs="宋体"/>
                <w:color w:val="auto"/>
                <w:highlight w:val="none"/>
              </w:rPr>
            </w:pPr>
          </w:p>
        </w:tc>
        <w:tc>
          <w:tcPr>
            <w:tcW w:w="1985" w:type="dxa"/>
            <w:noWrap w:val="0"/>
            <w:vAlign w:val="center"/>
          </w:tcPr>
          <w:p w14:paraId="40221827">
            <w:pPr>
              <w:jc w:val="center"/>
              <w:rPr>
                <w:rFonts w:ascii="宋体" w:hAnsi="宋体" w:cs="宋体"/>
                <w:color w:val="auto"/>
                <w:highlight w:val="none"/>
              </w:rPr>
            </w:pPr>
          </w:p>
        </w:tc>
      </w:tr>
      <w:tr w14:paraId="5B705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restart"/>
            <w:noWrap w:val="0"/>
            <w:vAlign w:val="center"/>
          </w:tcPr>
          <w:p w14:paraId="54EA15EB">
            <w:pPr>
              <w:jc w:val="center"/>
              <w:rPr>
                <w:rFonts w:ascii="宋体" w:hAnsi="宋体" w:cs="宋体"/>
                <w:color w:val="auto"/>
                <w:highlight w:val="none"/>
              </w:rPr>
            </w:pPr>
            <w:r>
              <w:rPr>
                <w:rFonts w:hint="eastAsia" w:ascii="宋体" w:hAnsi="宋体" w:cs="宋体"/>
                <w:color w:val="auto"/>
                <w:highlight w:val="none"/>
              </w:rPr>
              <w:t>2</w:t>
            </w:r>
          </w:p>
        </w:tc>
        <w:tc>
          <w:tcPr>
            <w:tcW w:w="2419" w:type="dxa"/>
            <w:vMerge w:val="continue"/>
            <w:noWrap w:val="0"/>
            <w:vAlign w:val="center"/>
          </w:tcPr>
          <w:p w14:paraId="7D41D21B">
            <w:pPr>
              <w:jc w:val="center"/>
              <w:rPr>
                <w:rFonts w:ascii="宋体" w:hAnsi="宋体" w:cs="宋体"/>
                <w:color w:val="auto"/>
                <w:highlight w:val="none"/>
              </w:rPr>
            </w:pPr>
          </w:p>
        </w:tc>
        <w:tc>
          <w:tcPr>
            <w:tcW w:w="1199" w:type="dxa"/>
            <w:vMerge w:val="restart"/>
            <w:noWrap w:val="0"/>
            <w:vAlign w:val="center"/>
          </w:tcPr>
          <w:p w14:paraId="4AF9DC6C">
            <w:pPr>
              <w:jc w:val="center"/>
              <w:rPr>
                <w:rFonts w:ascii="宋体" w:hAnsi="宋体" w:cs="宋体"/>
                <w:color w:val="auto"/>
                <w:highlight w:val="none"/>
              </w:rPr>
            </w:pPr>
            <w:r>
              <w:rPr>
                <w:rFonts w:hint="eastAsia" w:ascii="宋体" w:hAnsi="宋体" w:cs="宋体"/>
                <w:color w:val="auto"/>
                <w:highlight w:val="none"/>
              </w:rPr>
              <w:t>临电设施</w:t>
            </w:r>
          </w:p>
        </w:tc>
        <w:tc>
          <w:tcPr>
            <w:tcW w:w="1901" w:type="dxa"/>
            <w:gridSpan w:val="2"/>
            <w:noWrap w:val="0"/>
            <w:vAlign w:val="center"/>
          </w:tcPr>
          <w:p w14:paraId="0B17CE1E">
            <w:pPr>
              <w:jc w:val="center"/>
              <w:rPr>
                <w:rFonts w:ascii="宋体" w:hAnsi="宋体" w:cs="宋体"/>
                <w:color w:val="auto"/>
                <w:highlight w:val="none"/>
              </w:rPr>
            </w:pPr>
            <w:r>
              <w:rPr>
                <w:rFonts w:hint="eastAsia" w:ascii="宋体" w:hAnsi="宋体" w:cs="宋体"/>
                <w:color w:val="auto"/>
                <w:highlight w:val="none"/>
              </w:rPr>
              <w:t>电线材料费</w:t>
            </w:r>
          </w:p>
        </w:tc>
        <w:tc>
          <w:tcPr>
            <w:tcW w:w="1559" w:type="dxa"/>
            <w:noWrap w:val="0"/>
            <w:vAlign w:val="center"/>
          </w:tcPr>
          <w:p w14:paraId="5781B782">
            <w:pPr>
              <w:jc w:val="center"/>
              <w:rPr>
                <w:rFonts w:ascii="宋体" w:hAnsi="宋体" w:cs="宋体"/>
                <w:color w:val="auto"/>
                <w:highlight w:val="none"/>
              </w:rPr>
            </w:pPr>
          </w:p>
        </w:tc>
        <w:tc>
          <w:tcPr>
            <w:tcW w:w="851" w:type="dxa"/>
            <w:noWrap w:val="0"/>
            <w:vAlign w:val="center"/>
          </w:tcPr>
          <w:p w14:paraId="18DB0BF4">
            <w:pPr>
              <w:jc w:val="center"/>
              <w:rPr>
                <w:rFonts w:ascii="宋体" w:hAnsi="宋体" w:cs="宋体"/>
                <w:color w:val="auto"/>
                <w:highlight w:val="none"/>
              </w:rPr>
            </w:pPr>
          </w:p>
        </w:tc>
        <w:tc>
          <w:tcPr>
            <w:tcW w:w="1559" w:type="dxa"/>
            <w:gridSpan w:val="2"/>
            <w:noWrap w:val="0"/>
            <w:vAlign w:val="center"/>
          </w:tcPr>
          <w:p w14:paraId="2337CD79">
            <w:pPr>
              <w:jc w:val="center"/>
              <w:rPr>
                <w:rFonts w:ascii="宋体" w:hAnsi="宋体" w:cs="宋体"/>
                <w:color w:val="auto"/>
                <w:highlight w:val="none"/>
              </w:rPr>
            </w:pPr>
          </w:p>
        </w:tc>
        <w:tc>
          <w:tcPr>
            <w:tcW w:w="1559" w:type="dxa"/>
            <w:noWrap w:val="0"/>
            <w:vAlign w:val="center"/>
          </w:tcPr>
          <w:p w14:paraId="4AC93474">
            <w:pPr>
              <w:jc w:val="center"/>
              <w:rPr>
                <w:rFonts w:ascii="宋体" w:hAnsi="宋体" w:cs="宋体"/>
                <w:color w:val="auto"/>
                <w:highlight w:val="none"/>
              </w:rPr>
            </w:pPr>
          </w:p>
        </w:tc>
        <w:tc>
          <w:tcPr>
            <w:tcW w:w="1985" w:type="dxa"/>
            <w:noWrap w:val="0"/>
            <w:vAlign w:val="center"/>
          </w:tcPr>
          <w:p w14:paraId="055BD4DF">
            <w:pPr>
              <w:jc w:val="center"/>
              <w:rPr>
                <w:rFonts w:ascii="宋体" w:hAnsi="宋体" w:cs="宋体"/>
                <w:color w:val="auto"/>
                <w:highlight w:val="none"/>
              </w:rPr>
            </w:pPr>
          </w:p>
        </w:tc>
      </w:tr>
      <w:tr w14:paraId="7AA69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noWrap w:val="0"/>
            <w:vAlign w:val="center"/>
          </w:tcPr>
          <w:p w14:paraId="5A18E8E0">
            <w:pPr>
              <w:jc w:val="center"/>
              <w:rPr>
                <w:rFonts w:ascii="宋体" w:hAnsi="宋体" w:cs="宋体"/>
                <w:color w:val="auto"/>
                <w:highlight w:val="none"/>
              </w:rPr>
            </w:pPr>
          </w:p>
        </w:tc>
        <w:tc>
          <w:tcPr>
            <w:tcW w:w="2419" w:type="dxa"/>
            <w:vMerge w:val="continue"/>
            <w:noWrap w:val="0"/>
            <w:vAlign w:val="center"/>
          </w:tcPr>
          <w:p w14:paraId="2544F0A8">
            <w:pPr>
              <w:jc w:val="center"/>
              <w:rPr>
                <w:rFonts w:ascii="宋体" w:hAnsi="宋体" w:cs="宋体"/>
                <w:color w:val="auto"/>
                <w:highlight w:val="none"/>
              </w:rPr>
            </w:pPr>
          </w:p>
        </w:tc>
        <w:tc>
          <w:tcPr>
            <w:tcW w:w="1199" w:type="dxa"/>
            <w:vMerge w:val="continue"/>
            <w:noWrap w:val="0"/>
            <w:vAlign w:val="center"/>
          </w:tcPr>
          <w:p w14:paraId="57856092">
            <w:pPr>
              <w:jc w:val="center"/>
              <w:rPr>
                <w:rFonts w:ascii="宋体" w:hAnsi="宋体" w:cs="宋体"/>
                <w:color w:val="auto"/>
                <w:highlight w:val="none"/>
              </w:rPr>
            </w:pPr>
          </w:p>
        </w:tc>
        <w:tc>
          <w:tcPr>
            <w:tcW w:w="1901" w:type="dxa"/>
            <w:gridSpan w:val="2"/>
            <w:noWrap w:val="0"/>
            <w:vAlign w:val="center"/>
          </w:tcPr>
          <w:p w14:paraId="29B6B667">
            <w:pPr>
              <w:jc w:val="center"/>
              <w:rPr>
                <w:rFonts w:ascii="宋体" w:hAnsi="宋体" w:cs="宋体"/>
                <w:color w:val="auto"/>
                <w:highlight w:val="none"/>
              </w:rPr>
            </w:pPr>
            <w:r>
              <w:rPr>
                <w:rFonts w:hint="eastAsia" w:ascii="宋体" w:hAnsi="宋体" w:cs="宋体"/>
                <w:color w:val="auto"/>
                <w:highlight w:val="none"/>
              </w:rPr>
              <w:t>总配电箱材料费</w:t>
            </w:r>
          </w:p>
        </w:tc>
        <w:tc>
          <w:tcPr>
            <w:tcW w:w="1559" w:type="dxa"/>
            <w:noWrap w:val="0"/>
            <w:vAlign w:val="center"/>
          </w:tcPr>
          <w:p w14:paraId="71173166">
            <w:pPr>
              <w:jc w:val="center"/>
              <w:rPr>
                <w:rFonts w:ascii="宋体" w:hAnsi="宋体" w:cs="宋体"/>
                <w:color w:val="auto"/>
                <w:highlight w:val="none"/>
              </w:rPr>
            </w:pPr>
          </w:p>
        </w:tc>
        <w:tc>
          <w:tcPr>
            <w:tcW w:w="851" w:type="dxa"/>
            <w:noWrap w:val="0"/>
            <w:vAlign w:val="center"/>
          </w:tcPr>
          <w:p w14:paraId="48BE8A37">
            <w:pPr>
              <w:jc w:val="center"/>
              <w:rPr>
                <w:rFonts w:ascii="宋体" w:hAnsi="宋体" w:cs="宋体"/>
                <w:color w:val="auto"/>
                <w:highlight w:val="none"/>
              </w:rPr>
            </w:pPr>
          </w:p>
        </w:tc>
        <w:tc>
          <w:tcPr>
            <w:tcW w:w="1559" w:type="dxa"/>
            <w:gridSpan w:val="2"/>
            <w:noWrap w:val="0"/>
            <w:vAlign w:val="center"/>
          </w:tcPr>
          <w:p w14:paraId="4B139248">
            <w:pPr>
              <w:jc w:val="center"/>
              <w:rPr>
                <w:rFonts w:ascii="宋体" w:hAnsi="宋体" w:cs="宋体"/>
                <w:color w:val="auto"/>
                <w:highlight w:val="none"/>
              </w:rPr>
            </w:pPr>
          </w:p>
        </w:tc>
        <w:tc>
          <w:tcPr>
            <w:tcW w:w="1559" w:type="dxa"/>
            <w:noWrap w:val="0"/>
            <w:vAlign w:val="center"/>
          </w:tcPr>
          <w:p w14:paraId="3CFDD8F8">
            <w:pPr>
              <w:jc w:val="center"/>
              <w:rPr>
                <w:rFonts w:ascii="宋体" w:hAnsi="宋体" w:cs="宋体"/>
                <w:color w:val="auto"/>
                <w:highlight w:val="none"/>
              </w:rPr>
            </w:pPr>
          </w:p>
        </w:tc>
        <w:tc>
          <w:tcPr>
            <w:tcW w:w="1985" w:type="dxa"/>
            <w:noWrap w:val="0"/>
            <w:vAlign w:val="center"/>
          </w:tcPr>
          <w:p w14:paraId="77D79E8C">
            <w:pPr>
              <w:jc w:val="center"/>
              <w:rPr>
                <w:rFonts w:ascii="宋体" w:hAnsi="宋体" w:cs="宋体"/>
                <w:color w:val="auto"/>
                <w:highlight w:val="none"/>
              </w:rPr>
            </w:pPr>
            <w:r>
              <w:rPr>
                <w:rFonts w:hint="eastAsia" w:ascii="宋体" w:hAnsi="宋体" w:cs="宋体"/>
                <w:color w:val="auto"/>
                <w:highlight w:val="none"/>
              </w:rPr>
              <w:t>含箱内电器</w:t>
            </w:r>
          </w:p>
        </w:tc>
      </w:tr>
      <w:tr w14:paraId="7A527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noWrap w:val="0"/>
            <w:vAlign w:val="center"/>
          </w:tcPr>
          <w:p w14:paraId="230A0613">
            <w:pPr>
              <w:jc w:val="center"/>
              <w:rPr>
                <w:rFonts w:ascii="宋体" w:hAnsi="宋体" w:cs="宋体"/>
                <w:color w:val="auto"/>
                <w:highlight w:val="none"/>
              </w:rPr>
            </w:pPr>
          </w:p>
        </w:tc>
        <w:tc>
          <w:tcPr>
            <w:tcW w:w="2419" w:type="dxa"/>
            <w:vMerge w:val="continue"/>
            <w:noWrap w:val="0"/>
            <w:vAlign w:val="center"/>
          </w:tcPr>
          <w:p w14:paraId="0F14581C">
            <w:pPr>
              <w:jc w:val="center"/>
              <w:rPr>
                <w:rFonts w:ascii="宋体" w:hAnsi="宋体" w:cs="宋体"/>
                <w:color w:val="auto"/>
                <w:highlight w:val="none"/>
              </w:rPr>
            </w:pPr>
          </w:p>
        </w:tc>
        <w:tc>
          <w:tcPr>
            <w:tcW w:w="1199" w:type="dxa"/>
            <w:vMerge w:val="continue"/>
            <w:noWrap w:val="0"/>
            <w:vAlign w:val="center"/>
          </w:tcPr>
          <w:p w14:paraId="4CD07D17">
            <w:pPr>
              <w:jc w:val="center"/>
              <w:rPr>
                <w:rFonts w:ascii="宋体" w:hAnsi="宋体" w:cs="宋体"/>
                <w:color w:val="auto"/>
                <w:highlight w:val="none"/>
              </w:rPr>
            </w:pPr>
          </w:p>
        </w:tc>
        <w:tc>
          <w:tcPr>
            <w:tcW w:w="1901" w:type="dxa"/>
            <w:gridSpan w:val="2"/>
            <w:noWrap w:val="0"/>
            <w:vAlign w:val="center"/>
          </w:tcPr>
          <w:p w14:paraId="29CDADB1">
            <w:pPr>
              <w:jc w:val="center"/>
              <w:rPr>
                <w:rFonts w:ascii="宋体" w:hAnsi="宋体" w:cs="宋体"/>
                <w:color w:val="auto"/>
                <w:highlight w:val="none"/>
              </w:rPr>
            </w:pPr>
            <w:r>
              <w:rPr>
                <w:rFonts w:hint="eastAsia" w:ascii="宋体" w:hAnsi="宋体" w:cs="宋体"/>
                <w:color w:val="auto"/>
                <w:highlight w:val="none"/>
              </w:rPr>
              <w:t>分配电箱材料费</w:t>
            </w:r>
          </w:p>
        </w:tc>
        <w:tc>
          <w:tcPr>
            <w:tcW w:w="1559" w:type="dxa"/>
            <w:noWrap w:val="0"/>
            <w:vAlign w:val="center"/>
          </w:tcPr>
          <w:p w14:paraId="13162FEF">
            <w:pPr>
              <w:jc w:val="center"/>
              <w:rPr>
                <w:rFonts w:ascii="宋体" w:hAnsi="宋体" w:cs="宋体"/>
                <w:color w:val="auto"/>
                <w:highlight w:val="none"/>
              </w:rPr>
            </w:pPr>
          </w:p>
        </w:tc>
        <w:tc>
          <w:tcPr>
            <w:tcW w:w="851" w:type="dxa"/>
            <w:noWrap w:val="0"/>
            <w:vAlign w:val="center"/>
          </w:tcPr>
          <w:p w14:paraId="550543FB">
            <w:pPr>
              <w:jc w:val="center"/>
              <w:rPr>
                <w:rFonts w:ascii="宋体" w:hAnsi="宋体" w:cs="宋体"/>
                <w:color w:val="auto"/>
                <w:highlight w:val="none"/>
              </w:rPr>
            </w:pPr>
          </w:p>
        </w:tc>
        <w:tc>
          <w:tcPr>
            <w:tcW w:w="1559" w:type="dxa"/>
            <w:gridSpan w:val="2"/>
            <w:noWrap w:val="0"/>
            <w:vAlign w:val="center"/>
          </w:tcPr>
          <w:p w14:paraId="61655ED9">
            <w:pPr>
              <w:jc w:val="center"/>
              <w:rPr>
                <w:rFonts w:ascii="宋体" w:hAnsi="宋体" w:cs="宋体"/>
                <w:color w:val="auto"/>
                <w:highlight w:val="none"/>
              </w:rPr>
            </w:pPr>
          </w:p>
        </w:tc>
        <w:tc>
          <w:tcPr>
            <w:tcW w:w="1559" w:type="dxa"/>
            <w:noWrap w:val="0"/>
            <w:vAlign w:val="center"/>
          </w:tcPr>
          <w:p w14:paraId="119A89F0">
            <w:pPr>
              <w:jc w:val="center"/>
              <w:rPr>
                <w:rFonts w:ascii="宋体" w:hAnsi="宋体" w:cs="宋体"/>
                <w:color w:val="auto"/>
                <w:highlight w:val="none"/>
              </w:rPr>
            </w:pPr>
          </w:p>
        </w:tc>
        <w:tc>
          <w:tcPr>
            <w:tcW w:w="1985" w:type="dxa"/>
            <w:noWrap w:val="0"/>
            <w:vAlign w:val="center"/>
          </w:tcPr>
          <w:p w14:paraId="10F08343">
            <w:pPr>
              <w:jc w:val="center"/>
              <w:rPr>
                <w:rFonts w:ascii="宋体" w:hAnsi="宋体" w:cs="宋体"/>
                <w:color w:val="auto"/>
                <w:highlight w:val="none"/>
              </w:rPr>
            </w:pPr>
            <w:r>
              <w:rPr>
                <w:rFonts w:hint="eastAsia" w:ascii="宋体" w:hAnsi="宋体" w:cs="宋体"/>
                <w:color w:val="auto"/>
                <w:highlight w:val="none"/>
              </w:rPr>
              <w:t>含箱内电器</w:t>
            </w:r>
          </w:p>
        </w:tc>
      </w:tr>
      <w:tr w14:paraId="6FF37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noWrap w:val="0"/>
            <w:vAlign w:val="center"/>
          </w:tcPr>
          <w:p w14:paraId="1458B20D">
            <w:pPr>
              <w:jc w:val="center"/>
              <w:rPr>
                <w:rFonts w:ascii="宋体" w:hAnsi="宋体" w:cs="宋体"/>
                <w:color w:val="auto"/>
                <w:highlight w:val="none"/>
              </w:rPr>
            </w:pPr>
          </w:p>
        </w:tc>
        <w:tc>
          <w:tcPr>
            <w:tcW w:w="2419" w:type="dxa"/>
            <w:vMerge w:val="continue"/>
            <w:noWrap w:val="0"/>
            <w:vAlign w:val="center"/>
          </w:tcPr>
          <w:p w14:paraId="47B2CDD5">
            <w:pPr>
              <w:jc w:val="center"/>
              <w:rPr>
                <w:rFonts w:ascii="宋体" w:hAnsi="宋体" w:cs="宋体"/>
                <w:color w:val="auto"/>
                <w:highlight w:val="none"/>
              </w:rPr>
            </w:pPr>
          </w:p>
        </w:tc>
        <w:tc>
          <w:tcPr>
            <w:tcW w:w="1199" w:type="dxa"/>
            <w:vMerge w:val="continue"/>
            <w:noWrap w:val="0"/>
            <w:vAlign w:val="center"/>
          </w:tcPr>
          <w:p w14:paraId="56C8CD00">
            <w:pPr>
              <w:jc w:val="center"/>
              <w:rPr>
                <w:rFonts w:ascii="宋体" w:hAnsi="宋体" w:cs="宋体"/>
                <w:color w:val="auto"/>
                <w:highlight w:val="none"/>
              </w:rPr>
            </w:pPr>
          </w:p>
        </w:tc>
        <w:tc>
          <w:tcPr>
            <w:tcW w:w="1901" w:type="dxa"/>
            <w:gridSpan w:val="2"/>
            <w:noWrap w:val="0"/>
            <w:vAlign w:val="center"/>
          </w:tcPr>
          <w:p w14:paraId="43275776">
            <w:pPr>
              <w:jc w:val="center"/>
              <w:rPr>
                <w:rFonts w:ascii="宋体" w:hAnsi="宋体" w:cs="宋体"/>
                <w:color w:val="auto"/>
                <w:highlight w:val="none"/>
              </w:rPr>
            </w:pPr>
            <w:r>
              <w:rPr>
                <w:rFonts w:hint="eastAsia" w:ascii="宋体" w:hAnsi="宋体" w:cs="宋体"/>
                <w:color w:val="auto"/>
                <w:highlight w:val="none"/>
              </w:rPr>
              <w:t>开关箱）材料费</w:t>
            </w:r>
          </w:p>
        </w:tc>
        <w:tc>
          <w:tcPr>
            <w:tcW w:w="1559" w:type="dxa"/>
            <w:noWrap w:val="0"/>
            <w:vAlign w:val="center"/>
          </w:tcPr>
          <w:p w14:paraId="665BBED1">
            <w:pPr>
              <w:jc w:val="center"/>
              <w:rPr>
                <w:rFonts w:ascii="宋体" w:hAnsi="宋体" w:cs="宋体"/>
                <w:color w:val="auto"/>
                <w:highlight w:val="none"/>
              </w:rPr>
            </w:pPr>
          </w:p>
        </w:tc>
        <w:tc>
          <w:tcPr>
            <w:tcW w:w="851" w:type="dxa"/>
            <w:noWrap w:val="0"/>
            <w:vAlign w:val="center"/>
          </w:tcPr>
          <w:p w14:paraId="3D264E0A">
            <w:pPr>
              <w:jc w:val="center"/>
              <w:rPr>
                <w:rFonts w:ascii="宋体" w:hAnsi="宋体" w:cs="宋体"/>
                <w:color w:val="auto"/>
                <w:highlight w:val="none"/>
              </w:rPr>
            </w:pPr>
          </w:p>
        </w:tc>
        <w:tc>
          <w:tcPr>
            <w:tcW w:w="1559" w:type="dxa"/>
            <w:gridSpan w:val="2"/>
            <w:noWrap w:val="0"/>
            <w:vAlign w:val="center"/>
          </w:tcPr>
          <w:p w14:paraId="3F761E9D">
            <w:pPr>
              <w:jc w:val="center"/>
              <w:rPr>
                <w:rFonts w:ascii="宋体" w:hAnsi="宋体" w:cs="宋体"/>
                <w:color w:val="auto"/>
                <w:highlight w:val="none"/>
              </w:rPr>
            </w:pPr>
          </w:p>
        </w:tc>
        <w:tc>
          <w:tcPr>
            <w:tcW w:w="1559" w:type="dxa"/>
            <w:noWrap w:val="0"/>
            <w:vAlign w:val="center"/>
          </w:tcPr>
          <w:p w14:paraId="2EE0FBC1">
            <w:pPr>
              <w:jc w:val="center"/>
              <w:rPr>
                <w:rFonts w:ascii="宋体" w:hAnsi="宋体" w:cs="宋体"/>
                <w:color w:val="auto"/>
                <w:highlight w:val="none"/>
              </w:rPr>
            </w:pPr>
          </w:p>
        </w:tc>
        <w:tc>
          <w:tcPr>
            <w:tcW w:w="1985" w:type="dxa"/>
            <w:noWrap w:val="0"/>
            <w:vAlign w:val="center"/>
          </w:tcPr>
          <w:p w14:paraId="75CF6B59">
            <w:pPr>
              <w:jc w:val="center"/>
              <w:rPr>
                <w:rFonts w:ascii="宋体" w:hAnsi="宋体" w:cs="宋体"/>
                <w:color w:val="auto"/>
                <w:highlight w:val="none"/>
              </w:rPr>
            </w:pPr>
            <w:r>
              <w:rPr>
                <w:rFonts w:hint="eastAsia" w:ascii="宋体" w:hAnsi="宋体" w:cs="宋体"/>
                <w:color w:val="auto"/>
                <w:highlight w:val="none"/>
              </w:rPr>
              <w:t>含箱内电器</w:t>
            </w:r>
          </w:p>
        </w:tc>
      </w:tr>
      <w:tr w14:paraId="4B74C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noWrap w:val="0"/>
            <w:vAlign w:val="center"/>
          </w:tcPr>
          <w:p w14:paraId="7123A9BE">
            <w:pPr>
              <w:jc w:val="center"/>
              <w:rPr>
                <w:rFonts w:ascii="宋体" w:hAnsi="宋体" w:cs="宋体"/>
                <w:color w:val="auto"/>
                <w:highlight w:val="none"/>
              </w:rPr>
            </w:pPr>
          </w:p>
        </w:tc>
        <w:tc>
          <w:tcPr>
            <w:tcW w:w="2419" w:type="dxa"/>
            <w:vMerge w:val="continue"/>
            <w:noWrap w:val="0"/>
            <w:vAlign w:val="center"/>
          </w:tcPr>
          <w:p w14:paraId="09C1A2C8">
            <w:pPr>
              <w:jc w:val="center"/>
              <w:rPr>
                <w:rFonts w:ascii="宋体" w:hAnsi="宋体" w:cs="宋体"/>
                <w:color w:val="auto"/>
                <w:highlight w:val="none"/>
              </w:rPr>
            </w:pPr>
          </w:p>
        </w:tc>
        <w:tc>
          <w:tcPr>
            <w:tcW w:w="1199" w:type="dxa"/>
            <w:vMerge w:val="continue"/>
            <w:noWrap w:val="0"/>
            <w:vAlign w:val="center"/>
          </w:tcPr>
          <w:p w14:paraId="076F9F2A">
            <w:pPr>
              <w:jc w:val="center"/>
              <w:rPr>
                <w:rFonts w:ascii="宋体" w:hAnsi="宋体" w:cs="宋体"/>
                <w:color w:val="auto"/>
                <w:highlight w:val="none"/>
              </w:rPr>
            </w:pPr>
          </w:p>
        </w:tc>
        <w:tc>
          <w:tcPr>
            <w:tcW w:w="1901" w:type="dxa"/>
            <w:gridSpan w:val="2"/>
            <w:noWrap w:val="0"/>
            <w:vAlign w:val="center"/>
          </w:tcPr>
          <w:p w14:paraId="209DFA6A">
            <w:pPr>
              <w:jc w:val="center"/>
              <w:rPr>
                <w:rFonts w:ascii="宋体" w:hAnsi="宋体" w:cs="宋体"/>
                <w:color w:val="auto"/>
                <w:highlight w:val="none"/>
              </w:rPr>
            </w:pPr>
            <w:r>
              <w:rPr>
                <w:rFonts w:hint="eastAsia" w:ascii="宋体" w:hAnsi="宋体" w:cs="宋体"/>
                <w:color w:val="auto"/>
                <w:highlight w:val="none"/>
              </w:rPr>
              <w:t>电杆材料费</w:t>
            </w:r>
          </w:p>
        </w:tc>
        <w:tc>
          <w:tcPr>
            <w:tcW w:w="1559" w:type="dxa"/>
            <w:noWrap w:val="0"/>
            <w:vAlign w:val="center"/>
          </w:tcPr>
          <w:p w14:paraId="37B28EAA">
            <w:pPr>
              <w:jc w:val="center"/>
              <w:rPr>
                <w:rFonts w:ascii="宋体" w:hAnsi="宋体" w:cs="宋体"/>
                <w:color w:val="auto"/>
                <w:highlight w:val="none"/>
              </w:rPr>
            </w:pPr>
          </w:p>
        </w:tc>
        <w:tc>
          <w:tcPr>
            <w:tcW w:w="851" w:type="dxa"/>
            <w:noWrap w:val="0"/>
            <w:vAlign w:val="center"/>
          </w:tcPr>
          <w:p w14:paraId="792D6520">
            <w:pPr>
              <w:jc w:val="center"/>
              <w:rPr>
                <w:rFonts w:ascii="宋体" w:hAnsi="宋体" w:cs="宋体"/>
                <w:color w:val="auto"/>
                <w:highlight w:val="none"/>
              </w:rPr>
            </w:pPr>
          </w:p>
        </w:tc>
        <w:tc>
          <w:tcPr>
            <w:tcW w:w="1559" w:type="dxa"/>
            <w:gridSpan w:val="2"/>
            <w:noWrap w:val="0"/>
            <w:vAlign w:val="center"/>
          </w:tcPr>
          <w:p w14:paraId="1A280420">
            <w:pPr>
              <w:jc w:val="center"/>
              <w:rPr>
                <w:rFonts w:ascii="宋体" w:hAnsi="宋体" w:cs="宋体"/>
                <w:color w:val="auto"/>
                <w:highlight w:val="none"/>
              </w:rPr>
            </w:pPr>
          </w:p>
        </w:tc>
        <w:tc>
          <w:tcPr>
            <w:tcW w:w="1559" w:type="dxa"/>
            <w:noWrap w:val="0"/>
            <w:vAlign w:val="center"/>
          </w:tcPr>
          <w:p w14:paraId="03D890E6">
            <w:pPr>
              <w:jc w:val="center"/>
              <w:rPr>
                <w:rFonts w:ascii="宋体" w:hAnsi="宋体" w:cs="宋体"/>
                <w:color w:val="auto"/>
                <w:highlight w:val="none"/>
              </w:rPr>
            </w:pPr>
          </w:p>
        </w:tc>
        <w:tc>
          <w:tcPr>
            <w:tcW w:w="1985" w:type="dxa"/>
            <w:noWrap w:val="0"/>
            <w:vAlign w:val="center"/>
          </w:tcPr>
          <w:p w14:paraId="0C5DF88B">
            <w:pPr>
              <w:jc w:val="center"/>
              <w:rPr>
                <w:rFonts w:ascii="宋体" w:hAnsi="宋体" w:cs="宋体"/>
                <w:color w:val="auto"/>
                <w:highlight w:val="none"/>
              </w:rPr>
            </w:pPr>
          </w:p>
        </w:tc>
      </w:tr>
      <w:tr w14:paraId="68CB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noWrap w:val="0"/>
            <w:vAlign w:val="center"/>
          </w:tcPr>
          <w:p w14:paraId="6571BECA">
            <w:pPr>
              <w:jc w:val="center"/>
              <w:rPr>
                <w:rFonts w:ascii="宋体" w:hAnsi="宋体" w:cs="宋体"/>
                <w:color w:val="auto"/>
                <w:highlight w:val="none"/>
              </w:rPr>
            </w:pPr>
          </w:p>
        </w:tc>
        <w:tc>
          <w:tcPr>
            <w:tcW w:w="2419" w:type="dxa"/>
            <w:vMerge w:val="continue"/>
            <w:noWrap w:val="0"/>
            <w:vAlign w:val="center"/>
          </w:tcPr>
          <w:p w14:paraId="7F888F3F">
            <w:pPr>
              <w:jc w:val="center"/>
              <w:rPr>
                <w:rFonts w:ascii="宋体" w:hAnsi="宋体" w:cs="宋体"/>
                <w:color w:val="auto"/>
                <w:highlight w:val="none"/>
              </w:rPr>
            </w:pPr>
          </w:p>
        </w:tc>
        <w:tc>
          <w:tcPr>
            <w:tcW w:w="1199" w:type="dxa"/>
            <w:vMerge w:val="continue"/>
            <w:noWrap w:val="0"/>
            <w:vAlign w:val="center"/>
          </w:tcPr>
          <w:p w14:paraId="57BD59CB">
            <w:pPr>
              <w:jc w:val="center"/>
              <w:rPr>
                <w:rFonts w:ascii="宋体" w:hAnsi="宋体" w:cs="宋体"/>
                <w:color w:val="auto"/>
                <w:highlight w:val="none"/>
              </w:rPr>
            </w:pPr>
          </w:p>
        </w:tc>
        <w:tc>
          <w:tcPr>
            <w:tcW w:w="1901" w:type="dxa"/>
            <w:gridSpan w:val="2"/>
            <w:noWrap w:val="0"/>
            <w:vAlign w:val="center"/>
          </w:tcPr>
          <w:p w14:paraId="2C01FEA8">
            <w:pPr>
              <w:jc w:val="center"/>
              <w:rPr>
                <w:rFonts w:ascii="宋体" w:hAnsi="宋体" w:cs="宋体"/>
                <w:color w:val="auto"/>
                <w:highlight w:val="none"/>
              </w:rPr>
            </w:pPr>
            <w:r>
              <w:rPr>
                <w:rFonts w:hint="eastAsia" w:ascii="宋体" w:hAnsi="宋体" w:cs="宋体"/>
                <w:color w:val="auto"/>
                <w:highlight w:val="none"/>
              </w:rPr>
              <w:t>街码材料费</w:t>
            </w:r>
          </w:p>
        </w:tc>
        <w:tc>
          <w:tcPr>
            <w:tcW w:w="1559" w:type="dxa"/>
            <w:noWrap w:val="0"/>
            <w:vAlign w:val="center"/>
          </w:tcPr>
          <w:p w14:paraId="7B3F3137">
            <w:pPr>
              <w:jc w:val="center"/>
              <w:rPr>
                <w:rFonts w:ascii="宋体" w:hAnsi="宋体" w:cs="宋体"/>
                <w:color w:val="auto"/>
                <w:highlight w:val="none"/>
              </w:rPr>
            </w:pPr>
          </w:p>
        </w:tc>
        <w:tc>
          <w:tcPr>
            <w:tcW w:w="851" w:type="dxa"/>
            <w:noWrap w:val="0"/>
            <w:vAlign w:val="center"/>
          </w:tcPr>
          <w:p w14:paraId="61A32892">
            <w:pPr>
              <w:jc w:val="center"/>
              <w:rPr>
                <w:rFonts w:ascii="宋体" w:hAnsi="宋体" w:cs="宋体"/>
                <w:color w:val="auto"/>
                <w:highlight w:val="none"/>
              </w:rPr>
            </w:pPr>
          </w:p>
        </w:tc>
        <w:tc>
          <w:tcPr>
            <w:tcW w:w="1559" w:type="dxa"/>
            <w:gridSpan w:val="2"/>
            <w:noWrap w:val="0"/>
            <w:vAlign w:val="center"/>
          </w:tcPr>
          <w:p w14:paraId="25902470">
            <w:pPr>
              <w:jc w:val="center"/>
              <w:rPr>
                <w:rFonts w:ascii="宋体" w:hAnsi="宋体" w:cs="宋体"/>
                <w:color w:val="auto"/>
                <w:highlight w:val="none"/>
              </w:rPr>
            </w:pPr>
          </w:p>
        </w:tc>
        <w:tc>
          <w:tcPr>
            <w:tcW w:w="1559" w:type="dxa"/>
            <w:noWrap w:val="0"/>
            <w:vAlign w:val="center"/>
          </w:tcPr>
          <w:p w14:paraId="10A4D471">
            <w:pPr>
              <w:jc w:val="center"/>
              <w:rPr>
                <w:rFonts w:ascii="宋体" w:hAnsi="宋体" w:cs="宋体"/>
                <w:color w:val="auto"/>
                <w:highlight w:val="none"/>
              </w:rPr>
            </w:pPr>
          </w:p>
        </w:tc>
        <w:tc>
          <w:tcPr>
            <w:tcW w:w="1985" w:type="dxa"/>
            <w:noWrap w:val="0"/>
            <w:vAlign w:val="center"/>
          </w:tcPr>
          <w:p w14:paraId="3D2AC1C9">
            <w:pPr>
              <w:jc w:val="center"/>
              <w:rPr>
                <w:rFonts w:ascii="宋体" w:hAnsi="宋体" w:cs="宋体"/>
                <w:color w:val="auto"/>
                <w:highlight w:val="none"/>
              </w:rPr>
            </w:pPr>
          </w:p>
        </w:tc>
      </w:tr>
      <w:tr w14:paraId="78C0C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noWrap w:val="0"/>
            <w:vAlign w:val="center"/>
          </w:tcPr>
          <w:p w14:paraId="121D376A">
            <w:pPr>
              <w:jc w:val="center"/>
              <w:rPr>
                <w:rFonts w:ascii="宋体" w:hAnsi="宋体" w:cs="宋体"/>
                <w:color w:val="auto"/>
                <w:highlight w:val="none"/>
              </w:rPr>
            </w:pPr>
          </w:p>
        </w:tc>
        <w:tc>
          <w:tcPr>
            <w:tcW w:w="2419" w:type="dxa"/>
            <w:vMerge w:val="continue"/>
            <w:noWrap w:val="0"/>
            <w:vAlign w:val="center"/>
          </w:tcPr>
          <w:p w14:paraId="0C3D5B35">
            <w:pPr>
              <w:jc w:val="center"/>
              <w:rPr>
                <w:rFonts w:ascii="宋体" w:hAnsi="宋体" w:cs="宋体"/>
                <w:color w:val="auto"/>
                <w:highlight w:val="none"/>
              </w:rPr>
            </w:pPr>
          </w:p>
        </w:tc>
        <w:tc>
          <w:tcPr>
            <w:tcW w:w="1199" w:type="dxa"/>
            <w:vMerge w:val="continue"/>
            <w:noWrap w:val="0"/>
            <w:vAlign w:val="center"/>
          </w:tcPr>
          <w:p w14:paraId="029A7F8F">
            <w:pPr>
              <w:jc w:val="center"/>
              <w:rPr>
                <w:rFonts w:ascii="宋体" w:hAnsi="宋体" w:cs="宋体"/>
                <w:color w:val="auto"/>
                <w:highlight w:val="none"/>
              </w:rPr>
            </w:pPr>
          </w:p>
        </w:tc>
        <w:tc>
          <w:tcPr>
            <w:tcW w:w="1901" w:type="dxa"/>
            <w:gridSpan w:val="2"/>
            <w:noWrap w:val="0"/>
            <w:vAlign w:val="center"/>
          </w:tcPr>
          <w:p w14:paraId="247823BA">
            <w:pPr>
              <w:jc w:val="center"/>
              <w:rPr>
                <w:rFonts w:ascii="宋体" w:hAnsi="宋体" w:cs="宋体"/>
                <w:color w:val="auto"/>
                <w:highlight w:val="none"/>
              </w:rPr>
            </w:pPr>
            <w:r>
              <w:rPr>
                <w:rFonts w:hint="eastAsia" w:ascii="宋体" w:hAnsi="宋体" w:cs="宋体"/>
                <w:color w:val="auto"/>
                <w:highlight w:val="none"/>
              </w:rPr>
              <w:t>配件材料费</w:t>
            </w:r>
          </w:p>
        </w:tc>
        <w:tc>
          <w:tcPr>
            <w:tcW w:w="1559" w:type="dxa"/>
            <w:noWrap w:val="0"/>
            <w:vAlign w:val="center"/>
          </w:tcPr>
          <w:p w14:paraId="6E64CA4D">
            <w:pPr>
              <w:jc w:val="center"/>
              <w:rPr>
                <w:rFonts w:ascii="宋体" w:hAnsi="宋体" w:cs="宋体"/>
                <w:color w:val="auto"/>
                <w:highlight w:val="none"/>
              </w:rPr>
            </w:pPr>
          </w:p>
        </w:tc>
        <w:tc>
          <w:tcPr>
            <w:tcW w:w="851" w:type="dxa"/>
            <w:noWrap w:val="0"/>
            <w:vAlign w:val="center"/>
          </w:tcPr>
          <w:p w14:paraId="11065E4F">
            <w:pPr>
              <w:jc w:val="center"/>
              <w:rPr>
                <w:rFonts w:ascii="宋体" w:hAnsi="宋体" w:cs="宋体"/>
                <w:color w:val="auto"/>
                <w:highlight w:val="none"/>
              </w:rPr>
            </w:pPr>
          </w:p>
        </w:tc>
        <w:tc>
          <w:tcPr>
            <w:tcW w:w="1559" w:type="dxa"/>
            <w:gridSpan w:val="2"/>
            <w:noWrap w:val="0"/>
            <w:vAlign w:val="center"/>
          </w:tcPr>
          <w:p w14:paraId="0D98F6FE">
            <w:pPr>
              <w:jc w:val="center"/>
              <w:rPr>
                <w:rFonts w:ascii="宋体" w:hAnsi="宋体" w:cs="宋体"/>
                <w:color w:val="auto"/>
                <w:highlight w:val="none"/>
              </w:rPr>
            </w:pPr>
          </w:p>
        </w:tc>
        <w:tc>
          <w:tcPr>
            <w:tcW w:w="1559" w:type="dxa"/>
            <w:noWrap w:val="0"/>
            <w:vAlign w:val="center"/>
          </w:tcPr>
          <w:p w14:paraId="3A074F3A">
            <w:pPr>
              <w:jc w:val="center"/>
              <w:rPr>
                <w:rFonts w:ascii="宋体" w:hAnsi="宋体" w:cs="宋体"/>
                <w:color w:val="auto"/>
                <w:highlight w:val="none"/>
              </w:rPr>
            </w:pPr>
          </w:p>
        </w:tc>
        <w:tc>
          <w:tcPr>
            <w:tcW w:w="1985" w:type="dxa"/>
            <w:noWrap w:val="0"/>
            <w:vAlign w:val="center"/>
          </w:tcPr>
          <w:p w14:paraId="5A948DD9">
            <w:pPr>
              <w:jc w:val="center"/>
              <w:rPr>
                <w:rFonts w:ascii="宋体" w:hAnsi="宋体" w:cs="宋体"/>
                <w:color w:val="auto"/>
                <w:highlight w:val="none"/>
              </w:rPr>
            </w:pPr>
          </w:p>
        </w:tc>
      </w:tr>
      <w:tr w14:paraId="72786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noWrap w:val="0"/>
            <w:vAlign w:val="center"/>
          </w:tcPr>
          <w:p w14:paraId="19A29FB2">
            <w:pPr>
              <w:jc w:val="center"/>
              <w:rPr>
                <w:rFonts w:ascii="宋体" w:hAnsi="宋体" w:cs="宋体"/>
                <w:color w:val="auto"/>
                <w:highlight w:val="none"/>
              </w:rPr>
            </w:pPr>
          </w:p>
        </w:tc>
        <w:tc>
          <w:tcPr>
            <w:tcW w:w="2419" w:type="dxa"/>
            <w:vMerge w:val="continue"/>
            <w:noWrap w:val="0"/>
            <w:vAlign w:val="center"/>
          </w:tcPr>
          <w:p w14:paraId="42942307">
            <w:pPr>
              <w:jc w:val="center"/>
              <w:rPr>
                <w:rFonts w:ascii="宋体" w:hAnsi="宋体" w:cs="宋体"/>
                <w:color w:val="auto"/>
                <w:highlight w:val="none"/>
              </w:rPr>
            </w:pPr>
          </w:p>
        </w:tc>
        <w:tc>
          <w:tcPr>
            <w:tcW w:w="1199" w:type="dxa"/>
            <w:vMerge w:val="continue"/>
            <w:noWrap w:val="0"/>
            <w:vAlign w:val="center"/>
          </w:tcPr>
          <w:p w14:paraId="7F0C1F91">
            <w:pPr>
              <w:jc w:val="center"/>
              <w:rPr>
                <w:rFonts w:ascii="宋体" w:hAnsi="宋体" w:cs="宋体"/>
                <w:color w:val="auto"/>
                <w:highlight w:val="none"/>
              </w:rPr>
            </w:pPr>
          </w:p>
        </w:tc>
        <w:tc>
          <w:tcPr>
            <w:tcW w:w="1901" w:type="dxa"/>
            <w:gridSpan w:val="2"/>
            <w:noWrap w:val="0"/>
            <w:vAlign w:val="center"/>
          </w:tcPr>
          <w:p w14:paraId="27A13F99">
            <w:pPr>
              <w:jc w:val="center"/>
              <w:rPr>
                <w:rFonts w:ascii="宋体" w:hAnsi="宋体" w:cs="宋体"/>
                <w:color w:val="auto"/>
                <w:highlight w:val="none"/>
              </w:rPr>
            </w:pPr>
            <w:r>
              <w:rPr>
                <w:rFonts w:hint="eastAsia" w:ascii="宋体" w:hAnsi="宋体" w:cs="宋体"/>
                <w:color w:val="auto"/>
                <w:highlight w:val="none"/>
              </w:rPr>
              <w:t>人工费</w:t>
            </w:r>
          </w:p>
        </w:tc>
        <w:tc>
          <w:tcPr>
            <w:tcW w:w="1559" w:type="dxa"/>
            <w:noWrap w:val="0"/>
            <w:vAlign w:val="center"/>
          </w:tcPr>
          <w:p w14:paraId="51A23DB6">
            <w:pPr>
              <w:jc w:val="center"/>
              <w:rPr>
                <w:rFonts w:ascii="宋体" w:hAnsi="宋体" w:cs="宋体"/>
                <w:color w:val="auto"/>
                <w:highlight w:val="none"/>
              </w:rPr>
            </w:pPr>
          </w:p>
        </w:tc>
        <w:tc>
          <w:tcPr>
            <w:tcW w:w="851" w:type="dxa"/>
            <w:noWrap w:val="0"/>
            <w:vAlign w:val="center"/>
          </w:tcPr>
          <w:p w14:paraId="428654B3">
            <w:pPr>
              <w:jc w:val="center"/>
              <w:rPr>
                <w:rFonts w:ascii="宋体" w:hAnsi="宋体" w:cs="宋体"/>
                <w:color w:val="auto"/>
                <w:highlight w:val="none"/>
              </w:rPr>
            </w:pPr>
          </w:p>
        </w:tc>
        <w:tc>
          <w:tcPr>
            <w:tcW w:w="1559" w:type="dxa"/>
            <w:gridSpan w:val="2"/>
            <w:noWrap w:val="0"/>
            <w:vAlign w:val="center"/>
          </w:tcPr>
          <w:p w14:paraId="58E3F38A">
            <w:pPr>
              <w:jc w:val="center"/>
              <w:rPr>
                <w:rFonts w:ascii="宋体" w:hAnsi="宋体" w:cs="宋体"/>
                <w:color w:val="auto"/>
                <w:highlight w:val="none"/>
              </w:rPr>
            </w:pPr>
          </w:p>
        </w:tc>
        <w:tc>
          <w:tcPr>
            <w:tcW w:w="1559" w:type="dxa"/>
            <w:noWrap w:val="0"/>
            <w:vAlign w:val="center"/>
          </w:tcPr>
          <w:p w14:paraId="64B7E308">
            <w:pPr>
              <w:jc w:val="center"/>
              <w:rPr>
                <w:rFonts w:ascii="宋体" w:hAnsi="宋体" w:cs="宋体"/>
                <w:color w:val="auto"/>
                <w:highlight w:val="none"/>
              </w:rPr>
            </w:pPr>
          </w:p>
        </w:tc>
        <w:tc>
          <w:tcPr>
            <w:tcW w:w="1985" w:type="dxa"/>
            <w:noWrap w:val="0"/>
            <w:vAlign w:val="center"/>
          </w:tcPr>
          <w:p w14:paraId="5770A21E">
            <w:pPr>
              <w:jc w:val="center"/>
              <w:rPr>
                <w:rFonts w:ascii="宋体" w:hAnsi="宋体" w:cs="宋体"/>
                <w:color w:val="auto"/>
                <w:highlight w:val="none"/>
              </w:rPr>
            </w:pPr>
          </w:p>
        </w:tc>
      </w:tr>
      <w:tr w14:paraId="7B511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restart"/>
            <w:noWrap w:val="0"/>
            <w:vAlign w:val="center"/>
          </w:tcPr>
          <w:p w14:paraId="0EEEAD05">
            <w:pPr>
              <w:jc w:val="center"/>
              <w:rPr>
                <w:rFonts w:ascii="宋体" w:hAnsi="宋体" w:cs="宋体"/>
                <w:color w:val="auto"/>
                <w:highlight w:val="none"/>
              </w:rPr>
            </w:pPr>
            <w:r>
              <w:rPr>
                <w:rFonts w:hint="eastAsia" w:ascii="宋体" w:hAnsi="宋体" w:cs="宋体"/>
                <w:color w:val="auto"/>
                <w:highlight w:val="none"/>
              </w:rPr>
              <w:t>3</w:t>
            </w:r>
          </w:p>
        </w:tc>
        <w:tc>
          <w:tcPr>
            <w:tcW w:w="2419" w:type="dxa"/>
            <w:vMerge w:val="restart"/>
            <w:noWrap w:val="0"/>
            <w:vAlign w:val="center"/>
          </w:tcPr>
          <w:p w14:paraId="413AE804">
            <w:pPr>
              <w:jc w:val="center"/>
              <w:rPr>
                <w:rFonts w:ascii="宋体" w:hAnsi="宋体" w:cs="宋体"/>
                <w:color w:val="auto"/>
                <w:highlight w:val="none"/>
                <w:lang w:eastAsia="zh-CN"/>
              </w:rPr>
            </w:pPr>
            <w:r>
              <w:rPr>
                <w:rFonts w:hint="eastAsia" w:ascii="宋体" w:hAnsi="宋体" w:cs="宋体"/>
                <w:color w:val="auto"/>
                <w:highlight w:val="none"/>
                <w:lang w:eastAsia="zh-CN"/>
              </w:rPr>
              <w:t>二、配备、维护、保养应急救援器材、设备支出和应急救援队伍建设与应急演练支出</w:t>
            </w:r>
          </w:p>
        </w:tc>
        <w:tc>
          <w:tcPr>
            <w:tcW w:w="1199" w:type="dxa"/>
            <w:vMerge w:val="restart"/>
            <w:noWrap w:val="0"/>
            <w:vAlign w:val="center"/>
          </w:tcPr>
          <w:p w14:paraId="00CB1F89">
            <w:pPr>
              <w:jc w:val="center"/>
              <w:rPr>
                <w:rFonts w:ascii="宋体" w:hAnsi="宋体" w:cs="宋体"/>
                <w:color w:val="auto"/>
                <w:highlight w:val="none"/>
              </w:rPr>
            </w:pPr>
            <w:r>
              <w:rPr>
                <w:rFonts w:hint="eastAsia" w:ascii="宋体" w:hAnsi="宋体" w:cs="宋体"/>
                <w:color w:val="auto"/>
                <w:highlight w:val="none"/>
              </w:rPr>
              <w:t>消防设施</w:t>
            </w:r>
          </w:p>
        </w:tc>
        <w:tc>
          <w:tcPr>
            <w:tcW w:w="1901" w:type="dxa"/>
            <w:gridSpan w:val="2"/>
            <w:noWrap w:val="0"/>
            <w:vAlign w:val="center"/>
          </w:tcPr>
          <w:p w14:paraId="7D695F5F">
            <w:pPr>
              <w:jc w:val="center"/>
              <w:rPr>
                <w:rFonts w:ascii="宋体" w:hAnsi="宋体" w:cs="宋体"/>
                <w:color w:val="auto"/>
                <w:highlight w:val="none"/>
              </w:rPr>
            </w:pPr>
            <w:r>
              <w:rPr>
                <w:rFonts w:hint="eastAsia" w:ascii="宋体" w:hAnsi="宋体" w:cs="宋体"/>
                <w:color w:val="auto"/>
                <w:highlight w:val="none"/>
              </w:rPr>
              <w:t>消防箱材料费</w:t>
            </w:r>
          </w:p>
        </w:tc>
        <w:tc>
          <w:tcPr>
            <w:tcW w:w="1559" w:type="dxa"/>
            <w:noWrap w:val="0"/>
            <w:vAlign w:val="center"/>
          </w:tcPr>
          <w:p w14:paraId="3D4DD7FB">
            <w:pPr>
              <w:jc w:val="center"/>
              <w:rPr>
                <w:rFonts w:ascii="宋体" w:hAnsi="宋体" w:cs="宋体"/>
                <w:color w:val="auto"/>
                <w:highlight w:val="none"/>
              </w:rPr>
            </w:pPr>
          </w:p>
        </w:tc>
        <w:tc>
          <w:tcPr>
            <w:tcW w:w="851" w:type="dxa"/>
            <w:noWrap w:val="0"/>
            <w:vAlign w:val="center"/>
          </w:tcPr>
          <w:p w14:paraId="0BB6B87E">
            <w:pPr>
              <w:jc w:val="center"/>
              <w:rPr>
                <w:rFonts w:ascii="宋体" w:hAnsi="宋体" w:cs="宋体"/>
                <w:color w:val="auto"/>
                <w:highlight w:val="none"/>
              </w:rPr>
            </w:pPr>
          </w:p>
        </w:tc>
        <w:tc>
          <w:tcPr>
            <w:tcW w:w="1559" w:type="dxa"/>
            <w:gridSpan w:val="2"/>
            <w:noWrap w:val="0"/>
            <w:vAlign w:val="center"/>
          </w:tcPr>
          <w:p w14:paraId="7EC9A4F9">
            <w:pPr>
              <w:jc w:val="center"/>
              <w:rPr>
                <w:rFonts w:ascii="宋体" w:hAnsi="宋体" w:cs="宋体"/>
                <w:color w:val="auto"/>
                <w:highlight w:val="none"/>
              </w:rPr>
            </w:pPr>
          </w:p>
        </w:tc>
        <w:tc>
          <w:tcPr>
            <w:tcW w:w="1559" w:type="dxa"/>
            <w:noWrap w:val="0"/>
            <w:vAlign w:val="center"/>
          </w:tcPr>
          <w:p w14:paraId="3FE94890">
            <w:pPr>
              <w:jc w:val="center"/>
              <w:rPr>
                <w:rFonts w:ascii="宋体" w:hAnsi="宋体" w:cs="宋体"/>
                <w:color w:val="auto"/>
                <w:highlight w:val="none"/>
              </w:rPr>
            </w:pPr>
          </w:p>
        </w:tc>
        <w:tc>
          <w:tcPr>
            <w:tcW w:w="1985" w:type="dxa"/>
            <w:noWrap w:val="0"/>
            <w:vAlign w:val="center"/>
          </w:tcPr>
          <w:p w14:paraId="1C7B70D6">
            <w:pPr>
              <w:jc w:val="center"/>
              <w:rPr>
                <w:rFonts w:ascii="宋体" w:hAnsi="宋体" w:cs="宋体"/>
                <w:color w:val="auto"/>
                <w:highlight w:val="none"/>
              </w:rPr>
            </w:pPr>
          </w:p>
        </w:tc>
      </w:tr>
      <w:tr w14:paraId="482AA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noWrap w:val="0"/>
            <w:vAlign w:val="center"/>
          </w:tcPr>
          <w:p w14:paraId="7B78AA09">
            <w:pPr>
              <w:jc w:val="center"/>
              <w:rPr>
                <w:rFonts w:ascii="宋体" w:hAnsi="宋体" w:cs="宋体"/>
                <w:color w:val="auto"/>
                <w:highlight w:val="none"/>
              </w:rPr>
            </w:pPr>
          </w:p>
        </w:tc>
        <w:tc>
          <w:tcPr>
            <w:tcW w:w="2419" w:type="dxa"/>
            <w:vMerge w:val="continue"/>
            <w:noWrap w:val="0"/>
            <w:vAlign w:val="center"/>
          </w:tcPr>
          <w:p w14:paraId="6576FEC8">
            <w:pPr>
              <w:jc w:val="center"/>
              <w:rPr>
                <w:rFonts w:ascii="宋体" w:hAnsi="宋体" w:cs="宋体"/>
                <w:color w:val="auto"/>
                <w:highlight w:val="none"/>
              </w:rPr>
            </w:pPr>
          </w:p>
        </w:tc>
        <w:tc>
          <w:tcPr>
            <w:tcW w:w="1199" w:type="dxa"/>
            <w:vMerge w:val="continue"/>
            <w:noWrap w:val="0"/>
            <w:vAlign w:val="center"/>
          </w:tcPr>
          <w:p w14:paraId="751D49EB">
            <w:pPr>
              <w:jc w:val="center"/>
              <w:rPr>
                <w:rFonts w:ascii="宋体" w:hAnsi="宋体" w:cs="宋体"/>
                <w:color w:val="auto"/>
                <w:highlight w:val="none"/>
              </w:rPr>
            </w:pPr>
          </w:p>
        </w:tc>
        <w:tc>
          <w:tcPr>
            <w:tcW w:w="1901" w:type="dxa"/>
            <w:gridSpan w:val="2"/>
            <w:noWrap w:val="0"/>
            <w:vAlign w:val="center"/>
          </w:tcPr>
          <w:p w14:paraId="17C05CC7">
            <w:pPr>
              <w:jc w:val="center"/>
              <w:rPr>
                <w:rFonts w:ascii="宋体" w:hAnsi="宋体" w:cs="宋体"/>
                <w:color w:val="auto"/>
                <w:highlight w:val="none"/>
              </w:rPr>
            </w:pPr>
            <w:r>
              <w:rPr>
                <w:rFonts w:hint="eastAsia" w:ascii="宋体" w:hAnsi="宋体" w:cs="宋体"/>
                <w:color w:val="auto"/>
                <w:highlight w:val="none"/>
              </w:rPr>
              <w:t>消防龙头材料费</w:t>
            </w:r>
          </w:p>
        </w:tc>
        <w:tc>
          <w:tcPr>
            <w:tcW w:w="1559" w:type="dxa"/>
            <w:noWrap w:val="0"/>
            <w:vAlign w:val="center"/>
          </w:tcPr>
          <w:p w14:paraId="203CAB67">
            <w:pPr>
              <w:jc w:val="center"/>
              <w:rPr>
                <w:rFonts w:ascii="宋体" w:hAnsi="宋体" w:cs="宋体"/>
                <w:color w:val="auto"/>
                <w:highlight w:val="none"/>
              </w:rPr>
            </w:pPr>
          </w:p>
        </w:tc>
        <w:tc>
          <w:tcPr>
            <w:tcW w:w="851" w:type="dxa"/>
            <w:noWrap w:val="0"/>
            <w:vAlign w:val="center"/>
          </w:tcPr>
          <w:p w14:paraId="0DC01F09">
            <w:pPr>
              <w:jc w:val="center"/>
              <w:rPr>
                <w:rFonts w:ascii="宋体" w:hAnsi="宋体" w:cs="宋体"/>
                <w:color w:val="auto"/>
                <w:highlight w:val="none"/>
              </w:rPr>
            </w:pPr>
          </w:p>
        </w:tc>
        <w:tc>
          <w:tcPr>
            <w:tcW w:w="1559" w:type="dxa"/>
            <w:gridSpan w:val="2"/>
            <w:noWrap w:val="0"/>
            <w:vAlign w:val="center"/>
          </w:tcPr>
          <w:p w14:paraId="167D013B">
            <w:pPr>
              <w:jc w:val="center"/>
              <w:rPr>
                <w:rFonts w:ascii="宋体" w:hAnsi="宋体" w:cs="宋体"/>
                <w:color w:val="auto"/>
                <w:highlight w:val="none"/>
              </w:rPr>
            </w:pPr>
          </w:p>
        </w:tc>
        <w:tc>
          <w:tcPr>
            <w:tcW w:w="1559" w:type="dxa"/>
            <w:noWrap w:val="0"/>
            <w:vAlign w:val="center"/>
          </w:tcPr>
          <w:p w14:paraId="4729233B">
            <w:pPr>
              <w:jc w:val="center"/>
              <w:rPr>
                <w:rFonts w:ascii="宋体" w:hAnsi="宋体" w:cs="宋体"/>
                <w:color w:val="auto"/>
                <w:highlight w:val="none"/>
              </w:rPr>
            </w:pPr>
          </w:p>
        </w:tc>
        <w:tc>
          <w:tcPr>
            <w:tcW w:w="1985" w:type="dxa"/>
            <w:noWrap w:val="0"/>
            <w:vAlign w:val="center"/>
          </w:tcPr>
          <w:p w14:paraId="36FE5108">
            <w:pPr>
              <w:jc w:val="center"/>
              <w:rPr>
                <w:rFonts w:ascii="宋体" w:hAnsi="宋体" w:cs="宋体"/>
                <w:color w:val="auto"/>
                <w:highlight w:val="none"/>
              </w:rPr>
            </w:pPr>
          </w:p>
        </w:tc>
      </w:tr>
      <w:tr w14:paraId="6C64B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noWrap w:val="0"/>
            <w:vAlign w:val="center"/>
          </w:tcPr>
          <w:p w14:paraId="0CED9ABA">
            <w:pPr>
              <w:jc w:val="center"/>
              <w:rPr>
                <w:rFonts w:ascii="宋体" w:hAnsi="宋体" w:cs="宋体"/>
                <w:color w:val="auto"/>
                <w:highlight w:val="none"/>
              </w:rPr>
            </w:pPr>
          </w:p>
        </w:tc>
        <w:tc>
          <w:tcPr>
            <w:tcW w:w="2419" w:type="dxa"/>
            <w:vMerge w:val="continue"/>
            <w:noWrap w:val="0"/>
            <w:vAlign w:val="center"/>
          </w:tcPr>
          <w:p w14:paraId="265ABC4C">
            <w:pPr>
              <w:jc w:val="center"/>
              <w:rPr>
                <w:rFonts w:ascii="宋体" w:hAnsi="宋体" w:cs="宋体"/>
                <w:color w:val="auto"/>
                <w:highlight w:val="none"/>
              </w:rPr>
            </w:pPr>
          </w:p>
        </w:tc>
        <w:tc>
          <w:tcPr>
            <w:tcW w:w="1199" w:type="dxa"/>
            <w:vMerge w:val="continue"/>
            <w:noWrap w:val="0"/>
            <w:vAlign w:val="center"/>
          </w:tcPr>
          <w:p w14:paraId="7F78CD18">
            <w:pPr>
              <w:jc w:val="center"/>
              <w:rPr>
                <w:rFonts w:ascii="宋体" w:hAnsi="宋体" w:cs="宋体"/>
                <w:color w:val="auto"/>
                <w:highlight w:val="none"/>
              </w:rPr>
            </w:pPr>
          </w:p>
        </w:tc>
        <w:tc>
          <w:tcPr>
            <w:tcW w:w="1901" w:type="dxa"/>
            <w:gridSpan w:val="2"/>
            <w:noWrap w:val="0"/>
            <w:vAlign w:val="center"/>
          </w:tcPr>
          <w:p w14:paraId="6CE77405">
            <w:pPr>
              <w:jc w:val="center"/>
              <w:rPr>
                <w:rFonts w:ascii="宋体" w:hAnsi="宋体" w:cs="宋体"/>
                <w:color w:val="auto"/>
                <w:highlight w:val="none"/>
              </w:rPr>
            </w:pPr>
            <w:r>
              <w:rPr>
                <w:rFonts w:hint="eastAsia" w:ascii="宋体" w:hAnsi="宋体" w:cs="宋体"/>
                <w:color w:val="auto"/>
                <w:highlight w:val="none"/>
              </w:rPr>
              <w:t>消防水枪材料费</w:t>
            </w:r>
          </w:p>
        </w:tc>
        <w:tc>
          <w:tcPr>
            <w:tcW w:w="1559" w:type="dxa"/>
            <w:noWrap w:val="0"/>
            <w:vAlign w:val="center"/>
          </w:tcPr>
          <w:p w14:paraId="464E7EAC">
            <w:pPr>
              <w:jc w:val="center"/>
              <w:rPr>
                <w:rFonts w:ascii="宋体" w:hAnsi="宋体" w:cs="宋体"/>
                <w:color w:val="auto"/>
                <w:highlight w:val="none"/>
              </w:rPr>
            </w:pPr>
          </w:p>
        </w:tc>
        <w:tc>
          <w:tcPr>
            <w:tcW w:w="851" w:type="dxa"/>
            <w:noWrap w:val="0"/>
            <w:vAlign w:val="center"/>
          </w:tcPr>
          <w:p w14:paraId="74D97D30">
            <w:pPr>
              <w:jc w:val="center"/>
              <w:rPr>
                <w:rFonts w:ascii="宋体" w:hAnsi="宋体" w:cs="宋体"/>
                <w:color w:val="auto"/>
                <w:highlight w:val="none"/>
              </w:rPr>
            </w:pPr>
          </w:p>
        </w:tc>
        <w:tc>
          <w:tcPr>
            <w:tcW w:w="1559" w:type="dxa"/>
            <w:gridSpan w:val="2"/>
            <w:noWrap w:val="0"/>
            <w:vAlign w:val="center"/>
          </w:tcPr>
          <w:p w14:paraId="34F21DF7">
            <w:pPr>
              <w:jc w:val="center"/>
              <w:rPr>
                <w:rFonts w:ascii="宋体" w:hAnsi="宋体" w:cs="宋体"/>
                <w:color w:val="auto"/>
                <w:highlight w:val="none"/>
              </w:rPr>
            </w:pPr>
          </w:p>
        </w:tc>
        <w:tc>
          <w:tcPr>
            <w:tcW w:w="1559" w:type="dxa"/>
            <w:noWrap w:val="0"/>
            <w:vAlign w:val="center"/>
          </w:tcPr>
          <w:p w14:paraId="01B52174">
            <w:pPr>
              <w:jc w:val="center"/>
              <w:rPr>
                <w:rFonts w:ascii="宋体" w:hAnsi="宋体" w:cs="宋体"/>
                <w:color w:val="auto"/>
                <w:highlight w:val="none"/>
              </w:rPr>
            </w:pPr>
          </w:p>
        </w:tc>
        <w:tc>
          <w:tcPr>
            <w:tcW w:w="1985" w:type="dxa"/>
            <w:noWrap w:val="0"/>
            <w:vAlign w:val="center"/>
          </w:tcPr>
          <w:p w14:paraId="4E375CA3">
            <w:pPr>
              <w:jc w:val="center"/>
              <w:rPr>
                <w:rFonts w:ascii="宋体" w:hAnsi="宋体" w:cs="宋体"/>
                <w:color w:val="auto"/>
                <w:highlight w:val="none"/>
              </w:rPr>
            </w:pPr>
          </w:p>
        </w:tc>
      </w:tr>
      <w:tr w14:paraId="7011E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noWrap w:val="0"/>
            <w:vAlign w:val="center"/>
          </w:tcPr>
          <w:p w14:paraId="11A611E2">
            <w:pPr>
              <w:jc w:val="center"/>
              <w:rPr>
                <w:rFonts w:ascii="宋体" w:hAnsi="宋体" w:cs="宋体"/>
                <w:color w:val="auto"/>
                <w:highlight w:val="none"/>
              </w:rPr>
            </w:pPr>
          </w:p>
        </w:tc>
        <w:tc>
          <w:tcPr>
            <w:tcW w:w="2419" w:type="dxa"/>
            <w:vMerge w:val="continue"/>
            <w:noWrap w:val="0"/>
            <w:vAlign w:val="center"/>
          </w:tcPr>
          <w:p w14:paraId="6903176E">
            <w:pPr>
              <w:jc w:val="center"/>
              <w:rPr>
                <w:rFonts w:ascii="宋体" w:hAnsi="宋体" w:cs="宋体"/>
                <w:color w:val="auto"/>
                <w:highlight w:val="none"/>
              </w:rPr>
            </w:pPr>
          </w:p>
        </w:tc>
        <w:tc>
          <w:tcPr>
            <w:tcW w:w="1199" w:type="dxa"/>
            <w:vMerge w:val="continue"/>
            <w:noWrap w:val="0"/>
            <w:vAlign w:val="center"/>
          </w:tcPr>
          <w:p w14:paraId="51B4465D">
            <w:pPr>
              <w:jc w:val="center"/>
              <w:rPr>
                <w:rFonts w:ascii="宋体" w:hAnsi="宋体" w:cs="宋体"/>
                <w:color w:val="auto"/>
                <w:highlight w:val="none"/>
              </w:rPr>
            </w:pPr>
          </w:p>
        </w:tc>
        <w:tc>
          <w:tcPr>
            <w:tcW w:w="1901" w:type="dxa"/>
            <w:gridSpan w:val="2"/>
            <w:noWrap w:val="0"/>
            <w:vAlign w:val="center"/>
          </w:tcPr>
          <w:p w14:paraId="4C49D87E">
            <w:pPr>
              <w:jc w:val="center"/>
              <w:rPr>
                <w:rFonts w:ascii="宋体" w:hAnsi="宋体" w:cs="宋体"/>
                <w:color w:val="auto"/>
                <w:highlight w:val="none"/>
              </w:rPr>
            </w:pPr>
            <w:r>
              <w:rPr>
                <w:rFonts w:hint="eastAsia" w:ascii="宋体" w:hAnsi="宋体" w:cs="宋体"/>
                <w:color w:val="auto"/>
                <w:highlight w:val="none"/>
              </w:rPr>
              <w:t>消防带材料费</w:t>
            </w:r>
          </w:p>
        </w:tc>
        <w:tc>
          <w:tcPr>
            <w:tcW w:w="1559" w:type="dxa"/>
            <w:noWrap w:val="0"/>
            <w:vAlign w:val="center"/>
          </w:tcPr>
          <w:p w14:paraId="59643350">
            <w:pPr>
              <w:jc w:val="center"/>
              <w:rPr>
                <w:rFonts w:ascii="宋体" w:hAnsi="宋体" w:cs="宋体"/>
                <w:color w:val="auto"/>
                <w:highlight w:val="none"/>
              </w:rPr>
            </w:pPr>
          </w:p>
        </w:tc>
        <w:tc>
          <w:tcPr>
            <w:tcW w:w="851" w:type="dxa"/>
            <w:noWrap w:val="0"/>
            <w:vAlign w:val="center"/>
          </w:tcPr>
          <w:p w14:paraId="35482805">
            <w:pPr>
              <w:jc w:val="center"/>
              <w:rPr>
                <w:rFonts w:ascii="宋体" w:hAnsi="宋体" w:cs="宋体"/>
                <w:color w:val="auto"/>
                <w:highlight w:val="none"/>
              </w:rPr>
            </w:pPr>
          </w:p>
        </w:tc>
        <w:tc>
          <w:tcPr>
            <w:tcW w:w="1559" w:type="dxa"/>
            <w:gridSpan w:val="2"/>
            <w:noWrap w:val="0"/>
            <w:vAlign w:val="center"/>
          </w:tcPr>
          <w:p w14:paraId="4AD28CC2">
            <w:pPr>
              <w:jc w:val="center"/>
              <w:rPr>
                <w:rFonts w:ascii="宋体" w:hAnsi="宋体" w:cs="宋体"/>
                <w:color w:val="auto"/>
                <w:highlight w:val="none"/>
              </w:rPr>
            </w:pPr>
          </w:p>
        </w:tc>
        <w:tc>
          <w:tcPr>
            <w:tcW w:w="1559" w:type="dxa"/>
            <w:noWrap w:val="0"/>
            <w:vAlign w:val="center"/>
          </w:tcPr>
          <w:p w14:paraId="36EE8409">
            <w:pPr>
              <w:jc w:val="center"/>
              <w:rPr>
                <w:rFonts w:ascii="宋体" w:hAnsi="宋体" w:cs="宋体"/>
                <w:color w:val="auto"/>
                <w:highlight w:val="none"/>
              </w:rPr>
            </w:pPr>
          </w:p>
        </w:tc>
        <w:tc>
          <w:tcPr>
            <w:tcW w:w="1985" w:type="dxa"/>
            <w:noWrap w:val="0"/>
            <w:vAlign w:val="center"/>
          </w:tcPr>
          <w:p w14:paraId="5B95AF5D">
            <w:pPr>
              <w:jc w:val="center"/>
              <w:rPr>
                <w:rFonts w:ascii="宋体" w:hAnsi="宋体" w:cs="宋体"/>
                <w:color w:val="auto"/>
                <w:highlight w:val="none"/>
              </w:rPr>
            </w:pPr>
          </w:p>
        </w:tc>
      </w:tr>
      <w:tr w14:paraId="4026B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noWrap w:val="0"/>
            <w:vAlign w:val="center"/>
          </w:tcPr>
          <w:p w14:paraId="033FEB9D">
            <w:pPr>
              <w:jc w:val="center"/>
              <w:rPr>
                <w:rFonts w:ascii="宋体" w:hAnsi="宋体" w:cs="宋体"/>
                <w:color w:val="auto"/>
                <w:highlight w:val="none"/>
              </w:rPr>
            </w:pPr>
          </w:p>
        </w:tc>
        <w:tc>
          <w:tcPr>
            <w:tcW w:w="2419" w:type="dxa"/>
            <w:vMerge w:val="continue"/>
            <w:noWrap w:val="0"/>
            <w:vAlign w:val="center"/>
          </w:tcPr>
          <w:p w14:paraId="351D30F2">
            <w:pPr>
              <w:jc w:val="center"/>
              <w:rPr>
                <w:rFonts w:ascii="宋体" w:hAnsi="宋体" w:cs="宋体"/>
                <w:color w:val="auto"/>
                <w:highlight w:val="none"/>
              </w:rPr>
            </w:pPr>
          </w:p>
        </w:tc>
        <w:tc>
          <w:tcPr>
            <w:tcW w:w="1199" w:type="dxa"/>
            <w:vMerge w:val="continue"/>
            <w:noWrap w:val="0"/>
            <w:vAlign w:val="center"/>
          </w:tcPr>
          <w:p w14:paraId="0F0CBF99">
            <w:pPr>
              <w:jc w:val="center"/>
              <w:rPr>
                <w:rFonts w:ascii="宋体" w:hAnsi="宋体" w:cs="宋体"/>
                <w:color w:val="auto"/>
                <w:highlight w:val="none"/>
              </w:rPr>
            </w:pPr>
          </w:p>
        </w:tc>
        <w:tc>
          <w:tcPr>
            <w:tcW w:w="1901" w:type="dxa"/>
            <w:gridSpan w:val="2"/>
            <w:noWrap w:val="0"/>
            <w:vAlign w:val="center"/>
          </w:tcPr>
          <w:p w14:paraId="08D7DBEC">
            <w:pPr>
              <w:jc w:val="center"/>
              <w:rPr>
                <w:rFonts w:ascii="宋体" w:hAnsi="宋体" w:cs="宋体"/>
                <w:color w:val="auto"/>
                <w:highlight w:val="none"/>
              </w:rPr>
            </w:pPr>
            <w:r>
              <w:rPr>
                <w:rFonts w:hint="eastAsia" w:ascii="宋体" w:hAnsi="宋体" w:cs="宋体"/>
                <w:color w:val="auto"/>
                <w:highlight w:val="none"/>
              </w:rPr>
              <w:t>消防管材料费</w:t>
            </w:r>
          </w:p>
        </w:tc>
        <w:tc>
          <w:tcPr>
            <w:tcW w:w="1559" w:type="dxa"/>
            <w:noWrap w:val="0"/>
            <w:vAlign w:val="center"/>
          </w:tcPr>
          <w:p w14:paraId="4C546F5A">
            <w:pPr>
              <w:jc w:val="center"/>
              <w:rPr>
                <w:rFonts w:ascii="宋体" w:hAnsi="宋体" w:cs="宋体"/>
                <w:color w:val="auto"/>
                <w:highlight w:val="none"/>
              </w:rPr>
            </w:pPr>
          </w:p>
        </w:tc>
        <w:tc>
          <w:tcPr>
            <w:tcW w:w="851" w:type="dxa"/>
            <w:noWrap w:val="0"/>
            <w:vAlign w:val="center"/>
          </w:tcPr>
          <w:p w14:paraId="37475AEB">
            <w:pPr>
              <w:jc w:val="center"/>
              <w:rPr>
                <w:rFonts w:ascii="宋体" w:hAnsi="宋体" w:cs="宋体"/>
                <w:color w:val="auto"/>
                <w:highlight w:val="none"/>
              </w:rPr>
            </w:pPr>
          </w:p>
        </w:tc>
        <w:tc>
          <w:tcPr>
            <w:tcW w:w="1559" w:type="dxa"/>
            <w:gridSpan w:val="2"/>
            <w:noWrap w:val="0"/>
            <w:vAlign w:val="center"/>
          </w:tcPr>
          <w:p w14:paraId="55B4E058">
            <w:pPr>
              <w:jc w:val="center"/>
              <w:rPr>
                <w:rFonts w:ascii="宋体" w:hAnsi="宋体" w:cs="宋体"/>
                <w:color w:val="auto"/>
                <w:highlight w:val="none"/>
              </w:rPr>
            </w:pPr>
          </w:p>
        </w:tc>
        <w:tc>
          <w:tcPr>
            <w:tcW w:w="1559" w:type="dxa"/>
            <w:noWrap w:val="0"/>
            <w:vAlign w:val="center"/>
          </w:tcPr>
          <w:p w14:paraId="7457423E">
            <w:pPr>
              <w:jc w:val="center"/>
              <w:rPr>
                <w:rFonts w:ascii="宋体" w:hAnsi="宋体" w:cs="宋体"/>
                <w:color w:val="auto"/>
                <w:highlight w:val="none"/>
              </w:rPr>
            </w:pPr>
          </w:p>
        </w:tc>
        <w:tc>
          <w:tcPr>
            <w:tcW w:w="1985" w:type="dxa"/>
            <w:noWrap w:val="0"/>
            <w:vAlign w:val="center"/>
          </w:tcPr>
          <w:p w14:paraId="51B6BF24">
            <w:pPr>
              <w:jc w:val="center"/>
              <w:rPr>
                <w:rFonts w:ascii="宋体" w:hAnsi="宋体" w:cs="宋体"/>
                <w:color w:val="auto"/>
                <w:highlight w:val="none"/>
              </w:rPr>
            </w:pPr>
          </w:p>
        </w:tc>
      </w:tr>
      <w:tr w14:paraId="4F0F3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noWrap w:val="0"/>
            <w:vAlign w:val="center"/>
          </w:tcPr>
          <w:p w14:paraId="4031BC5B">
            <w:pPr>
              <w:jc w:val="center"/>
              <w:rPr>
                <w:rFonts w:ascii="宋体" w:hAnsi="宋体" w:cs="宋体"/>
                <w:color w:val="auto"/>
                <w:highlight w:val="none"/>
              </w:rPr>
            </w:pPr>
          </w:p>
        </w:tc>
        <w:tc>
          <w:tcPr>
            <w:tcW w:w="2419" w:type="dxa"/>
            <w:vMerge w:val="continue"/>
            <w:noWrap w:val="0"/>
            <w:vAlign w:val="center"/>
          </w:tcPr>
          <w:p w14:paraId="191819D0">
            <w:pPr>
              <w:jc w:val="center"/>
              <w:rPr>
                <w:rFonts w:ascii="宋体" w:hAnsi="宋体" w:cs="宋体"/>
                <w:color w:val="auto"/>
                <w:highlight w:val="none"/>
              </w:rPr>
            </w:pPr>
          </w:p>
        </w:tc>
        <w:tc>
          <w:tcPr>
            <w:tcW w:w="1199" w:type="dxa"/>
            <w:vMerge w:val="continue"/>
            <w:noWrap w:val="0"/>
            <w:vAlign w:val="center"/>
          </w:tcPr>
          <w:p w14:paraId="6EEC2C60">
            <w:pPr>
              <w:jc w:val="center"/>
              <w:rPr>
                <w:rFonts w:ascii="宋体" w:hAnsi="宋体" w:cs="宋体"/>
                <w:color w:val="auto"/>
                <w:highlight w:val="none"/>
              </w:rPr>
            </w:pPr>
          </w:p>
        </w:tc>
        <w:tc>
          <w:tcPr>
            <w:tcW w:w="1901" w:type="dxa"/>
            <w:gridSpan w:val="2"/>
            <w:noWrap w:val="0"/>
            <w:vAlign w:val="center"/>
          </w:tcPr>
          <w:p w14:paraId="76FD461C">
            <w:pPr>
              <w:jc w:val="center"/>
              <w:rPr>
                <w:rFonts w:ascii="宋体" w:hAnsi="宋体" w:cs="宋体"/>
                <w:color w:val="auto"/>
                <w:highlight w:val="none"/>
              </w:rPr>
            </w:pPr>
            <w:r>
              <w:rPr>
                <w:rFonts w:hint="eastAsia" w:ascii="宋体" w:hAnsi="宋体" w:cs="宋体"/>
                <w:color w:val="auto"/>
                <w:highlight w:val="none"/>
              </w:rPr>
              <w:t>消防水泵材料费</w:t>
            </w:r>
          </w:p>
        </w:tc>
        <w:tc>
          <w:tcPr>
            <w:tcW w:w="1559" w:type="dxa"/>
            <w:noWrap w:val="0"/>
            <w:vAlign w:val="center"/>
          </w:tcPr>
          <w:p w14:paraId="12AE026F">
            <w:pPr>
              <w:jc w:val="center"/>
              <w:rPr>
                <w:rFonts w:ascii="宋体" w:hAnsi="宋体" w:cs="宋体"/>
                <w:color w:val="auto"/>
                <w:highlight w:val="none"/>
              </w:rPr>
            </w:pPr>
          </w:p>
        </w:tc>
        <w:tc>
          <w:tcPr>
            <w:tcW w:w="851" w:type="dxa"/>
            <w:noWrap w:val="0"/>
            <w:vAlign w:val="center"/>
          </w:tcPr>
          <w:p w14:paraId="3C8B987A">
            <w:pPr>
              <w:jc w:val="center"/>
              <w:rPr>
                <w:rFonts w:ascii="宋体" w:hAnsi="宋体" w:cs="宋体"/>
                <w:color w:val="auto"/>
                <w:highlight w:val="none"/>
              </w:rPr>
            </w:pPr>
          </w:p>
        </w:tc>
        <w:tc>
          <w:tcPr>
            <w:tcW w:w="1559" w:type="dxa"/>
            <w:gridSpan w:val="2"/>
            <w:noWrap w:val="0"/>
            <w:vAlign w:val="center"/>
          </w:tcPr>
          <w:p w14:paraId="30A557DD">
            <w:pPr>
              <w:jc w:val="center"/>
              <w:rPr>
                <w:rFonts w:ascii="宋体" w:hAnsi="宋体" w:cs="宋体"/>
                <w:color w:val="auto"/>
                <w:highlight w:val="none"/>
              </w:rPr>
            </w:pPr>
          </w:p>
        </w:tc>
        <w:tc>
          <w:tcPr>
            <w:tcW w:w="1559" w:type="dxa"/>
            <w:noWrap w:val="0"/>
            <w:vAlign w:val="center"/>
          </w:tcPr>
          <w:p w14:paraId="4C368AA0">
            <w:pPr>
              <w:jc w:val="center"/>
              <w:rPr>
                <w:rFonts w:ascii="宋体" w:hAnsi="宋体" w:cs="宋体"/>
                <w:color w:val="auto"/>
                <w:highlight w:val="none"/>
              </w:rPr>
            </w:pPr>
          </w:p>
        </w:tc>
        <w:tc>
          <w:tcPr>
            <w:tcW w:w="1985" w:type="dxa"/>
            <w:noWrap w:val="0"/>
            <w:vAlign w:val="center"/>
          </w:tcPr>
          <w:p w14:paraId="607BABCC">
            <w:pPr>
              <w:jc w:val="center"/>
              <w:rPr>
                <w:rFonts w:ascii="宋体" w:hAnsi="宋体" w:cs="宋体"/>
                <w:color w:val="auto"/>
                <w:highlight w:val="none"/>
              </w:rPr>
            </w:pPr>
          </w:p>
        </w:tc>
      </w:tr>
      <w:tr w14:paraId="1492D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noWrap w:val="0"/>
            <w:vAlign w:val="center"/>
          </w:tcPr>
          <w:p w14:paraId="7BBB135F">
            <w:pPr>
              <w:jc w:val="center"/>
              <w:rPr>
                <w:rFonts w:ascii="宋体" w:hAnsi="宋体" w:cs="宋体"/>
                <w:color w:val="auto"/>
                <w:highlight w:val="none"/>
              </w:rPr>
            </w:pPr>
          </w:p>
        </w:tc>
        <w:tc>
          <w:tcPr>
            <w:tcW w:w="2419" w:type="dxa"/>
            <w:vMerge w:val="continue"/>
            <w:noWrap w:val="0"/>
            <w:vAlign w:val="center"/>
          </w:tcPr>
          <w:p w14:paraId="42F1F585">
            <w:pPr>
              <w:jc w:val="center"/>
              <w:rPr>
                <w:rFonts w:ascii="宋体" w:hAnsi="宋体" w:cs="宋体"/>
                <w:color w:val="auto"/>
                <w:highlight w:val="none"/>
              </w:rPr>
            </w:pPr>
          </w:p>
        </w:tc>
        <w:tc>
          <w:tcPr>
            <w:tcW w:w="1199" w:type="dxa"/>
            <w:vMerge w:val="continue"/>
            <w:noWrap w:val="0"/>
            <w:vAlign w:val="center"/>
          </w:tcPr>
          <w:p w14:paraId="4E8E1F51">
            <w:pPr>
              <w:jc w:val="center"/>
              <w:rPr>
                <w:rFonts w:ascii="宋体" w:hAnsi="宋体" w:cs="宋体"/>
                <w:color w:val="auto"/>
                <w:highlight w:val="none"/>
              </w:rPr>
            </w:pPr>
          </w:p>
        </w:tc>
        <w:tc>
          <w:tcPr>
            <w:tcW w:w="1901" w:type="dxa"/>
            <w:gridSpan w:val="2"/>
            <w:noWrap w:val="0"/>
            <w:vAlign w:val="center"/>
          </w:tcPr>
          <w:p w14:paraId="0EBB13C9">
            <w:pPr>
              <w:jc w:val="center"/>
              <w:rPr>
                <w:rFonts w:ascii="宋体" w:hAnsi="宋体" w:cs="宋体"/>
                <w:color w:val="auto"/>
                <w:highlight w:val="none"/>
              </w:rPr>
            </w:pPr>
            <w:r>
              <w:rPr>
                <w:rFonts w:hint="eastAsia" w:ascii="宋体" w:hAnsi="宋体" w:cs="宋体"/>
                <w:color w:val="auto"/>
                <w:highlight w:val="none"/>
              </w:rPr>
              <w:t>灭火器材料费</w:t>
            </w:r>
          </w:p>
        </w:tc>
        <w:tc>
          <w:tcPr>
            <w:tcW w:w="1559" w:type="dxa"/>
            <w:noWrap w:val="0"/>
            <w:vAlign w:val="center"/>
          </w:tcPr>
          <w:p w14:paraId="541DD8AF">
            <w:pPr>
              <w:jc w:val="center"/>
              <w:rPr>
                <w:rFonts w:ascii="宋体" w:hAnsi="宋体" w:cs="宋体"/>
                <w:color w:val="auto"/>
                <w:highlight w:val="none"/>
              </w:rPr>
            </w:pPr>
          </w:p>
        </w:tc>
        <w:tc>
          <w:tcPr>
            <w:tcW w:w="851" w:type="dxa"/>
            <w:noWrap w:val="0"/>
            <w:vAlign w:val="center"/>
          </w:tcPr>
          <w:p w14:paraId="6C451374">
            <w:pPr>
              <w:jc w:val="center"/>
              <w:rPr>
                <w:rFonts w:ascii="宋体" w:hAnsi="宋体" w:cs="宋体"/>
                <w:color w:val="auto"/>
                <w:highlight w:val="none"/>
              </w:rPr>
            </w:pPr>
          </w:p>
        </w:tc>
        <w:tc>
          <w:tcPr>
            <w:tcW w:w="1559" w:type="dxa"/>
            <w:gridSpan w:val="2"/>
            <w:noWrap w:val="0"/>
            <w:vAlign w:val="center"/>
          </w:tcPr>
          <w:p w14:paraId="61D5F1E0">
            <w:pPr>
              <w:jc w:val="center"/>
              <w:rPr>
                <w:rFonts w:ascii="宋体" w:hAnsi="宋体" w:cs="宋体"/>
                <w:color w:val="auto"/>
                <w:highlight w:val="none"/>
              </w:rPr>
            </w:pPr>
          </w:p>
        </w:tc>
        <w:tc>
          <w:tcPr>
            <w:tcW w:w="1559" w:type="dxa"/>
            <w:noWrap w:val="0"/>
            <w:vAlign w:val="center"/>
          </w:tcPr>
          <w:p w14:paraId="472506B4">
            <w:pPr>
              <w:jc w:val="center"/>
              <w:rPr>
                <w:rFonts w:ascii="宋体" w:hAnsi="宋体" w:cs="宋体"/>
                <w:color w:val="auto"/>
                <w:highlight w:val="none"/>
              </w:rPr>
            </w:pPr>
          </w:p>
        </w:tc>
        <w:tc>
          <w:tcPr>
            <w:tcW w:w="1985" w:type="dxa"/>
            <w:noWrap w:val="0"/>
            <w:vAlign w:val="center"/>
          </w:tcPr>
          <w:p w14:paraId="61649130">
            <w:pPr>
              <w:jc w:val="center"/>
              <w:rPr>
                <w:rFonts w:ascii="宋体" w:hAnsi="宋体" w:cs="宋体"/>
                <w:color w:val="auto"/>
                <w:highlight w:val="none"/>
              </w:rPr>
            </w:pPr>
          </w:p>
        </w:tc>
      </w:tr>
      <w:tr w14:paraId="31692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noWrap w:val="0"/>
            <w:vAlign w:val="center"/>
          </w:tcPr>
          <w:p w14:paraId="1F139CAA">
            <w:pPr>
              <w:jc w:val="center"/>
              <w:rPr>
                <w:rFonts w:ascii="宋体" w:hAnsi="宋体" w:cs="宋体"/>
                <w:color w:val="auto"/>
                <w:highlight w:val="none"/>
              </w:rPr>
            </w:pPr>
          </w:p>
        </w:tc>
        <w:tc>
          <w:tcPr>
            <w:tcW w:w="2419" w:type="dxa"/>
            <w:vMerge w:val="continue"/>
            <w:noWrap w:val="0"/>
            <w:vAlign w:val="center"/>
          </w:tcPr>
          <w:p w14:paraId="0742350F">
            <w:pPr>
              <w:jc w:val="center"/>
              <w:rPr>
                <w:rFonts w:ascii="宋体" w:hAnsi="宋体" w:cs="宋体"/>
                <w:color w:val="auto"/>
                <w:highlight w:val="none"/>
              </w:rPr>
            </w:pPr>
          </w:p>
        </w:tc>
        <w:tc>
          <w:tcPr>
            <w:tcW w:w="1199" w:type="dxa"/>
            <w:vMerge w:val="continue"/>
            <w:noWrap w:val="0"/>
            <w:vAlign w:val="center"/>
          </w:tcPr>
          <w:p w14:paraId="248FB79B">
            <w:pPr>
              <w:jc w:val="center"/>
              <w:rPr>
                <w:rFonts w:ascii="宋体" w:hAnsi="宋体" w:cs="宋体"/>
                <w:color w:val="auto"/>
                <w:highlight w:val="none"/>
              </w:rPr>
            </w:pPr>
          </w:p>
        </w:tc>
        <w:tc>
          <w:tcPr>
            <w:tcW w:w="1901" w:type="dxa"/>
            <w:gridSpan w:val="2"/>
            <w:noWrap w:val="0"/>
            <w:vAlign w:val="center"/>
          </w:tcPr>
          <w:p w14:paraId="09552482">
            <w:pPr>
              <w:jc w:val="center"/>
              <w:rPr>
                <w:rFonts w:ascii="宋体" w:hAnsi="宋体" w:cs="宋体"/>
                <w:color w:val="auto"/>
                <w:highlight w:val="none"/>
              </w:rPr>
            </w:pPr>
            <w:r>
              <w:rPr>
                <w:rFonts w:hint="eastAsia" w:ascii="宋体" w:hAnsi="宋体" w:cs="宋体"/>
                <w:color w:val="auto"/>
                <w:highlight w:val="none"/>
              </w:rPr>
              <w:t>人工费</w:t>
            </w:r>
          </w:p>
        </w:tc>
        <w:tc>
          <w:tcPr>
            <w:tcW w:w="1559" w:type="dxa"/>
            <w:noWrap w:val="0"/>
            <w:vAlign w:val="center"/>
          </w:tcPr>
          <w:p w14:paraId="039B6A76">
            <w:pPr>
              <w:jc w:val="center"/>
              <w:rPr>
                <w:rFonts w:ascii="宋体" w:hAnsi="宋体" w:cs="宋体"/>
                <w:color w:val="auto"/>
                <w:highlight w:val="none"/>
              </w:rPr>
            </w:pPr>
          </w:p>
        </w:tc>
        <w:tc>
          <w:tcPr>
            <w:tcW w:w="851" w:type="dxa"/>
            <w:noWrap w:val="0"/>
            <w:vAlign w:val="center"/>
          </w:tcPr>
          <w:p w14:paraId="68A3EC9B">
            <w:pPr>
              <w:jc w:val="center"/>
              <w:rPr>
                <w:rFonts w:ascii="宋体" w:hAnsi="宋体" w:cs="宋体"/>
                <w:color w:val="auto"/>
                <w:highlight w:val="none"/>
              </w:rPr>
            </w:pPr>
          </w:p>
        </w:tc>
        <w:tc>
          <w:tcPr>
            <w:tcW w:w="1559" w:type="dxa"/>
            <w:gridSpan w:val="2"/>
            <w:noWrap w:val="0"/>
            <w:vAlign w:val="center"/>
          </w:tcPr>
          <w:p w14:paraId="6B624006">
            <w:pPr>
              <w:jc w:val="center"/>
              <w:rPr>
                <w:rFonts w:ascii="宋体" w:hAnsi="宋体" w:cs="宋体"/>
                <w:color w:val="auto"/>
                <w:highlight w:val="none"/>
              </w:rPr>
            </w:pPr>
          </w:p>
        </w:tc>
        <w:tc>
          <w:tcPr>
            <w:tcW w:w="1559" w:type="dxa"/>
            <w:noWrap w:val="0"/>
            <w:vAlign w:val="center"/>
          </w:tcPr>
          <w:p w14:paraId="230AB943">
            <w:pPr>
              <w:jc w:val="center"/>
              <w:rPr>
                <w:rFonts w:ascii="宋体" w:hAnsi="宋体" w:cs="宋体"/>
                <w:color w:val="auto"/>
                <w:highlight w:val="none"/>
              </w:rPr>
            </w:pPr>
          </w:p>
        </w:tc>
        <w:tc>
          <w:tcPr>
            <w:tcW w:w="1985" w:type="dxa"/>
            <w:noWrap w:val="0"/>
            <w:vAlign w:val="center"/>
          </w:tcPr>
          <w:p w14:paraId="4B5E4692">
            <w:pPr>
              <w:jc w:val="center"/>
              <w:rPr>
                <w:rFonts w:ascii="宋体" w:hAnsi="宋体" w:cs="宋体"/>
                <w:color w:val="auto"/>
                <w:highlight w:val="none"/>
              </w:rPr>
            </w:pPr>
          </w:p>
        </w:tc>
      </w:tr>
      <w:tr w14:paraId="23FE2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50" w:type="dxa"/>
            <w:vMerge w:val="restart"/>
            <w:noWrap w:val="0"/>
            <w:vAlign w:val="center"/>
          </w:tcPr>
          <w:p w14:paraId="193217F9">
            <w:pPr>
              <w:jc w:val="center"/>
              <w:rPr>
                <w:rFonts w:ascii="宋体" w:hAnsi="宋体" w:cs="宋体"/>
                <w:color w:val="auto"/>
                <w:highlight w:val="none"/>
              </w:rPr>
            </w:pPr>
            <w:r>
              <w:rPr>
                <w:rFonts w:hint="eastAsia" w:ascii="宋体" w:hAnsi="宋体" w:cs="宋体"/>
                <w:color w:val="auto"/>
                <w:highlight w:val="none"/>
              </w:rPr>
              <w:t>4</w:t>
            </w:r>
          </w:p>
        </w:tc>
        <w:tc>
          <w:tcPr>
            <w:tcW w:w="2419" w:type="dxa"/>
            <w:vMerge w:val="restart"/>
            <w:noWrap w:val="0"/>
            <w:vAlign w:val="center"/>
          </w:tcPr>
          <w:p w14:paraId="0DD82437">
            <w:pPr>
              <w:jc w:val="center"/>
              <w:rPr>
                <w:rFonts w:ascii="宋体" w:hAnsi="宋体" w:cs="宋体"/>
                <w:color w:val="auto"/>
                <w:highlight w:val="none"/>
                <w:lang w:eastAsia="zh-CN"/>
              </w:rPr>
            </w:pPr>
            <w:r>
              <w:rPr>
                <w:rFonts w:hint="eastAsia" w:ascii="宋体" w:hAnsi="宋体" w:cs="宋体"/>
                <w:color w:val="auto"/>
                <w:highlight w:val="none"/>
                <w:lang w:eastAsia="zh-CN"/>
              </w:rPr>
              <w:t>八、安全设施及特种设备检测检验支出</w:t>
            </w:r>
          </w:p>
        </w:tc>
        <w:tc>
          <w:tcPr>
            <w:tcW w:w="1199" w:type="dxa"/>
            <w:vMerge w:val="restart"/>
            <w:noWrap w:val="0"/>
            <w:vAlign w:val="center"/>
          </w:tcPr>
          <w:p w14:paraId="38AFFF51">
            <w:pPr>
              <w:jc w:val="center"/>
              <w:rPr>
                <w:rFonts w:ascii="宋体" w:hAnsi="宋体" w:cs="宋体"/>
                <w:color w:val="auto"/>
                <w:highlight w:val="none"/>
              </w:rPr>
            </w:pPr>
            <w:r>
              <w:rPr>
                <w:rFonts w:hint="eastAsia" w:ascii="宋体" w:hAnsi="宋体" w:cs="宋体"/>
                <w:color w:val="auto"/>
                <w:highlight w:val="none"/>
              </w:rPr>
              <w:t>特种设备检测</w:t>
            </w:r>
          </w:p>
        </w:tc>
        <w:tc>
          <w:tcPr>
            <w:tcW w:w="1901" w:type="dxa"/>
            <w:gridSpan w:val="2"/>
            <w:noWrap w:val="0"/>
            <w:vAlign w:val="center"/>
          </w:tcPr>
          <w:p w14:paraId="1A374517">
            <w:pPr>
              <w:jc w:val="center"/>
              <w:rPr>
                <w:rFonts w:ascii="宋体" w:hAnsi="宋体" w:cs="宋体"/>
                <w:color w:val="auto"/>
                <w:highlight w:val="none"/>
              </w:rPr>
            </w:pPr>
            <w:r>
              <w:rPr>
                <w:rFonts w:hint="eastAsia" w:ascii="宋体" w:hAnsi="宋体" w:cs="宋体"/>
                <w:color w:val="auto"/>
                <w:highlight w:val="none"/>
              </w:rPr>
              <w:t>施工升降机检测费</w:t>
            </w:r>
          </w:p>
        </w:tc>
        <w:tc>
          <w:tcPr>
            <w:tcW w:w="1559" w:type="dxa"/>
            <w:noWrap w:val="0"/>
            <w:vAlign w:val="center"/>
          </w:tcPr>
          <w:p w14:paraId="4112B947">
            <w:pPr>
              <w:jc w:val="center"/>
              <w:rPr>
                <w:rFonts w:ascii="宋体" w:hAnsi="宋体" w:cs="宋体"/>
                <w:color w:val="auto"/>
                <w:highlight w:val="none"/>
              </w:rPr>
            </w:pPr>
          </w:p>
        </w:tc>
        <w:tc>
          <w:tcPr>
            <w:tcW w:w="851" w:type="dxa"/>
            <w:noWrap w:val="0"/>
            <w:vAlign w:val="center"/>
          </w:tcPr>
          <w:p w14:paraId="35DB3750">
            <w:pPr>
              <w:jc w:val="center"/>
              <w:rPr>
                <w:rFonts w:ascii="宋体" w:hAnsi="宋体" w:cs="宋体"/>
                <w:color w:val="auto"/>
                <w:highlight w:val="none"/>
              </w:rPr>
            </w:pPr>
          </w:p>
        </w:tc>
        <w:tc>
          <w:tcPr>
            <w:tcW w:w="1559" w:type="dxa"/>
            <w:gridSpan w:val="2"/>
            <w:noWrap w:val="0"/>
            <w:vAlign w:val="center"/>
          </w:tcPr>
          <w:p w14:paraId="43132B2B">
            <w:pPr>
              <w:jc w:val="center"/>
              <w:rPr>
                <w:rFonts w:ascii="宋体" w:hAnsi="宋体" w:cs="宋体"/>
                <w:color w:val="auto"/>
                <w:highlight w:val="none"/>
              </w:rPr>
            </w:pPr>
          </w:p>
        </w:tc>
        <w:tc>
          <w:tcPr>
            <w:tcW w:w="1559" w:type="dxa"/>
            <w:noWrap w:val="0"/>
            <w:vAlign w:val="center"/>
          </w:tcPr>
          <w:p w14:paraId="2DE47D5E">
            <w:pPr>
              <w:jc w:val="center"/>
              <w:rPr>
                <w:rFonts w:ascii="宋体" w:hAnsi="宋体" w:cs="宋体"/>
                <w:color w:val="auto"/>
                <w:highlight w:val="none"/>
              </w:rPr>
            </w:pPr>
          </w:p>
        </w:tc>
        <w:tc>
          <w:tcPr>
            <w:tcW w:w="1985" w:type="dxa"/>
            <w:noWrap w:val="0"/>
            <w:vAlign w:val="center"/>
          </w:tcPr>
          <w:p w14:paraId="66879359">
            <w:pPr>
              <w:jc w:val="center"/>
              <w:rPr>
                <w:rFonts w:ascii="宋体" w:hAnsi="宋体" w:cs="宋体"/>
                <w:color w:val="auto"/>
                <w:highlight w:val="none"/>
              </w:rPr>
            </w:pPr>
          </w:p>
        </w:tc>
      </w:tr>
      <w:tr w14:paraId="6676C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50" w:type="dxa"/>
            <w:vMerge w:val="continue"/>
            <w:noWrap w:val="0"/>
            <w:vAlign w:val="center"/>
          </w:tcPr>
          <w:p w14:paraId="41602AC9">
            <w:pPr>
              <w:jc w:val="center"/>
              <w:rPr>
                <w:rFonts w:ascii="宋体" w:hAnsi="宋体" w:cs="宋体"/>
                <w:color w:val="auto"/>
                <w:highlight w:val="none"/>
              </w:rPr>
            </w:pPr>
          </w:p>
        </w:tc>
        <w:tc>
          <w:tcPr>
            <w:tcW w:w="2419" w:type="dxa"/>
            <w:vMerge w:val="continue"/>
            <w:noWrap w:val="0"/>
            <w:vAlign w:val="center"/>
          </w:tcPr>
          <w:p w14:paraId="79126C98">
            <w:pPr>
              <w:jc w:val="center"/>
              <w:rPr>
                <w:rFonts w:ascii="宋体" w:hAnsi="宋体" w:cs="宋体"/>
                <w:color w:val="auto"/>
                <w:highlight w:val="none"/>
              </w:rPr>
            </w:pPr>
          </w:p>
        </w:tc>
        <w:tc>
          <w:tcPr>
            <w:tcW w:w="1199" w:type="dxa"/>
            <w:vMerge w:val="continue"/>
            <w:noWrap w:val="0"/>
            <w:vAlign w:val="center"/>
          </w:tcPr>
          <w:p w14:paraId="1B5CBAB1">
            <w:pPr>
              <w:jc w:val="center"/>
              <w:rPr>
                <w:rFonts w:ascii="宋体" w:hAnsi="宋体" w:cs="宋体"/>
                <w:color w:val="auto"/>
                <w:highlight w:val="none"/>
              </w:rPr>
            </w:pPr>
          </w:p>
        </w:tc>
        <w:tc>
          <w:tcPr>
            <w:tcW w:w="1901" w:type="dxa"/>
            <w:gridSpan w:val="2"/>
            <w:noWrap w:val="0"/>
            <w:vAlign w:val="center"/>
          </w:tcPr>
          <w:p w14:paraId="5761024A">
            <w:pPr>
              <w:jc w:val="center"/>
              <w:rPr>
                <w:rFonts w:ascii="宋体" w:hAnsi="宋体" w:cs="宋体"/>
                <w:color w:val="auto"/>
                <w:highlight w:val="none"/>
              </w:rPr>
            </w:pPr>
            <w:r>
              <w:rPr>
                <w:rFonts w:hint="eastAsia" w:ascii="宋体" w:hAnsi="宋体" w:cs="宋体"/>
                <w:color w:val="auto"/>
                <w:highlight w:val="none"/>
              </w:rPr>
              <w:t>物料提升机检测费</w:t>
            </w:r>
          </w:p>
        </w:tc>
        <w:tc>
          <w:tcPr>
            <w:tcW w:w="1559" w:type="dxa"/>
            <w:noWrap w:val="0"/>
            <w:vAlign w:val="center"/>
          </w:tcPr>
          <w:p w14:paraId="44E550D2">
            <w:pPr>
              <w:jc w:val="center"/>
              <w:rPr>
                <w:rFonts w:ascii="宋体" w:hAnsi="宋体" w:cs="宋体"/>
                <w:color w:val="auto"/>
                <w:highlight w:val="none"/>
              </w:rPr>
            </w:pPr>
          </w:p>
        </w:tc>
        <w:tc>
          <w:tcPr>
            <w:tcW w:w="851" w:type="dxa"/>
            <w:noWrap w:val="0"/>
            <w:vAlign w:val="center"/>
          </w:tcPr>
          <w:p w14:paraId="28741C74">
            <w:pPr>
              <w:jc w:val="center"/>
              <w:rPr>
                <w:rFonts w:ascii="宋体" w:hAnsi="宋体" w:cs="宋体"/>
                <w:color w:val="auto"/>
                <w:highlight w:val="none"/>
              </w:rPr>
            </w:pPr>
          </w:p>
        </w:tc>
        <w:tc>
          <w:tcPr>
            <w:tcW w:w="1559" w:type="dxa"/>
            <w:gridSpan w:val="2"/>
            <w:noWrap w:val="0"/>
            <w:vAlign w:val="center"/>
          </w:tcPr>
          <w:p w14:paraId="460FD897">
            <w:pPr>
              <w:jc w:val="center"/>
              <w:rPr>
                <w:rFonts w:ascii="宋体" w:hAnsi="宋体" w:cs="宋体"/>
                <w:color w:val="auto"/>
                <w:highlight w:val="none"/>
              </w:rPr>
            </w:pPr>
          </w:p>
        </w:tc>
        <w:tc>
          <w:tcPr>
            <w:tcW w:w="1559" w:type="dxa"/>
            <w:noWrap w:val="0"/>
            <w:vAlign w:val="center"/>
          </w:tcPr>
          <w:p w14:paraId="613E5F88">
            <w:pPr>
              <w:jc w:val="center"/>
              <w:rPr>
                <w:rFonts w:ascii="宋体" w:hAnsi="宋体" w:cs="宋体"/>
                <w:color w:val="auto"/>
                <w:highlight w:val="none"/>
              </w:rPr>
            </w:pPr>
          </w:p>
        </w:tc>
        <w:tc>
          <w:tcPr>
            <w:tcW w:w="1985" w:type="dxa"/>
            <w:noWrap w:val="0"/>
            <w:vAlign w:val="center"/>
          </w:tcPr>
          <w:p w14:paraId="29336021">
            <w:pPr>
              <w:jc w:val="center"/>
              <w:rPr>
                <w:rFonts w:ascii="宋体" w:hAnsi="宋体" w:cs="宋体"/>
                <w:color w:val="auto"/>
                <w:highlight w:val="none"/>
              </w:rPr>
            </w:pPr>
          </w:p>
        </w:tc>
      </w:tr>
      <w:tr w14:paraId="48352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50" w:type="dxa"/>
            <w:vMerge w:val="continue"/>
            <w:noWrap w:val="0"/>
            <w:vAlign w:val="center"/>
          </w:tcPr>
          <w:p w14:paraId="28A4B4D1">
            <w:pPr>
              <w:jc w:val="center"/>
              <w:rPr>
                <w:rFonts w:ascii="宋体" w:hAnsi="宋体" w:cs="宋体"/>
                <w:color w:val="auto"/>
                <w:highlight w:val="none"/>
              </w:rPr>
            </w:pPr>
          </w:p>
        </w:tc>
        <w:tc>
          <w:tcPr>
            <w:tcW w:w="2419" w:type="dxa"/>
            <w:vMerge w:val="continue"/>
            <w:noWrap w:val="0"/>
            <w:vAlign w:val="center"/>
          </w:tcPr>
          <w:p w14:paraId="6384FC3A">
            <w:pPr>
              <w:jc w:val="center"/>
              <w:rPr>
                <w:rFonts w:ascii="宋体" w:hAnsi="宋体" w:cs="宋体"/>
                <w:color w:val="auto"/>
                <w:highlight w:val="none"/>
              </w:rPr>
            </w:pPr>
          </w:p>
        </w:tc>
        <w:tc>
          <w:tcPr>
            <w:tcW w:w="1199" w:type="dxa"/>
            <w:vMerge w:val="continue"/>
            <w:noWrap w:val="0"/>
            <w:vAlign w:val="center"/>
          </w:tcPr>
          <w:p w14:paraId="422C6181">
            <w:pPr>
              <w:jc w:val="center"/>
              <w:rPr>
                <w:rFonts w:ascii="宋体" w:hAnsi="宋体" w:cs="宋体"/>
                <w:color w:val="auto"/>
                <w:highlight w:val="none"/>
              </w:rPr>
            </w:pPr>
          </w:p>
        </w:tc>
        <w:tc>
          <w:tcPr>
            <w:tcW w:w="1901" w:type="dxa"/>
            <w:gridSpan w:val="2"/>
            <w:noWrap w:val="0"/>
            <w:vAlign w:val="center"/>
          </w:tcPr>
          <w:p w14:paraId="59BC8B25">
            <w:pPr>
              <w:jc w:val="center"/>
              <w:rPr>
                <w:rFonts w:ascii="宋体" w:hAnsi="宋体" w:cs="宋体"/>
                <w:color w:val="auto"/>
                <w:highlight w:val="none"/>
              </w:rPr>
            </w:pPr>
            <w:r>
              <w:rPr>
                <w:rFonts w:hint="eastAsia" w:ascii="宋体" w:hAnsi="宋体" w:cs="宋体"/>
                <w:color w:val="auto"/>
                <w:highlight w:val="none"/>
              </w:rPr>
              <w:t>塔式起重机检测费</w:t>
            </w:r>
          </w:p>
        </w:tc>
        <w:tc>
          <w:tcPr>
            <w:tcW w:w="1559" w:type="dxa"/>
            <w:noWrap w:val="0"/>
            <w:vAlign w:val="center"/>
          </w:tcPr>
          <w:p w14:paraId="3DD2B290">
            <w:pPr>
              <w:jc w:val="center"/>
              <w:rPr>
                <w:rFonts w:ascii="宋体" w:hAnsi="宋体" w:cs="宋体"/>
                <w:color w:val="auto"/>
                <w:highlight w:val="none"/>
              </w:rPr>
            </w:pPr>
          </w:p>
        </w:tc>
        <w:tc>
          <w:tcPr>
            <w:tcW w:w="851" w:type="dxa"/>
            <w:noWrap w:val="0"/>
            <w:vAlign w:val="center"/>
          </w:tcPr>
          <w:p w14:paraId="358ADFAD">
            <w:pPr>
              <w:jc w:val="center"/>
              <w:rPr>
                <w:rFonts w:ascii="宋体" w:hAnsi="宋体" w:cs="宋体"/>
                <w:color w:val="auto"/>
                <w:highlight w:val="none"/>
              </w:rPr>
            </w:pPr>
          </w:p>
        </w:tc>
        <w:tc>
          <w:tcPr>
            <w:tcW w:w="1559" w:type="dxa"/>
            <w:gridSpan w:val="2"/>
            <w:noWrap w:val="0"/>
            <w:vAlign w:val="center"/>
          </w:tcPr>
          <w:p w14:paraId="523E72D2">
            <w:pPr>
              <w:jc w:val="center"/>
              <w:rPr>
                <w:rFonts w:ascii="宋体" w:hAnsi="宋体" w:cs="宋体"/>
                <w:color w:val="auto"/>
                <w:highlight w:val="none"/>
              </w:rPr>
            </w:pPr>
          </w:p>
        </w:tc>
        <w:tc>
          <w:tcPr>
            <w:tcW w:w="1559" w:type="dxa"/>
            <w:noWrap w:val="0"/>
            <w:vAlign w:val="center"/>
          </w:tcPr>
          <w:p w14:paraId="1ECDF469">
            <w:pPr>
              <w:jc w:val="center"/>
              <w:rPr>
                <w:rFonts w:ascii="宋体" w:hAnsi="宋体" w:cs="宋体"/>
                <w:color w:val="auto"/>
                <w:highlight w:val="none"/>
              </w:rPr>
            </w:pPr>
          </w:p>
        </w:tc>
        <w:tc>
          <w:tcPr>
            <w:tcW w:w="1985" w:type="dxa"/>
            <w:noWrap w:val="0"/>
            <w:vAlign w:val="center"/>
          </w:tcPr>
          <w:p w14:paraId="7B811724">
            <w:pPr>
              <w:jc w:val="center"/>
              <w:rPr>
                <w:rFonts w:ascii="宋体" w:hAnsi="宋体" w:cs="宋体"/>
                <w:color w:val="auto"/>
                <w:highlight w:val="none"/>
              </w:rPr>
            </w:pPr>
          </w:p>
        </w:tc>
      </w:tr>
      <w:tr w14:paraId="3AB2B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50" w:type="dxa"/>
            <w:vMerge w:val="continue"/>
            <w:noWrap w:val="0"/>
            <w:vAlign w:val="center"/>
          </w:tcPr>
          <w:p w14:paraId="69454D0A">
            <w:pPr>
              <w:jc w:val="center"/>
              <w:rPr>
                <w:rFonts w:ascii="宋体" w:hAnsi="宋体" w:cs="宋体"/>
                <w:color w:val="auto"/>
                <w:highlight w:val="none"/>
              </w:rPr>
            </w:pPr>
          </w:p>
        </w:tc>
        <w:tc>
          <w:tcPr>
            <w:tcW w:w="2419" w:type="dxa"/>
            <w:vMerge w:val="continue"/>
            <w:noWrap w:val="0"/>
            <w:vAlign w:val="center"/>
          </w:tcPr>
          <w:p w14:paraId="0458A587">
            <w:pPr>
              <w:jc w:val="center"/>
              <w:rPr>
                <w:rFonts w:ascii="宋体" w:hAnsi="宋体" w:cs="宋体"/>
                <w:color w:val="auto"/>
                <w:highlight w:val="none"/>
              </w:rPr>
            </w:pPr>
          </w:p>
        </w:tc>
        <w:tc>
          <w:tcPr>
            <w:tcW w:w="1199" w:type="dxa"/>
            <w:vMerge w:val="continue"/>
            <w:noWrap w:val="0"/>
            <w:vAlign w:val="center"/>
          </w:tcPr>
          <w:p w14:paraId="1D08B7D7">
            <w:pPr>
              <w:jc w:val="center"/>
              <w:rPr>
                <w:rFonts w:ascii="宋体" w:hAnsi="宋体" w:cs="宋体"/>
                <w:color w:val="auto"/>
                <w:highlight w:val="none"/>
              </w:rPr>
            </w:pPr>
          </w:p>
        </w:tc>
        <w:tc>
          <w:tcPr>
            <w:tcW w:w="1901" w:type="dxa"/>
            <w:gridSpan w:val="2"/>
            <w:noWrap w:val="0"/>
            <w:vAlign w:val="center"/>
          </w:tcPr>
          <w:p w14:paraId="2C64D225">
            <w:pPr>
              <w:jc w:val="center"/>
              <w:rPr>
                <w:rFonts w:ascii="宋体" w:hAnsi="宋体" w:cs="宋体"/>
                <w:color w:val="auto"/>
                <w:highlight w:val="none"/>
              </w:rPr>
            </w:pPr>
            <w:r>
              <w:rPr>
                <w:rFonts w:hint="eastAsia" w:ascii="宋体" w:hAnsi="宋体" w:cs="宋体"/>
                <w:color w:val="auto"/>
                <w:highlight w:val="none"/>
              </w:rPr>
              <w:t>安全设施材料费</w:t>
            </w:r>
          </w:p>
        </w:tc>
        <w:tc>
          <w:tcPr>
            <w:tcW w:w="1559" w:type="dxa"/>
            <w:noWrap w:val="0"/>
            <w:vAlign w:val="center"/>
          </w:tcPr>
          <w:p w14:paraId="22409314">
            <w:pPr>
              <w:jc w:val="center"/>
              <w:rPr>
                <w:rFonts w:ascii="宋体" w:hAnsi="宋体" w:cs="宋体"/>
                <w:color w:val="auto"/>
                <w:highlight w:val="none"/>
              </w:rPr>
            </w:pPr>
          </w:p>
        </w:tc>
        <w:tc>
          <w:tcPr>
            <w:tcW w:w="851" w:type="dxa"/>
            <w:noWrap w:val="0"/>
            <w:vAlign w:val="center"/>
          </w:tcPr>
          <w:p w14:paraId="4EC17ED0">
            <w:pPr>
              <w:jc w:val="center"/>
              <w:rPr>
                <w:rFonts w:ascii="宋体" w:hAnsi="宋体" w:cs="宋体"/>
                <w:color w:val="auto"/>
                <w:highlight w:val="none"/>
              </w:rPr>
            </w:pPr>
          </w:p>
        </w:tc>
        <w:tc>
          <w:tcPr>
            <w:tcW w:w="1559" w:type="dxa"/>
            <w:gridSpan w:val="2"/>
            <w:noWrap w:val="0"/>
            <w:vAlign w:val="center"/>
          </w:tcPr>
          <w:p w14:paraId="4FD78FE0">
            <w:pPr>
              <w:jc w:val="center"/>
              <w:rPr>
                <w:rFonts w:ascii="宋体" w:hAnsi="宋体" w:cs="宋体"/>
                <w:color w:val="auto"/>
                <w:highlight w:val="none"/>
              </w:rPr>
            </w:pPr>
          </w:p>
        </w:tc>
        <w:tc>
          <w:tcPr>
            <w:tcW w:w="1559" w:type="dxa"/>
            <w:noWrap w:val="0"/>
            <w:vAlign w:val="center"/>
          </w:tcPr>
          <w:p w14:paraId="5E0F3A56">
            <w:pPr>
              <w:jc w:val="center"/>
              <w:rPr>
                <w:rFonts w:ascii="宋体" w:hAnsi="宋体" w:cs="宋体"/>
                <w:color w:val="auto"/>
                <w:highlight w:val="none"/>
              </w:rPr>
            </w:pPr>
          </w:p>
        </w:tc>
        <w:tc>
          <w:tcPr>
            <w:tcW w:w="1985" w:type="dxa"/>
            <w:noWrap w:val="0"/>
            <w:vAlign w:val="center"/>
          </w:tcPr>
          <w:p w14:paraId="24227EF5">
            <w:pPr>
              <w:jc w:val="center"/>
              <w:rPr>
                <w:rFonts w:ascii="宋体" w:hAnsi="宋体" w:cs="宋体"/>
                <w:color w:val="auto"/>
                <w:highlight w:val="none"/>
              </w:rPr>
            </w:pPr>
          </w:p>
        </w:tc>
      </w:tr>
      <w:tr w14:paraId="0A6B7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7" w:hRule="atLeast"/>
          <w:jc w:val="center"/>
        </w:trPr>
        <w:tc>
          <w:tcPr>
            <w:tcW w:w="850" w:type="dxa"/>
            <w:noWrap w:val="0"/>
            <w:vAlign w:val="center"/>
          </w:tcPr>
          <w:p w14:paraId="65BF7092">
            <w:pPr>
              <w:jc w:val="center"/>
              <w:rPr>
                <w:rFonts w:ascii="宋体" w:hAnsi="宋体" w:cs="宋体"/>
                <w:color w:val="auto"/>
                <w:highlight w:val="none"/>
              </w:rPr>
            </w:pPr>
            <w:r>
              <w:rPr>
                <w:rFonts w:hint="eastAsia" w:ascii="宋体" w:hAnsi="宋体" w:cs="宋体"/>
                <w:color w:val="auto"/>
                <w:highlight w:val="none"/>
              </w:rPr>
              <w:t>5</w:t>
            </w:r>
          </w:p>
        </w:tc>
        <w:tc>
          <w:tcPr>
            <w:tcW w:w="2419" w:type="dxa"/>
            <w:vMerge w:val="continue"/>
            <w:noWrap w:val="0"/>
            <w:vAlign w:val="center"/>
          </w:tcPr>
          <w:p w14:paraId="658F240F">
            <w:pPr>
              <w:jc w:val="center"/>
              <w:rPr>
                <w:rFonts w:ascii="宋体" w:hAnsi="宋体" w:cs="宋体"/>
                <w:color w:val="auto"/>
                <w:highlight w:val="none"/>
              </w:rPr>
            </w:pPr>
          </w:p>
        </w:tc>
        <w:tc>
          <w:tcPr>
            <w:tcW w:w="1199" w:type="dxa"/>
            <w:noWrap w:val="0"/>
            <w:vAlign w:val="center"/>
          </w:tcPr>
          <w:p w14:paraId="258F88F6">
            <w:pPr>
              <w:jc w:val="center"/>
              <w:rPr>
                <w:rFonts w:ascii="宋体" w:hAnsi="宋体" w:cs="宋体"/>
                <w:color w:val="auto"/>
                <w:highlight w:val="none"/>
              </w:rPr>
            </w:pPr>
            <w:r>
              <w:rPr>
                <w:rFonts w:hint="eastAsia" w:ascii="宋体" w:hAnsi="宋体" w:cs="宋体"/>
                <w:color w:val="auto"/>
                <w:highlight w:val="none"/>
              </w:rPr>
              <w:t>安全设施检测</w:t>
            </w:r>
          </w:p>
        </w:tc>
        <w:tc>
          <w:tcPr>
            <w:tcW w:w="1901" w:type="dxa"/>
            <w:gridSpan w:val="2"/>
            <w:noWrap w:val="0"/>
            <w:vAlign w:val="center"/>
          </w:tcPr>
          <w:p w14:paraId="4592C45D">
            <w:pPr>
              <w:jc w:val="center"/>
              <w:rPr>
                <w:rFonts w:ascii="宋体" w:hAnsi="宋体" w:cs="宋体"/>
                <w:color w:val="auto"/>
                <w:highlight w:val="none"/>
              </w:rPr>
            </w:pPr>
            <w:r>
              <w:rPr>
                <w:rFonts w:hint="eastAsia" w:ascii="宋体" w:hAnsi="宋体" w:cs="宋体"/>
                <w:color w:val="auto"/>
                <w:highlight w:val="none"/>
              </w:rPr>
              <w:t>安全网检测费</w:t>
            </w:r>
          </w:p>
        </w:tc>
        <w:tc>
          <w:tcPr>
            <w:tcW w:w="1559" w:type="dxa"/>
            <w:noWrap w:val="0"/>
            <w:vAlign w:val="center"/>
          </w:tcPr>
          <w:p w14:paraId="2CB65352">
            <w:pPr>
              <w:jc w:val="center"/>
              <w:rPr>
                <w:rFonts w:ascii="宋体" w:hAnsi="宋体" w:cs="宋体"/>
                <w:color w:val="auto"/>
                <w:highlight w:val="none"/>
              </w:rPr>
            </w:pPr>
          </w:p>
        </w:tc>
        <w:tc>
          <w:tcPr>
            <w:tcW w:w="851" w:type="dxa"/>
            <w:noWrap w:val="0"/>
            <w:vAlign w:val="center"/>
          </w:tcPr>
          <w:p w14:paraId="2C92D098">
            <w:pPr>
              <w:jc w:val="center"/>
              <w:rPr>
                <w:rFonts w:ascii="宋体" w:hAnsi="宋体" w:cs="宋体"/>
                <w:color w:val="auto"/>
                <w:highlight w:val="none"/>
              </w:rPr>
            </w:pPr>
          </w:p>
        </w:tc>
        <w:tc>
          <w:tcPr>
            <w:tcW w:w="1559" w:type="dxa"/>
            <w:gridSpan w:val="2"/>
            <w:noWrap w:val="0"/>
            <w:vAlign w:val="center"/>
          </w:tcPr>
          <w:p w14:paraId="1AB51621">
            <w:pPr>
              <w:jc w:val="center"/>
              <w:rPr>
                <w:rFonts w:ascii="宋体" w:hAnsi="宋体" w:cs="宋体"/>
                <w:color w:val="auto"/>
                <w:highlight w:val="none"/>
              </w:rPr>
            </w:pPr>
          </w:p>
        </w:tc>
        <w:tc>
          <w:tcPr>
            <w:tcW w:w="1559" w:type="dxa"/>
            <w:noWrap w:val="0"/>
            <w:vAlign w:val="center"/>
          </w:tcPr>
          <w:p w14:paraId="3F043272">
            <w:pPr>
              <w:jc w:val="center"/>
              <w:rPr>
                <w:rFonts w:ascii="宋体" w:hAnsi="宋体" w:cs="宋体"/>
                <w:color w:val="auto"/>
                <w:highlight w:val="none"/>
              </w:rPr>
            </w:pPr>
          </w:p>
        </w:tc>
        <w:tc>
          <w:tcPr>
            <w:tcW w:w="1985" w:type="dxa"/>
            <w:noWrap w:val="0"/>
            <w:vAlign w:val="center"/>
          </w:tcPr>
          <w:p w14:paraId="2BA27B16">
            <w:pPr>
              <w:jc w:val="center"/>
              <w:rPr>
                <w:rFonts w:ascii="宋体" w:hAnsi="宋体" w:cs="宋体"/>
                <w:color w:val="auto"/>
                <w:highlight w:val="none"/>
                <w:lang w:eastAsia="zh-CN"/>
              </w:rPr>
            </w:pPr>
            <w:r>
              <w:rPr>
                <w:rFonts w:hint="eastAsia" w:ascii="宋体" w:hAnsi="宋体" w:cs="宋体"/>
                <w:color w:val="auto"/>
                <w:highlight w:val="none"/>
                <w:lang w:eastAsia="zh-CN"/>
              </w:rPr>
              <w:t>≤500张取2张，500～2000张取4张，＞2000张取6张；每组抽2张</w:t>
            </w:r>
          </w:p>
        </w:tc>
      </w:tr>
      <w:tr w14:paraId="1217E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7" w:hRule="atLeast"/>
          <w:jc w:val="center"/>
        </w:trPr>
        <w:tc>
          <w:tcPr>
            <w:tcW w:w="4627" w:type="dxa"/>
            <w:gridSpan w:val="4"/>
            <w:noWrap w:val="0"/>
            <w:vAlign w:val="top"/>
          </w:tcPr>
          <w:p w14:paraId="0B2F03BA">
            <w:pPr>
              <w:rPr>
                <w:rFonts w:ascii="宋体" w:hAnsi="宋体" w:cs="宋体"/>
                <w:color w:val="auto"/>
                <w:highlight w:val="none"/>
                <w:lang w:eastAsia="zh-CN"/>
              </w:rPr>
            </w:pPr>
            <w:r>
              <w:rPr>
                <w:rFonts w:hint="eastAsia" w:ascii="宋体" w:hAnsi="宋体" w:cs="宋体"/>
                <w:color w:val="auto"/>
                <w:highlight w:val="none"/>
                <w:lang w:eastAsia="zh-CN"/>
              </w:rPr>
              <w:t>施工单位：</w:t>
            </w:r>
          </w:p>
          <w:p w14:paraId="5B4047C5">
            <w:pPr>
              <w:rPr>
                <w:rFonts w:ascii="宋体" w:hAnsi="宋体" w:cs="宋体"/>
                <w:color w:val="auto"/>
                <w:highlight w:val="none"/>
                <w:lang w:eastAsia="zh-CN"/>
              </w:rPr>
            </w:pPr>
          </w:p>
          <w:p w14:paraId="1D9EC6C8">
            <w:pPr>
              <w:rPr>
                <w:rFonts w:ascii="宋体" w:hAnsi="宋体" w:cs="宋体"/>
                <w:color w:val="auto"/>
                <w:highlight w:val="none"/>
                <w:lang w:eastAsia="zh-CN"/>
              </w:rPr>
            </w:pPr>
            <w:r>
              <w:rPr>
                <w:rFonts w:hint="eastAsia" w:ascii="宋体" w:hAnsi="宋体" w:cs="宋体"/>
                <w:color w:val="auto"/>
                <w:highlight w:val="none"/>
                <w:lang w:eastAsia="zh-CN"/>
              </w:rPr>
              <w:t>签字：</w:t>
            </w:r>
          </w:p>
          <w:p w14:paraId="389EACF8">
            <w:pPr>
              <w:rPr>
                <w:rFonts w:ascii="宋体" w:hAnsi="宋体" w:cs="宋体"/>
                <w:color w:val="auto"/>
                <w:highlight w:val="none"/>
                <w:lang w:eastAsia="zh-CN"/>
              </w:rPr>
            </w:pPr>
          </w:p>
          <w:p w14:paraId="49565AA7">
            <w:pPr>
              <w:jc w:val="center"/>
              <w:rPr>
                <w:rFonts w:ascii="宋体" w:hAnsi="宋体" w:cs="宋体"/>
                <w:color w:val="auto"/>
                <w:sz w:val="20"/>
                <w:szCs w:val="20"/>
                <w:highlight w:val="none"/>
                <w:lang w:eastAsia="zh-CN"/>
              </w:rPr>
            </w:pPr>
            <w:r>
              <w:rPr>
                <w:rFonts w:hint="eastAsia" w:ascii="宋体" w:hAnsi="宋体" w:cs="宋体"/>
                <w:color w:val="auto"/>
                <w:highlight w:val="none"/>
                <w:lang w:eastAsia="zh-CN"/>
              </w:rPr>
              <w:t xml:space="preserve">                            年  月  日</w:t>
            </w:r>
          </w:p>
        </w:tc>
        <w:tc>
          <w:tcPr>
            <w:tcW w:w="4627" w:type="dxa"/>
            <w:gridSpan w:val="4"/>
            <w:noWrap w:val="0"/>
            <w:vAlign w:val="top"/>
          </w:tcPr>
          <w:p w14:paraId="56F4F7AE">
            <w:pPr>
              <w:rPr>
                <w:rFonts w:ascii="宋体" w:hAnsi="宋体" w:cs="宋体"/>
                <w:color w:val="auto"/>
                <w:highlight w:val="none"/>
                <w:lang w:eastAsia="zh-CN"/>
              </w:rPr>
            </w:pPr>
            <w:r>
              <w:rPr>
                <w:rFonts w:hint="eastAsia" w:ascii="宋体" w:hAnsi="宋体" w:cs="宋体"/>
                <w:color w:val="auto"/>
                <w:highlight w:val="none"/>
                <w:lang w:eastAsia="zh-CN"/>
              </w:rPr>
              <w:t>监理单位：</w:t>
            </w:r>
          </w:p>
          <w:p w14:paraId="6B6C5FB9">
            <w:pPr>
              <w:rPr>
                <w:rFonts w:ascii="宋体" w:hAnsi="宋体" w:cs="宋体"/>
                <w:color w:val="auto"/>
                <w:highlight w:val="none"/>
                <w:lang w:eastAsia="zh-CN"/>
              </w:rPr>
            </w:pPr>
          </w:p>
          <w:p w14:paraId="534EE076">
            <w:pPr>
              <w:rPr>
                <w:rFonts w:ascii="宋体" w:hAnsi="宋体" w:cs="宋体"/>
                <w:color w:val="auto"/>
                <w:highlight w:val="none"/>
                <w:lang w:eastAsia="zh-CN"/>
              </w:rPr>
            </w:pPr>
            <w:r>
              <w:rPr>
                <w:rFonts w:hint="eastAsia" w:ascii="宋体" w:hAnsi="宋体" w:cs="宋体"/>
                <w:color w:val="auto"/>
                <w:highlight w:val="none"/>
                <w:lang w:eastAsia="zh-CN"/>
              </w:rPr>
              <w:t>签字：</w:t>
            </w:r>
          </w:p>
          <w:p w14:paraId="690C2281">
            <w:pPr>
              <w:rPr>
                <w:rFonts w:ascii="宋体" w:hAnsi="宋体" w:cs="宋体"/>
                <w:color w:val="auto"/>
                <w:highlight w:val="none"/>
                <w:lang w:eastAsia="zh-CN"/>
              </w:rPr>
            </w:pPr>
          </w:p>
          <w:p w14:paraId="2341316A">
            <w:pPr>
              <w:jc w:val="center"/>
              <w:rPr>
                <w:rFonts w:ascii="宋体" w:hAnsi="宋体" w:cs="宋体"/>
                <w:color w:val="auto"/>
                <w:sz w:val="20"/>
                <w:szCs w:val="20"/>
                <w:highlight w:val="none"/>
                <w:lang w:eastAsia="zh-CN"/>
              </w:rPr>
            </w:pPr>
            <w:r>
              <w:rPr>
                <w:rFonts w:hint="eastAsia" w:ascii="宋体" w:hAnsi="宋体" w:cs="宋体"/>
                <w:color w:val="auto"/>
                <w:highlight w:val="none"/>
                <w:lang w:eastAsia="zh-CN"/>
              </w:rPr>
              <w:t xml:space="preserve">                           年  月  日</w:t>
            </w:r>
          </w:p>
        </w:tc>
        <w:tc>
          <w:tcPr>
            <w:tcW w:w="4628" w:type="dxa"/>
            <w:gridSpan w:val="3"/>
            <w:noWrap w:val="0"/>
            <w:vAlign w:val="top"/>
          </w:tcPr>
          <w:p w14:paraId="0AF8E6FB">
            <w:pPr>
              <w:rPr>
                <w:rFonts w:ascii="宋体" w:hAnsi="宋体" w:cs="宋体"/>
                <w:color w:val="auto"/>
                <w:highlight w:val="none"/>
                <w:lang w:eastAsia="zh-CN"/>
              </w:rPr>
            </w:pPr>
            <w:r>
              <w:rPr>
                <w:rFonts w:hint="eastAsia" w:ascii="宋体" w:hAnsi="宋体" w:cs="宋体"/>
                <w:color w:val="auto"/>
                <w:highlight w:val="none"/>
                <w:lang w:eastAsia="zh-CN"/>
              </w:rPr>
              <w:t>建设单位：</w:t>
            </w:r>
          </w:p>
          <w:p w14:paraId="1B448E33">
            <w:pPr>
              <w:rPr>
                <w:rFonts w:ascii="宋体" w:hAnsi="宋体" w:cs="宋体"/>
                <w:color w:val="auto"/>
                <w:highlight w:val="none"/>
                <w:lang w:eastAsia="zh-CN"/>
              </w:rPr>
            </w:pPr>
          </w:p>
          <w:p w14:paraId="29C0230D">
            <w:pPr>
              <w:rPr>
                <w:rFonts w:ascii="宋体" w:hAnsi="宋体" w:cs="宋体"/>
                <w:color w:val="auto"/>
                <w:highlight w:val="none"/>
                <w:lang w:eastAsia="zh-CN"/>
              </w:rPr>
            </w:pPr>
            <w:r>
              <w:rPr>
                <w:rFonts w:hint="eastAsia" w:ascii="宋体" w:hAnsi="宋体" w:cs="宋体"/>
                <w:color w:val="auto"/>
                <w:highlight w:val="none"/>
                <w:lang w:eastAsia="zh-CN"/>
              </w:rPr>
              <w:t>签字：</w:t>
            </w:r>
          </w:p>
          <w:p w14:paraId="0B916705">
            <w:pPr>
              <w:rPr>
                <w:rFonts w:ascii="宋体" w:hAnsi="宋体" w:cs="宋体"/>
                <w:color w:val="auto"/>
                <w:highlight w:val="none"/>
                <w:lang w:eastAsia="zh-CN"/>
              </w:rPr>
            </w:pPr>
          </w:p>
          <w:p w14:paraId="67D8D8F9">
            <w:pPr>
              <w:jc w:val="center"/>
              <w:rPr>
                <w:rFonts w:ascii="宋体" w:hAnsi="宋体" w:cs="宋体"/>
                <w:color w:val="auto"/>
                <w:sz w:val="20"/>
                <w:szCs w:val="20"/>
                <w:highlight w:val="none"/>
                <w:lang w:eastAsia="zh-CN"/>
              </w:rPr>
            </w:pPr>
            <w:r>
              <w:rPr>
                <w:rFonts w:hint="eastAsia" w:ascii="宋体" w:hAnsi="宋体" w:cs="宋体"/>
                <w:color w:val="auto"/>
                <w:highlight w:val="none"/>
                <w:lang w:eastAsia="zh-CN"/>
              </w:rPr>
              <w:t xml:space="preserve">                          年  月  日</w:t>
            </w:r>
          </w:p>
        </w:tc>
      </w:tr>
    </w:tbl>
    <w:p w14:paraId="50C6242E">
      <w:pPr>
        <w:rPr>
          <w:rFonts w:ascii="宋体" w:hAnsi="宋体" w:cs="宋体"/>
          <w:color w:val="auto"/>
          <w:spacing w:val="12"/>
          <w:kern w:val="10"/>
          <w:sz w:val="32"/>
          <w:szCs w:val="32"/>
          <w:highlight w:val="none"/>
          <w:lang w:eastAsia="zh-CN"/>
        </w:rPr>
      </w:pPr>
    </w:p>
    <w:p w14:paraId="704E53B1">
      <w:pPr>
        <w:rPr>
          <w:rFonts w:ascii="宋体" w:hAnsi="宋体" w:cs="宋体"/>
          <w:color w:val="auto"/>
          <w:highlight w:val="none"/>
          <w:lang w:eastAsia="zh-CN"/>
        </w:rPr>
        <w:sectPr>
          <w:pgSz w:w="16838" w:h="11906" w:orient="landscape"/>
          <w:pgMar w:top="1418" w:right="1440" w:bottom="1418" w:left="1440" w:header="851" w:footer="539" w:gutter="0"/>
          <w:cols w:space="720" w:num="1"/>
          <w:docGrid w:type="lines" w:linePitch="312" w:charSpace="0"/>
        </w:sectPr>
      </w:pPr>
    </w:p>
    <w:p w14:paraId="688BEF68">
      <w:pPr>
        <w:spacing w:line="460" w:lineRule="exact"/>
        <w:rPr>
          <w:rFonts w:ascii="宋体" w:hAnsi="宋体" w:cs="宋体"/>
          <w:color w:val="auto"/>
          <w:spacing w:val="12"/>
          <w:kern w:val="10"/>
          <w:sz w:val="32"/>
          <w:szCs w:val="32"/>
          <w:highlight w:val="none"/>
          <w:lang w:eastAsia="zh-CN"/>
        </w:rPr>
      </w:pPr>
      <w:r>
        <w:rPr>
          <w:rFonts w:hint="eastAsia" w:ascii="宋体" w:hAnsi="宋体" w:cs="宋体"/>
          <w:color w:val="auto"/>
          <w:spacing w:val="12"/>
          <w:kern w:val="10"/>
          <w:sz w:val="32"/>
          <w:szCs w:val="32"/>
          <w:highlight w:val="none"/>
          <w:lang w:eastAsia="zh-CN"/>
        </w:rPr>
        <w:t>附表4</w:t>
      </w:r>
    </w:p>
    <w:p w14:paraId="6AC395BF">
      <w:pPr>
        <w:jc w:val="center"/>
        <w:rPr>
          <w:rFonts w:ascii="宋体" w:hAnsi="宋体" w:cs="宋体"/>
          <w:b/>
          <w:bCs/>
          <w:color w:val="auto"/>
          <w:sz w:val="30"/>
          <w:szCs w:val="30"/>
          <w:highlight w:val="none"/>
          <w:lang w:eastAsia="zh-CN"/>
        </w:rPr>
      </w:pPr>
      <w:r>
        <w:rPr>
          <w:rFonts w:hint="eastAsia" w:ascii="宋体" w:hAnsi="宋体" w:cs="宋体"/>
          <w:b/>
          <w:bCs/>
          <w:color w:val="auto"/>
          <w:sz w:val="30"/>
          <w:szCs w:val="30"/>
          <w:highlight w:val="none"/>
          <w:lang w:eastAsia="zh-CN"/>
        </w:rPr>
        <w:t>项目季度安全文明措施费使用计划表</w:t>
      </w:r>
    </w:p>
    <w:p w14:paraId="618ACED8">
      <w:pPr>
        <w:spacing w:line="460" w:lineRule="exact"/>
        <w:rPr>
          <w:rFonts w:ascii="宋体" w:hAnsi="宋体" w:cs="宋体"/>
          <w:color w:val="auto"/>
          <w:highlight w:val="none"/>
          <w:lang w:eastAsia="zh-CN"/>
        </w:rPr>
      </w:pPr>
      <w:r>
        <w:rPr>
          <w:rFonts w:hint="eastAsia" w:ascii="宋体" w:hAnsi="宋体" w:cs="宋体"/>
          <w:color w:val="auto"/>
          <w:highlight w:val="none"/>
          <w:lang w:eastAsia="zh-CN"/>
        </w:rPr>
        <w:t>项目名称：                                                            20xx年第x季度</w:t>
      </w:r>
    </w:p>
    <w:tbl>
      <w:tblPr>
        <w:tblStyle w:val="44"/>
        <w:tblW w:w="0" w:type="auto"/>
        <w:jc w:val="center"/>
        <w:tblLayout w:type="fixed"/>
        <w:tblCellMar>
          <w:top w:w="0" w:type="dxa"/>
          <w:left w:w="108" w:type="dxa"/>
          <w:bottom w:w="0" w:type="dxa"/>
          <w:right w:w="108" w:type="dxa"/>
        </w:tblCellMar>
      </w:tblPr>
      <w:tblGrid>
        <w:gridCol w:w="4683"/>
        <w:gridCol w:w="1691"/>
        <w:gridCol w:w="851"/>
        <w:gridCol w:w="850"/>
        <w:gridCol w:w="1165"/>
      </w:tblGrid>
      <w:tr w14:paraId="6CFD9142">
        <w:tblPrEx>
          <w:tblCellMar>
            <w:top w:w="0" w:type="dxa"/>
            <w:left w:w="108" w:type="dxa"/>
            <w:bottom w:w="0" w:type="dxa"/>
            <w:right w:w="108" w:type="dxa"/>
          </w:tblCellMar>
        </w:tblPrEx>
        <w:trPr>
          <w:trHeight w:val="441" w:hRule="atLeast"/>
          <w:tblHeader/>
          <w:jc w:val="center"/>
        </w:trPr>
        <w:tc>
          <w:tcPr>
            <w:tcW w:w="6374" w:type="dxa"/>
            <w:gridSpan w:val="2"/>
            <w:tcBorders>
              <w:top w:val="single" w:color="auto" w:sz="4" w:space="0"/>
              <w:left w:val="single" w:color="auto" w:sz="4" w:space="0"/>
              <w:bottom w:val="single" w:color="auto" w:sz="4" w:space="0"/>
              <w:right w:val="single" w:color="auto" w:sz="4" w:space="0"/>
            </w:tcBorders>
            <w:noWrap w:val="0"/>
            <w:vAlign w:val="center"/>
          </w:tcPr>
          <w:p w14:paraId="17BBA8E5">
            <w:pPr>
              <w:jc w:val="center"/>
              <w:rPr>
                <w:rFonts w:ascii="宋体" w:hAnsi="宋体" w:cs="宋体"/>
                <w:color w:val="auto"/>
                <w:highlight w:val="none"/>
              </w:rPr>
            </w:pPr>
            <w:r>
              <w:rPr>
                <w:rFonts w:hint="eastAsia" w:ascii="宋体" w:hAnsi="宋体" w:cs="宋体"/>
                <w:color w:val="auto"/>
                <w:highlight w:val="none"/>
              </w:rPr>
              <w:t>项目</w:t>
            </w:r>
          </w:p>
        </w:tc>
        <w:tc>
          <w:tcPr>
            <w:tcW w:w="851" w:type="dxa"/>
            <w:tcBorders>
              <w:top w:val="single" w:color="auto" w:sz="4" w:space="0"/>
              <w:left w:val="nil"/>
              <w:bottom w:val="single" w:color="auto" w:sz="4" w:space="0"/>
              <w:right w:val="single" w:color="auto" w:sz="4" w:space="0"/>
            </w:tcBorders>
            <w:noWrap w:val="0"/>
            <w:vAlign w:val="center"/>
          </w:tcPr>
          <w:p w14:paraId="0D0039E2">
            <w:pPr>
              <w:spacing w:line="240" w:lineRule="exact"/>
              <w:jc w:val="center"/>
              <w:rPr>
                <w:rFonts w:ascii="宋体" w:hAnsi="宋体" w:cs="宋体"/>
                <w:color w:val="auto"/>
                <w:highlight w:val="none"/>
              </w:rPr>
            </w:pPr>
            <w:r>
              <w:rPr>
                <w:rFonts w:hint="eastAsia" w:ascii="宋体" w:hAnsi="宋体" w:cs="宋体"/>
                <w:color w:val="auto"/>
                <w:highlight w:val="none"/>
              </w:rPr>
              <w:t>总计划           用款</w:t>
            </w:r>
          </w:p>
        </w:tc>
        <w:tc>
          <w:tcPr>
            <w:tcW w:w="850" w:type="dxa"/>
            <w:tcBorders>
              <w:top w:val="single" w:color="auto" w:sz="4" w:space="0"/>
              <w:left w:val="nil"/>
              <w:bottom w:val="single" w:color="auto" w:sz="4" w:space="0"/>
              <w:right w:val="single" w:color="auto" w:sz="4" w:space="0"/>
            </w:tcBorders>
            <w:noWrap w:val="0"/>
            <w:vAlign w:val="center"/>
          </w:tcPr>
          <w:p w14:paraId="27F1013F">
            <w:pPr>
              <w:spacing w:line="240" w:lineRule="exact"/>
              <w:jc w:val="center"/>
              <w:rPr>
                <w:rFonts w:ascii="宋体" w:hAnsi="宋体" w:cs="宋体"/>
                <w:color w:val="auto"/>
                <w:highlight w:val="none"/>
              </w:rPr>
            </w:pPr>
            <w:r>
              <w:rPr>
                <w:rFonts w:hint="eastAsia" w:ascii="宋体" w:hAnsi="宋体" w:cs="宋体"/>
                <w:color w:val="auto"/>
                <w:highlight w:val="none"/>
              </w:rPr>
              <w:t>已申请           用款</w:t>
            </w:r>
          </w:p>
        </w:tc>
        <w:tc>
          <w:tcPr>
            <w:tcW w:w="1165" w:type="dxa"/>
            <w:tcBorders>
              <w:top w:val="single" w:color="auto" w:sz="4" w:space="0"/>
              <w:left w:val="nil"/>
              <w:bottom w:val="single" w:color="auto" w:sz="4" w:space="0"/>
              <w:right w:val="single" w:color="auto" w:sz="4" w:space="0"/>
            </w:tcBorders>
            <w:noWrap w:val="0"/>
            <w:vAlign w:val="center"/>
          </w:tcPr>
          <w:p w14:paraId="736611F9">
            <w:pPr>
              <w:spacing w:line="240" w:lineRule="exact"/>
              <w:jc w:val="center"/>
              <w:rPr>
                <w:rFonts w:ascii="宋体" w:hAnsi="宋体" w:cs="宋体"/>
                <w:color w:val="auto"/>
                <w:highlight w:val="none"/>
              </w:rPr>
            </w:pPr>
            <w:r>
              <w:rPr>
                <w:rFonts w:hint="eastAsia" w:ascii="宋体" w:hAnsi="宋体" w:cs="宋体"/>
                <w:color w:val="auto"/>
                <w:highlight w:val="none"/>
              </w:rPr>
              <w:t>本次申请           用款</w:t>
            </w:r>
          </w:p>
        </w:tc>
      </w:tr>
      <w:tr w14:paraId="1A66A08F">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6DC2969F">
            <w:pPr>
              <w:rPr>
                <w:rFonts w:ascii="宋体" w:hAnsi="宋体" w:cs="宋体"/>
                <w:color w:val="auto"/>
                <w:highlight w:val="none"/>
                <w:lang w:eastAsia="zh-CN"/>
              </w:rPr>
            </w:pPr>
            <w:r>
              <w:rPr>
                <w:rFonts w:hint="eastAsia" w:ascii="宋体" w:hAnsi="宋体" w:cs="宋体"/>
                <w:color w:val="auto"/>
                <w:highlight w:val="none"/>
                <w:lang w:eastAsia="zh-CN"/>
              </w:rPr>
              <w:t>一、完善、改造和维护安全防护设施设备支出</w:t>
            </w:r>
          </w:p>
        </w:tc>
        <w:tc>
          <w:tcPr>
            <w:tcW w:w="851" w:type="dxa"/>
            <w:tcBorders>
              <w:top w:val="nil"/>
              <w:left w:val="nil"/>
              <w:bottom w:val="single" w:color="auto" w:sz="4" w:space="0"/>
              <w:right w:val="single" w:color="auto" w:sz="4" w:space="0"/>
            </w:tcBorders>
            <w:noWrap w:val="0"/>
            <w:vAlign w:val="bottom"/>
          </w:tcPr>
          <w:p w14:paraId="3DFD2ED2">
            <w:pPr>
              <w:jc w:val="center"/>
              <w:rPr>
                <w:rFonts w:ascii="宋体" w:hAnsi="宋体" w:cs="宋体"/>
                <w:color w:val="auto"/>
                <w:sz w:val="18"/>
                <w:szCs w:val="18"/>
                <w:highlight w:val="none"/>
                <w:lang w:eastAsia="zh-CN"/>
              </w:rPr>
            </w:pPr>
          </w:p>
        </w:tc>
        <w:tc>
          <w:tcPr>
            <w:tcW w:w="850" w:type="dxa"/>
            <w:tcBorders>
              <w:top w:val="nil"/>
              <w:left w:val="nil"/>
              <w:bottom w:val="single" w:color="auto" w:sz="4" w:space="0"/>
              <w:right w:val="single" w:color="auto" w:sz="4" w:space="0"/>
            </w:tcBorders>
            <w:noWrap w:val="0"/>
            <w:vAlign w:val="bottom"/>
          </w:tcPr>
          <w:p w14:paraId="0D15E8FD">
            <w:pPr>
              <w:jc w:val="center"/>
              <w:rPr>
                <w:rFonts w:ascii="宋体" w:hAnsi="宋体" w:cs="宋体"/>
                <w:color w:val="auto"/>
                <w:sz w:val="18"/>
                <w:szCs w:val="18"/>
                <w:highlight w:val="none"/>
                <w:lang w:eastAsia="zh-CN"/>
              </w:rPr>
            </w:pPr>
          </w:p>
        </w:tc>
        <w:tc>
          <w:tcPr>
            <w:tcW w:w="1165" w:type="dxa"/>
            <w:tcBorders>
              <w:top w:val="nil"/>
              <w:left w:val="nil"/>
              <w:bottom w:val="single" w:color="auto" w:sz="4" w:space="0"/>
              <w:right w:val="single" w:color="auto" w:sz="4" w:space="0"/>
            </w:tcBorders>
            <w:noWrap w:val="0"/>
            <w:vAlign w:val="bottom"/>
          </w:tcPr>
          <w:p w14:paraId="156B05C5">
            <w:pPr>
              <w:jc w:val="center"/>
              <w:rPr>
                <w:rFonts w:ascii="宋体" w:hAnsi="宋体" w:cs="宋体"/>
                <w:color w:val="auto"/>
                <w:sz w:val="18"/>
                <w:szCs w:val="18"/>
                <w:highlight w:val="none"/>
                <w:lang w:eastAsia="zh-CN"/>
              </w:rPr>
            </w:pPr>
          </w:p>
        </w:tc>
      </w:tr>
      <w:tr w14:paraId="073C2924">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34A0BBDC">
            <w:pPr>
              <w:spacing w:line="240" w:lineRule="exact"/>
              <w:rPr>
                <w:rFonts w:ascii="宋体" w:hAnsi="宋体" w:cs="宋体"/>
                <w:color w:val="auto"/>
                <w:highlight w:val="none"/>
                <w:lang w:eastAsia="zh-CN"/>
              </w:rPr>
            </w:pPr>
            <w:r>
              <w:rPr>
                <w:rFonts w:hint="eastAsia" w:ascii="宋体" w:hAnsi="宋体" w:cs="宋体"/>
                <w:color w:val="auto"/>
                <w:highlight w:val="none"/>
                <w:lang w:eastAsia="zh-CN"/>
              </w:rPr>
              <w:t>（一）基坑临边防护和坑壁内支撑、基坑支护的变形监测以及危房鉴定加固费用</w:t>
            </w:r>
          </w:p>
        </w:tc>
        <w:tc>
          <w:tcPr>
            <w:tcW w:w="851" w:type="dxa"/>
            <w:tcBorders>
              <w:top w:val="nil"/>
              <w:left w:val="nil"/>
              <w:bottom w:val="single" w:color="auto" w:sz="4" w:space="0"/>
              <w:right w:val="single" w:color="auto" w:sz="4" w:space="0"/>
            </w:tcBorders>
            <w:noWrap w:val="0"/>
            <w:vAlign w:val="bottom"/>
          </w:tcPr>
          <w:p w14:paraId="740AFC8D">
            <w:pPr>
              <w:spacing w:line="240" w:lineRule="exact"/>
              <w:jc w:val="center"/>
              <w:rPr>
                <w:rFonts w:ascii="宋体" w:hAnsi="宋体" w:cs="宋体"/>
                <w:color w:val="auto"/>
                <w:sz w:val="18"/>
                <w:szCs w:val="18"/>
                <w:highlight w:val="none"/>
                <w:lang w:eastAsia="zh-CN"/>
              </w:rPr>
            </w:pPr>
          </w:p>
        </w:tc>
        <w:tc>
          <w:tcPr>
            <w:tcW w:w="850" w:type="dxa"/>
            <w:tcBorders>
              <w:top w:val="nil"/>
              <w:left w:val="nil"/>
              <w:bottom w:val="single" w:color="auto" w:sz="4" w:space="0"/>
              <w:right w:val="single" w:color="auto" w:sz="4" w:space="0"/>
            </w:tcBorders>
            <w:noWrap w:val="0"/>
            <w:vAlign w:val="bottom"/>
          </w:tcPr>
          <w:p w14:paraId="5A994F1D">
            <w:pPr>
              <w:spacing w:line="240" w:lineRule="exact"/>
              <w:jc w:val="center"/>
              <w:rPr>
                <w:rFonts w:ascii="宋体" w:hAnsi="宋体" w:cs="宋体"/>
                <w:color w:val="auto"/>
                <w:sz w:val="18"/>
                <w:szCs w:val="18"/>
                <w:highlight w:val="none"/>
                <w:lang w:eastAsia="zh-CN"/>
              </w:rPr>
            </w:pPr>
          </w:p>
        </w:tc>
        <w:tc>
          <w:tcPr>
            <w:tcW w:w="1165" w:type="dxa"/>
            <w:tcBorders>
              <w:top w:val="nil"/>
              <w:left w:val="nil"/>
              <w:bottom w:val="single" w:color="auto" w:sz="4" w:space="0"/>
              <w:right w:val="single" w:color="auto" w:sz="4" w:space="0"/>
            </w:tcBorders>
            <w:noWrap w:val="0"/>
            <w:vAlign w:val="bottom"/>
          </w:tcPr>
          <w:p w14:paraId="2230DFA4">
            <w:pPr>
              <w:spacing w:line="240" w:lineRule="exact"/>
              <w:jc w:val="center"/>
              <w:rPr>
                <w:rFonts w:ascii="宋体" w:hAnsi="宋体" w:cs="宋体"/>
                <w:color w:val="auto"/>
                <w:sz w:val="18"/>
                <w:szCs w:val="18"/>
                <w:highlight w:val="none"/>
                <w:lang w:eastAsia="zh-CN"/>
              </w:rPr>
            </w:pPr>
          </w:p>
        </w:tc>
      </w:tr>
      <w:tr w14:paraId="084F8404">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3BCC712F">
            <w:pPr>
              <w:spacing w:line="240" w:lineRule="exact"/>
              <w:rPr>
                <w:rFonts w:ascii="宋体" w:hAnsi="宋体" w:cs="宋体"/>
                <w:color w:val="auto"/>
                <w:highlight w:val="none"/>
              </w:rPr>
            </w:pPr>
            <w:r>
              <w:rPr>
                <w:rFonts w:hint="eastAsia" w:ascii="宋体" w:hAnsi="宋体" w:cs="宋体"/>
                <w:color w:val="auto"/>
                <w:highlight w:val="none"/>
              </w:rPr>
              <w:t>1、临边防护（钢管）</w:t>
            </w:r>
          </w:p>
        </w:tc>
        <w:tc>
          <w:tcPr>
            <w:tcW w:w="851" w:type="dxa"/>
            <w:tcBorders>
              <w:top w:val="nil"/>
              <w:left w:val="nil"/>
              <w:bottom w:val="single" w:color="auto" w:sz="4" w:space="0"/>
              <w:right w:val="single" w:color="auto" w:sz="4" w:space="0"/>
            </w:tcBorders>
            <w:noWrap w:val="0"/>
            <w:vAlign w:val="bottom"/>
          </w:tcPr>
          <w:p w14:paraId="0D610224">
            <w:pPr>
              <w:spacing w:line="240" w:lineRule="exact"/>
              <w:jc w:val="center"/>
              <w:rPr>
                <w:rFonts w:ascii="宋体" w:hAnsi="宋体" w:cs="宋体"/>
                <w:color w:val="auto"/>
                <w:sz w:val="18"/>
                <w:szCs w:val="18"/>
                <w:highlight w:val="none"/>
              </w:rPr>
            </w:pPr>
          </w:p>
        </w:tc>
        <w:tc>
          <w:tcPr>
            <w:tcW w:w="850" w:type="dxa"/>
            <w:tcBorders>
              <w:top w:val="nil"/>
              <w:left w:val="nil"/>
              <w:bottom w:val="single" w:color="auto" w:sz="4" w:space="0"/>
              <w:right w:val="single" w:color="auto" w:sz="4" w:space="0"/>
            </w:tcBorders>
            <w:noWrap w:val="0"/>
            <w:vAlign w:val="bottom"/>
          </w:tcPr>
          <w:p w14:paraId="52793642">
            <w:pPr>
              <w:spacing w:line="240" w:lineRule="exact"/>
              <w:jc w:val="center"/>
              <w:rPr>
                <w:rFonts w:ascii="宋体" w:hAnsi="宋体" w:cs="宋体"/>
                <w:color w:val="auto"/>
                <w:sz w:val="18"/>
                <w:szCs w:val="18"/>
                <w:highlight w:val="none"/>
              </w:rPr>
            </w:pPr>
          </w:p>
        </w:tc>
        <w:tc>
          <w:tcPr>
            <w:tcW w:w="1165" w:type="dxa"/>
            <w:tcBorders>
              <w:top w:val="nil"/>
              <w:left w:val="nil"/>
              <w:bottom w:val="single" w:color="auto" w:sz="4" w:space="0"/>
              <w:right w:val="single" w:color="auto" w:sz="4" w:space="0"/>
            </w:tcBorders>
            <w:noWrap w:val="0"/>
            <w:vAlign w:val="bottom"/>
          </w:tcPr>
          <w:p w14:paraId="0BB2D29A">
            <w:pPr>
              <w:spacing w:line="240" w:lineRule="exact"/>
              <w:jc w:val="center"/>
              <w:rPr>
                <w:rFonts w:ascii="宋体" w:hAnsi="宋体" w:cs="宋体"/>
                <w:color w:val="auto"/>
                <w:sz w:val="18"/>
                <w:szCs w:val="18"/>
                <w:highlight w:val="none"/>
              </w:rPr>
            </w:pPr>
          </w:p>
        </w:tc>
      </w:tr>
      <w:tr w14:paraId="6C1A2924">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55615335">
            <w:pPr>
              <w:spacing w:line="240" w:lineRule="exact"/>
              <w:ind w:firstLine="360" w:firstLineChars="150"/>
              <w:rPr>
                <w:rFonts w:ascii="宋体" w:hAnsi="宋体" w:cs="宋体"/>
                <w:color w:val="auto"/>
                <w:highlight w:val="none"/>
              </w:rPr>
            </w:pPr>
            <w:r>
              <w:rPr>
                <w:rFonts w:hint="eastAsia" w:ascii="宋体" w:hAnsi="宋体" w:cs="宋体"/>
                <w:color w:val="auto"/>
                <w:highlight w:val="none"/>
              </w:rPr>
              <w:t>临边防护（人工费）</w:t>
            </w:r>
          </w:p>
        </w:tc>
        <w:tc>
          <w:tcPr>
            <w:tcW w:w="851" w:type="dxa"/>
            <w:tcBorders>
              <w:top w:val="nil"/>
              <w:left w:val="nil"/>
              <w:bottom w:val="single" w:color="auto" w:sz="4" w:space="0"/>
              <w:right w:val="single" w:color="auto" w:sz="4" w:space="0"/>
            </w:tcBorders>
            <w:noWrap w:val="0"/>
            <w:vAlign w:val="bottom"/>
          </w:tcPr>
          <w:p w14:paraId="4AA1A16D">
            <w:pPr>
              <w:spacing w:line="240" w:lineRule="exact"/>
              <w:jc w:val="center"/>
              <w:rPr>
                <w:rFonts w:ascii="宋体" w:hAnsi="宋体" w:cs="宋体"/>
                <w:color w:val="auto"/>
                <w:sz w:val="18"/>
                <w:szCs w:val="18"/>
                <w:highlight w:val="none"/>
              </w:rPr>
            </w:pPr>
          </w:p>
        </w:tc>
        <w:tc>
          <w:tcPr>
            <w:tcW w:w="850" w:type="dxa"/>
            <w:tcBorders>
              <w:top w:val="nil"/>
              <w:left w:val="nil"/>
              <w:bottom w:val="single" w:color="auto" w:sz="4" w:space="0"/>
              <w:right w:val="single" w:color="auto" w:sz="4" w:space="0"/>
            </w:tcBorders>
            <w:noWrap w:val="0"/>
            <w:vAlign w:val="bottom"/>
          </w:tcPr>
          <w:p w14:paraId="0C88D86C">
            <w:pPr>
              <w:spacing w:line="240" w:lineRule="exact"/>
              <w:jc w:val="center"/>
              <w:rPr>
                <w:rFonts w:ascii="宋体" w:hAnsi="宋体" w:cs="宋体"/>
                <w:color w:val="auto"/>
                <w:sz w:val="18"/>
                <w:szCs w:val="18"/>
                <w:highlight w:val="none"/>
              </w:rPr>
            </w:pPr>
          </w:p>
        </w:tc>
        <w:tc>
          <w:tcPr>
            <w:tcW w:w="1165" w:type="dxa"/>
            <w:tcBorders>
              <w:top w:val="nil"/>
              <w:left w:val="nil"/>
              <w:bottom w:val="single" w:color="auto" w:sz="4" w:space="0"/>
              <w:right w:val="single" w:color="auto" w:sz="4" w:space="0"/>
            </w:tcBorders>
            <w:noWrap w:val="0"/>
            <w:vAlign w:val="bottom"/>
          </w:tcPr>
          <w:p w14:paraId="08EC5874">
            <w:pPr>
              <w:spacing w:line="240" w:lineRule="exact"/>
              <w:jc w:val="center"/>
              <w:rPr>
                <w:rFonts w:ascii="宋体" w:hAnsi="宋体" w:cs="宋体"/>
                <w:color w:val="auto"/>
                <w:sz w:val="18"/>
                <w:szCs w:val="18"/>
                <w:highlight w:val="none"/>
              </w:rPr>
            </w:pPr>
          </w:p>
        </w:tc>
      </w:tr>
      <w:tr w14:paraId="05E1ED6C">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647A020F">
            <w:pPr>
              <w:spacing w:line="240" w:lineRule="exact"/>
              <w:rPr>
                <w:rFonts w:ascii="宋体" w:hAnsi="宋体" w:cs="宋体"/>
                <w:color w:val="auto"/>
                <w:highlight w:val="none"/>
                <w:lang w:eastAsia="zh-CN"/>
              </w:rPr>
            </w:pPr>
            <w:r>
              <w:rPr>
                <w:rFonts w:hint="eastAsia" w:ascii="宋体" w:hAnsi="宋体" w:cs="宋体"/>
                <w:color w:val="auto"/>
                <w:highlight w:val="none"/>
                <w:lang w:eastAsia="zh-CN"/>
              </w:rPr>
              <w:t>2、坑壁内支撑内支撑冠梁、坑壁锚固、坑壁表面混凝土喷浆等</w:t>
            </w:r>
          </w:p>
        </w:tc>
        <w:tc>
          <w:tcPr>
            <w:tcW w:w="851" w:type="dxa"/>
            <w:tcBorders>
              <w:top w:val="nil"/>
              <w:left w:val="nil"/>
              <w:bottom w:val="single" w:color="auto" w:sz="4" w:space="0"/>
              <w:right w:val="single" w:color="auto" w:sz="4" w:space="0"/>
            </w:tcBorders>
            <w:noWrap w:val="0"/>
            <w:vAlign w:val="bottom"/>
          </w:tcPr>
          <w:p w14:paraId="71ADAB9E">
            <w:pPr>
              <w:spacing w:line="240" w:lineRule="exact"/>
              <w:jc w:val="center"/>
              <w:rPr>
                <w:rFonts w:ascii="宋体" w:hAnsi="宋体" w:cs="宋体"/>
                <w:color w:val="auto"/>
                <w:sz w:val="18"/>
                <w:szCs w:val="18"/>
                <w:highlight w:val="none"/>
                <w:lang w:eastAsia="zh-CN"/>
              </w:rPr>
            </w:pPr>
          </w:p>
        </w:tc>
        <w:tc>
          <w:tcPr>
            <w:tcW w:w="850" w:type="dxa"/>
            <w:tcBorders>
              <w:top w:val="nil"/>
              <w:left w:val="nil"/>
              <w:bottom w:val="single" w:color="auto" w:sz="4" w:space="0"/>
              <w:right w:val="single" w:color="auto" w:sz="4" w:space="0"/>
            </w:tcBorders>
            <w:noWrap w:val="0"/>
            <w:vAlign w:val="bottom"/>
          </w:tcPr>
          <w:p w14:paraId="13173CEF">
            <w:pPr>
              <w:spacing w:line="240" w:lineRule="exact"/>
              <w:jc w:val="center"/>
              <w:rPr>
                <w:rFonts w:ascii="宋体" w:hAnsi="宋体" w:cs="宋体"/>
                <w:color w:val="auto"/>
                <w:sz w:val="18"/>
                <w:szCs w:val="18"/>
                <w:highlight w:val="none"/>
                <w:lang w:eastAsia="zh-CN"/>
              </w:rPr>
            </w:pPr>
          </w:p>
        </w:tc>
        <w:tc>
          <w:tcPr>
            <w:tcW w:w="1165" w:type="dxa"/>
            <w:tcBorders>
              <w:top w:val="nil"/>
              <w:left w:val="nil"/>
              <w:bottom w:val="single" w:color="auto" w:sz="4" w:space="0"/>
              <w:right w:val="single" w:color="auto" w:sz="4" w:space="0"/>
            </w:tcBorders>
            <w:noWrap w:val="0"/>
            <w:vAlign w:val="bottom"/>
          </w:tcPr>
          <w:p w14:paraId="232634DE">
            <w:pPr>
              <w:spacing w:line="240" w:lineRule="exact"/>
              <w:jc w:val="center"/>
              <w:rPr>
                <w:rFonts w:ascii="宋体" w:hAnsi="宋体" w:cs="宋体"/>
                <w:color w:val="auto"/>
                <w:sz w:val="18"/>
                <w:szCs w:val="18"/>
                <w:highlight w:val="none"/>
                <w:lang w:eastAsia="zh-CN"/>
              </w:rPr>
            </w:pPr>
          </w:p>
        </w:tc>
      </w:tr>
      <w:tr w14:paraId="462AA777">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7718D584">
            <w:pPr>
              <w:spacing w:line="240" w:lineRule="exact"/>
              <w:rPr>
                <w:rFonts w:ascii="宋体" w:hAnsi="宋体" w:cs="宋体"/>
                <w:color w:val="auto"/>
                <w:highlight w:val="none"/>
              </w:rPr>
            </w:pPr>
            <w:r>
              <w:rPr>
                <w:rFonts w:hint="eastAsia" w:ascii="宋体" w:hAnsi="宋体" w:cs="宋体"/>
                <w:color w:val="auto"/>
                <w:highlight w:val="none"/>
              </w:rPr>
              <w:t>3、基坑支护变形观测</w:t>
            </w:r>
          </w:p>
        </w:tc>
        <w:tc>
          <w:tcPr>
            <w:tcW w:w="851" w:type="dxa"/>
            <w:tcBorders>
              <w:top w:val="nil"/>
              <w:left w:val="nil"/>
              <w:bottom w:val="single" w:color="auto" w:sz="4" w:space="0"/>
              <w:right w:val="single" w:color="auto" w:sz="4" w:space="0"/>
            </w:tcBorders>
            <w:noWrap w:val="0"/>
            <w:vAlign w:val="bottom"/>
          </w:tcPr>
          <w:p w14:paraId="031A6279">
            <w:pPr>
              <w:spacing w:line="240" w:lineRule="exact"/>
              <w:jc w:val="center"/>
              <w:rPr>
                <w:rFonts w:ascii="宋体" w:hAnsi="宋体" w:cs="宋体"/>
                <w:color w:val="auto"/>
                <w:sz w:val="18"/>
                <w:szCs w:val="18"/>
                <w:highlight w:val="none"/>
              </w:rPr>
            </w:pPr>
          </w:p>
        </w:tc>
        <w:tc>
          <w:tcPr>
            <w:tcW w:w="850" w:type="dxa"/>
            <w:tcBorders>
              <w:top w:val="nil"/>
              <w:left w:val="nil"/>
              <w:bottom w:val="single" w:color="auto" w:sz="4" w:space="0"/>
              <w:right w:val="single" w:color="auto" w:sz="4" w:space="0"/>
            </w:tcBorders>
            <w:noWrap w:val="0"/>
            <w:vAlign w:val="bottom"/>
          </w:tcPr>
          <w:p w14:paraId="67A2D809">
            <w:pPr>
              <w:spacing w:line="240" w:lineRule="exact"/>
              <w:jc w:val="center"/>
              <w:rPr>
                <w:rFonts w:ascii="宋体" w:hAnsi="宋体" w:cs="宋体"/>
                <w:color w:val="auto"/>
                <w:sz w:val="18"/>
                <w:szCs w:val="18"/>
                <w:highlight w:val="none"/>
              </w:rPr>
            </w:pPr>
          </w:p>
        </w:tc>
        <w:tc>
          <w:tcPr>
            <w:tcW w:w="1165" w:type="dxa"/>
            <w:tcBorders>
              <w:top w:val="nil"/>
              <w:left w:val="nil"/>
              <w:bottom w:val="single" w:color="auto" w:sz="4" w:space="0"/>
              <w:right w:val="single" w:color="auto" w:sz="4" w:space="0"/>
            </w:tcBorders>
            <w:noWrap w:val="0"/>
            <w:vAlign w:val="bottom"/>
          </w:tcPr>
          <w:p w14:paraId="6465128C">
            <w:pPr>
              <w:spacing w:line="240" w:lineRule="exact"/>
              <w:jc w:val="center"/>
              <w:rPr>
                <w:rFonts w:ascii="宋体" w:hAnsi="宋体" w:cs="宋体"/>
                <w:color w:val="auto"/>
                <w:sz w:val="18"/>
                <w:szCs w:val="18"/>
                <w:highlight w:val="none"/>
              </w:rPr>
            </w:pPr>
          </w:p>
        </w:tc>
      </w:tr>
      <w:tr w14:paraId="7D7B7302">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7E1E6AA5">
            <w:pPr>
              <w:spacing w:line="240" w:lineRule="exact"/>
              <w:rPr>
                <w:rFonts w:ascii="宋体" w:hAnsi="宋体" w:cs="宋体"/>
                <w:color w:val="auto"/>
                <w:highlight w:val="none"/>
                <w:lang w:eastAsia="zh-CN"/>
              </w:rPr>
            </w:pPr>
            <w:r>
              <w:rPr>
                <w:rFonts w:hint="eastAsia" w:ascii="宋体" w:hAnsi="宋体" w:cs="宋体"/>
                <w:color w:val="auto"/>
                <w:highlight w:val="none"/>
                <w:lang w:eastAsia="zh-CN"/>
              </w:rPr>
              <w:t>4、基坑应急救援物资（沙袋、抽水设施、砂土、及实际发生的机械租赁费等）</w:t>
            </w:r>
          </w:p>
        </w:tc>
        <w:tc>
          <w:tcPr>
            <w:tcW w:w="851" w:type="dxa"/>
            <w:tcBorders>
              <w:top w:val="nil"/>
              <w:left w:val="nil"/>
              <w:bottom w:val="single" w:color="auto" w:sz="4" w:space="0"/>
              <w:right w:val="single" w:color="auto" w:sz="4" w:space="0"/>
            </w:tcBorders>
            <w:noWrap w:val="0"/>
            <w:vAlign w:val="bottom"/>
          </w:tcPr>
          <w:p w14:paraId="7C25DEE9">
            <w:pPr>
              <w:spacing w:line="240" w:lineRule="exact"/>
              <w:jc w:val="center"/>
              <w:rPr>
                <w:rFonts w:ascii="宋体" w:hAnsi="宋体" w:cs="宋体"/>
                <w:color w:val="auto"/>
                <w:sz w:val="18"/>
                <w:szCs w:val="18"/>
                <w:highlight w:val="none"/>
                <w:lang w:eastAsia="zh-CN"/>
              </w:rPr>
            </w:pPr>
          </w:p>
        </w:tc>
        <w:tc>
          <w:tcPr>
            <w:tcW w:w="850" w:type="dxa"/>
            <w:tcBorders>
              <w:top w:val="nil"/>
              <w:left w:val="nil"/>
              <w:bottom w:val="single" w:color="auto" w:sz="4" w:space="0"/>
              <w:right w:val="single" w:color="auto" w:sz="4" w:space="0"/>
            </w:tcBorders>
            <w:noWrap w:val="0"/>
            <w:vAlign w:val="bottom"/>
          </w:tcPr>
          <w:p w14:paraId="3AC6274C">
            <w:pPr>
              <w:spacing w:line="240" w:lineRule="exact"/>
              <w:jc w:val="center"/>
              <w:rPr>
                <w:rFonts w:ascii="宋体" w:hAnsi="宋体" w:cs="宋体"/>
                <w:color w:val="auto"/>
                <w:sz w:val="18"/>
                <w:szCs w:val="18"/>
                <w:highlight w:val="none"/>
                <w:lang w:eastAsia="zh-CN"/>
              </w:rPr>
            </w:pPr>
          </w:p>
        </w:tc>
        <w:tc>
          <w:tcPr>
            <w:tcW w:w="1165" w:type="dxa"/>
            <w:tcBorders>
              <w:top w:val="nil"/>
              <w:left w:val="nil"/>
              <w:bottom w:val="single" w:color="auto" w:sz="4" w:space="0"/>
              <w:right w:val="single" w:color="auto" w:sz="4" w:space="0"/>
            </w:tcBorders>
            <w:noWrap w:val="0"/>
            <w:vAlign w:val="bottom"/>
          </w:tcPr>
          <w:p w14:paraId="2E09F756">
            <w:pPr>
              <w:spacing w:line="240" w:lineRule="exact"/>
              <w:jc w:val="center"/>
              <w:rPr>
                <w:rFonts w:ascii="宋体" w:hAnsi="宋体" w:cs="宋体"/>
                <w:color w:val="auto"/>
                <w:sz w:val="18"/>
                <w:szCs w:val="18"/>
                <w:highlight w:val="none"/>
                <w:lang w:eastAsia="zh-CN"/>
              </w:rPr>
            </w:pPr>
          </w:p>
        </w:tc>
      </w:tr>
      <w:tr w14:paraId="72157E37">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0F0852E4">
            <w:pPr>
              <w:spacing w:line="240" w:lineRule="exact"/>
              <w:rPr>
                <w:rFonts w:ascii="宋体" w:hAnsi="宋体" w:cs="宋体"/>
                <w:color w:val="auto"/>
                <w:highlight w:val="none"/>
                <w:lang w:eastAsia="zh-CN"/>
              </w:rPr>
            </w:pPr>
            <w:r>
              <w:rPr>
                <w:rFonts w:hint="eastAsia" w:ascii="宋体" w:hAnsi="宋体" w:cs="宋体"/>
                <w:color w:val="auto"/>
                <w:highlight w:val="none"/>
                <w:lang w:eastAsia="zh-CN"/>
              </w:rPr>
              <w:t>（二）楼梯口、电梯口、通道口、预留洞口、阳台周边、楼层周边以及上下通道的临边安全防护费用</w:t>
            </w:r>
          </w:p>
        </w:tc>
        <w:tc>
          <w:tcPr>
            <w:tcW w:w="851" w:type="dxa"/>
            <w:tcBorders>
              <w:top w:val="nil"/>
              <w:left w:val="nil"/>
              <w:bottom w:val="single" w:color="auto" w:sz="4" w:space="0"/>
              <w:right w:val="single" w:color="auto" w:sz="4" w:space="0"/>
            </w:tcBorders>
            <w:noWrap w:val="0"/>
            <w:vAlign w:val="bottom"/>
          </w:tcPr>
          <w:p w14:paraId="5C6F74E0">
            <w:pPr>
              <w:spacing w:line="240" w:lineRule="exact"/>
              <w:jc w:val="center"/>
              <w:rPr>
                <w:rFonts w:ascii="宋体" w:hAnsi="宋体" w:cs="宋体"/>
                <w:color w:val="auto"/>
                <w:sz w:val="18"/>
                <w:szCs w:val="18"/>
                <w:highlight w:val="none"/>
                <w:lang w:eastAsia="zh-CN"/>
              </w:rPr>
            </w:pPr>
          </w:p>
        </w:tc>
        <w:tc>
          <w:tcPr>
            <w:tcW w:w="850" w:type="dxa"/>
            <w:tcBorders>
              <w:top w:val="nil"/>
              <w:left w:val="nil"/>
              <w:bottom w:val="single" w:color="auto" w:sz="4" w:space="0"/>
              <w:right w:val="single" w:color="auto" w:sz="4" w:space="0"/>
            </w:tcBorders>
            <w:noWrap w:val="0"/>
            <w:vAlign w:val="bottom"/>
          </w:tcPr>
          <w:p w14:paraId="060C37E5">
            <w:pPr>
              <w:spacing w:line="240" w:lineRule="exact"/>
              <w:jc w:val="center"/>
              <w:rPr>
                <w:rFonts w:ascii="宋体" w:hAnsi="宋体" w:cs="宋体"/>
                <w:color w:val="auto"/>
                <w:sz w:val="18"/>
                <w:szCs w:val="18"/>
                <w:highlight w:val="none"/>
                <w:lang w:eastAsia="zh-CN"/>
              </w:rPr>
            </w:pPr>
          </w:p>
        </w:tc>
        <w:tc>
          <w:tcPr>
            <w:tcW w:w="1165" w:type="dxa"/>
            <w:tcBorders>
              <w:top w:val="nil"/>
              <w:left w:val="nil"/>
              <w:bottom w:val="single" w:color="auto" w:sz="4" w:space="0"/>
              <w:right w:val="single" w:color="auto" w:sz="4" w:space="0"/>
            </w:tcBorders>
            <w:noWrap w:val="0"/>
            <w:vAlign w:val="bottom"/>
          </w:tcPr>
          <w:p w14:paraId="76B16276">
            <w:pPr>
              <w:spacing w:line="240" w:lineRule="exact"/>
              <w:jc w:val="center"/>
              <w:rPr>
                <w:rFonts w:ascii="宋体" w:hAnsi="宋体" w:cs="宋体"/>
                <w:color w:val="auto"/>
                <w:sz w:val="18"/>
                <w:szCs w:val="18"/>
                <w:highlight w:val="none"/>
                <w:lang w:eastAsia="zh-CN"/>
              </w:rPr>
            </w:pPr>
          </w:p>
        </w:tc>
      </w:tr>
      <w:tr w14:paraId="5BB7547B">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6791128A">
            <w:pPr>
              <w:spacing w:line="240" w:lineRule="exact"/>
              <w:rPr>
                <w:rFonts w:ascii="宋体" w:hAnsi="宋体" w:cs="宋体"/>
                <w:color w:val="auto"/>
                <w:highlight w:val="none"/>
                <w:lang w:eastAsia="zh-CN"/>
              </w:rPr>
            </w:pPr>
            <w:r>
              <w:rPr>
                <w:rFonts w:hint="eastAsia" w:ascii="宋体" w:hAnsi="宋体" w:cs="宋体"/>
                <w:color w:val="auto"/>
                <w:highlight w:val="none"/>
                <w:lang w:eastAsia="zh-CN"/>
              </w:rPr>
              <w:t>（三）安全设施防护设备（含警戒标志）费用；卸料平台的临边防护、层间安全门、防护棚等设施费用</w:t>
            </w:r>
          </w:p>
        </w:tc>
        <w:tc>
          <w:tcPr>
            <w:tcW w:w="851" w:type="dxa"/>
            <w:tcBorders>
              <w:top w:val="nil"/>
              <w:left w:val="nil"/>
              <w:bottom w:val="single" w:color="auto" w:sz="4" w:space="0"/>
              <w:right w:val="single" w:color="auto" w:sz="4" w:space="0"/>
            </w:tcBorders>
            <w:noWrap w:val="0"/>
            <w:vAlign w:val="bottom"/>
          </w:tcPr>
          <w:p w14:paraId="7A7A46A8">
            <w:pPr>
              <w:spacing w:line="240" w:lineRule="exact"/>
              <w:jc w:val="center"/>
              <w:rPr>
                <w:rFonts w:ascii="宋体" w:hAnsi="宋体" w:cs="宋体"/>
                <w:color w:val="auto"/>
                <w:sz w:val="18"/>
                <w:szCs w:val="18"/>
                <w:highlight w:val="none"/>
                <w:lang w:eastAsia="zh-CN"/>
              </w:rPr>
            </w:pPr>
          </w:p>
        </w:tc>
        <w:tc>
          <w:tcPr>
            <w:tcW w:w="850" w:type="dxa"/>
            <w:tcBorders>
              <w:top w:val="nil"/>
              <w:left w:val="nil"/>
              <w:bottom w:val="single" w:color="auto" w:sz="4" w:space="0"/>
              <w:right w:val="single" w:color="auto" w:sz="4" w:space="0"/>
            </w:tcBorders>
            <w:noWrap w:val="0"/>
            <w:vAlign w:val="bottom"/>
          </w:tcPr>
          <w:p w14:paraId="6671D48B">
            <w:pPr>
              <w:spacing w:line="240" w:lineRule="exact"/>
              <w:jc w:val="center"/>
              <w:rPr>
                <w:rFonts w:ascii="宋体" w:hAnsi="宋体" w:cs="宋体"/>
                <w:color w:val="auto"/>
                <w:sz w:val="18"/>
                <w:szCs w:val="18"/>
                <w:highlight w:val="none"/>
                <w:lang w:eastAsia="zh-CN"/>
              </w:rPr>
            </w:pPr>
          </w:p>
        </w:tc>
        <w:tc>
          <w:tcPr>
            <w:tcW w:w="1165" w:type="dxa"/>
            <w:tcBorders>
              <w:top w:val="nil"/>
              <w:left w:val="nil"/>
              <w:bottom w:val="single" w:color="auto" w:sz="4" w:space="0"/>
              <w:right w:val="single" w:color="auto" w:sz="4" w:space="0"/>
            </w:tcBorders>
            <w:noWrap w:val="0"/>
            <w:vAlign w:val="bottom"/>
          </w:tcPr>
          <w:p w14:paraId="54A4BF02">
            <w:pPr>
              <w:spacing w:line="240" w:lineRule="exact"/>
              <w:jc w:val="center"/>
              <w:rPr>
                <w:rFonts w:ascii="宋体" w:hAnsi="宋体" w:cs="宋体"/>
                <w:color w:val="auto"/>
                <w:sz w:val="18"/>
                <w:szCs w:val="18"/>
                <w:highlight w:val="none"/>
                <w:lang w:eastAsia="zh-CN"/>
              </w:rPr>
            </w:pPr>
          </w:p>
        </w:tc>
      </w:tr>
      <w:tr w14:paraId="1219E163">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1AC2AEFC">
            <w:pPr>
              <w:spacing w:line="240" w:lineRule="exact"/>
              <w:rPr>
                <w:rFonts w:ascii="宋体" w:hAnsi="宋体" w:cs="宋体"/>
                <w:color w:val="auto"/>
                <w:highlight w:val="none"/>
                <w:lang w:eastAsia="zh-CN"/>
              </w:rPr>
            </w:pPr>
            <w:r>
              <w:rPr>
                <w:rFonts w:hint="eastAsia" w:ascii="宋体" w:hAnsi="宋体" w:cs="宋体"/>
                <w:color w:val="auto"/>
                <w:highlight w:val="none"/>
                <w:lang w:eastAsia="zh-CN"/>
              </w:rPr>
              <w:t>（四）施工机具和临时防雨工棚和外围护栏的安全保护设施费用</w:t>
            </w:r>
          </w:p>
        </w:tc>
        <w:tc>
          <w:tcPr>
            <w:tcW w:w="851" w:type="dxa"/>
            <w:tcBorders>
              <w:top w:val="nil"/>
              <w:left w:val="nil"/>
              <w:bottom w:val="single" w:color="auto" w:sz="4" w:space="0"/>
              <w:right w:val="single" w:color="auto" w:sz="4" w:space="0"/>
            </w:tcBorders>
            <w:noWrap w:val="0"/>
            <w:vAlign w:val="bottom"/>
          </w:tcPr>
          <w:p w14:paraId="0339A87E">
            <w:pPr>
              <w:spacing w:line="240" w:lineRule="exact"/>
              <w:jc w:val="center"/>
              <w:rPr>
                <w:rFonts w:ascii="宋体" w:hAnsi="宋体" w:cs="宋体"/>
                <w:color w:val="auto"/>
                <w:sz w:val="18"/>
                <w:szCs w:val="18"/>
                <w:highlight w:val="none"/>
                <w:lang w:eastAsia="zh-CN"/>
              </w:rPr>
            </w:pPr>
          </w:p>
        </w:tc>
        <w:tc>
          <w:tcPr>
            <w:tcW w:w="850" w:type="dxa"/>
            <w:tcBorders>
              <w:top w:val="nil"/>
              <w:left w:val="nil"/>
              <w:bottom w:val="single" w:color="auto" w:sz="4" w:space="0"/>
              <w:right w:val="single" w:color="auto" w:sz="4" w:space="0"/>
            </w:tcBorders>
            <w:noWrap w:val="0"/>
            <w:vAlign w:val="bottom"/>
          </w:tcPr>
          <w:p w14:paraId="40174E0E">
            <w:pPr>
              <w:spacing w:line="240" w:lineRule="exact"/>
              <w:jc w:val="center"/>
              <w:rPr>
                <w:rFonts w:ascii="宋体" w:hAnsi="宋体" w:cs="宋体"/>
                <w:color w:val="auto"/>
                <w:sz w:val="18"/>
                <w:szCs w:val="18"/>
                <w:highlight w:val="none"/>
                <w:lang w:eastAsia="zh-CN"/>
              </w:rPr>
            </w:pPr>
          </w:p>
        </w:tc>
        <w:tc>
          <w:tcPr>
            <w:tcW w:w="1165" w:type="dxa"/>
            <w:tcBorders>
              <w:top w:val="nil"/>
              <w:left w:val="nil"/>
              <w:bottom w:val="single" w:color="auto" w:sz="4" w:space="0"/>
              <w:right w:val="single" w:color="auto" w:sz="4" w:space="0"/>
            </w:tcBorders>
            <w:noWrap w:val="0"/>
            <w:vAlign w:val="bottom"/>
          </w:tcPr>
          <w:p w14:paraId="187E8968">
            <w:pPr>
              <w:spacing w:line="240" w:lineRule="exact"/>
              <w:jc w:val="center"/>
              <w:rPr>
                <w:rFonts w:ascii="宋体" w:hAnsi="宋体" w:cs="宋体"/>
                <w:color w:val="auto"/>
                <w:sz w:val="18"/>
                <w:szCs w:val="18"/>
                <w:highlight w:val="none"/>
                <w:lang w:eastAsia="zh-CN"/>
              </w:rPr>
            </w:pPr>
          </w:p>
        </w:tc>
      </w:tr>
      <w:tr w14:paraId="384CBC66">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38C29470">
            <w:pPr>
              <w:spacing w:line="240" w:lineRule="exact"/>
              <w:rPr>
                <w:rFonts w:ascii="宋体" w:hAnsi="宋体" w:cs="宋体"/>
                <w:color w:val="auto"/>
                <w:highlight w:val="none"/>
                <w:lang w:eastAsia="zh-CN"/>
              </w:rPr>
            </w:pPr>
            <w:r>
              <w:rPr>
                <w:rFonts w:hint="eastAsia" w:ascii="宋体" w:hAnsi="宋体" w:cs="宋体"/>
                <w:color w:val="auto"/>
                <w:highlight w:val="none"/>
                <w:lang w:eastAsia="zh-CN"/>
              </w:rPr>
              <w:t>（五）隧道施工等地下作业中的通风、低压电配送等有关设施、监测费用和上下层间安全防护费用</w:t>
            </w:r>
          </w:p>
        </w:tc>
        <w:tc>
          <w:tcPr>
            <w:tcW w:w="851" w:type="dxa"/>
            <w:tcBorders>
              <w:top w:val="nil"/>
              <w:left w:val="nil"/>
              <w:bottom w:val="single" w:color="auto" w:sz="4" w:space="0"/>
              <w:right w:val="single" w:color="auto" w:sz="4" w:space="0"/>
            </w:tcBorders>
            <w:noWrap w:val="0"/>
            <w:vAlign w:val="bottom"/>
          </w:tcPr>
          <w:p w14:paraId="2A5708B8">
            <w:pPr>
              <w:spacing w:line="240" w:lineRule="exact"/>
              <w:jc w:val="center"/>
              <w:rPr>
                <w:rFonts w:ascii="宋体" w:hAnsi="宋体" w:cs="宋体"/>
                <w:color w:val="auto"/>
                <w:sz w:val="18"/>
                <w:szCs w:val="18"/>
                <w:highlight w:val="none"/>
                <w:lang w:eastAsia="zh-CN"/>
              </w:rPr>
            </w:pPr>
          </w:p>
        </w:tc>
        <w:tc>
          <w:tcPr>
            <w:tcW w:w="850" w:type="dxa"/>
            <w:tcBorders>
              <w:top w:val="nil"/>
              <w:left w:val="nil"/>
              <w:bottom w:val="single" w:color="auto" w:sz="4" w:space="0"/>
              <w:right w:val="single" w:color="auto" w:sz="4" w:space="0"/>
            </w:tcBorders>
            <w:noWrap w:val="0"/>
            <w:vAlign w:val="bottom"/>
          </w:tcPr>
          <w:p w14:paraId="46808EC0">
            <w:pPr>
              <w:spacing w:line="240" w:lineRule="exact"/>
              <w:jc w:val="center"/>
              <w:rPr>
                <w:rFonts w:ascii="宋体" w:hAnsi="宋体" w:cs="宋体"/>
                <w:color w:val="auto"/>
                <w:sz w:val="18"/>
                <w:szCs w:val="18"/>
                <w:highlight w:val="none"/>
                <w:lang w:eastAsia="zh-CN"/>
              </w:rPr>
            </w:pPr>
          </w:p>
        </w:tc>
        <w:tc>
          <w:tcPr>
            <w:tcW w:w="1165" w:type="dxa"/>
            <w:tcBorders>
              <w:top w:val="nil"/>
              <w:left w:val="nil"/>
              <w:bottom w:val="single" w:color="auto" w:sz="4" w:space="0"/>
              <w:right w:val="single" w:color="auto" w:sz="4" w:space="0"/>
            </w:tcBorders>
            <w:noWrap w:val="0"/>
            <w:vAlign w:val="bottom"/>
          </w:tcPr>
          <w:p w14:paraId="502205D0">
            <w:pPr>
              <w:spacing w:line="240" w:lineRule="exact"/>
              <w:jc w:val="center"/>
              <w:rPr>
                <w:rFonts w:ascii="宋体" w:hAnsi="宋体" w:cs="宋体"/>
                <w:color w:val="auto"/>
                <w:sz w:val="18"/>
                <w:szCs w:val="18"/>
                <w:highlight w:val="none"/>
                <w:lang w:eastAsia="zh-CN"/>
              </w:rPr>
            </w:pPr>
          </w:p>
        </w:tc>
      </w:tr>
      <w:tr w14:paraId="47060FBD">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477933DC">
            <w:pPr>
              <w:spacing w:line="240" w:lineRule="exact"/>
              <w:rPr>
                <w:rFonts w:ascii="宋体" w:hAnsi="宋体" w:cs="宋体"/>
                <w:color w:val="auto"/>
                <w:highlight w:val="none"/>
                <w:lang w:eastAsia="zh-CN"/>
              </w:rPr>
            </w:pPr>
            <w:r>
              <w:rPr>
                <w:rFonts w:hint="eastAsia" w:ascii="宋体" w:hAnsi="宋体" w:cs="宋体"/>
                <w:color w:val="auto"/>
                <w:highlight w:val="none"/>
                <w:lang w:eastAsia="zh-CN"/>
              </w:rPr>
              <w:t>（六）用于水上、水下作业救生设备、器材购置和设置临边防护、警示设施费用</w:t>
            </w:r>
          </w:p>
        </w:tc>
        <w:tc>
          <w:tcPr>
            <w:tcW w:w="851" w:type="dxa"/>
            <w:tcBorders>
              <w:top w:val="nil"/>
              <w:left w:val="nil"/>
              <w:bottom w:val="single" w:color="auto" w:sz="4" w:space="0"/>
              <w:right w:val="single" w:color="auto" w:sz="4" w:space="0"/>
            </w:tcBorders>
            <w:noWrap w:val="0"/>
            <w:vAlign w:val="bottom"/>
          </w:tcPr>
          <w:p w14:paraId="33F88165">
            <w:pPr>
              <w:spacing w:line="240" w:lineRule="exact"/>
              <w:jc w:val="center"/>
              <w:rPr>
                <w:rFonts w:ascii="宋体" w:hAnsi="宋体" w:cs="宋体"/>
                <w:color w:val="auto"/>
                <w:sz w:val="18"/>
                <w:szCs w:val="18"/>
                <w:highlight w:val="none"/>
                <w:lang w:eastAsia="zh-CN"/>
              </w:rPr>
            </w:pPr>
          </w:p>
        </w:tc>
        <w:tc>
          <w:tcPr>
            <w:tcW w:w="850" w:type="dxa"/>
            <w:tcBorders>
              <w:top w:val="nil"/>
              <w:left w:val="nil"/>
              <w:bottom w:val="single" w:color="auto" w:sz="4" w:space="0"/>
              <w:right w:val="single" w:color="auto" w:sz="4" w:space="0"/>
            </w:tcBorders>
            <w:noWrap w:val="0"/>
            <w:vAlign w:val="bottom"/>
          </w:tcPr>
          <w:p w14:paraId="05B9D29E">
            <w:pPr>
              <w:spacing w:line="240" w:lineRule="exact"/>
              <w:jc w:val="center"/>
              <w:rPr>
                <w:rFonts w:ascii="宋体" w:hAnsi="宋体" w:cs="宋体"/>
                <w:color w:val="auto"/>
                <w:sz w:val="18"/>
                <w:szCs w:val="18"/>
                <w:highlight w:val="none"/>
                <w:lang w:eastAsia="zh-CN"/>
              </w:rPr>
            </w:pPr>
          </w:p>
        </w:tc>
        <w:tc>
          <w:tcPr>
            <w:tcW w:w="1165" w:type="dxa"/>
            <w:tcBorders>
              <w:top w:val="nil"/>
              <w:left w:val="nil"/>
              <w:bottom w:val="single" w:color="auto" w:sz="4" w:space="0"/>
              <w:right w:val="single" w:color="auto" w:sz="4" w:space="0"/>
            </w:tcBorders>
            <w:noWrap w:val="0"/>
            <w:vAlign w:val="bottom"/>
          </w:tcPr>
          <w:p w14:paraId="364692AC">
            <w:pPr>
              <w:spacing w:line="240" w:lineRule="exact"/>
              <w:jc w:val="center"/>
              <w:rPr>
                <w:rFonts w:ascii="宋体" w:hAnsi="宋体" w:cs="宋体"/>
                <w:color w:val="auto"/>
                <w:sz w:val="18"/>
                <w:szCs w:val="18"/>
                <w:highlight w:val="none"/>
                <w:lang w:eastAsia="zh-CN"/>
              </w:rPr>
            </w:pPr>
          </w:p>
        </w:tc>
      </w:tr>
      <w:tr w14:paraId="51E47608">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5E71B6C0">
            <w:pPr>
              <w:spacing w:line="240" w:lineRule="exact"/>
              <w:rPr>
                <w:rFonts w:ascii="宋体" w:hAnsi="宋体" w:cs="宋体"/>
                <w:color w:val="auto"/>
                <w:highlight w:val="none"/>
                <w:lang w:eastAsia="zh-CN"/>
              </w:rPr>
            </w:pPr>
            <w:r>
              <w:rPr>
                <w:rFonts w:hint="eastAsia" w:ascii="宋体" w:hAnsi="宋体" w:cs="宋体"/>
                <w:color w:val="auto"/>
                <w:highlight w:val="none"/>
                <w:lang w:eastAsia="zh-CN"/>
              </w:rPr>
              <w:t>（七）安全网的购置费用</w:t>
            </w:r>
          </w:p>
        </w:tc>
        <w:tc>
          <w:tcPr>
            <w:tcW w:w="851" w:type="dxa"/>
            <w:tcBorders>
              <w:top w:val="nil"/>
              <w:left w:val="nil"/>
              <w:bottom w:val="single" w:color="auto" w:sz="4" w:space="0"/>
              <w:right w:val="single" w:color="auto" w:sz="4" w:space="0"/>
            </w:tcBorders>
            <w:noWrap w:val="0"/>
            <w:vAlign w:val="bottom"/>
          </w:tcPr>
          <w:p w14:paraId="1BEFE5C1">
            <w:pPr>
              <w:spacing w:line="240" w:lineRule="exact"/>
              <w:jc w:val="center"/>
              <w:rPr>
                <w:rFonts w:ascii="宋体" w:hAnsi="宋体" w:cs="宋体"/>
                <w:color w:val="auto"/>
                <w:sz w:val="18"/>
                <w:szCs w:val="18"/>
                <w:highlight w:val="none"/>
                <w:lang w:eastAsia="zh-CN"/>
              </w:rPr>
            </w:pPr>
          </w:p>
        </w:tc>
        <w:tc>
          <w:tcPr>
            <w:tcW w:w="850" w:type="dxa"/>
            <w:tcBorders>
              <w:top w:val="nil"/>
              <w:left w:val="nil"/>
              <w:bottom w:val="single" w:color="auto" w:sz="4" w:space="0"/>
              <w:right w:val="single" w:color="auto" w:sz="4" w:space="0"/>
            </w:tcBorders>
            <w:noWrap w:val="0"/>
            <w:vAlign w:val="bottom"/>
          </w:tcPr>
          <w:p w14:paraId="1D2A009A">
            <w:pPr>
              <w:spacing w:line="240" w:lineRule="exact"/>
              <w:jc w:val="center"/>
              <w:rPr>
                <w:rFonts w:ascii="宋体" w:hAnsi="宋体" w:cs="宋体"/>
                <w:color w:val="auto"/>
                <w:sz w:val="18"/>
                <w:szCs w:val="18"/>
                <w:highlight w:val="none"/>
                <w:lang w:eastAsia="zh-CN"/>
              </w:rPr>
            </w:pPr>
          </w:p>
        </w:tc>
        <w:tc>
          <w:tcPr>
            <w:tcW w:w="1165" w:type="dxa"/>
            <w:tcBorders>
              <w:top w:val="nil"/>
              <w:left w:val="nil"/>
              <w:bottom w:val="single" w:color="auto" w:sz="4" w:space="0"/>
              <w:right w:val="single" w:color="auto" w:sz="4" w:space="0"/>
            </w:tcBorders>
            <w:noWrap w:val="0"/>
            <w:vAlign w:val="bottom"/>
          </w:tcPr>
          <w:p w14:paraId="4D10E0F7">
            <w:pPr>
              <w:spacing w:line="240" w:lineRule="exact"/>
              <w:jc w:val="center"/>
              <w:rPr>
                <w:rFonts w:ascii="宋体" w:hAnsi="宋体" w:cs="宋体"/>
                <w:color w:val="auto"/>
                <w:sz w:val="18"/>
                <w:szCs w:val="18"/>
                <w:highlight w:val="none"/>
                <w:lang w:eastAsia="zh-CN"/>
              </w:rPr>
            </w:pPr>
          </w:p>
        </w:tc>
      </w:tr>
      <w:tr w14:paraId="0120E58F">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06B33811">
            <w:pPr>
              <w:spacing w:line="240" w:lineRule="exact"/>
              <w:rPr>
                <w:rFonts w:ascii="宋体" w:hAnsi="宋体" w:cs="宋体"/>
                <w:color w:val="auto"/>
                <w:highlight w:val="none"/>
                <w:lang w:eastAsia="zh-CN"/>
              </w:rPr>
            </w:pPr>
            <w:r>
              <w:rPr>
                <w:rFonts w:hint="eastAsia" w:ascii="宋体" w:hAnsi="宋体" w:cs="宋体"/>
                <w:color w:val="auto"/>
                <w:highlight w:val="none"/>
                <w:lang w:eastAsia="zh-CN"/>
              </w:rPr>
              <w:t>（八）临时设施、施工道路、围墙搭设等费用</w:t>
            </w:r>
          </w:p>
        </w:tc>
        <w:tc>
          <w:tcPr>
            <w:tcW w:w="851" w:type="dxa"/>
            <w:tcBorders>
              <w:top w:val="nil"/>
              <w:left w:val="nil"/>
              <w:bottom w:val="single" w:color="auto" w:sz="4" w:space="0"/>
              <w:right w:val="single" w:color="auto" w:sz="4" w:space="0"/>
            </w:tcBorders>
            <w:noWrap w:val="0"/>
            <w:vAlign w:val="bottom"/>
          </w:tcPr>
          <w:p w14:paraId="131C0E04">
            <w:pPr>
              <w:spacing w:line="240" w:lineRule="exact"/>
              <w:jc w:val="center"/>
              <w:rPr>
                <w:rFonts w:ascii="宋体" w:hAnsi="宋体" w:cs="宋体"/>
                <w:color w:val="auto"/>
                <w:sz w:val="18"/>
                <w:szCs w:val="18"/>
                <w:highlight w:val="none"/>
                <w:lang w:eastAsia="zh-CN"/>
              </w:rPr>
            </w:pPr>
          </w:p>
        </w:tc>
        <w:tc>
          <w:tcPr>
            <w:tcW w:w="850" w:type="dxa"/>
            <w:tcBorders>
              <w:top w:val="nil"/>
              <w:left w:val="nil"/>
              <w:bottom w:val="single" w:color="auto" w:sz="4" w:space="0"/>
              <w:right w:val="single" w:color="auto" w:sz="4" w:space="0"/>
            </w:tcBorders>
            <w:noWrap w:val="0"/>
            <w:vAlign w:val="bottom"/>
          </w:tcPr>
          <w:p w14:paraId="1E6E7F37">
            <w:pPr>
              <w:spacing w:line="240" w:lineRule="exact"/>
              <w:jc w:val="center"/>
              <w:rPr>
                <w:rFonts w:ascii="宋体" w:hAnsi="宋体" w:cs="宋体"/>
                <w:color w:val="auto"/>
                <w:sz w:val="18"/>
                <w:szCs w:val="18"/>
                <w:highlight w:val="none"/>
                <w:lang w:eastAsia="zh-CN"/>
              </w:rPr>
            </w:pPr>
          </w:p>
        </w:tc>
        <w:tc>
          <w:tcPr>
            <w:tcW w:w="1165" w:type="dxa"/>
            <w:tcBorders>
              <w:top w:val="nil"/>
              <w:left w:val="nil"/>
              <w:bottom w:val="single" w:color="auto" w:sz="4" w:space="0"/>
              <w:right w:val="single" w:color="auto" w:sz="4" w:space="0"/>
            </w:tcBorders>
            <w:noWrap w:val="0"/>
            <w:vAlign w:val="bottom"/>
          </w:tcPr>
          <w:p w14:paraId="059F88A8">
            <w:pPr>
              <w:spacing w:line="240" w:lineRule="exact"/>
              <w:jc w:val="center"/>
              <w:rPr>
                <w:rFonts w:ascii="宋体" w:hAnsi="宋体" w:cs="宋体"/>
                <w:color w:val="auto"/>
                <w:sz w:val="18"/>
                <w:szCs w:val="18"/>
                <w:highlight w:val="none"/>
                <w:lang w:eastAsia="zh-CN"/>
              </w:rPr>
            </w:pPr>
          </w:p>
        </w:tc>
      </w:tr>
      <w:tr w14:paraId="370B0C3A">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152CC313">
            <w:pPr>
              <w:spacing w:line="240" w:lineRule="exact"/>
              <w:rPr>
                <w:rFonts w:ascii="宋体" w:hAnsi="宋体" w:cs="宋体"/>
                <w:color w:val="auto"/>
                <w:highlight w:val="none"/>
                <w:lang w:eastAsia="zh-CN"/>
              </w:rPr>
            </w:pPr>
            <w:r>
              <w:rPr>
                <w:rFonts w:hint="eastAsia" w:ascii="宋体" w:hAnsi="宋体" w:cs="宋体"/>
                <w:color w:val="auto"/>
                <w:highlight w:val="none"/>
                <w:lang w:eastAsia="zh-CN"/>
              </w:rPr>
              <w:t>二、配备、维护、保养应急救援器材、设备支出和应急演练支出</w:t>
            </w:r>
          </w:p>
        </w:tc>
        <w:tc>
          <w:tcPr>
            <w:tcW w:w="851" w:type="dxa"/>
            <w:tcBorders>
              <w:top w:val="nil"/>
              <w:left w:val="nil"/>
              <w:bottom w:val="single" w:color="auto" w:sz="4" w:space="0"/>
              <w:right w:val="single" w:color="auto" w:sz="4" w:space="0"/>
            </w:tcBorders>
            <w:noWrap w:val="0"/>
            <w:vAlign w:val="bottom"/>
          </w:tcPr>
          <w:p w14:paraId="0A7941F5">
            <w:pPr>
              <w:spacing w:line="240" w:lineRule="exact"/>
              <w:jc w:val="center"/>
              <w:rPr>
                <w:rFonts w:ascii="宋体" w:hAnsi="宋体" w:cs="宋体"/>
                <w:color w:val="auto"/>
                <w:sz w:val="18"/>
                <w:szCs w:val="18"/>
                <w:highlight w:val="none"/>
                <w:lang w:eastAsia="zh-CN"/>
              </w:rPr>
            </w:pPr>
          </w:p>
        </w:tc>
        <w:tc>
          <w:tcPr>
            <w:tcW w:w="850" w:type="dxa"/>
            <w:tcBorders>
              <w:top w:val="nil"/>
              <w:left w:val="nil"/>
              <w:bottom w:val="single" w:color="auto" w:sz="4" w:space="0"/>
              <w:right w:val="single" w:color="auto" w:sz="4" w:space="0"/>
            </w:tcBorders>
            <w:noWrap w:val="0"/>
            <w:vAlign w:val="bottom"/>
          </w:tcPr>
          <w:p w14:paraId="05F593CB">
            <w:pPr>
              <w:spacing w:line="240" w:lineRule="exact"/>
              <w:jc w:val="center"/>
              <w:rPr>
                <w:rFonts w:ascii="宋体" w:hAnsi="宋体" w:cs="宋体"/>
                <w:color w:val="auto"/>
                <w:sz w:val="18"/>
                <w:szCs w:val="18"/>
                <w:highlight w:val="none"/>
                <w:lang w:eastAsia="zh-CN"/>
              </w:rPr>
            </w:pPr>
          </w:p>
        </w:tc>
        <w:tc>
          <w:tcPr>
            <w:tcW w:w="1165" w:type="dxa"/>
            <w:tcBorders>
              <w:top w:val="nil"/>
              <w:left w:val="nil"/>
              <w:bottom w:val="single" w:color="auto" w:sz="4" w:space="0"/>
              <w:right w:val="single" w:color="auto" w:sz="4" w:space="0"/>
            </w:tcBorders>
            <w:noWrap w:val="0"/>
            <w:vAlign w:val="bottom"/>
          </w:tcPr>
          <w:p w14:paraId="4F3C4C72">
            <w:pPr>
              <w:spacing w:line="240" w:lineRule="exact"/>
              <w:jc w:val="center"/>
              <w:rPr>
                <w:rFonts w:ascii="宋体" w:hAnsi="宋体" w:cs="宋体"/>
                <w:color w:val="auto"/>
                <w:sz w:val="18"/>
                <w:szCs w:val="18"/>
                <w:highlight w:val="none"/>
                <w:lang w:eastAsia="zh-CN"/>
              </w:rPr>
            </w:pPr>
          </w:p>
        </w:tc>
      </w:tr>
      <w:tr w14:paraId="594AE5B8">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37DE0AC0">
            <w:pPr>
              <w:spacing w:line="240" w:lineRule="exact"/>
              <w:rPr>
                <w:rFonts w:ascii="宋体" w:hAnsi="宋体" w:cs="宋体"/>
                <w:color w:val="auto"/>
                <w:highlight w:val="none"/>
                <w:lang w:eastAsia="zh-CN"/>
              </w:rPr>
            </w:pPr>
            <w:r>
              <w:rPr>
                <w:rFonts w:hint="eastAsia" w:ascii="宋体" w:hAnsi="宋体" w:cs="宋体"/>
                <w:color w:val="auto"/>
                <w:highlight w:val="none"/>
                <w:lang w:eastAsia="zh-CN"/>
              </w:rPr>
              <w:t>（一）消防设施和消防器材配置以及保健急救措施的费用</w:t>
            </w:r>
          </w:p>
        </w:tc>
        <w:tc>
          <w:tcPr>
            <w:tcW w:w="851" w:type="dxa"/>
            <w:tcBorders>
              <w:top w:val="nil"/>
              <w:left w:val="nil"/>
              <w:bottom w:val="single" w:color="auto" w:sz="4" w:space="0"/>
              <w:right w:val="single" w:color="auto" w:sz="4" w:space="0"/>
            </w:tcBorders>
            <w:noWrap w:val="0"/>
            <w:vAlign w:val="bottom"/>
          </w:tcPr>
          <w:p w14:paraId="003929CE">
            <w:pPr>
              <w:spacing w:line="240" w:lineRule="exact"/>
              <w:jc w:val="center"/>
              <w:rPr>
                <w:rFonts w:ascii="宋体" w:hAnsi="宋体" w:cs="宋体"/>
                <w:color w:val="auto"/>
                <w:sz w:val="18"/>
                <w:szCs w:val="18"/>
                <w:highlight w:val="none"/>
                <w:lang w:eastAsia="zh-CN"/>
              </w:rPr>
            </w:pPr>
          </w:p>
        </w:tc>
        <w:tc>
          <w:tcPr>
            <w:tcW w:w="850" w:type="dxa"/>
            <w:tcBorders>
              <w:top w:val="nil"/>
              <w:left w:val="nil"/>
              <w:bottom w:val="single" w:color="auto" w:sz="4" w:space="0"/>
              <w:right w:val="single" w:color="auto" w:sz="4" w:space="0"/>
            </w:tcBorders>
            <w:noWrap w:val="0"/>
            <w:vAlign w:val="bottom"/>
          </w:tcPr>
          <w:p w14:paraId="4881DD0D">
            <w:pPr>
              <w:spacing w:line="240" w:lineRule="exact"/>
              <w:jc w:val="center"/>
              <w:rPr>
                <w:rFonts w:ascii="宋体" w:hAnsi="宋体" w:cs="宋体"/>
                <w:color w:val="auto"/>
                <w:sz w:val="18"/>
                <w:szCs w:val="18"/>
                <w:highlight w:val="none"/>
                <w:lang w:eastAsia="zh-CN"/>
              </w:rPr>
            </w:pPr>
          </w:p>
        </w:tc>
        <w:tc>
          <w:tcPr>
            <w:tcW w:w="1165" w:type="dxa"/>
            <w:tcBorders>
              <w:top w:val="nil"/>
              <w:left w:val="nil"/>
              <w:bottom w:val="single" w:color="auto" w:sz="4" w:space="0"/>
              <w:right w:val="single" w:color="auto" w:sz="4" w:space="0"/>
            </w:tcBorders>
            <w:noWrap w:val="0"/>
            <w:vAlign w:val="bottom"/>
          </w:tcPr>
          <w:p w14:paraId="415862F6">
            <w:pPr>
              <w:spacing w:line="240" w:lineRule="exact"/>
              <w:jc w:val="center"/>
              <w:rPr>
                <w:rFonts w:ascii="宋体" w:hAnsi="宋体" w:cs="宋体"/>
                <w:color w:val="auto"/>
                <w:sz w:val="18"/>
                <w:szCs w:val="18"/>
                <w:highlight w:val="none"/>
                <w:lang w:eastAsia="zh-CN"/>
              </w:rPr>
            </w:pPr>
          </w:p>
        </w:tc>
      </w:tr>
      <w:tr w14:paraId="60BA3D93">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368B1CBE">
            <w:pPr>
              <w:spacing w:line="240" w:lineRule="exact"/>
              <w:rPr>
                <w:rFonts w:ascii="宋体" w:hAnsi="宋体" w:cs="宋体"/>
                <w:color w:val="auto"/>
                <w:highlight w:val="none"/>
                <w:lang w:eastAsia="zh-CN"/>
              </w:rPr>
            </w:pPr>
            <w:r>
              <w:rPr>
                <w:rFonts w:hint="eastAsia" w:ascii="宋体" w:hAnsi="宋体" w:cs="宋体"/>
                <w:color w:val="auto"/>
                <w:highlight w:val="none"/>
                <w:lang w:eastAsia="zh-CN"/>
              </w:rPr>
              <w:t>（二）抢救应急措施设备费用，包括供水、燃气工程抢险工作中所需的特殊防护费用</w:t>
            </w:r>
          </w:p>
        </w:tc>
        <w:tc>
          <w:tcPr>
            <w:tcW w:w="851" w:type="dxa"/>
            <w:tcBorders>
              <w:top w:val="nil"/>
              <w:left w:val="nil"/>
              <w:bottom w:val="single" w:color="auto" w:sz="4" w:space="0"/>
              <w:right w:val="single" w:color="auto" w:sz="4" w:space="0"/>
            </w:tcBorders>
            <w:noWrap w:val="0"/>
            <w:vAlign w:val="bottom"/>
          </w:tcPr>
          <w:p w14:paraId="68BAD4D5">
            <w:pPr>
              <w:spacing w:line="240" w:lineRule="exact"/>
              <w:jc w:val="center"/>
              <w:rPr>
                <w:rFonts w:ascii="宋体" w:hAnsi="宋体" w:cs="宋体"/>
                <w:color w:val="auto"/>
                <w:sz w:val="18"/>
                <w:szCs w:val="18"/>
                <w:highlight w:val="none"/>
                <w:lang w:eastAsia="zh-CN"/>
              </w:rPr>
            </w:pPr>
          </w:p>
        </w:tc>
        <w:tc>
          <w:tcPr>
            <w:tcW w:w="850" w:type="dxa"/>
            <w:tcBorders>
              <w:top w:val="nil"/>
              <w:left w:val="nil"/>
              <w:bottom w:val="single" w:color="auto" w:sz="4" w:space="0"/>
              <w:right w:val="single" w:color="auto" w:sz="4" w:space="0"/>
            </w:tcBorders>
            <w:noWrap w:val="0"/>
            <w:vAlign w:val="bottom"/>
          </w:tcPr>
          <w:p w14:paraId="1480EFFF">
            <w:pPr>
              <w:spacing w:line="240" w:lineRule="exact"/>
              <w:jc w:val="center"/>
              <w:rPr>
                <w:rFonts w:ascii="宋体" w:hAnsi="宋体" w:cs="宋体"/>
                <w:color w:val="auto"/>
                <w:sz w:val="18"/>
                <w:szCs w:val="18"/>
                <w:highlight w:val="none"/>
                <w:lang w:eastAsia="zh-CN"/>
              </w:rPr>
            </w:pPr>
          </w:p>
        </w:tc>
        <w:tc>
          <w:tcPr>
            <w:tcW w:w="1165" w:type="dxa"/>
            <w:tcBorders>
              <w:top w:val="nil"/>
              <w:left w:val="nil"/>
              <w:bottom w:val="single" w:color="auto" w:sz="4" w:space="0"/>
              <w:right w:val="single" w:color="auto" w:sz="4" w:space="0"/>
            </w:tcBorders>
            <w:noWrap w:val="0"/>
            <w:vAlign w:val="bottom"/>
          </w:tcPr>
          <w:p w14:paraId="41EEBB4B">
            <w:pPr>
              <w:spacing w:line="240" w:lineRule="exact"/>
              <w:jc w:val="center"/>
              <w:rPr>
                <w:rFonts w:ascii="宋体" w:hAnsi="宋体" w:cs="宋体"/>
                <w:color w:val="auto"/>
                <w:sz w:val="18"/>
                <w:szCs w:val="18"/>
                <w:highlight w:val="none"/>
                <w:lang w:eastAsia="zh-CN"/>
              </w:rPr>
            </w:pPr>
          </w:p>
        </w:tc>
      </w:tr>
      <w:tr w14:paraId="3165EB60">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2B94C131">
            <w:pPr>
              <w:spacing w:line="240" w:lineRule="exact"/>
              <w:rPr>
                <w:rFonts w:ascii="宋体" w:hAnsi="宋体" w:cs="宋体"/>
                <w:color w:val="auto"/>
                <w:highlight w:val="none"/>
                <w:lang w:eastAsia="zh-CN"/>
              </w:rPr>
            </w:pPr>
            <w:r>
              <w:rPr>
                <w:rFonts w:hint="eastAsia" w:ascii="宋体" w:hAnsi="宋体" w:cs="宋体"/>
                <w:color w:val="auto"/>
                <w:highlight w:val="none"/>
                <w:lang w:eastAsia="zh-CN"/>
              </w:rPr>
              <w:t>（三）变配电装置的三级配电箱、外电防护、二级保护的防触电系统购置费用</w:t>
            </w:r>
          </w:p>
        </w:tc>
        <w:tc>
          <w:tcPr>
            <w:tcW w:w="851" w:type="dxa"/>
            <w:tcBorders>
              <w:top w:val="nil"/>
              <w:left w:val="nil"/>
              <w:bottom w:val="single" w:color="auto" w:sz="4" w:space="0"/>
              <w:right w:val="single" w:color="auto" w:sz="4" w:space="0"/>
            </w:tcBorders>
            <w:noWrap w:val="0"/>
            <w:vAlign w:val="bottom"/>
          </w:tcPr>
          <w:p w14:paraId="5E4E9569">
            <w:pPr>
              <w:spacing w:line="240" w:lineRule="exact"/>
              <w:jc w:val="center"/>
              <w:rPr>
                <w:rFonts w:ascii="宋体" w:hAnsi="宋体" w:cs="宋体"/>
                <w:color w:val="auto"/>
                <w:sz w:val="18"/>
                <w:szCs w:val="18"/>
                <w:highlight w:val="none"/>
                <w:lang w:eastAsia="zh-CN"/>
              </w:rPr>
            </w:pPr>
          </w:p>
        </w:tc>
        <w:tc>
          <w:tcPr>
            <w:tcW w:w="850" w:type="dxa"/>
            <w:tcBorders>
              <w:top w:val="nil"/>
              <w:left w:val="nil"/>
              <w:bottom w:val="single" w:color="auto" w:sz="4" w:space="0"/>
              <w:right w:val="single" w:color="auto" w:sz="4" w:space="0"/>
            </w:tcBorders>
            <w:noWrap w:val="0"/>
            <w:vAlign w:val="bottom"/>
          </w:tcPr>
          <w:p w14:paraId="79053399">
            <w:pPr>
              <w:spacing w:line="240" w:lineRule="exact"/>
              <w:jc w:val="center"/>
              <w:rPr>
                <w:rFonts w:ascii="宋体" w:hAnsi="宋体" w:cs="宋体"/>
                <w:color w:val="auto"/>
                <w:sz w:val="18"/>
                <w:szCs w:val="18"/>
                <w:highlight w:val="none"/>
                <w:lang w:eastAsia="zh-CN"/>
              </w:rPr>
            </w:pPr>
          </w:p>
        </w:tc>
        <w:tc>
          <w:tcPr>
            <w:tcW w:w="1165" w:type="dxa"/>
            <w:tcBorders>
              <w:top w:val="nil"/>
              <w:left w:val="nil"/>
              <w:bottom w:val="single" w:color="auto" w:sz="4" w:space="0"/>
              <w:right w:val="single" w:color="auto" w:sz="4" w:space="0"/>
            </w:tcBorders>
            <w:noWrap w:val="0"/>
            <w:vAlign w:val="bottom"/>
          </w:tcPr>
          <w:p w14:paraId="1E0A43E1">
            <w:pPr>
              <w:spacing w:line="240" w:lineRule="exact"/>
              <w:jc w:val="center"/>
              <w:rPr>
                <w:rFonts w:ascii="宋体" w:hAnsi="宋体" w:cs="宋体"/>
                <w:color w:val="auto"/>
                <w:sz w:val="18"/>
                <w:szCs w:val="18"/>
                <w:highlight w:val="none"/>
                <w:lang w:eastAsia="zh-CN"/>
              </w:rPr>
            </w:pPr>
          </w:p>
        </w:tc>
      </w:tr>
      <w:tr w14:paraId="3AF3000B">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23B48029">
            <w:pPr>
              <w:spacing w:line="240" w:lineRule="exact"/>
              <w:rPr>
                <w:rFonts w:ascii="宋体" w:hAnsi="宋体" w:cs="宋体"/>
                <w:color w:val="auto"/>
                <w:highlight w:val="none"/>
                <w:lang w:eastAsia="zh-CN"/>
              </w:rPr>
            </w:pPr>
            <w:r>
              <w:rPr>
                <w:rFonts w:hint="eastAsia" w:ascii="宋体" w:hAnsi="宋体" w:cs="宋体"/>
                <w:color w:val="auto"/>
                <w:highlight w:val="none"/>
                <w:lang w:eastAsia="zh-CN"/>
              </w:rPr>
              <w:t>三、开展重大危险源和事故隐患评估、监控和整改支出</w:t>
            </w:r>
          </w:p>
        </w:tc>
        <w:tc>
          <w:tcPr>
            <w:tcW w:w="851" w:type="dxa"/>
            <w:tcBorders>
              <w:top w:val="nil"/>
              <w:left w:val="nil"/>
              <w:bottom w:val="single" w:color="auto" w:sz="4" w:space="0"/>
              <w:right w:val="single" w:color="auto" w:sz="4" w:space="0"/>
            </w:tcBorders>
            <w:noWrap w:val="0"/>
            <w:vAlign w:val="bottom"/>
          </w:tcPr>
          <w:p w14:paraId="25C40CDD">
            <w:pPr>
              <w:spacing w:line="240" w:lineRule="exact"/>
              <w:jc w:val="center"/>
              <w:rPr>
                <w:rFonts w:ascii="宋体" w:hAnsi="宋体" w:cs="宋体"/>
                <w:color w:val="auto"/>
                <w:sz w:val="18"/>
                <w:szCs w:val="18"/>
                <w:highlight w:val="none"/>
                <w:lang w:eastAsia="zh-CN"/>
              </w:rPr>
            </w:pPr>
          </w:p>
        </w:tc>
        <w:tc>
          <w:tcPr>
            <w:tcW w:w="850" w:type="dxa"/>
            <w:tcBorders>
              <w:top w:val="nil"/>
              <w:left w:val="nil"/>
              <w:bottom w:val="single" w:color="auto" w:sz="4" w:space="0"/>
              <w:right w:val="single" w:color="auto" w:sz="4" w:space="0"/>
            </w:tcBorders>
            <w:noWrap w:val="0"/>
            <w:vAlign w:val="bottom"/>
          </w:tcPr>
          <w:p w14:paraId="54EAB985">
            <w:pPr>
              <w:spacing w:line="240" w:lineRule="exact"/>
              <w:jc w:val="center"/>
              <w:rPr>
                <w:rFonts w:ascii="宋体" w:hAnsi="宋体" w:cs="宋体"/>
                <w:color w:val="auto"/>
                <w:sz w:val="18"/>
                <w:szCs w:val="18"/>
                <w:highlight w:val="none"/>
                <w:lang w:eastAsia="zh-CN"/>
              </w:rPr>
            </w:pPr>
          </w:p>
        </w:tc>
        <w:tc>
          <w:tcPr>
            <w:tcW w:w="1165" w:type="dxa"/>
            <w:tcBorders>
              <w:top w:val="nil"/>
              <w:left w:val="nil"/>
              <w:bottom w:val="single" w:color="auto" w:sz="4" w:space="0"/>
              <w:right w:val="single" w:color="auto" w:sz="4" w:space="0"/>
            </w:tcBorders>
            <w:noWrap w:val="0"/>
            <w:vAlign w:val="bottom"/>
          </w:tcPr>
          <w:p w14:paraId="0803A827">
            <w:pPr>
              <w:spacing w:line="240" w:lineRule="exact"/>
              <w:jc w:val="center"/>
              <w:rPr>
                <w:rFonts w:ascii="宋体" w:hAnsi="宋体" w:cs="宋体"/>
                <w:color w:val="auto"/>
                <w:sz w:val="18"/>
                <w:szCs w:val="18"/>
                <w:highlight w:val="none"/>
                <w:lang w:eastAsia="zh-CN"/>
              </w:rPr>
            </w:pPr>
          </w:p>
        </w:tc>
      </w:tr>
      <w:tr w14:paraId="0C0C8389">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60C484BA">
            <w:pPr>
              <w:spacing w:line="240" w:lineRule="exact"/>
              <w:rPr>
                <w:rFonts w:ascii="宋体" w:hAnsi="宋体" w:cs="宋体"/>
                <w:color w:val="auto"/>
                <w:highlight w:val="none"/>
                <w:lang w:eastAsia="zh-CN"/>
              </w:rPr>
            </w:pPr>
            <w:r>
              <w:rPr>
                <w:rFonts w:hint="eastAsia" w:ascii="宋体" w:hAnsi="宋体" w:cs="宋体"/>
                <w:color w:val="auto"/>
                <w:highlight w:val="none"/>
                <w:lang w:eastAsia="zh-CN"/>
              </w:rPr>
              <w:t>四、安全生产检查、评价、咨询和标准化建设支出</w:t>
            </w:r>
          </w:p>
        </w:tc>
        <w:tc>
          <w:tcPr>
            <w:tcW w:w="851" w:type="dxa"/>
            <w:tcBorders>
              <w:top w:val="nil"/>
              <w:left w:val="nil"/>
              <w:bottom w:val="single" w:color="auto" w:sz="4" w:space="0"/>
              <w:right w:val="single" w:color="auto" w:sz="4" w:space="0"/>
            </w:tcBorders>
            <w:noWrap w:val="0"/>
            <w:vAlign w:val="bottom"/>
          </w:tcPr>
          <w:p w14:paraId="766AF505">
            <w:pPr>
              <w:spacing w:line="240" w:lineRule="exact"/>
              <w:jc w:val="center"/>
              <w:rPr>
                <w:rFonts w:ascii="宋体" w:hAnsi="宋体" w:cs="宋体"/>
                <w:color w:val="auto"/>
                <w:sz w:val="18"/>
                <w:szCs w:val="18"/>
                <w:highlight w:val="none"/>
                <w:lang w:eastAsia="zh-CN"/>
              </w:rPr>
            </w:pPr>
          </w:p>
        </w:tc>
        <w:tc>
          <w:tcPr>
            <w:tcW w:w="850" w:type="dxa"/>
            <w:tcBorders>
              <w:top w:val="nil"/>
              <w:left w:val="nil"/>
              <w:bottom w:val="single" w:color="auto" w:sz="4" w:space="0"/>
              <w:right w:val="single" w:color="auto" w:sz="4" w:space="0"/>
            </w:tcBorders>
            <w:noWrap w:val="0"/>
            <w:vAlign w:val="bottom"/>
          </w:tcPr>
          <w:p w14:paraId="66412EAA">
            <w:pPr>
              <w:spacing w:line="240" w:lineRule="exact"/>
              <w:jc w:val="center"/>
              <w:rPr>
                <w:rFonts w:ascii="宋体" w:hAnsi="宋体" w:cs="宋体"/>
                <w:color w:val="auto"/>
                <w:sz w:val="18"/>
                <w:szCs w:val="18"/>
                <w:highlight w:val="none"/>
                <w:lang w:eastAsia="zh-CN"/>
              </w:rPr>
            </w:pPr>
          </w:p>
        </w:tc>
        <w:tc>
          <w:tcPr>
            <w:tcW w:w="1165" w:type="dxa"/>
            <w:tcBorders>
              <w:top w:val="nil"/>
              <w:left w:val="nil"/>
              <w:bottom w:val="single" w:color="auto" w:sz="4" w:space="0"/>
              <w:right w:val="single" w:color="auto" w:sz="4" w:space="0"/>
            </w:tcBorders>
            <w:noWrap w:val="0"/>
            <w:vAlign w:val="bottom"/>
          </w:tcPr>
          <w:p w14:paraId="00A7E4B3">
            <w:pPr>
              <w:spacing w:line="240" w:lineRule="exact"/>
              <w:jc w:val="center"/>
              <w:rPr>
                <w:rFonts w:ascii="宋体" w:hAnsi="宋体" w:cs="宋体"/>
                <w:color w:val="auto"/>
                <w:sz w:val="18"/>
                <w:szCs w:val="18"/>
                <w:highlight w:val="none"/>
                <w:lang w:eastAsia="zh-CN"/>
              </w:rPr>
            </w:pPr>
          </w:p>
        </w:tc>
      </w:tr>
      <w:tr w14:paraId="3D1DB174">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7A418B8D">
            <w:pPr>
              <w:spacing w:line="240" w:lineRule="exact"/>
              <w:rPr>
                <w:rFonts w:ascii="宋体" w:hAnsi="宋体" w:cs="宋体"/>
                <w:color w:val="auto"/>
                <w:highlight w:val="none"/>
                <w:lang w:eastAsia="zh-CN"/>
              </w:rPr>
            </w:pPr>
            <w:r>
              <w:rPr>
                <w:rFonts w:hint="eastAsia" w:ascii="宋体" w:hAnsi="宋体" w:cs="宋体"/>
                <w:color w:val="auto"/>
                <w:highlight w:val="none"/>
                <w:lang w:eastAsia="zh-CN"/>
              </w:rPr>
              <w:t>（一）安全管理实施方案（制度）的编印费用</w:t>
            </w:r>
          </w:p>
        </w:tc>
        <w:tc>
          <w:tcPr>
            <w:tcW w:w="851" w:type="dxa"/>
            <w:tcBorders>
              <w:top w:val="nil"/>
              <w:left w:val="nil"/>
              <w:bottom w:val="single" w:color="auto" w:sz="4" w:space="0"/>
              <w:right w:val="single" w:color="auto" w:sz="4" w:space="0"/>
            </w:tcBorders>
            <w:noWrap w:val="0"/>
            <w:vAlign w:val="bottom"/>
          </w:tcPr>
          <w:p w14:paraId="01987AFB">
            <w:pPr>
              <w:spacing w:line="240" w:lineRule="exact"/>
              <w:rPr>
                <w:rFonts w:ascii="宋体" w:hAnsi="宋体" w:cs="宋体"/>
                <w:color w:val="auto"/>
                <w:sz w:val="18"/>
                <w:szCs w:val="18"/>
                <w:highlight w:val="none"/>
                <w:lang w:eastAsia="zh-CN"/>
              </w:rPr>
            </w:pPr>
          </w:p>
        </w:tc>
        <w:tc>
          <w:tcPr>
            <w:tcW w:w="850" w:type="dxa"/>
            <w:tcBorders>
              <w:top w:val="nil"/>
              <w:left w:val="nil"/>
              <w:bottom w:val="single" w:color="auto" w:sz="4" w:space="0"/>
              <w:right w:val="single" w:color="auto" w:sz="4" w:space="0"/>
            </w:tcBorders>
            <w:noWrap w:val="0"/>
            <w:vAlign w:val="bottom"/>
          </w:tcPr>
          <w:p w14:paraId="00C6898C">
            <w:pPr>
              <w:spacing w:line="240" w:lineRule="exact"/>
              <w:rPr>
                <w:rFonts w:ascii="宋体" w:hAnsi="宋体" w:cs="宋体"/>
                <w:color w:val="auto"/>
                <w:sz w:val="18"/>
                <w:szCs w:val="18"/>
                <w:highlight w:val="none"/>
                <w:lang w:eastAsia="zh-CN"/>
              </w:rPr>
            </w:pPr>
          </w:p>
        </w:tc>
        <w:tc>
          <w:tcPr>
            <w:tcW w:w="1165" w:type="dxa"/>
            <w:tcBorders>
              <w:top w:val="nil"/>
              <w:left w:val="nil"/>
              <w:bottom w:val="single" w:color="auto" w:sz="4" w:space="0"/>
              <w:right w:val="single" w:color="auto" w:sz="4" w:space="0"/>
            </w:tcBorders>
            <w:noWrap w:val="0"/>
            <w:vAlign w:val="bottom"/>
          </w:tcPr>
          <w:p w14:paraId="3CA779FE">
            <w:pPr>
              <w:spacing w:line="240" w:lineRule="exact"/>
              <w:rPr>
                <w:rFonts w:ascii="宋体" w:hAnsi="宋体" w:cs="宋体"/>
                <w:color w:val="auto"/>
                <w:sz w:val="18"/>
                <w:szCs w:val="18"/>
                <w:highlight w:val="none"/>
                <w:lang w:eastAsia="zh-CN"/>
              </w:rPr>
            </w:pPr>
          </w:p>
        </w:tc>
      </w:tr>
      <w:tr w14:paraId="6B2373DB">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2521D513">
            <w:pPr>
              <w:spacing w:line="240" w:lineRule="exact"/>
              <w:rPr>
                <w:rFonts w:ascii="宋体" w:hAnsi="宋体" w:cs="宋体"/>
                <w:color w:val="auto"/>
                <w:highlight w:val="none"/>
                <w:lang w:eastAsia="zh-CN"/>
              </w:rPr>
            </w:pPr>
            <w:r>
              <w:rPr>
                <w:rFonts w:hint="eastAsia" w:ascii="宋体" w:hAnsi="宋体" w:cs="宋体"/>
                <w:color w:val="auto"/>
                <w:highlight w:val="none"/>
                <w:lang w:eastAsia="zh-CN"/>
              </w:rPr>
              <w:t>（二）交通疏导、警示设施费用</w:t>
            </w:r>
          </w:p>
        </w:tc>
        <w:tc>
          <w:tcPr>
            <w:tcW w:w="851" w:type="dxa"/>
            <w:tcBorders>
              <w:top w:val="nil"/>
              <w:left w:val="nil"/>
              <w:bottom w:val="single" w:color="auto" w:sz="4" w:space="0"/>
              <w:right w:val="single" w:color="auto" w:sz="4" w:space="0"/>
            </w:tcBorders>
            <w:noWrap w:val="0"/>
            <w:vAlign w:val="bottom"/>
          </w:tcPr>
          <w:p w14:paraId="4F6B8F26">
            <w:pPr>
              <w:spacing w:line="240" w:lineRule="exact"/>
              <w:rPr>
                <w:rFonts w:ascii="宋体" w:hAnsi="宋体" w:cs="宋体"/>
                <w:color w:val="auto"/>
                <w:sz w:val="18"/>
                <w:szCs w:val="18"/>
                <w:highlight w:val="none"/>
                <w:lang w:eastAsia="zh-CN"/>
              </w:rPr>
            </w:pPr>
          </w:p>
        </w:tc>
        <w:tc>
          <w:tcPr>
            <w:tcW w:w="850" w:type="dxa"/>
            <w:tcBorders>
              <w:top w:val="nil"/>
              <w:left w:val="nil"/>
              <w:bottom w:val="single" w:color="auto" w:sz="4" w:space="0"/>
              <w:right w:val="single" w:color="auto" w:sz="4" w:space="0"/>
            </w:tcBorders>
            <w:noWrap w:val="0"/>
            <w:vAlign w:val="bottom"/>
          </w:tcPr>
          <w:p w14:paraId="014F6490">
            <w:pPr>
              <w:spacing w:line="240" w:lineRule="exact"/>
              <w:rPr>
                <w:rFonts w:ascii="宋体" w:hAnsi="宋体" w:cs="宋体"/>
                <w:color w:val="auto"/>
                <w:sz w:val="18"/>
                <w:szCs w:val="18"/>
                <w:highlight w:val="none"/>
                <w:lang w:eastAsia="zh-CN"/>
              </w:rPr>
            </w:pPr>
          </w:p>
        </w:tc>
        <w:tc>
          <w:tcPr>
            <w:tcW w:w="1165" w:type="dxa"/>
            <w:tcBorders>
              <w:top w:val="nil"/>
              <w:left w:val="nil"/>
              <w:bottom w:val="single" w:color="auto" w:sz="4" w:space="0"/>
              <w:right w:val="single" w:color="auto" w:sz="4" w:space="0"/>
            </w:tcBorders>
            <w:noWrap w:val="0"/>
            <w:vAlign w:val="bottom"/>
          </w:tcPr>
          <w:p w14:paraId="16AD5E32">
            <w:pPr>
              <w:spacing w:line="240" w:lineRule="exact"/>
              <w:rPr>
                <w:rFonts w:ascii="宋体" w:hAnsi="宋体" w:cs="宋体"/>
                <w:color w:val="auto"/>
                <w:sz w:val="18"/>
                <w:szCs w:val="18"/>
                <w:highlight w:val="none"/>
                <w:lang w:eastAsia="zh-CN"/>
              </w:rPr>
            </w:pPr>
          </w:p>
        </w:tc>
      </w:tr>
      <w:tr w14:paraId="3ABE130F">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165BB6BE">
            <w:pPr>
              <w:spacing w:line="240" w:lineRule="exact"/>
              <w:rPr>
                <w:rFonts w:ascii="宋体" w:hAnsi="宋体" w:cs="宋体"/>
                <w:color w:val="auto"/>
                <w:highlight w:val="none"/>
                <w:lang w:eastAsia="zh-CN"/>
              </w:rPr>
            </w:pPr>
            <w:r>
              <w:rPr>
                <w:rFonts w:hint="eastAsia" w:ascii="宋体" w:hAnsi="宋体" w:cs="宋体"/>
                <w:color w:val="auto"/>
                <w:highlight w:val="none"/>
                <w:lang w:eastAsia="zh-CN"/>
              </w:rPr>
              <w:t>五、配备和更新现场作业人员安全防护用品支出</w:t>
            </w:r>
          </w:p>
        </w:tc>
        <w:tc>
          <w:tcPr>
            <w:tcW w:w="851" w:type="dxa"/>
            <w:tcBorders>
              <w:top w:val="nil"/>
              <w:left w:val="nil"/>
              <w:bottom w:val="single" w:color="auto" w:sz="4" w:space="0"/>
              <w:right w:val="single" w:color="auto" w:sz="4" w:space="0"/>
            </w:tcBorders>
            <w:noWrap w:val="0"/>
            <w:vAlign w:val="bottom"/>
          </w:tcPr>
          <w:p w14:paraId="08FA7120">
            <w:pPr>
              <w:spacing w:line="240" w:lineRule="exact"/>
              <w:jc w:val="center"/>
              <w:rPr>
                <w:rFonts w:ascii="宋体" w:hAnsi="宋体" w:cs="宋体"/>
                <w:color w:val="auto"/>
                <w:sz w:val="18"/>
                <w:szCs w:val="18"/>
                <w:highlight w:val="none"/>
                <w:lang w:eastAsia="zh-CN"/>
              </w:rPr>
            </w:pPr>
          </w:p>
        </w:tc>
        <w:tc>
          <w:tcPr>
            <w:tcW w:w="850" w:type="dxa"/>
            <w:tcBorders>
              <w:top w:val="nil"/>
              <w:left w:val="nil"/>
              <w:bottom w:val="single" w:color="auto" w:sz="4" w:space="0"/>
              <w:right w:val="single" w:color="auto" w:sz="4" w:space="0"/>
            </w:tcBorders>
            <w:noWrap w:val="0"/>
            <w:vAlign w:val="bottom"/>
          </w:tcPr>
          <w:p w14:paraId="2BD220B5">
            <w:pPr>
              <w:spacing w:line="240" w:lineRule="exact"/>
              <w:jc w:val="center"/>
              <w:rPr>
                <w:rFonts w:ascii="宋体" w:hAnsi="宋体" w:cs="宋体"/>
                <w:color w:val="auto"/>
                <w:sz w:val="18"/>
                <w:szCs w:val="18"/>
                <w:highlight w:val="none"/>
                <w:lang w:eastAsia="zh-CN"/>
              </w:rPr>
            </w:pPr>
          </w:p>
        </w:tc>
        <w:tc>
          <w:tcPr>
            <w:tcW w:w="1165" w:type="dxa"/>
            <w:tcBorders>
              <w:top w:val="nil"/>
              <w:left w:val="nil"/>
              <w:bottom w:val="single" w:color="auto" w:sz="4" w:space="0"/>
              <w:right w:val="single" w:color="auto" w:sz="4" w:space="0"/>
            </w:tcBorders>
            <w:noWrap w:val="0"/>
            <w:vAlign w:val="bottom"/>
          </w:tcPr>
          <w:p w14:paraId="73D3C8FC">
            <w:pPr>
              <w:spacing w:line="240" w:lineRule="exact"/>
              <w:jc w:val="center"/>
              <w:rPr>
                <w:rFonts w:ascii="宋体" w:hAnsi="宋体" w:cs="宋体"/>
                <w:color w:val="auto"/>
                <w:sz w:val="18"/>
                <w:szCs w:val="18"/>
                <w:highlight w:val="none"/>
                <w:lang w:eastAsia="zh-CN"/>
              </w:rPr>
            </w:pPr>
          </w:p>
        </w:tc>
      </w:tr>
      <w:tr w14:paraId="1A16C07B">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08F32C69">
            <w:pPr>
              <w:spacing w:line="240" w:lineRule="exact"/>
              <w:rPr>
                <w:rFonts w:ascii="宋体" w:hAnsi="宋体" w:cs="宋体"/>
                <w:color w:val="auto"/>
                <w:highlight w:val="none"/>
                <w:lang w:eastAsia="zh-CN"/>
              </w:rPr>
            </w:pPr>
            <w:r>
              <w:rPr>
                <w:rFonts w:hint="eastAsia" w:ascii="宋体" w:hAnsi="宋体" w:cs="宋体"/>
                <w:color w:val="auto"/>
                <w:highlight w:val="none"/>
                <w:lang w:eastAsia="zh-CN"/>
              </w:rPr>
              <w:t>六、安全生产宣传、教育、培训支出</w:t>
            </w:r>
          </w:p>
        </w:tc>
        <w:tc>
          <w:tcPr>
            <w:tcW w:w="851" w:type="dxa"/>
            <w:tcBorders>
              <w:top w:val="nil"/>
              <w:left w:val="nil"/>
              <w:bottom w:val="single" w:color="auto" w:sz="4" w:space="0"/>
              <w:right w:val="single" w:color="auto" w:sz="4" w:space="0"/>
            </w:tcBorders>
            <w:noWrap w:val="0"/>
            <w:vAlign w:val="bottom"/>
          </w:tcPr>
          <w:p w14:paraId="388BD813">
            <w:pPr>
              <w:spacing w:line="240" w:lineRule="exact"/>
              <w:rPr>
                <w:rFonts w:ascii="宋体" w:hAnsi="宋体" w:cs="宋体"/>
                <w:color w:val="auto"/>
                <w:sz w:val="18"/>
                <w:szCs w:val="18"/>
                <w:highlight w:val="none"/>
                <w:lang w:eastAsia="zh-CN"/>
              </w:rPr>
            </w:pPr>
          </w:p>
        </w:tc>
        <w:tc>
          <w:tcPr>
            <w:tcW w:w="850" w:type="dxa"/>
            <w:tcBorders>
              <w:top w:val="nil"/>
              <w:left w:val="nil"/>
              <w:bottom w:val="single" w:color="auto" w:sz="4" w:space="0"/>
              <w:right w:val="single" w:color="auto" w:sz="4" w:space="0"/>
            </w:tcBorders>
            <w:noWrap w:val="0"/>
            <w:vAlign w:val="bottom"/>
          </w:tcPr>
          <w:p w14:paraId="17E89D52">
            <w:pPr>
              <w:spacing w:line="240" w:lineRule="exact"/>
              <w:rPr>
                <w:rFonts w:ascii="宋体" w:hAnsi="宋体" w:cs="宋体"/>
                <w:color w:val="auto"/>
                <w:sz w:val="18"/>
                <w:szCs w:val="18"/>
                <w:highlight w:val="none"/>
                <w:lang w:eastAsia="zh-CN"/>
              </w:rPr>
            </w:pPr>
          </w:p>
        </w:tc>
        <w:tc>
          <w:tcPr>
            <w:tcW w:w="1165" w:type="dxa"/>
            <w:tcBorders>
              <w:top w:val="nil"/>
              <w:left w:val="nil"/>
              <w:bottom w:val="single" w:color="auto" w:sz="4" w:space="0"/>
              <w:right w:val="single" w:color="auto" w:sz="4" w:space="0"/>
            </w:tcBorders>
            <w:noWrap w:val="0"/>
            <w:vAlign w:val="bottom"/>
          </w:tcPr>
          <w:p w14:paraId="11E20609">
            <w:pPr>
              <w:spacing w:line="240" w:lineRule="exact"/>
              <w:rPr>
                <w:rFonts w:ascii="宋体" w:hAnsi="宋体" w:cs="宋体"/>
                <w:color w:val="auto"/>
                <w:sz w:val="18"/>
                <w:szCs w:val="18"/>
                <w:highlight w:val="none"/>
                <w:lang w:eastAsia="zh-CN"/>
              </w:rPr>
            </w:pPr>
          </w:p>
        </w:tc>
      </w:tr>
      <w:tr w14:paraId="7A066237">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4ADFBCBB">
            <w:pPr>
              <w:spacing w:line="240" w:lineRule="exact"/>
              <w:rPr>
                <w:rFonts w:ascii="宋体" w:hAnsi="宋体" w:cs="宋体"/>
                <w:color w:val="auto"/>
                <w:highlight w:val="none"/>
                <w:lang w:eastAsia="zh-CN"/>
              </w:rPr>
            </w:pPr>
            <w:r>
              <w:rPr>
                <w:rFonts w:hint="eastAsia" w:ascii="宋体" w:hAnsi="宋体" w:cs="宋体"/>
                <w:color w:val="auto"/>
                <w:highlight w:val="none"/>
                <w:lang w:eastAsia="zh-CN"/>
              </w:rPr>
              <w:t>（一）安全标志的购置以及宣传栏的设置（包括报刊、宣教书籍、标语的购置）费用</w:t>
            </w:r>
          </w:p>
        </w:tc>
        <w:tc>
          <w:tcPr>
            <w:tcW w:w="851" w:type="dxa"/>
            <w:tcBorders>
              <w:top w:val="nil"/>
              <w:left w:val="nil"/>
              <w:bottom w:val="single" w:color="auto" w:sz="4" w:space="0"/>
              <w:right w:val="single" w:color="auto" w:sz="4" w:space="0"/>
            </w:tcBorders>
            <w:noWrap w:val="0"/>
            <w:vAlign w:val="bottom"/>
          </w:tcPr>
          <w:p w14:paraId="4C24F00F">
            <w:pPr>
              <w:spacing w:line="240" w:lineRule="exact"/>
              <w:jc w:val="center"/>
              <w:rPr>
                <w:rFonts w:ascii="宋体" w:hAnsi="宋体" w:cs="宋体"/>
                <w:color w:val="auto"/>
                <w:sz w:val="18"/>
                <w:szCs w:val="18"/>
                <w:highlight w:val="none"/>
                <w:lang w:eastAsia="zh-CN"/>
              </w:rPr>
            </w:pPr>
          </w:p>
        </w:tc>
        <w:tc>
          <w:tcPr>
            <w:tcW w:w="850" w:type="dxa"/>
            <w:tcBorders>
              <w:top w:val="nil"/>
              <w:left w:val="nil"/>
              <w:bottom w:val="single" w:color="auto" w:sz="4" w:space="0"/>
              <w:right w:val="single" w:color="auto" w:sz="4" w:space="0"/>
            </w:tcBorders>
            <w:noWrap w:val="0"/>
            <w:vAlign w:val="bottom"/>
          </w:tcPr>
          <w:p w14:paraId="1241BB0E">
            <w:pPr>
              <w:spacing w:line="240" w:lineRule="exact"/>
              <w:jc w:val="center"/>
              <w:rPr>
                <w:rFonts w:ascii="宋体" w:hAnsi="宋体" w:cs="宋体"/>
                <w:color w:val="auto"/>
                <w:sz w:val="18"/>
                <w:szCs w:val="18"/>
                <w:highlight w:val="none"/>
                <w:lang w:eastAsia="zh-CN"/>
              </w:rPr>
            </w:pPr>
          </w:p>
        </w:tc>
        <w:tc>
          <w:tcPr>
            <w:tcW w:w="1165" w:type="dxa"/>
            <w:tcBorders>
              <w:top w:val="nil"/>
              <w:left w:val="nil"/>
              <w:bottom w:val="single" w:color="auto" w:sz="4" w:space="0"/>
              <w:right w:val="single" w:color="auto" w:sz="4" w:space="0"/>
            </w:tcBorders>
            <w:noWrap w:val="0"/>
            <w:vAlign w:val="bottom"/>
          </w:tcPr>
          <w:p w14:paraId="20B766A1">
            <w:pPr>
              <w:spacing w:line="240" w:lineRule="exact"/>
              <w:jc w:val="center"/>
              <w:rPr>
                <w:rFonts w:ascii="宋体" w:hAnsi="宋体" w:cs="宋体"/>
                <w:color w:val="auto"/>
                <w:sz w:val="18"/>
                <w:szCs w:val="18"/>
                <w:highlight w:val="none"/>
                <w:lang w:eastAsia="zh-CN"/>
              </w:rPr>
            </w:pPr>
          </w:p>
        </w:tc>
      </w:tr>
      <w:tr w14:paraId="48641EB0">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589DF518">
            <w:pPr>
              <w:spacing w:line="240" w:lineRule="exact"/>
              <w:rPr>
                <w:rFonts w:ascii="宋体" w:hAnsi="宋体" w:cs="宋体"/>
                <w:color w:val="auto"/>
                <w:highlight w:val="none"/>
                <w:lang w:eastAsia="zh-CN"/>
              </w:rPr>
            </w:pPr>
            <w:r>
              <w:rPr>
                <w:rFonts w:hint="eastAsia" w:ascii="宋体" w:hAnsi="宋体" w:cs="宋体"/>
                <w:color w:val="auto"/>
                <w:highlight w:val="none"/>
                <w:lang w:eastAsia="zh-CN"/>
              </w:rPr>
              <w:t>七、安全生产适用的新技术、新标准、新工艺、新装备的推广应用支出</w:t>
            </w:r>
          </w:p>
        </w:tc>
        <w:tc>
          <w:tcPr>
            <w:tcW w:w="851" w:type="dxa"/>
            <w:tcBorders>
              <w:top w:val="nil"/>
              <w:left w:val="nil"/>
              <w:bottom w:val="single" w:color="auto" w:sz="4" w:space="0"/>
              <w:right w:val="single" w:color="auto" w:sz="4" w:space="0"/>
            </w:tcBorders>
            <w:noWrap w:val="0"/>
            <w:vAlign w:val="bottom"/>
          </w:tcPr>
          <w:p w14:paraId="596B43DD">
            <w:pPr>
              <w:spacing w:line="240" w:lineRule="exact"/>
              <w:rPr>
                <w:rFonts w:ascii="宋体" w:hAnsi="宋体" w:cs="宋体"/>
                <w:color w:val="auto"/>
                <w:sz w:val="18"/>
                <w:szCs w:val="18"/>
                <w:highlight w:val="none"/>
                <w:lang w:eastAsia="zh-CN"/>
              </w:rPr>
            </w:pPr>
          </w:p>
        </w:tc>
        <w:tc>
          <w:tcPr>
            <w:tcW w:w="850" w:type="dxa"/>
            <w:tcBorders>
              <w:top w:val="nil"/>
              <w:left w:val="nil"/>
              <w:bottom w:val="single" w:color="auto" w:sz="4" w:space="0"/>
              <w:right w:val="single" w:color="auto" w:sz="4" w:space="0"/>
            </w:tcBorders>
            <w:noWrap w:val="0"/>
            <w:vAlign w:val="bottom"/>
          </w:tcPr>
          <w:p w14:paraId="10426ADF">
            <w:pPr>
              <w:spacing w:line="240" w:lineRule="exact"/>
              <w:ind w:firstLine="90" w:firstLineChars="50"/>
              <w:rPr>
                <w:rFonts w:ascii="宋体" w:hAnsi="宋体" w:cs="宋体"/>
                <w:color w:val="auto"/>
                <w:sz w:val="18"/>
                <w:szCs w:val="18"/>
                <w:highlight w:val="none"/>
                <w:lang w:eastAsia="zh-CN"/>
              </w:rPr>
            </w:pPr>
          </w:p>
        </w:tc>
        <w:tc>
          <w:tcPr>
            <w:tcW w:w="1165" w:type="dxa"/>
            <w:tcBorders>
              <w:top w:val="nil"/>
              <w:left w:val="nil"/>
              <w:bottom w:val="single" w:color="auto" w:sz="4" w:space="0"/>
              <w:right w:val="single" w:color="auto" w:sz="4" w:space="0"/>
            </w:tcBorders>
            <w:noWrap w:val="0"/>
            <w:vAlign w:val="bottom"/>
          </w:tcPr>
          <w:p w14:paraId="5EA0D3ED">
            <w:pPr>
              <w:spacing w:line="240" w:lineRule="exact"/>
              <w:rPr>
                <w:rFonts w:ascii="宋体" w:hAnsi="宋体" w:cs="宋体"/>
                <w:color w:val="auto"/>
                <w:sz w:val="18"/>
                <w:szCs w:val="18"/>
                <w:highlight w:val="none"/>
                <w:lang w:eastAsia="zh-CN"/>
              </w:rPr>
            </w:pPr>
          </w:p>
        </w:tc>
      </w:tr>
      <w:tr w14:paraId="6BCA638B">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4CF29AE0">
            <w:pPr>
              <w:spacing w:line="240" w:lineRule="exact"/>
              <w:rPr>
                <w:rFonts w:ascii="宋体" w:hAnsi="宋体" w:cs="宋体"/>
                <w:color w:val="auto"/>
                <w:highlight w:val="none"/>
                <w:lang w:eastAsia="zh-CN"/>
              </w:rPr>
            </w:pPr>
            <w:r>
              <w:rPr>
                <w:rFonts w:hint="eastAsia" w:ascii="宋体" w:hAnsi="宋体" w:cs="宋体"/>
                <w:color w:val="auto"/>
                <w:highlight w:val="none"/>
                <w:lang w:eastAsia="zh-CN"/>
              </w:rPr>
              <w:t>八、安全设施及特种设备检测检验支出</w:t>
            </w:r>
          </w:p>
        </w:tc>
        <w:tc>
          <w:tcPr>
            <w:tcW w:w="851" w:type="dxa"/>
            <w:tcBorders>
              <w:top w:val="nil"/>
              <w:left w:val="nil"/>
              <w:bottom w:val="single" w:color="auto" w:sz="4" w:space="0"/>
              <w:right w:val="single" w:color="auto" w:sz="4" w:space="0"/>
            </w:tcBorders>
            <w:noWrap w:val="0"/>
            <w:vAlign w:val="bottom"/>
          </w:tcPr>
          <w:p w14:paraId="03911577">
            <w:pPr>
              <w:spacing w:line="240" w:lineRule="exact"/>
              <w:rPr>
                <w:rFonts w:ascii="宋体" w:hAnsi="宋体" w:cs="宋体"/>
                <w:color w:val="auto"/>
                <w:sz w:val="18"/>
                <w:szCs w:val="18"/>
                <w:highlight w:val="none"/>
                <w:lang w:eastAsia="zh-CN"/>
              </w:rPr>
            </w:pPr>
          </w:p>
        </w:tc>
        <w:tc>
          <w:tcPr>
            <w:tcW w:w="850" w:type="dxa"/>
            <w:tcBorders>
              <w:top w:val="nil"/>
              <w:left w:val="nil"/>
              <w:bottom w:val="single" w:color="auto" w:sz="4" w:space="0"/>
              <w:right w:val="single" w:color="auto" w:sz="4" w:space="0"/>
            </w:tcBorders>
            <w:noWrap w:val="0"/>
            <w:vAlign w:val="bottom"/>
          </w:tcPr>
          <w:p w14:paraId="5E80CFAC">
            <w:pPr>
              <w:spacing w:line="240" w:lineRule="exact"/>
              <w:rPr>
                <w:rFonts w:ascii="宋体" w:hAnsi="宋体" w:cs="宋体"/>
                <w:color w:val="auto"/>
                <w:sz w:val="18"/>
                <w:szCs w:val="18"/>
                <w:highlight w:val="none"/>
                <w:lang w:eastAsia="zh-CN"/>
              </w:rPr>
            </w:pPr>
          </w:p>
        </w:tc>
        <w:tc>
          <w:tcPr>
            <w:tcW w:w="1165" w:type="dxa"/>
            <w:tcBorders>
              <w:top w:val="nil"/>
              <w:left w:val="nil"/>
              <w:bottom w:val="single" w:color="auto" w:sz="4" w:space="0"/>
              <w:right w:val="single" w:color="auto" w:sz="4" w:space="0"/>
            </w:tcBorders>
            <w:noWrap w:val="0"/>
            <w:vAlign w:val="bottom"/>
          </w:tcPr>
          <w:p w14:paraId="46AA50EE">
            <w:pPr>
              <w:spacing w:line="240" w:lineRule="exact"/>
              <w:rPr>
                <w:rFonts w:ascii="宋体" w:hAnsi="宋体" w:cs="宋体"/>
                <w:color w:val="auto"/>
                <w:sz w:val="18"/>
                <w:szCs w:val="18"/>
                <w:highlight w:val="none"/>
                <w:lang w:eastAsia="zh-CN"/>
              </w:rPr>
            </w:pPr>
          </w:p>
        </w:tc>
      </w:tr>
      <w:tr w14:paraId="6A6EEB1E">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3B9A4886">
            <w:pPr>
              <w:spacing w:line="240" w:lineRule="exact"/>
              <w:rPr>
                <w:rFonts w:ascii="宋体" w:hAnsi="宋体" w:cs="宋体"/>
                <w:color w:val="auto"/>
                <w:highlight w:val="none"/>
                <w:lang w:eastAsia="zh-CN"/>
              </w:rPr>
            </w:pPr>
            <w:r>
              <w:rPr>
                <w:rFonts w:hint="eastAsia" w:ascii="宋体" w:hAnsi="宋体" w:cs="宋体"/>
                <w:color w:val="auto"/>
                <w:highlight w:val="none"/>
                <w:lang w:eastAsia="zh-CN"/>
              </w:rPr>
              <w:t>（一）起重机、塔吊等起重吊装设备（含井字架、龙门架）与外用电梯的安全检测</w:t>
            </w:r>
          </w:p>
        </w:tc>
        <w:tc>
          <w:tcPr>
            <w:tcW w:w="851" w:type="dxa"/>
            <w:tcBorders>
              <w:top w:val="nil"/>
              <w:left w:val="nil"/>
              <w:bottom w:val="single" w:color="auto" w:sz="4" w:space="0"/>
              <w:right w:val="single" w:color="auto" w:sz="4" w:space="0"/>
            </w:tcBorders>
            <w:noWrap w:val="0"/>
            <w:vAlign w:val="bottom"/>
          </w:tcPr>
          <w:p w14:paraId="54CE2D3D">
            <w:pPr>
              <w:spacing w:line="240" w:lineRule="exact"/>
              <w:jc w:val="center"/>
              <w:rPr>
                <w:rFonts w:ascii="宋体" w:hAnsi="宋体" w:cs="宋体"/>
                <w:color w:val="auto"/>
                <w:sz w:val="18"/>
                <w:szCs w:val="18"/>
                <w:highlight w:val="none"/>
                <w:lang w:eastAsia="zh-CN"/>
              </w:rPr>
            </w:pPr>
          </w:p>
        </w:tc>
        <w:tc>
          <w:tcPr>
            <w:tcW w:w="850" w:type="dxa"/>
            <w:tcBorders>
              <w:top w:val="nil"/>
              <w:left w:val="nil"/>
              <w:bottom w:val="single" w:color="auto" w:sz="4" w:space="0"/>
              <w:right w:val="single" w:color="auto" w:sz="4" w:space="0"/>
            </w:tcBorders>
            <w:noWrap w:val="0"/>
            <w:vAlign w:val="bottom"/>
          </w:tcPr>
          <w:p w14:paraId="4ECBC724">
            <w:pPr>
              <w:spacing w:line="240" w:lineRule="exact"/>
              <w:jc w:val="center"/>
              <w:rPr>
                <w:rFonts w:ascii="宋体" w:hAnsi="宋体" w:cs="宋体"/>
                <w:color w:val="auto"/>
                <w:sz w:val="18"/>
                <w:szCs w:val="18"/>
                <w:highlight w:val="none"/>
                <w:lang w:eastAsia="zh-CN"/>
              </w:rPr>
            </w:pPr>
          </w:p>
        </w:tc>
        <w:tc>
          <w:tcPr>
            <w:tcW w:w="1165" w:type="dxa"/>
            <w:tcBorders>
              <w:top w:val="nil"/>
              <w:left w:val="nil"/>
              <w:bottom w:val="single" w:color="auto" w:sz="4" w:space="0"/>
              <w:right w:val="single" w:color="auto" w:sz="4" w:space="0"/>
            </w:tcBorders>
            <w:noWrap w:val="0"/>
            <w:vAlign w:val="bottom"/>
          </w:tcPr>
          <w:p w14:paraId="435F9C6B">
            <w:pPr>
              <w:spacing w:line="240" w:lineRule="exact"/>
              <w:jc w:val="center"/>
              <w:rPr>
                <w:rFonts w:ascii="宋体" w:hAnsi="宋体" w:cs="宋体"/>
                <w:color w:val="auto"/>
                <w:sz w:val="18"/>
                <w:szCs w:val="18"/>
                <w:highlight w:val="none"/>
                <w:lang w:eastAsia="zh-CN"/>
              </w:rPr>
            </w:pPr>
          </w:p>
        </w:tc>
      </w:tr>
      <w:tr w14:paraId="5FB08CC8">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145E7663">
            <w:pPr>
              <w:spacing w:line="240" w:lineRule="exact"/>
              <w:rPr>
                <w:rFonts w:ascii="宋体" w:hAnsi="宋体" w:cs="宋体"/>
                <w:color w:val="auto"/>
                <w:highlight w:val="none"/>
                <w:lang w:eastAsia="zh-CN"/>
              </w:rPr>
            </w:pPr>
            <w:r>
              <w:rPr>
                <w:rFonts w:hint="eastAsia" w:ascii="宋体" w:hAnsi="宋体" w:cs="宋体"/>
                <w:color w:val="auto"/>
                <w:highlight w:val="none"/>
                <w:lang w:eastAsia="zh-CN"/>
              </w:rPr>
              <w:t>（二）安全带、安全帽的检测</w:t>
            </w:r>
          </w:p>
        </w:tc>
        <w:tc>
          <w:tcPr>
            <w:tcW w:w="851" w:type="dxa"/>
            <w:tcBorders>
              <w:top w:val="nil"/>
              <w:left w:val="nil"/>
              <w:bottom w:val="single" w:color="auto" w:sz="4" w:space="0"/>
              <w:right w:val="single" w:color="auto" w:sz="4" w:space="0"/>
            </w:tcBorders>
            <w:noWrap w:val="0"/>
            <w:vAlign w:val="bottom"/>
          </w:tcPr>
          <w:p w14:paraId="217CF3DE">
            <w:pPr>
              <w:spacing w:line="240" w:lineRule="exact"/>
              <w:jc w:val="center"/>
              <w:rPr>
                <w:rFonts w:ascii="宋体" w:hAnsi="宋体" w:cs="宋体"/>
                <w:color w:val="auto"/>
                <w:sz w:val="18"/>
                <w:szCs w:val="18"/>
                <w:highlight w:val="none"/>
                <w:lang w:eastAsia="zh-CN"/>
              </w:rPr>
            </w:pPr>
          </w:p>
        </w:tc>
        <w:tc>
          <w:tcPr>
            <w:tcW w:w="850" w:type="dxa"/>
            <w:tcBorders>
              <w:top w:val="nil"/>
              <w:left w:val="nil"/>
              <w:bottom w:val="single" w:color="auto" w:sz="4" w:space="0"/>
              <w:right w:val="single" w:color="auto" w:sz="4" w:space="0"/>
            </w:tcBorders>
            <w:noWrap w:val="0"/>
            <w:vAlign w:val="bottom"/>
          </w:tcPr>
          <w:p w14:paraId="1371133D">
            <w:pPr>
              <w:spacing w:line="240" w:lineRule="exact"/>
              <w:jc w:val="center"/>
              <w:rPr>
                <w:rFonts w:ascii="宋体" w:hAnsi="宋体" w:cs="宋体"/>
                <w:color w:val="auto"/>
                <w:sz w:val="18"/>
                <w:szCs w:val="18"/>
                <w:highlight w:val="none"/>
                <w:lang w:eastAsia="zh-CN"/>
              </w:rPr>
            </w:pPr>
          </w:p>
        </w:tc>
        <w:tc>
          <w:tcPr>
            <w:tcW w:w="1165" w:type="dxa"/>
            <w:tcBorders>
              <w:top w:val="nil"/>
              <w:left w:val="nil"/>
              <w:bottom w:val="single" w:color="auto" w:sz="4" w:space="0"/>
              <w:right w:val="single" w:color="auto" w:sz="4" w:space="0"/>
            </w:tcBorders>
            <w:noWrap w:val="0"/>
            <w:vAlign w:val="bottom"/>
          </w:tcPr>
          <w:p w14:paraId="029487AA">
            <w:pPr>
              <w:spacing w:line="240" w:lineRule="exact"/>
              <w:jc w:val="center"/>
              <w:rPr>
                <w:rFonts w:ascii="宋体" w:hAnsi="宋体" w:cs="宋体"/>
                <w:color w:val="auto"/>
                <w:sz w:val="18"/>
                <w:szCs w:val="18"/>
                <w:highlight w:val="none"/>
                <w:lang w:eastAsia="zh-CN"/>
              </w:rPr>
            </w:pPr>
          </w:p>
        </w:tc>
      </w:tr>
      <w:tr w14:paraId="75E2484C">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6D414E70">
            <w:pPr>
              <w:spacing w:line="240" w:lineRule="exact"/>
              <w:rPr>
                <w:rFonts w:ascii="宋体" w:hAnsi="宋体" w:cs="宋体"/>
                <w:color w:val="auto"/>
                <w:highlight w:val="none"/>
              </w:rPr>
            </w:pPr>
            <w:r>
              <w:rPr>
                <w:rFonts w:hint="eastAsia" w:ascii="宋体" w:hAnsi="宋体" w:cs="宋体"/>
                <w:color w:val="auto"/>
                <w:highlight w:val="none"/>
              </w:rPr>
              <w:t>（三）安全网的检测</w:t>
            </w:r>
          </w:p>
        </w:tc>
        <w:tc>
          <w:tcPr>
            <w:tcW w:w="851" w:type="dxa"/>
            <w:tcBorders>
              <w:top w:val="nil"/>
              <w:left w:val="nil"/>
              <w:bottom w:val="single" w:color="auto" w:sz="4" w:space="0"/>
              <w:right w:val="single" w:color="auto" w:sz="4" w:space="0"/>
            </w:tcBorders>
            <w:noWrap w:val="0"/>
            <w:vAlign w:val="bottom"/>
          </w:tcPr>
          <w:p w14:paraId="75B5C687">
            <w:pPr>
              <w:spacing w:line="240" w:lineRule="exact"/>
              <w:jc w:val="center"/>
              <w:rPr>
                <w:rFonts w:ascii="宋体" w:hAnsi="宋体" w:cs="宋体"/>
                <w:color w:val="auto"/>
                <w:sz w:val="18"/>
                <w:szCs w:val="18"/>
                <w:highlight w:val="none"/>
              </w:rPr>
            </w:pPr>
          </w:p>
        </w:tc>
        <w:tc>
          <w:tcPr>
            <w:tcW w:w="850" w:type="dxa"/>
            <w:tcBorders>
              <w:top w:val="nil"/>
              <w:left w:val="nil"/>
              <w:bottom w:val="single" w:color="auto" w:sz="4" w:space="0"/>
              <w:right w:val="single" w:color="auto" w:sz="4" w:space="0"/>
            </w:tcBorders>
            <w:noWrap w:val="0"/>
            <w:vAlign w:val="bottom"/>
          </w:tcPr>
          <w:p w14:paraId="02FD8412">
            <w:pPr>
              <w:spacing w:line="240" w:lineRule="exact"/>
              <w:jc w:val="center"/>
              <w:rPr>
                <w:rFonts w:ascii="宋体" w:hAnsi="宋体" w:cs="宋体"/>
                <w:color w:val="auto"/>
                <w:sz w:val="18"/>
                <w:szCs w:val="18"/>
                <w:highlight w:val="none"/>
              </w:rPr>
            </w:pPr>
          </w:p>
        </w:tc>
        <w:tc>
          <w:tcPr>
            <w:tcW w:w="1165" w:type="dxa"/>
            <w:tcBorders>
              <w:top w:val="nil"/>
              <w:left w:val="nil"/>
              <w:bottom w:val="single" w:color="auto" w:sz="4" w:space="0"/>
              <w:right w:val="single" w:color="auto" w:sz="4" w:space="0"/>
            </w:tcBorders>
            <w:noWrap w:val="0"/>
            <w:vAlign w:val="bottom"/>
          </w:tcPr>
          <w:p w14:paraId="501678C9">
            <w:pPr>
              <w:spacing w:line="240" w:lineRule="exact"/>
              <w:jc w:val="center"/>
              <w:rPr>
                <w:rFonts w:ascii="宋体" w:hAnsi="宋体" w:cs="宋体"/>
                <w:color w:val="auto"/>
                <w:sz w:val="18"/>
                <w:szCs w:val="18"/>
                <w:highlight w:val="none"/>
              </w:rPr>
            </w:pPr>
          </w:p>
        </w:tc>
      </w:tr>
      <w:tr w14:paraId="0264E698">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306D168C">
            <w:pPr>
              <w:spacing w:line="240" w:lineRule="exact"/>
              <w:rPr>
                <w:rFonts w:ascii="宋体" w:hAnsi="宋体" w:cs="宋体"/>
                <w:color w:val="auto"/>
                <w:highlight w:val="none"/>
                <w:lang w:eastAsia="zh-CN"/>
              </w:rPr>
            </w:pPr>
            <w:r>
              <w:rPr>
                <w:rFonts w:hint="eastAsia" w:ascii="宋体" w:hAnsi="宋体" w:cs="宋体"/>
                <w:color w:val="auto"/>
                <w:highlight w:val="none"/>
                <w:lang w:eastAsia="zh-CN"/>
              </w:rPr>
              <w:t>（四）脚手架构件的检测</w:t>
            </w:r>
          </w:p>
        </w:tc>
        <w:tc>
          <w:tcPr>
            <w:tcW w:w="851" w:type="dxa"/>
            <w:tcBorders>
              <w:top w:val="nil"/>
              <w:left w:val="nil"/>
              <w:bottom w:val="single" w:color="auto" w:sz="4" w:space="0"/>
              <w:right w:val="single" w:color="auto" w:sz="4" w:space="0"/>
            </w:tcBorders>
            <w:noWrap w:val="0"/>
            <w:vAlign w:val="bottom"/>
          </w:tcPr>
          <w:p w14:paraId="52F98B20">
            <w:pPr>
              <w:spacing w:line="240" w:lineRule="exact"/>
              <w:jc w:val="center"/>
              <w:rPr>
                <w:rFonts w:ascii="宋体" w:hAnsi="宋体" w:cs="宋体"/>
                <w:color w:val="auto"/>
                <w:sz w:val="18"/>
                <w:szCs w:val="18"/>
                <w:highlight w:val="none"/>
                <w:lang w:eastAsia="zh-CN"/>
              </w:rPr>
            </w:pPr>
          </w:p>
        </w:tc>
        <w:tc>
          <w:tcPr>
            <w:tcW w:w="850" w:type="dxa"/>
            <w:tcBorders>
              <w:top w:val="nil"/>
              <w:left w:val="nil"/>
              <w:bottom w:val="single" w:color="auto" w:sz="4" w:space="0"/>
              <w:right w:val="single" w:color="auto" w:sz="4" w:space="0"/>
            </w:tcBorders>
            <w:noWrap w:val="0"/>
            <w:vAlign w:val="bottom"/>
          </w:tcPr>
          <w:p w14:paraId="09E2E9C1">
            <w:pPr>
              <w:spacing w:line="240" w:lineRule="exact"/>
              <w:jc w:val="center"/>
              <w:rPr>
                <w:rFonts w:ascii="宋体" w:hAnsi="宋体" w:cs="宋体"/>
                <w:color w:val="auto"/>
                <w:sz w:val="18"/>
                <w:szCs w:val="18"/>
                <w:highlight w:val="none"/>
                <w:lang w:eastAsia="zh-CN"/>
              </w:rPr>
            </w:pPr>
          </w:p>
        </w:tc>
        <w:tc>
          <w:tcPr>
            <w:tcW w:w="1165" w:type="dxa"/>
            <w:tcBorders>
              <w:top w:val="nil"/>
              <w:left w:val="nil"/>
              <w:bottom w:val="single" w:color="auto" w:sz="4" w:space="0"/>
              <w:right w:val="single" w:color="auto" w:sz="4" w:space="0"/>
            </w:tcBorders>
            <w:noWrap w:val="0"/>
            <w:vAlign w:val="bottom"/>
          </w:tcPr>
          <w:p w14:paraId="0361DD90">
            <w:pPr>
              <w:spacing w:line="240" w:lineRule="exact"/>
              <w:jc w:val="center"/>
              <w:rPr>
                <w:rFonts w:ascii="宋体" w:hAnsi="宋体" w:cs="宋体"/>
                <w:color w:val="auto"/>
                <w:sz w:val="18"/>
                <w:szCs w:val="18"/>
                <w:highlight w:val="none"/>
                <w:lang w:eastAsia="zh-CN"/>
              </w:rPr>
            </w:pPr>
          </w:p>
        </w:tc>
      </w:tr>
      <w:tr w14:paraId="0B314193">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005CAB0B">
            <w:pPr>
              <w:spacing w:line="240" w:lineRule="exact"/>
              <w:rPr>
                <w:rFonts w:ascii="宋体" w:hAnsi="宋体" w:cs="宋体"/>
                <w:color w:val="auto"/>
                <w:highlight w:val="none"/>
                <w:lang w:eastAsia="zh-CN"/>
              </w:rPr>
            </w:pPr>
            <w:r>
              <w:rPr>
                <w:rFonts w:hint="eastAsia" w:ascii="宋体" w:hAnsi="宋体" w:cs="宋体"/>
                <w:color w:val="auto"/>
                <w:highlight w:val="none"/>
                <w:lang w:eastAsia="zh-CN"/>
              </w:rPr>
              <w:t>九、安全生产责任保险支出</w:t>
            </w:r>
          </w:p>
        </w:tc>
        <w:tc>
          <w:tcPr>
            <w:tcW w:w="851" w:type="dxa"/>
            <w:tcBorders>
              <w:top w:val="nil"/>
              <w:left w:val="nil"/>
              <w:bottom w:val="single" w:color="auto" w:sz="4" w:space="0"/>
              <w:right w:val="single" w:color="auto" w:sz="4" w:space="0"/>
            </w:tcBorders>
            <w:noWrap w:val="0"/>
            <w:vAlign w:val="bottom"/>
          </w:tcPr>
          <w:p w14:paraId="15D29E51">
            <w:pPr>
              <w:spacing w:line="240" w:lineRule="exact"/>
              <w:rPr>
                <w:rFonts w:ascii="宋体" w:hAnsi="宋体" w:cs="宋体"/>
                <w:color w:val="auto"/>
                <w:sz w:val="18"/>
                <w:szCs w:val="18"/>
                <w:highlight w:val="none"/>
                <w:lang w:eastAsia="zh-CN"/>
              </w:rPr>
            </w:pPr>
          </w:p>
        </w:tc>
        <w:tc>
          <w:tcPr>
            <w:tcW w:w="850" w:type="dxa"/>
            <w:tcBorders>
              <w:top w:val="nil"/>
              <w:left w:val="nil"/>
              <w:bottom w:val="single" w:color="auto" w:sz="4" w:space="0"/>
              <w:right w:val="single" w:color="auto" w:sz="4" w:space="0"/>
            </w:tcBorders>
            <w:noWrap w:val="0"/>
            <w:vAlign w:val="bottom"/>
          </w:tcPr>
          <w:p w14:paraId="7CA38F30">
            <w:pPr>
              <w:spacing w:line="240" w:lineRule="exact"/>
              <w:rPr>
                <w:rFonts w:ascii="宋体" w:hAnsi="宋体" w:cs="宋体"/>
                <w:color w:val="auto"/>
                <w:sz w:val="18"/>
                <w:szCs w:val="18"/>
                <w:highlight w:val="none"/>
                <w:lang w:eastAsia="zh-CN"/>
              </w:rPr>
            </w:pPr>
          </w:p>
        </w:tc>
        <w:tc>
          <w:tcPr>
            <w:tcW w:w="1165" w:type="dxa"/>
            <w:tcBorders>
              <w:top w:val="nil"/>
              <w:left w:val="nil"/>
              <w:bottom w:val="single" w:color="auto" w:sz="4" w:space="0"/>
              <w:right w:val="single" w:color="auto" w:sz="4" w:space="0"/>
            </w:tcBorders>
            <w:noWrap w:val="0"/>
            <w:vAlign w:val="bottom"/>
          </w:tcPr>
          <w:p w14:paraId="07A8EA34">
            <w:pPr>
              <w:spacing w:line="240" w:lineRule="exact"/>
              <w:rPr>
                <w:rFonts w:ascii="宋体" w:hAnsi="宋体" w:cs="宋体"/>
                <w:color w:val="auto"/>
                <w:sz w:val="18"/>
                <w:szCs w:val="18"/>
                <w:highlight w:val="none"/>
                <w:lang w:eastAsia="zh-CN"/>
              </w:rPr>
            </w:pPr>
          </w:p>
        </w:tc>
      </w:tr>
      <w:tr w14:paraId="35251B2C">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4BC88B78">
            <w:pPr>
              <w:spacing w:line="240" w:lineRule="exact"/>
              <w:rPr>
                <w:rFonts w:ascii="宋体" w:hAnsi="宋体" w:cs="宋体"/>
                <w:color w:val="auto"/>
                <w:highlight w:val="none"/>
                <w:lang w:eastAsia="zh-CN"/>
              </w:rPr>
            </w:pPr>
            <w:r>
              <w:rPr>
                <w:rFonts w:hint="eastAsia" w:ascii="宋体" w:hAnsi="宋体" w:cs="宋体"/>
                <w:color w:val="auto"/>
                <w:highlight w:val="none"/>
                <w:lang w:eastAsia="zh-CN"/>
              </w:rPr>
              <w:t>十、法律法规及相关标准规定按安全文明施工费计取的其他项目</w:t>
            </w:r>
          </w:p>
        </w:tc>
        <w:tc>
          <w:tcPr>
            <w:tcW w:w="851" w:type="dxa"/>
            <w:tcBorders>
              <w:top w:val="nil"/>
              <w:left w:val="nil"/>
              <w:bottom w:val="single" w:color="auto" w:sz="4" w:space="0"/>
              <w:right w:val="single" w:color="auto" w:sz="4" w:space="0"/>
            </w:tcBorders>
            <w:noWrap w:val="0"/>
            <w:vAlign w:val="bottom"/>
          </w:tcPr>
          <w:p w14:paraId="67A00940">
            <w:pPr>
              <w:spacing w:line="240" w:lineRule="exact"/>
              <w:rPr>
                <w:rFonts w:ascii="宋体" w:hAnsi="宋体" w:cs="宋体"/>
                <w:color w:val="auto"/>
                <w:sz w:val="18"/>
                <w:szCs w:val="18"/>
                <w:highlight w:val="none"/>
                <w:lang w:eastAsia="zh-CN"/>
              </w:rPr>
            </w:pPr>
          </w:p>
        </w:tc>
        <w:tc>
          <w:tcPr>
            <w:tcW w:w="850" w:type="dxa"/>
            <w:tcBorders>
              <w:top w:val="nil"/>
              <w:left w:val="nil"/>
              <w:bottom w:val="single" w:color="auto" w:sz="4" w:space="0"/>
              <w:right w:val="single" w:color="auto" w:sz="4" w:space="0"/>
            </w:tcBorders>
            <w:noWrap w:val="0"/>
            <w:vAlign w:val="bottom"/>
          </w:tcPr>
          <w:p w14:paraId="4753B694">
            <w:pPr>
              <w:spacing w:line="240" w:lineRule="exact"/>
              <w:rPr>
                <w:rFonts w:ascii="宋体" w:hAnsi="宋体" w:cs="宋体"/>
                <w:color w:val="auto"/>
                <w:sz w:val="18"/>
                <w:szCs w:val="18"/>
                <w:highlight w:val="none"/>
                <w:lang w:eastAsia="zh-CN"/>
              </w:rPr>
            </w:pPr>
          </w:p>
        </w:tc>
        <w:tc>
          <w:tcPr>
            <w:tcW w:w="1165" w:type="dxa"/>
            <w:tcBorders>
              <w:top w:val="nil"/>
              <w:left w:val="nil"/>
              <w:bottom w:val="single" w:color="auto" w:sz="4" w:space="0"/>
              <w:right w:val="single" w:color="auto" w:sz="4" w:space="0"/>
            </w:tcBorders>
            <w:noWrap w:val="0"/>
            <w:vAlign w:val="bottom"/>
          </w:tcPr>
          <w:p w14:paraId="49440EA7">
            <w:pPr>
              <w:spacing w:line="240" w:lineRule="exact"/>
              <w:rPr>
                <w:rFonts w:ascii="宋体" w:hAnsi="宋体" w:cs="宋体"/>
                <w:color w:val="auto"/>
                <w:sz w:val="18"/>
                <w:szCs w:val="18"/>
                <w:highlight w:val="none"/>
                <w:lang w:eastAsia="zh-CN"/>
              </w:rPr>
            </w:pPr>
          </w:p>
        </w:tc>
      </w:tr>
      <w:tr w14:paraId="6B998B47">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1D58725E">
            <w:pPr>
              <w:spacing w:line="240" w:lineRule="exact"/>
              <w:rPr>
                <w:rFonts w:ascii="宋体" w:hAnsi="宋体" w:cs="宋体"/>
                <w:color w:val="auto"/>
                <w:highlight w:val="none"/>
              </w:rPr>
            </w:pPr>
            <w:r>
              <w:rPr>
                <w:rFonts w:hint="eastAsia" w:ascii="宋体" w:hAnsi="宋体" w:cs="宋体"/>
                <w:color w:val="auto"/>
                <w:highlight w:val="none"/>
              </w:rPr>
              <w:t>（一）脚手架工程费</w:t>
            </w:r>
          </w:p>
        </w:tc>
        <w:tc>
          <w:tcPr>
            <w:tcW w:w="851" w:type="dxa"/>
            <w:tcBorders>
              <w:top w:val="nil"/>
              <w:left w:val="nil"/>
              <w:bottom w:val="single" w:color="auto" w:sz="4" w:space="0"/>
              <w:right w:val="single" w:color="auto" w:sz="4" w:space="0"/>
            </w:tcBorders>
            <w:noWrap w:val="0"/>
            <w:vAlign w:val="bottom"/>
          </w:tcPr>
          <w:p w14:paraId="431D363A">
            <w:pPr>
              <w:spacing w:line="240" w:lineRule="exact"/>
              <w:rPr>
                <w:rFonts w:ascii="宋体" w:hAnsi="宋体" w:cs="宋体"/>
                <w:color w:val="auto"/>
                <w:sz w:val="18"/>
                <w:szCs w:val="18"/>
                <w:highlight w:val="none"/>
              </w:rPr>
            </w:pPr>
          </w:p>
        </w:tc>
        <w:tc>
          <w:tcPr>
            <w:tcW w:w="850" w:type="dxa"/>
            <w:tcBorders>
              <w:top w:val="nil"/>
              <w:left w:val="nil"/>
              <w:bottom w:val="single" w:color="auto" w:sz="4" w:space="0"/>
              <w:right w:val="single" w:color="auto" w:sz="4" w:space="0"/>
            </w:tcBorders>
            <w:noWrap w:val="0"/>
            <w:vAlign w:val="bottom"/>
          </w:tcPr>
          <w:p w14:paraId="33513F66">
            <w:pPr>
              <w:spacing w:line="240" w:lineRule="exact"/>
              <w:rPr>
                <w:rFonts w:ascii="宋体" w:hAnsi="宋体" w:cs="宋体"/>
                <w:color w:val="auto"/>
                <w:sz w:val="18"/>
                <w:szCs w:val="18"/>
                <w:highlight w:val="none"/>
              </w:rPr>
            </w:pPr>
          </w:p>
        </w:tc>
        <w:tc>
          <w:tcPr>
            <w:tcW w:w="1165" w:type="dxa"/>
            <w:tcBorders>
              <w:top w:val="nil"/>
              <w:left w:val="nil"/>
              <w:bottom w:val="single" w:color="auto" w:sz="4" w:space="0"/>
              <w:right w:val="single" w:color="auto" w:sz="4" w:space="0"/>
            </w:tcBorders>
            <w:noWrap w:val="0"/>
            <w:vAlign w:val="bottom"/>
          </w:tcPr>
          <w:p w14:paraId="0AD5B8C8">
            <w:pPr>
              <w:spacing w:line="240" w:lineRule="exact"/>
              <w:rPr>
                <w:rFonts w:ascii="宋体" w:hAnsi="宋体" w:cs="宋体"/>
                <w:color w:val="auto"/>
                <w:sz w:val="18"/>
                <w:szCs w:val="18"/>
                <w:highlight w:val="none"/>
              </w:rPr>
            </w:pPr>
          </w:p>
        </w:tc>
      </w:tr>
      <w:tr w14:paraId="29D969D5">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282FC72D">
            <w:pPr>
              <w:spacing w:line="240" w:lineRule="exact"/>
              <w:rPr>
                <w:rFonts w:ascii="宋体" w:hAnsi="宋体" w:cs="宋体"/>
                <w:color w:val="auto"/>
                <w:highlight w:val="none"/>
                <w:lang w:eastAsia="zh-CN"/>
              </w:rPr>
            </w:pPr>
            <w:r>
              <w:rPr>
                <w:rFonts w:hint="eastAsia" w:ascii="宋体" w:hAnsi="宋体" w:cs="宋体"/>
                <w:color w:val="auto"/>
                <w:highlight w:val="none"/>
                <w:lang w:eastAsia="zh-CN"/>
              </w:rPr>
              <w:t>（二）模板支撑架工程费（如清单中有计量）</w:t>
            </w:r>
          </w:p>
        </w:tc>
        <w:tc>
          <w:tcPr>
            <w:tcW w:w="851" w:type="dxa"/>
            <w:tcBorders>
              <w:top w:val="nil"/>
              <w:left w:val="nil"/>
              <w:bottom w:val="single" w:color="auto" w:sz="4" w:space="0"/>
              <w:right w:val="single" w:color="auto" w:sz="4" w:space="0"/>
            </w:tcBorders>
            <w:noWrap w:val="0"/>
            <w:vAlign w:val="bottom"/>
          </w:tcPr>
          <w:p w14:paraId="3CBDF1E8">
            <w:pPr>
              <w:spacing w:line="240" w:lineRule="exact"/>
              <w:rPr>
                <w:rFonts w:ascii="宋体" w:hAnsi="宋体" w:cs="宋体"/>
                <w:color w:val="auto"/>
                <w:sz w:val="18"/>
                <w:szCs w:val="18"/>
                <w:highlight w:val="none"/>
                <w:lang w:eastAsia="zh-CN"/>
              </w:rPr>
            </w:pPr>
          </w:p>
        </w:tc>
        <w:tc>
          <w:tcPr>
            <w:tcW w:w="850" w:type="dxa"/>
            <w:tcBorders>
              <w:top w:val="nil"/>
              <w:left w:val="nil"/>
              <w:bottom w:val="single" w:color="auto" w:sz="4" w:space="0"/>
              <w:right w:val="single" w:color="auto" w:sz="4" w:space="0"/>
            </w:tcBorders>
            <w:noWrap w:val="0"/>
            <w:vAlign w:val="bottom"/>
          </w:tcPr>
          <w:p w14:paraId="2175AB7E">
            <w:pPr>
              <w:spacing w:line="240" w:lineRule="exact"/>
              <w:rPr>
                <w:rFonts w:ascii="宋体" w:hAnsi="宋体" w:cs="宋体"/>
                <w:color w:val="auto"/>
                <w:sz w:val="18"/>
                <w:szCs w:val="18"/>
                <w:highlight w:val="none"/>
                <w:lang w:eastAsia="zh-CN"/>
              </w:rPr>
            </w:pPr>
          </w:p>
        </w:tc>
        <w:tc>
          <w:tcPr>
            <w:tcW w:w="1165" w:type="dxa"/>
            <w:tcBorders>
              <w:top w:val="nil"/>
              <w:left w:val="nil"/>
              <w:bottom w:val="single" w:color="auto" w:sz="4" w:space="0"/>
              <w:right w:val="single" w:color="auto" w:sz="4" w:space="0"/>
            </w:tcBorders>
            <w:noWrap w:val="0"/>
            <w:vAlign w:val="bottom"/>
          </w:tcPr>
          <w:p w14:paraId="63513175">
            <w:pPr>
              <w:spacing w:line="240" w:lineRule="exact"/>
              <w:rPr>
                <w:rFonts w:ascii="宋体" w:hAnsi="宋体" w:cs="宋体"/>
                <w:color w:val="auto"/>
                <w:sz w:val="18"/>
                <w:szCs w:val="18"/>
                <w:highlight w:val="none"/>
                <w:lang w:eastAsia="zh-CN"/>
              </w:rPr>
            </w:pPr>
          </w:p>
        </w:tc>
      </w:tr>
      <w:tr w14:paraId="32A64D87">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6F3E1593">
            <w:pPr>
              <w:spacing w:line="240" w:lineRule="exact"/>
              <w:rPr>
                <w:rFonts w:ascii="宋体" w:hAnsi="宋体" w:cs="宋体"/>
                <w:color w:val="auto"/>
                <w:highlight w:val="none"/>
                <w:lang w:eastAsia="zh-CN"/>
              </w:rPr>
            </w:pPr>
            <w:r>
              <w:rPr>
                <w:rFonts w:hint="eastAsia" w:ascii="宋体" w:hAnsi="宋体" w:cs="宋体"/>
                <w:color w:val="auto"/>
                <w:highlight w:val="none"/>
                <w:lang w:eastAsia="zh-CN"/>
              </w:rPr>
              <w:t>（三）起重设备基础工程费（如清单中有计量）</w:t>
            </w:r>
          </w:p>
        </w:tc>
        <w:tc>
          <w:tcPr>
            <w:tcW w:w="851" w:type="dxa"/>
            <w:tcBorders>
              <w:top w:val="nil"/>
              <w:left w:val="nil"/>
              <w:bottom w:val="single" w:color="auto" w:sz="4" w:space="0"/>
              <w:right w:val="single" w:color="auto" w:sz="4" w:space="0"/>
            </w:tcBorders>
            <w:noWrap w:val="0"/>
            <w:vAlign w:val="bottom"/>
          </w:tcPr>
          <w:p w14:paraId="39924113">
            <w:pPr>
              <w:spacing w:line="240" w:lineRule="exact"/>
              <w:rPr>
                <w:rFonts w:ascii="宋体" w:hAnsi="宋体" w:cs="宋体"/>
                <w:color w:val="auto"/>
                <w:sz w:val="18"/>
                <w:szCs w:val="18"/>
                <w:highlight w:val="none"/>
                <w:lang w:eastAsia="zh-CN"/>
              </w:rPr>
            </w:pPr>
          </w:p>
        </w:tc>
        <w:tc>
          <w:tcPr>
            <w:tcW w:w="850" w:type="dxa"/>
            <w:tcBorders>
              <w:top w:val="nil"/>
              <w:left w:val="nil"/>
              <w:bottom w:val="single" w:color="auto" w:sz="4" w:space="0"/>
              <w:right w:val="single" w:color="auto" w:sz="4" w:space="0"/>
            </w:tcBorders>
            <w:noWrap w:val="0"/>
            <w:vAlign w:val="bottom"/>
          </w:tcPr>
          <w:p w14:paraId="7C9542F5">
            <w:pPr>
              <w:spacing w:line="240" w:lineRule="exact"/>
              <w:rPr>
                <w:rFonts w:ascii="宋体" w:hAnsi="宋体" w:cs="宋体"/>
                <w:color w:val="auto"/>
                <w:sz w:val="18"/>
                <w:szCs w:val="18"/>
                <w:highlight w:val="none"/>
                <w:lang w:eastAsia="zh-CN"/>
              </w:rPr>
            </w:pPr>
          </w:p>
        </w:tc>
        <w:tc>
          <w:tcPr>
            <w:tcW w:w="1165" w:type="dxa"/>
            <w:tcBorders>
              <w:top w:val="nil"/>
              <w:left w:val="nil"/>
              <w:bottom w:val="single" w:color="auto" w:sz="4" w:space="0"/>
              <w:right w:val="single" w:color="auto" w:sz="4" w:space="0"/>
            </w:tcBorders>
            <w:noWrap w:val="0"/>
            <w:vAlign w:val="bottom"/>
          </w:tcPr>
          <w:p w14:paraId="16E6AA5C">
            <w:pPr>
              <w:spacing w:line="240" w:lineRule="exact"/>
              <w:rPr>
                <w:rFonts w:ascii="宋体" w:hAnsi="宋体" w:cs="宋体"/>
                <w:color w:val="auto"/>
                <w:sz w:val="18"/>
                <w:szCs w:val="18"/>
                <w:highlight w:val="none"/>
                <w:lang w:eastAsia="zh-CN"/>
              </w:rPr>
            </w:pPr>
          </w:p>
        </w:tc>
      </w:tr>
      <w:tr w14:paraId="00FE768E">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04CA5199">
            <w:pPr>
              <w:spacing w:line="240" w:lineRule="exact"/>
              <w:rPr>
                <w:rFonts w:ascii="宋体" w:hAnsi="宋体" w:cs="宋体"/>
                <w:color w:val="auto"/>
                <w:highlight w:val="none"/>
                <w:lang w:eastAsia="zh-CN"/>
              </w:rPr>
            </w:pPr>
            <w:r>
              <w:rPr>
                <w:rFonts w:hint="eastAsia" w:ascii="宋体" w:hAnsi="宋体" w:cs="宋体"/>
                <w:color w:val="auto"/>
                <w:highlight w:val="none"/>
                <w:lang w:eastAsia="zh-CN"/>
              </w:rPr>
              <w:t>十一、其他与绿色施工、文明施工、环境保护及安全生产直接相关的支出（含支付给分包单位的安全生产费用）</w:t>
            </w:r>
          </w:p>
        </w:tc>
        <w:tc>
          <w:tcPr>
            <w:tcW w:w="851" w:type="dxa"/>
            <w:tcBorders>
              <w:top w:val="nil"/>
              <w:left w:val="nil"/>
              <w:bottom w:val="single" w:color="auto" w:sz="4" w:space="0"/>
              <w:right w:val="single" w:color="auto" w:sz="4" w:space="0"/>
            </w:tcBorders>
            <w:noWrap w:val="0"/>
            <w:vAlign w:val="bottom"/>
          </w:tcPr>
          <w:p w14:paraId="29851FAB">
            <w:pPr>
              <w:spacing w:line="240" w:lineRule="exact"/>
              <w:jc w:val="center"/>
              <w:rPr>
                <w:rFonts w:ascii="宋体" w:hAnsi="宋体" w:cs="宋体"/>
                <w:color w:val="auto"/>
                <w:sz w:val="18"/>
                <w:szCs w:val="18"/>
                <w:highlight w:val="none"/>
                <w:lang w:eastAsia="zh-CN"/>
              </w:rPr>
            </w:pPr>
          </w:p>
        </w:tc>
        <w:tc>
          <w:tcPr>
            <w:tcW w:w="850" w:type="dxa"/>
            <w:tcBorders>
              <w:top w:val="nil"/>
              <w:left w:val="nil"/>
              <w:bottom w:val="single" w:color="auto" w:sz="4" w:space="0"/>
              <w:right w:val="single" w:color="auto" w:sz="4" w:space="0"/>
            </w:tcBorders>
            <w:noWrap w:val="0"/>
            <w:vAlign w:val="bottom"/>
          </w:tcPr>
          <w:p w14:paraId="7227FD54">
            <w:pPr>
              <w:spacing w:line="240" w:lineRule="exact"/>
              <w:jc w:val="center"/>
              <w:rPr>
                <w:rFonts w:ascii="宋体" w:hAnsi="宋体" w:cs="宋体"/>
                <w:color w:val="auto"/>
                <w:sz w:val="18"/>
                <w:szCs w:val="18"/>
                <w:highlight w:val="none"/>
                <w:lang w:eastAsia="zh-CN"/>
              </w:rPr>
            </w:pPr>
          </w:p>
        </w:tc>
        <w:tc>
          <w:tcPr>
            <w:tcW w:w="1165" w:type="dxa"/>
            <w:tcBorders>
              <w:top w:val="nil"/>
              <w:left w:val="nil"/>
              <w:bottom w:val="single" w:color="auto" w:sz="4" w:space="0"/>
              <w:right w:val="single" w:color="auto" w:sz="4" w:space="0"/>
            </w:tcBorders>
            <w:noWrap w:val="0"/>
            <w:vAlign w:val="bottom"/>
          </w:tcPr>
          <w:p w14:paraId="57B1CD5E">
            <w:pPr>
              <w:spacing w:line="240" w:lineRule="exact"/>
              <w:jc w:val="center"/>
              <w:rPr>
                <w:rFonts w:ascii="宋体" w:hAnsi="宋体" w:cs="宋体"/>
                <w:color w:val="auto"/>
                <w:sz w:val="18"/>
                <w:szCs w:val="18"/>
                <w:highlight w:val="none"/>
                <w:lang w:eastAsia="zh-CN"/>
              </w:rPr>
            </w:pPr>
          </w:p>
        </w:tc>
      </w:tr>
      <w:tr w14:paraId="101ECB51">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7A637ACA">
            <w:pPr>
              <w:spacing w:line="240" w:lineRule="exact"/>
              <w:rPr>
                <w:rFonts w:ascii="宋体" w:hAnsi="宋体" w:cs="宋体"/>
                <w:color w:val="auto"/>
                <w:highlight w:val="none"/>
              </w:rPr>
            </w:pPr>
            <w:r>
              <w:rPr>
                <w:rFonts w:hint="eastAsia" w:ascii="宋体" w:hAnsi="宋体" w:cs="宋体"/>
                <w:color w:val="auto"/>
                <w:highlight w:val="none"/>
              </w:rPr>
              <w:t>费用合计</w:t>
            </w:r>
          </w:p>
        </w:tc>
        <w:tc>
          <w:tcPr>
            <w:tcW w:w="851" w:type="dxa"/>
            <w:tcBorders>
              <w:top w:val="nil"/>
              <w:left w:val="nil"/>
              <w:bottom w:val="single" w:color="auto" w:sz="4" w:space="0"/>
              <w:right w:val="single" w:color="auto" w:sz="4" w:space="0"/>
            </w:tcBorders>
            <w:noWrap w:val="0"/>
            <w:vAlign w:val="bottom"/>
          </w:tcPr>
          <w:p w14:paraId="4B9BE48B">
            <w:pPr>
              <w:spacing w:line="240" w:lineRule="exact"/>
              <w:jc w:val="center"/>
              <w:rPr>
                <w:rFonts w:ascii="宋体" w:hAnsi="宋体" w:cs="宋体"/>
                <w:color w:val="auto"/>
                <w:sz w:val="18"/>
                <w:szCs w:val="18"/>
                <w:highlight w:val="none"/>
              </w:rPr>
            </w:pPr>
          </w:p>
        </w:tc>
        <w:tc>
          <w:tcPr>
            <w:tcW w:w="850" w:type="dxa"/>
            <w:tcBorders>
              <w:top w:val="nil"/>
              <w:left w:val="nil"/>
              <w:bottom w:val="single" w:color="auto" w:sz="4" w:space="0"/>
              <w:right w:val="single" w:color="auto" w:sz="4" w:space="0"/>
            </w:tcBorders>
            <w:noWrap w:val="0"/>
            <w:vAlign w:val="bottom"/>
          </w:tcPr>
          <w:p w14:paraId="0A5DC6D9">
            <w:pPr>
              <w:spacing w:line="240" w:lineRule="exact"/>
              <w:jc w:val="center"/>
              <w:rPr>
                <w:rFonts w:ascii="宋体" w:hAnsi="宋体" w:cs="宋体"/>
                <w:color w:val="auto"/>
                <w:sz w:val="18"/>
                <w:szCs w:val="18"/>
                <w:highlight w:val="none"/>
              </w:rPr>
            </w:pPr>
          </w:p>
        </w:tc>
        <w:tc>
          <w:tcPr>
            <w:tcW w:w="1165" w:type="dxa"/>
            <w:tcBorders>
              <w:top w:val="nil"/>
              <w:left w:val="nil"/>
              <w:bottom w:val="single" w:color="auto" w:sz="4" w:space="0"/>
              <w:right w:val="single" w:color="auto" w:sz="4" w:space="0"/>
            </w:tcBorders>
            <w:noWrap w:val="0"/>
            <w:vAlign w:val="bottom"/>
          </w:tcPr>
          <w:p w14:paraId="059A6C79">
            <w:pPr>
              <w:spacing w:line="240" w:lineRule="exact"/>
              <w:jc w:val="center"/>
              <w:rPr>
                <w:rFonts w:ascii="宋体" w:hAnsi="宋体" w:cs="宋体"/>
                <w:color w:val="auto"/>
                <w:sz w:val="18"/>
                <w:szCs w:val="18"/>
                <w:highlight w:val="none"/>
              </w:rPr>
            </w:pPr>
          </w:p>
        </w:tc>
      </w:tr>
      <w:tr w14:paraId="1F35A75B">
        <w:tblPrEx>
          <w:tblCellMar>
            <w:top w:w="0" w:type="dxa"/>
            <w:left w:w="108" w:type="dxa"/>
            <w:bottom w:w="0" w:type="dxa"/>
            <w:right w:w="108" w:type="dxa"/>
          </w:tblCellMar>
        </w:tblPrEx>
        <w:trPr>
          <w:trHeight w:val="480" w:hRule="atLeast"/>
          <w:jc w:val="center"/>
        </w:trPr>
        <w:tc>
          <w:tcPr>
            <w:tcW w:w="4683" w:type="dxa"/>
            <w:tcBorders>
              <w:top w:val="nil"/>
              <w:left w:val="single" w:color="auto" w:sz="4" w:space="0"/>
              <w:bottom w:val="single" w:color="auto" w:sz="4" w:space="0"/>
              <w:right w:val="single" w:color="auto" w:sz="4" w:space="0"/>
            </w:tcBorders>
            <w:noWrap w:val="0"/>
            <w:vAlign w:val="top"/>
          </w:tcPr>
          <w:p w14:paraId="410DB9D8">
            <w:pPr>
              <w:rPr>
                <w:rFonts w:ascii="宋体" w:hAnsi="宋体" w:cs="宋体"/>
                <w:color w:val="auto"/>
                <w:highlight w:val="none"/>
                <w:lang w:eastAsia="zh-CN"/>
              </w:rPr>
            </w:pPr>
            <w:r>
              <w:rPr>
                <w:rFonts w:hint="eastAsia" w:ascii="宋体" w:hAnsi="宋体" w:cs="宋体"/>
                <w:color w:val="auto"/>
                <w:highlight w:val="none"/>
                <w:lang w:eastAsia="zh-CN"/>
              </w:rPr>
              <w:t>施工单位：</w:t>
            </w:r>
          </w:p>
          <w:p w14:paraId="30CFA972">
            <w:pPr>
              <w:rPr>
                <w:rFonts w:ascii="宋体" w:hAnsi="宋体" w:cs="宋体"/>
                <w:color w:val="auto"/>
                <w:highlight w:val="none"/>
                <w:lang w:eastAsia="zh-CN"/>
              </w:rPr>
            </w:pPr>
          </w:p>
          <w:p w14:paraId="3C738731">
            <w:pPr>
              <w:rPr>
                <w:rFonts w:ascii="宋体" w:hAnsi="宋体" w:cs="宋体"/>
                <w:color w:val="auto"/>
                <w:highlight w:val="none"/>
                <w:lang w:eastAsia="zh-CN"/>
              </w:rPr>
            </w:pPr>
            <w:r>
              <w:rPr>
                <w:rFonts w:hint="eastAsia" w:ascii="宋体" w:hAnsi="宋体" w:cs="宋体"/>
                <w:color w:val="auto"/>
                <w:highlight w:val="none"/>
                <w:lang w:eastAsia="zh-CN"/>
              </w:rPr>
              <w:t>签字：</w:t>
            </w:r>
          </w:p>
          <w:p w14:paraId="4F266386">
            <w:pPr>
              <w:rPr>
                <w:rFonts w:ascii="宋体" w:hAnsi="宋体" w:cs="宋体"/>
                <w:color w:val="auto"/>
                <w:highlight w:val="none"/>
                <w:lang w:eastAsia="zh-CN"/>
              </w:rPr>
            </w:pPr>
          </w:p>
          <w:p w14:paraId="30515223">
            <w:pPr>
              <w:spacing w:line="240" w:lineRule="exact"/>
              <w:jc w:val="center"/>
              <w:rPr>
                <w:rFonts w:ascii="宋体" w:hAnsi="宋体" w:cs="宋体"/>
                <w:color w:val="auto"/>
                <w:sz w:val="18"/>
                <w:szCs w:val="18"/>
                <w:highlight w:val="none"/>
                <w:lang w:eastAsia="zh-CN"/>
              </w:rPr>
            </w:pPr>
            <w:r>
              <w:rPr>
                <w:rFonts w:hint="eastAsia" w:ascii="宋体" w:hAnsi="宋体" w:cs="宋体"/>
                <w:color w:val="auto"/>
                <w:highlight w:val="none"/>
                <w:lang w:eastAsia="zh-CN"/>
              </w:rPr>
              <w:t xml:space="preserve">                        年  月  日</w:t>
            </w:r>
          </w:p>
        </w:tc>
        <w:tc>
          <w:tcPr>
            <w:tcW w:w="4557" w:type="dxa"/>
            <w:gridSpan w:val="4"/>
            <w:tcBorders>
              <w:top w:val="nil"/>
              <w:left w:val="single" w:color="auto" w:sz="4" w:space="0"/>
              <w:bottom w:val="single" w:color="auto" w:sz="4" w:space="0"/>
              <w:right w:val="single" w:color="auto" w:sz="4" w:space="0"/>
            </w:tcBorders>
            <w:noWrap w:val="0"/>
            <w:vAlign w:val="top"/>
          </w:tcPr>
          <w:p w14:paraId="6D5D9777">
            <w:pPr>
              <w:rPr>
                <w:rFonts w:ascii="宋体" w:hAnsi="宋体" w:cs="宋体"/>
                <w:color w:val="auto"/>
                <w:highlight w:val="none"/>
                <w:lang w:eastAsia="zh-CN"/>
              </w:rPr>
            </w:pPr>
            <w:r>
              <w:rPr>
                <w:rFonts w:hint="eastAsia" w:ascii="宋体" w:hAnsi="宋体" w:cs="宋体"/>
                <w:color w:val="auto"/>
                <w:highlight w:val="none"/>
                <w:lang w:eastAsia="zh-CN"/>
              </w:rPr>
              <w:t>监理单位：</w:t>
            </w:r>
          </w:p>
          <w:p w14:paraId="7A4D574E">
            <w:pPr>
              <w:rPr>
                <w:rFonts w:ascii="宋体" w:hAnsi="宋体" w:cs="宋体"/>
                <w:color w:val="auto"/>
                <w:highlight w:val="none"/>
                <w:lang w:eastAsia="zh-CN"/>
              </w:rPr>
            </w:pPr>
          </w:p>
          <w:p w14:paraId="176CF2F8">
            <w:pPr>
              <w:rPr>
                <w:rFonts w:ascii="宋体" w:hAnsi="宋体" w:cs="宋体"/>
                <w:color w:val="auto"/>
                <w:highlight w:val="none"/>
                <w:lang w:eastAsia="zh-CN"/>
              </w:rPr>
            </w:pPr>
            <w:r>
              <w:rPr>
                <w:rFonts w:hint="eastAsia" w:ascii="宋体" w:hAnsi="宋体" w:cs="宋体"/>
                <w:color w:val="auto"/>
                <w:highlight w:val="none"/>
                <w:lang w:eastAsia="zh-CN"/>
              </w:rPr>
              <w:t>签字：</w:t>
            </w:r>
          </w:p>
          <w:p w14:paraId="68B01960">
            <w:pPr>
              <w:rPr>
                <w:rFonts w:ascii="宋体" w:hAnsi="宋体" w:cs="宋体"/>
                <w:color w:val="auto"/>
                <w:highlight w:val="none"/>
                <w:lang w:eastAsia="zh-CN"/>
              </w:rPr>
            </w:pPr>
          </w:p>
          <w:p w14:paraId="3DA293E6">
            <w:pPr>
              <w:spacing w:line="240" w:lineRule="exact"/>
              <w:jc w:val="center"/>
              <w:rPr>
                <w:rFonts w:ascii="宋体" w:hAnsi="宋体" w:cs="宋体"/>
                <w:color w:val="auto"/>
                <w:sz w:val="18"/>
                <w:szCs w:val="18"/>
                <w:highlight w:val="none"/>
                <w:lang w:eastAsia="zh-CN"/>
              </w:rPr>
            </w:pPr>
            <w:r>
              <w:rPr>
                <w:rFonts w:hint="eastAsia" w:ascii="宋体" w:hAnsi="宋体" w:cs="宋体"/>
                <w:color w:val="auto"/>
                <w:highlight w:val="none"/>
                <w:lang w:eastAsia="zh-CN"/>
              </w:rPr>
              <w:t xml:space="preserve">                        年  月  日</w:t>
            </w:r>
          </w:p>
        </w:tc>
      </w:tr>
    </w:tbl>
    <w:p w14:paraId="6DBF79CC">
      <w:pPr>
        <w:rPr>
          <w:rFonts w:ascii="宋体" w:hAnsi="宋体" w:cs="宋体"/>
          <w:color w:val="auto"/>
          <w:spacing w:val="12"/>
          <w:kern w:val="10"/>
          <w:sz w:val="32"/>
          <w:szCs w:val="32"/>
          <w:highlight w:val="none"/>
          <w:lang w:eastAsia="zh-CN"/>
        </w:rPr>
      </w:pPr>
    </w:p>
    <w:p w14:paraId="0C41FEF8">
      <w:pPr>
        <w:rPr>
          <w:rFonts w:ascii="宋体" w:hAnsi="宋体" w:cs="宋体"/>
          <w:color w:val="auto"/>
          <w:highlight w:val="none"/>
          <w:lang w:eastAsia="zh-CN"/>
        </w:rPr>
        <w:sectPr>
          <w:pgSz w:w="11906" w:h="16838"/>
          <w:pgMar w:top="1440" w:right="1418" w:bottom="1440" w:left="1418" w:header="851" w:footer="539" w:gutter="0"/>
          <w:cols w:space="720" w:num="1"/>
          <w:docGrid w:type="lines" w:linePitch="312" w:charSpace="0"/>
        </w:sectPr>
      </w:pPr>
    </w:p>
    <w:p w14:paraId="4D0F5A71">
      <w:pPr>
        <w:rPr>
          <w:rFonts w:ascii="宋体" w:hAnsi="宋体" w:cs="宋体"/>
          <w:color w:val="auto"/>
          <w:sz w:val="32"/>
          <w:szCs w:val="32"/>
          <w:highlight w:val="none"/>
          <w:lang w:eastAsia="zh-CN"/>
        </w:rPr>
      </w:pPr>
      <w:r>
        <w:rPr>
          <w:rFonts w:hint="eastAsia" w:ascii="宋体" w:hAnsi="宋体" w:cs="宋体"/>
          <w:color w:val="auto"/>
          <w:sz w:val="32"/>
          <w:szCs w:val="32"/>
          <w:highlight w:val="none"/>
          <w:lang w:eastAsia="zh-CN"/>
        </w:rPr>
        <w:t>附</w:t>
      </w:r>
      <w:r>
        <w:rPr>
          <w:rFonts w:hint="eastAsia" w:ascii="宋体" w:hAnsi="宋体" w:cs="宋体"/>
          <w:color w:val="auto"/>
          <w:spacing w:val="12"/>
          <w:kern w:val="10"/>
          <w:sz w:val="32"/>
          <w:szCs w:val="32"/>
          <w:highlight w:val="none"/>
          <w:lang w:eastAsia="zh-CN"/>
        </w:rPr>
        <w:t>表</w:t>
      </w:r>
      <w:r>
        <w:rPr>
          <w:rFonts w:hint="eastAsia" w:ascii="宋体" w:hAnsi="宋体" w:cs="宋体"/>
          <w:color w:val="auto"/>
          <w:sz w:val="32"/>
          <w:szCs w:val="32"/>
          <w:highlight w:val="none"/>
          <w:lang w:eastAsia="zh-CN"/>
        </w:rPr>
        <w:t>5</w:t>
      </w:r>
    </w:p>
    <w:p w14:paraId="18B79B6D">
      <w:pPr>
        <w:jc w:val="center"/>
        <w:rPr>
          <w:rFonts w:ascii="宋体" w:hAnsi="宋体" w:cs="宋体"/>
          <w:b/>
          <w:bCs/>
          <w:color w:val="auto"/>
          <w:sz w:val="32"/>
          <w:szCs w:val="32"/>
          <w:highlight w:val="none"/>
          <w:lang w:eastAsia="zh-CN"/>
        </w:rPr>
      </w:pPr>
      <w:r>
        <w:rPr>
          <w:rFonts w:hint="eastAsia" w:ascii="宋体" w:hAnsi="宋体" w:cs="宋体"/>
          <w:b/>
          <w:bCs/>
          <w:color w:val="auto"/>
          <w:sz w:val="32"/>
          <w:szCs w:val="32"/>
          <w:highlight w:val="none"/>
          <w:lang w:eastAsia="zh-CN"/>
        </w:rPr>
        <w:t>项目安全费用投入统计台帐</w:t>
      </w:r>
    </w:p>
    <w:tbl>
      <w:tblPr>
        <w:tblStyle w:val="44"/>
        <w:tblW w:w="0" w:type="auto"/>
        <w:tblInd w:w="0" w:type="dxa"/>
        <w:tblLayout w:type="fixed"/>
        <w:tblCellMar>
          <w:top w:w="0" w:type="dxa"/>
          <w:left w:w="108" w:type="dxa"/>
          <w:bottom w:w="0" w:type="dxa"/>
          <w:right w:w="108" w:type="dxa"/>
        </w:tblCellMar>
      </w:tblPr>
      <w:tblGrid>
        <w:gridCol w:w="404"/>
        <w:gridCol w:w="1032"/>
        <w:gridCol w:w="792"/>
        <w:gridCol w:w="940"/>
        <w:gridCol w:w="863"/>
        <w:gridCol w:w="1443"/>
        <w:gridCol w:w="1582"/>
        <w:gridCol w:w="721"/>
        <w:gridCol w:w="721"/>
        <w:gridCol w:w="719"/>
        <w:gridCol w:w="721"/>
        <w:gridCol w:w="719"/>
        <w:gridCol w:w="721"/>
        <w:gridCol w:w="721"/>
        <w:gridCol w:w="719"/>
        <w:gridCol w:w="577"/>
        <w:gridCol w:w="571"/>
        <w:gridCol w:w="236"/>
      </w:tblGrid>
      <w:tr w14:paraId="7C537728">
        <w:tblPrEx>
          <w:tblCellMar>
            <w:top w:w="0" w:type="dxa"/>
            <w:left w:w="108" w:type="dxa"/>
            <w:bottom w:w="0" w:type="dxa"/>
            <w:right w:w="108" w:type="dxa"/>
          </w:tblCellMar>
        </w:tblPrEx>
        <w:trPr>
          <w:gridAfter w:val="1"/>
          <w:wAfter w:w="236" w:type="dxa"/>
          <w:trHeight w:val="285" w:hRule="atLeast"/>
        </w:trPr>
        <w:tc>
          <w:tcPr>
            <w:tcW w:w="7056" w:type="dxa"/>
            <w:gridSpan w:val="7"/>
            <w:tcBorders>
              <w:bottom w:val="single" w:color="auto" w:sz="4" w:space="0"/>
            </w:tcBorders>
            <w:noWrap w:val="0"/>
            <w:vAlign w:val="center"/>
          </w:tcPr>
          <w:p w14:paraId="377E2549">
            <w:pPr>
              <w:rPr>
                <w:rFonts w:hint="eastAsia" w:ascii="宋体" w:hAnsi="宋体" w:cs="宋体"/>
                <w:color w:val="auto"/>
                <w:highlight w:val="none"/>
              </w:rPr>
            </w:pPr>
            <w:r>
              <w:rPr>
                <w:rFonts w:hint="eastAsia" w:ascii="宋体" w:hAnsi="宋体" w:cs="宋体"/>
                <w:color w:val="auto"/>
                <w:highlight w:val="none"/>
              </w:rPr>
              <w:t>项目名称：</w:t>
            </w:r>
          </w:p>
        </w:tc>
        <w:tc>
          <w:tcPr>
            <w:tcW w:w="6910" w:type="dxa"/>
            <w:gridSpan w:val="10"/>
            <w:tcBorders>
              <w:bottom w:val="single" w:color="auto" w:sz="4" w:space="0"/>
            </w:tcBorders>
            <w:noWrap w:val="0"/>
            <w:vAlign w:val="center"/>
          </w:tcPr>
          <w:p w14:paraId="14E3BD29">
            <w:pPr>
              <w:jc w:val="center"/>
              <w:rPr>
                <w:rFonts w:ascii="宋体" w:hAnsi="宋体" w:cs="宋体"/>
                <w:color w:val="auto"/>
                <w:highlight w:val="none"/>
                <w:lang w:eastAsia="zh-CN"/>
              </w:rPr>
            </w:pPr>
            <w:r>
              <w:rPr>
                <w:rFonts w:hint="eastAsia" w:ascii="宋体" w:hAnsi="宋体" w:cs="宋体"/>
                <w:color w:val="auto"/>
                <w:highlight w:val="none"/>
                <w:lang w:eastAsia="zh-CN"/>
              </w:rPr>
              <w:t>统计时间：20xx年第X季度</w:t>
            </w:r>
          </w:p>
        </w:tc>
      </w:tr>
      <w:tr w14:paraId="2C313B8C">
        <w:tblPrEx>
          <w:tblCellMar>
            <w:top w:w="0" w:type="dxa"/>
            <w:left w:w="108" w:type="dxa"/>
            <w:bottom w:w="0" w:type="dxa"/>
            <w:right w:w="108" w:type="dxa"/>
          </w:tblCellMar>
        </w:tblPrEx>
        <w:trPr>
          <w:gridAfter w:val="1"/>
          <w:wAfter w:w="236" w:type="dxa"/>
          <w:trHeight w:val="285" w:hRule="atLeast"/>
        </w:trPr>
        <w:tc>
          <w:tcPr>
            <w:tcW w:w="404" w:type="dxa"/>
            <w:vMerge w:val="restart"/>
            <w:tcBorders>
              <w:top w:val="single" w:color="auto" w:sz="4" w:space="0"/>
              <w:left w:val="single" w:color="auto" w:sz="4" w:space="0"/>
              <w:bottom w:val="single" w:color="auto" w:sz="4" w:space="0"/>
              <w:right w:val="single" w:color="auto" w:sz="4" w:space="0"/>
            </w:tcBorders>
            <w:noWrap w:val="0"/>
            <w:vAlign w:val="center"/>
          </w:tcPr>
          <w:p w14:paraId="535C3222">
            <w:pPr>
              <w:jc w:val="center"/>
              <w:rPr>
                <w:rFonts w:ascii="宋体" w:hAnsi="宋体" w:cs="宋体"/>
                <w:color w:val="auto"/>
                <w:highlight w:val="none"/>
              </w:rPr>
            </w:pPr>
            <w:r>
              <w:rPr>
                <w:rFonts w:hint="eastAsia" w:ascii="宋体" w:hAnsi="宋体" w:cs="宋体"/>
                <w:color w:val="auto"/>
                <w:highlight w:val="none"/>
              </w:rPr>
              <w:t>序号</w:t>
            </w:r>
          </w:p>
        </w:tc>
        <w:tc>
          <w:tcPr>
            <w:tcW w:w="1032" w:type="dxa"/>
            <w:vMerge w:val="restart"/>
            <w:tcBorders>
              <w:top w:val="single" w:color="auto" w:sz="4" w:space="0"/>
              <w:left w:val="single" w:color="auto" w:sz="4" w:space="0"/>
              <w:bottom w:val="single" w:color="auto" w:sz="4" w:space="0"/>
              <w:right w:val="single" w:color="auto" w:sz="4" w:space="0"/>
            </w:tcBorders>
            <w:noWrap w:val="0"/>
            <w:vAlign w:val="center"/>
          </w:tcPr>
          <w:p w14:paraId="5BA4E2F2">
            <w:pPr>
              <w:jc w:val="center"/>
              <w:rPr>
                <w:rFonts w:ascii="宋体" w:hAnsi="宋体" w:cs="宋体"/>
                <w:color w:val="auto"/>
                <w:highlight w:val="none"/>
              </w:rPr>
            </w:pPr>
            <w:r>
              <w:rPr>
                <w:rFonts w:hint="eastAsia" w:ascii="宋体" w:hAnsi="宋体" w:cs="宋体"/>
                <w:color w:val="auto"/>
                <w:highlight w:val="none"/>
              </w:rPr>
              <w:t>报账日期</w:t>
            </w:r>
          </w:p>
        </w:tc>
        <w:tc>
          <w:tcPr>
            <w:tcW w:w="792" w:type="dxa"/>
            <w:vMerge w:val="restart"/>
            <w:tcBorders>
              <w:top w:val="single" w:color="auto" w:sz="4" w:space="0"/>
              <w:left w:val="single" w:color="auto" w:sz="4" w:space="0"/>
              <w:bottom w:val="single" w:color="auto" w:sz="4" w:space="0"/>
              <w:right w:val="single" w:color="auto" w:sz="4" w:space="0"/>
            </w:tcBorders>
            <w:noWrap w:val="0"/>
            <w:vAlign w:val="center"/>
          </w:tcPr>
          <w:p w14:paraId="64B821AC">
            <w:pPr>
              <w:jc w:val="center"/>
              <w:rPr>
                <w:rFonts w:ascii="宋体" w:hAnsi="宋体" w:cs="宋体"/>
                <w:color w:val="auto"/>
                <w:highlight w:val="none"/>
              </w:rPr>
            </w:pPr>
            <w:r>
              <w:rPr>
                <w:rFonts w:hint="eastAsia" w:ascii="宋体" w:hAnsi="宋体" w:cs="宋体"/>
                <w:color w:val="auto"/>
                <w:highlight w:val="none"/>
              </w:rPr>
              <w:t>发票编号</w:t>
            </w:r>
          </w:p>
        </w:tc>
        <w:tc>
          <w:tcPr>
            <w:tcW w:w="940" w:type="dxa"/>
            <w:vMerge w:val="restart"/>
            <w:tcBorders>
              <w:top w:val="single" w:color="auto" w:sz="4" w:space="0"/>
              <w:left w:val="single" w:color="auto" w:sz="4" w:space="0"/>
              <w:bottom w:val="single" w:color="auto" w:sz="4" w:space="0"/>
              <w:right w:val="single" w:color="auto" w:sz="4" w:space="0"/>
            </w:tcBorders>
            <w:noWrap w:val="0"/>
            <w:vAlign w:val="center"/>
          </w:tcPr>
          <w:p w14:paraId="7D1E4995">
            <w:pPr>
              <w:jc w:val="center"/>
              <w:rPr>
                <w:rFonts w:ascii="宋体" w:hAnsi="宋体" w:cs="宋体"/>
                <w:color w:val="auto"/>
                <w:highlight w:val="none"/>
              </w:rPr>
            </w:pPr>
            <w:r>
              <w:rPr>
                <w:rFonts w:hint="eastAsia" w:ascii="宋体" w:hAnsi="宋体" w:cs="宋体"/>
                <w:color w:val="auto"/>
                <w:highlight w:val="none"/>
              </w:rPr>
              <w:t>发票内容</w:t>
            </w:r>
          </w:p>
        </w:tc>
        <w:tc>
          <w:tcPr>
            <w:tcW w:w="863" w:type="dxa"/>
            <w:vMerge w:val="restart"/>
            <w:tcBorders>
              <w:top w:val="single" w:color="auto" w:sz="4" w:space="0"/>
              <w:left w:val="single" w:color="auto" w:sz="4" w:space="0"/>
              <w:bottom w:val="single" w:color="auto" w:sz="4" w:space="0"/>
              <w:right w:val="single" w:color="auto" w:sz="4" w:space="0"/>
            </w:tcBorders>
            <w:noWrap w:val="0"/>
            <w:vAlign w:val="center"/>
          </w:tcPr>
          <w:p w14:paraId="5C885531">
            <w:pPr>
              <w:jc w:val="center"/>
              <w:rPr>
                <w:rFonts w:ascii="宋体" w:hAnsi="宋体" w:cs="宋体"/>
                <w:color w:val="auto"/>
                <w:highlight w:val="none"/>
              </w:rPr>
            </w:pPr>
            <w:r>
              <w:rPr>
                <w:rFonts w:hint="eastAsia" w:ascii="宋体" w:hAnsi="宋体" w:cs="宋体"/>
                <w:color w:val="auto"/>
                <w:highlight w:val="none"/>
              </w:rPr>
              <w:t>凭证号</w:t>
            </w:r>
          </w:p>
        </w:tc>
        <w:tc>
          <w:tcPr>
            <w:tcW w:w="3025"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71996236">
            <w:pPr>
              <w:jc w:val="center"/>
              <w:rPr>
                <w:rFonts w:ascii="宋体" w:hAnsi="宋体" w:cs="宋体"/>
                <w:color w:val="auto"/>
                <w:highlight w:val="none"/>
                <w:lang w:eastAsia="zh-CN"/>
              </w:rPr>
            </w:pPr>
            <w:r>
              <w:rPr>
                <w:rFonts w:hint="eastAsia" w:ascii="宋体" w:hAnsi="宋体" w:cs="宋体"/>
                <w:color w:val="auto"/>
                <w:highlight w:val="none"/>
                <w:lang w:eastAsia="zh-CN"/>
              </w:rPr>
              <w:t>安全文明措施费投入项目名称</w:t>
            </w:r>
          </w:p>
        </w:tc>
        <w:tc>
          <w:tcPr>
            <w:tcW w:w="6910" w:type="dxa"/>
            <w:gridSpan w:val="10"/>
            <w:tcBorders>
              <w:top w:val="single" w:color="auto" w:sz="4" w:space="0"/>
              <w:left w:val="nil"/>
              <w:bottom w:val="single" w:color="auto" w:sz="4" w:space="0"/>
              <w:right w:val="single" w:color="auto" w:sz="4" w:space="0"/>
            </w:tcBorders>
            <w:noWrap w:val="0"/>
            <w:vAlign w:val="center"/>
          </w:tcPr>
          <w:p w14:paraId="1EF96F11">
            <w:pPr>
              <w:jc w:val="center"/>
              <w:rPr>
                <w:rFonts w:ascii="宋体" w:hAnsi="宋体" w:cs="宋体"/>
                <w:color w:val="auto"/>
                <w:highlight w:val="none"/>
                <w:lang w:eastAsia="zh-CN"/>
              </w:rPr>
            </w:pPr>
            <w:r>
              <w:rPr>
                <w:rFonts w:hint="eastAsia" w:ascii="宋体" w:hAnsi="宋体" w:cs="宋体"/>
                <w:color w:val="auto"/>
                <w:highlight w:val="none"/>
                <w:lang w:eastAsia="zh-CN"/>
              </w:rPr>
              <w:t>本季项目实际支出费用(元)</w:t>
            </w:r>
          </w:p>
        </w:tc>
      </w:tr>
      <w:tr w14:paraId="534DC0E1">
        <w:tblPrEx>
          <w:tblCellMar>
            <w:top w:w="0" w:type="dxa"/>
            <w:left w:w="108" w:type="dxa"/>
            <w:bottom w:w="0" w:type="dxa"/>
            <w:right w:w="108" w:type="dxa"/>
          </w:tblCellMar>
        </w:tblPrEx>
        <w:trPr>
          <w:gridAfter w:val="1"/>
          <w:wAfter w:w="236" w:type="dxa"/>
          <w:trHeight w:val="312" w:hRule="atLeast"/>
        </w:trPr>
        <w:tc>
          <w:tcPr>
            <w:tcW w:w="404" w:type="dxa"/>
            <w:vMerge w:val="continue"/>
            <w:tcBorders>
              <w:top w:val="single" w:color="auto" w:sz="4" w:space="0"/>
              <w:left w:val="single" w:color="auto" w:sz="4" w:space="0"/>
              <w:bottom w:val="single" w:color="auto" w:sz="4" w:space="0"/>
              <w:right w:val="single" w:color="auto" w:sz="4" w:space="0"/>
            </w:tcBorders>
            <w:noWrap w:val="0"/>
            <w:vAlign w:val="center"/>
          </w:tcPr>
          <w:p w14:paraId="4FA6DF8D">
            <w:pPr>
              <w:jc w:val="center"/>
              <w:rPr>
                <w:rFonts w:ascii="宋体" w:hAnsi="宋体" w:cs="宋体"/>
                <w:color w:val="auto"/>
                <w:highlight w:val="none"/>
                <w:lang w:eastAsia="zh-CN"/>
              </w:rPr>
            </w:pPr>
          </w:p>
        </w:tc>
        <w:tc>
          <w:tcPr>
            <w:tcW w:w="1032" w:type="dxa"/>
            <w:vMerge w:val="continue"/>
            <w:tcBorders>
              <w:top w:val="single" w:color="auto" w:sz="4" w:space="0"/>
              <w:left w:val="single" w:color="auto" w:sz="4" w:space="0"/>
              <w:bottom w:val="single" w:color="auto" w:sz="4" w:space="0"/>
              <w:right w:val="single" w:color="auto" w:sz="4" w:space="0"/>
            </w:tcBorders>
            <w:noWrap w:val="0"/>
            <w:vAlign w:val="center"/>
          </w:tcPr>
          <w:p w14:paraId="5C3FE4AB">
            <w:pPr>
              <w:jc w:val="center"/>
              <w:rPr>
                <w:rFonts w:ascii="宋体" w:hAnsi="宋体" w:cs="宋体"/>
                <w:color w:val="auto"/>
                <w:highlight w:val="none"/>
                <w:lang w:eastAsia="zh-CN"/>
              </w:rPr>
            </w:pPr>
          </w:p>
        </w:tc>
        <w:tc>
          <w:tcPr>
            <w:tcW w:w="792" w:type="dxa"/>
            <w:vMerge w:val="continue"/>
            <w:tcBorders>
              <w:top w:val="single" w:color="auto" w:sz="4" w:space="0"/>
              <w:left w:val="single" w:color="auto" w:sz="4" w:space="0"/>
              <w:bottom w:val="single" w:color="auto" w:sz="4" w:space="0"/>
              <w:right w:val="single" w:color="auto" w:sz="4" w:space="0"/>
            </w:tcBorders>
            <w:noWrap w:val="0"/>
            <w:vAlign w:val="center"/>
          </w:tcPr>
          <w:p w14:paraId="3BDE39C4">
            <w:pPr>
              <w:jc w:val="center"/>
              <w:rPr>
                <w:rFonts w:ascii="宋体" w:hAnsi="宋体" w:cs="宋体"/>
                <w:color w:val="auto"/>
                <w:highlight w:val="none"/>
                <w:lang w:eastAsia="zh-CN"/>
              </w:rPr>
            </w:pPr>
          </w:p>
        </w:tc>
        <w:tc>
          <w:tcPr>
            <w:tcW w:w="940" w:type="dxa"/>
            <w:vMerge w:val="continue"/>
            <w:tcBorders>
              <w:top w:val="single" w:color="auto" w:sz="4" w:space="0"/>
              <w:left w:val="single" w:color="auto" w:sz="4" w:space="0"/>
              <w:bottom w:val="single" w:color="auto" w:sz="4" w:space="0"/>
              <w:right w:val="single" w:color="auto" w:sz="4" w:space="0"/>
            </w:tcBorders>
            <w:noWrap w:val="0"/>
            <w:vAlign w:val="center"/>
          </w:tcPr>
          <w:p w14:paraId="29A5E43A">
            <w:pPr>
              <w:jc w:val="center"/>
              <w:rPr>
                <w:rFonts w:ascii="宋体" w:hAnsi="宋体" w:cs="宋体"/>
                <w:color w:val="auto"/>
                <w:highlight w:val="none"/>
                <w:lang w:eastAsia="zh-CN"/>
              </w:rPr>
            </w:pPr>
          </w:p>
        </w:tc>
        <w:tc>
          <w:tcPr>
            <w:tcW w:w="863" w:type="dxa"/>
            <w:vMerge w:val="continue"/>
            <w:tcBorders>
              <w:top w:val="single" w:color="auto" w:sz="4" w:space="0"/>
              <w:left w:val="single" w:color="auto" w:sz="4" w:space="0"/>
              <w:bottom w:val="single" w:color="auto" w:sz="4" w:space="0"/>
              <w:right w:val="single" w:color="auto" w:sz="4" w:space="0"/>
            </w:tcBorders>
            <w:noWrap w:val="0"/>
            <w:vAlign w:val="center"/>
          </w:tcPr>
          <w:p w14:paraId="21C5F824">
            <w:pPr>
              <w:jc w:val="center"/>
              <w:rPr>
                <w:rFonts w:ascii="宋体" w:hAnsi="宋体" w:cs="宋体"/>
                <w:color w:val="auto"/>
                <w:highlight w:val="none"/>
                <w:lang w:eastAsia="zh-CN"/>
              </w:rPr>
            </w:pPr>
          </w:p>
        </w:tc>
        <w:tc>
          <w:tcPr>
            <w:tcW w:w="302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4C3A227A">
            <w:pPr>
              <w:jc w:val="center"/>
              <w:rPr>
                <w:rFonts w:ascii="宋体" w:hAnsi="宋体" w:cs="宋体"/>
                <w:color w:val="auto"/>
                <w:highlight w:val="none"/>
                <w:lang w:eastAsia="zh-CN"/>
              </w:rPr>
            </w:pPr>
          </w:p>
        </w:tc>
        <w:tc>
          <w:tcPr>
            <w:tcW w:w="2161" w:type="dxa"/>
            <w:gridSpan w:val="3"/>
            <w:vMerge w:val="restart"/>
            <w:tcBorders>
              <w:top w:val="single" w:color="auto" w:sz="4" w:space="0"/>
              <w:left w:val="single" w:color="auto" w:sz="4" w:space="0"/>
              <w:bottom w:val="single" w:color="auto" w:sz="4" w:space="0"/>
              <w:right w:val="single" w:color="auto" w:sz="4" w:space="0"/>
            </w:tcBorders>
            <w:noWrap w:val="0"/>
            <w:vAlign w:val="center"/>
          </w:tcPr>
          <w:p w14:paraId="6A768E06">
            <w:pPr>
              <w:jc w:val="center"/>
              <w:rPr>
                <w:rFonts w:ascii="宋体" w:hAnsi="宋体" w:cs="宋体"/>
                <w:color w:val="auto"/>
                <w:highlight w:val="none"/>
              </w:rPr>
            </w:pPr>
            <w:r>
              <w:rPr>
                <w:rFonts w:hint="eastAsia" w:ascii="宋体" w:hAnsi="宋体" w:cs="宋体"/>
                <w:color w:val="auto"/>
                <w:highlight w:val="none"/>
              </w:rPr>
              <w:t>新购材料</w:t>
            </w:r>
          </w:p>
        </w:tc>
        <w:tc>
          <w:tcPr>
            <w:tcW w:w="2161" w:type="dxa"/>
            <w:gridSpan w:val="3"/>
            <w:vMerge w:val="restart"/>
            <w:tcBorders>
              <w:top w:val="single" w:color="auto" w:sz="4" w:space="0"/>
              <w:left w:val="single" w:color="auto" w:sz="4" w:space="0"/>
              <w:bottom w:val="single" w:color="auto" w:sz="4" w:space="0"/>
              <w:right w:val="single" w:color="auto" w:sz="4" w:space="0"/>
            </w:tcBorders>
            <w:noWrap w:val="0"/>
            <w:vAlign w:val="center"/>
          </w:tcPr>
          <w:p w14:paraId="337EA7E9">
            <w:pPr>
              <w:jc w:val="center"/>
              <w:rPr>
                <w:rFonts w:ascii="宋体" w:hAnsi="宋体" w:cs="宋体"/>
                <w:color w:val="auto"/>
                <w:highlight w:val="none"/>
              </w:rPr>
            </w:pPr>
            <w:r>
              <w:rPr>
                <w:rFonts w:hint="eastAsia" w:ascii="宋体" w:hAnsi="宋体" w:cs="宋体"/>
                <w:color w:val="auto"/>
                <w:highlight w:val="none"/>
              </w:rPr>
              <w:t>内部调入材料</w:t>
            </w:r>
          </w:p>
        </w:tc>
        <w:tc>
          <w:tcPr>
            <w:tcW w:w="1440"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5A58AE69">
            <w:pPr>
              <w:jc w:val="center"/>
              <w:rPr>
                <w:rFonts w:ascii="宋体" w:hAnsi="宋体" w:cs="宋体"/>
                <w:color w:val="auto"/>
                <w:highlight w:val="none"/>
              </w:rPr>
            </w:pPr>
            <w:r>
              <w:rPr>
                <w:rFonts w:hint="eastAsia" w:ascii="宋体" w:hAnsi="宋体" w:cs="宋体"/>
                <w:color w:val="auto"/>
                <w:highlight w:val="none"/>
              </w:rPr>
              <w:t>人工费</w:t>
            </w:r>
          </w:p>
        </w:tc>
        <w:tc>
          <w:tcPr>
            <w:tcW w:w="577" w:type="dxa"/>
            <w:vMerge w:val="restart"/>
            <w:tcBorders>
              <w:top w:val="single" w:color="auto" w:sz="4" w:space="0"/>
              <w:left w:val="single" w:color="auto" w:sz="4" w:space="0"/>
              <w:bottom w:val="single" w:color="auto" w:sz="4" w:space="0"/>
              <w:right w:val="single" w:color="auto" w:sz="4" w:space="0"/>
            </w:tcBorders>
            <w:noWrap w:val="0"/>
            <w:vAlign w:val="center"/>
          </w:tcPr>
          <w:p w14:paraId="256817F1">
            <w:pPr>
              <w:jc w:val="center"/>
              <w:rPr>
                <w:rFonts w:ascii="宋体" w:hAnsi="宋体" w:cs="宋体"/>
                <w:color w:val="auto"/>
                <w:highlight w:val="none"/>
              </w:rPr>
            </w:pPr>
            <w:r>
              <w:rPr>
                <w:rFonts w:hint="eastAsia" w:ascii="宋体" w:hAnsi="宋体" w:cs="宋体"/>
                <w:color w:val="auto"/>
                <w:highlight w:val="none"/>
              </w:rPr>
              <w:t>检测费</w:t>
            </w:r>
          </w:p>
        </w:tc>
        <w:tc>
          <w:tcPr>
            <w:tcW w:w="571" w:type="dxa"/>
            <w:vMerge w:val="restart"/>
            <w:tcBorders>
              <w:top w:val="single" w:color="auto" w:sz="4" w:space="0"/>
              <w:left w:val="single" w:color="auto" w:sz="4" w:space="0"/>
              <w:bottom w:val="single" w:color="auto" w:sz="4" w:space="0"/>
              <w:right w:val="single" w:color="auto" w:sz="4" w:space="0"/>
            </w:tcBorders>
            <w:noWrap w:val="0"/>
            <w:vAlign w:val="center"/>
          </w:tcPr>
          <w:p w14:paraId="15ADE52B">
            <w:pPr>
              <w:jc w:val="center"/>
              <w:rPr>
                <w:rFonts w:ascii="宋体" w:hAnsi="宋体" w:cs="宋体"/>
                <w:color w:val="auto"/>
                <w:highlight w:val="none"/>
              </w:rPr>
            </w:pPr>
            <w:r>
              <w:rPr>
                <w:rFonts w:hint="eastAsia" w:ascii="宋体" w:hAnsi="宋体" w:cs="宋体"/>
                <w:color w:val="auto"/>
                <w:highlight w:val="none"/>
              </w:rPr>
              <w:t>其他</w:t>
            </w:r>
          </w:p>
        </w:tc>
      </w:tr>
      <w:tr w14:paraId="16B23010">
        <w:tblPrEx>
          <w:tblCellMar>
            <w:top w:w="0" w:type="dxa"/>
            <w:left w:w="108" w:type="dxa"/>
            <w:bottom w:w="0" w:type="dxa"/>
            <w:right w:w="108" w:type="dxa"/>
          </w:tblCellMar>
        </w:tblPrEx>
        <w:trPr>
          <w:trHeight w:val="285" w:hRule="atLeast"/>
        </w:trPr>
        <w:tc>
          <w:tcPr>
            <w:tcW w:w="404" w:type="dxa"/>
            <w:vMerge w:val="continue"/>
            <w:tcBorders>
              <w:top w:val="single" w:color="auto" w:sz="4" w:space="0"/>
              <w:left w:val="single" w:color="auto" w:sz="4" w:space="0"/>
              <w:bottom w:val="single" w:color="auto" w:sz="4" w:space="0"/>
              <w:right w:val="single" w:color="auto" w:sz="4" w:space="0"/>
            </w:tcBorders>
            <w:noWrap w:val="0"/>
            <w:vAlign w:val="center"/>
          </w:tcPr>
          <w:p w14:paraId="12586362">
            <w:pPr>
              <w:jc w:val="center"/>
              <w:rPr>
                <w:rFonts w:ascii="宋体" w:hAnsi="宋体" w:cs="宋体"/>
                <w:color w:val="auto"/>
                <w:highlight w:val="none"/>
              </w:rPr>
            </w:pPr>
          </w:p>
        </w:tc>
        <w:tc>
          <w:tcPr>
            <w:tcW w:w="1032" w:type="dxa"/>
            <w:vMerge w:val="continue"/>
            <w:tcBorders>
              <w:top w:val="single" w:color="auto" w:sz="4" w:space="0"/>
              <w:left w:val="single" w:color="auto" w:sz="4" w:space="0"/>
              <w:bottom w:val="single" w:color="auto" w:sz="4" w:space="0"/>
              <w:right w:val="single" w:color="auto" w:sz="4" w:space="0"/>
            </w:tcBorders>
            <w:noWrap w:val="0"/>
            <w:vAlign w:val="center"/>
          </w:tcPr>
          <w:p w14:paraId="47487272">
            <w:pPr>
              <w:jc w:val="center"/>
              <w:rPr>
                <w:rFonts w:ascii="宋体" w:hAnsi="宋体" w:cs="宋体"/>
                <w:color w:val="auto"/>
                <w:highlight w:val="none"/>
              </w:rPr>
            </w:pPr>
          </w:p>
        </w:tc>
        <w:tc>
          <w:tcPr>
            <w:tcW w:w="792" w:type="dxa"/>
            <w:vMerge w:val="continue"/>
            <w:tcBorders>
              <w:top w:val="single" w:color="auto" w:sz="4" w:space="0"/>
              <w:left w:val="single" w:color="auto" w:sz="4" w:space="0"/>
              <w:bottom w:val="single" w:color="auto" w:sz="4" w:space="0"/>
              <w:right w:val="single" w:color="auto" w:sz="4" w:space="0"/>
            </w:tcBorders>
            <w:noWrap w:val="0"/>
            <w:vAlign w:val="center"/>
          </w:tcPr>
          <w:p w14:paraId="4C2F4238">
            <w:pPr>
              <w:jc w:val="center"/>
              <w:rPr>
                <w:rFonts w:ascii="宋体" w:hAnsi="宋体" w:cs="宋体"/>
                <w:color w:val="auto"/>
                <w:highlight w:val="none"/>
              </w:rPr>
            </w:pPr>
          </w:p>
        </w:tc>
        <w:tc>
          <w:tcPr>
            <w:tcW w:w="940" w:type="dxa"/>
            <w:vMerge w:val="continue"/>
            <w:tcBorders>
              <w:top w:val="single" w:color="auto" w:sz="4" w:space="0"/>
              <w:left w:val="single" w:color="auto" w:sz="4" w:space="0"/>
              <w:bottom w:val="single" w:color="auto" w:sz="4" w:space="0"/>
              <w:right w:val="single" w:color="auto" w:sz="4" w:space="0"/>
            </w:tcBorders>
            <w:noWrap w:val="0"/>
            <w:vAlign w:val="center"/>
          </w:tcPr>
          <w:p w14:paraId="4D543EF2">
            <w:pPr>
              <w:jc w:val="center"/>
              <w:rPr>
                <w:rFonts w:ascii="宋体" w:hAnsi="宋体" w:cs="宋体"/>
                <w:color w:val="auto"/>
                <w:highlight w:val="none"/>
              </w:rPr>
            </w:pPr>
          </w:p>
        </w:tc>
        <w:tc>
          <w:tcPr>
            <w:tcW w:w="863" w:type="dxa"/>
            <w:vMerge w:val="continue"/>
            <w:tcBorders>
              <w:top w:val="single" w:color="auto" w:sz="4" w:space="0"/>
              <w:left w:val="single" w:color="auto" w:sz="4" w:space="0"/>
              <w:bottom w:val="single" w:color="auto" w:sz="4" w:space="0"/>
              <w:right w:val="single" w:color="auto" w:sz="4" w:space="0"/>
            </w:tcBorders>
            <w:noWrap w:val="0"/>
            <w:vAlign w:val="center"/>
          </w:tcPr>
          <w:p w14:paraId="48BAA70E">
            <w:pPr>
              <w:jc w:val="center"/>
              <w:rPr>
                <w:rFonts w:ascii="宋体" w:hAnsi="宋体" w:cs="宋体"/>
                <w:color w:val="auto"/>
                <w:highlight w:val="none"/>
              </w:rPr>
            </w:pPr>
          </w:p>
        </w:tc>
        <w:tc>
          <w:tcPr>
            <w:tcW w:w="302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500048F1">
            <w:pPr>
              <w:jc w:val="center"/>
              <w:rPr>
                <w:rFonts w:ascii="宋体" w:hAnsi="宋体" w:cs="宋体"/>
                <w:color w:val="auto"/>
                <w:highlight w:val="none"/>
              </w:rPr>
            </w:pPr>
          </w:p>
        </w:tc>
        <w:tc>
          <w:tcPr>
            <w:tcW w:w="2161"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2A9DAB1B">
            <w:pPr>
              <w:jc w:val="center"/>
              <w:rPr>
                <w:rFonts w:ascii="宋体" w:hAnsi="宋体" w:cs="宋体"/>
                <w:color w:val="auto"/>
                <w:highlight w:val="none"/>
              </w:rPr>
            </w:pPr>
          </w:p>
        </w:tc>
        <w:tc>
          <w:tcPr>
            <w:tcW w:w="2161"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4C9AF01C">
            <w:pPr>
              <w:jc w:val="center"/>
              <w:rPr>
                <w:rFonts w:ascii="宋体" w:hAnsi="宋体" w:cs="宋体"/>
                <w:color w:val="auto"/>
                <w:highlight w:val="none"/>
              </w:rPr>
            </w:pPr>
          </w:p>
        </w:tc>
        <w:tc>
          <w:tcPr>
            <w:tcW w:w="1440"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BFE9810">
            <w:pPr>
              <w:jc w:val="center"/>
              <w:rPr>
                <w:rFonts w:ascii="宋体" w:hAnsi="宋体" w:cs="宋体"/>
                <w:color w:val="auto"/>
                <w:highlight w:val="none"/>
              </w:rPr>
            </w:pPr>
          </w:p>
        </w:tc>
        <w:tc>
          <w:tcPr>
            <w:tcW w:w="577" w:type="dxa"/>
            <w:vMerge w:val="continue"/>
            <w:tcBorders>
              <w:top w:val="nil"/>
              <w:left w:val="single" w:color="auto" w:sz="4" w:space="0"/>
              <w:bottom w:val="single" w:color="auto" w:sz="4" w:space="0"/>
              <w:right w:val="single" w:color="auto" w:sz="4" w:space="0"/>
            </w:tcBorders>
            <w:noWrap w:val="0"/>
            <w:vAlign w:val="center"/>
          </w:tcPr>
          <w:p w14:paraId="7C463AE2">
            <w:pPr>
              <w:jc w:val="center"/>
              <w:rPr>
                <w:rFonts w:ascii="宋体" w:hAnsi="宋体" w:cs="宋体"/>
                <w:color w:val="auto"/>
                <w:highlight w:val="none"/>
              </w:rPr>
            </w:pPr>
          </w:p>
        </w:tc>
        <w:tc>
          <w:tcPr>
            <w:tcW w:w="571" w:type="dxa"/>
            <w:vMerge w:val="continue"/>
            <w:tcBorders>
              <w:top w:val="nil"/>
              <w:left w:val="single" w:color="auto" w:sz="4" w:space="0"/>
              <w:bottom w:val="single" w:color="auto" w:sz="4" w:space="0"/>
              <w:right w:val="single" w:color="auto" w:sz="4" w:space="0"/>
            </w:tcBorders>
            <w:noWrap w:val="0"/>
            <w:vAlign w:val="center"/>
          </w:tcPr>
          <w:p w14:paraId="6AB44D38">
            <w:pPr>
              <w:jc w:val="center"/>
              <w:rPr>
                <w:rFonts w:ascii="宋体" w:hAnsi="宋体" w:cs="宋体"/>
                <w:color w:val="auto"/>
                <w:highlight w:val="none"/>
              </w:rPr>
            </w:pPr>
          </w:p>
        </w:tc>
        <w:tc>
          <w:tcPr>
            <w:tcW w:w="236" w:type="dxa"/>
            <w:tcBorders>
              <w:top w:val="nil"/>
              <w:left w:val="nil"/>
              <w:bottom w:val="nil"/>
              <w:right w:val="nil"/>
            </w:tcBorders>
            <w:noWrap w:val="0"/>
            <w:vAlign w:val="center"/>
          </w:tcPr>
          <w:p w14:paraId="646A4363">
            <w:pPr>
              <w:jc w:val="center"/>
              <w:rPr>
                <w:rFonts w:ascii="宋体" w:hAnsi="宋体" w:cs="宋体"/>
                <w:color w:val="auto"/>
                <w:highlight w:val="none"/>
              </w:rPr>
            </w:pPr>
          </w:p>
        </w:tc>
      </w:tr>
      <w:tr w14:paraId="309D479D">
        <w:tblPrEx>
          <w:tblCellMar>
            <w:top w:w="0" w:type="dxa"/>
            <w:left w:w="108" w:type="dxa"/>
            <w:bottom w:w="0" w:type="dxa"/>
            <w:right w:w="108" w:type="dxa"/>
          </w:tblCellMar>
        </w:tblPrEx>
        <w:trPr>
          <w:trHeight w:val="285" w:hRule="atLeast"/>
        </w:trPr>
        <w:tc>
          <w:tcPr>
            <w:tcW w:w="404" w:type="dxa"/>
            <w:vMerge w:val="continue"/>
            <w:tcBorders>
              <w:top w:val="single" w:color="auto" w:sz="4" w:space="0"/>
              <w:left w:val="single" w:color="auto" w:sz="4" w:space="0"/>
              <w:bottom w:val="single" w:color="auto" w:sz="4" w:space="0"/>
              <w:right w:val="single" w:color="auto" w:sz="4" w:space="0"/>
            </w:tcBorders>
            <w:noWrap w:val="0"/>
            <w:vAlign w:val="center"/>
          </w:tcPr>
          <w:p w14:paraId="7A52A420">
            <w:pPr>
              <w:jc w:val="center"/>
              <w:rPr>
                <w:rFonts w:ascii="宋体" w:hAnsi="宋体" w:cs="宋体"/>
                <w:color w:val="auto"/>
                <w:highlight w:val="none"/>
              </w:rPr>
            </w:pPr>
          </w:p>
        </w:tc>
        <w:tc>
          <w:tcPr>
            <w:tcW w:w="1032" w:type="dxa"/>
            <w:vMerge w:val="continue"/>
            <w:tcBorders>
              <w:top w:val="single" w:color="auto" w:sz="4" w:space="0"/>
              <w:left w:val="single" w:color="auto" w:sz="4" w:space="0"/>
              <w:bottom w:val="single" w:color="auto" w:sz="4" w:space="0"/>
              <w:right w:val="single" w:color="auto" w:sz="4" w:space="0"/>
            </w:tcBorders>
            <w:noWrap w:val="0"/>
            <w:vAlign w:val="center"/>
          </w:tcPr>
          <w:p w14:paraId="40C35F20">
            <w:pPr>
              <w:jc w:val="center"/>
              <w:rPr>
                <w:rFonts w:ascii="宋体" w:hAnsi="宋体" w:cs="宋体"/>
                <w:color w:val="auto"/>
                <w:highlight w:val="none"/>
              </w:rPr>
            </w:pPr>
          </w:p>
        </w:tc>
        <w:tc>
          <w:tcPr>
            <w:tcW w:w="792" w:type="dxa"/>
            <w:vMerge w:val="continue"/>
            <w:tcBorders>
              <w:top w:val="single" w:color="auto" w:sz="4" w:space="0"/>
              <w:left w:val="single" w:color="auto" w:sz="4" w:space="0"/>
              <w:bottom w:val="single" w:color="auto" w:sz="4" w:space="0"/>
              <w:right w:val="single" w:color="auto" w:sz="4" w:space="0"/>
            </w:tcBorders>
            <w:noWrap w:val="0"/>
            <w:vAlign w:val="center"/>
          </w:tcPr>
          <w:p w14:paraId="7D424AAA">
            <w:pPr>
              <w:jc w:val="center"/>
              <w:rPr>
                <w:rFonts w:ascii="宋体" w:hAnsi="宋体" w:cs="宋体"/>
                <w:color w:val="auto"/>
                <w:highlight w:val="none"/>
              </w:rPr>
            </w:pPr>
          </w:p>
        </w:tc>
        <w:tc>
          <w:tcPr>
            <w:tcW w:w="940" w:type="dxa"/>
            <w:vMerge w:val="continue"/>
            <w:tcBorders>
              <w:top w:val="single" w:color="auto" w:sz="4" w:space="0"/>
              <w:left w:val="single" w:color="auto" w:sz="4" w:space="0"/>
              <w:bottom w:val="single" w:color="auto" w:sz="4" w:space="0"/>
              <w:right w:val="single" w:color="auto" w:sz="4" w:space="0"/>
            </w:tcBorders>
            <w:noWrap w:val="0"/>
            <w:vAlign w:val="center"/>
          </w:tcPr>
          <w:p w14:paraId="571ABD88">
            <w:pPr>
              <w:jc w:val="center"/>
              <w:rPr>
                <w:rFonts w:ascii="宋体" w:hAnsi="宋体" w:cs="宋体"/>
                <w:color w:val="auto"/>
                <w:highlight w:val="none"/>
              </w:rPr>
            </w:pPr>
          </w:p>
        </w:tc>
        <w:tc>
          <w:tcPr>
            <w:tcW w:w="863" w:type="dxa"/>
            <w:vMerge w:val="continue"/>
            <w:tcBorders>
              <w:top w:val="single" w:color="auto" w:sz="4" w:space="0"/>
              <w:left w:val="single" w:color="auto" w:sz="4" w:space="0"/>
              <w:bottom w:val="single" w:color="auto" w:sz="4" w:space="0"/>
              <w:right w:val="single" w:color="auto" w:sz="4" w:space="0"/>
            </w:tcBorders>
            <w:noWrap w:val="0"/>
            <w:vAlign w:val="center"/>
          </w:tcPr>
          <w:p w14:paraId="617FE81D">
            <w:pPr>
              <w:jc w:val="center"/>
              <w:rPr>
                <w:rFonts w:ascii="宋体" w:hAnsi="宋体" w:cs="宋体"/>
                <w:color w:val="auto"/>
                <w:highlight w:val="none"/>
              </w:rPr>
            </w:pPr>
          </w:p>
        </w:tc>
        <w:tc>
          <w:tcPr>
            <w:tcW w:w="302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08989AD9">
            <w:pPr>
              <w:jc w:val="center"/>
              <w:rPr>
                <w:rFonts w:ascii="宋体" w:hAnsi="宋体" w:cs="宋体"/>
                <w:color w:val="auto"/>
                <w:highlight w:val="none"/>
              </w:rPr>
            </w:pPr>
          </w:p>
        </w:tc>
        <w:tc>
          <w:tcPr>
            <w:tcW w:w="721" w:type="dxa"/>
            <w:tcBorders>
              <w:top w:val="nil"/>
              <w:left w:val="nil"/>
              <w:bottom w:val="single" w:color="auto" w:sz="4" w:space="0"/>
              <w:right w:val="single" w:color="auto" w:sz="4" w:space="0"/>
            </w:tcBorders>
            <w:noWrap w:val="0"/>
            <w:vAlign w:val="center"/>
          </w:tcPr>
          <w:p w14:paraId="46FC310D">
            <w:pPr>
              <w:jc w:val="center"/>
              <w:rPr>
                <w:rFonts w:ascii="宋体" w:hAnsi="宋体" w:cs="宋体"/>
                <w:color w:val="auto"/>
                <w:highlight w:val="none"/>
              </w:rPr>
            </w:pPr>
            <w:r>
              <w:rPr>
                <w:rFonts w:hint="eastAsia" w:ascii="宋体" w:hAnsi="宋体" w:cs="宋体"/>
                <w:color w:val="auto"/>
                <w:highlight w:val="none"/>
              </w:rPr>
              <w:t>单位</w:t>
            </w:r>
          </w:p>
        </w:tc>
        <w:tc>
          <w:tcPr>
            <w:tcW w:w="721" w:type="dxa"/>
            <w:tcBorders>
              <w:top w:val="nil"/>
              <w:left w:val="nil"/>
              <w:bottom w:val="single" w:color="auto" w:sz="4" w:space="0"/>
              <w:right w:val="single" w:color="auto" w:sz="4" w:space="0"/>
            </w:tcBorders>
            <w:noWrap w:val="0"/>
            <w:vAlign w:val="center"/>
          </w:tcPr>
          <w:p w14:paraId="34631E0A">
            <w:pPr>
              <w:jc w:val="center"/>
              <w:rPr>
                <w:rFonts w:ascii="宋体" w:hAnsi="宋体" w:cs="宋体"/>
                <w:color w:val="auto"/>
                <w:highlight w:val="none"/>
              </w:rPr>
            </w:pPr>
            <w:r>
              <w:rPr>
                <w:rFonts w:hint="eastAsia" w:ascii="宋体" w:hAnsi="宋体" w:cs="宋体"/>
                <w:color w:val="auto"/>
                <w:highlight w:val="none"/>
              </w:rPr>
              <w:t>数量</w:t>
            </w:r>
          </w:p>
        </w:tc>
        <w:tc>
          <w:tcPr>
            <w:tcW w:w="719" w:type="dxa"/>
            <w:tcBorders>
              <w:top w:val="nil"/>
              <w:left w:val="nil"/>
              <w:bottom w:val="single" w:color="auto" w:sz="4" w:space="0"/>
              <w:right w:val="single" w:color="auto" w:sz="4" w:space="0"/>
            </w:tcBorders>
            <w:noWrap w:val="0"/>
            <w:vAlign w:val="center"/>
          </w:tcPr>
          <w:p w14:paraId="3FF09DDA">
            <w:pPr>
              <w:jc w:val="center"/>
              <w:rPr>
                <w:rFonts w:ascii="宋体" w:hAnsi="宋体" w:cs="宋体"/>
                <w:color w:val="auto"/>
                <w:highlight w:val="none"/>
              </w:rPr>
            </w:pPr>
            <w:r>
              <w:rPr>
                <w:rFonts w:hint="eastAsia" w:ascii="宋体" w:hAnsi="宋体" w:cs="宋体"/>
                <w:color w:val="auto"/>
                <w:highlight w:val="none"/>
              </w:rPr>
              <w:t>金额</w:t>
            </w:r>
          </w:p>
        </w:tc>
        <w:tc>
          <w:tcPr>
            <w:tcW w:w="721" w:type="dxa"/>
            <w:tcBorders>
              <w:top w:val="nil"/>
              <w:left w:val="nil"/>
              <w:bottom w:val="single" w:color="auto" w:sz="4" w:space="0"/>
              <w:right w:val="single" w:color="auto" w:sz="4" w:space="0"/>
            </w:tcBorders>
            <w:noWrap w:val="0"/>
            <w:vAlign w:val="center"/>
          </w:tcPr>
          <w:p w14:paraId="67DA4D50">
            <w:pPr>
              <w:jc w:val="center"/>
              <w:rPr>
                <w:rFonts w:ascii="宋体" w:hAnsi="宋体" w:cs="宋体"/>
                <w:color w:val="auto"/>
                <w:highlight w:val="none"/>
              </w:rPr>
            </w:pPr>
            <w:r>
              <w:rPr>
                <w:rFonts w:hint="eastAsia" w:ascii="宋体" w:hAnsi="宋体" w:cs="宋体"/>
                <w:color w:val="auto"/>
                <w:highlight w:val="none"/>
              </w:rPr>
              <w:t>单位</w:t>
            </w:r>
          </w:p>
        </w:tc>
        <w:tc>
          <w:tcPr>
            <w:tcW w:w="719" w:type="dxa"/>
            <w:tcBorders>
              <w:top w:val="nil"/>
              <w:left w:val="nil"/>
              <w:bottom w:val="single" w:color="auto" w:sz="4" w:space="0"/>
              <w:right w:val="single" w:color="auto" w:sz="4" w:space="0"/>
            </w:tcBorders>
            <w:noWrap w:val="0"/>
            <w:vAlign w:val="center"/>
          </w:tcPr>
          <w:p w14:paraId="43763B61">
            <w:pPr>
              <w:jc w:val="center"/>
              <w:rPr>
                <w:rFonts w:ascii="宋体" w:hAnsi="宋体" w:cs="宋体"/>
                <w:color w:val="auto"/>
                <w:highlight w:val="none"/>
              </w:rPr>
            </w:pPr>
            <w:r>
              <w:rPr>
                <w:rFonts w:hint="eastAsia" w:ascii="宋体" w:hAnsi="宋体" w:cs="宋体"/>
                <w:color w:val="auto"/>
                <w:highlight w:val="none"/>
              </w:rPr>
              <w:t>数量</w:t>
            </w:r>
          </w:p>
        </w:tc>
        <w:tc>
          <w:tcPr>
            <w:tcW w:w="721" w:type="dxa"/>
            <w:tcBorders>
              <w:top w:val="nil"/>
              <w:left w:val="nil"/>
              <w:bottom w:val="single" w:color="auto" w:sz="4" w:space="0"/>
              <w:right w:val="single" w:color="auto" w:sz="4" w:space="0"/>
            </w:tcBorders>
            <w:noWrap w:val="0"/>
            <w:vAlign w:val="center"/>
          </w:tcPr>
          <w:p w14:paraId="6714ECB6">
            <w:pPr>
              <w:jc w:val="center"/>
              <w:rPr>
                <w:rFonts w:ascii="宋体" w:hAnsi="宋体" w:cs="宋体"/>
                <w:color w:val="auto"/>
                <w:highlight w:val="none"/>
              </w:rPr>
            </w:pPr>
            <w:r>
              <w:rPr>
                <w:rFonts w:hint="eastAsia" w:ascii="宋体" w:hAnsi="宋体" w:cs="宋体"/>
                <w:color w:val="auto"/>
                <w:highlight w:val="none"/>
              </w:rPr>
              <w:t>金额</w:t>
            </w:r>
          </w:p>
        </w:tc>
        <w:tc>
          <w:tcPr>
            <w:tcW w:w="721" w:type="dxa"/>
            <w:tcBorders>
              <w:top w:val="nil"/>
              <w:left w:val="nil"/>
              <w:bottom w:val="single" w:color="auto" w:sz="4" w:space="0"/>
              <w:right w:val="single" w:color="auto" w:sz="4" w:space="0"/>
            </w:tcBorders>
            <w:noWrap w:val="0"/>
            <w:vAlign w:val="center"/>
          </w:tcPr>
          <w:p w14:paraId="1818B11B">
            <w:pPr>
              <w:jc w:val="center"/>
              <w:rPr>
                <w:rFonts w:ascii="宋体" w:hAnsi="宋体" w:cs="宋体"/>
                <w:color w:val="auto"/>
                <w:highlight w:val="none"/>
              </w:rPr>
            </w:pPr>
            <w:r>
              <w:rPr>
                <w:rFonts w:hint="eastAsia" w:ascii="宋体" w:hAnsi="宋体" w:cs="宋体"/>
                <w:color w:val="auto"/>
                <w:highlight w:val="none"/>
              </w:rPr>
              <w:t>人/工日</w:t>
            </w:r>
          </w:p>
        </w:tc>
        <w:tc>
          <w:tcPr>
            <w:tcW w:w="719" w:type="dxa"/>
            <w:tcBorders>
              <w:top w:val="nil"/>
              <w:left w:val="nil"/>
              <w:bottom w:val="single" w:color="auto" w:sz="4" w:space="0"/>
              <w:right w:val="single" w:color="auto" w:sz="4" w:space="0"/>
            </w:tcBorders>
            <w:noWrap w:val="0"/>
            <w:vAlign w:val="center"/>
          </w:tcPr>
          <w:p w14:paraId="1C64EEB4">
            <w:pPr>
              <w:jc w:val="center"/>
              <w:rPr>
                <w:rFonts w:ascii="宋体" w:hAnsi="宋体" w:cs="宋体"/>
                <w:color w:val="auto"/>
                <w:highlight w:val="none"/>
              </w:rPr>
            </w:pPr>
            <w:r>
              <w:rPr>
                <w:rFonts w:hint="eastAsia" w:ascii="宋体" w:hAnsi="宋体" w:cs="宋体"/>
                <w:color w:val="auto"/>
                <w:highlight w:val="none"/>
              </w:rPr>
              <w:t>金额</w:t>
            </w:r>
          </w:p>
        </w:tc>
        <w:tc>
          <w:tcPr>
            <w:tcW w:w="577" w:type="dxa"/>
            <w:vMerge w:val="continue"/>
            <w:tcBorders>
              <w:top w:val="nil"/>
              <w:left w:val="single" w:color="auto" w:sz="4" w:space="0"/>
              <w:bottom w:val="single" w:color="auto" w:sz="4" w:space="0"/>
              <w:right w:val="single" w:color="auto" w:sz="4" w:space="0"/>
            </w:tcBorders>
            <w:noWrap w:val="0"/>
            <w:vAlign w:val="center"/>
          </w:tcPr>
          <w:p w14:paraId="36AEE4D4">
            <w:pPr>
              <w:jc w:val="center"/>
              <w:rPr>
                <w:rFonts w:ascii="宋体" w:hAnsi="宋体" w:cs="宋体"/>
                <w:color w:val="auto"/>
                <w:highlight w:val="none"/>
              </w:rPr>
            </w:pPr>
          </w:p>
        </w:tc>
        <w:tc>
          <w:tcPr>
            <w:tcW w:w="571" w:type="dxa"/>
            <w:vMerge w:val="continue"/>
            <w:tcBorders>
              <w:top w:val="nil"/>
              <w:left w:val="single" w:color="auto" w:sz="4" w:space="0"/>
              <w:bottom w:val="single" w:color="auto" w:sz="4" w:space="0"/>
              <w:right w:val="single" w:color="auto" w:sz="4" w:space="0"/>
            </w:tcBorders>
            <w:noWrap w:val="0"/>
            <w:vAlign w:val="center"/>
          </w:tcPr>
          <w:p w14:paraId="2FBA0AB6">
            <w:pPr>
              <w:jc w:val="center"/>
              <w:rPr>
                <w:rFonts w:ascii="宋体" w:hAnsi="宋体" w:cs="宋体"/>
                <w:color w:val="auto"/>
                <w:highlight w:val="none"/>
              </w:rPr>
            </w:pPr>
          </w:p>
        </w:tc>
        <w:tc>
          <w:tcPr>
            <w:tcW w:w="236" w:type="dxa"/>
            <w:noWrap w:val="0"/>
            <w:vAlign w:val="center"/>
          </w:tcPr>
          <w:p w14:paraId="2FC8F073">
            <w:pPr>
              <w:jc w:val="center"/>
              <w:rPr>
                <w:rFonts w:ascii="宋体" w:hAnsi="宋体" w:cs="宋体"/>
                <w:color w:val="auto"/>
                <w:highlight w:val="none"/>
              </w:rPr>
            </w:pPr>
          </w:p>
        </w:tc>
      </w:tr>
      <w:tr w14:paraId="0860B1D3">
        <w:tblPrEx>
          <w:tblCellMar>
            <w:top w:w="0" w:type="dxa"/>
            <w:left w:w="108" w:type="dxa"/>
            <w:bottom w:w="0" w:type="dxa"/>
            <w:right w:w="108" w:type="dxa"/>
          </w:tblCellMar>
        </w:tblPrEx>
        <w:trPr>
          <w:trHeight w:val="1125" w:hRule="atLeast"/>
        </w:trPr>
        <w:tc>
          <w:tcPr>
            <w:tcW w:w="404" w:type="dxa"/>
            <w:tcBorders>
              <w:top w:val="nil"/>
              <w:left w:val="single" w:color="auto" w:sz="4" w:space="0"/>
              <w:bottom w:val="single" w:color="auto" w:sz="4" w:space="0"/>
              <w:right w:val="single" w:color="auto" w:sz="4" w:space="0"/>
            </w:tcBorders>
            <w:noWrap w:val="0"/>
            <w:vAlign w:val="center"/>
          </w:tcPr>
          <w:p w14:paraId="096CFEB6">
            <w:pPr>
              <w:jc w:val="center"/>
              <w:rPr>
                <w:rFonts w:ascii="宋体" w:hAnsi="宋体" w:cs="宋体"/>
                <w:color w:val="auto"/>
                <w:highlight w:val="none"/>
              </w:rPr>
            </w:pPr>
            <w:r>
              <w:rPr>
                <w:rFonts w:hint="eastAsia" w:ascii="宋体" w:hAnsi="宋体" w:cs="宋体"/>
                <w:color w:val="auto"/>
                <w:highlight w:val="none"/>
              </w:rPr>
              <w:t>1</w:t>
            </w:r>
          </w:p>
        </w:tc>
        <w:tc>
          <w:tcPr>
            <w:tcW w:w="1032" w:type="dxa"/>
            <w:tcBorders>
              <w:top w:val="nil"/>
              <w:left w:val="nil"/>
              <w:bottom w:val="single" w:color="auto" w:sz="4" w:space="0"/>
              <w:right w:val="single" w:color="auto" w:sz="4" w:space="0"/>
            </w:tcBorders>
            <w:noWrap w:val="0"/>
            <w:vAlign w:val="center"/>
          </w:tcPr>
          <w:p w14:paraId="79C375E8">
            <w:pPr>
              <w:jc w:val="center"/>
              <w:rPr>
                <w:rFonts w:ascii="宋体" w:hAnsi="宋体" w:cs="宋体"/>
                <w:color w:val="auto"/>
                <w:highlight w:val="none"/>
              </w:rPr>
            </w:pPr>
          </w:p>
        </w:tc>
        <w:tc>
          <w:tcPr>
            <w:tcW w:w="792" w:type="dxa"/>
            <w:tcBorders>
              <w:top w:val="single" w:color="auto" w:sz="4" w:space="0"/>
              <w:left w:val="nil"/>
              <w:bottom w:val="single" w:color="auto" w:sz="4" w:space="0"/>
              <w:right w:val="single" w:color="auto" w:sz="4" w:space="0"/>
            </w:tcBorders>
            <w:noWrap w:val="0"/>
            <w:vAlign w:val="center"/>
          </w:tcPr>
          <w:p w14:paraId="16520DB1">
            <w:pPr>
              <w:jc w:val="center"/>
              <w:rPr>
                <w:rFonts w:ascii="宋体" w:hAnsi="宋体" w:cs="宋体"/>
                <w:color w:val="auto"/>
                <w:highlight w:val="none"/>
              </w:rPr>
            </w:pPr>
          </w:p>
        </w:tc>
        <w:tc>
          <w:tcPr>
            <w:tcW w:w="940" w:type="dxa"/>
            <w:tcBorders>
              <w:top w:val="single" w:color="auto" w:sz="4" w:space="0"/>
              <w:left w:val="nil"/>
              <w:bottom w:val="single" w:color="auto" w:sz="4" w:space="0"/>
              <w:right w:val="single" w:color="auto" w:sz="4" w:space="0"/>
            </w:tcBorders>
            <w:noWrap w:val="0"/>
            <w:vAlign w:val="center"/>
          </w:tcPr>
          <w:p w14:paraId="064C15DB">
            <w:pPr>
              <w:jc w:val="center"/>
              <w:rPr>
                <w:rFonts w:ascii="宋体" w:hAnsi="宋体" w:cs="宋体"/>
                <w:color w:val="auto"/>
                <w:highlight w:val="none"/>
              </w:rPr>
            </w:pPr>
            <w:r>
              <w:rPr>
                <w:rFonts w:hint="eastAsia" w:ascii="宋体" w:hAnsi="宋体" w:cs="宋体"/>
                <w:color w:val="auto"/>
                <w:highlight w:val="none"/>
              </w:rPr>
              <w:t>卷闸门</w:t>
            </w:r>
          </w:p>
        </w:tc>
        <w:tc>
          <w:tcPr>
            <w:tcW w:w="863" w:type="dxa"/>
            <w:tcBorders>
              <w:top w:val="single" w:color="auto" w:sz="4" w:space="0"/>
              <w:left w:val="nil"/>
              <w:bottom w:val="single" w:color="auto" w:sz="4" w:space="0"/>
              <w:right w:val="single" w:color="auto" w:sz="4" w:space="0"/>
            </w:tcBorders>
            <w:noWrap w:val="0"/>
            <w:vAlign w:val="center"/>
          </w:tcPr>
          <w:p w14:paraId="2DAB9867">
            <w:pPr>
              <w:jc w:val="center"/>
              <w:rPr>
                <w:rFonts w:ascii="宋体" w:hAnsi="宋体" w:cs="宋体"/>
                <w:color w:val="auto"/>
                <w:highlight w:val="none"/>
              </w:rPr>
            </w:pPr>
          </w:p>
        </w:tc>
        <w:tc>
          <w:tcPr>
            <w:tcW w:w="1443" w:type="dxa"/>
            <w:vMerge w:val="restart"/>
            <w:tcBorders>
              <w:top w:val="nil"/>
              <w:left w:val="single" w:color="auto" w:sz="4" w:space="0"/>
              <w:bottom w:val="single" w:color="000000" w:sz="4" w:space="0"/>
              <w:right w:val="single" w:color="auto" w:sz="4" w:space="0"/>
            </w:tcBorders>
            <w:noWrap w:val="0"/>
            <w:vAlign w:val="center"/>
          </w:tcPr>
          <w:p w14:paraId="6B9A5D00">
            <w:pPr>
              <w:jc w:val="center"/>
              <w:rPr>
                <w:rFonts w:ascii="宋体" w:hAnsi="宋体" w:cs="宋体"/>
                <w:color w:val="auto"/>
                <w:highlight w:val="none"/>
                <w:lang w:eastAsia="zh-CN"/>
              </w:rPr>
            </w:pPr>
            <w:r>
              <w:rPr>
                <w:rFonts w:hint="eastAsia" w:ascii="宋体" w:hAnsi="宋体" w:cs="宋体"/>
                <w:color w:val="auto"/>
                <w:highlight w:val="none"/>
                <w:lang w:eastAsia="zh-CN"/>
              </w:rPr>
              <w:t>一、完善、改造和维护安全防护设施设备支出</w:t>
            </w:r>
          </w:p>
        </w:tc>
        <w:tc>
          <w:tcPr>
            <w:tcW w:w="1582" w:type="dxa"/>
            <w:tcBorders>
              <w:top w:val="nil"/>
              <w:left w:val="nil"/>
              <w:bottom w:val="single" w:color="auto" w:sz="4" w:space="0"/>
              <w:right w:val="single" w:color="auto" w:sz="4" w:space="0"/>
            </w:tcBorders>
            <w:noWrap w:val="0"/>
            <w:vAlign w:val="center"/>
          </w:tcPr>
          <w:p w14:paraId="697D19DB">
            <w:pPr>
              <w:jc w:val="center"/>
              <w:rPr>
                <w:rFonts w:ascii="宋体" w:hAnsi="宋体" w:cs="宋体"/>
                <w:color w:val="auto"/>
                <w:highlight w:val="none"/>
                <w:lang w:eastAsia="zh-CN"/>
              </w:rPr>
            </w:pPr>
            <w:r>
              <w:rPr>
                <w:rFonts w:hint="eastAsia" w:ascii="宋体" w:hAnsi="宋体" w:cs="宋体"/>
                <w:color w:val="auto"/>
                <w:highlight w:val="none"/>
                <w:lang w:eastAsia="zh-CN"/>
              </w:rPr>
              <w:t>（三）安全设施防护设备（含警戒标志）费用；卸料平台的临边防护、层间安全门、防护棚等设施费用</w:t>
            </w:r>
          </w:p>
        </w:tc>
        <w:tc>
          <w:tcPr>
            <w:tcW w:w="721" w:type="dxa"/>
            <w:tcBorders>
              <w:top w:val="nil"/>
              <w:left w:val="nil"/>
              <w:bottom w:val="single" w:color="auto" w:sz="4" w:space="0"/>
              <w:right w:val="single" w:color="auto" w:sz="4" w:space="0"/>
            </w:tcBorders>
            <w:noWrap w:val="0"/>
            <w:vAlign w:val="center"/>
          </w:tcPr>
          <w:p w14:paraId="6F77A655">
            <w:pPr>
              <w:jc w:val="center"/>
              <w:rPr>
                <w:rFonts w:ascii="宋体" w:hAnsi="宋体" w:cs="宋体"/>
                <w:color w:val="auto"/>
                <w:highlight w:val="none"/>
                <w:lang w:eastAsia="zh-CN"/>
              </w:rPr>
            </w:pPr>
          </w:p>
        </w:tc>
        <w:tc>
          <w:tcPr>
            <w:tcW w:w="721" w:type="dxa"/>
            <w:tcBorders>
              <w:top w:val="nil"/>
              <w:left w:val="nil"/>
              <w:bottom w:val="single" w:color="auto" w:sz="4" w:space="0"/>
              <w:right w:val="single" w:color="auto" w:sz="4" w:space="0"/>
            </w:tcBorders>
            <w:noWrap w:val="0"/>
            <w:vAlign w:val="center"/>
          </w:tcPr>
          <w:p w14:paraId="75CC9D4F">
            <w:pPr>
              <w:jc w:val="center"/>
              <w:rPr>
                <w:rFonts w:ascii="宋体" w:hAnsi="宋体" w:cs="宋体"/>
                <w:color w:val="auto"/>
                <w:highlight w:val="none"/>
                <w:lang w:eastAsia="zh-CN"/>
              </w:rPr>
            </w:pPr>
          </w:p>
        </w:tc>
        <w:tc>
          <w:tcPr>
            <w:tcW w:w="719" w:type="dxa"/>
            <w:tcBorders>
              <w:top w:val="nil"/>
              <w:left w:val="nil"/>
              <w:bottom w:val="single" w:color="auto" w:sz="4" w:space="0"/>
              <w:right w:val="single" w:color="auto" w:sz="4" w:space="0"/>
            </w:tcBorders>
            <w:noWrap w:val="0"/>
            <w:vAlign w:val="center"/>
          </w:tcPr>
          <w:p w14:paraId="21F99E8F">
            <w:pPr>
              <w:jc w:val="center"/>
              <w:rPr>
                <w:rFonts w:ascii="宋体" w:hAnsi="宋体" w:cs="宋体"/>
                <w:color w:val="auto"/>
                <w:highlight w:val="none"/>
                <w:lang w:eastAsia="zh-CN"/>
              </w:rPr>
            </w:pPr>
          </w:p>
        </w:tc>
        <w:tc>
          <w:tcPr>
            <w:tcW w:w="721" w:type="dxa"/>
            <w:tcBorders>
              <w:top w:val="nil"/>
              <w:left w:val="nil"/>
              <w:bottom w:val="single" w:color="auto" w:sz="4" w:space="0"/>
              <w:right w:val="single" w:color="auto" w:sz="4" w:space="0"/>
            </w:tcBorders>
            <w:noWrap w:val="0"/>
            <w:vAlign w:val="center"/>
          </w:tcPr>
          <w:p w14:paraId="02C4A8C0">
            <w:pPr>
              <w:jc w:val="center"/>
              <w:rPr>
                <w:rFonts w:ascii="宋体" w:hAnsi="宋体" w:cs="宋体"/>
                <w:color w:val="auto"/>
                <w:highlight w:val="none"/>
                <w:lang w:eastAsia="zh-CN"/>
              </w:rPr>
            </w:pPr>
          </w:p>
        </w:tc>
        <w:tc>
          <w:tcPr>
            <w:tcW w:w="719" w:type="dxa"/>
            <w:tcBorders>
              <w:top w:val="nil"/>
              <w:left w:val="nil"/>
              <w:bottom w:val="single" w:color="auto" w:sz="4" w:space="0"/>
              <w:right w:val="single" w:color="auto" w:sz="4" w:space="0"/>
            </w:tcBorders>
            <w:noWrap w:val="0"/>
            <w:vAlign w:val="center"/>
          </w:tcPr>
          <w:p w14:paraId="4892B25E">
            <w:pPr>
              <w:jc w:val="center"/>
              <w:rPr>
                <w:rFonts w:ascii="宋体" w:hAnsi="宋体" w:cs="宋体"/>
                <w:color w:val="auto"/>
                <w:highlight w:val="none"/>
                <w:lang w:eastAsia="zh-CN"/>
              </w:rPr>
            </w:pPr>
          </w:p>
        </w:tc>
        <w:tc>
          <w:tcPr>
            <w:tcW w:w="721" w:type="dxa"/>
            <w:tcBorders>
              <w:top w:val="nil"/>
              <w:left w:val="nil"/>
              <w:bottom w:val="single" w:color="auto" w:sz="4" w:space="0"/>
              <w:right w:val="single" w:color="auto" w:sz="4" w:space="0"/>
            </w:tcBorders>
            <w:noWrap w:val="0"/>
            <w:vAlign w:val="center"/>
          </w:tcPr>
          <w:p w14:paraId="592DB44F">
            <w:pPr>
              <w:jc w:val="center"/>
              <w:rPr>
                <w:rFonts w:ascii="宋体" w:hAnsi="宋体" w:cs="宋体"/>
                <w:color w:val="auto"/>
                <w:highlight w:val="none"/>
                <w:lang w:eastAsia="zh-CN"/>
              </w:rPr>
            </w:pPr>
          </w:p>
        </w:tc>
        <w:tc>
          <w:tcPr>
            <w:tcW w:w="721" w:type="dxa"/>
            <w:tcBorders>
              <w:top w:val="nil"/>
              <w:left w:val="nil"/>
              <w:bottom w:val="single" w:color="auto" w:sz="4" w:space="0"/>
              <w:right w:val="single" w:color="auto" w:sz="4" w:space="0"/>
            </w:tcBorders>
            <w:noWrap w:val="0"/>
            <w:vAlign w:val="center"/>
          </w:tcPr>
          <w:p w14:paraId="7C9723D1">
            <w:pPr>
              <w:jc w:val="center"/>
              <w:rPr>
                <w:rFonts w:ascii="宋体" w:hAnsi="宋体" w:cs="宋体"/>
                <w:color w:val="auto"/>
                <w:highlight w:val="none"/>
                <w:lang w:eastAsia="zh-CN"/>
              </w:rPr>
            </w:pPr>
          </w:p>
        </w:tc>
        <w:tc>
          <w:tcPr>
            <w:tcW w:w="719" w:type="dxa"/>
            <w:tcBorders>
              <w:top w:val="nil"/>
              <w:left w:val="nil"/>
              <w:bottom w:val="single" w:color="auto" w:sz="4" w:space="0"/>
              <w:right w:val="single" w:color="auto" w:sz="4" w:space="0"/>
            </w:tcBorders>
            <w:noWrap w:val="0"/>
            <w:vAlign w:val="center"/>
          </w:tcPr>
          <w:p w14:paraId="28B04F77">
            <w:pPr>
              <w:jc w:val="center"/>
              <w:rPr>
                <w:rFonts w:ascii="宋体" w:hAnsi="宋体" w:cs="宋体"/>
                <w:color w:val="auto"/>
                <w:highlight w:val="none"/>
                <w:lang w:eastAsia="zh-CN"/>
              </w:rPr>
            </w:pPr>
          </w:p>
        </w:tc>
        <w:tc>
          <w:tcPr>
            <w:tcW w:w="577" w:type="dxa"/>
            <w:tcBorders>
              <w:top w:val="nil"/>
              <w:left w:val="nil"/>
              <w:bottom w:val="single" w:color="auto" w:sz="4" w:space="0"/>
              <w:right w:val="single" w:color="auto" w:sz="4" w:space="0"/>
            </w:tcBorders>
            <w:noWrap w:val="0"/>
            <w:vAlign w:val="center"/>
          </w:tcPr>
          <w:p w14:paraId="7862C0DD">
            <w:pPr>
              <w:jc w:val="center"/>
              <w:rPr>
                <w:rFonts w:ascii="宋体" w:hAnsi="宋体" w:cs="宋体"/>
                <w:color w:val="auto"/>
                <w:highlight w:val="none"/>
                <w:lang w:eastAsia="zh-CN"/>
              </w:rPr>
            </w:pPr>
          </w:p>
        </w:tc>
        <w:tc>
          <w:tcPr>
            <w:tcW w:w="571" w:type="dxa"/>
            <w:tcBorders>
              <w:top w:val="nil"/>
              <w:left w:val="nil"/>
              <w:bottom w:val="single" w:color="auto" w:sz="4" w:space="0"/>
              <w:right w:val="single" w:color="auto" w:sz="4" w:space="0"/>
            </w:tcBorders>
            <w:noWrap w:val="0"/>
            <w:vAlign w:val="center"/>
          </w:tcPr>
          <w:p w14:paraId="6F2CE2C6">
            <w:pPr>
              <w:jc w:val="center"/>
              <w:rPr>
                <w:rFonts w:ascii="宋体" w:hAnsi="宋体" w:cs="宋体"/>
                <w:color w:val="auto"/>
                <w:highlight w:val="none"/>
                <w:lang w:eastAsia="zh-CN"/>
              </w:rPr>
            </w:pPr>
          </w:p>
        </w:tc>
        <w:tc>
          <w:tcPr>
            <w:tcW w:w="236" w:type="dxa"/>
            <w:noWrap w:val="0"/>
            <w:vAlign w:val="center"/>
          </w:tcPr>
          <w:p w14:paraId="3B7F4349">
            <w:pPr>
              <w:jc w:val="center"/>
              <w:rPr>
                <w:rFonts w:ascii="宋体" w:hAnsi="宋体" w:cs="宋体"/>
                <w:color w:val="auto"/>
                <w:highlight w:val="none"/>
                <w:lang w:eastAsia="zh-CN"/>
              </w:rPr>
            </w:pPr>
          </w:p>
        </w:tc>
      </w:tr>
      <w:tr w14:paraId="036DC334">
        <w:tblPrEx>
          <w:tblCellMar>
            <w:top w:w="0" w:type="dxa"/>
            <w:left w:w="108" w:type="dxa"/>
            <w:bottom w:w="0" w:type="dxa"/>
            <w:right w:w="108" w:type="dxa"/>
          </w:tblCellMar>
        </w:tblPrEx>
        <w:trPr>
          <w:trHeight w:val="285" w:hRule="atLeast"/>
        </w:trPr>
        <w:tc>
          <w:tcPr>
            <w:tcW w:w="404" w:type="dxa"/>
            <w:vMerge w:val="restart"/>
            <w:tcBorders>
              <w:top w:val="nil"/>
              <w:left w:val="single" w:color="auto" w:sz="4" w:space="0"/>
              <w:bottom w:val="single" w:color="auto" w:sz="4" w:space="0"/>
              <w:right w:val="single" w:color="auto" w:sz="4" w:space="0"/>
            </w:tcBorders>
            <w:noWrap w:val="0"/>
            <w:vAlign w:val="center"/>
          </w:tcPr>
          <w:p w14:paraId="26643677">
            <w:pPr>
              <w:jc w:val="center"/>
              <w:rPr>
                <w:rFonts w:ascii="宋体" w:hAnsi="宋体" w:cs="宋体"/>
                <w:color w:val="auto"/>
                <w:highlight w:val="none"/>
              </w:rPr>
            </w:pPr>
            <w:r>
              <w:rPr>
                <w:rFonts w:hint="eastAsia" w:ascii="宋体" w:hAnsi="宋体" w:cs="宋体"/>
                <w:color w:val="auto"/>
                <w:highlight w:val="none"/>
              </w:rPr>
              <w:t>2</w:t>
            </w:r>
          </w:p>
        </w:tc>
        <w:tc>
          <w:tcPr>
            <w:tcW w:w="1032" w:type="dxa"/>
            <w:tcBorders>
              <w:top w:val="nil"/>
              <w:left w:val="nil"/>
              <w:bottom w:val="single" w:color="auto" w:sz="4" w:space="0"/>
              <w:right w:val="single" w:color="auto" w:sz="4" w:space="0"/>
            </w:tcBorders>
            <w:noWrap w:val="0"/>
            <w:vAlign w:val="center"/>
          </w:tcPr>
          <w:p w14:paraId="570C7900">
            <w:pPr>
              <w:jc w:val="center"/>
              <w:rPr>
                <w:rFonts w:ascii="宋体" w:hAnsi="宋体" w:cs="宋体"/>
                <w:color w:val="auto"/>
                <w:highlight w:val="none"/>
              </w:rPr>
            </w:pPr>
          </w:p>
        </w:tc>
        <w:tc>
          <w:tcPr>
            <w:tcW w:w="792" w:type="dxa"/>
            <w:tcBorders>
              <w:top w:val="single" w:color="auto" w:sz="4" w:space="0"/>
              <w:left w:val="nil"/>
              <w:bottom w:val="single" w:color="auto" w:sz="4" w:space="0"/>
              <w:right w:val="single" w:color="auto" w:sz="4" w:space="0"/>
            </w:tcBorders>
            <w:noWrap w:val="0"/>
            <w:vAlign w:val="center"/>
          </w:tcPr>
          <w:p w14:paraId="3ED0287B">
            <w:pPr>
              <w:jc w:val="center"/>
              <w:rPr>
                <w:rFonts w:ascii="宋体" w:hAnsi="宋体" w:cs="宋体"/>
                <w:color w:val="auto"/>
                <w:highlight w:val="none"/>
              </w:rPr>
            </w:pPr>
          </w:p>
        </w:tc>
        <w:tc>
          <w:tcPr>
            <w:tcW w:w="940" w:type="dxa"/>
            <w:tcBorders>
              <w:top w:val="single" w:color="auto" w:sz="4" w:space="0"/>
              <w:left w:val="nil"/>
              <w:bottom w:val="single" w:color="auto" w:sz="4" w:space="0"/>
              <w:right w:val="single" w:color="auto" w:sz="4" w:space="0"/>
            </w:tcBorders>
            <w:noWrap w:val="0"/>
            <w:vAlign w:val="center"/>
          </w:tcPr>
          <w:p w14:paraId="7AB9C082">
            <w:pPr>
              <w:jc w:val="center"/>
              <w:rPr>
                <w:rFonts w:ascii="宋体" w:hAnsi="宋体" w:cs="宋体"/>
                <w:color w:val="auto"/>
                <w:highlight w:val="none"/>
              </w:rPr>
            </w:pPr>
            <w:r>
              <w:rPr>
                <w:rFonts w:hint="eastAsia" w:ascii="宋体" w:hAnsi="宋体" w:cs="宋体"/>
                <w:color w:val="auto"/>
                <w:highlight w:val="none"/>
              </w:rPr>
              <w:t>其他机械设备</w:t>
            </w:r>
          </w:p>
        </w:tc>
        <w:tc>
          <w:tcPr>
            <w:tcW w:w="863" w:type="dxa"/>
            <w:vMerge w:val="restart"/>
            <w:tcBorders>
              <w:top w:val="single" w:color="auto" w:sz="4" w:space="0"/>
              <w:left w:val="single" w:color="auto" w:sz="4" w:space="0"/>
              <w:bottom w:val="single" w:color="auto" w:sz="4" w:space="0"/>
              <w:right w:val="single" w:color="auto" w:sz="4" w:space="0"/>
            </w:tcBorders>
            <w:noWrap w:val="0"/>
            <w:vAlign w:val="center"/>
          </w:tcPr>
          <w:p w14:paraId="1B3864C2">
            <w:pPr>
              <w:jc w:val="center"/>
              <w:rPr>
                <w:rFonts w:ascii="宋体" w:hAnsi="宋体" w:cs="宋体"/>
                <w:color w:val="auto"/>
                <w:highlight w:val="none"/>
              </w:rPr>
            </w:pPr>
          </w:p>
        </w:tc>
        <w:tc>
          <w:tcPr>
            <w:tcW w:w="1443" w:type="dxa"/>
            <w:vMerge w:val="continue"/>
            <w:tcBorders>
              <w:top w:val="nil"/>
              <w:left w:val="single" w:color="auto" w:sz="4" w:space="0"/>
              <w:bottom w:val="single" w:color="000000" w:sz="4" w:space="0"/>
              <w:right w:val="single" w:color="auto" w:sz="4" w:space="0"/>
            </w:tcBorders>
            <w:noWrap w:val="0"/>
            <w:vAlign w:val="center"/>
          </w:tcPr>
          <w:p w14:paraId="37AFEA58">
            <w:pPr>
              <w:jc w:val="center"/>
              <w:rPr>
                <w:rFonts w:ascii="宋体" w:hAnsi="宋体" w:cs="宋体"/>
                <w:color w:val="auto"/>
                <w:highlight w:val="none"/>
              </w:rPr>
            </w:pPr>
          </w:p>
        </w:tc>
        <w:tc>
          <w:tcPr>
            <w:tcW w:w="1582" w:type="dxa"/>
            <w:vMerge w:val="restart"/>
            <w:tcBorders>
              <w:top w:val="nil"/>
              <w:left w:val="single" w:color="auto" w:sz="4" w:space="0"/>
              <w:bottom w:val="single" w:color="000000" w:sz="4" w:space="0"/>
              <w:right w:val="single" w:color="auto" w:sz="4" w:space="0"/>
            </w:tcBorders>
            <w:noWrap w:val="0"/>
            <w:vAlign w:val="center"/>
          </w:tcPr>
          <w:p w14:paraId="2629E7CE">
            <w:pPr>
              <w:jc w:val="center"/>
              <w:rPr>
                <w:rFonts w:ascii="宋体" w:hAnsi="宋体" w:cs="宋体"/>
                <w:color w:val="auto"/>
                <w:highlight w:val="none"/>
                <w:lang w:eastAsia="zh-CN"/>
              </w:rPr>
            </w:pPr>
            <w:r>
              <w:rPr>
                <w:rFonts w:hint="eastAsia" w:ascii="宋体" w:hAnsi="宋体" w:cs="宋体"/>
                <w:color w:val="auto"/>
                <w:highlight w:val="none"/>
                <w:lang w:eastAsia="zh-CN"/>
              </w:rPr>
              <w:t>（八）临时设施、施工道路、围墙搭设等费用</w:t>
            </w:r>
          </w:p>
        </w:tc>
        <w:tc>
          <w:tcPr>
            <w:tcW w:w="721" w:type="dxa"/>
            <w:tcBorders>
              <w:top w:val="nil"/>
              <w:left w:val="nil"/>
              <w:bottom w:val="single" w:color="auto" w:sz="4" w:space="0"/>
              <w:right w:val="single" w:color="auto" w:sz="4" w:space="0"/>
            </w:tcBorders>
            <w:noWrap w:val="0"/>
            <w:vAlign w:val="center"/>
          </w:tcPr>
          <w:p w14:paraId="47B68DBC">
            <w:pPr>
              <w:jc w:val="center"/>
              <w:rPr>
                <w:rFonts w:ascii="宋体" w:hAnsi="宋体" w:cs="宋体"/>
                <w:color w:val="auto"/>
                <w:highlight w:val="none"/>
              </w:rPr>
            </w:pPr>
            <w:r>
              <w:rPr>
                <w:rFonts w:hint="eastAsia" w:ascii="宋体" w:hAnsi="宋体" w:cs="宋体"/>
                <w:color w:val="auto"/>
                <w:highlight w:val="none"/>
              </w:rPr>
              <w:t>个</w:t>
            </w:r>
          </w:p>
        </w:tc>
        <w:tc>
          <w:tcPr>
            <w:tcW w:w="721" w:type="dxa"/>
            <w:tcBorders>
              <w:top w:val="nil"/>
              <w:left w:val="nil"/>
              <w:bottom w:val="single" w:color="auto" w:sz="4" w:space="0"/>
              <w:right w:val="single" w:color="auto" w:sz="4" w:space="0"/>
            </w:tcBorders>
            <w:noWrap w:val="0"/>
            <w:vAlign w:val="center"/>
          </w:tcPr>
          <w:p w14:paraId="204BE099">
            <w:pPr>
              <w:jc w:val="center"/>
              <w:rPr>
                <w:rFonts w:ascii="宋体" w:hAnsi="宋体" w:cs="宋体"/>
                <w:color w:val="auto"/>
                <w:highlight w:val="none"/>
              </w:rPr>
            </w:pPr>
          </w:p>
        </w:tc>
        <w:tc>
          <w:tcPr>
            <w:tcW w:w="719" w:type="dxa"/>
            <w:tcBorders>
              <w:top w:val="nil"/>
              <w:left w:val="nil"/>
              <w:bottom w:val="single" w:color="auto" w:sz="4" w:space="0"/>
              <w:right w:val="single" w:color="auto" w:sz="4" w:space="0"/>
            </w:tcBorders>
            <w:noWrap w:val="0"/>
            <w:vAlign w:val="center"/>
          </w:tcPr>
          <w:p w14:paraId="7BD4346F">
            <w:pPr>
              <w:jc w:val="center"/>
              <w:rPr>
                <w:rFonts w:ascii="宋体" w:hAnsi="宋体" w:cs="宋体"/>
                <w:color w:val="auto"/>
                <w:highlight w:val="none"/>
              </w:rPr>
            </w:pPr>
          </w:p>
        </w:tc>
        <w:tc>
          <w:tcPr>
            <w:tcW w:w="721" w:type="dxa"/>
            <w:vMerge w:val="restart"/>
            <w:tcBorders>
              <w:top w:val="nil"/>
              <w:left w:val="single" w:color="auto" w:sz="4" w:space="0"/>
              <w:bottom w:val="single" w:color="auto" w:sz="4" w:space="0"/>
              <w:right w:val="single" w:color="auto" w:sz="4" w:space="0"/>
            </w:tcBorders>
            <w:noWrap w:val="0"/>
            <w:vAlign w:val="center"/>
          </w:tcPr>
          <w:p w14:paraId="5597FC74">
            <w:pPr>
              <w:jc w:val="center"/>
              <w:rPr>
                <w:rFonts w:ascii="宋体" w:hAnsi="宋体" w:cs="宋体"/>
                <w:color w:val="auto"/>
                <w:highlight w:val="none"/>
              </w:rPr>
            </w:pPr>
          </w:p>
        </w:tc>
        <w:tc>
          <w:tcPr>
            <w:tcW w:w="719" w:type="dxa"/>
            <w:vMerge w:val="restart"/>
            <w:tcBorders>
              <w:top w:val="nil"/>
              <w:left w:val="single" w:color="auto" w:sz="4" w:space="0"/>
              <w:bottom w:val="single" w:color="auto" w:sz="4" w:space="0"/>
              <w:right w:val="single" w:color="auto" w:sz="4" w:space="0"/>
            </w:tcBorders>
            <w:noWrap w:val="0"/>
            <w:vAlign w:val="center"/>
          </w:tcPr>
          <w:p w14:paraId="43A9F030">
            <w:pPr>
              <w:jc w:val="center"/>
              <w:rPr>
                <w:rFonts w:ascii="宋体" w:hAnsi="宋体" w:cs="宋体"/>
                <w:color w:val="auto"/>
                <w:highlight w:val="none"/>
              </w:rPr>
            </w:pPr>
          </w:p>
        </w:tc>
        <w:tc>
          <w:tcPr>
            <w:tcW w:w="721" w:type="dxa"/>
            <w:vMerge w:val="restart"/>
            <w:tcBorders>
              <w:top w:val="nil"/>
              <w:left w:val="single" w:color="auto" w:sz="4" w:space="0"/>
              <w:bottom w:val="single" w:color="auto" w:sz="4" w:space="0"/>
              <w:right w:val="single" w:color="auto" w:sz="4" w:space="0"/>
            </w:tcBorders>
            <w:noWrap w:val="0"/>
            <w:vAlign w:val="center"/>
          </w:tcPr>
          <w:p w14:paraId="640A3041">
            <w:pPr>
              <w:jc w:val="center"/>
              <w:rPr>
                <w:rFonts w:ascii="宋体" w:hAnsi="宋体" w:cs="宋体"/>
                <w:color w:val="auto"/>
                <w:highlight w:val="none"/>
              </w:rPr>
            </w:pPr>
          </w:p>
        </w:tc>
        <w:tc>
          <w:tcPr>
            <w:tcW w:w="721" w:type="dxa"/>
            <w:vMerge w:val="restart"/>
            <w:tcBorders>
              <w:top w:val="nil"/>
              <w:left w:val="single" w:color="auto" w:sz="4" w:space="0"/>
              <w:bottom w:val="single" w:color="auto" w:sz="4" w:space="0"/>
              <w:right w:val="single" w:color="auto" w:sz="4" w:space="0"/>
            </w:tcBorders>
            <w:noWrap w:val="0"/>
            <w:vAlign w:val="center"/>
          </w:tcPr>
          <w:p w14:paraId="7B5707D7">
            <w:pPr>
              <w:jc w:val="center"/>
              <w:rPr>
                <w:rFonts w:ascii="宋体" w:hAnsi="宋体" w:cs="宋体"/>
                <w:color w:val="auto"/>
                <w:highlight w:val="none"/>
              </w:rPr>
            </w:pPr>
          </w:p>
        </w:tc>
        <w:tc>
          <w:tcPr>
            <w:tcW w:w="719" w:type="dxa"/>
            <w:vMerge w:val="restart"/>
            <w:tcBorders>
              <w:top w:val="nil"/>
              <w:left w:val="single" w:color="auto" w:sz="4" w:space="0"/>
              <w:bottom w:val="single" w:color="auto" w:sz="4" w:space="0"/>
              <w:right w:val="single" w:color="auto" w:sz="4" w:space="0"/>
            </w:tcBorders>
            <w:noWrap w:val="0"/>
            <w:vAlign w:val="center"/>
          </w:tcPr>
          <w:p w14:paraId="4169FD8A">
            <w:pPr>
              <w:jc w:val="center"/>
              <w:rPr>
                <w:rFonts w:ascii="宋体" w:hAnsi="宋体" w:cs="宋体"/>
                <w:color w:val="auto"/>
                <w:highlight w:val="none"/>
              </w:rPr>
            </w:pPr>
          </w:p>
        </w:tc>
        <w:tc>
          <w:tcPr>
            <w:tcW w:w="577" w:type="dxa"/>
            <w:vMerge w:val="restart"/>
            <w:tcBorders>
              <w:top w:val="nil"/>
              <w:left w:val="single" w:color="auto" w:sz="4" w:space="0"/>
              <w:bottom w:val="single" w:color="auto" w:sz="4" w:space="0"/>
              <w:right w:val="single" w:color="auto" w:sz="4" w:space="0"/>
            </w:tcBorders>
            <w:noWrap w:val="0"/>
            <w:vAlign w:val="center"/>
          </w:tcPr>
          <w:p w14:paraId="4BA01E24">
            <w:pPr>
              <w:jc w:val="center"/>
              <w:rPr>
                <w:rFonts w:ascii="宋体" w:hAnsi="宋体" w:cs="宋体"/>
                <w:color w:val="auto"/>
                <w:highlight w:val="none"/>
              </w:rPr>
            </w:pPr>
          </w:p>
        </w:tc>
        <w:tc>
          <w:tcPr>
            <w:tcW w:w="571" w:type="dxa"/>
            <w:vMerge w:val="restart"/>
            <w:tcBorders>
              <w:top w:val="nil"/>
              <w:left w:val="single" w:color="auto" w:sz="4" w:space="0"/>
              <w:bottom w:val="single" w:color="auto" w:sz="4" w:space="0"/>
              <w:right w:val="single" w:color="auto" w:sz="4" w:space="0"/>
            </w:tcBorders>
            <w:noWrap w:val="0"/>
            <w:vAlign w:val="center"/>
          </w:tcPr>
          <w:p w14:paraId="47071D3A">
            <w:pPr>
              <w:jc w:val="center"/>
              <w:rPr>
                <w:rFonts w:ascii="宋体" w:hAnsi="宋体" w:cs="宋体"/>
                <w:color w:val="auto"/>
                <w:highlight w:val="none"/>
              </w:rPr>
            </w:pPr>
          </w:p>
        </w:tc>
        <w:tc>
          <w:tcPr>
            <w:tcW w:w="236" w:type="dxa"/>
            <w:noWrap w:val="0"/>
            <w:vAlign w:val="center"/>
          </w:tcPr>
          <w:p w14:paraId="7E1C6A1C">
            <w:pPr>
              <w:jc w:val="center"/>
              <w:rPr>
                <w:rFonts w:ascii="宋体" w:hAnsi="宋体" w:cs="宋体"/>
                <w:color w:val="auto"/>
                <w:highlight w:val="none"/>
              </w:rPr>
            </w:pPr>
          </w:p>
        </w:tc>
      </w:tr>
      <w:tr w14:paraId="371EFD01">
        <w:tblPrEx>
          <w:tblCellMar>
            <w:top w:w="0" w:type="dxa"/>
            <w:left w:w="108" w:type="dxa"/>
            <w:bottom w:w="0" w:type="dxa"/>
            <w:right w:w="108" w:type="dxa"/>
          </w:tblCellMar>
        </w:tblPrEx>
        <w:trPr>
          <w:trHeight w:val="285" w:hRule="atLeast"/>
        </w:trPr>
        <w:tc>
          <w:tcPr>
            <w:tcW w:w="404" w:type="dxa"/>
            <w:vMerge w:val="continue"/>
            <w:tcBorders>
              <w:top w:val="nil"/>
              <w:left w:val="single" w:color="auto" w:sz="4" w:space="0"/>
              <w:bottom w:val="single" w:color="auto" w:sz="4" w:space="0"/>
              <w:right w:val="single" w:color="auto" w:sz="4" w:space="0"/>
            </w:tcBorders>
            <w:noWrap w:val="0"/>
            <w:vAlign w:val="center"/>
          </w:tcPr>
          <w:p w14:paraId="2C44C693">
            <w:pPr>
              <w:jc w:val="center"/>
              <w:rPr>
                <w:rFonts w:ascii="宋体" w:hAnsi="宋体" w:cs="宋体"/>
                <w:color w:val="auto"/>
                <w:highlight w:val="none"/>
              </w:rPr>
            </w:pPr>
          </w:p>
        </w:tc>
        <w:tc>
          <w:tcPr>
            <w:tcW w:w="1032" w:type="dxa"/>
            <w:tcBorders>
              <w:top w:val="nil"/>
              <w:left w:val="nil"/>
              <w:bottom w:val="single" w:color="auto" w:sz="4" w:space="0"/>
              <w:right w:val="single" w:color="auto" w:sz="4" w:space="0"/>
            </w:tcBorders>
            <w:noWrap w:val="0"/>
            <w:vAlign w:val="center"/>
          </w:tcPr>
          <w:p w14:paraId="71FEEE23">
            <w:pPr>
              <w:jc w:val="center"/>
              <w:rPr>
                <w:rFonts w:ascii="宋体" w:hAnsi="宋体" w:cs="宋体"/>
                <w:color w:val="auto"/>
                <w:highlight w:val="none"/>
              </w:rPr>
            </w:pPr>
          </w:p>
        </w:tc>
        <w:tc>
          <w:tcPr>
            <w:tcW w:w="792" w:type="dxa"/>
            <w:tcBorders>
              <w:top w:val="single" w:color="auto" w:sz="4" w:space="0"/>
              <w:left w:val="nil"/>
              <w:bottom w:val="single" w:color="auto" w:sz="4" w:space="0"/>
              <w:right w:val="single" w:color="auto" w:sz="4" w:space="0"/>
            </w:tcBorders>
            <w:noWrap w:val="0"/>
            <w:vAlign w:val="center"/>
          </w:tcPr>
          <w:p w14:paraId="4E63E31B">
            <w:pPr>
              <w:jc w:val="center"/>
              <w:rPr>
                <w:rFonts w:ascii="宋体" w:hAnsi="宋体" w:cs="宋体"/>
                <w:color w:val="auto"/>
                <w:highlight w:val="none"/>
              </w:rPr>
            </w:pPr>
          </w:p>
        </w:tc>
        <w:tc>
          <w:tcPr>
            <w:tcW w:w="940" w:type="dxa"/>
            <w:tcBorders>
              <w:top w:val="single" w:color="auto" w:sz="4" w:space="0"/>
              <w:left w:val="nil"/>
              <w:bottom w:val="single" w:color="auto" w:sz="4" w:space="0"/>
              <w:right w:val="single" w:color="auto" w:sz="4" w:space="0"/>
            </w:tcBorders>
            <w:noWrap w:val="0"/>
            <w:vAlign w:val="center"/>
          </w:tcPr>
          <w:p w14:paraId="7DC87C31">
            <w:pPr>
              <w:jc w:val="center"/>
              <w:rPr>
                <w:rFonts w:ascii="宋体" w:hAnsi="宋体" w:cs="宋体"/>
                <w:color w:val="auto"/>
                <w:highlight w:val="none"/>
              </w:rPr>
            </w:pPr>
          </w:p>
        </w:tc>
        <w:tc>
          <w:tcPr>
            <w:tcW w:w="863" w:type="dxa"/>
            <w:vMerge w:val="continue"/>
            <w:tcBorders>
              <w:top w:val="single" w:color="auto" w:sz="4" w:space="0"/>
              <w:left w:val="single" w:color="auto" w:sz="4" w:space="0"/>
              <w:bottom w:val="single" w:color="auto" w:sz="4" w:space="0"/>
              <w:right w:val="single" w:color="auto" w:sz="4" w:space="0"/>
            </w:tcBorders>
            <w:noWrap w:val="0"/>
            <w:vAlign w:val="center"/>
          </w:tcPr>
          <w:p w14:paraId="15116448">
            <w:pPr>
              <w:jc w:val="center"/>
              <w:rPr>
                <w:rFonts w:ascii="宋体" w:hAnsi="宋体" w:cs="宋体"/>
                <w:color w:val="auto"/>
                <w:highlight w:val="none"/>
              </w:rPr>
            </w:pPr>
          </w:p>
        </w:tc>
        <w:tc>
          <w:tcPr>
            <w:tcW w:w="1443" w:type="dxa"/>
            <w:vMerge w:val="continue"/>
            <w:tcBorders>
              <w:top w:val="nil"/>
              <w:left w:val="single" w:color="auto" w:sz="4" w:space="0"/>
              <w:bottom w:val="single" w:color="000000" w:sz="4" w:space="0"/>
              <w:right w:val="single" w:color="auto" w:sz="4" w:space="0"/>
            </w:tcBorders>
            <w:noWrap w:val="0"/>
            <w:vAlign w:val="center"/>
          </w:tcPr>
          <w:p w14:paraId="136BBF4A">
            <w:pPr>
              <w:jc w:val="center"/>
              <w:rPr>
                <w:rFonts w:ascii="宋体" w:hAnsi="宋体" w:cs="宋体"/>
                <w:color w:val="auto"/>
                <w:highlight w:val="none"/>
              </w:rPr>
            </w:pPr>
          </w:p>
        </w:tc>
        <w:tc>
          <w:tcPr>
            <w:tcW w:w="1582" w:type="dxa"/>
            <w:vMerge w:val="continue"/>
            <w:tcBorders>
              <w:top w:val="nil"/>
              <w:left w:val="single" w:color="auto" w:sz="4" w:space="0"/>
              <w:bottom w:val="single" w:color="000000" w:sz="4" w:space="0"/>
              <w:right w:val="single" w:color="auto" w:sz="4" w:space="0"/>
            </w:tcBorders>
            <w:noWrap w:val="0"/>
            <w:vAlign w:val="center"/>
          </w:tcPr>
          <w:p w14:paraId="4984DFBD">
            <w:pPr>
              <w:jc w:val="center"/>
              <w:rPr>
                <w:rFonts w:ascii="宋体" w:hAnsi="宋体" w:cs="宋体"/>
                <w:color w:val="auto"/>
                <w:highlight w:val="none"/>
              </w:rPr>
            </w:pPr>
          </w:p>
        </w:tc>
        <w:tc>
          <w:tcPr>
            <w:tcW w:w="721" w:type="dxa"/>
            <w:tcBorders>
              <w:top w:val="nil"/>
              <w:left w:val="nil"/>
              <w:bottom w:val="single" w:color="auto" w:sz="4" w:space="0"/>
              <w:right w:val="single" w:color="auto" w:sz="4" w:space="0"/>
            </w:tcBorders>
            <w:noWrap w:val="0"/>
            <w:vAlign w:val="center"/>
          </w:tcPr>
          <w:p w14:paraId="7CB7EDCF">
            <w:pPr>
              <w:jc w:val="center"/>
              <w:rPr>
                <w:rFonts w:ascii="宋体" w:hAnsi="宋体" w:cs="宋体"/>
                <w:color w:val="auto"/>
                <w:highlight w:val="none"/>
              </w:rPr>
            </w:pPr>
            <w:r>
              <w:rPr>
                <w:rFonts w:hint="eastAsia" w:ascii="宋体" w:hAnsi="宋体" w:cs="宋体"/>
                <w:color w:val="auto"/>
                <w:highlight w:val="none"/>
              </w:rPr>
              <w:t>批</w:t>
            </w:r>
          </w:p>
        </w:tc>
        <w:tc>
          <w:tcPr>
            <w:tcW w:w="721" w:type="dxa"/>
            <w:tcBorders>
              <w:top w:val="nil"/>
              <w:left w:val="nil"/>
              <w:bottom w:val="single" w:color="auto" w:sz="4" w:space="0"/>
              <w:right w:val="single" w:color="auto" w:sz="4" w:space="0"/>
            </w:tcBorders>
            <w:noWrap w:val="0"/>
            <w:vAlign w:val="center"/>
          </w:tcPr>
          <w:p w14:paraId="3DFB69D3">
            <w:pPr>
              <w:jc w:val="center"/>
              <w:rPr>
                <w:rFonts w:ascii="宋体" w:hAnsi="宋体" w:cs="宋体"/>
                <w:color w:val="auto"/>
                <w:highlight w:val="none"/>
              </w:rPr>
            </w:pPr>
          </w:p>
        </w:tc>
        <w:tc>
          <w:tcPr>
            <w:tcW w:w="719" w:type="dxa"/>
            <w:tcBorders>
              <w:top w:val="nil"/>
              <w:left w:val="nil"/>
              <w:bottom w:val="single" w:color="auto" w:sz="4" w:space="0"/>
              <w:right w:val="single" w:color="auto" w:sz="4" w:space="0"/>
            </w:tcBorders>
            <w:noWrap w:val="0"/>
            <w:vAlign w:val="center"/>
          </w:tcPr>
          <w:p w14:paraId="316E6DAC">
            <w:pPr>
              <w:jc w:val="center"/>
              <w:rPr>
                <w:rFonts w:ascii="宋体" w:hAnsi="宋体" w:cs="宋体"/>
                <w:color w:val="auto"/>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2261AAA1">
            <w:pPr>
              <w:jc w:val="center"/>
              <w:rPr>
                <w:rFonts w:ascii="宋体" w:hAnsi="宋体" w:cs="宋体"/>
                <w:color w:val="auto"/>
                <w:highlight w:val="none"/>
              </w:rPr>
            </w:pPr>
          </w:p>
        </w:tc>
        <w:tc>
          <w:tcPr>
            <w:tcW w:w="719" w:type="dxa"/>
            <w:vMerge w:val="continue"/>
            <w:tcBorders>
              <w:top w:val="nil"/>
              <w:left w:val="single" w:color="auto" w:sz="4" w:space="0"/>
              <w:bottom w:val="single" w:color="auto" w:sz="4" w:space="0"/>
              <w:right w:val="single" w:color="auto" w:sz="4" w:space="0"/>
            </w:tcBorders>
            <w:noWrap w:val="0"/>
            <w:vAlign w:val="center"/>
          </w:tcPr>
          <w:p w14:paraId="1C809F4B">
            <w:pPr>
              <w:jc w:val="center"/>
              <w:rPr>
                <w:rFonts w:ascii="宋体" w:hAnsi="宋体" w:cs="宋体"/>
                <w:color w:val="auto"/>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18E26A79">
            <w:pPr>
              <w:jc w:val="center"/>
              <w:rPr>
                <w:rFonts w:ascii="宋体" w:hAnsi="宋体" w:cs="宋体"/>
                <w:color w:val="auto"/>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3D9EBBB2">
            <w:pPr>
              <w:jc w:val="center"/>
              <w:rPr>
                <w:rFonts w:ascii="宋体" w:hAnsi="宋体" w:cs="宋体"/>
                <w:color w:val="auto"/>
                <w:highlight w:val="none"/>
              </w:rPr>
            </w:pPr>
          </w:p>
        </w:tc>
        <w:tc>
          <w:tcPr>
            <w:tcW w:w="719" w:type="dxa"/>
            <w:vMerge w:val="continue"/>
            <w:tcBorders>
              <w:top w:val="nil"/>
              <w:left w:val="single" w:color="auto" w:sz="4" w:space="0"/>
              <w:bottom w:val="single" w:color="auto" w:sz="4" w:space="0"/>
              <w:right w:val="single" w:color="auto" w:sz="4" w:space="0"/>
            </w:tcBorders>
            <w:noWrap w:val="0"/>
            <w:vAlign w:val="center"/>
          </w:tcPr>
          <w:p w14:paraId="136663DC">
            <w:pPr>
              <w:jc w:val="center"/>
              <w:rPr>
                <w:rFonts w:ascii="宋体" w:hAnsi="宋体" w:cs="宋体"/>
                <w:color w:val="auto"/>
                <w:highlight w:val="none"/>
              </w:rPr>
            </w:pPr>
          </w:p>
        </w:tc>
        <w:tc>
          <w:tcPr>
            <w:tcW w:w="577" w:type="dxa"/>
            <w:vMerge w:val="continue"/>
            <w:tcBorders>
              <w:top w:val="nil"/>
              <w:left w:val="single" w:color="auto" w:sz="4" w:space="0"/>
              <w:bottom w:val="single" w:color="auto" w:sz="4" w:space="0"/>
              <w:right w:val="single" w:color="auto" w:sz="4" w:space="0"/>
            </w:tcBorders>
            <w:noWrap w:val="0"/>
            <w:vAlign w:val="center"/>
          </w:tcPr>
          <w:p w14:paraId="15B2D4BB">
            <w:pPr>
              <w:jc w:val="center"/>
              <w:rPr>
                <w:rFonts w:ascii="宋体" w:hAnsi="宋体" w:cs="宋体"/>
                <w:color w:val="auto"/>
                <w:highlight w:val="none"/>
              </w:rPr>
            </w:pPr>
          </w:p>
        </w:tc>
        <w:tc>
          <w:tcPr>
            <w:tcW w:w="571" w:type="dxa"/>
            <w:vMerge w:val="continue"/>
            <w:tcBorders>
              <w:top w:val="nil"/>
              <w:left w:val="single" w:color="auto" w:sz="4" w:space="0"/>
              <w:bottom w:val="single" w:color="auto" w:sz="4" w:space="0"/>
              <w:right w:val="single" w:color="auto" w:sz="4" w:space="0"/>
            </w:tcBorders>
            <w:noWrap w:val="0"/>
            <w:vAlign w:val="center"/>
          </w:tcPr>
          <w:p w14:paraId="05492390">
            <w:pPr>
              <w:jc w:val="center"/>
              <w:rPr>
                <w:rFonts w:ascii="宋体" w:hAnsi="宋体" w:cs="宋体"/>
                <w:color w:val="auto"/>
                <w:highlight w:val="none"/>
              </w:rPr>
            </w:pPr>
          </w:p>
        </w:tc>
        <w:tc>
          <w:tcPr>
            <w:tcW w:w="236" w:type="dxa"/>
            <w:noWrap w:val="0"/>
            <w:vAlign w:val="center"/>
          </w:tcPr>
          <w:p w14:paraId="2268FBB5">
            <w:pPr>
              <w:jc w:val="center"/>
              <w:rPr>
                <w:rFonts w:ascii="宋体" w:hAnsi="宋体" w:cs="宋体"/>
                <w:color w:val="auto"/>
                <w:highlight w:val="none"/>
              </w:rPr>
            </w:pPr>
          </w:p>
        </w:tc>
      </w:tr>
      <w:tr w14:paraId="25F9B7DE">
        <w:tblPrEx>
          <w:tblCellMar>
            <w:top w:w="0" w:type="dxa"/>
            <w:left w:w="108" w:type="dxa"/>
            <w:bottom w:w="0" w:type="dxa"/>
            <w:right w:w="108" w:type="dxa"/>
          </w:tblCellMar>
        </w:tblPrEx>
        <w:trPr>
          <w:trHeight w:val="285" w:hRule="atLeast"/>
        </w:trPr>
        <w:tc>
          <w:tcPr>
            <w:tcW w:w="404" w:type="dxa"/>
            <w:vMerge w:val="continue"/>
            <w:tcBorders>
              <w:top w:val="nil"/>
              <w:left w:val="single" w:color="auto" w:sz="4" w:space="0"/>
              <w:bottom w:val="single" w:color="auto" w:sz="4" w:space="0"/>
              <w:right w:val="single" w:color="auto" w:sz="4" w:space="0"/>
            </w:tcBorders>
            <w:noWrap w:val="0"/>
            <w:vAlign w:val="center"/>
          </w:tcPr>
          <w:p w14:paraId="14ED98AF">
            <w:pPr>
              <w:jc w:val="center"/>
              <w:rPr>
                <w:rFonts w:ascii="宋体" w:hAnsi="宋体" w:cs="宋体"/>
                <w:color w:val="auto"/>
                <w:highlight w:val="none"/>
              </w:rPr>
            </w:pPr>
          </w:p>
        </w:tc>
        <w:tc>
          <w:tcPr>
            <w:tcW w:w="1032" w:type="dxa"/>
            <w:tcBorders>
              <w:top w:val="nil"/>
              <w:left w:val="nil"/>
              <w:bottom w:val="single" w:color="auto" w:sz="4" w:space="0"/>
              <w:right w:val="single" w:color="auto" w:sz="4" w:space="0"/>
            </w:tcBorders>
            <w:noWrap w:val="0"/>
            <w:vAlign w:val="center"/>
          </w:tcPr>
          <w:p w14:paraId="617D364C">
            <w:pPr>
              <w:jc w:val="center"/>
              <w:rPr>
                <w:rFonts w:ascii="宋体" w:hAnsi="宋体" w:cs="宋体"/>
                <w:color w:val="auto"/>
                <w:highlight w:val="none"/>
              </w:rPr>
            </w:pPr>
          </w:p>
        </w:tc>
        <w:tc>
          <w:tcPr>
            <w:tcW w:w="792" w:type="dxa"/>
            <w:tcBorders>
              <w:top w:val="single" w:color="auto" w:sz="4" w:space="0"/>
              <w:left w:val="nil"/>
              <w:bottom w:val="single" w:color="auto" w:sz="4" w:space="0"/>
              <w:right w:val="single" w:color="auto" w:sz="4" w:space="0"/>
            </w:tcBorders>
            <w:noWrap w:val="0"/>
            <w:vAlign w:val="center"/>
          </w:tcPr>
          <w:p w14:paraId="09E03ADF">
            <w:pPr>
              <w:jc w:val="center"/>
              <w:rPr>
                <w:rFonts w:ascii="宋体" w:hAnsi="宋体" w:cs="宋体"/>
                <w:color w:val="auto"/>
                <w:highlight w:val="none"/>
              </w:rPr>
            </w:pPr>
          </w:p>
        </w:tc>
        <w:tc>
          <w:tcPr>
            <w:tcW w:w="940" w:type="dxa"/>
            <w:tcBorders>
              <w:top w:val="single" w:color="auto" w:sz="4" w:space="0"/>
              <w:left w:val="nil"/>
              <w:bottom w:val="single" w:color="auto" w:sz="4" w:space="0"/>
              <w:right w:val="single" w:color="auto" w:sz="4" w:space="0"/>
            </w:tcBorders>
            <w:noWrap w:val="0"/>
            <w:vAlign w:val="center"/>
          </w:tcPr>
          <w:p w14:paraId="45AB2F2D">
            <w:pPr>
              <w:jc w:val="center"/>
              <w:rPr>
                <w:rFonts w:ascii="宋体" w:hAnsi="宋体" w:cs="宋体"/>
                <w:color w:val="auto"/>
                <w:highlight w:val="none"/>
              </w:rPr>
            </w:pPr>
            <w:r>
              <w:rPr>
                <w:rFonts w:hint="eastAsia" w:ascii="宋体" w:hAnsi="宋体" w:cs="宋体"/>
                <w:color w:val="auto"/>
                <w:highlight w:val="none"/>
              </w:rPr>
              <w:t>铁桶</w:t>
            </w:r>
          </w:p>
        </w:tc>
        <w:tc>
          <w:tcPr>
            <w:tcW w:w="863" w:type="dxa"/>
            <w:vMerge w:val="continue"/>
            <w:tcBorders>
              <w:top w:val="single" w:color="auto" w:sz="4" w:space="0"/>
              <w:left w:val="single" w:color="auto" w:sz="4" w:space="0"/>
              <w:bottom w:val="single" w:color="auto" w:sz="4" w:space="0"/>
              <w:right w:val="single" w:color="auto" w:sz="4" w:space="0"/>
            </w:tcBorders>
            <w:noWrap w:val="0"/>
            <w:vAlign w:val="center"/>
          </w:tcPr>
          <w:p w14:paraId="0B3EE55E">
            <w:pPr>
              <w:jc w:val="center"/>
              <w:rPr>
                <w:rFonts w:ascii="宋体" w:hAnsi="宋体" w:cs="宋体"/>
                <w:color w:val="auto"/>
                <w:highlight w:val="none"/>
              </w:rPr>
            </w:pPr>
          </w:p>
        </w:tc>
        <w:tc>
          <w:tcPr>
            <w:tcW w:w="1443" w:type="dxa"/>
            <w:vMerge w:val="continue"/>
            <w:tcBorders>
              <w:top w:val="nil"/>
              <w:left w:val="single" w:color="auto" w:sz="4" w:space="0"/>
              <w:bottom w:val="single" w:color="000000" w:sz="4" w:space="0"/>
              <w:right w:val="single" w:color="auto" w:sz="4" w:space="0"/>
            </w:tcBorders>
            <w:noWrap w:val="0"/>
            <w:vAlign w:val="center"/>
          </w:tcPr>
          <w:p w14:paraId="78EC6E52">
            <w:pPr>
              <w:jc w:val="center"/>
              <w:rPr>
                <w:rFonts w:ascii="宋体" w:hAnsi="宋体" w:cs="宋体"/>
                <w:color w:val="auto"/>
                <w:highlight w:val="none"/>
              </w:rPr>
            </w:pPr>
          </w:p>
        </w:tc>
        <w:tc>
          <w:tcPr>
            <w:tcW w:w="1582" w:type="dxa"/>
            <w:vMerge w:val="continue"/>
            <w:tcBorders>
              <w:top w:val="nil"/>
              <w:left w:val="single" w:color="auto" w:sz="4" w:space="0"/>
              <w:bottom w:val="single" w:color="000000" w:sz="4" w:space="0"/>
              <w:right w:val="single" w:color="auto" w:sz="4" w:space="0"/>
            </w:tcBorders>
            <w:noWrap w:val="0"/>
            <w:vAlign w:val="center"/>
          </w:tcPr>
          <w:p w14:paraId="1D169B53">
            <w:pPr>
              <w:jc w:val="center"/>
              <w:rPr>
                <w:rFonts w:ascii="宋体" w:hAnsi="宋体" w:cs="宋体"/>
                <w:color w:val="auto"/>
                <w:highlight w:val="none"/>
              </w:rPr>
            </w:pPr>
          </w:p>
        </w:tc>
        <w:tc>
          <w:tcPr>
            <w:tcW w:w="721" w:type="dxa"/>
            <w:tcBorders>
              <w:top w:val="nil"/>
              <w:left w:val="nil"/>
              <w:bottom w:val="single" w:color="auto" w:sz="4" w:space="0"/>
              <w:right w:val="single" w:color="auto" w:sz="4" w:space="0"/>
            </w:tcBorders>
            <w:noWrap w:val="0"/>
            <w:vAlign w:val="center"/>
          </w:tcPr>
          <w:p w14:paraId="57734A7B">
            <w:pPr>
              <w:jc w:val="center"/>
              <w:rPr>
                <w:rFonts w:ascii="宋体" w:hAnsi="宋体" w:cs="宋体"/>
                <w:color w:val="auto"/>
                <w:highlight w:val="none"/>
              </w:rPr>
            </w:pPr>
            <w:r>
              <w:rPr>
                <w:rFonts w:hint="eastAsia" w:ascii="宋体" w:hAnsi="宋体" w:cs="宋体"/>
                <w:color w:val="auto"/>
                <w:highlight w:val="none"/>
              </w:rPr>
              <w:t>个</w:t>
            </w:r>
          </w:p>
        </w:tc>
        <w:tc>
          <w:tcPr>
            <w:tcW w:w="721" w:type="dxa"/>
            <w:tcBorders>
              <w:top w:val="nil"/>
              <w:left w:val="nil"/>
              <w:bottom w:val="single" w:color="auto" w:sz="4" w:space="0"/>
              <w:right w:val="single" w:color="auto" w:sz="4" w:space="0"/>
            </w:tcBorders>
            <w:noWrap w:val="0"/>
            <w:vAlign w:val="center"/>
          </w:tcPr>
          <w:p w14:paraId="453D810F">
            <w:pPr>
              <w:jc w:val="center"/>
              <w:rPr>
                <w:rFonts w:ascii="宋体" w:hAnsi="宋体" w:cs="宋体"/>
                <w:color w:val="auto"/>
                <w:highlight w:val="none"/>
              </w:rPr>
            </w:pPr>
          </w:p>
        </w:tc>
        <w:tc>
          <w:tcPr>
            <w:tcW w:w="719" w:type="dxa"/>
            <w:tcBorders>
              <w:top w:val="nil"/>
              <w:left w:val="nil"/>
              <w:bottom w:val="single" w:color="auto" w:sz="4" w:space="0"/>
              <w:right w:val="single" w:color="auto" w:sz="4" w:space="0"/>
            </w:tcBorders>
            <w:noWrap w:val="0"/>
            <w:vAlign w:val="center"/>
          </w:tcPr>
          <w:p w14:paraId="3484926B">
            <w:pPr>
              <w:jc w:val="center"/>
              <w:rPr>
                <w:rFonts w:ascii="宋体" w:hAnsi="宋体" w:cs="宋体"/>
                <w:color w:val="auto"/>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4C2DB303">
            <w:pPr>
              <w:jc w:val="center"/>
              <w:rPr>
                <w:rFonts w:ascii="宋体" w:hAnsi="宋体" w:cs="宋体"/>
                <w:color w:val="auto"/>
                <w:highlight w:val="none"/>
              </w:rPr>
            </w:pPr>
          </w:p>
        </w:tc>
        <w:tc>
          <w:tcPr>
            <w:tcW w:w="719" w:type="dxa"/>
            <w:vMerge w:val="continue"/>
            <w:tcBorders>
              <w:top w:val="nil"/>
              <w:left w:val="single" w:color="auto" w:sz="4" w:space="0"/>
              <w:bottom w:val="single" w:color="auto" w:sz="4" w:space="0"/>
              <w:right w:val="single" w:color="auto" w:sz="4" w:space="0"/>
            </w:tcBorders>
            <w:noWrap w:val="0"/>
            <w:vAlign w:val="center"/>
          </w:tcPr>
          <w:p w14:paraId="2B2FBCD9">
            <w:pPr>
              <w:jc w:val="center"/>
              <w:rPr>
                <w:rFonts w:ascii="宋体" w:hAnsi="宋体" w:cs="宋体"/>
                <w:color w:val="auto"/>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654693B9">
            <w:pPr>
              <w:jc w:val="center"/>
              <w:rPr>
                <w:rFonts w:ascii="宋体" w:hAnsi="宋体" w:cs="宋体"/>
                <w:color w:val="auto"/>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506F9DC9">
            <w:pPr>
              <w:jc w:val="center"/>
              <w:rPr>
                <w:rFonts w:ascii="宋体" w:hAnsi="宋体" w:cs="宋体"/>
                <w:color w:val="auto"/>
                <w:highlight w:val="none"/>
              </w:rPr>
            </w:pPr>
          </w:p>
        </w:tc>
        <w:tc>
          <w:tcPr>
            <w:tcW w:w="719" w:type="dxa"/>
            <w:vMerge w:val="continue"/>
            <w:tcBorders>
              <w:top w:val="nil"/>
              <w:left w:val="single" w:color="auto" w:sz="4" w:space="0"/>
              <w:bottom w:val="single" w:color="auto" w:sz="4" w:space="0"/>
              <w:right w:val="single" w:color="auto" w:sz="4" w:space="0"/>
            </w:tcBorders>
            <w:noWrap w:val="0"/>
            <w:vAlign w:val="center"/>
          </w:tcPr>
          <w:p w14:paraId="6384807F">
            <w:pPr>
              <w:jc w:val="center"/>
              <w:rPr>
                <w:rFonts w:ascii="宋体" w:hAnsi="宋体" w:cs="宋体"/>
                <w:color w:val="auto"/>
                <w:highlight w:val="none"/>
              </w:rPr>
            </w:pPr>
          </w:p>
        </w:tc>
        <w:tc>
          <w:tcPr>
            <w:tcW w:w="577" w:type="dxa"/>
            <w:vMerge w:val="continue"/>
            <w:tcBorders>
              <w:top w:val="nil"/>
              <w:left w:val="single" w:color="auto" w:sz="4" w:space="0"/>
              <w:bottom w:val="single" w:color="auto" w:sz="4" w:space="0"/>
              <w:right w:val="single" w:color="auto" w:sz="4" w:space="0"/>
            </w:tcBorders>
            <w:noWrap w:val="0"/>
            <w:vAlign w:val="center"/>
          </w:tcPr>
          <w:p w14:paraId="39AB5069">
            <w:pPr>
              <w:jc w:val="center"/>
              <w:rPr>
                <w:rFonts w:ascii="宋体" w:hAnsi="宋体" w:cs="宋体"/>
                <w:color w:val="auto"/>
                <w:highlight w:val="none"/>
              </w:rPr>
            </w:pPr>
          </w:p>
        </w:tc>
        <w:tc>
          <w:tcPr>
            <w:tcW w:w="571" w:type="dxa"/>
            <w:vMerge w:val="continue"/>
            <w:tcBorders>
              <w:top w:val="nil"/>
              <w:left w:val="single" w:color="auto" w:sz="4" w:space="0"/>
              <w:bottom w:val="single" w:color="auto" w:sz="4" w:space="0"/>
              <w:right w:val="single" w:color="auto" w:sz="4" w:space="0"/>
            </w:tcBorders>
            <w:noWrap w:val="0"/>
            <w:vAlign w:val="center"/>
          </w:tcPr>
          <w:p w14:paraId="21D2D957">
            <w:pPr>
              <w:jc w:val="center"/>
              <w:rPr>
                <w:rFonts w:ascii="宋体" w:hAnsi="宋体" w:cs="宋体"/>
                <w:color w:val="auto"/>
                <w:highlight w:val="none"/>
              </w:rPr>
            </w:pPr>
          </w:p>
        </w:tc>
        <w:tc>
          <w:tcPr>
            <w:tcW w:w="236" w:type="dxa"/>
            <w:noWrap w:val="0"/>
            <w:vAlign w:val="center"/>
          </w:tcPr>
          <w:p w14:paraId="2F3BDF35">
            <w:pPr>
              <w:jc w:val="center"/>
              <w:rPr>
                <w:rFonts w:ascii="宋体" w:hAnsi="宋体" w:cs="宋体"/>
                <w:color w:val="auto"/>
                <w:highlight w:val="none"/>
              </w:rPr>
            </w:pPr>
          </w:p>
        </w:tc>
      </w:tr>
      <w:tr w14:paraId="0ABB8670">
        <w:tblPrEx>
          <w:tblCellMar>
            <w:top w:w="0" w:type="dxa"/>
            <w:left w:w="108" w:type="dxa"/>
            <w:bottom w:w="0" w:type="dxa"/>
            <w:right w:w="108" w:type="dxa"/>
          </w:tblCellMar>
        </w:tblPrEx>
        <w:trPr>
          <w:trHeight w:val="285" w:hRule="atLeast"/>
        </w:trPr>
        <w:tc>
          <w:tcPr>
            <w:tcW w:w="404" w:type="dxa"/>
            <w:vMerge w:val="continue"/>
            <w:tcBorders>
              <w:top w:val="nil"/>
              <w:left w:val="single" w:color="auto" w:sz="4" w:space="0"/>
              <w:bottom w:val="single" w:color="auto" w:sz="4" w:space="0"/>
              <w:right w:val="single" w:color="auto" w:sz="4" w:space="0"/>
            </w:tcBorders>
            <w:noWrap w:val="0"/>
            <w:vAlign w:val="center"/>
          </w:tcPr>
          <w:p w14:paraId="5D8A5B15">
            <w:pPr>
              <w:jc w:val="center"/>
              <w:rPr>
                <w:rFonts w:ascii="宋体" w:hAnsi="宋体" w:cs="宋体"/>
                <w:color w:val="auto"/>
                <w:highlight w:val="none"/>
              </w:rPr>
            </w:pPr>
          </w:p>
        </w:tc>
        <w:tc>
          <w:tcPr>
            <w:tcW w:w="1032" w:type="dxa"/>
            <w:tcBorders>
              <w:top w:val="nil"/>
              <w:left w:val="nil"/>
              <w:bottom w:val="single" w:color="auto" w:sz="4" w:space="0"/>
              <w:right w:val="single" w:color="auto" w:sz="4" w:space="0"/>
            </w:tcBorders>
            <w:noWrap w:val="0"/>
            <w:vAlign w:val="center"/>
          </w:tcPr>
          <w:p w14:paraId="04DD1D46">
            <w:pPr>
              <w:jc w:val="center"/>
              <w:rPr>
                <w:rFonts w:ascii="宋体" w:hAnsi="宋体" w:cs="宋体"/>
                <w:color w:val="auto"/>
                <w:highlight w:val="none"/>
              </w:rPr>
            </w:pPr>
          </w:p>
        </w:tc>
        <w:tc>
          <w:tcPr>
            <w:tcW w:w="792" w:type="dxa"/>
            <w:tcBorders>
              <w:top w:val="single" w:color="auto" w:sz="4" w:space="0"/>
              <w:left w:val="nil"/>
              <w:bottom w:val="single" w:color="auto" w:sz="4" w:space="0"/>
              <w:right w:val="single" w:color="auto" w:sz="4" w:space="0"/>
            </w:tcBorders>
            <w:noWrap w:val="0"/>
            <w:vAlign w:val="center"/>
          </w:tcPr>
          <w:p w14:paraId="5ED79614">
            <w:pPr>
              <w:jc w:val="center"/>
              <w:rPr>
                <w:rFonts w:ascii="宋体" w:hAnsi="宋体" w:cs="宋体"/>
                <w:color w:val="auto"/>
                <w:highlight w:val="none"/>
              </w:rPr>
            </w:pPr>
          </w:p>
        </w:tc>
        <w:tc>
          <w:tcPr>
            <w:tcW w:w="940" w:type="dxa"/>
            <w:tcBorders>
              <w:top w:val="single" w:color="auto" w:sz="4" w:space="0"/>
              <w:left w:val="nil"/>
              <w:bottom w:val="single" w:color="auto" w:sz="4" w:space="0"/>
              <w:right w:val="single" w:color="000000" w:sz="4" w:space="0"/>
            </w:tcBorders>
            <w:noWrap w:val="0"/>
            <w:vAlign w:val="center"/>
          </w:tcPr>
          <w:p w14:paraId="59A01579">
            <w:pPr>
              <w:jc w:val="center"/>
              <w:rPr>
                <w:rFonts w:ascii="宋体" w:hAnsi="宋体" w:cs="宋体"/>
                <w:color w:val="auto"/>
                <w:highlight w:val="none"/>
              </w:rPr>
            </w:pPr>
            <w:r>
              <w:rPr>
                <w:rFonts w:hint="eastAsia" w:ascii="宋体" w:hAnsi="宋体" w:cs="宋体"/>
                <w:color w:val="auto"/>
                <w:highlight w:val="none"/>
              </w:rPr>
              <w:t>水泥</w:t>
            </w:r>
          </w:p>
        </w:tc>
        <w:tc>
          <w:tcPr>
            <w:tcW w:w="863" w:type="dxa"/>
            <w:vMerge w:val="continue"/>
            <w:tcBorders>
              <w:top w:val="single" w:color="auto" w:sz="4" w:space="0"/>
              <w:left w:val="single" w:color="auto" w:sz="4" w:space="0"/>
              <w:bottom w:val="single" w:color="auto" w:sz="4" w:space="0"/>
              <w:right w:val="single" w:color="auto" w:sz="4" w:space="0"/>
            </w:tcBorders>
            <w:noWrap w:val="0"/>
            <w:vAlign w:val="center"/>
          </w:tcPr>
          <w:p w14:paraId="2CF2EEA2">
            <w:pPr>
              <w:jc w:val="center"/>
              <w:rPr>
                <w:rFonts w:ascii="宋体" w:hAnsi="宋体" w:cs="宋体"/>
                <w:color w:val="auto"/>
                <w:highlight w:val="none"/>
              </w:rPr>
            </w:pPr>
          </w:p>
        </w:tc>
        <w:tc>
          <w:tcPr>
            <w:tcW w:w="1443" w:type="dxa"/>
            <w:vMerge w:val="continue"/>
            <w:tcBorders>
              <w:top w:val="nil"/>
              <w:left w:val="single" w:color="auto" w:sz="4" w:space="0"/>
              <w:bottom w:val="single" w:color="000000" w:sz="4" w:space="0"/>
              <w:right w:val="single" w:color="auto" w:sz="4" w:space="0"/>
            </w:tcBorders>
            <w:noWrap w:val="0"/>
            <w:vAlign w:val="center"/>
          </w:tcPr>
          <w:p w14:paraId="2465D0EA">
            <w:pPr>
              <w:jc w:val="center"/>
              <w:rPr>
                <w:rFonts w:ascii="宋体" w:hAnsi="宋体" w:cs="宋体"/>
                <w:color w:val="auto"/>
                <w:highlight w:val="none"/>
              </w:rPr>
            </w:pPr>
          </w:p>
        </w:tc>
        <w:tc>
          <w:tcPr>
            <w:tcW w:w="1582" w:type="dxa"/>
            <w:vMerge w:val="continue"/>
            <w:tcBorders>
              <w:top w:val="nil"/>
              <w:left w:val="single" w:color="auto" w:sz="4" w:space="0"/>
              <w:bottom w:val="single" w:color="000000" w:sz="4" w:space="0"/>
              <w:right w:val="single" w:color="auto" w:sz="4" w:space="0"/>
            </w:tcBorders>
            <w:noWrap w:val="0"/>
            <w:vAlign w:val="center"/>
          </w:tcPr>
          <w:p w14:paraId="0A079302">
            <w:pPr>
              <w:jc w:val="center"/>
              <w:rPr>
                <w:rFonts w:ascii="宋体" w:hAnsi="宋体" w:cs="宋体"/>
                <w:color w:val="auto"/>
                <w:highlight w:val="none"/>
              </w:rPr>
            </w:pPr>
          </w:p>
        </w:tc>
        <w:tc>
          <w:tcPr>
            <w:tcW w:w="721" w:type="dxa"/>
            <w:tcBorders>
              <w:top w:val="nil"/>
              <w:left w:val="nil"/>
              <w:bottom w:val="single" w:color="auto" w:sz="4" w:space="0"/>
              <w:right w:val="single" w:color="auto" w:sz="4" w:space="0"/>
            </w:tcBorders>
            <w:noWrap w:val="0"/>
            <w:vAlign w:val="center"/>
          </w:tcPr>
          <w:p w14:paraId="3061F5DD">
            <w:pPr>
              <w:jc w:val="center"/>
              <w:rPr>
                <w:rFonts w:ascii="宋体" w:hAnsi="宋体" w:cs="宋体"/>
                <w:color w:val="auto"/>
                <w:highlight w:val="none"/>
              </w:rPr>
            </w:pPr>
            <w:r>
              <w:rPr>
                <w:rFonts w:hint="eastAsia" w:ascii="宋体" w:hAnsi="宋体" w:cs="宋体"/>
                <w:color w:val="auto"/>
                <w:highlight w:val="none"/>
              </w:rPr>
              <w:t>吨</w:t>
            </w:r>
          </w:p>
        </w:tc>
        <w:tc>
          <w:tcPr>
            <w:tcW w:w="721" w:type="dxa"/>
            <w:tcBorders>
              <w:top w:val="nil"/>
              <w:left w:val="nil"/>
              <w:bottom w:val="single" w:color="auto" w:sz="4" w:space="0"/>
              <w:right w:val="single" w:color="auto" w:sz="4" w:space="0"/>
            </w:tcBorders>
            <w:noWrap w:val="0"/>
            <w:vAlign w:val="center"/>
          </w:tcPr>
          <w:p w14:paraId="437E9848">
            <w:pPr>
              <w:jc w:val="center"/>
              <w:rPr>
                <w:rFonts w:ascii="宋体" w:hAnsi="宋体" w:cs="宋体"/>
                <w:color w:val="auto"/>
                <w:highlight w:val="none"/>
              </w:rPr>
            </w:pPr>
          </w:p>
        </w:tc>
        <w:tc>
          <w:tcPr>
            <w:tcW w:w="719" w:type="dxa"/>
            <w:tcBorders>
              <w:top w:val="nil"/>
              <w:left w:val="nil"/>
              <w:bottom w:val="single" w:color="auto" w:sz="4" w:space="0"/>
              <w:right w:val="single" w:color="auto" w:sz="4" w:space="0"/>
            </w:tcBorders>
            <w:noWrap w:val="0"/>
            <w:vAlign w:val="center"/>
          </w:tcPr>
          <w:p w14:paraId="36CF7FE9">
            <w:pPr>
              <w:jc w:val="center"/>
              <w:rPr>
                <w:rFonts w:ascii="宋体" w:hAnsi="宋体" w:cs="宋体"/>
                <w:color w:val="auto"/>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48DFEA7B">
            <w:pPr>
              <w:jc w:val="center"/>
              <w:rPr>
                <w:rFonts w:ascii="宋体" w:hAnsi="宋体" w:cs="宋体"/>
                <w:color w:val="auto"/>
                <w:highlight w:val="none"/>
              </w:rPr>
            </w:pPr>
          </w:p>
        </w:tc>
        <w:tc>
          <w:tcPr>
            <w:tcW w:w="719" w:type="dxa"/>
            <w:vMerge w:val="continue"/>
            <w:tcBorders>
              <w:top w:val="nil"/>
              <w:left w:val="single" w:color="auto" w:sz="4" w:space="0"/>
              <w:bottom w:val="single" w:color="auto" w:sz="4" w:space="0"/>
              <w:right w:val="single" w:color="auto" w:sz="4" w:space="0"/>
            </w:tcBorders>
            <w:noWrap w:val="0"/>
            <w:vAlign w:val="center"/>
          </w:tcPr>
          <w:p w14:paraId="1E4A318E">
            <w:pPr>
              <w:jc w:val="center"/>
              <w:rPr>
                <w:rFonts w:ascii="宋体" w:hAnsi="宋体" w:cs="宋体"/>
                <w:color w:val="auto"/>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24F55880">
            <w:pPr>
              <w:jc w:val="center"/>
              <w:rPr>
                <w:rFonts w:ascii="宋体" w:hAnsi="宋体" w:cs="宋体"/>
                <w:color w:val="auto"/>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6778D78F">
            <w:pPr>
              <w:jc w:val="center"/>
              <w:rPr>
                <w:rFonts w:ascii="宋体" w:hAnsi="宋体" w:cs="宋体"/>
                <w:color w:val="auto"/>
                <w:highlight w:val="none"/>
              </w:rPr>
            </w:pPr>
          </w:p>
        </w:tc>
        <w:tc>
          <w:tcPr>
            <w:tcW w:w="719" w:type="dxa"/>
            <w:vMerge w:val="continue"/>
            <w:tcBorders>
              <w:top w:val="nil"/>
              <w:left w:val="single" w:color="auto" w:sz="4" w:space="0"/>
              <w:bottom w:val="single" w:color="auto" w:sz="4" w:space="0"/>
              <w:right w:val="single" w:color="auto" w:sz="4" w:space="0"/>
            </w:tcBorders>
            <w:noWrap w:val="0"/>
            <w:vAlign w:val="center"/>
          </w:tcPr>
          <w:p w14:paraId="2266CEDE">
            <w:pPr>
              <w:jc w:val="center"/>
              <w:rPr>
                <w:rFonts w:ascii="宋体" w:hAnsi="宋体" w:cs="宋体"/>
                <w:color w:val="auto"/>
                <w:highlight w:val="none"/>
              </w:rPr>
            </w:pPr>
          </w:p>
        </w:tc>
        <w:tc>
          <w:tcPr>
            <w:tcW w:w="577" w:type="dxa"/>
            <w:vMerge w:val="continue"/>
            <w:tcBorders>
              <w:top w:val="nil"/>
              <w:left w:val="single" w:color="auto" w:sz="4" w:space="0"/>
              <w:bottom w:val="single" w:color="auto" w:sz="4" w:space="0"/>
              <w:right w:val="single" w:color="auto" w:sz="4" w:space="0"/>
            </w:tcBorders>
            <w:noWrap w:val="0"/>
            <w:vAlign w:val="center"/>
          </w:tcPr>
          <w:p w14:paraId="49213790">
            <w:pPr>
              <w:jc w:val="center"/>
              <w:rPr>
                <w:rFonts w:ascii="宋体" w:hAnsi="宋体" w:cs="宋体"/>
                <w:color w:val="auto"/>
                <w:highlight w:val="none"/>
              </w:rPr>
            </w:pPr>
          </w:p>
        </w:tc>
        <w:tc>
          <w:tcPr>
            <w:tcW w:w="571" w:type="dxa"/>
            <w:vMerge w:val="continue"/>
            <w:tcBorders>
              <w:top w:val="nil"/>
              <w:left w:val="single" w:color="auto" w:sz="4" w:space="0"/>
              <w:bottom w:val="single" w:color="auto" w:sz="4" w:space="0"/>
              <w:right w:val="single" w:color="auto" w:sz="4" w:space="0"/>
            </w:tcBorders>
            <w:noWrap w:val="0"/>
            <w:vAlign w:val="center"/>
          </w:tcPr>
          <w:p w14:paraId="1CD1C02B">
            <w:pPr>
              <w:jc w:val="center"/>
              <w:rPr>
                <w:rFonts w:ascii="宋体" w:hAnsi="宋体" w:cs="宋体"/>
                <w:color w:val="auto"/>
                <w:highlight w:val="none"/>
              </w:rPr>
            </w:pPr>
          </w:p>
        </w:tc>
        <w:tc>
          <w:tcPr>
            <w:tcW w:w="236" w:type="dxa"/>
            <w:noWrap w:val="0"/>
            <w:vAlign w:val="center"/>
          </w:tcPr>
          <w:p w14:paraId="754A85EE">
            <w:pPr>
              <w:jc w:val="center"/>
              <w:rPr>
                <w:rFonts w:ascii="宋体" w:hAnsi="宋体" w:cs="宋体"/>
                <w:color w:val="auto"/>
                <w:highlight w:val="none"/>
              </w:rPr>
            </w:pPr>
          </w:p>
        </w:tc>
      </w:tr>
      <w:tr w14:paraId="1DB6FFC8">
        <w:tblPrEx>
          <w:tblCellMar>
            <w:top w:w="0" w:type="dxa"/>
            <w:left w:w="108" w:type="dxa"/>
            <w:bottom w:w="0" w:type="dxa"/>
            <w:right w:w="108" w:type="dxa"/>
          </w:tblCellMar>
        </w:tblPrEx>
        <w:trPr>
          <w:trHeight w:val="285" w:hRule="atLeast"/>
        </w:trPr>
        <w:tc>
          <w:tcPr>
            <w:tcW w:w="404" w:type="dxa"/>
            <w:vMerge w:val="continue"/>
            <w:tcBorders>
              <w:top w:val="nil"/>
              <w:left w:val="single" w:color="auto" w:sz="4" w:space="0"/>
              <w:bottom w:val="single" w:color="auto" w:sz="4" w:space="0"/>
              <w:right w:val="single" w:color="auto" w:sz="4" w:space="0"/>
            </w:tcBorders>
            <w:noWrap w:val="0"/>
            <w:vAlign w:val="center"/>
          </w:tcPr>
          <w:p w14:paraId="3E1F3EB0">
            <w:pPr>
              <w:jc w:val="center"/>
              <w:rPr>
                <w:rFonts w:ascii="宋体" w:hAnsi="宋体" w:cs="宋体"/>
                <w:color w:val="auto"/>
                <w:highlight w:val="none"/>
              </w:rPr>
            </w:pPr>
          </w:p>
        </w:tc>
        <w:tc>
          <w:tcPr>
            <w:tcW w:w="1032" w:type="dxa"/>
            <w:tcBorders>
              <w:top w:val="nil"/>
              <w:left w:val="nil"/>
              <w:bottom w:val="single" w:color="auto" w:sz="4" w:space="0"/>
              <w:right w:val="single" w:color="auto" w:sz="4" w:space="0"/>
            </w:tcBorders>
            <w:noWrap w:val="0"/>
            <w:vAlign w:val="center"/>
          </w:tcPr>
          <w:p w14:paraId="23D02DB4">
            <w:pPr>
              <w:jc w:val="center"/>
              <w:rPr>
                <w:rFonts w:ascii="宋体" w:hAnsi="宋体" w:cs="宋体"/>
                <w:color w:val="auto"/>
                <w:highlight w:val="none"/>
              </w:rPr>
            </w:pPr>
          </w:p>
        </w:tc>
        <w:tc>
          <w:tcPr>
            <w:tcW w:w="792" w:type="dxa"/>
            <w:tcBorders>
              <w:top w:val="single" w:color="auto" w:sz="4" w:space="0"/>
              <w:left w:val="nil"/>
              <w:bottom w:val="single" w:color="auto" w:sz="4" w:space="0"/>
              <w:right w:val="single" w:color="auto" w:sz="4" w:space="0"/>
            </w:tcBorders>
            <w:noWrap w:val="0"/>
            <w:vAlign w:val="center"/>
          </w:tcPr>
          <w:p w14:paraId="6F79663C">
            <w:pPr>
              <w:jc w:val="center"/>
              <w:rPr>
                <w:rFonts w:ascii="宋体" w:hAnsi="宋体" w:cs="宋体"/>
                <w:color w:val="auto"/>
                <w:highlight w:val="none"/>
              </w:rPr>
            </w:pPr>
          </w:p>
        </w:tc>
        <w:tc>
          <w:tcPr>
            <w:tcW w:w="940" w:type="dxa"/>
            <w:tcBorders>
              <w:top w:val="single" w:color="auto" w:sz="4" w:space="0"/>
              <w:left w:val="nil"/>
              <w:bottom w:val="single" w:color="auto" w:sz="4" w:space="0"/>
              <w:right w:val="single" w:color="auto" w:sz="4" w:space="0"/>
            </w:tcBorders>
            <w:noWrap w:val="0"/>
            <w:vAlign w:val="center"/>
          </w:tcPr>
          <w:p w14:paraId="40FBA5F1">
            <w:pPr>
              <w:jc w:val="center"/>
              <w:rPr>
                <w:rFonts w:ascii="宋体" w:hAnsi="宋体" w:cs="宋体"/>
                <w:color w:val="auto"/>
                <w:highlight w:val="none"/>
              </w:rPr>
            </w:pPr>
            <w:r>
              <w:rPr>
                <w:rFonts w:hint="eastAsia" w:ascii="宋体" w:hAnsi="宋体" w:cs="宋体"/>
                <w:color w:val="auto"/>
                <w:highlight w:val="none"/>
              </w:rPr>
              <w:t>租赁费</w:t>
            </w:r>
          </w:p>
        </w:tc>
        <w:tc>
          <w:tcPr>
            <w:tcW w:w="863" w:type="dxa"/>
            <w:vMerge w:val="continue"/>
            <w:tcBorders>
              <w:top w:val="single" w:color="auto" w:sz="4" w:space="0"/>
              <w:left w:val="single" w:color="auto" w:sz="4" w:space="0"/>
              <w:bottom w:val="single" w:color="auto" w:sz="4" w:space="0"/>
              <w:right w:val="single" w:color="auto" w:sz="4" w:space="0"/>
            </w:tcBorders>
            <w:noWrap w:val="0"/>
            <w:vAlign w:val="center"/>
          </w:tcPr>
          <w:p w14:paraId="37425BAE">
            <w:pPr>
              <w:jc w:val="center"/>
              <w:rPr>
                <w:rFonts w:ascii="宋体" w:hAnsi="宋体" w:cs="宋体"/>
                <w:color w:val="auto"/>
                <w:highlight w:val="none"/>
              </w:rPr>
            </w:pPr>
          </w:p>
        </w:tc>
        <w:tc>
          <w:tcPr>
            <w:tcW w:w="1443" w:type="dxa"/>
            <w:vMerge w:val="continue"/>
            <w:tcBorders>
              <w:top w:val="nil"/>
              <w:left w:val="single" w:color="auto" w:sz="4" w:space="0"/>
              <w:bottom w:val="single" w:color="000000" w:sz="4" w:space="0"/>
              <w:right w:val="single" w:color="auto" w:sz="4" w:space="0"/>
            </w:tcBorders>
            <w:noWrap w:val="0"/>
            <w:vAlign w:val="center"/>
          </w:tcPr>
          <w:p w14:paraId="6485F227">
            <w:pPr>
              <w:jc w:val="center"/>
              <w:rPr>
                <w:rFonts w:ascii="宋体" w:hAnsi="宋体" w:cs="宋体"/>
                <w:color w:val="auto"/>
                <w:highlight w:val="none"/>
              </w:rPr>
            </w:pPr>
          </w:p>
        </w:tc>
        <w:tc>
          <w:tcPr>
            <w:tcW w:w="1582" w:type="dxa"/>
            <w:vMerge w:val="continue"/>
            <w:tcBorders>
              <w:top w:val="nil"/>
              <w:left w:val="single" w:color="auto" w:sz="4" w:space="0"/>
              <w:bottom w:val="single" w:color="000000" w:sz="4" w:space="0"/>
              <w:right w:val="single" w:color="auto" w:sz="4" w:space="0"/>
            </w:tcBorders>
            <w:noWrap w:val="0"/>
            <w:vAlign w:val="center"/>
          </w:tcPr>
          <w:p w14:paraId="26061B22">
            <w:pPr>
              <w:jc w:val="center"/>
              <w:rPr>
                <w:rFonts w:ascii="宋体" w:hAnsi="宋体" w:cs="宋体"/>
                <w:color w:val="auto"/>
                <w:highlight w:val="none"/>
              </w:rPr>
            </w:pPr>
          </w:p>
        </w:tc>
        <w:tc>
          <w:tcPr>
            <w:tcW w:w="721" w:type="dxa"/>
            <w:tcBorders>
              <w:top w:val="nil"/>
              <w:left w:val="nil"/>
              <w:bottom w:val="single" w:color="auto" w:sz="4" w:space="0"/>
              <w:right w:val="single" w:color="auto" w:sz="4" w:space="0"/>
            </w:tcBorders>
            <w:noWrap w:val="0"/>
            <w:vAlign w:val="center"/>
          </w:tcPr>
          <w:p w14:paraId="4AEECD80">
            <w:pPr>
              <w:jc w:val="center"/>
              <w:rPr>
                <w:rFonts w:ascii="宋体" w:hAnsi="宋体" w:cs="宋体"/>
                <w:color w:val="auto"/>
                <w:highlight w:val="none"/>
              </w:rPr>
            </w:pPr>
          </w:p>
        </w:tc>
        <w:tc>
          <w:tcPr>
            <w:tcW w:w="721" w:type="dxa"/>
            <w:tcBorders>
              <w:top w:val="nil"/>
              <w:left w:val="nil"/>
              <w:bottom w:val="single" w:color="auto" w:sz="4" w:space="0"/>
              <w:right w:val="single" w:color="auto" w:sz="4" w:space="0"/>
            </w:tcBorders>
            <w:noWrap w:val="0"/>
            <w:vAlign w:val="center"/>
          </w:tcPr>
          <w:p w14:paraId="04129A86">
            <w:pPr>
              <w:jc w:val="center"/>
              <w:rPr>
                <w:rFonts w:ascii="宋体" w:hAnsi="宋体" w:cs="宋体"/>
                <w:color w:val="auto"/>
                <w:highlight w:val="none"/>
              </w:rPr>
            </w:pPr>
          </w:p>
        </w:tc>
        <w:tc>
          <w:tcPr>
            <w:tcW w:w="719" w:type="dxa"/>
            <w:tcBorders>
              <w:top w:val="nil"/>
              <w:left w:val="nil"/>
              <w:bottom w:val="single" w:color="auto" w:sz="4" w:space="0"/>
              <w:right w:val="single" w:color="auto" w:sz="4" w:space="0"/>
            </w:tcBorders>
            <w:noWrap w:val="0"/>
            <w:vAlign w:val="center"/>
          </w:tcPr>
          <w:p w14:paraId="411A4F9F">
            <w:pPr>
              <w:jc w:val="center"/>
              <w:rPr>
                <w:rFonts w:ascii="宋体" w:hAnsi="宋体" w:cs="宋体"/>
                <w:color w:val="auto"/>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1E141972">
            <w:pPr>
              <w:jc w:val="center"/>
              <w:rPr>
                <w:rFonts w:ascii="宋体" w:hAnsi="宋体" w:cs="宋体"/>
                <w:color w:val="auto"/>
                <w:highlight w:val="none"/>
              </w:rPr>
            </w:pPr>
          </w:p>
        </w:tc>
        <w:tc>
          <w:tcPr>
            <w:tcW w:w="719" w:type="dxa"/>
            <w:vMerge w:val="continue"/>
            <w:tcBorders>
              <w:top w:val="nil"/>
              <w:left w:val="single" w:color="auto" w:sz="4" w:space="0"/>
              <w:bottom w:val="single" w:color="auto" w:sz="4" w:space="0"/>
              <w:right w:val="single" w:color="auto" w:sz="4" w:space="0"/>
            </w:tcBorders>
            <w:noWrap w:val="0"/>
            <w:vAlign w:val="center"/>
          </w:tcPr>
          <w:p w14:paraId="51226CE6">
            <w:pPr>
              <w:jc w:val="center"/>
              <w:rPr>
                <w:rFonts w:ascii="宋体" w:hAnsi="宋体" w:cs="宋体"/>
                <w:color w:val="auto"/>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4C113A18">
            <w:pPr>
              <w:jc w:val="center"/>
              <w:rPr>
                <w:rFonts w:ascii="宋体" w:hAnsi="宋体" w:cs="宋体"/>
                <w:color w:val="auto"/>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021907F0">
            <w:pPr>
              <w:jc w:val="center"/>
              <w:rPr>
                <w:rFonts w:ascii="宋体" w:hAnsi="宋体" w:cs="宋体"/>
                <w:color w:val="auto"/>
                <w:highlight w:val="none"/>
              </w:rPr>
            </w:pPr>
          </w:p>
        </w:tc>
        <w:tc>
          <w:tcPr>
            <w:tcW w:w="719" w:type="dxa"/>
            <w:vMerge w:val="continue"/>
            <w:tcBorders>
              <w:top w:val="nil"/>
              <w:left w:val="single" w:color="auto" w:sz="4" w:space="0"/>
              <w:bottom w:val="single" w:color="auto" w:sz="4" w:space="0"/>
              <w:right w:val="single" w:color="auto" w:sz="4" w:space="0"/>
            </w:tcBorders>
            <w:noWrap w:val="0"/>
            <w:vAlign w:val="center"/>
          </w:tcPr>
          <w:p w14:paraId="24F8CB6E">
            <w:pPr>
              <w:jc w:val="center"/>
              <w:rPr>
                <w:rFonts w:ascii="宋体" w:hAnsi="宋体" w:cs="宋体"/>
                <w:color w:val="auto"/>
                <w:highlight w:val="none"/>
              </w:rPr>
            </w:pPr>
          </w:p>
        </w:tc>
        <w:tc>
          <w:tcPr>
            <w:tcW w:w="577" w:type="dxa"/>
            <w:vMerge w:val="continue"/>
            <w:tcBorders>
              <w:top w:val="nil"/>
              <w:left w:val="single" w:color="auto" w:sz="4" w:space="0"/>
              <w:bottom w:val="single" w:color="auto" w:sz="4" w:space="0"/>
              <w:right w:val="single" w:color="auto" w:sz="4" w:space="0"/>
            </w:tcBorders>
            <w:noWrap w:val="0"/>
            <w:vAlign w:val="center"/>
          </w:tcPr>
          <w:p w14:paraId="2144165D">
            <w:pPr>
              <w:jc w:val="center"/>
              <w:rPr>
                <w:rFonts w:ascii="宋体" w:hAnsi="宋体" w:cs="宋体"/>
                <w:color w:val="auto"/>
                <w:highlight w:val="none"/>
              </w:rPr>
            </w:pPr>
          </w:p>
        </w:tc>
        <w:tc>
          <w:tcPr>
            <w:tcW w:w="571" w:type="dxa"/>
            <w:vMerge w:val="continue"/>
            <w:tcBorders>
              <w:top w:val="nil"/>
              <w:left w:val="single" w:color="auto" w:sz="4" w:space="0"/>
              <w:bottom w:val="single" w:color="auto" w:sz="4" w:space="0"/>
              <w:right w:val="single" w:color="auto" w:sz="4" w:space="0"/>
            </w:tcBorders>
            <w:noWrap w:val="0"/>
            <w:vAlign w:val="center"/>
          </w:tcPr>
          <w:p w14:paraId="3AFDD4BC">
            <w:pPr>
              <w:jc w:val="center"/>
              <w:rPr>
                <w:rFonts w:ascii="宋体" w:hAnsi="宋体" w:cs="宋体"/>
                <w:color w:val="auto"/>
                <w:highlight w:val="none"/>
              </w:rPr>
            </w:pPr>
          </w:p>
        </w:tc>
        <w:tc>
          <w:tcPr>
            <w:tcW w:w="236" w:type="dxa"/>
            <w:noWrap w:val="0"/>
            <w:vAlign w:val="center"/>
          </w:tcPr>
          <w:p w14:paraId="13E6DFBF">
            <w:pPr>
              <w:jc w:val="center"/>
              <w:rPr>
                <w:rFonts w:ascii="宋体" w:hAnsi="宋体" w:cs="宋体"/>
                <w:color w:val="auto"/>
                <w:highlight w:val="none"/>
              </w:rPr>
            </w:pPr>
          </w:p>
        </w:tc>
      </w:tr>
      <w:tr w14:paraId="760FB9A7">
        <w:tblPrEx>
          <w:tblCellMar>
            <w:top w:w="0" w:type="dxa"/>
            <w:left w:w="108" w:type="dxa"/>
            <w:bottom w:w="0" w:type="dxa"/>
            <w:right w:w="108" w:type="dxa"/>
          </w:tblCellMar>
        </w:tblPrEx>
        <w:trPr>
          <w:trHeight w:val="285" w:hRule="atLeast"/>
        </w:trPr>
        <w:tc>
          <w:tcPr>
            <w:tcW w:w="404" w:type="dxa"/>
            <w:vMerge w:val="continue"/>
            <w:tcBorders>
              <w:top w:val="nil"/>
              <w:left w:val="single" w:color="auto" w:sz="4" w:space="0"/>
              <w:bottom w:val="single" w:color="auto" w:sz="4" w:space="0"/>
              <w:right w:val="single" w:color="auto" w:sz="4" w:space="0"/>
            </w:tcBorders>
            <w:noWrap w:val="0"/>
            <w:vAlign w:val="center"/>
          </w:tcPr>
          <w:p w14:paraId="24ADF783">
            <w:pPr>
              <w:jc w:val="center"/>
              <w:rPr>
                <w:rFonts w:ascii="宋体" w:hAnsi="宋体" w:cs="宋体"/>
                <w:color w:val="auto"/>
                <w:highlight w:val="none"/>
              </w:rPr>
            </w:pPr>
          </w:p>
        </w:tc>
        <w:tc>
          <w:tcPr>
            <w:tcW w:w="1032" w:type="dxa"/>
            <w:tcBorders>
              <w:top w:val="nil"/>
              <w:left w:val="nil"/>
              <w:bottom w:val="single" w:color="auto" w:sz="4" w:space="0"/>
              <w:right w:val="single" w:color="auto" w:sz="4" w:space="0"/>
            </w:tcBorders>
            <w:noWrap w:val="0"/>
            <w:vAlign w:val="center"/>
          </w:tcPr>
          <w:p w14:paraId="105703CD">
            <w:pPr>
              <w:jc w:val="center"/>
              <w:rPr>
                <w:rFonts w:ascii="宋体" w:hAnsi="宋体" w:cs="宋体"/>
                <w:color w:val="auto"/>
                <w:highlight w:val="none"/>
              </w:rPr>
            </w:pPr>
          </w:p>
        </w:tc>
        <w:tc>
          <w:tcPr>
            <w:tcW w:w="792" w:type="dxa"/>
            <w:tcBorders>
              <w:top w:val="single" w:color="auto" w:sz="4" w:space="0"/>
              <w:left w:val="nil"/>
              <w:bottom w:val="single" w:color="auto" w:sz="4" w:space="0"/>
              <w:right w:val="single" w:color="auto" w:sz="4" w:space="0"/>
            </w:tcBorders>
            <w:noWrap w:val="0"/>
            <w:vAlign w:val="center"/>
          </w:tcPr>
          <w:p w14:paraId="712C9255">
            <w:pPr>
              <w:jc w:val="center"/>
              <w:rPr>
                <w:rFonts w:ascii="宋体" w:hAnsi="宋体" w:cs="宋体"/>
                <w:color w:val="auto"/>
                <w:highlight w:val="none"/>
              </w:rPr>
            </w:pPr>
          </w:p>
        </w:tc>
        <w:tc>
          <w:tcPr>
            <w:tcW w:w="940" w:type="dxa"/>
            <w:tcBorders>
              <w:top w:val="single" w:color="auto" w:sz="4" w:space="0"/>
              <w:left w:val="nil"/>
              <w:bottom w:val="single" w:color="auto" w:sz="4" w:space="0"/>
              <w:right w:val="single" w:color="auto" w:sz="4" w:space="0"/>
            </w:tcBorders>
            <w:noWrap w:val="0"/>
            <w:vAlign w:val="center"/>
          </w:tcPr>
          <w:p w14:paraId="3E9C1BB2">
            <w:pPr>
              <w:jc w:val="center"/>
              <w:rPr>
                <w:rFonts w:ascii="宋体" w:hAnsi="宋体" w:cs="宋体"/>
                <w:color w:val="auto"/>
                <w:highlight w:val="none"/>
              </w:rPr>
            </w:pPr>
          </w:p>
        </w:tc>
        <w:tc>
          <w:tcPr>
            <w:tcW w:w="863" w:type="dxa"/>
            <w:vMerge w:val="continue"/>
            <w:tcBorders>
              <w:top w:val="single" w:color="auto" w:sz="4" w:space="0"/>
              <w:left w:val="single" w:color="auto" w:sz="4" w:space="0"/>
              <w:bottom w:val="single" w:color="auto" w:sz="4" w:space="0"/>
              <w:right w:val="single" w:color="auto" w:sz="4" w:space="0"/>
            </w:tcBorders>
            <w:noWrap w:val="0"/>
            <w:vAlign w:val="center"/>
          </w:tcPr>
          <w:p w14:paraId="2A775997">
            <w:pPr>
              <w:jc w:val="center"/>
              <w:rPr>
                <w:rFonts w:ascii="宋体" w:hAnsi="宋体" w:cs="宋体"/>
                <w:color w:val="auto"/>
                <w:highlight w:val="none"/>
              </w:rPr>
            </w:pPr>
          </w:p>
        </w:tc>
        <w:tc>
          <w:tcPr>
            <w:tcW w:w="1443" w:type="dxa"/>
            <w:vMerge w:val="continue"/>
            <w:tcBorders>
              <w:top w:val="nil"/>
              <w:left w:val="single" w:color="auto" w:sz="4" w:space="0"/>
              <w:bottom w:val="single" w:color="000000" w:sz="4" w:space="0"/>
              <w:right w:val="single" w:color="auto" w:sz="4" w:space="0"/>
            </w:tcBorders>
            <w:noWrap w:val="0"/>
            <w:vAlign w:val="center"/>
          </w:tcPr>
          <w:p w14:paraId="0D8998F2">
            <w:pPr>
              <w:jc w:val="center"/>
              <w:rPr>
                <w:rFonts w:ascii="宋体" w:hAnsi="宋体" w:cs="宋体"/>
                <w:color w:val="auto"/>
                <w:highlight w:val="none"/>
              </w:rPr>
            </w:pPr>
          </w:p>
        </w:tc>
        <w:tc>
          <w:tcPr>
            <w:tcW w:w="1582" w:type="dxa"/>
            <w:vMerge w:val="continue"/>
            <w:tcBorders>
              <w:top w:val="nil"/>
              <w:left w:val="single" w:color="auto" w:sz="4" w:space="0"/>
              <w:bottom w:val="single" w:color="000000" w:sz="4" w:space="0"/>
              <w:right w:val="single" w:color="auto" w:sz="4" w:space="0"/>
            </w:tcBorders>
            <w:noWrap w:val="0"/>
            <w:vAlign w:val="center"/>
          </w:tcPr>
          <w:p w14:paraId="53E63766">
            <w:pPr>
              <w:jc w:val="center"/>
              <w:rPr>
                <w:rFonts w:ascii="宋体" w:hAnsi="宋体" w:cs="宋体"/>
                <w:color w:val="auto"/>
                <w:highlight w:val="none"/>
              </w:rPr>
            </w:pPr>
          </w:p>
        </w:tc>
        <w:tc>
          <w:tcPr>
            <w:tcW w:w="721" w:type="dxa"/>
            <w:tcBorders>
              <w:top w:val="nil"/>
              <w:left w:val="nil"/>
              <w:bottom w:val="single" w:color="auto" w:sz="4" w:space="0"/>
              <w:right w:val="single" w:color="auto" w:sz="4" w:space="0"/>
            </w:tcBorders>
            <w:noWrap w:val="0"/>
            <w:vAlign w:val="center"/>
          </w:tcPr>
          <w:p w14:paraId="394DCB0E">
            <w:pPr>
              <w:jc w:val="center"/>
              <w:rPr>
                <w:rFonts w:ascii="宋体" w:hAnsi="宋体" w:cs="宋体"/>
                <w:color w:val="auto"/>
                <w:highlight w:val="none"/>
              </w:rPr>
            </w:pPr>
          </w:p>
        </w:tc>
        <w:tc>
          <w:tcPr>
            <w:tcW w:w="721" w:type="dxa"/>
            <w:tcBorders>
              <w:top w:val="nil"/>
              <w:left w:val="nil"/>
              <w:bottom w:val="single" w:color="auto" w:sz="4" w:space="0"/>
              <w:right w:val="single" w:color="auto" w:sz="4" w:space="0"/>
            </w:tcBorders>
            <w:noWrap w:val="0"/>
            <w:vAlign w:val="center"/>
          </w:tcPr>
          <w:p w14:paraId="1BA0B477">
            <w:pPr>
              <w:jc w:val="center"/>
              <w:rPr>
                <w:rFonts w:ascii="宋体" w:hAnsi="宋体" w:cs="宋体"/>
                <w:color w:val="auto"/>
                <w:highlight w:val="none"/>
              </w:rPr>
            </w:pPr>
          </w:p>
        </w:tc>
        <w:tc>
          <w:tcPr>
            <w:tcW w:w="719" w:type="dxa"/>
            <w:tcBorders>
              <w:top w:val="nil"/>
              <w:left w:val="nil"/>
              <w:bottom w:val="single" w:color="auto" w:sz="4" w:space="0"/>
              <w:right w:val="single" w:color="auto" w:sz="4" w:space="0"/>
            </w:tcBorders>
            <w:noWrap w:val="0"/>
            <w:vAlign w:val="center"/>
          </w:tcPr>
          <w:p w14:paraId="7E225BF9">
            <w:pPr>
              <w:jc w:val="center"/>
              <w:rPr>
                <w:rFonts w:ascii="宋体" w:hAnsi="宋体" w:cs="宋体"/>
                <w:color w:val="auto"/>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1294CBFF">
            <w:pPr>
              <w:jc w:val="center"/>
              <w:rPr>
                <w:rFonts w:ascii="宋体" w:hAnsi="宋体" w:cs="宋体"/>
                <w:color w:val="auto"/>
                <w:highlight w:val="none"/>
              </w:rPr>
            </w:pPr>
          </w:p>
        </w:tc>
        <w:tc>
          <w:tcPr>
            <w:tcW w:w="719" w:type="dxa"/>
            <w:vMerge w:val="continue"/>
            <w:tcBorders>
              <w:top w:val="nil"/>
              <w:left w:val="single" w:color="auto" w:sz="4" w:space="0"/>
              <w:bottom w:val="single" w:color="auto" w:sz="4" w:space="0"/>
              <w:right w:val="single" w:color="auto" w:sz="4" w:space="0"/>
            </w:tcBorders>
            <w:noWrap w:val="0"/>
            <w:vAlign w:val="center"/>
          </w:tcPr>
          <w:p w14:paraId="627C4A0A">
            <w:pPr>
              <w:jc w:val="center"/>
              <w:rPr>
                <w:rFonts w:ascii="宋体" w:hAnsi="宋体" w:cs="宋体"/>
                <w:color w:val="auto"/>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4D28CF0D">
            <w:pPr>
              <w:jc w:val="center"/>
              <w:rPr>
                <w:rFonts w:ascii="宋体" w:hAnsi="宋体" w:cs="宋体"/>
                <w:color w:val="auto"/>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1F7F61F5">
            <w:pPr>
              <w:jc w:val="center"/>
              <w:rPr>
                <w:rFonts w:ascii="宋体" w:hAnsi="宋体" w:cs="宋体"/>
                <w:color w:val="auto"/>
                <w:highlight w:val="none"/>
              </w:rPr>
            </w:pPr>
          </w:p>
        </w:tc>
        <w:tc>
          <w:tcPr>
            <w:tcW w:w="719" w:type="dxa"/>
            <w:vMerge w:val="continue"/>
            <w:tcBorders>
              <w:top w:val="nil"/>
              <w:left w:val="single" w:color="auto" w:sz="4" w:space="0"/>
              <w:bottom w:val="single" w:color="auto" w:sz="4" w:space="0"/>
              <w:right w:val="single" w:color="auto" w:sz="4" w:space="0"/>
            </w:tcBorders>
            <w:noWrap w:val="0"/>
            <w:vAlign w:val="center"/>
          </w:tcPr>
          <w:p w14:paraId="079095FD">
            <w:pPr>
              <w:jc w:val="center"/>
              <w:rPr>
                <w:rFonts w:ascii="宋体" w:hAnsi="宋体" w:cs="宋体"/>
                <w:color w:val="auto"/>
                <w:highlight w:val="none"/>
              </w:rPr>
            </w:pPr>
          </w:p>
        </w:tc>
        <w:tc>
          <w:tcPr>
            <w:tcW w:w="577" w:type="dxa"/>
            <w:vMerge w:val="continue"/>
            <w:tcBorders>
              <w:top w:val="nil"/>
              <w:left w:val="single" w:color="auto" w:sz="4" w:space="0"/>
              <w:bottom w:val="single" w:color="auto" w:sz="4" w:space="0"/>
              <w:right w:val="single" w:color="auto" w:sz="4" w:space="0"/>
            </w:tcBorders>
            <w:noWrap w:val="0"/>
            <w:vAlign w:val="center"/>
          </w:tcPr>
          <w:p w14:paraId="0A73C2E3">
            <w:pPr>
              <w:jc w:val="center"/>
              <w:rPr>
                <w:rFonts w:ascii="宋体" w:hAnsi="宋体" w:cs="宋体"/>
                <w:color w:val="auto"/>
                <w:highlight w:val="none"/>
              </w:rPr>
            </w:pPr>
          </w:p>
        </w:tc>
        <w:tc>
          <w:tcPr>
            <w:tcW w:w="571" w:type="dxa"/>
            <w:vMerge w:val="continue"/>
            <w:tcBorders>
              <w:top w:val="nil"/>
              <w:left w:val="single" w:color="auto" w:sz="4" w:space="0"/>
              <w:bottom w:val="single" w:color="auto" w:sz="4" w:space="0"/>
              <w:right w:val="single" w:color="auto" w:sz="4" w:space="0"/>
            </w:tcBorders>
            <w:noWrap w:val="0"/>
            <w:vAlign w:val="center"/>
          </w:tcPr>
          <w:p w14:paraId="03BCA44A">
            <w:pPr>
              <w:jc w:val="center"/>
              <w:rPr>
                <w:rFonts w:ascii="宋体" w:hAnsi="宋体" w:cs="宋体"/>
                <w:color w:val="auto"/>
                <w:highlight w:val="none"/>
              </w:rPr>
            </w:pPr>
          </w:p>
        </w:tc>
        <w:tc>
          <w:tcPr>
            <w:tcW w:w="236" w:type="dxa"/>
            <w:noWrap w:val="0"/>
            <w:vAlign w:val="center"/>
          </w:tcPr>
          <w:p w14:paraId="7BE1B732">
            <w:pPr>
              <w:jc w:val="center"/>
              <w:rPr>
                <w:rFonts w:ascii="宋体" w:hAnsi="宋体" w:cs="宋体"/>
                <w:color w:val="auto"/>
                <w:highlight w:val="none"/>
              </w:rPr>
            </w:pPr>
          </w:p>
        </w:tc>
      </w:tr>
      <w:tr w14:paraId="6C342054">
        <w:tblPrEx>
          <w:tblCellMar>
            <w:top w:w="0" w:type="dxa"/>
            <w:left w:w="108" w:type="dxa"/>
            <w:bottom w:w="0" w:type="dxa"/>
            <w:right w:w="108" w:type="dxa"/>
          </w:tblCellMar>
        </w:tblPrEx>
        <w:trPr>
          <w:trHeight w:val="285" w:hRule="atLeast"/>
        </w:trPr>
        <w:tc>
          <w:tcPr>
            <w:tcW w:w="404" w:type="dxa"/>
            <w:vMerge w:val="continue"/>
            <w:tcBorders>
              <w:top w:val="nil"/>
              <w:left w:val="single" w:color="auto" w:sz="4" w:space="0"/>
              <w:bottom w:val="single" w:color="auto" w:sz="4" w:space="0"/>
              <w:right w:val="single" w:color="auto" w:sz="4" w:space="0"/>
            </w:tcBorders>
            <w:noWrap w:val="0"/>
            <w:vAlign w:val="center"/>
          </w:tcPr>
          <w:p w14:paraId="2878D2F3">
            <w:pPr>
              <w:jc w:val="center"/>
              <w:rPr>
                <w:rFonts w:ascii="宋体" w:hAnsi="宋体" w:cs="宋体"/>
                <w:color w:val="auto"/>
                <w:highlight w:val="none"/>
              </w:rPr>
            </w:pPr>
          </w:p>
        </w:tc>
        <w:tc>
          <w:tcPr>
            <w:tcW w:w="1032" w:type="dxa"/>
            <w:tcBorders>
              <w:top w:val="nil"/>
              <w:left w:val="nil"/>
              <w:bottom w:val="single" w:color="auto" w:sz="4" w:space="0"/>
              <w:right w:val="single" w:color="auto" w:sz="4" w:space="0"/>
            </w:tcBorders>
            <w:noWrap w:val="0"/>
            <w:vAlign w:val="center"/>
          </w:tcPr>
          <w:p w14:paraId="162FDD18">
            <w:pPr>
              <w:jc w:val="center"/>
              <w:rPr>
                <w:rFonts w:ascii="宋体" w:hAnsi="宋体" w:cs="宋体"/>
                <w:color w:val="auto"/>
                <w:highlight w:val="none"/>
              </w:rPr>
            </w:pPr>
          </w:p>
        </w:tc>
        <w:tc>
          <w:tcPr>
            <w:tcW w:w="792" w:type="dxa"/>
            <w:tcBorders>
              <w:top w:val="single" w:color="auto" w:sz="4" w:space="0"/>
              <w:left w:val="nil"/>
              <w:bottom w:val="single" w:color="auto" w:sz="4" w:space="0"/>
              <w:right w:val="single" w:color="auto" w:sz="4" w:space="0"/>
            </w:tcBorders>
            <w:noWrap w:val="0"/>
            <w:vAlign w:val="center"/>
          </w:tcPr>
          <w:p w14:paraId="7F650F24">
            <w:pPr>
              <w:jc w:val="center"/>
              <w:rPr>
                <w:rFonts w:ascii="宋体" w:hAnsi="宋体" w:cs="宋体"/>
                <w:color w:val="auto"/>
                <w:highlight w:val="none"/>
              </w:rPr>
            </w:pPr>
          </w:p>
        </w:tc>
        <w:tc>
          <w:tcPr>
            <w:tcW w:w="940" w:type="dxa"/>
            <w:tcBorders>
              <w:top w:val="single" w:color="auto" w:sz="4" w:space="0"/>
              <w:left w:val="nil"/>
              <w:bottom w:val="single" w:color="auto" w:sz="4" w:space="0"/>
              <w:right w:val="single" w:color="auto" w:sz="4" w:space="0"/>
            </w:tcBorders>
            <w:noWrap w:val="0"/>
            <w:vAlign w:val="center"/>
          </w:tcPr>
          <w:p w14:paraId="6D792A97">
            <w:pPr>
              <w:jc w:val="center"/>
              <w:rPr>
                <w:rFonts w:ascii="宋体" w:hAnsi="宋体" w:cs="宋体"/>
                <w:color w:val="auto"/>
                <w:highlight w:val="none"/>
              </w:rPr>
            </w:pPr>
            <w:r>
              <w:rPr>
                <w:rFonts w:hint="eastAsia" w:ascii="宋体" w:hAnsi="宋体" w:cs="宋体"/>
                <w:color w:val="auto"/>
                <w:highlight w:val="none"/>
              </w:rPr>
              <w:t>配件</w:t>
            </w:r>
          </w:p>
        </w:tc>
        <w:tc>
          <w:tcPr>
            <w:tcW w:w="863" w:type="dxa"/>
            <w:vMerge w:val="continue"/>
            <w:tcBorders>
              <w:top w:val="single" w:color="auto" w:sz="4" w:space="0"/>
              <w:left w:val="single" w:color="auto" w:sz="4" w:space="0"/>
              <w:bottom w:val="single" w:color="auto" w:sz="4" w:space="0"/>
              <w:right w:val="single" w:color="auto" w:sz="4" w:space="0"/>
            </w:tcBorders>
            <w:noWrap w:val="0"/>
            <w:vAlign w:val="center"/>
          </w:tcPr>
          <w:p w14:paraId="12C2D1D5">
            <w:pPr>
              <w:jc w:val="center"/>
              <w:rPr>
                <w:rFonts w:ascii="宋体" w:hAnsi="宋体" w:cs="宋体"/>
                <w:color w:val="auto"/>
                <w:highlight w:val="none"/>
              </w:rPr>
            </w:pPr>
          </w:p>
        </w:tc>
        <w:tc>
          <w:tcPr>
            <w:tcW w:w="1443" w:type="dxa"/>
            <w:vMerge w:val="continue"/>
            <w:tcBorders>
              <w:top w:val="nil"/>
              <w:left w:val="single" w:color="auto" w:sz="4" w:space="0"/>
              <w:bottom w:val="single" w:color="000000" w:sz="4" w:space="0"/>
              <w:right w:val="single" w:color="auto" w:sz="4" w:space="0"/>
            </w:tcBorders>
            <w:noWrap w:val="0"/>
            <w:vAlign w:val="center"/>
          </w:tcPr>
          <w:p w14:paraId="462E8FB3">
            <w:pPr>
              <w:jc w:val="center"/>
              <w:rPr>
                <w:rFonts w:ascii="宋体" w:hAnsi="宋体" w:cs="宋体"/>
                <w:color w:val="auto"/>
                <w:highlight w:val="none"/>
              </w:rPr>
            </w:pPr>
          </w:p>
        </w:tc>
        <w:tc>
          <w:tcPr>
            <w:tcW w:w="1582" w:type="dxa"/>
            <w:vMerge w:val="continue"/>
            <w:tcBorders>
              <w:top w:val="nil"/>
              <w:left w:val="single" w:color="auto" w:sz="4" w:space="0"/>
              <w:bottom w:val="single" w:color="000000" w:sz="4" w:space="0"/>
              <w:right w:val="single" w:color="auto" w:sz="4" w:space="0"/>
            </w:tcBorders>
            <w:noWrap w:val="0"/>
            <w:vAlign w:val="center"/>
          </w:tcPr>
          <w:p w14:paraId="58F080BA">
            <w:pPr>
              <w:jc w:val="center"/>
              <w:rPr>
                <w:rFonts w:ascii="宋体" w:hAnsi="宋体" w:cs="宋体"/>
                <w:color w:val="auto"/>
                <w:highlight w:val="none"/>
              </w:rPr>
            </w:pPr>
          </w:p>
        </w:tc>
        <w:tc>
          <w:tcPr>
            <w:tcW w:w="721" w:type="dxa"/>
            <w:tcBorders>
              <w:top w:val="nil"/>
              <w:left w:val="nil"/>
              <w:bottom w:val="single" w:color="auto" w:sz="4" w:space="0"/>
              <w:right w:val="single" w:color="auto" w:sz="4" w:space="0"/>
            </w:tcBorders>
            <w:noWrap w:val="0"/>
            <w:vAlign w:val="center"/>
          </w:tcPr>
          <w:p w14:paraId="527BBC32">
            <w:pPr>
              <w:jc w:val="center"/>
              <w:rPr>
                <w:rFonts w:ascii="宋体" w:hAnsi="宋体" w:cs="宋体"/>
                <w:color w:val="auto"/>
                <w:highlight w:val="none"/>
              </w:rPr>
            </w:pPr>
            <w:r>
              <w:rPr>
                <w:rFonts w:hint="eastAsia" w:ascii="宋体" w:hAnsi="宋体" w:cs="宋体"/>
                <w:color w:val="auto"/>
                <w:highlight w:val="none"/>
              </w:rPr>
              <w:t>批</w:t>
            </w:r>
          </w:p>
        </w:tc>
        <w:tc>
          <w:tcPr>
            <w:tcW w:w="721" w:type="dxa"/>
            <w:tcBorders>
              <w:top w:val="nil"/>
              <w:left w:val="nil"/>
              <w:bottom w:val="single" w:color="auto" w:sz="4" w:space="0"/>
              <w:right w:val="single" w:color="auto" w:sz="4" w:space="0"/>
            </w:tcBorders>
            <w:noWrap w:val="0"/>
            <w:vAlign w:val="center"/>
          </w:tcPr>
          <w:p w14:paraId="7984BE4A">
            <w:pPr>
              <w:jc w:val="center"/>
              <w:rPr>
                <w:rFonts w:ascii="宋体" w:hAnsi="宋体" w:cs="宋体"/>
                <w:color w:val="auto"/>
                <w:highlight w:val="none"/>
              </w:rPr>
            </w:pPr>
          </w:p>
        </w:tc>
        <w:tc>
          <w:tcPr>
            <w:tcW w:w="719" w:type="dxa"/>
            <w:tcBorders>
              <w:top w:val="nil"/>
              <w:left w:val="nil"/>
              <w:bottom w:val="single" w:color="auto" w:sz="4" w:space="0"/>
              <w:right w:val="single" w:color="auto" w:sz="4" w:space="0"/>
            </w:tcBorders>
            <w:noWrap w:val="0"/>
            <w:vAlign w:val="center"/>
          </w:tcPr>
          <w:p w14:paraId="146EC1EC">
            <w:pPr>
              <w:jc w:val="center"/>
              <w:rPr>
                <w:rFonts w:ascii="宋体" w:hAnsi="宋体" w:cs="宋体"/>
                <w:color w:val="auto"/>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682E8A5F">
            <w:pPr>
              <w:jc w:val="center"/>
              <w:rPr>
                <w:rFonts w:ascii="宋体" w:hAnsi="宋体" w:cs="宋体"/>
                <w:color w:val="auto"/>
                <w:highlight w:val="none"/>
              </w:rPr>
            </w:pPr>
          </w:p>
        </w:tc>
        <w:tc>
          <w:tcPr>
            <w:tcW w:w="719" w:type="dxa"/>
            <w:vMerge w:val="continue"/>
            <w:tcBorders>
              <w:top w:val="nil"/>
              <w:left w:val="single" w:color="auto" w:sz="4" w:space="0"/>
              <w:bottom w:val="single" w:color="auto" w:sz="4" w:space="0"/>
              <w:right w:val="single" w:color="auto" w:sz="4" w:space="0"/>
            </w:tcBorders>
            <w:noWrap w:val="0"/>
            <w:vAlign w:val="center"/>
          </w:tcPr>
          <w:p w14:paraId="6414E659">
            <w:pPr>
              <w:jc w:val="center"/>
              <w:rPr>
                <w:rFonts w:ascii="宋体" w:hAnsi="宋体" w:cs="宋体"/>
                <w:color w:val="auto"/>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26004796">
            <w:pPr>
              <w:jc w:val="center"/>
              <w:rPr>
                <w:rFonts w:ascii="宋体" w:hAnsi="宋体" w:cs="宋体"/>
                <w:color w:val="auto"/>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388B72FF">
            <w:pPr>
              <w:jc w:val="center"/>
              <w:rPr>
                <w:rFonts w:ascii="宋体" w:hAnsi="宋体" w:cs="宋体"/>
                <w:color w:val="auto"/>
                <w:highlight w:val="none"/>
              </w:rPr>
            </w:pPr>
          </w:p>
        </w:tc>
        <w:tc>
          <w:tcPr>
            <w:tcW w:w="719" w:type="dxa"/>
            <w:vMerge w:val="continue"/>
            <w:tcBorders>
              <w:top w:val="nil"/>
              <w:left w:val="single" w:color="auto" w:sz="4" w:space="0"/>
              <w:bottom w:val="single" w:color="auto" w:sz="4" w:space="0"/>
              <w:right w:val="single" w:color="auto" w:sz="4" w:space="0"/>
            </w:tcBorders>
            <w:noWrap w:val="0"/>
            <w:vAlign w:val="center"/>
          </w:tcPr>
          <w:p w14:paraId="1CCB5D3E">
            <w:pPr>
              <w:jc w:val="center"/>
              <w:rPr>
                <w:rFonts w:ascii="宋体" w:hAnsi="宋体" w:cs="宋体"/>
                <w:color w:val="auto"/>
                <w:highlight w:val="none"/>
              </w:rPr>
            </w:pPr>
          </w:p>
        </w:tc>
        <w:tc>
          <w:tcPr>
            <w:tcW w:w="577" w:type="dxa"/>
            <w:vMerge w:val="continue"/>
            <w:tcBorders>
              <w:top w:val="nil"/>
              <w:left w:val="single" w:color="auto" w:sz="4" w:space="0"/>
              <w:bottom w:val="single" w:color="auto" w:sz="4" w:space="0"/>
              <w:right w:val="single" w:color="auto" w:sz="4" w:space="0"/>
            </w:tcBorders>
            <w:noWrap w:val="0"/>
            <w:vAlign w:val="center"/>
          </w:tcPr>
          <w:p w14:paraId="768B2F2E">
            <w:pPr>
              <w:jc w:val="center"/>
              <w:rPr>
                <w:rFonts w:ascii="宋体" w:hAnsi="宋体" w:cs="宋体"/>
                <w:color w:val="auto"/>
                <w:highlight w:val="none"/>
              </w:rPr>
            </w:pPr>
          </w:p>
        </w:tc>
        <w:tc>
          <w:tcPr>
            <w:tcW w:w="571" w:type="dxa"/>
            <w:vMerge w:val="continue"/>
            <w:tcBorders>
              <w:top w:val="nil"/>
              <w:left w:val="single" w:color="auto" w:sz="4" w:space="0"/>
              <w:bottom w:val="single" w:color="auto" w:sz="4" w:space="0"/>
              <w:right w:val="single" w:color="auto" w:sz="4" w:space="0"/>
            </w:tcBorders>
            <w:noWrap w:val="0"/>
            <w:vAlign w:val="center"/>
          </w:tcPr>
          <w:p w14:paraId="104EA887">
            <w:pPr>
              <w:jc w:val="center"/>
              <w:rPr>
                <w:rFonts w:ascii="宋体" w:hAnsi="宋体" w:cs="宋体"/>
                <w:color w:val="auto"/>
                <w:highlight w:val="none"/>
              </w:rPr>
            </w:pPr>
          </w:p>
        </w:tc>
        <w:tc>
          <w:tcPr>
            <w:tcW w:w="236" w:type="dxa"/>
            <w:noWrap w:val="0"/>
            <w:vAlign w:val="center"/>
          </w:tcPr>
          <w:p w14:paraId="3EF55887">
            <w:pPr>
              <w:jc w:val="center"/>
              <w:rPr>
                <w:rFonts w:ascii="宋体" w:hAnsi="宋体" w:cs="宋体"/>
                <w:color w:val="auto"/>
                <w:highlight w:val="none"/>
              </w:rPr>
            </w:pPr>
          </w:p>
        </w:tc>
      </w:tr>
      <w:tr w14:paraId="3042B7B7">
        <w:tblPrEx>
          <w:tblCellMar>
            <w:top w:w="0" w:type="dxa"/>
            <w:left w:w="108" w:type="dxa"/>
            <w:bottom w:w="0" w:type="dxa"/>
            <w:right w:w="108" w:type="dxa"/>
          </w:tblCellMar>
        </w:tblPrEx>
        <w:trPr>
          <w:trHeight w:val="675" w:hRule="atLeast"/>
        </w:trPr>
        <w:tc>
          <w:tcPr>
            <w:tcW w:w="404" w:type="dxa"/>
            <w:tcBorders>
              <w:top w:val="nil"/>
              <w:left w:val="single" w:color="auto" w:sz="4" w:space="0"/>
              <w:bottom w:val="single" w:color="auto" w:sz="4" w:space="0"/>
              <w:right w:val="single" w:color="auto" w:sz="4" w:space="0"/>
            </w:tcBorders>
            <w:noWrap w:val="0"/>
            <w:vAlign w:val="center"/>
          </w:tcPr>
          <w:p w14:paraId="126B586D">
            <w:pPr>
              <w:jc w:val="center"/>
              <w:rPr>
                <w:rFonts w:ascii="宋体" w:hAnsi="宋体" w:cs="宋体"/>
                <w:color w:val="auto"/>
                <w:highlight w:val="none"/>
              </w:rPr>
            </w:pPr>
            <w:r>
              <w:rPr>
                <w:rFonts w:hint="eastAsia" w:ascii="宋体" w:hAnsi="宋体" w:cs="宋体"/>
                <w:color w:val="auto"/>
                <w:highlight w:val="none"/>
              </w:rPr>
              <w:t>3</w:t>
            </w:r>
          </w:p>
        </w:tc>
        <w:tc>
          <w:tcPr>
            <w:tcW w:w="1032" w:type="dxa"/>
            <w:tcBorders>
              <w:top w:val="nil"/>
              <w:left w:val="nil"/>
              <w:bottom w:val="single" w:color="auto" w:sz="4" w:space="0"/>
              <w:right w:val="single" w:color="auto" w:sz="4" w:space="0"/>
            </w:tcBorders>
            <w:noWrap w:val="0"/>
            <w:vAlign w:val="center"/>
          </w:tcPr>
          <w:p w14:paraId="7410B7D1">
            <w:pPr>
              <w:jc w:val="center"/>
              <w:rPr>
                <w:rFonts w:ascii="宋体" w:hAnsi="宋体" w:cs="宋体"/>
                <w:color w:val="auto"/>
                <w:highlight w:val="none"/>
              </w:rPr>
            </w:pPr>
          </w:p>
        </w:tc>
        <w:tc>
          <w:tcPr>
            <w:tcW w:w="792" w:type="dxa"/>
            <w:tcBorders>
              <w:top w:val="single" w:color="auto" w:sz="4" w:space="0"/>
              <w:left w:val="nil"/>
              <w:bottom w:val="single" w:color="auto" w:sz="4" w:space="0"/>
              <w:right w:val="single" w:color="auto" w:sz="4" w:space="0"/>
            </w:tcBorders>
            <w:noWrap w:val="0"/>
            <w:vAlign w:val="center"/>
          </w:tcPr>
          <w:p w14:paraId="4286C623">
            <w:pPr>
              <w:jc w:val="center"/>
              <w:rPr>
                <w:rFonts w:ascii="宋体" w:hAnsi="宋体" w:cs="宋体"/>
                <w:color w:val="auto"/>
                <w:highlight w:val="none"/>
              </w:rPr>
            </w:pPr>
          </w:p>
        </w:tc>
        <w:tc>
          <w:tcPr>
            <w:tcW w:w="940" w:type="dxa"/>
            <w:tcBorders>
              <w:top w:val="single" w:color="auto" w:sz="4" w:space="0"/>
              <w:left w:val="nil"/>
              <w:bottom w:val="single" w:color="auto" w:sz="4" w:space="0"/>
              <w:right w:val="single" w:color="auto" w:sz="4" w:space="0"/>
            </w:tcBorders>
            <w:noWrap w:val="0"/>
            <w:vAlign w:val="center"/>
          </w:tcPr>
          <w:p w14:paraId="1E5BEAE3">
            <w:pPr>
              <w:jc w:val="center"/>
              <w:rPr>
                <w:rFonts w:ascii="宋体" w:hAnsi="宋体" w:cs="宋体"/>
                <w:color w:val="auto"/>
                <w:highlight w:val="none"/>
              </w:rPr>
            </w:pPr>
            <w:r>
              <w:rPr>
                <w:rFonts w:hint="eastAsia" w:ascii="宋体" w:hAnsi="宋体" w:cs="宋体"/>
                <w:color w:val="auto"/>
                <w:highlight w:val="none"/>
              </w:rPr>
              <w:t>高清旋转球</w:t>
            </w:r>
          </w:p>
        </w:tc>
        <w:tc>
          <w:tcPr>
            <w:tcW w:w="863" w:type="dxa"/>
            <w:tcBorders>
              <w:top w:val="single" w:color="auto" w:sz="4" w:space="0"/>
              <w:left w:val="nil"/>
              <w:bottom w:val="single" w:color="auto" w:sz="4" w:space="0"/>
              <w:right w:val="single" w:color="auto" w:sz="4" w:space="0"/>
            </w:tcBorders>
            <w:noWrap w:val="0"/>
            <w:vAlign w:val="center"/>
          </w:tcPr>
          <w:p w14:paraId="3B9CA1EB">
            <w:pPr>
              <w:jc w:val="center"/>
              <w:rPr>
                <w:rFonts w:ascii="宋体" w:hAnsi="宋体" w:cs="宋体"/>
                <w:color w:val="auto"/>
                <w:highlight w:val="none"/>
              </w:rPr>
            </w:pPr>
          </w:p>
        </w:tc>
        <w:tc>
          <w:tcPr>
            <w:tcW w:w="1443" w:type="dxa"/>
            <w:tcBorders>
              <w:top w:val="nil"/>
              <w:left w:val="nil"/>
              <w:bottom w:val="single" w:color="auto" w:sz="4" w:space="0"/>
              <w:right w:val="single" w:color="auto" w:sz="4" w:space="0"/>
            </w:tcBorders>
            <w:noWrap w:val="0"/>
            <w:vAlign w:val="center"/>
          </w:tcPr>
          <w:p w14:paraId="225FAF79">
            <w:pPr>
              <w:jc w:val="center"/>
              <w:rPr>
                <w:rFonts w:ascii="宋体" w:hAnsi="宋体" w:cs="宋体"/>
                <w:color w:val="auto"/>
                <w:highlight w:val="none"/>
                <w:lang w:eastAsia="zh-CN"/>
              </w:rPr>
            </w:pPr>
            <w:r>
              <w:rPr>
                <w:rFonts w:hint="eastAsia" w:ascii="宋体" w:hAnsi="宋体" w:cs="宋体"/>
                <w:color w:val="auto"/>
                <w:highlight w:val="none"/>
                <w:lang w:eastAsia="zh-CN"/>
              </w:rPr>
              <w:t>七、安全生产适用的新技术、新标准、新工艺、新装备的推广应用支出</w:t>
            </w:r>
          </w:p>
        </w:tc>
        <w:tc>
          <w:tcPr>
            <w:tcW w:w="1582" w:type="dxa"/>
            <w:tcBorders>
              <w:top w:val="nil"/>
              <w:left w:val="nil"/>
              <w:bottom w:val="single" w:color="auto" w:sz="4" w:space="0"/>
              <w:right w:val="single" w:color="auto" w:sz="4" w:space="0"/>
            </w:tcBorders>
            <w:noWrap w:val="0"/>
            <w:vAlign w:val="center"/>
          </w:tcPr>
          <w:p w14:paraId="485CCA50">
            <w:pPr>
              <w:jc w:val="center"/>
              <w:rPr>
                <w:rFonts w:ascii="宋体" w:hAnsi="宋体" w:cs="宋体"/>
                <w:color w:val="auto"/>
                <w:highlight w:val="none"/>
              </w:rPr>
            </w:pPr>
            <w:r>
              <w:rPr>
                <w:rFonts w:hint="eastAsia" w:ascii="宋体" w:hAnsi="宋体" w:cs="宋体"/>
                <w:color w:val="auto"/>
                <w:highlight w:val="none"/>
              </w:rPr>
              <w:t>/</w:t>
            </w:r>
          </w:p>
        </w:tc>
        <w:tc>
          <w:tcPr>
            <w:tcW w:w="721" w:type="dxa"/>
            <w:tcBorders>
              <w:top w:val="nil"/>
              <w:left w:val="nil"/>
              <w:bottom w:val="single" w:color="auto" w:sz="4" w:space="0"/>
              <w:right w:val="single" w:color="auto" w:sz="4" w:space="0"/>
            </w:tcBorders>
            <w:noWrap w:val="0"/>
            <w:vAlign w:val="center"/>
          </w:tcPr>
          <w:p w14:paraId="76FC0EF5">
            <w:pPr>
              <w:jc w:val="center"/>
              <w:rPr>
                <w:rFonts w:ascii="宋体" w:hAnsi="宋体" w:cs="宋体"/>
                <w:color w:val="auto"/>
                <w:highlight w:val="none"/>
              </w:rPr>
            </w:pPr>
            <w:r>
              <w:rPr>
                <w:rFonts w:hint="eastAsia" w:ascii="宋体" w:hAnsi="宋体" w:cs="宋体"/>
                <w:color w:val="auto"/>
                <w:highlight w:val="none"/>
              </w:rPr>
              <w:t>套</w:t>
            </w:r>
          </w:p>
        </w:tc>
        <w:tc>
          <w:tcPr>
            <w:tcW w:w="721" w:type="dxa"/>
            <w:tcBorders>
              <w:top w:val="nil"/>
              <w:left w:val="nil"/>
              <w:bottom w:val="single" w:color="auto" w:sz="4" w:space="0"/>
              <w:right w:val="single" w:color="auto" w:sz="4" w:space="0"/>
            </w:tcBorders>
            <w:noWrap w:val="0"/>
            <w:vAlign w:val="center"/>
          </w:tcPr>
          <w:p w14:paraId="65E01B5A">
            <w:pPr>
              <w:jc w:val="center"/>
              <w:rPr>
                <w:rFonts w:ascii="宋体" w:hAnsi="宋体" w:cs="宋体"/>
                <w:color w:val="auto"/>
                <w:highlight w:val="none"/>
              </w:rPr>
            </w:pPr>
          </w:p>
        </w:tc>
        <w:tc>
          <w:tcPr>
            <w:tcW w:w="719" w:type="dxa"/>
            <w:tcBorders>
              <w:top w:val="nil"/>
              <w:left w:val="nil"/>
              <w:bottom w:val="single" w:color="auto" w:sz="4" w:space="0"/>
              <w:right w:val="single" w:color="auto" w:sz="4" w:space="0"/>
            </w:tcBorders>
            <w:noWrap w:val="0"/>
            <w:vAlign w:val="center"/>
          </w:tcPr>
          <w:p w14:paraId="2F67D7E4">
            <w:pPr>
              <w:jc w:val="center"/>
              <w:rPr>
                <w:rFonts w:ascii="宋体" w:hAnsi="宋体" w:cs="宋体"/>
                <w:color w:val="auto"/>
                <w:highlight w:val="none"/>
              </w:rPr>
            </w:pPr>
          </w:p>
        </w:tc>
        <w:tc>
          <w:tcPr>
            <w:tcW w:w="721" w:type="dxa"/>
            <w:tcBorders>
              <w:top w:val="nil"/>
              <w:left w:val="nil"/>
              <w:bottom w:val="single" w:color="auto" w:sz="4" w:space="0"/>
              <w:right w:val="single" w:color="auto" w:sz="4" w:space="0"/>
            </w:tcBorders>
            <w:noWrap w:val="0"/>
            <w:vAlign w:val="center"/>
          </w:tcPr>
          <w:p w14:paraId="12BE1315">
            <w:pPr>
              <w:jc w:val="center"/>
              <w:rPr>
                <w:rFonts w:ascii="宋体" w:hAnsi="宋体" w:cs="宋体"/>
                <w:color w:val="auto"/>
                <w:highlight w:val="none"/>
              </w:rPr>
            </w:pPr>
          </w:p>
        </w:tc>
        <w:tc>
          <w:tcPr>
            <w:tcW w:w="719" w:type="dxa"/>
            <w:tcBorders>
              <w:top w:val="nil"/>
              <w:left w:val="nil"/>
              <w:bottom w:val="single" w:color="auto" w:sz="4" w:space="0"/>
              <w:right w:val="single" w:color="auto" w:sz="4" w:space="0"/>
            </w:tcBorders>
            <w:noWrap w:val="0"/>
            <w:vAlign w:val="center"/>
          </w:tcPr>
          <w:p w14:paraId="0673A8AB">
            <w:pPr>
              <w:jc w:val="center"/>
              <w:rPr>
                <w:rFonts w:ascii="宋体" w:hAnsi="宋体" w:cs="宋体"/>
                <w:color w:val="auto"/>
                <w:highlight w:val="none"/>
              </w:rPr>
            </w:pPr>
          </w:p>
        </w:tc>
        <w:tc>
          <w:tcPr>
            <w:tcW w:w="721" w:type="dxa"/>
            <w:tcBorders>
              <w:top w:val="nil"/>
              <w:left w:val="nil"/>
              <w:bottom w:val="single" w:color="auto" w:sz="4" w:space="0"/>
              <w:right w:val="single" w:color="auto" w:sz="4" w:space="0"/>
            </w:tcBorders>
            <w:noWrap w:val="0"/>
            <w:vAlign w:val="center"/>
          </w:tcPr>
          <w:p w14:paraId="2E7D2C87">
            <w:pPr>
              <w:jc w:val="center"/>
              <w:rPr>
                <w:rFonts w:ascii="宋体" w:hAnsi="宋体" w:cs="宋体"/>
                <w:color w:val="auto"/>
                <w:highlight w:val="none"/>
              </w:rPr>
            </w:pPr>
          </w:p>
        </w:tc>
        <w:tc>
          <w:tcPr>
            <w:tcW w:w="721" w:type="dxa"/>
            <w:tcBorders>
              <w:top w:val="nil"/>
              <w:left w:val="nil"/>
              <w:bottom w:val="single" w:color="auto" w:sz="4" w:space="0"/>
              <w:right w:val="single" w:color="auto" w:sz="4" w:space="0"/>
            </w:tcBorders>
            <w:noWrap w:val="0"/>
            <w:vAlign w:val="center"/>
          </w:tcPr>
          <w:p w14:paraId="6C762730">
            <w:pPr>
              <w:jc w:val="center"/>
              <w:rPr>
                <w:rFonts w:ascii="宋体" w:hAnsi="宋体" w:cs="宋体"/>
                <w:color w:val="auto"/>
                <w:highlight w:val="none"/>
              </w:rPr>
            </w:pPr>
          </w:p>
        </w:tc>
        <w:tc>
          <w:tcPr>
            <w:tcW w:w="719" w:type="dxa"/>
            <w:tcBorders>
              <w:top w:val="nil"/>
              <w:left w:val="nil"/>
              <w:bottom w:val="single" w:color="auto" w:sz="4" w:space="0"/>
              <w:right w:val="single" w:color="auto" w:sz="4" w:space="0"/>
            </w:tcBorders>
            <w:noWrap w:val="0"/>
            <w:vAlign w:val="center"/>
          </w:tcPr>
          <w:p w14:paraId="1E44D6C1">
            <w:pPr>
              <w:jc w:val="center"/>
              <w:rPr>
                <w:rFonts w:ascii="宋体" w:hAnsi="宋体" w:cs="宋体"/>
                <w:color w:val="auto"/>
                <w:highlight w:val="none"/>
              </w:rPr>
            </w:pPr>
          </w:p>
        </w:tc>
        <w:tc>
          <w:tcPr>
            <w:tcW w:w="577" w:type="dxa"/>
            <w:tcBorders>
              <w:top w:val="nil"/>
              <w:left w:val="nil"/>
              <w:bottom w:val="single" w:color="auto" w:sz="4" w:space="0"/>
              <w:right w:val="single" w:color="auto" w:sz="4" w:space="0"/>
            </w:tcBorders>
            <w:noWrap w:val="0"/>
            <w:vAlign w:val="center"/>
          </w:tcPr>
          <w:p w14:paraId="62AD4D8B">
            <w:pPr>
              <w:jc w:val="center"/>
              <w:rPr>
                <w:rFonts w:ascii="宋体" w:hAnsi="宋体" w:cs="宋体"/>
                <w:color w:val="auto"/>
                <w:highlight w:val="none"/>
              </w:rPr>
            </w:pPr>
          </w:p>
        </w:tc>
        <w:tc>
          <w:tcPr>
            <w:tcW w:w="571" w:type="dxa"/>
            <w:tcBorders>
              <w:top w:val="nil"/>
              <w:left w:val="nil"/>
              <w:bottom w:val="single" w:color="auto" w:sz="4" w:space="0"/>
              <w:right w:val="single" w:color="auto" w:sz="4" w:space="0"/>
            </w:tcBorders>
            <w:noWrap w:val="0"/>
            <w:vAlign w:val="center"/>
          </w:tcPr>
          <w:p w14:paraId="3A9A8307">
            <w:pPr>
              <w:jc w:val="center"/>
              <w:rPr>
                <w:rFonts w:ascii="宋体" w:hAnsi="宋体" w:cs="宋体"/>
                <w:color w:val="auto"/>
                <w:highlight w:val="none"/>
              </w:rPr>
            </w:pPr>
          </w:p>
        </w:tc>
        <w:tc>
          <w:tcPr>
            <w:tcW w:w="236" w:type="dxa"/>
            <w:noWrap w:val="0"/>
            <w:vAlign w:val="center"/>
          </w:tcPr>
          <w:p w14:paraId="697AECF7">
            <w:pPr>
              <w:jc w:val="center"/>
              <w:rPr>
                <w:rFonts w:ascii="宋体" w:hAnsi="宋体" w:cs="宋体"/>
                <w:color w:val="auto"/>
                <w:highlight w:val="none"/>
              </w:rPr>
            </w:pPr>
          </w:p>
        </w:tc>
      </w:tr>
      <w:tr w14:paraId="6D9AADBB">
        <w:tblPrEx>
          <w:tblCellMar>
            <w:top w:w="0" w:type="dxa"/>
            <w:left w:w="108" w:type="dxa"/>
            <w:bottom w:w="0" w:type="dxa"/>
            <w:right w:w="108" w:type="dxa"/>
          </w:tblCellMar>
        </w:tblPrEx>
        <w:trPr>
          <w:trHeight w:val="285" w:hRule="atLeast"/>
        </w:trPr>
        <w:tc>
          <w:tcPr>
            <w:tcW w:w="404" w:type="dxa"/>
            <w:vMerge w:val="restart"/>
            <w:tcBorders>
              <w:top w:val="nil"/>
              <w:left w:val="single" w:color="auto" w:sz="4" w:space="0"/>
              <w:bottom w:val="single" w:color="auto" w:sz="4" w:space="0"/>
              <w:right w:val="single" w:color="auto" w:sz="4" w:space="0"/>
            </w:tcBorders>
            <w:noWrap w:val="0"/>
            <w:vAlign w:val="center"/>
          </w:tcPr>
          <w:p w14:paraId="3BB7786A">
            <w:pPr>
              <w:jc w:val="center"/>
              <w:rPr>
                <w:rFonts w:ascii="宋体" w:hAnsi="宋体" w:cs="宋体"/>
                <w:color w:val="auto"/>
                <w:highlight w:val="none"/>
              </w:rPr>
            </w:pPr>
            <w:r>
              <w:rPr>
                <w:rFonts w:hint="eastAsia" w:ascii="宋体" w:hAnsi="宋体" w:cs="宋体"/>
                <w:color w:val="auto"/>
                <w:highlight w:val="none"/>
              </w:rPr>
              <w:t>4</w:t>
            </w:r>
          </w:p>
        </w:tc>
        <w:tc>
          <w:tcPr>
            <w:tcW w:w="1032" w:type="dxa"/>
            <w:tcBorders>
              <w:top w:val="nil"/>
              <w:left w:val="nil"/>
              <w:bottom w:val="single" w:color="auto" w:sz="4" w:space="0"/>
              <w:right w:val="single" w:color="auto" w:sz="4" w:space="0"/>
            </w:tcBorders>
            <w:noWrap w:val="0"/>
            <w:vAlign w:val="center"/>
          </w:tcPr>
          <w:p w14:paraId="3848D71D">
            <w:pPr>
              <w:jc w:val="center"/>
              <w:rPr>
                <w:rFonts w:ascii="宋体" w:hAnsi="宋体" w:cs="宋体"/>
                <w:color w:val="auto"/>
                <w:highlight w:val="none"/>
              </w:rPr>
            </w:pPr>
          </w:p>
        </w:tc>
        <w:tc>
          <w:tcPr>
            <w:tcW w:w="792" w:type="dxa"/>
            <w:tcBorders>
              <w:top w:val="single" w:color="auto" w:sz="4" w:space="0"/>
              <w:left w:val="nil"/>
              <w:bottom w:val="single" w:color="auto" w:sz="4" w:space="0"/>
              <w:right w:val="single" w:color="auto" w:sz="4" w:space="0"/>
            </w:tcBorders>
            <w:noWrap w:val="0"/>
            <w:vAlign w:val="center"/>
          </w:tcPr>
          <w:p w14:paraId="0961669B">
            <w:pPr>
              <w:jc w:val="center"/>
              <w:rPr>
                <w:rFonts w:ascii="宋体" w:hAnsi="宋体" w:cs="宋体"/>
                <w:color w:val="auto"/>
                <w:highlight w:val="none"/>
              </w:rPr>
            </w:pPr>
          </w:p>
        </w:tc>
        <w:tc>
          <w:tcPr>
            <w:tcW w:w="940" w:type="dxa"/>
            <w:vMerge w:val="restart"/>
            <w:tcBorders>
              <w:top w:val="single" w:color="auto" w:sz="4" w:space="0"/>
              <w:left w:val="single" w:color="auto" w:sz="4" w:space="0"/>
              <w:bottom w:val="single" w:color="auto" w:sz="4" w:space="0"/>
              <w:right w:val="single" w:color="auto" w:sz="4" w:space="0"/>
            </w:tcBorders>
            <w:noWrap w:val="0"/>
            <w:vAlign w:val="center"/>
          </w:tcPr>
          <w:p w14:paraId="356EB394">
            <w:pPr>
              <w:jc w:val="center"/>
              <w:rPr>
                <w:rFonts w:ascii="宋体" w:hAnsi="宋体" w:cs="宋体"/>
                <w:color w:val="auto"/>
                <w:highlight w:val="none"/>
              </w:rPr>
            </w:pPr>
            <w:r>
              <w:rPr>
                <w:rFonts w:hint="eastAsia" w:ascii="宋体" w:hAnsi="宋体" w:cs="宋体"/>
                <w:color w:val="auto"/>
                <w:highlight w:val="none"/>
              </w:rPr>
              <w:t>检测费</w:t>
            </w:r>
          </w:p>
        </w:tc>
        <w:tc>
          <w:tcPr>
            <w:tcW w:w="863" w:type="dxa"/>
            <w:vMerge w:val="restart"/>
            <w:tcBorders>
              <w:top w:val="single" w:color="auto" w:sz="4" w:space="0"/>
              <w:left w:val="single" w:color="auto" w:sz="4" w:space="0"/>
              <w:bottom w:val="single" w:color="auto" w:sz="4" w:space="0"/>
              <w:right w:val="single" w:color="auto" w:sz="4" w:space="0"/>
            </w:tcBorders>
            <w:noWrap w:val="0"/>
            <w:vAlign w:val="center"/>
          </w:tcPr>
          <w:p w14:paraId="280398E6">
            <w:pPr>
              <w:jc w:val="center"/>
              <w:rPr>
                <w:rFonts w:ascii="宋体" w:hAnsi="宋体" w:cs="宋体"/>
                <w:color w:val="auto"/>
                <w:highlight w:val="none"/>
              </w:rPr>
            </w:pPr>
          </w:p>
        </w:tc>
        <w:tc>
          <w:tcPr>
            <w:tcW w:w="1443" w:type="dxa"/>
            <w:vMerge w:val="restart"/>
            <w:tcBorders>
              <w:top w:val="nil"/>
              <w:left w:val="single" w:color="auto" w:sz="4" w:space="0"/>
              <w:bottom w:val="single" w:color="000000" w:sz="4" w:space="0"/>
              <w:right w:val="single" w:color="auto" w:sz="4" w:space="0"/>
            </w:tcBorders>
            <w:noWrap w:val="0"/>
            <w:vAlign w:val="center"/>
          </w:tcPr>
          <w:p w14:paraId="0218E13F">
            <w:pPr>
              <w:jc w:val="center"/>
              <w:rPr>
                <w:rFonts w:ascii="宋体" w:hAnsi="宋体" w:cs="宋体"/>
                <w:color w:val="auto"/>
                <w:highlight w:val="none"/>
                <w:lang w:eastAsia="zh-CN"/>
              </w:rPr>
            </w:pPr>
            <w:r>
              <w:rPr>
                <w:rFonts w:hint="eastAsia" w:ascii="宋体" w:hAnsi="宋体" w:cs="宋体"/>
                <w:color w:val="auto"/>
                <w:highlight w:val="none"/>
                <w:lang w:eastAsia="zh-CN"/>
              </w:rPr>
              <w:t>八、安全设施及特种设备检测检验支出</w:t>
            </w:r>
          </w:p>
        </w:tc>
        <w:tc>
          <w:tcPr>
            <w:tcW w:w="1582" w:type="dxa"/>
            <w:vMerge w:val="restart"/>
            <w:tcBorders>
              <w:top w:val="nil"/>
              <w:left w:val="single" w:color="auto" w:sz="4" w:space="0"/>
              <w:bottom w:val="single" w:color="000000" w:sz="4" w:space="0"/>
              <w:right w:val="single" w:color="auto" w:sz="4" w:space="0"/>
            </w:tcBorders>
            <w:noWrap w:val="0"/>
            <w:vAlign w:val="center"/>
          </w:tcPr>
          <w:p w14:paraId="4FC00188">
            <w:pPr>
              <w:jc w:val="center"/>
              <w:rPr>
                <w:rFonts w:ascii="宋体" w:hAnsi="宋体" w:cs="宋体"/>
                <w:color w:val="auto"/>
                <w:highlight w:val="none"/>
              </w:rPr>
            </w:pPr>
            <w:r>
              <w:rPr>
                <w:rFonts w:hint="eastAsia" w:ascii="宋体" w:hAnsi="宋体" w:cs="宋体"/>
                <w:color w:val="auto"/>
                <w:highlight w:val="none"/>
              </w:rPr>
              <w:t>（三）安全网的检测</w:t>
            </w:r>
          </w:p>
        </w:tc>
        <w:tc>
          <w:tcPr>
            <w:tcW w:w="721" w:type="dxa"/>
            <w:vMerge w:val="restart"/>
            <w:tcBorders>
              <w:top w:val="nil"/>
              <w:left w:val="single" w:color="auto" w:sz="4" w:space="0"/>
              <w:bottom w:val="single" w:color="auto" w:sz="4" w:space="0"/>
              <w:right w:val="single" w:color="auto" w:sz="4" w:space="0"/>
            </w:tcBorders>
            <w:noWrap w:val="0"/>
            <w:vAlign w:val="center"/>
          </w:tcPr>
          <w:p w14:paraId="0AF874A4">
            <w:pPr>
              <w:jc w:val="center"/>
              <w:rPr>
                <w:rFonts w:ascii="宋体" w:hAnsi="宋体" w:cs="宋体"/>
                <w:color w:val="auto"/>
                <w:highlight w:val="none"/>
              </w:rPr>
            </w:pPr>
          </w:p>
        </w:tc>
        <w:tc>
          <w:tcPr>
            <w:tcW w:w="721" w:type="dxa"/>
            <w:vMerge w:val="restart"/>
            <w:tcBorders>
              <w:top w:val="nil"/>
              <w:left w:val="single" w:color="auto" w:sz="4" w:space="0"/>
              <w:bottom w:val="single" w:color="auto" w:sz="4" w:space="0"/>
              <w:right w:val="single" w:color="auto" w:sz="4" w:space="0"/>
            </w:tcBorders>
            <w:noWrap w:val="0"/>
            <w:vAlign w:val="center"/>
          </w:tcPr>
          <w:p w14:paraId="42FF9EFB">
            <w:pPr>
              <w:jc w:val="center"/>
              <w:rPr>
                <w:rFonts w:ascii="宋体" w:hAnsi="宋体" w:cs="宋体"/>
                <w:color w:val="auto"/>
                <w:highlight w:val="none"/>
              </w:rPr>
            </w:pPr>
          </w:p>
        </w:tc>
        <w:tc>
          <w:tcPr>
            <w:tcW w:w="719" w:type="dxa"/>
            <w:tcBorders>
              <w:top w:val="nil"/>
              <w:left w:val="nil"/>
              <w:bottom w:val="single" w:color="auto" w:sz="4" w:space="0"/>
              <w:right w:val="single" w:color="auto" w:sz="4" w:space="0"/>
            </w:tcBorders>
            <w:noWrap w:val="0"/>
            <w:vAlign w:val="center"/>
          </w:tcPr>
          <w:p w14:paraId="7A5CF9D3">
            <w:pPr>
              <w:jc w:val="center"/>
              <w:rPr>
                <w:rFonts w:ascii="宋体" w:hAnsi="宋体" w:cs="宋体"/>
                <w:color w:val="auto"/>
                <w:highlight w:val="none"/>
              </w:rPr>
            </w:pPr>
          </w:p>
        </w:tc>
        <w:tc>
          <w:tcPr>
            <w:tcW w:w="721" w:type="dxa"/>
            <w:vMerge w:val="restart"/>
            <w:tcBorders>
              <w:top w:val="nil"/>
              <w:left w:val="single" w:color="auto" w:sz="4" w:space="0"/>
              <w:bottom w:val="single" w:color="auto" w:sz="4" w:space="0"/>
              <w:right w:val="single" w:color="auto" w:sz="4" w:space="0"/>
            </w:tcBorders>
            <w:noWrap w:val="0"/>
            <w:vAlign w:val="center"/>
          </w:tcPr>
          <w:p w14:paraId="7E745C3E">
            <w:pPr>
              <w:jc w:val="center"/>
              <w:rPr>
                <w:rFonts w:ascii="宋体" w:hAnsi="宋体" w:cs="宋体"/>
                <w:color w:val="auto"/>
                <w:highlight w:val="none"/>
              </w:rPr>
            </w:pPr>
          </w:p>
        </w:tc>
        <w:tc>
          <w:tcPr>
            <w:tcW w:w="719" w:type="dxa"/>
            <w:vMerge w:val="restart"/>
            <w:tcBorders>
              <w:top w:val="nil"/>
              <w:left w:val="single" w:color="auto" w:sz="4" w:space="0"/>
              <w:bottom w:val="single" w:color="auto" w:sz="4" w:space="0"/>
              <w:right w:val="single" w:color="auto" w:sz="4" w:space="0"/>
            </w:tcBorders>
            <w:noWrap w:val="0"/>
            <w:vAlign w:val="center"/>
          </w:tcPr>
          <w:p w14:paraId="12EAF3B4">
            <w:pPr>
              <w:jc w:val="center"/>
              <w:rPr>
                <w:rFonts w:ascii="宋体" w:hAnsi="宋体" w:cs="宋体"/>
                <w:color w:val="auto"/>
                <w:highlight w:val="none"/>
              </w:rPr>
            </w:pPr>
          </w:p>
        </w:tc>
        <w:tc>
          <w:tcPr>
            <w:tcW w:w="721" w:type="dxa"/>
            <w:vMerge w:val="restart"/>
            <w:tcBorders>
              <w:top w:val="nil"/>
              <w:left w:val="single" w:color="auto" w:sz="4" w:space="0"/>
              <w:bottom w:val="single" w:color="auto" w:sz="4" w:space="0"/>
              <w:right w:val="single" w:color="auto" w:sz="4" w:space="0"/>
            </w:tcBorders>
            <w:noWrap w:val="0"/>
            <w:vAlign w:val="center"/>
          </w:tcPr>
          <w:p w14:paraId="725CAE2D">
            <w:pPr>
              <w:jc w:val="center"/>
              <w:rPr>
                <w:rFonts w:ascii="宋体" w:hAnsi="宋体" w:cs="宋体"/>
                <w:color w:val="auto"/>
                <w:highlight w:val="none"/>
              </w:rPr>
            </w:pPr>
          </w:p>
        </w:tc>
        <w:tc>
          <w:tcPr>
            <w:tcW w:w="721" w:type="dxa"/>
            <w:vMerge w:val="restart"/>
            <w:tcBorders>
              <w:top w:val="nil"/>
              <w:left w:val="single" w:color="auto" w:sz="4" w:space="0"/>
              <w:bottom w:val="single" w:color="auto" w:sz="4" w:space="0"/>
              <w:right w:val="single" w:color="auto" w:sz="4" w:space="0"/>
            </w:tcBorders>
            <w:noWrap w:val="0"/>
            <w:vAlign w:val="center"/>
          </w:tcPr>
          <w:p w14:paraId="48F93266">
            <w:pPr>
              <w:jc w:val="center"/>
              <w:rPr>
                <w:rFonts w:ascii="宋体" w:hAnsi="宋体" w:cs="宋体"/>
                <w:color w:val="auto"/>
                <w:highlight w:val="none"/>
              </w:rPr>
            </w:pPr>
          </w:p>
        </w:tc>
        <w:tc>
          <w:tcPr>
            <w:tcW w:w="719" w:type="dxa"/>
            <w:vMerge w:val="restart"/>
            <w:tcBorders>
              <w:top w:val="nil"/>
              <w:left w:val="single" w:color="auto" w:sz="4" w:space="0"/>
              <w:bottom w:val="single" w:color="auto" w:sz="4" w:space="0"/>
              <w:right w:val="single" w:color="auto" w:sz="4" w:space="0"/>
            </w:tcBorders>
            <w:noWrap w:val="0"/>
            <w:vAlign w:val="center"/>
          </w:tcPr>
          <w:p w14:paraId="1F7A7330">
            <w:pPr>
              <w:jc w:val="center"/>
              <w:rPr>
                <w:rFonts w:ascii="宋体" w:hAnsi="宋体" w:cs="宋体"/>
                <w:color w:val="auto"/>
                <w:highlight w:val="none"/>
              </w:rPr>
            </w:pPr>
          </w:p>
        </w:tc>
        <w:tc>
          <w:tcPr>
            <w:tcW w:w="577" w:type="dxa"/>
            <w:vMerge w:val="restart"/>
            <w:tcBorders>
              <w:top w:val="nil"/>
              <w:left w:val="single" w:color="auto" w:sz="4" w:space="0"/>
              <w:bottom w:val="single" w:color="auto" w:sz="4" w:space="0"/>
              <w:right w:val="single" w:color="auto" w:sz="4" w:space="0"/>
            </w:tcBorders>
            <w:noWrap w:val="0"/>
            <w:vAlign w:val="center"/>
          </w:tcPr>
          <w:p w14:paraId="11E893A2">
            <w:pPr>
              <w:jc w:val="center"/>
              <w:rPr>
                <w:rFonts w:ascii="宋体" w:hAnsi="宋体" w:cs="宋体"/>
                <w:color w:val="auto"/>
                <w:highlight w:val="none"/>
              </w:rPr>
            </w:pPr>
          </w:p>
        </w:tc>
        <w:tc>
          <w:tcPr>
            <w:tcW w:w="571" w:type="dxa"/>
            <w:vMerge w:val="restart"/>
            <w:tcBorders>
              <w:top w:val="nil"/>
              <w:left w:val="single" w:color="auto" w:sz="4" w:space="0"/>
              <w:bottom w:val="single" w:color="auto" w:sz="4" w:space="0"/>
              <w:right w:val="single" w:color="auto" w:sz="4" w:space="0"/>
            </w:tcBorders>
            <w:noWrap w:val="0"/>
            <w:vAlign w:val="center"/>
          </w:tcPr>
          <w:p w14:paraId="77F3F62B">
            <w:pPr>
              <w:jc w:val="center"/>
              <w:rPr>
                <w:rFonts w:ascii="宋体" w:hAnsi="宋体" w:cs="宋体"/>
                <w:color w:val="auto"/>
                <w:highlight w:val="none"/>
              </w:rPr>
            </w:pPr>
          </w:p>
        </w:tc>
        <w:tc>
          <w:tcPr>
            <w:tcW w:w="236" w:type="dxa"/>
            <w:noWrap w:val="0"/>
            <w:vAlign w:val="center"/>
          </w:tcPr>
          <w:p w14:paraId="32670329">
            <w:pPr>
              <w:jc w:val="center"/>
              <w:rPr>
                <w:rFonts w:ascii="宋体" w:hAnsi="宋体" w:cs="宋体"/>
                <w:color w:val="auto"/>
                <w:highlight w:val="none"/>
              </w:rPr>
            </w:pPr>
          </w:p>
        </w:tc>
      </w:tr>
      <w:tr w14:paraId="19E85165">
        <w:tblPrEx>
          <w:tblCellMar>
            <w:top w:w="0" w:type="dxa"/>
            <w:left w:w="108" w:type="dxa"/>
            <w:bottom w:w="0" w:type="dxa"/>
            <w:right w:w="108" w:type="dxa"/>
          </w:tblCellMar>
        </w:tblPrEx>
        <w:trPr>
          <w:trHeight w:val="285" w:hRule="atLeast"/>
        </w:trPr>
        <w:tc>
          <w:tcPr>
            <w:tcW w:w="404" w:type="dxa"/>
            <w:vMerge w:val="continue"/>
            <w:tcBorders>
              <w:top w:val="nil"/>
              <w:left w:val="single" w:color="auto" w:sz="4" w:space="0"/>
              <w:bottom w:val="single" w:color="auto" w:sz="4" w:space="0"/>
              <w:right w:val="single" w:color="auto" w:sz="4" w:space="0"/>
            </w:tcBorders>
            <w:noWrap w:val="0"/>
            <w:vAlign w:val="center"/>
          </w:tcPr>
          <w:p w14:paraId="005B8B9E">
            <w:pPr>
              <w:jc w:val="center"/>
              <w:rPr>
                <w:rFonts w:ascii="宋体" w:hAnsi="宋体" w:cs="宋体"/>
                <w:color w:val="auto"/>
                <w:highlight w:val="none"/>
              </w:rPr>
            </w:pPr>
          </w:p>
        </w:tc>
        <w:tc>
          <w:tcPr>
            <w:tcW w:w="1032" w:type="dxa"/>
            <w:tcBorders>
              <w:top w:val="nil"/>
              <w:left w:val="nil"/>
              <w:bottom w:val="single" w:color="auto" w:sz="4" w:space="0"/>
              <w:right w:val="single" w:color="auto" w:sz="4" w:space="0"/>
            </w:tcBorders>
            <w:noWrap w:val="0"/>
            <w:vAlign w:val="center"/>
          </w:tcPr>
          <w:p w14:paraId="5B186373">
            <w:pPr>
              <w:jc w:val="center"/>
              <w:rPr>
                <w:rFonts w:ascii="宋体" w:hAnsi="宋体" w:cs="宋体"/>
                <w:color w:val="auto"/>
                <w:highlight w:val="none"/>
              </w:rPr>
            </w:pPr>
          </w:p>
        </w:tc>
        <w:tc>
          <w:tcPr>
            <w:tcW w:w="792" w:type="dxa"/>
            <w:tcBorders>
              <w:top w:val="single" w:color="auto" w:sz="4" w:space="0"/>
              <w:left w:val="nil"/>
              <w:bottom w:val="single" w:color="auto" w:sz="4" w:space="0"/>
              <w:right w:val="single" w:color="auto" w:sz="4" w:space="0"/>
            </w:tcBorders>
            <w:noWrap w:val="0"/>
            <w:vAlign w:val="center"/>
          </w:tcPr>
          <w:p w14:paraId="54659723">
            <w:pPr>
              <w:jc w:val="center"/>
              <w:rPr>
                <w:rFonts w:ascii="宋体" w:hAnsi="宋体" w:cs="宋体"/>
                <w:color w:val="auto"/>
                <w:highlight w:val="none"/>
              </w:rPr>
            </w:pPr>
          </w:p>
        </w:tc>
        <w:tc>
          <w:tcPr>
            <w:tcW w:w="940" w:type="dxa"/>
            <w:vMerge w:val="continue"/>
            <w:tcBorders>
              <w:top w:val="single" w:color="auto" w:sz="4" w:space="0"/>
              <w:left w:val="single" w:color="auto" w:sz="4" w:space="0"/>
              <w:bottom w:val="single" w:color="auto" w:sz="4" w:space="0"/>
              <w:right w:val="single" w:color="auto" w:sz="4" w:space="0"/>
            </w:tcBorders>
            <w:noWrap w:val="0"/>
            <w:vAlign w:val="center"/>
          </w:tcPr>
          <w:p w14:paraId="6368A178">
            <w:pPr>
              <w:jc w:val="center"/>
              <w:rPr>
                <w:rFonts w:ascii="宋体" w:hAnsi="宋体" w:cs="宋体"/>
                <w:color w:val="auto"/>
                <w:highlight w:val="none"/>
              </w:rPr>
            </w:pPr>
          </w:p>
        </w:tc>
        <w:tc>
          <w:tcPr>
            <w:tcW w:w="863" w:type="dxa"/>
            <w:vMerge w:val="continue"/>
            <w:tcBorders>
              <w:top w:val="single" w:color="auto" w:sz="4" w:space="0"/>
              <w:left w:val="single" w:color="auto" w:sz="4" w:space="0"/>
              <w:bottom w:val="single" w:color="auto" w:sz="4" w:space="0"/>
              <w:right w:val="single" w:color="auto" w:sz="4" w:space="0"/>
            </w:tcBorders>
            <w:noWrap w:val="0"/>
            <w:vAlign w:val="center"/>
          </w:tcPr>
          <w:p w14:paraId="6FC14203">
            <w:pPr>
              <w:jc w:val="center"/>
              <w:rPr>
                <w:rFonts w:ascii="宋体" w:hAnsi="宋体" w:cs="宋体"/>
                <w:color w:val="auto"/>
                <w:highlight w:val="none"/>
              </w:rPr>
            </w:pPr>
          </w:p>
        </w:tc>
        <w:tc>
          <w:tcPr>
            <w:tcW w:w="1443" w:type="dxa"/>
            <w:vMerge w:val="continue"/>
            <w:tcBorders>
              <w:top w:val="nil"/>
              <w:left w:val="single" w:color="auto" w:sz="4" w:space="0"/>
              <w:bottom w:val="single" w:color="000000" w:sz="4" w:space="0"/>
              <w:right w:val="single" w:color="auto" w:sz="4" w:space="0"/>
            </w:tcBorders>
            <w:noWrap w:val="0"/>
            <w:vAlign w:val="center"/>
          </w:tcPr>
          <w:p w14:paraId="2E0C34A4">
            <w:pPr>
              <w:jc w:val="center"/>
              <w:rPr>
                <w:rFonts w:ascii="宋体" w:hAnsi="宋体" w:cs="宋体"/>
                <w:color w:val="auto"/>
                <w:highlight w:val="none"/>
              </w:rPr>
            </w:pPr>
          </w:p>
        </w:tc>
        <w:tc>
          <w:tcPr>
            <w:tcW w:w="1582" w:type="dxa"/>
            <w:vMerge w:val="continue"/>
            <w:tcBorders>
              <w:top w:val="nil"/>
              <w:left w:val="single" w:color="auto" w:sz="4" w:space="0"/>
              <w:bottom w:val="single" w:color="000000" w:sz="4" w:space="0"/>
              <w:right w:val="single" w:color="auto" w:sz="4" w:space="0"/>
            </w:tcBorders>
            <w:noWrap w:val="0"/>
            <w:vAlign w:val="center"/>
          </w:tcPr>
          <w:p w14:paraId="7FDCEB6C">
            <w:pPr>
              <w:jc w:val="center"/>
              <w:rPr>
                <w:rFonts w:ascii="宋体" w:hAnsi="宋体" w:cs="宋体"/>
                <w:color w:val="auto"/>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75FE14B8">
            <w:pPr>
              <w:jc w:val="center"/>
              <w:rPr>
                <w:rFonts w:ascii="宋体" w:hAnsi="宋体" w:cs="宋体"/>
                <w:color w:val="auto"/>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72858D81">
            <w:pPr>
              <w:jc w:val="center"/>
              <w:rPr>
                <w:rFonts w:ascii="宋体" w:hAnsi="宋体" w:cs="宋体"/>
                <w:color w:val="auto"/>
                <w:highlight w:val="none"/>
              </w:rPr>
            </w:pPr>
          </w:p>
        </w:tc>
        <w:tc>
          <w:tcPr>
            <w:tcW w:w="719" w:type="dxa"/>
            <w:tcBorders>
              <w:top w:val="nil"/>
              <w:left w:val="nil"/>
              <w:bottom w:val="single" w:color="auto" w:sz="4" w:space="0"/>
              <w:right w:val="single" w:color="auto" w:sz="4" w:space="0"/>
            </w:tcBorders>
            <w:noWrap w:val="0"/>
            <w:vAlign w:val="center"/>
          </w:tcPr>
          <w:p w14:paraId="77FFF75E">
            <w:pPr>
              <w:jc w:val="center"/>
              <w:rPr>
                <w:rFonts w:ascii="宋体" w:hAnsi="宋体" w:cs="宋体"/>
                <w:color w:val="auto"/>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522CB768">
            <w:pPr>
              <w:jc w:val="center"/>
              <w:rPr>
                <w:rFonts w:ascii="宋体" w:hAnsi="宋体" w:cs="宋体"/>
                <w:color w:val="auto"/>
                <w:highlight w:val="none"/>
              </w:rPr>
            </w:pPr>
          </w:p>
        </w:tc>
        <w:tc>
          <w:tcPr>
            <w:tcW w:w="719" w:type="dxa"/>
            <w:vMerge w:val="continue"/>
            <w:tcBorders>
              <w:top w:val="nil"/>
              <w:left w:val="single" w:color="auto" w:sz="4" w:space="0"/>
              <w:bottom w:val="single" w:color="auto" w:sz="4" w:space="0"/>
              <w:right w:val="single" w:color="auto" w:sz="4" w:space="0"/>
            </w:tcBorders>
            <w:noWrap w:val="0"/>
            <w:vAlign w:val="center"/>
          </w:tcPr>
          <w:p w14:paraId="51E8E6ED">
            <w:pPr>
              <w:jc w:val="center"/>
              <w:rPr>
                <w:rFonts w:ascii="宋体" w:hAnsi="宋体" w:cs="宋体"/>
                <w:color w:val="auto"/>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6D54601A">
            <w:pPr>
              <w:jc w:val="center"/>
              <w:rPr>
                <w:rFonts w:ascii="宋体" w:hAnsi="宋体" w:cs="宋体"/>
                <w:color w:val="auto"/>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0EC434FF">
            <w:pPr>
              <w:jc w:val="center"/>
              <w:rPr>
                <w:rFonts w:ascii="宋体" w:hAnsi="宋体" w:cs="宋体"/>
                <w:color w:val="auto"/>
                <w:highlight w:val="none"/>
              </w:rPr>
            </w:pPr>
          </w:p>
        </w:tc>
        <w:tc>
          <w:tcPr>
            <w:tcW w:w="719" w:type="dxa"/>
            <w:vMerge w:val="continue"/>
            <w:tcBorders>
              <w:top w:val="nil"/>
              <w:left w:val="single" w:color="auto" w:sz="4" w:space="0"/>
              <w:bottom w:val="single" w:color="auto" w:sz="4" w:space="0"/>
              <w:right w:val="single" w:color="auto" w:sz="4" w:space="0"/>
            </w:tcBorders>
            <w:noWrap w:val="0"/>
            <w:vAlign w:val="center"/>
          </w:tcPr>
          <w:p w14:paraId="2E106473">
            <w:pPr>
              <w:jc w:val="center"/>
              <w:rPr>
                <w:rFonts w:ascii="宋体" w:hAnsi="宋体" w:cs="宋体"/>
                <w:color w:val="auto"/>
                <w:highlight w:val="none"/>
              </w:rPr>
            </w:pPr>
          </w:p>
        </w:tc>
        <w:tc>
          <w:tcPr>
            <w:tcW w:w="577" w:type="dxa"/>
            <w:vMerge w:val="continue"/>
            <w:tcBorders>
              <w:top w:val="nil"/>
              <w:left w:val="single" w:color="auto" w:sz="4" w:space="0"/>
              <w:bottom w:val="single" w:color="auto" w:sz="4" w:space="0"/>
              <w:right w:val="single" w:color="auto" w:sz="4" w:space="0"/>
            </w:tcBorders>
            <w:noWrap w:val="0"/>
            <w:vAlign w:val="center"/>
          </w:tcPr>
          <w:p w14:paraId="7C529304">
            <w:pPr>
              <w:jc w:val="center"/>
              <w:rPr>
                <w:rFonts w:ascii="宋体" w:hAnsi="宋体" w:cs="宋体"/>
                <w:color w:val="auto"/>
                <w:highlight w:val="none"/>
              </w:rPr>
            </w:pPr>
          </w:p>
        </w:tc>
        <w:tc>
          <w:tcPr>
            <w:tcW w:w="571" w:type="dxa"/>
            <w:vMerge w:val="continue"/>
            <w:tcBorders>
              <w:top w:val="nil"/>
              <w:left w:val="single" w:color="auto" w:sz="4" w:space="0"/>
              <w:bottom w:val="single" w:color="auto" w:sz="4" w:space="0"/>
              <w:right w:val="single" w:color="auto" w:sz="4" w:space="0"/>
            </w:tcBorders>
            <w:noWrap w:val="0"/>
            <w:vAlign w:val="center"/>
          </w:tcPr>
          <w:p w14:paraId="30958EBC">
            <w:pPr>
              <w:jc w:val="center"/>
              <w:rPr>
                <w:rFonts w:ascii="宋体" w:hAnsi="宋体" w:cs="宋体"/>
                <w:color w:val="auto"/>
                <w:highlight w:val="none"/>
              </w:rPr>
            </w:pPr>
          </w:p>
        </w:tc>
        <w:tc>
          <w:tcPr>
            <w:tcW w:w="236" w:type="dxa"/>
            <w:noWrap w:val="0"/>
            <w:vAlign w:val="center"/>
          </w:tcPr>
          <w:p w14:paraId="112F2F96">
            <w:pPr>
              <w:jc w:val="center"/>
              <w:rPr>
                <w:rFonts w:ascii="宋体" w:hAnsi="宋体" w:cs="宋体"/>
                <w:color w:val="auto"/>
                <w:highlight w:val="none"/>
              </w:rPr>
            </w:pPr>
          </w:p>
        </w:tc>
      </w:tr>
      <w:tr w14:paraId="5AE02150">
        <w:tblPrEx>
          <w:tblCellMar>
            <w:top w:w="0" w:type="dxa"/>
            <w:left w:w="108" w:type="dxa"/>
            <w:bottom w:w="0" w:type="dxa"/>
            <w:right w:w="108" w:type="dxa"/>
          </w:tblCellMar>
        </w:tblPrEx>
        <w:trPr>
          <w:trHeight w:val="285" w:hRule="atLeast"/>
        </w:trPr>
        <w:tc>
          <w:tcPr>
            <w:tcW w:w="404" w:type="dxa"/>
            <w:vMerge w:val="continue"/>
            <w:tcBorders>
              <w:top w:val="nil"/>
              <w:left w:val="single" w:color="auto" w:sz="4" w:space="0"/>
              <w:bottom w:val="single" w:color="auto" w:sz="4" w:space="0"/>
              <w:right w:val="single" w:color="auto" w:sz="4" w:space="0"/>
            </w:tcBorders>
            <w:noWrap w:val="0"/>
            <w:vAlign w:val="center"/>
          </w:tcPr>
          <w:p w14:paraId="3277B3F7">
            <w:pPr>
              <w:jc w:val="center"/>
              <w:rPr>
                <w:rFonts w:ascii="宋体" w:hAnsi="宋体" w:cs="宋体"/>
                <w:color w:val="auto"/>
                <w:highlight w:val="none"/>
              </w:rPr>
            </w:pPr>
          </w:p>
        </w:tc>
        <w:tc>
          <w:tcPr>
            <w:tcW w:w="1032" w:type="dxa"/>
            <w:tcBorders>
              <w:top w:val="nil"/>
              <w:left w:val="nil"/>
              <w:bottom w:val="single" w:color="auto" w:sz="4" w:space="0"/>
              <w:right w:val="single" w:color="auto" w:sz="4" w:space="0"/>
            </w:tcBorders>
            <w:noWrap w:val="0"/>
            <w:vAlign w:val="center"/>
          </w:tcPr>
          <w:p w14:paraId="42B4988F">
            <w:pPr>
              <w:jc w:val="center"/>
              <w:rPr>
                <w:rFonts w:ascii="宋体" w:hAnsi="宋体" w:cs="宋体"/>
                <w:color w:val="auto"/>
                <w:highlight w:val="none"/>
              </w:rPr>
            </w:pPr>
          </w:p>
        </w:tc>
        <w:tc>
          <w:tcPr>
            <w:tcW w:w="792" w:type="dxa"/>
            <w:tcBorders>
              <w:top w:val="single" w:color="auto" w:sz="4" w:space="0"/>
              <w:left w:val="nil"/>
              <w:bottom w:val="single" w:color="auto" w:sz="4" w:space="0"/>
              <w:right w:val="single" w:color="auto" w:sz="4" w:space="0"/>
            </w:tcBorders>
            <w:noWrap w:val="0"/>
            <w:vAlign w:val="center"/>
          </w:tcPr>
          <w:p w14:paraId="65994A46">
            <w:pPr>
              <w:jc w:val="center"/>
              <w:rPr>
                <w:rFonts w:ascii="宋体" w:hAnsi="宋体" w:cs="宋体"/>
                <w:color w:val="auto"/>
                <w:highlight w:val="none"/>
              </w:rPr>
            </w:pPr>
          </w:p>
        </w:tc>
        <w:tc>
          <w:tcPr>
            <w:tcW w:w="940" w:type="dxa"/>
            <w:vMerge w:val="continue"/>
            <w:tcBorders>
              <w:top w:val="single" w:color="auto" w:sz="4" w:space="0"/>
              <w:left w:val="single" w:color="auto" w:sz="4" w:space="0"/>
              <w:bottom w:val="single" w:color="auto" w:sz="4" w:space="0"/>
              <w:right w:val="single" w:color="auto" w:sz="4" w:space="0"/>
            </w:tcBorders>
            <w:noWrap w:val="0"/>
            <w:vAlign w:val="center"/>
          </w:tcPr>
          <w:p w14:paraId="42D026D5">
            <w:pPr>
              <w:jc w:val="center"/>
              <w:rPr>
                <w:rFonts w:ascii="宋体" w:hAnsi="宋体" w:cs="宋体"/>
                <w:color w:val="auto"/>
                <w:highlight w:val="none"/>
              </w:rPr>
            </w:pPr>
          </w:p>
        </w:tc>
        <w:tc>
          <w:tcPr>
            <w:tcW w:w="863" w:type="dxa"/>
            <w:vMerge w:val="continue"/>
            <w:tcBorders>
              <w:top w:val="single" w:color="auto" w:sz="4" w:space="0"/>
              <w:left w:val="single" w:color="auto" w:sz="4" w:space="0"/>
              <w:bottom w:val="single" w:color="auto" w:sz="4" w:space="0"/>
              <w:right w:val="single" w:color="auto" w:sz="4" w:space="0"/>
            </w:tcBorders>
            <w:noWrap w:val="0"/>
            <w:vAlign w:val="center"/>
          </w:tcPr>
          <w:p w14:paraId="401B8FE9">
            <w:pPr>
              <w:jc w:val="center"/>
              <w:rPr>
                <w:rFonts w:ascii="宋体" w:hAnsi="宋体" w:cs="宋体"/>
                <w:color w:val="auto"/>
                <w:highlight w:val="none"/>
              </w:rPr>
            </w:pPr>
          </w:p>
        </w:tc>
        <w:tc>
          <w:tcPr>
            <w:tcW w:w="1443" w:type="dxa"/>
            <w:vMerge w:val="continue"/>
            <w:tcBorders>
              <w:top w:val="nil"/>
              <w:left w:val="single" w:color="auto" w:sz="4" w:space="0"/>
              <w:bottom w:val="single" w:color="000000" w:sz="4" w:space="0"/>
              <w:right w:val="single" w:color="auto" w:sz="4" w:space="0"/>
            </w:tcBorders>
            <w:noWrap w:val="0"/>
            <w:vAlign w:val="center"/>
          </w:tcPr>
          <w:p w14:paraId="41654A08">
            <w:pPr>
              <w:jc w:val="center"/>
              <w:rPr>
                <w:rFonts w:ascii="宋体" w:hAnsi="宋体" w:cs="宋体"/>
                <w:color w:val="auto"/>
                <w:highlight w:val="none"/>
              </w:rPr>
            </w:pPr>
          </w:p>
        </w:tc>
        <w:tc>
          <w:tcPr>
            <w:tcW w:w="1582" w:type="dxa"/>
            <w:vMerge w:val="continue"/>
            <w:tcBorders>
              <w:top w:val="nil"/>
              <w:left w:val="single" w:color="auto" w:sz="4" w:space="0"/>
              <w:bottom w:val="single" w:color="000000" w:sz="4" w:space="0"/>
              <w:right w:val="single" w:color="auto" w:sz="4" w:space="0"/>
            </w:tcBorders>
            <w:noWrap w:val="0"/>
            <w:vAlign w:val="center"/>
          </w:tcPr>
          <w:p w14:paraId="06AE4FA8">
            <w:pPr>
              <w:jc w:val="center"/>
              <w:rPr>
                <w:rFonts w:ascii="宋体" w:hAnsi="宋体" w:cs="宋体"/>
                <w:color w:val="auto"/>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54773889">
            <w:pPr>
              <w:jc w:val="center"/>
              <w:rPr>
                <w:rFonts w:ascii="宋体" w:hAnsi="宋体" w:cs="宋体"/>
                <w:color w:val="auto"/>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19907FCD">
            <w:pPr>
              <w:jc w:val="center"/>
              <w:rPr>
                <w:rFonts w:ascii="宋体" w:hAnsi="宋体" w:cs="宋体"/>
                <w:color w:val="auto"/>
                <w:highlight w:val="none"/>
              </w:rPr>
            </w:pPr>
          </w:p>
        </w:tc>
        <w:tc>
          <w:tcPr>
            <w:tcW w:w="719" w:type="dxa"/>
            <w:tcBorders>
              <w:top w:val="nil"/>
              <w:left w:val="nil"/>
              <w:bottom w:val="single" w:color="auto" w:sz="4" w:space="0"/>
              <w:right w:val="single" w:color="auto" w:sz="4" w:space="0"/>
            </w:tcBorders>
            <w:noWrap w:val="0"/>
            <w:vAlign w:val="center"/>
          </w:tcPr>
          <w:p w14:paraId="0C4471E9">
            <w:pPr>
              <w:jc w:val="center"/>
              <w:rPr>
                <w:rFonts w:ascii="宋体" w:hAnsi="宋体" w:cs="宋体"/>
                <w:color w:val="auto"/>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7F15C41F">
            <w:pPr>
              <w:jc w:val="center"/>
              <w:rPr>
                <w:rFonts w:ascii="宋体" w:hAnsi="宋体" w:cs="宋体"/>
                <w:color w:val="auto"/>
                <w:highlight w:val="none"/>
              </w:rPr>
            </w:pPr>
          </w:p>
        </w:tc>
        <w:tc>
          <w:tcPr>
            <w:tcW w:w="719" w:type="dxa"/>
            <w:vMerge w:val="continue"/>
            <w:tcBorders>
              <w:top w:val="nil"/>
              <w:left w:val="single" w:color="auto" w:sz="4" w:space="0"/>
              <w:bottom w:val="single" w:color="auto" w:sz="4" w:space="0"/>
              <w:right w:val="single" w:color="auto" w:sz="4" w:space="0"/>
            </w:tcBorders>
            <w:noWrap w:val="0"/>
            <w:vAlign w:val="center"/>
          </w:tcPr>
          <w:p w14:paraId="10F2443D">
            <w:pPr>
              <w:jc w:val="center"/>
              <w:rPr>
                <w:rFonts w:ascii="宋体" w:hAnsi="宋体" w:cs="宋体"/>
                <w:color w:val="auto"/>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725E93D3">
            <w:pPr>
              <w:jc w:val="center"/>
              <w:rPr>
                <w:rFonts w:ascii="宋体" w:hAnsi="宋体" w:cs="宋体"/>
                <w:color w:val="auto"/>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21265AC1">
            <w:pPr>
              <w:jc w:val="center"/>
              <w:rPr>
                <w:rFonts w:ascii="宋体" w:hAnsi="宋体" w:cs="宋体"/>
                <w:color w:val="auto"/>
                <w:highlight w:val="none"/>
              </w:rPr>
            </w:pPr>
          </w:p>
        </w:tc>
        <w:tc>
          <w:tcPr>
            <w:tcW w:w="719" w:type="dxa"/>
            <w:vMerge w:val="continue"/>
            <w:tcBorders>
              <w:top w:val="nil"/>
              <w:left w:val="single" w:color="auto" w:sz="4" w:space="0"/>
              <w:bottom w:val="single" w:color="auto" w:sz="4" w:space="0"/>
              <w:right w:val="single" w:color="auto" w:sz="4" w:space="0"/>
            </w:tcBorders>
            <w:noWrap w:val="0"/>
            <w:vAlign w:val="center"/>
          </w:tcPr>
          <w:p w14:paraId="1FA47B35">
            <w:pPr>
              <w:jc w:val="center"/>
              <w:rPr>
                <w:rFonts w:ascii="宋体" w:hAnsi="宋体" w:cs="宋体"/>
                <w:color w:val="auto"/>
                <w:highlight w:val="none"/>
              </w:rPr>
            </w:pPr>
          </w:p>
        </w:tc>
        <w:tc>
          <w:tcPr>
            <w:tcW w:w="577" w:type="dxa"/>
            <w:vMerge w:val="continue"/>
            <w:tcBorders>
              <w:top w:val="nil"/>
              <w:left w:val="single" w:color="auto" w:sz="4" w:space="0"/>
              <w:bottom w:val="single" w:color="auto" w:sz="4" w:space="0"/>
              <w:right w:val="single" w:color="auto" w:sz="4" w:space="0"/>
            </w:tcBorders>
            <w:noWrap w:val="0"/>
            <w:vAlign w:val="center"/>
          </w:tcPr>
          <w:p w14:paraId="3D29C10D">
            <w:pPr>
              <w:jc w:val="center"/>
              <w:rPr>
                <w:rFonts w:ascii="宋体" w:hAnsi="宋体" w:cs="宋体"/>
                <w:color w:val="auto"/>
                <w:highlight w:val="none"/>
              </w:rPr>
            </w:pPr>
          </w:p>
        </w:tc>
        <w:tc>
          <w:tcPr>
            <w:tcW w:w="571" w:type="dxa"/>
            <w:vMerge w:val="continue"/>
            <w:tcBorders>
              <w:top w:val="nil"/>
              <w:left w:val="single" w:color="auto" w:sz="4" w:space="0"/>
              <w:bottom w:val="single" w:color="auto" w:sz="4" w:space="0"/>
              <w:right w:val="single" w:color="auto" w:sz="4" w:space="0"/>
            </w:tcBorders>
            <w:noWrap w:val="0"/>
            <w:vAlign w:val="center"/>
          </w:tcPr>
          <w:p w14:paraId="1523480B">
            <w:pPr>
              <w:jc w:val="center"/>
              <w:rPr>
                <w:rFonts w:ascii="宋体" w:hAnsi="宋体" w:cs="宋体"/>
                <w:color w:val="auto"/>
                <w:highlight w:val="none"/>
              </w:rPr>
            </w:pPr>
          </w:p>
        </w:tc>
        <w:tc>
          <w:tcPr>
            <w:tcW w:w="236" w:type="dxa"/>
            <w:noWrap w:val="0"/>
            <w:vAlign w:val="center"/>
          </w:tcPr>
          <w:p w14:paraId="42727755">
            <w:pPr>
              <w:jc w:val="center"/>
              <w:rPr>
                <w:rFonts w:ascii="宋体" w:hAnsi="宋体" w:cs="宋体"/>
                <w:color w:val="auto"/>
                <w:highlight w:val="none"/>
              </w:rPr>
            </w:pPr>
          </w:p>
        </w:tc>
      </w:tr>
      <w:tr w14:paraId="2ADE69F6">
        <w:tblPrEx>
          <w:tblCellMar>
            <w:top w:w="0" w:type="dxa"/>
            <w:left w:w="108" w:type="dxa"/>
            <w:bottom w:w="0" w:type="dxa"/>
            <w:right w:w="108" w:type="dxa"/>
          </w:tblCellMar>
        </w:tblPrEx>
        <w:trPr>
          <w:trHeight w:val="285" w:hRule="atLeast"/>
        </w:trPr>
        <w:tc>
          <w:tcPr>
            <w:tcW w:w="404" w:type="dxa"/>
            <w:tcBorders>
              <w:top w:val="nil"/>
              <w:left w:val="single" w:color="auto" w:sz="4" w:space="0"/>
              <w:bottom w:val="single" w:color="auto" w:sz="4" w:space="0"/>
              <w:right w:val="single" w:color="auto" w:sz="4" w:space="0"/>
            </w:tcBorders>
            <w:noWrap w:val="0"/>
            <w:vAlign w:val="center"/>
          </w:tcPr>
          <w:p w14:paraId="47DAB411">
            <w:pPr>
              <w:jc w:val="center"/>
              <w:rPr>
                <w:rFonts w:ascii="宋体" w:hAnsi="宋体" w:cs="宋体"/>
                <w:color w:val="auto"/>
                <w:highlight w:val="none"/>
              </w:rPr>
            </w:pPr>
            <w:r>
              <w:rPr>
                <w:rFonts w:hint="eastAsia" w:ascii="宋体" w:hAnsi="宋体" w:cs="宋体"/>
                <w:color w:val="auto"/>
                <w:highlight w:val="none"/>
              </w:rPr>
              <w:t>5</w:t>
            </w:r>
          </w:p>
        </w:tc>
        <w:tc>
          <w:tcPr>
            <w:tcW w:w="1032" w:type="dxa"/>
            <w:tcBorders>
              <w:top w:val="nil"/>
              <w:left w:val="nil"/>
              <w:bottom w:val="single" w:color="auto" w:sz="4" w:space="0"/>
              <w:right w:val="single" w:color="auto" w:sz="4" w:space="0"/>
            </w:tcBorders>
            <w:noWrap w:val="0"/>
            <w:vAlign w:val="center"/>
          </w:tcPr>
          <w:p w14:paraId="64DD3149">
            <w:pPr>
              <w:jc w:val="center"/>
              <w:rPr>
                <w:rFonts w:ascii="宋体" w:hAnsi="宋体" w:cs="宋体"/>
                <w:color w:val="auto"/>
                <w:highlight w:val="none"/>
              </w:rPr>
            </w:pPr>
          </w:p>
        </w:tc>
        <w:tc>
          <w:tcPr>
            <w:tcW w:w="792" w:type="dxa"/>
            <w:tcBorders>
              <w:top w:val="single" w:color="auto" w:sz="4" w:space="0"/>
              <w:left w:val="nil"/>
              <w:bottom w:val="single" w:color="auto" w:sz="4" w:space="0"/>
              <w:right w:val="single" w:color="auto" w:sz="4" w:space="0"/>
            </w:tcBorders>
            <w:noWrap w:val="0"/>
            <w:vAlign w:val="center"/>
          </w:tcPr>
          <w:p w14:paraId="08818F27">
            <w:pPr>
              <w:jc w:val="center"/>
              <w:rPr>
                <w:rFonts w:ascii="宋体" w:hAnsi="宋体" w:cs="宋体"/>
                <w:color w:val="auto"/>
                <w:highlight w:val="none"/>
              </w:rPr>
            </w:pPr>
          </w:p>
        </w:tc>
        <w:tc>
          <w:tcPr>
            <w:tcW w:w="940" w:type="dxa"/>
            <w:tcBorders>
              <w:top w:val="single" w:color="auto" w:sz="4" w:space="0"/>
              <w:left w:val="nil"/>
              <w:bottom w:val="single" w:color="auto" w:sz="4" w:space="0"/>
              <w:right w:val="single" w:color="auto" w:sz="4" w:space="0"/>
            </w:tcBorders>
            <w:noWrap w:val="0"/>
            <w:vAlign w:val="center"/>
          </w:tcPr>
          <w:p w14:paraId="4EE536D5">
            <w:pPr>
              <w:jc w:val="center"/>
              <w:rPr>
                <w:rFonts w:ascii="宋体" w:hAnsi="宋体" w:cs="宋体"/>
                <w:color w:val="auto"/>
                <w:highlight w:val="none"/>
              </w:rPr>
            </w:pPr>
          </w:p>
        </w:tc>
        <w:tc>
          <w:tcPr>
            <w:tcW w:w="863" w:type="dxa"/>
            <w:tcBorders>
              <w:top w:val="single" w:color="auto" w:sz="4" w:space="0"/>
              <w:left w:val="nil"/>
              <w:bottom w:val="single" w:color="auto" w:sz="4" w:space="0"/>
              <w:right w:val="single" w:color="auto" w:sz="4" w:space="0"/>
            </w:tcBorders>
            <w:noWrap w:val="0"/>
            <w:vAlign w:val="center"/>
          </w:tcPr>
          <w:p w14:paraId="47936805">
            <w:pPr>
              <w:jc w:val="center"/>
              <w:rPr>
                <w:rFonts w:ascii="宋体" w:hAnsi="宋体" w:cs="宋体"/>
                <w:color w:val="auto"/>
                <w:highlight w:val="none"/>
              </w:rPr>
            </w:pPr>
          </w:p>
        </w:tc>
        <w:tc>
          <w:tcPr>
            <w:tcW w:w="1443" w:type="dxa"/>
            <w:tcBorders>
              <w:top w:val="nil"/>
              <w:left w:val="nil"/>
              <w:bottom w:val="single" w:color="auto" w:sz="4" w:space="0"/>
              <w:right w:val="single" w:color="auto" w:sz="4" w:space="0"/>
            </w:tcBorders>
            <w:noWrap w:val="0"/>
            <w:vAlign w:val="center"/>
          </w:tcPr>
          <w:p w14:paraId="64ABA581">
            <w:pPr>
              <w:jc w:val="center"/>
              <w:rPr>
                <w:rFonts w:ascii="宋体" w:hAnsi="宋体" w:cs="宋体"/>
                <w:color w:val="auto"/>
                <w:highlight w:val="none"/>
              </w:rPr>
            </w:pPr>
            <w:r>
              <w:rPr>
                <w:rFonts w:hint="eastAsia" w:ascii="宋体" w:hAnsi="宋体" w:cs="宋体"/>
                <w:color w:val="auto"/>
                <w:highlight w:val="none"/>
              </w:rPr>
              <w:t>……</w:t>
            </w:r>
          </w:p>
        </w:tc>
        <w:tc>
          <w:tcPr>
            <w:tcW w:w="1582" w:type="dxa"/>
            <w:tcBorders>
              <w:top w:val="nil"/>
              <w:left w:val="nil"/>
              <w:bottom w:val="single" w:color="auto" w:sz="4" w:space="0"/>
              <w:right w:val="single" w:color="auto" w:sz="4" w:space="0"/>
            </w:tcBorders>
            <w:noWrap w:val="0"/>
            <w:vAlign w:val="center"/>
          </w:tcPr>
          <w:p w14:paraId="4A9D5A02">
            <w:pPr>
              <w:jc w:val="center"/>
              <w:rPr>
                <w:rFonts w:ascii="宋体" w:hAnsi="宋体" w:cs="宋体"/>
                <w:color w:val="auto"/>
                <w:highlight w:val="none"/>
              </w:rPr>
            </w:pPr>
          </w:p>
        </w:tc>
        <w:tc>
          <w:tcPr>
            <w:tcW w:w="721" w:type="dxa"/>
            <w:tcBorders>
              <w:top w:val="nil"/>
              <w:left w:val="nil"/>
              <w:bottom w:val="single" w:color="auto" w:sz="4" w:space="0"/>
              <w:right w:val="single" w:color="auto" w:sz="4" w:space="0"/>
            </w:tcBorders>
            <w:noWrap w:val="0"/>
            <w:vAlign w:val="center"/>
          </w:tcPr>
          <w:p w14:paraId="263FC1B3">
            <w:pPr>
              <w:jc w:val="center"/>
              <w:rPr>
                <w:rFonts w:ascii="宋体" w:hAnsi="宋体" w:cs="宋体"/>
                <w:color w:val="auto"/>
                <w:highlight w:val="none"/>
              </w:rPr>
            </w:pPr>
          </w:p>
        </w:tc>
        <w:tc>
          <w:tcPr>
            <w:tcW w:w="721" w:type="dxa"/>
            <w:tcBorders>
              <w:top w:val="nil"/>
              <w:left w:val="nil"/>
              <w:bottom w:val="single" w:color="auto" w:sz="4" w:space="0"/>
              <w:right w:val="single" w:color="auto" w:sz="4" w:space="0"/>
            </w:tcBorders>
            <w:noWrap w:val="0"/>
            <w:vAlign w:val="center"/>
          </w:tcPr>
          <w:p w14:paraId="213B1387">
            <w:pPr>
              <w:jc w:val="center"/>
              <w:rPr>
                <w:rFonts w:ascii="宋体" w:hAnsi="宋体" w:cs="宋体"/>
                <w:color w:val="auto"/>
                <w:highlight w:val="none"/>
              </w:rPr>
            </w:pPr>
          </w:p>
        </w:tc>
        <w:tc>
          <w:tcPr>
            <w:tcW w:w="719" w:type="dxa"/>
            <w:tcBorders>
              <w:top w:val="nil"/>
              <w:left w:val="nil"/>
              <w:bottom w:val="single" w:color="auto" w:sz="4" w:space="0"/>
              <w:right w:val="single" w:color="auto" w:sz="4" w:space="0"/>
            </w:tcBorders>
            <w:noWrap w:val="0"/>
            <w:vAlign w:val="center"/>
          </w:tcPr>
          <w:p w14:paraId="4A374CD8">
            <w:pPr>
              <w:jc w:val="center"/>
              <w:rPr>
                <w:rFonts w:ascii="宋体" w:hAnsi="宋体" w:cs="宋体"/>
                <w:color w:val="auto"/>
                <w:highlight w:val="none"/>
              </w:rPr>
            </w:pPr>
          </w:p>
        </w:tc>
        <w:tc>
          <w:tcPr>
            <w:tcW w:w="721" w:type="dxa"/>
            <w:tcBorders>
              <w:top w:val="nil"/>
              <w:left w:val="nil"/>
              <w:bottom w:val="single" w:color="auto" w:sz="4" w:space="0"/>
              <w:right w:val="single" w:color="auto" w:sz="4" w:space="0"/>
            </w:tcBorders>
            <w:noWrap w:val="0"/>
            <w:vAlign w:val="center"/>
          </w:tcPr>
          <w:p w14:paraId="7DBB3011">
            <w:pPr>
              <w:jc w:val="center"/>
              <w:rPr>
                <w:rFonts w:ascii="宋体" w:hAnsi="宋体" w:cs="宋体"/>
                <w:color w:val="auto"/>
                <w:highlight w:val="none"/>
              </w:rPr>
            </w:pPr>
          </w:p>
        </w:tc>
        <w:tc>
          <w:tcPr>
            <w:tcW w:w="719" w:type="dxa"/>
            <w:tcBorders>
              <w:top w:val="nil"/>
              <w:left w:val="nil"/>
              <w:bottom w:val="single" w:color="auto" w:sz="4" w:space="0"/>
              <w:right w:val="single" w:color="auto" w:sz="4" w:space="0"/>
            </w:tcBorders>
            <w:noWrap w:val="0"/>
            <w:vAlign w:val="center"/>
          </w:tcPr>
          <w:p w14:paraId="27901788">
            <w:pPr>
              <w:jc w:val="center"/>
              <w:rPr>
                <w:rFonts w:ascii="宋体" w:hAnsi="宋体" w:cs="宋体"/>
                <w:color w:val="auto"/>
                <w:highlight w:val="none"/>
              </w:rPr>
            </w:pPr>
          </w:p>
        </w:tc>
        <w:tc>
          <w:tcPr>
            <w:tcW w:w="721" w:type="dxa"/>
            <w:tcBorders>
              <w:top w:val="nil"/>
              <w:left w:val="nil"/>
              <w:bottom w:val="single" w:color="auto" w:sz="4" w:space="0"/>
              <w:right w:val="single" w:color="auto" w:sz="4" w:space="0"/>
            </w:tcBorders>
            <w:noWrap w:val="0"/>
            <w:vAlign w:val="center"/>
          </w:tcPr>
          <w:p w14:paraId="18E5182B">
            <w:pPr>
              <w:jc w:val="center"/>
              <w:rPr>
                <w:rFonts w:ascii="宋体" w:hAnsi="宋体" w:cs="宋体"/>
                <w:color w:val="auto"/>
                <w:highlight w:val="none"/>
              </w:rPr>
            </w:pPr>
          </w:p>
        </w:tc>
        <w:tc>
          <w:tcPr>
            <w:tcW w:w="721" w:type="dxa"/>
            <w:tcBorders>
              <w:top w:val="nil"/>
              <w:left w:val="nil"/>
              <w:bottom w:val="single" w:color="auto" w:sz="4" w:space="0"/>
              <w:right w:val="single" w:color="auto" w:sz="4" w:space="0"/>
            </w:tcBorders>
            <w:noWrap w:val="0"/>
            <w:vAlign w:val="center"/>
          </w:tcPr>
          <w:p w14:paraId="702EFE9A">
            <w:pPr>
              <w:jc w:val="center"/>
              <w:rPr>
                <w:rFonts w:ascii="宋体" w:hAnsi="宋体" w:cs="宋体"/>
                <w:color w:val="auto"/>
                <w:highlight w:val="none"/>
              </w:rPr>
            </w:pPr>
          </w:p>
        </w:tc>
        <w:tc>
          <w:tcPr>
            <w:tcW w:w="719" w:type="dxa"/>
            <w:tcBorders>
              <w:top w:val="nil"/>
              <w:left w:val="nil"/>
              <w:bottom w:val="single" w:color="auto" w:sz="4" w:space="0"/>
              <w:right w:val="single" w:color="auto" w:sz="4" w:space="0"/>
            </w:tcBorders>
            <w:noWrap w:val="0"/>
            <w:vAlign w:val="center"/>
          </w:tcPr>
          <w:p w14:paraId="0D83F1BF">
            <w:pPr>
              <w:jc w:val="center"/>
              <w:rPr>
                <w:rFonts w:ascii="宋体" w:hAnsi="宋体" w:cs="宋体"/>
                <w:color w:val="auto"/>
                <w:highlight w:val="none"/>
              </w:rPr>
            </w:pPr>
          </w:p>
        </w:tc>
        <w:tc>
          <w:tcPr>
            <w:tcW w:w="577" w:type="dxa"/>
            <w:tcBorders>
              <w:top w:val="nil"/>
              <w:left w:val="nil"/>
              <w:bottom w:val="single" w:color="auto" w:sz="4" w:space="0"/>
              <w:right w:val="single" w:color="auto" w:sz="4" w:space="0"/>
            </w:tcBorders>
            <w:noWrap w:val="0"/>
            <w:vAlign w:val="center"/>
          </w:tcPr>
          <w:p w14:paraId="5D57AF75">
            <w:pPr>
              <w:jc w:val="center"/>
              <w:rPr>
                <w:rFonts w:ascii="宋体" w:hAnsi="宋体" w:cs="宋体"/>
                <w:color w:val="auto"/>
                <w:highlight w:val="none"/>
              </w:rPr>
            </w:pPr>
          </w:p>
        </w:tc>
        <w:tc>
          <w:tcPr>
            <w:tcW w:w="571" w:type="dxa"/>
            <w:tcBorders>
              <w:top w:val="nil"/>
              <w:left w:val="nil"/>
              <w:bottom w:val="single" w:color="auto" w:sz="4" w:space="0"/>
              <w:right w:val="single" w:color="auto" w:sz="4" w:space="0"/>
            </w:tcBorders>
            <w:noWrap w:val="0"/>
            <w:vAlign w:val="center"/>
          </w:tcPr>
          <w:p w14:paraId="2161EFA6">
            <w:pPr>
              <w:jc w:val="center"/>
              <w:rPr>
                <w:rFonts w:ascii="宋体" w:hAnsi="宋体" w:cs="宋体"/>
                <w:color w:val="auto"/>
                <w:highlight w:val="none"/>
              </w:rPr>
            </w:pPr>
          </w:p>
        </w:tc>
        <w:tc>
          <w:tcPr>
            <w:tcW w:w="236" w:type="dxa"/>
            <w:noWrap w:val="0"/>
            <w:vAlign w:val="center"/>
          </w:tcPr>
          <w:p w14:paraId="3B1DA888">
            <w:pPr>
              <w:jc w:val="center"/>
              <w:rPr>
                <w:rFonts w:ascii="宋体" w:hAnsi="宋体" w:cs="宋体"/>
                <w:color w:val="auto"/>
                <w:highlight w:val="none"/>
              </w:rPr>
            </w:pPr>
          </w:p>
        </w:tc>
      </w:tr>
      <w:tr w14:paraId="1B72AFC0">
        <w:tblPrEx>
          <w:tblCellMar>
            <w:top w:w="0" w:type="dxa"/>
            <w:left w:w="108" w:type="dxa"/>
            <w:bottom w:w="0" w:type="dxa"/>
            <w:right w:w="108" w:type="dxa"/>
          </w:tblCellMar>
        </w:tblPrEx>
        <w:trPr>
          <w:trHeight w:val="285" w:hRule="atLeast"/>
        </w:trPr>
        <w:tc>
          <w:tcPr>
            <w:tcW w:w="404" w:type="dxa"/>
            <w:tcBorders>
              <w:top w:val="nil"/>
              <w:left w:val="single" w:color="auto" w:sz="4" w:space="0"/>
              <w:bottom w:val="single" w:color="auto" w:sz="4" w:space="0"/>
              <w:right w:val="single" w:color="auto" w:sz="4" w:space="0"/>
            </w:tcBorders>
            <w:noWrap w:val="0"/>
            <w:vAlign w:val="center"/>
          </w:tcPr>
          <w:p w14:paraId="0C93FB57">
            <w:pPr>
              <w:jc w:val="center"/>
              <w:rPr>
                <w:rFonts w:ascii="宋体" w:hAnsi="宋体" w:cs="宋体"/>
                <w:color w:val="auto"/>
                <w:highlight w:val="none"/>
              </w:rPr>
            </w:pPr>
          </w:p>
        </w:tc>
        <w:tc>
          <w:tcPr>
            <w:tcW w:w="1032" w:type="dxa"/>
            <w:tcBorders>
              <w:top w:val="nil"/>
              <w:left w:val="nil"/>
              <w:bottom w:val="single" w:color="auto" w:sz="4" w:space="0"/>
              <w:right w:val="single" w:color="auto" w:sz="4" w:space="0"/>
            </w:tcBorders>
            <w:noWrap w:val="0"/>
            <w:vAlign w:val="center"/>
          </w:tcPr>
          <w:p w14:paraId="0FF3FEF3">
            <w:pPr>
              <w:jc w:val="center"/>
              <w:rPr>
                <w:rFonts w:ascii="宋体" w:hAnsi="宋体" w:cs="宋体"/>
                <w:color w:val="auto"/>
                <w:highlight w:val="none"/>
              </w:rPr>
            </w:pPr>
          </w:p>
        </w:tc>
        <w:tc>
          <w:tcPr>
            <w:tcW w:w="792" w:type="dxa"/>
            <w:tcBorders>
              <w:top w:val="single" w:color="auto" w:sz="4" w:space="0"/>
              <w:left w:val="nil"/>
              <w:bottom w:val="single" w:color="auto" w:sz="4" w:space="0"/>
              <w:right w:val="single" w:color="auto" w:sz="4" w:space="0"/>
            </w:tcBorders>
            <w:noWrap w:val="0"/>
            <w:vAlign w:val="center"/>
          </w:tcPr>
          <w:p w14:paraId="09B4FE4D">
            <w:pPr>
              <w:jc w:val="center"/>
              <w:rPr>
                <w:rFonts w:ascii="宋体" w:hAnsi="宋体" w:cs="宋体"/>
                <w:color w:val="auto"/>
                <w:highlight w:val="none"/>
              </w:rPr>
            </w:pPr>
          </w:p>
        </w:tc>
        <w:tc>
          <w:tcPr>
            <w:tcW w:w="940" w:type="dxa"/>
            <w:tcBorders>
              <w:top w:val="single" w:color="auto" w:sz="4" w:space="0"/>
              <w:left w:val="nil"/>
              <w:bottom w:val="single" w:color="auto" w:sz="4" w:space="0"/>
              <w:right w:val="single" w:color="auto" w:sz="4" w:space="0"/>
            </w:tcBorders>
            <w:noWrap w:val="0"/>
            <w:vAlign w:val="center"/>
          </w:tcPr>
          <w:p w14:paraId="576A1E83">
            <w:pPr>
              <w:jc w:val="center"/>
              <w:rPr>
                <w:rFonts w:ascii="宋体" w:hAnsi="宋体" w:cs="宋体"/>
                <w:color w:val="auto"/>
                <w:highlight w:val="none"/>
              </w:rPr>
            </w:pPr>
          </w:p>
        </w:tc>
        <w:tc>
          <w:tcPr>
            <w:tcW w:w="863" w:type="dxa"/>
            <w:tcBorders>
              <w:top w:val="single" w:color="auto" w:sz="4" w:space="0"/>
              <w:left w:val="nil"/>
              <w:bottom w:val="single" w:color="auto" w:sz="4" w:space="0"/>
              <w:right w:val="single" w:color="auto" w:sz="4" w:space="0"/>
            </w:tcBorders>
            <w:noWrap w:val="0"/>
            <w:vAlign w:val="center"/>
          </w:tcPr>
          <w:p w14:paraId="11EEF118">
            <w:pPr>
              <w:jc w:val="center"/>
              <w:rPr>
                <w:rFonts w:ascii="宋体" w:hAnsi="宋体" w:cs="宋体"/>
                <w:color w:val="auto"/>
                <w:highlight w:val="none"/>
              </w:rPr>
            </w:pPr>
          </w:p>
        </w:tc>
        <w:tc>
          <w:tcPr>
            <w:tcW w:w="1443" w:type="dxa"/>
            <w:tcBorders>
              <w:top w:val="nil"/>
              <w:left w:val="nil"/>
              <w:bottom w:val="single" w:color="auto" w:sz="4" w:space="0"/>
              <w:right w:val="single" w:color="auto" w:sz="4" w:space="0"/>
            </w:tcBorders>
            <w:noWrap w:val="0"/>
            <w:vAlign w:val="center"/>
          </w:tcPr>
          <w:p w14:paraId="470737A0">
            <w:pPr>
              <w:jc w:val="center"/>
              <w:rPr>
                <w:rFonts w:ascii="宋体" w:hAnsi="宋体" w:cs="宋体"/>
                <w:color w:val="auto"/>
                <w:highlight w:val="none"/>
              </w:rPr>
            </w:pPr>
          </w:p>
        </w:tc>
        <w:tc>
          <w:tcPr>
            <w:tcW w:w="1582" w:type="dxa"/>
            <w:tcBorders>
              <w:top w:val="nil"/>
              <w:left w:val="nil"/>
              <w:bottom w:val="single" w:color="auto" w:sz="4" w:space="0"/>
              <w:right w:val="single" w:color="auto" w:sz="4" w:space="0"/>
            </w:tcBorders>
            <w:noWrap w:val="0"/>
            <w:vAlign w:val="center"/>
          </w:tcPr>
          <w:p w14:paraId="36B695EF">
            <w:pPr>
              <w:jc w:val="center"/>
              <w:rPr>
                <w:rFonts w:ascii="宋体" w:hAnsi="宋体" w:cs="宋体"/>
                <w:color w:val="auto"/>
                <w:highlight w:val="none"/>
              </w:rPr>
            </w:pPr>
          </w:p>
        </w:tc>
        <w:tc>
          <w:tcPr>
            <w:tcW w:w="721" w:type="dxa"/>
            <w:tcBorders>
              <w:top w:val="nil"/>
              <w:left w:val="nil"/>
              <w:bottom w:val="single" w:color="auto" w:sz="4" w:space="0"/>
              <w:right w:val="single" w:color="auto" w:sz="4" w:space="0"/>
            </w:tcBorders>
            <w:noWrap w:val="0"/>
            <w:vAlign w:val="center"/>
          </w:tcPr>
          <w:p w14:paraId="0FFD7633">
            <w:pPr>
              <w:jc w:val="center"/>
              <w:rPr>
                <w:rFonts w:ascii="宋体" w:hAnsi="宋体" w:cs="宋体"/>
                <w:color w:val="auto"/>
                <w:highlight w:val="none"/>
              </w:rPr>
            </w:pPr>
          </w:p>
        </w:tc>
        <w:tc>
          <w:tcPr>
            <w:tcW w:w="721" w:type="dxa"/>
            <w:tcBorders>
              <w:top w:val="nil"/>
              <w:left w:val="nil"/>
              <w:bottom w:val="single" w:color="auto" w:sz="4" w:space="0"/>
              <w:right w:val="single" w:color="auto" w:sz="4" w:space="0"/>
            </w:tcBorders>
            <w:noWrap w:val="0"/>
            <w:vAlign w:val="center"/>
          </w:tcPr>
          <w:p w14:paraId="7D5C32CC">
            <w:pPr>
              <w:jc w:val="center"/>
              <w:rPr>
                <w:rFonts w:ascii="宋体" w:hAnsi="宋体" w:cs="宋体"/>
                <w:color w:val="auto"/>
                <w:highlight w:val="none"/>
              </w:rPr>
            </w:pPr>
          </w:p>
        </w:tc>
        <w:tc>
          <w:tcPr>
            <w:tcW w:w="719" w:type="dxa"/>
            <w:tcBorders>
              <w:top w:val="nil"/>
              <w:left w:val="nil"/>
              <w:bottom w:val="single" w:color="auto" w:sz="4" w:space="0"/>
              <w:right w:val="single" w:color="auto" w:sz="4" w:space="0"/>
            </w:tcBorders>
            <w:noWrap w:val="0"/>
            <w:vAlign w:val="center"/>
          </w:tcPr>
          <w:p w14:paraId="4724E794">
            <w:pPr>
              <w:jc w:val="center"/>
              <w:rPr>
                <w:rFonts w:ascii="宋体" w:hAnsi="宋体" w:cs="宋体"/>
                <w:color w:val="auto"/>
                <w:highlight w:val="none"/>
              </w:rPr>
            </w:pPr>
          </w:p>
        </w:tc>
        <w:tc>
          <w:tcPr>
            <w:tcW w:w="721" w:type="dxa"/>
            <w:tcBorders>
              <w:top w:val="nil"/>
              <w:left w:val="nil"/>
              <w:bottom w:val="single" w:color="auto" w:sz="4" w:space="0"/>
              <w:right w:val="single" w:color="auto" w:sz="4" w:space="0"/>
            </w:tcBorders>
            <w:noWrap w:val="0"/>
            <w:vAlign w:val="center"/>
          </w:tcPr>
          <w:p w14:paraId="55F9EAFA">
            <w:pPr>
              <w:jc w:val="center"/>
              <w:rPr>
                <w:rFonts w:ascii="宋体" w:hAnsi="宋体" w:cs="宋体"/>
                <w:color w:val="auto"/>
                <w:highlight w:val="none"/>
              </w:rPr>
            </w:pPr>
          </w:p>
        </w:tc>
        <w:tc>
          <w:tcPr>
            <w:tcW w:w="719" w:type="dxa"/>
            <w:tcBorders>
              <w:top w:val="nil"/>
              <w:left w:val="nil"/>
              <w:bottom w:val="single" w:color="auto" w:sz="4" w:space="0"/>
              <w:right w:val="single" w:color="auto" w:sz="4" w:space="0"/>
            </w:tcBorders>
            <w:noWrap w:val="0"/>
            <w:vAlign w:val="center"/>
          </w:tcPr>
          <w:p w14:paraId="54B778FB">
            <w:pPr>
              <w:jc w:val="center"/>
              <w:rPr>
                <w:rFonts w:ascii="宋体" w:hAnsi="宋体" w:cs="宋体"/>
                <w:color w:val="auto"/>
                <w:highlight w:val="none"/>
              </w:rPr>
            </w:pPr>
          </w:p>
        </w:tc>
        <w:tc>
          <w:tcPr>
            <w:tcW w:w="721" w:type="dxa"/>
            <w:tcBorders>
              <w:top w:val="nil"/>
              <w:left w:val="nil"/>
              <w:bottom w:val="single" w:color="auto" w:sz="4" w:space="0"/>
              <w:right w:val="single" w:color="auto" w:sz="4" w:space="0"/>
            </w:tcBorders>
            <w:noWrap w:val="0"/>
            <w:vAlign w:val="center"/>
          </w:tcPr>
          <w:p w14:paraId="288E07E5">
            <w:pPr>
              <w:jc w:val="center"/>
              <w:rPr>
                <w:rFonts w:ascii="宋体" w:hAnsi="宋体" w:cs="宋体"/>
                <w:color w:val="auto"/>
                <w:highlight w:val="none"/>
              </w:rPr>
            </w:pPr>
          </w:p>
        </w:tc>
        <w:tc>
          <w:tcPr>
            <w:tcW w:w="721" w:type="dxa"/>
            <w:tcBorders>
              <w:top w:val="nil"/>
              <w:left w:val="nil"/>
              <w:bottom w:val="single" w:color="auto" w:sz="4" w:space="0"/>
              <w:right w:val="single" w:color="auto" w:sz="4" w:space="0"/>
            </w:tcBorders>
            <w:noWrap w:val="0"/>
            <w:vAlign w:val="center"/>
          </w:tcPr>
          <w:p w14:paraId="75F6A5D5">
            <w:pPr>
              <w:jc w:val="center"/>
              <w:rPr>
                <w:rFonts w:ascii="宋体" w:hAnsi="宋体" w:cs="宋体"/>
                <w:color w:val="auto"/>
                <w:highlight w:val="none"/>
              </w:rPr>
            </w:pPr>
          </w:p>
        </w:tc>
        <w:tc>
          <w:tcPr>
            <w:tcW w:w="719" w:type="dxa"/>
            <w:tcBorders>
              <w:top w:val="nil"/>
              <w:left w:val="nil"/>
              <w:bottom w:val="single" w:color="auto" w:sz="4" w:space="0"/>
              <w:right w:val="single" w:color="auto" w:sz="4" w:space="0"/>
            </w:tcBorders>
            <w:noWrap w:val="0"/>
            <w:vAlign w:val="center"/>
          </w:tcPr>
          <w:p w14:paraId="7BC5FF50">
            <w:pPr>
              <w:jc w:val="center"/>
              <w:rPr>
                <w:rFonts w:ascii="宋体" w:hAnsi="宋体" w:cs="宋体"/>
                <w:color w:val="auto"/>
                <w:highlight w:val="none"/>
              </w:rPr>
            </w:pPr>
          </w:p>
        </w:tc>
        <w:tc>
          <w:tcPr>
            <w:tcW w:w="577" w:type="dxa"/>
            <w:tcBorders>
              <w:top w:val="nil"/>
              <w:left w:val="nil"/>
              <w:bottom w:val="single" w:color="auto" w:sz="4" w:space="0"/>
              <w:right w:val="single" w:color="auto" w:sz="4" w:space="0"/>
            </w:tcBorders>
            <w:noWrap w:val="0"/>
            <w:vAlign w:val="center"/>
          </w:tcPr>
          <w:p w14:paraId="21268222">
            <w:pPr>
              <w:jc w:val="center"/>
              <w:rPr>
                <w:rFonts w:ascii="宋体" w:hAnsi="宋体" w:cs="宋体"/>
                <w:color w:val="auto"/>
                <w:highlight w:val="none"/>
              </w:rPr>
            </w:pPr>
          </w:p>
        </w:tc>
        <w:tc>
          <w:tcPr>
            <w:tcW w:w="571" w:type="dxa"/>
            <w:tcBorders>
              <w:top w:val="nil"/>
              <w:left w:val="nil"/>
              <w:bottom w:val="single" w:color="auto" w:sz="4" w:space="0"/>
              <w:right w:val="single" w:color="auto" w:sz="4" w:space="0"/>
            </w:tcBorders>
            <w:noWrap w:val="0"/>
            <w:vAlign w:val="center"/>
          </w:tcPr>
          <w:p w14:paraId="0DF9D1BB">
            <w:pPr>
              <w:jc w:val="center"/>
              <w:rPr>
                <w:rFonts w:ascii="宋体" w:hAnsi="宋体" w:cs="宋体"/>
                <w:color w:val="auto"/>
                <w:highlight w:val="none"/>
              </w:rPr>
            </w:pPr>
          </w:p>
        </w:tc>
        <w:tc>
          <w:tcPr>
            <w:tcW w:w="236" w:type="dxa"/>
            <w:noWrap w:val="0"/>
            <w:vAlign w:val="center"/>
          </w:tcPr>
          <w:p w14:paraId="6A68367B">
            <w:pPr>
              <w:jc w:val="center"/>
              <w:rPr>
                <w:rFonts w:ascii="宋体" w:hAnsi="宋体" w:cs="宋体"/>
                <w:color w:val="auto"/>
                <w:highlight w:val="none"/>
              </w:rPr>
            </w:pPr>
          </w:p>
        </w:tc>
      </w:tr>
      <w:tr w14:paraId="16B7EB77">
        <w:tblPrEx>
          <w:tblCellMar>
            <w:top w:w="0" w:type="dxa"/>
            <w:left w:w="108" w:type="dxa"/>
            <w:bottom w:w="0" w:type="dxa"/>
            <w:right w:w="108" w:type="dxa"/>
          </w:tblCellMar>
        </w:tblPrEx>
        <w:trPr>
          <w:trHeight w:val="285" w:hRule="atLeast"/>
        </w:trPr>
        <w:tc>
          <w:tcPr>
            <w:tcW w:w="7056" w:type="dxa"/>
            <w:gridSpan w:val="7"/>
            <w:tcBorders>
              <w:top w:val="single" w:color="auto" w:sz="4" w:space="0"/>
              <w:left w:val="single" w:color="auto" w:sz="4" w:space="0"/>
              <w:bottom w:val="single" w:color="auto" w:sz="4" w:space="0"/>
              <w:right w:val="single" w:color="auto" w:sz="4" w:space="0"/>
            </w:tcBorders>
            <w:noWrap w:val="0"/>
            <w:vAlign w:val="center"/>
          </w:tcPr>
          <w:p w14:paraId="34B2F44B">
            <w:pPr>
              <w:jc w:val="center"/>
              <w:rPr>
                <w:rFonts w:ascii="宋体" w:hAnsi="宋体" w:cs="宋体"/>
                <w:color w:val="auto"/>
                <w:highlight w:val="none"/>
              </w:rPr>
            </w:pPr>
            <w:r>
              <w:rPr>
                <w:rFonts w:hint="eastAsia" w:ascii="宋体" w:hAnsi="宋体" w:cs="宋体"/>
                <w:color w:val="auto"/>
                <w:highlight w:val="none"/>
              </w:rPr>
              <w:t>总 支 出</w:t>
            </w:r>
          </w:p>
        </w:tc>
        <w:tc>
          <w:tcPr>
            <w:tcW w:w="6910" w:type="dxa"/>
            <w:gridSpan w:val="10"/>
            <w:tcBorders>
              <w:top w:val="single" w:color="auto" w:sz="4" w:space="0"/>
              <w:left w:val="nil"/>
              <w:bottom w:val="single" w:color="auto" w:sz="4" w:space="0"/>
              <w:right w:val="single" w:color="auto" w:sz="4" w:space="0"/>
            </w:tcBorders>
            <w:noWrap w:val="0"/>
            <w:vAlign w:val="center"/>
          </w:tcPr>
          <w:p w14:paraId="34C83931">
            <w:pPr>
              <w:jc w:val="center"/>
              <w:rPr>
                <w:rFonts w:ascii="宋体" w:hAnsi="宋体" w:cs="宋体"/>
                <w:color w:val="auto"/>
                <w:highlight w:val="none"/>
              </w:rPr>
            </w:pPr>
          </w:p>
        </w:tc>
        <w:tc>
          <w:tcPr>
            <w:tcW w:w="236" w:type="dxa"/>
            <w:noWrap w:val="0"/>
            <w:vAlign w:val="center"/>
          </w:tcPr>
          <w:p w14:paraId="6917E421">
            <w:pPr>
              <w:jc w:val="center"/>
              <w:rPr>
                <w:rFonts w:ascii="宋体" w:hAnsi="宋体" w:cs="宋体"/>
                <w:color w:val="auto"/>
                <w:highlight w:val="none"/>
              </w:rPr>
            </w:pPr>
          </w:p>
        </w:tc>
      </w:tr>
    </w:tbl>
    <w:p w14:paraId="4CD44B35">
      <w:pPr>
        <w:rPr>
          <w:rFonts w:ascii="宋体" w:hAnsi="宋体" w:cs="宋体"/>
          <w:color w:val="auto"/>
          <w:highlight w:val="none"/>
          <w:lang w:eastAsia="zh-CN"/>
        </w:rPr>
      </w:pPr>
      <w:r>
        <w:rPr>
          <w:rFonts w:hint="eastAsia" w:ascii="宋体" w:hAnsi="宋体" w:cs="宋体"/>
          <w:color w:val="auto"/>
          <w:highlight w:val="none"/>
          <w:lang w:eastAsia="zh-CN"/>
        </w:rPr>
        <w:t>制表：                  安全经理：                        安全监理：                        总监（安全副总监）：</w:t>
      </w:r>
    </w:p>
    <w:p w14:paraId="4B937B53">
      <w:pPr>
        <w:rPr>
          <w:rFonts w:ascii="宋体" w:hAnsi="宋体" w:cs="宋体"/>
          <w:color w:val="auto"/>
          <w:spacing w:val="12"/>
          <w:kern w:val="10"/>
          <w:sz w:val="32"/>
          <w:szCs w:val="32"/>
          <w:highlight w:val="none"/>
          <w:lang w:eastAsia="zh-CN"/>
        </w:rPr>
      </w:pPr>
    </w:p>
    <w:p w14:paraId="2418725B">
      <w:pPr>
        <w:rPr>
          <w:rFonts w:ascii="宋体" w:hAnsi="宋体" w:cs="宋体"/>
          <w:color w:val="auto"/>
          <w:spacing w:val="12"/>
          <w:kern w:val="10"/>
          <w:sz w:val="32"/>
          <w:szCs w:val="32"/>
          <w:highlight w:val="none"/>
          <w:lang w:eastAsia="zh-CN"/>
        </w:rPr>
      </w:pPr>
    </w:p>
    <w:p w14:paraId="21AC2DC7">
      <w:pPr>
        <w:rPr>
          <w:rFonts w:ascii="宋体" w:hAnsi="宋体" w:cs="宋体"/>
          <w:color w:val="auto"/>
          <w:highlight w:val="none"/>
          <w:lang w:eastAsia="zh-CN"/>
        </w:rPr>
        <w:sectPr>
          <w:pgSz w:w="16838" w:h="11906" w:orient="landscape"/>
          <w:pgMar w:top="1418" w:right="1440" w:bottom="1418" w:left="1440" w:header="851" w:footer="539" w:gutter="0"/>
          <w:cols w:space="720" w:num="1"/>
          <w:docGrid w:type="lines" w:linePitch="312" w:charSpace="0"/>
        </w:sectPr>
      </w:pPr>
    </w:p>
    <w:p w14:paraId="23846179">
      <w:pPr>
        <w:rPr>
          <w:rFonts w:ascii="宋体" w:hAnsi="宋体" w:cs="宋体"/>
          <w:color w:val="auto"/>
          <w:spacing w:val="12"/>
          <w:kern w:val="10"/>
          <w:sz w:val="32"/>
          <w:szCs w:val="32"/>
          <w:highlight w:val="none"/>
          <w:lang w:eastAsia="zh-CN"/>
        </w:rPr>
      </w:pPr>
      <w:r>
        <w:rPr>
          <w:rFonts w:hint="eastAsia" w:ascii="宋体" w:hAnsi="宋体" w:cs="宋体"/>
          <w:color w:val="auto"/>
          <w:spacing w:val="12"/>
          <w:kern w:val="10"/>
          <w:sz w:val="32"/>
          <w:szCs w:val="32"/>
          <w:highlight w:val="none"/>
          <w:lang w:eastAsia="zh-CN"/>
        </w:rPr>
        <w:t>附表6：</w:t>
      </w:r>
    </w:p>
    <w:p w14:paraId="24AB007D">
      <w:pPr>
        <w:jc w:val="center"/>
        <w:rPr>
          <w:rFonts w:ascii="宋体" w:hAnsi="宋体" w:cs="宋体"/>
          <w:b/>
          <w:color w:val="auto"/>
          <w:sz w:val="28"/>
          <w:szCs w:val="28"/>
          <w:highlight w:val="none"/>
          <w:lang w:eastAsia="zh-CN"/>
        </w:rPr>
      </w:pPr>
      <w:r>
        <w:rPr>
          <w:rFonts w:hint="eastAsia" w:ascii="宋体" w:hAnsi="宋体" w:cs="宋体"/>
          <w:b/>
          <w:color w:val="auto"/>
          <w:sz w:val="28"/>
          <w:szCs w:val="28"/>
          <w:highlight w:val="none"/>
          <w:lang w:eastAsia="zh-CN"/>
        </w:rPr>
        <w:t>安全投入工程量现场确认单</w:t>
      </w:r>
    </w:p>
    <w:p w14:paraId="4E6D3FE0">
      <w:pPr>
        <w:ind w:right="720" w:firstLine="6480" w:firstLineChars="3600"/>
        <w:rPr>
          <w:rFonts w:ascii="宋体" w:hAnsi="宋体" w:cs="宋体"/>
          <w:color w:val="auto"/>
          <w:sz w:val="18"/>
          <w:szCs w:val="18"/>
          <w:highlight w:val="none"/>
        </w:rPr>
      </w:pPr>
      <w:r>
        <w:rPr>
          <w:rFonts w:hint="eastAsia" w:ascii="宋体" w:hAnsi="宋体" w:cs="宋体"/>
          <w:color w:val="auto"/>
          <w:sz w:val="18"/>
          <w:szCs w:val="18"/>
          <w:highlight w:val="none"/>
        </w:rPr>
        <w:t>计量编号：</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963"/>
        <w:gridCol w:w="277"/>
        <w:gridCol w:w="1414"/>
        <w:gridCol w:w="2827"/>
        <w:gridCol w:w="31"/>
      </w:tblGrid>
      <w:tr w14:paraId="1D0E0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555" w:type="dxa"/>
            <w:noWrap w:val="0"/>
            <w:vAlign w:val="center"/>
          </w:tcPr>
          <w:p w14:paraId="001E1F9C">
            <w:pPr>
              <w:jc w:val="center"/>
              <w:rPr>
                <w:rFonts w:ascii="宋体" w:hAnsi="宋体" w:cs="宋体"/>
                <w:color w:val="auto"/>
                <w:sz w:val="18"/>
                <w:szCs w:val="18"/>
                <w:highlight w:val="none"/>
              </w:rPr>
            </w:pPr>
            <w:r>
              <w:rPr>
                <w:rFonts w:hint="eastAsia" w:ascii="宋体" w:hAnsi="宋体" w:cs="宋体"/>
                <w:color w:val="auto"/>
                <w:sz w:val="18"/>
                <w:szCs w:val="18"/>
                <w:highlight w:val="none"/>
              </w:rPr>
              <w:t>合同名称</w:t>
            </w:r>
          </w:p>
        </w:tc>
        <w:tc>
          <w:tcPr>
            <w:tcW w:w="7512" w:type="dxa"/>
            <w:gridSpan w:val="5"/>
            <w:noWrap w:val="0"/>
            <w:vAlign w:val="center"/>
          </w:tcPr>
          <w:p w14:paraId="05F4E401">
            <w:pPr>
              <w:jc w:val="center"/>
              <w:rPr>
                <w:rFonts w:ascii="宋体" w:hAnsi="宋体" w:cs="宋体"/>
                <w:color w:val="auto"/>
                <w:sz w:val="18"/>
                <w:szCs w:val="18"/>
                <w:highlight w:val="none"/>
              </w:rPr>
            </w:pPr>
          </w:p>
        </w:tc>
      </w:tr>
      <w:tr w14:paraId="7A826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455" w:hRule="atLeast"/>
          <w:jc w:val="center"/>
        </w:trPr>
        <w:tc>
          <w:tcPr>
            <w:tcW w:w="1555" w:type="dxa"/>
            <w:noWrap w:val="0"/>
            <w:vAlign w:val="center"/>
          </w:tcPr>
          <w:p w14:paraId="181AC644">
            <w:pPr>
              <w:jc w:val="center"/>
              <w:rPr>
                <w:rFonts w:ascii="宋体" w:hAnsi="宋体" w:cs="宋体"/>
                <w:color w:val="auto"/>
                <w:sz w:val="18"/>
                <w:szCs w:val="18"/>
                <w:highlight w:val="none"/>
              </w:rPr>
            </w:pPr>
            <w:r>
              <w:rPr>
                <w:rFonts w:hint="eastAsia" w:ascii="宋体" w:hAnsi="宋体" w:cs="宋体"/>
                <w:color w:val="auto"/>
                <w:sz w:val="18"/>
                <w:szCs w:val="18"/>
                <w:highlight w:val="none"/>
              </w:rPr>
              <w:t>施工单位</w:t>
            </w:r>
          </w:p>
        </w:tc>
        <w:tc>
          <w:tcPr>
            <w:tcW w:w="7481" w:type="dxa"/>
            <w:gridSpan w:val="4"/>
            <w:noWrap w:val="0"/>
            <w:vAlign w:val="center"/>
          </w:tcPr>
          <w:p w14:paraId="1F17F03B">
            <w:pPr>
              <w:jc w:val="center"/>
              <w:rPr>
                <w:rFonts w:ascii="宋体" w:hAnsi="宋体" w:cs="宋体"/>
                <w:color w:val="auto"/>
                <w:sz w:val="18"/>
                <w:szCs w:val="18"/>
                <w:highlight w:val="none"/>
              </w:rPr>
            </w:pPr>
          </w:p>
        </w:tc>
      </w:tr>
      <w:tr w14:paraId="409B7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460" w:hRule="atLeast"/>
          <w:jc w:val="center"/>
        </w:trPr>
        <w:tc>
          <w:tcPr>
            <w:tcW w:w="1555" w:type="dxa"/>
            <w:noWrap w:val="0"/>
            <w:vAlign w:val="center"/>
          </w:tcPr>
          <w:p w14:paraId="49CE3B20">
            <w:pPr>
              <w:jc w:val="center"/>
              <w:rPr>
                <w:rFonts w:ascii="宋体" w:hAnsi="宋体" w:cs="宋体"/>
                <w:color w:val="auto"/>
                <w:sz w:val="18"/>
                <w:szCs w:val="18"/>
                <w:highlight w:val="none"/>
              </w:rPr>
            </w:pPr>
            <w:r>
              <w:rPr>
                <w:rFonts w:hint="eastAsia" w:ascii="宋体" w:hAnsi="宋体" w:cs="宋体"/>
                <w:color w:val="auto"/>
                <w:sz w:val="18"/>
                <w:szCs w:val="18"/>
                <w:highlight w:val="none"/>
              </w:rPr>
              <w:t>工程名称</w:t>
            </w:r>
          </w:p>
        </w:tc>
        <w:tc>
          <w:tcPr>
            <w:tcW w:w="7481" w:type="dxa"/>
            <w:gridSpan w:val="4"/>
            <w:noWrap w:val="0"/>
            <w:vAlign w:val="center"/>
          </w:tcPr>
          <w:p w14:paraId="39815FA6">
            <w:pPr>
              <w:jc w:val="center"/>
              <w:rPr>
                <w:rFonts w:ascii="宋体" w:hAnsi="宋体" w:cs="宋体"/>
                <w:color w:val="auto"/>
                <w:sz w:val="18"/>
                <w:szCs w:val="18"/>
                <w:highlight w:val="none"/>
              </w:rPr>
            </w:pPr>
          </w:p>
        </w:tc>
      </w:tr>
      <w:tr w14:paraId="2D7B5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466" w:hRule="atLeast"/>
          <w:jc w:val="center"/>
        </w:trPr>
        <w:tc>
          <w:tcPr>
            <w:tcW w:w="1555" w:type="dxa"/>
            <w:noWrap w:val="0"/>
            <w:vAlign w:val="center"/>
          </w:tcPr>
          <w:p w14:paraId="530F0EEB">
            <w:pPr>
              <w:jc w:val="center"/>
              <w:rPr>
                <w:rFonts w:ascii="宋体" w:hAnsi="宋体" w:cs="宋体"/>
                <w:color w:val="auto"/>
                <w:sz w:val="18"/>
                <w:szCs w:val="18"/>
                <w:highlight w:val="none"/>
              </w:rPr>
            </w:pPr>
            <w:r>
              <w:rPr>
                <w:rFonts w:hint="eastAsia" w:ascii="宋体" w:hAnsi="宋体" w:cs="宋体"/>
                <w:color w:val="auto"/>
                <w:sz w:val="18"/>
                <w:szCs w:val="18"/>
                <w:highlight w:val="none"/>
              </w:rPr>
              <w:t>分部分项工程</w:t>
            </w:r>
          </w:p>
        </w:tc>
        <w:tc>
          <w:tcPr>
            <w:tcW w:w="3240" w:type="dxa"/>
            <w:gridSpan w:val="2"/>
            <w:noWrap w:val="0"/>
            <w:vAlign w:val="center"/>
          </w:tcPr>
          <w:p w14:paraId="370967AA">
            <w:pPr>
              <w:jc w:val="center"/>
              <w:rPr>
                <w:rFonts w:ascii="宋体" w:hAnsi="宋体" w:cs="宋体"/>
                <w:color w:val="auto"/>
                <w:sz w:val="18"/>
                <w:szCs w:val="18"/>
                <w:highlight w:val="none"/>
              </w:rPr>
            </w:pPr>
          </w:p>
        </w:tc>
        <w:tc>
          <w:tcPr>
            <w:tcW w:w="1414" w:type="dxa"/>
            <w:noWrap w:val="0"/>
            <w:vAlign w:val="center"/>
          </w:tcPr>
          <w:p w14:paraId="0A9F3285">
            <w:pPr>
              <w:jc w:val="center"/>
              <w:rPr>
                <w:rFonts w:ascii="宋体" w:hAnsi="宋体" w:cs="宋体"/>
                <w:color w:val="auto"/>
                <w:sz w:val="18"/>
                <w:szCs w:val="18"/>
                <w:highlight w:val="none"/>
              </w:rPr>
            </w:pPr>
            <w:r>
              <w:rPr>
                <w:rFonts w:hint="eastAsia" w:ascii="宋体" w:hAnsi="宋体" w:cs="宋体"/>
                <w:color w:val="auto"/>
                <w:sz w:val="18"/>
                <w:szCs w:val="18"/>
                <w:highlight w:val="none"/>
              </w:rPr>
              <w:t>安全投入内容</w:t>
            </w:r>
          </w:p>
        </w:tc>
        <w:tc>
          <w:tcPr>
            <w:tcW w:w="2827" w:type="dxa"/>
            <w:noWrap w:val="0"/>
            <w:vAlign w:val="center"/>
          </w:tcPr>
          <w:p w14:paraId="497D761B">
            <w:pPr>
              <w:jc w:val="center"/>
              <w:rPr>
                <w:rFonts w:ascii="宋体" w:hAnsi="宋体" w:cs="宋体"/>
                <w:color w:val="auto"/>
                <w:sz w:val="18"/>
                <w:szCs w:val="18"/>
                <w:highlight w:val="none"/>
              </w:rPr>
            </w:pPr>
          </w:p>
        </w:tc>
      </w:tr>
      <w:tr w14:paraId="11E40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1223" w:hRule="atLeast"/>
          <w:jc w:val="center"/>
        </w:trPr>
        <w:tc>
          <w:tcPr>
            <w:tcW w:w="9036" w:type="dxa"/>
            <w:gridSpan w:val="5"/>
            <w:noWrap w:val="0"/>
            <w:vAlign w:val="top"/>
          </w:tcPr>
          <w:p w14:paraId="7783E533">
            <w:pPr>
              <w:rPr>
                <w:rFonts w:ascii="宋体" w:hAnsi="宋体" w:cs="宋体"/>
                <w:color w:val="auto"/>
                <w:sz w:val="18"/>
                <w:szCs w:val="18"/>
                <w:highlight w:val="none"/>
              </w:rPr>
            </w:pPr>
            <w:r>
              <w:rPr>
                <w:rFonts w:hint="eastAsia" w:ascii="宋体" w:hAnsi="宋体" w:cs="宋体"/>
                <w:color w:val="auto"/>
                <w:sz w:val="18"/>
                <w:szCs w:val="18"/>
                <w:highlight w:val="none"/>
              </w:rPr>
              <w:t>施工依据：</w:t>
            </w:r>
          </w:p>
        </w:tc>
      </w:tr>
      <w:tr w14:paraId="4A6BC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7001" w:hRule="atLeast"/>
          <w:jc w:val="center"/>
        </w:trPr>
        <w:tc>
          <w:tcPr>
            <w:tcW w:w="9036" w:type="dxa"/>
            <w:gridSpan w:val="5"/>
            <w:noWrap w:val="0"/>
            <w:vAlign w:val="top"/>
          </w:tcPr>
          <w:p w14:paraId="24714958">
            <w:pPr>
              <w:rPr>
                <w:rFonts w:ascii="宋体" w:hAnsi="宋体" w:cs="宋体"/>
                <w:color w:val="auto"/>
                <w:sz w:val="18"/>
                <w:szCs w:val="18"/>
                <w:highlight w:val="none"/>
                <w:lang w:eastAsia="zh-CN"/>
              </w:rPr>
            </w:pPr>
            <w:r>
              <w:rPr>
                <w:rFonts w:hint="eastAsia" w:ascii="宋体" w:hAnsi="宋体" w:cs="宋体"/>
                <w:color w:val="auto"/>
                <w:sz w:val="18"/>
                <w:szCs w:val="18"/>
                <w:highlight w:val="none"/>
                <w:lang w:eastAsia="zh-CN"/>
              </w:rPr>
              <w:t>现场确认内容及工程量：（附件：计量依据、工程量计算过程及附图）</w:t>
            </w:r>
          </w:p>
        </w:tc>
      </w:tr>
      <w:tr w14:paraId="7A4AF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1184" w:hRule="atLeast"/>
          <w:jc w:val="center"/>
        </w:trPr>
        <w:tc>
          <w:tcPr>
            <w:tcW w:w="4518" w:type="dxa"/>
            <w:gridSpan w:val="2"/>
            <w:noWrap w:val="0"/>
            <w:vAlign w:val="top"/>
          </w:tcPr>
          <w:p w14:paraId="757E4380">
            <w:pPr>
              <w:rPr>
                <w:rFonts w:ascii="宋体" w:hAnsi="宋体" w:cs="宋体"/>
                <w:color w:val="auto"/>
                <w:sz w:val="18"/>
                <w:szCs w:val="18"/>
                <w:highlight w:val="none"/>
                <w:lang w:eastAsia="zh-CN"/>
              </w:rPr>
            </w:pPr>
            <w:r>
              <w:rPr>
                <w:rFonts w:hint="eastAsia" w:ascii="宋体" w:hAnsi="宋体" w:cs="宋体"/>
                <w:color w:val="auto"/>
                <w:sz w:val="18"/>
                <w:szCs w:val="18"/>
                <w:highlight w:val="none"/>
                <w:lang w:eastAsia="zh-CN"/>
              </w:rPr>
              <w:t>施工单位：</w:t>
            </w:r>
          </w:p>
          <w:p w14:paraId="2B84A2C6">
            <w:pPr>
              <w:rPr>
                <w:rFonts w:ascii="宋体" w:hAnsi="宋体" w:cs="宋体"/>
                <w:color w:val="auto"/>
                <w:sz w:val="18"/>
                <w:szCs w:val="18"/>
                <w:highlight w:val="none"/>
                <w:lang w:eastAsia="zh-CN"/>
              </w:rPr>
            </w:pPr>
          </w:p>
          <w:p w14:paraId="14A4854E">
            <w:pPr>
              <w:rPr>
                <w:rFonts w:ascii="宋体" w:hAnsi="宋体" w:cs="宋体"/>
                <w:color w:val="auto"/>
                <w:sz w:val="18"/>
                <w:szCs w:val="18"/>
                <w:highlight w:val="none"/>
                <w:lang w:eastAsia="zh-CN"/>
              </w:rPr>
            </w:pPr>
            <w:r>
              <w:rPr>
                <w:rFonts w:hint="eastAsia" w:ascii="宋体" w:hAnsi="宋体" w:cs="宋体"/>
                <w:color w:val="auto"/>
                <w:sz w:val="18"/>
                <w:szCs w:val="18"/>
                <w:highlight w:val="none"/>
                <w:lang w:eastAsia="zh-CN"/>
              </w:rPr>
              <w:t>签字：</w:t>
            </w:r>
          </w:p>
          <w:p w14:paraId="0F42B1ED">
            <w:pPr>
              <w:rPr>
                <w:rFonts w:ascii="宋体" w:hAnsi="宋体" w:cs="宋体"/>
                <w:color w:val="auto"/>
                <w:sz w:val="18"/>
                <w:szCs w:val="18"/>
                <w:highlight w:val="none"/>
                <w:lang w:eastAsia="zh-CN"/>
              </w:rPr>
            </w:pPr>
          </w:p>
          <w:p w14:paraId="20DE587C">
            <w:pPr>
              <w:rPr>
                <w:rFonts w:ascii="宋体" w:hAnsi="宋体" w:cs="宋体"/>
                <w:color w:val="auto"/>
                <w:sz w:val="18"/>
                <w:szCs w:val="18"/>
                <w:highlight w:val="none"/>
                <w:lang w:eastAsia="zh-CN"/>
              </w:rPr>
            </w:pPr>
            <w:r>
              <w:rPr>
                <w:rFonts w:hint="eastAsia" w:ascii="宋体" w:hAnsi="宋体" w:cs="宋体"/>
                <w:color w:val="auto"/>
                <w:sz w:val="18"/>
                <w:szCs w:val="18"/>
                <w:highlight w:val="none"/>
                <w:lang w:eastAsia="zh-CN"/>
              </w:rPr>
              <w:t xml:space="preserve">                                 年  月  日</w:t>
            </w:r>
          </w:p>
        </w:tc>
        <w:tc>
          <w:tcPr>
            <w:tcW w:w="4518" w:type="dxa"/>
            <w:gridSpan w:val="3"/>
            <w:noWrap w:val="0"/>
            <w:vAlign w:val="top"/>
          </w:tcPr>
          <w:p w14:paraId="35E02A89">
            <w:pPr>
              <w:rPr>
                <w:rFonts w:ascii="宋体" w:hAnsi="宋体" w:cs="宋体"/>
                <w:color w:val="auto"/>
                <w:sz w:val="18"/>
                <w:szCs w:val="18"/>
                <w:highlight w:val="none"/>
                <w:lang w:eastAsia="zh-CN"/>
              </w:rPr>
            </w:pPr>
            <w:r>
              <w:rPr>
                <w:rFonts w:hint="eastAsia" w:ascii="宋体" w:hAnsi="宋体" w:cs="宋体"/>
                <w:color w:val="auto"/>
                <w:sz w:val="18"/>
                <w:szCs w:val="18"/>
                <w:highlight w:val="none"/>
                <w:lang w:eastAsia="zh-CN"/>
              </w:rPr>
              <w:t>监理单位：</w:t>
            </w:r>
          </w:p>
          <w:p w14:paraId="1247AF1F">
            <w:pPr>
              <w:rPr>
                <w:rFonts w:ascii="宋体" w:hAnsi="宋体" w:cs="宋体"/>
                <w:color w:val="auto"/>
                <w:sz w:val="18"/>
                <w:szCs w:val="18"/>
                <w:highlight w:val="none"/>
                <w:lang w:eastAsia="zh-CN"/>
              </w:rPr>
            </w:pPr>
          </w:p>
          <w:p w14:paraId="5E665264">
            <w:pPr>
              <w:rPr>
                <w:rFonts w:ascii="宋体" w:hAnsi="宋体" w:cs="宋体"/>
                <w:color w:val="auto"/>
                <w:sz w:val="18"/>
                <w:szCs w:val="18"/>
                <w:highlight w:val="none"/>
                <w:lang w:eastAsia="zh-CN"/>
              </w:rPr>
            </w:pPr>
            <w:r>
              <w:rPr>
                <w:rFonts w:hint="eastAsia" w:ascii="宋体" w:hAnsi="宋体" w:cs="宋体"/>
                <w:color w:val="auto"/>
                <w:sz w:val="18"/>
                <w:szCs w:val="18"/>
                <w:highlight w:val="none"/>
                <w:lang w:eastAsia="zh-CN"/>
              </w:rPr>
              <w:t>签字：</w:t>
            </w:r>
          </w:p>
          <w:p w14:paraId="5F1F688D">
            <w:pPr>
              <w:rPr>
                <w:rFonts w:ascii="宋体" w:hAnsi="宋体" w:cs="宋体"/>
                <w:color w:val="auto"/>
                <w:sz w:val="18"/>
                <w:szCs w:val="18"/>
                <w:highlight w:val="none"/>
                <w:lang w:eastAsia="zh-CN"/>
              </w:rPr>
            </w:pPr>
          </w:p>
          <w:p w14:paraId="18CF8C6E">
            <w:pPr>
              <w:ind w:firstLine="3060" w:firstLineChars="1700"/>
              <w:rPr>
                <w:rFonts w:ascii="宋体" w:hAnsi="宋体" w:cs="宋体"/>
                <w:color w:val="auto"/>
                <w:sz w:val="18"/>
                <w:szCs w:val="18"/>
                <w:highlight w:val="none"/>
                <w:lang w:eastAsia="zh-CN"/>
              </w:rPr>
            </w:pPr>
            <w:r>
              <w:rPr>
                <w:rFonts w:hint="eastAsia" w:ascii="宋体" w:hAnsi="宋体" w:cs="宋体"/>
                <w:color w:val="auto"/>
                <w:sz w:val="18"/>
                <w:szCs w:val="18"/>
                <w:highlight w:val="none"/>
                <w:lang w:eastAsia="zh-CN"/>
              </w:rPr>
              <w:t>年  月  日</w:t>
            </w:r>
          </w:p>
        </w:tc>
      </w:tr>
    </w:tbl>
    <w:p w14:paraId="47A20A46">
      <w:pPr>
        <w:ind w:firstLine="360" w:firstLineChars="200"/>
        <w:rPr>
          <w:rFonts w:ascii="宋体" w:hAnsi="宋体" w:cs="宋体"/>
          <w:color w:val="auto"/>
          <w:sz w:val="18"/>
          <w:szCs w:val="18"/>
          <w:highlight w:val="none"/>
          <w:lang w:eastAsia="zh-CN"/>
        </w:rPr>
      </w:pPr>
      <w:r>
        <w:rPr>
          <w:rFonts w:hint="eastAsia" w:ascii="宋体" w:hAnsi="宋体" w:cs="宋体"/>
          <w:color w:val="auto"/>
          <w:sz w:val="18"/>
          <w:szCs w:val="18"/>
          <w:highlight w:val="none"/>
          <w:lang w:eastAsia="zh-CN"/>
        </w:rPr>
        <w:t>说明：本表仅对施工单位已完成质量合格工程量的确认，工程计量按合同条款执行</w:t>
      </w:r>
    </w:p>
    <w:p w14:paraId="079AEF92">
      <w:pPr>
        <w:rPr>
          <w:rFonts w:ascii="宋体" w:hAnsi="宋体" w:cs="宋体"/>
          <w:color w:val="auto"/>
          <w:highlight w:val="none"/>
          <w:lang w:eastAsia="zh-CN"/>
        </w:rPr>
      </w:pPr>
    </w:p>
    <w:p w14:paraId="797C153C">
      <w:pPr>
        <w:rPr>
          <w:rFonts w:ascii="宋体" w:hAnsi="宋体" w:cs="宋体"/>
          <w:color w:val="auto"/>
          <w:highlight w:val="none"/>
          <w:lang w:eastAsia="zh-CN"/>
        </w:rPr>
        <w:sectPr>
          <w:pgSz w:w="11906" w:h="16838"/>
          <w:pgMar w:top="1440" w:right="1418" w:bottom="1440" w:left="1418" w:header="851" w:footer="992" w:gutter="0"/>
          <w:cols w:space="720" w:num="1"/>
          <w:docGrid w:linePitch="312" w:charSpace="0"/>
        </w:sectPr>
      </w:pPr>
    </w:p>
    <w:p w14:paraId="797E7C59">
      <w:pPr>
        <w:ind w:firstLine="1600" w:firstLineChars="500"/>
        <w:rPr>
          <w:rFonts w:ascii="宋体" w:hAnsi="宋体" w:cs="宋体"/>
          <w:color w:val="auto"/>
          <w:sz w:val="32"/>
          <w:szCs w:val="32"/>
          <w:highlight w:val="none"/>
          <w:lang w:eastAsia="zh-CN"/>
        </w:rPr>
      </w:pPr>
      <w:r>
        <w:rPr>
          <w:rFonts w:hint="eastAsia" w:ascii="宋体" w:hAnsi="宋体" w:cs="宋体"/>
          <w:color w:val="auto"/>
          <w:sz w:val="32"/>
          <w:szCs w:val="32"/>
          <w:highlight w:val="none"/>
          <w:lang w:eastAsia="zh-CN"/>
        </w:rPr>
        <w:t>附</w:t>
      </w:r>
      <w:r>
        <w:rPr>
          <w:rFonts w:hint="eastAsia" w:ascii="宋体" w:hAnsi="宋体" w:cs="宋体"/>
          <w:color w:val="auto"/>
          <w:spacing w:val="12"/>
          <w:kern w:val="10"/>
          <w:sz w:val="32"/>
          <w:szCs w:val="32"/>
          <w:highlight w:val="none"/>
          <w:lang w:eastAsia="zh-CN"/>
        </w:rPr>
        <w:t>表</w:t>
      </w:r>
      <w:r>
        <w:rPr>
          <w:rFonts w:hint="eastAsia" w:ascii="宋体" w:hAnsi="宋体" w:cs="宋体"/>
          <w:color w:val="auto"/>
          <w:sz w:val="32"/>
          <w:szCs w:val="32"/>
          <w:highlight w:val="none"/>
          <w:lang w:eastAsia="zh-CN"/>
        </w:rPr>
        <w:t>7</w:t>
      </w:r>
    </w:p>
    <w:p w14:paraId="7568F1E9">
      <w:pPr>
        <w:jc w:val="center"/>
        <w:rPr>
          <w:rFonts w:ascii="宋体" w:hAnsi="宋体" w:cs="宋体"/>
          <w:b/>
          <w:color w:val="auto"/>
          <w:highlight w:val="none"/>
          <w:lang w:eastAsia="zh-CN"/>
        </w:rPr>
      </w:pPr>
      <w:r>
        <w:rPr>
          <w:rFonts w:hint="eastAsia" w:ascii="宋体" w:hAnsi="宋体" w:cs="宋体"/>
          <w:b/>
          <w:color w:val="auto"/>
          <w:highlight w:val="none"/>
          <w:lang w:eastAsia="zh-CN"/>
        </w:rPr>
        <w:t>安全文明措施费使用审查表</w:t>
      </w:r>
    </w:p>
    <w:p w14:paraId="54EF8C08">
      <w:pPr>
        <w:ind w:firstLine="1680" w:firstLineChars="700"/>
        <w:rPr>
          <w:rFonts w:ascii="宋体" w:hAnsi="宋体" w:cs="宋体"/>
          <w:bCs/>
          <w:color w:val="auto"/>
          <w:highlight w:val="none"/>
          <w:lang w:eastAsia="zh-CN"/>
        </w:rPr>
      </w:pPr>
      <w:r>
        <w:rPr>
          <w:rFonts w:hint="eastAsia" w:ascii="宋体" w:hAnsi="宋体" w:cs="宋体"/>
          <w:bCs/>
          <w:color w:val="auto"/>
          <w:highlight w:val="none"/>
          <w:lang w:eastAsia="zh-CN"/>
        </w:rPr>
        <w:t>工程名称：                                       合同号：                                       制表日期：      年   月   日</w:t>
      </w:r>
    </w:p>
    <w:tbl>
      <w:tblPr>
        <w:tblStyle w:val="44"/>
        <w:tblW w:w="0" w:type="auto"/>
        <w:jc w:val="right"/>
        <w:tblLayout w:type="fixed"/>
        <w:tblCellMar>
          <w:top w:w="0" w:type="dxa"/>
          <w:left w:w="108" w:type="dxa"/>
          <w:bottom w:w="0" w:type="dxa"/>
          <w:right w:w="108" w:type="dxa"/>
        </w:tblCellMar>
      </w:tblPr>
      <w:tblGrid>
        <w:gridCol w:w="704"/>
        <w:gridCol w:w="3544"/>
        <w:gridCol w:w="4311"/>
        <w:gridCol w:w="1985"/>
        <w:gridCol w:w="1701"/>
        <w:gridCol w:w="1445"/>
      </w:tblGrid>
      <w:tr w14:paraId="0C93BC26">
        <w:tblPrEx>
          <w:tblCellMar>
            <w:top w:w="0" w:type="dxa"/>
            <w:left w:w="108" w:type="dxa"/>
            <w:bottom w:w="0" w:type="dxa"/>
            <w:right w:w="108" w:type="dxa"/>
          </w:tblCellMar>
        </w:tblPrEx>
        <w:trPr>
          <w:trHeight w:val="384" w:hRule="atLeast"/>
          <w:tblHeader/>
          <w:jc w:val="right"/>
        </w:trPr>
        <w:tc>
          <w:tcPr>
            <w:tcW w:w="704" w:type="dxa"/>
            <w:tcBorders>
              <w:top w:val="single" w:color="auto" w:sz="4" w:space="0"/>
              <w:left w:val="single" w:color="auto" w:sz="4" w:space="0"/>
              <w:bottom w:val="single" w:color="auto" w:sz="4" w:space="0"/>
              <w:right w:val="single" w:color="auto" w:sz="4" w:space="0"/>
            </w:tcBorders>
            <w:noWrap w:val="0"/>
            <w:vAlign w:val="center"/>
          </w:tcPr>
          <w:p w14:paraId="7DA1280A">
            <w:pPr>
              <w:jc w:val="center"/>
              <w:rPr>
                <w:rFonts w:ascii="宋体" w:hAnsi="宋体" w:cs="宋体"/>
                <w:color w:val="auto"/>
                <w:highlight w:val="none"/>
              </w:rPr>
            </w:pPr>
            <w:r>
              <w:rPr>
                <w:rFonts w:hint="eastAsia" w:ascii="宋体" w:hAnsi="宋体" w:cs="宋体"/>
                <w:color w:val="auto"/>
                <w:highlight w:val="none"/>
              </w:rPr>
              <w:t>序号</w:t>
            </w:r>
          </w:p>
        </w:tc>
        <w:tc>
          <w:tcPr>
            <w:tcW w:w="3544" w:type="dxa"/>
            <w:tcBorders>
              <w:top w:val="single" w:color="auto" w:sz="4" w:space="0"/>
              <w:left w:val="nil"/>
              <w:bottom w:val="single" w:color="auto" w:sz="4" w:space="0"/>
              <w:right w:val="single" w:color="auto" w:sz="4" w:space="0"/>
            </w:tcBorders>
            <w:noWrap w:val="0"/>
            <w:vAlign w:val="center"/>
          </w:tcPr>
          <w:p w14:paraId="4D8FCBEC">
            <w:pPr>
              <w:jc w:val="center"/>
              <w:rPr>
                <w:rFonts w:ascii="宋体" w:hAnsi="宋体" w:cs="宋体"/>
                <w:color w:val="auto"/>
                <w:highlight w:val="none"/>
              </w:rPr>
            </w:pPr>
            <w:r>
              <w:rPr>
                <w:rFonts w:hint="eastAsia" w:ascii="宋体" w:hAnsi="宋体" w:cs="宋体"/>
                <w:color w:val="auto"/>
                <w:highlight w:val="none"/>
              </w:rPr>
              <w:t>项目名称</w:t>
            </w:r>
          </w:p>
        </w:tc>
        <w:tc>
          <w:tcPr>
            <w:tcW w:w="4311" w:type="dxa"/>
            <w:tcBorders>
              <w:top w:val="single" w:color="auto" w:sz="4" w:space="0"/>
              <w:left w:val="nil"/>
              <w:bottom w:val="single" w:color="auto" w:sz="4" w:space="0"/>
              <w:right w:val="single" w:color="auto" w:sz="4" w:space="0"/>
            </w:tcBorders>
            <w:noWrap w:val="0"/>
            <w:vAlign w:val="center"/>
          </w:tcPr>
          <w:p w14:paraId="33877463">
            <w:pPr>
              <w:jc w:val="center"/>
              <w:rPr>
                <w:rFonts w:ascii="宋体" w:hAnsi="宋体" w:cs="宋体"/>
                <w:color w:val="auto"/>
                <w:highlight w:val="none"/>
                <w:lang w:eastAsia="zh-CN"/>
              </w:rPr>
            </w:pPr>
            <w:r>
              <w:rPr>
                <w:rFonts w:hint="eastAsia" w:ascii="宋体" w:hAnsi="宋体" w:cs="宋体"/>
                <w:color w:val="auto"/>
                <w:highlight w:val="none"/>
                <w:lang w:eastAsia="zh-CN"/>
              </w:rPr>
              <w:t>本期安全工作开展情况及费用支出情况</w:t>
            </w:r>
          </w:p>
        </w:tc>
        <w:tc>
          <w:tcPr>
            <w:tcW w:w="1985" w:type="dxa"/>
            <w:tcBorders>
              <w:top w:val="single" w:color="auto" w:sz="4" w:space="0"/>
              <w:left w:val="nil"/>
              <w:bottom w:val="single" w:color="auto" w:sz="4" w:space="0"/>
              <w:right w:val="single" w:color="auto" w:sz="4" w:space="0"/>
            </w:tcBorders>
            <w:noWrap w:val="0"/>
            <w:vAlign w:val="center"/>
          </w:tcPr>
          <w:p w14:paraId="5654BDE0">
            <w:pPr>
              <w:jc w:val="center"/>
              <w:rPr>
                <w:rFonts w:ascii="宋体" w:hAnsi="宋体" w:cs="宋体"/>
                <w:color w:val="auto"/>
                <w:highlight w:val="none"/>
              </w:rPr>
            </w:pPr>
            <w:r>
              <w:rPr>
                <w:rFonts w:hint="eastAsia" w:ascii="宋体" w:hAnsi="宋体" w:cs="宋体"/>
                <w:color w:val="auto"/>
                <w:highlight w:val="none"/>
              </w:rPr>
              <w:t>审核支出(元)</w:t>
            </w:r>
          </w:p>
        </w:tc>
        <w:tc>
          <w:tcPr>
            <w:tcW w:w="1701" w:type="dxa"/>
            <w:tcBorders>
              <w:top w:val="single" w:color="auto" w:sz="4" w:space="0"/>
              <w:left w:val="nil"/>
              <w:bottom w:val="single" w:color="auto" w:sz="4" w:space="0"/>
              <w:right w:val="single" w:color="auto" w:sz="4" w:space="0"/>
            </w:tcBorders>
            <w:noWrap w:val="0"/>
            <w:vAlign w:val="center"/>
          </w:tcPr>
          <w:p w14:paraId="4B49622E">
            <w:pPr>
              <w:jc w:val="center"/>
              <w:rPr>
                <w:rFonts w:ascii="宋体" w:hAnsi="宋体" w:cs="宋体"/>
                <w:color w:val="auto"/>
                <w:highlight w:val="none"/>
              </w:rPr>
            </w:pPr>
            <w:r>
              <w:rPr>
                <w:rFonts w:hint="eastAsia" w:ascii="宋体" w:hAnsi="宋体" w:cs="宋体"/>
                <w:color w:val="auto"/>
                <w:highlight w:val="none"/>
              </w:rPr>
              <w:t>结余情况(元)</w:t>
            </w:r>
          </w:p>
        </w:tc>
        <w:tc>
          <w:tcPr>
            <w:tcW w:w="1445" w:type="dxa"/>
            <w:tcBorders>
              <w:top w:val="single" w:color="auto" w:sz="4" w:space="0"/>
              <w:left w:val="nil"/>
              <w:bottom w:val="single" w:color="auto" w:sz="4" w:space="0"/>
              <w:right w:val="single" w:color="auto" w:sz="4" w:space="0"/>
            </w:tcBorders>
            <w:noWrap w:val="0"/>
            <w:vAlign w:val="center"/>
          </w:tcPr>
          <w:p w14:paraId="2F44C8E4">
            <w:pPr>
              <w:jc w:val="center"/>
              <w:rPr>
                <w:rFonts w:ascii="宋体" w:hAnsi="宋体" w:cs="宋体"/>
                <w:color w:val="auto"/>
                <w:highlight w:val="none"/>
              </w:rPr>
            </w:pPr>
            <w:r>
              <w:rPr>
                <w:rFonts w:hint="eastAsia" w:ascii="宋体" w:hAnsi="宋体" w:cs="宋体"/>
                <w:color w:val="auto"/>
                <w:highlight w:val="none"/>
              </w:rPr>
              <w:t>备  注</w:t>
            </w:r>
          </w:p>
        </w:tc>
      </w:tr>
      <w:tr w14:paraId="7CC1A92C">
        <w:tblPrEx>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noWrap w:val="0"/>
            <w:vAlign w:val="center"/>
          </w:tcPr>
          <w:p w14:paraId="7D959421">
            <w:pPr>
              <w:jc w:val="center"/>
              <w:rPr>
                <w:rFonts w:ascii="宋体" w:hAnsi="宋体" w:cs="宋体"/>
                <w:color w:val="auto"/>
                <w:highlight w:val="none"/>
              </w:rPr>
            </w:pPr>
            <w:r>
              <w:rPr>
                <w:rFonts w:hint="eastAsia" w:ascii="宋体" w:hAnsi="宋体" w:cs="宋体"/>
                <w:color w:val="auto"/>
                <w:highlight w:val="none"/>
              </w:rPr>
              <w:t>1</w:t>
            </w:r>
          </w:p>
        </w:tc>
        <w:tc>
          <w:tcPr>
            <w:tcW w:w="3544" w:type="dxa"/>
            <w:tcBorders>
              <w:top w:val="nil"/>
              <w:left w:val="nil"/>
              <w:bottom w:val="single" w:color="auto" w:sz="4" w:space="0"/>
              <w:right w:val="single" w:color="auto" w:sz="4" w:space="0"/>
            </w:tcBorders>
            <w:noWrap w:val="0"/>
            <w:vAlign w:val="center"/>
          </w:tcPr>
          <w:p w14:paraId="60BAF33F">
            <w:pPr>
              <w:rPr>
                <w:rFonts w:ascii="宋体" w:hAnsi="宋体" w:cs="宋体"/>
                <w:color w:val="auto"/>
                <w:highlight w:val="none"/>
                <w:lang w:eastAsia="zh-CN"/>
              </w:rPr>
            </w:pPr>
            <w:r>
              <w:rPr>
                <w:rFonts w:hint="eastAsia" w:ascii="宋体" w:hAnsi="宋体" w:cs="宋体"/>
                <w:color w:val="auto"/>
                <w:highlight w:val="none"/>
                <w:lang w:eastAsia="zh-CN"/>
              </w:rPr>
              <w:t>完善、改造和维护安全防护设施设备支出</w:t>
            </w:r>
          </w:p>
        </w:tc>
        <w:tc>
          <w:tcPr>
            <w:tcW w:w="4311" w:type="dxa"/>
            <w:tcBorders>
              <w:top w:val="nil"/>
              <w:left w:val="nil"/>
              <w:bottom w:val="single" w:color="auto" w:sz="4" w:space="0"/>
              <w:right w:val="single" w:color="auto" w:sz="4" w:space="0"/>
            </w:tcBorders>
            <w:noWrap w:val="0"/>
            <w:vAlign w:val="center"/>
          </w:tcPr>
          <w:p w14:paraId="5753B1DE">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985" w:type="dxa"/>
            <w:tcBorders>
              <w:top w:val="nil"/>
              <w:left w:val="nil"/>
              <w:bottom w:val="single" w:color="auto" w:sz="4" w:space="0"/>
              <w:right w:val="single" w:color="auto" w:sz="4" w:space="0"/>
            </w:tcBorders>
            <w:noWrap w:val="0"/>
            <w:vAlign w:val="center"/>
          </w:tcPr>
          <w:p w14:paraId="5807AAEB">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701" w:type="dxa"/>
            <w:tcBorders>
              <w:top w:val="nil"/>
              <w:left w:val="nil"/>
              <w:bottom w:val="single" w:color="auto" w:sz="4" w:space="0"/>
              <w:right w:val="single" w:color="auto" w:sz="4" w:space="0"/>
            </w:tcBorders>
            <w:noWrap w:val="0"/>
            <w:vAlign w:val="center"/>
          </w:tcPr>
          <w:p w14:paraId="5EC9C826">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445" w:type="dxa"/>
            <w:tcBorders>
              <w:top w:val="nil"/>
              <w:left w:val="nil"/>
              <w:bottom w:val="single" w:color="auto" w:sz="4" w:space="0"/>
              <w:right w:val="single" w:color="auto" w:sz="4" w:space="0"/>
            </w:tcBorders>
            <w:noWrap w:val="0"/>
            <w:vAlign w:val="center"/>
          </w:tcPr>
          <w:p w14:paraId="76D84E0E">
            <w:pPr>
              <w:jc w:val="center"/>
              <w:rPr>
                <w:rFonts w:ascii="宋体" w:hAnsi="宋体" w:cs="宋体"/>
                <w:color w:val="auto"/>
                <w:highlight w:val="none"/>
                <w:lang w:eastAsia="zh-CN"/>
              </w:rPr>
            </w:pPr>
            <w:r>
              <w:rPr>
                <w:rFonts w:hint="eastAsia" w:ascii="宋体" w:hAnsi="宋体" w:cs="宋体"/>
                <w:color w:val="auto"/>
                <w:highlight w:val="none"/>
                <w:lang w:eastAsia="zh-CN"/>
              </w:rPr>
              <w:t>　</w:t>
            </w:r>
          </w:p>
        </w:tc>
      </w:tr>
      <w:tr w14:paraId="1F624393">
        <w:tblPrEx>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noWrap w:val="0"/>
            <w:vAlign w:val="center"/>
          </w:tcPr>
          <w:p w14:paraId="20878D18">
            <w:pPr>
              <w:jc w:val="center"/>
              <w:rPr>
                <w:rFonts w:ascii="宋体" w:hAnsi="宋体" w:cs="宋体"/>
                <w:color w:val="auto"/>
                <w:highlight w:val="none"/>
              </w:rPr>
            </w:pPr>
            <w:r>
              <w:rPr>
                <w:rFonts w:hint="eastAsia" w:ascii="宋体" w:hAnsi="宋体" w:cs="宋体"/>
                <w:color w:val="auto"/>
                <w:highlight w:val="none"/>
              </w:rPr>
              <w:t>2</w:t>
            </w:r>
          </w:p>
        </w:tc>
        <w:tc>
          <w:tcPr>
            <w:tcW w:w="3544" w:type="dxa"/>
            <w:tcBorders>
              <w:top w:val="nil"/>
              <w:left w:val="nil"/>
              <w:bottom w:val="single" w:color="auto" w:sz="4" w:space="0"/>
              <w:right w:val="single" w:color="auto" w:sz="4" w:space="0"/>
            </w:tcBorders>
            <w:noWrap w:val="0"/>
            <w:vAlign w:val="center"/>
          </w:tcPr>
          <w:p w14:paraId="5B94ADD8">
            <w:pPr>
              <w:rPr>
                <w:rFonts w:ascii="宋体" w:hAnsi="宋体" w:cs="宋体"/>
                <w:color w:val="auto"/>
                <w:highlight w:val="none"/>
                <w:lang w:eastAsia="zh-CN"/>
              </w:rPr>
            </w:pPr>
            <w:r>
              <w:rPr>
                <w:rFonts w:hint="eastAsia" w:ascii="宋体" w:hAnsi="宋体" w:cs="宋体"/>
                <w:color w:val="auto"/>
                <w:highlight w:val="none"/>
                <w:lang w:eastAsia="zh-CN"/>
              </w:rPr>
              <w:t>配备、维护、保养应急救援器材、设备支出和应急救援队伍建设与应急演练支出</w:t>
            </w:r>
          </w:p>
        </w:tc>
        <w:tc>
          <w:tcPr>
            <w:tcW w:w="4311" w:type="dxa"/>
            <w:tcBorders>
              <w:top w:val="nil"/>
              <w:left w:val="nil"/>
              <w:bottom w:val="single" w:color="auto" w:sz="4" w:space="0"/>
              <w:right w:val="single" w:color="auto" w:sz="4" w:space="0"/>
            </w:tcBorders>
            <w:noWrap w:val="0"/>
            <w:vAlign w:val="center"/>
          </w:tcPr>
          <w:p w14:paraId="2A0B3560">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985" w:type="dxa"/>
            <w:tcBorders>
              <w:top w:val="nil"/>
              <w:left w:val="nil"/>
              <w:bottom w:val="single" w:color="auto" w:sz="4" w:space="0"/>
              <w:right w:val="single" w:color="auto" w:sz="4" w:space="0"/>
            </w:tcBorders>
            <w:noWrap w:val="0"/>
            <w:vAlign w:val="center"/>
          </w:tcPr>
          <w:p w14:paraId="71BA6E2B">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701" w:type="dxa"/>
            <w:tcBorders>
              <w:top w:val="nil"/>
              <w:left w:val="nil"/>
              <w:bottom w:val="single" w:color="auto" w:sz="4" w:space="0"/>
              <w:right w:val="single" w:color="auto" w:sz="4" w:space="0"/>
            </w:tcBorders>
            <w:noWrap w:val="0"/>
            <w:vAlign w:val="center"/>
          </w:tcPr>
          <w:p w14:paraId="44E5FA2F">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445" w:type="dxa"/>
            <w:tcBorders>
              <w:top w:val="nil"/>
              <w:left w:val="nil"/>
              <w:bottom w:val="single" w:color="auto" w:sz="4" w:space="0"/>
              <w:right w:val="single" w:color="auto" w:sz="4" w:space="0"/>
            </w:tcBorders>
            <w:noWrap w:val="0"/>
            <w:vAlign w:val="center"/>
          </w:tcPr>
          <w:p w14:paraId="431B5928">
            <w:pPr>
              <w:jc w:val="center"/>
              <w:rPr>
                <w:rFonts w:ascii="宋体" w:hAnsi="宋体" w:cs="宋体"/>
                <w:color w:val="auto"/>
                <w:highlight w:val="none"/>
                <w:lang w:eastAsia="zh-CN"/>
              </w:rPr>
            </w:pPr>
            <w:r>
              <w:rPr>
                <w:rFonts w:hint="eastAsia" w:ascii="宋体" w:hAnsi="宋体" w:cs="宋体"/>
                <w:color w:val="auto"/>
                <w:highlight w:val="none"/>
                <w:lang w:eastAsia="zh-CN"/>
              </w:rPr>
              <w:t>　</w:t>
            </w:r>
          </w:p>
        </w:tc>
      </w:tr>
      <w:tr w14:paraId="3894DD83">
        <w:tblPrEx>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noWrap w:val="0"/>
            <w:vAlign w:val="center"/>
          </w:tcPr>
          <w:p w14:paraId="75721219">
            <w:pPr>
              <w:jc w:val="center"/>
              <w:rPr>
                <w:rFonts w:ascii="宋体" w:hAnsi="宋体" w:cs="宋体"/>
                <w:color w:val="auto"/>
                <w:highlight w:val="none"/>
              </w:rPr>
            </w:pPr>
            <w:r>
              <w:rPr>
                <w:rFonts w:hint="eastAsia" w:ascii="宋体" w:hAnsi="宋体" w:cs="宋体"/>
                <w:color w:val="auto"/>
                <w:highlight w:val="none"/>
              </w:rPr>
              <w:t>3</w:t>
            </w:r>
          </w:p>
        </w:tc>
        <w:tc>
          <w:tcPr>
            <w:tcW w:w="3544" w:type="dxa"/>
            <w:tcBorders>
              <w:top w:val="nil"/>
              <w:left w:val="nil"/>
              <w:bottom w:val="single" w:color="auto" w:sz="4" w:space="0"/>
              <w:right w:val="single" w:color="auto" w:sz="4" w:space="0"/>
            </w:tcBorders>
            <w:noWrap w:val="0"/>
            <w:vAlign w:val="center"/>
          </w:tcPr>
          <w:p w14:paraId="07B3191E">
            <w:pPr>
              <w:rPr>
                <w:rFonts w:ascii="宋体" w:hAnsi="宋体" w:cs="宋体"/>
                <w:color w:val="auto"/>
                <w:highlight w:val="none"/>
                <w:lang w:eastAsia="zh-CN"/>
              </w:rPr>
            </w:pPr>
            <w:r>
              <w:rPr>
                <w:rFonts w:hint="eastAsia" w:ascii="宋体" w:hAnsi="宋体" w:cs="宋体"/>
                <w:color w:val="auto"/>
                <w:highlight w:val="none"/>
                <w:lang w:eastAsia="zh-CN"/>
              </w:rPr>
              <w:t>开展重大危险源和事故隐患评估、监测监控和整改支出</w:t>
            </w:r>
          </w:p>
        </w:tc>
        <w:tc>
          <w:tcPr>
            <w:tcW w:w="4311" w:type="dxa"/>
            <w:tcBorders>
              <w:top w:val="nil"/>
              <w:left w:val="nil"/>
              <w:bottom w:val="single" w:color="auto" w:sz="4" w:space="0"/>
              <w:right w:val="single" w:color="auto" w:sz="4" w:space="0"/>
            </w:tcBorders>
            <w:noWrap w:val="0"/>
            <w:vAlign w:val="center"/>
          </w:tcPr>
          <w:p w14:paraId="3F18A9DE">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985" w:type="dxa"/>
            <w:tcBorders>
              <w:top w:val="nil"/>
              <w:left w:val="nil"/>
              <w:bottom w:val="single" w:color="auto" w:sz="4" w:space="0"/>
              <w:right w:val="single" w:color="auto" w:sz="4" w:space="0"/>
            </w:tcBorders>
            <w:noWrap w:val="0"/>
            <w:vAlign w:val="center"/>
          </w:tcPr>
          <w:p w14:paraId="70F99617">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701" w:type="dxa"/>
            <w:tcBorders>
              <w:top w:val="nil"/>
              <w:left w:val="nil"/>
              <w:bottom w:val="single" w:color="auto" w:sz="4" w:space="0"/>
              <w:right w:val="single" w:color="auto" w:sz="4" w:space="0"/>
            </w:tcBorders>
            <w:noWrap w:val="0"/>
            <w:vAlign w:val="center"/>
          </w:tcPr>
          <w:p w14:paraId="15AA5B7D">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445" w:type="dxa"/>
            <w:tcBorders>
              <w:top w:val="nil"/>
              <w:left w:val="nil"/>
              <w:bottom w:val="single" w:color="auto" w:sz="4" w:space="0"/>
              <w:right w:val="single" w:color="auto" w:sz="4" w:space="0"/>
            </w:tcBorders>
            <w:noWrap w:val="0"/>
            <w:vAlign w:val="center"/>
          </w:tcPr>
          <w:p w14:paraId="28126AE6">
            <w:pPr>
              <w:jc w:val="center"/>
              <w:rPr>
                <w:rFonts w:ascii="宋体" w:hAnsi="宋体" w:cs="宋体"/>
                <w:color w:val="auto"/>
                <w:highlight w:val="none"/>
                <w:lang w:eastAsia="zh-CN"/>
              </w:rPr>
            </w:pPr>
            <w:r>
              <w:rPr>
                <w:rFonts w:hint="eastAsia" w:ascii="宋体" w:hAnsi="宋体" w:cs="宋体"/>
                <w:color w:val="auto"/>
                <w:highlight w:val="none"/>
                <w:lang w:eastAsia="zh-CN"/>
              </w:rPr>
              <w:t>　</w:t>
            </w:r>
          </w:p>
        </w:tc>
      </w:tr>
      <w:tr w14:paraId="5B92AC41">
        <w:tblPrEx>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noWrap w:val="0"/>
            <w:vAlign w:val="center"/>
          </w:tcPr>
          <w:p w14:paraId="2122EC42">
            <w:pPr>
              <w:jc w:val="center"/>
              <w:rPr>
                <w:rFonts w:ascii="宋体" w:hAnsi="宋体" w:cs="宋体"/>
                <w:color w:val="auto"/>
                <w:highlight w:val="none"/>
              </w:rPr>
            </w:pPr>
            <w:r>
              <w:rPr>
                <w:rFonts w:hint="eastAsia" w:ascii="宋体" w:hAnsi="宋体" w:cs="宋体"/>
                <w:color w:val="auto"/>
                <w:highlight w:val="none"/>
              </w:rPr>
              <w:t>4</w:t>
            </w:r>
          </w:p>
        </w:tc>
        <w:tc>
          <w:tcPr>
            <w:tcW w:w="3544" w:type="dxa"/>
            <w:tcBorders>
              <w:top w:val="nil"/>
              <w:left w:val="nil"/>
              <w:bottom w:val="single" w:color="auto" w:sz="4" w:space="0"/>
              <w:right w:val="single" w:color="auto" w:sz="4" w:space="0"/>
            </w:tcBorders>
            <w:noWrap w:val="0"/>
            <w:vAlign w:val="center"/>
          </w:tcPr>
          <w:p w14:paraId="40336D8F">
            <w:pPr>
              <w:rPr>
                <w:rFonts w:ascii="宋体" w:hAnsi="宋体" w:cs="宋体"/>
                <w:color w:val="auto"/>
                <w:highlight w:val="none"/>
                <w:lang w:eastAsia="zh-CN"/>
              </w:rPr>
            </w:pPr>
            <w:r>
              <w:rPr>
                <w:rFonts w:hint="eastAsia" w:ascii="宋体" w:hAnsi="宋体" w:cs="宋体"/>
                <w:color w:val="auto"/>
                <w:highlight w:val="none"/>
                <w:lang w:eastAsia="zh-CN"/>
              </w:rPr>
              <w:t>安全生产检查、评价（不包括新建、改建、扩建项目安全评价）、咨询和标准化建设支出</w:t>
            </w:r>
          </w:p>
        </w:tc>
        <w:tc>
          <w:tcPr>
            <w:tcW w:w="4311" w:type="dxa"/>
            <w:tcBorders>
              <w:top w:val="nil"/>
              <w:left w:val="nil"/>
              <w:bottom w:val="single" w:color="auto" w:sz="4" w:space="0"/>
              <w:right w:val="single" w:color="auto" w:sz="4" w:space="0"/>
            </w:tcBorders>
            <w:noWrap w:val="0"/>
            <w:vAlign w:val="center"/>
          </w:tcPr>
          <w:p w14:paraId="5A96A878">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985" w:type="dxa"/>
            <w:tcBorders>
              <w:top w:val="nil"/>
              <w:left w:val="nil"/>
              <w:bottom w:val="single" w:color="auto" w:sz="4" w:space="0"/>
              <w:right w:val="single" w:color="auto" w:sz="4" w:space="0"/>
            </w:tcBorders>
            <w:noWrap w:val="0"/>
            <w:vAlign w:val="center"/>
          </w:tcPr>
          <w:p w14:paraId="75EEA7AE">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701" w:type="dxa"/>
            <w:tcBorders>
              <w:top w:val="nil"/>
              <w:left w:val="nil"/>
              <w:bottom w:val="single" w:color="auto" w:sz="4" w:space="0"/>
              <w:right w:val="single" w:color="auto" w:sz="4" w:space="0"/>
            </w:tcBorders>
            <w:noWrap w:val="0"/>
            <w:vAlign w:val="center"/>
          </w:tcPr>
          <w:p w14:paraId="45299201">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445" w:type="dxa"/>
            <w:tcBorders>
              <w:top w:val="nil"/>
              <w:left w:val="nil"/>
              <w:bottom w:val="single" w:color="auto" w:sz="4" w:space="0"/>
              <w:right w:val="single" w:color="auto" w:sz="4" w:space="0"/>
            </w:tcBorders>
            <w:noWrap w:val="0"/>
            <w:vAlign w:val="center"/>
          </w:tcPr>
          <w:p w14:paraId="420F4DFB">
            <w:pPr>
              <w:jc w:val="center"/>
              <w:rPr>
                <w:rFonts w:ascii="宋体" w:hAnsi="宋体" w:cs="宋体"/>
                <w:color w:val="auto"/>
                <w:highlight w:val="none"/>
                <w:lang w:eastAsia="zh-CN"/>
              </w:rPr>
            </w:pPr>
            <w:r>
              <w:rPr>
                <w:rFonts w:hint="eastAsia" w:ascii="宋体" w:hAnsi="宋体" w:cs="宋体"/>
                <w:color w:val="auto"/>
                <w:highlight w:val="none"/>
                <w:lang w:eastAsia="zh-CN"/>
              </w:rPr>
              <w:t>　</w:t>
            </w:r>
          </w:p>
        </w:tc>
      </w:tr>
      <w:tr w14:paraId="6A058B46">
        <w:tblPrEx>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noWrap w:val="0"/>
            <w:vAlign w:val="center"/>
          </w:tcPr>
          <w:p w14:paraId="6C5629CE">
            <w:pPr>
              <w:jc w:val="center"/>
              <w:rPr>
                <w:rFonts w:ascii="宋体" w:hAnsi="宋体" w:cs="宋体"/>
                <w:color w:val="auto"/>
                <w:highlight w:val="none"/>
              </w:rPr>
            </w:pPr>
            <w:r>
              <w:rPr>
                <w:rFonts w:hint="eastAsia" w:ascii="宋体" w:hAnsi="宋体" w:cs="宋体"/>
                <w:color w:val="auto"/>
                <w:highlight w:val="none"/>
              </w:rPr>
              <w:t>5</w:t>
            </w:r>
          </w:p>
        </w:tc>
        <w:tc>
          <w:tcPr>
            <w:tcW w:w="3544" w:type="dxa"/>
            <w:tcBorders>
              <w:top w:val="nil"/>
              <w:left w:val="nil"/>
              <w:bottom w:val="single" w:color="auto" w:sz="4" w:space="0"/>
              <w:right w:val="single" w:color="auto" w:sz="4" w:space="0"/>
            </w:tcBorders>
            <w:noWrap w:val="0"/>
            <w:vAlign w:val="center"/>
          </w:tcPr>
          <w:p w14:paraId="3CC3F577">
            <w:pPr>
              <w:rPr>
                <w:rFonts w:ascii="宋体" w:hAnsi="宋体" w:cs="宋体"/>
                <w:color w:val="auto"/>
                <w:highlight w:val="none"/>
                <w:lang w:eastAsia="zh-CN"/>
              </w:rPr>
            </w:pPr>
            <w:r>
              <w:rPr>
                <w:rFonts w:hint="eastAsia" w:ascii="宋体" w:hAnsi="宋体" w:cs="宋体"/>
                <w:color w:val="auto"/>
                <w:highlight w:val="none"/>
                <w:lang w:eastAsia="zh-CN"/>
              </w:rPr>
              <w:t>配备和更新现场作业人员安全防护用品支出</w:t>
            </w:r>
          </w:p>
        </w:tc>
        <w:tc>
          <w:tcPr>
            <w:tcW w:w="4311" w:type="dxa"/>
            <w:tcBorders>
              <w:top w:val="nil"/>
              <w:left w:val="nil"/>
              <w:bottom w:val="single" w:color="auto" w:sz="4" w:space="0"/>
              <w:right w:val="single" w:color="auto" w:sz="4" w:space="0"/>
            </w:tcBorders>
            <w:noWrap w:val="0"/>
            <w:vAlign w:val="center"/>
          </w:tcPr>
          <w:p w14:paraId="3A19538A">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985" w:type="dxa"/>
            <w:tcBorders>
              <w:top w:val="nil"/>
              <w:left w:val="nil"/>
              <w:bottom w:val="single" w:color="auto" w:sz="4" w:space="0"/>
              <w:right w:val="single" w:color="auto" w:sz="4" w:space="0"/>
            </w:tcBorders>
            <w:noWrap w:val="0"/>
            <w:vAlign w:val="center"/>
          </w:tcPr>
          <w:p w14:paraId="61292063">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701" w:type="dxa"/>
            <w:tcBorders>
              <w:top w:val="nil"/>
              <w:left w:val="nil"/>
              <w:bottom w:val="single" w:color="auto" w:sz="4" w:space="0"/>
              <w:right w:val="single" w:color="auto" w:sz="4" w:space="0"/>
            </w:tcBorders>
            <w:noWrap w:val="0"/>
            <w:vAlign w:val="center"/>
          </w:tcPr>
          <w:p w14:paraId="78BF7E65">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445" w:type="dxa"/>
            <w:tcBorders>
              <w:top w:val="nil"/>
              <w:left w:val="nil"/>
              <w:bottom w:val="single" w:color="auto" w:sz="4" w:space="0"/>
              <w:right w:val="single" w:color="auto" w:sz="4" w:space="0"/>
            </w:tcBorders>
            <w:noWrap w:val="0"/>
            <w:vAlign w:val="center"/>
          </w:tcPr>
          <w:p w14:paraId="6C2B444C">
            <w:pPr>
              <w:jc w:val="center"/>
              <w:rPr>
                <w:rFonts w:ascii="宋体" w:hAnsi="宋体" w:cs="宋体"/>
                <w:color w:val="auto"/>
                <w:highlight w:val="none"/>
                <w:lang w:eastAsia="zh-CN"/>
              </w:rPr>
            </w:pPr>
            <w:r>
              <w:rPr>
                <w:rFonts w:hint="eastAsia" w:ascii="宋体" w:hAnsi="宋体" w:cs="宋体"/>
                <w:color w:val="auto"/>
                <w:highlight w:val="none"/>
                <w:lang w:eastAsia="zh-CN"/>
              </w:rPr>
              <w:t>　</w:t>
            </w:r>
          </w:p>
        </w:tc>
      </w:tr>
      <w:tr w14:paraId="1A306D9E">
        <w:tblPrEx>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noWrap w:val="0"/>
            <w:vAlign w:val="center"/>
          </w:tcPr>
          <w:p w14:paraId="2524692B">
            <w:pPr>
              <w:jc w:val="center"/>
              <w:rPr>
                <w:rFonts w:ascii="宋体" w:hAnsi="宋体" w:cs="宋体"/>
                <w:color w:val="auto"/>
                <w:highlight w:val="none"/>
              </w:rPr>
            </w:pPr>
            <w:r>
              <w:rPr>
                <w:rFonts w:hint="eastAsia" w:ascii="宋体" w:hAnsi="宋体" w:cs="宋体"/>
                <w:color w:val="auto"/>
                <w:highlight w:val="none"/>
              </w:rPr>
              <w:t>6</w:t>
            </w:r>
          </w:p>
        </w:tc>
        <w:tc>
          <w:tcPr>
            <w:tcW w:w="3544" w:type="dxa"/>
            <w:tcBorders>
              <w:top w:val="nil"/>
              <w:left w:val="nil"/>
              <w:bottom w:val="single" w:color="auto" w:sz="4" w:space="0"/>
              <w:right w:val="single" w:color="auto" w:sz="4" w:space="0"/>
            </w:tcBorders>
            <w:noWrap w:val="0"/>
            <w:vAlign w:val="center"/>
          </w:tcPr>
          <w:p w14:paraId="28F4B0B3">
            <w:pPr>
              <w:rPr>
                <w:rFonts w:ascii="宋体" w:hAnsi="宋体" w:cs="宋体"/>
                <w:color w:val="auto"/>
                <w:highlight w:val="none"/>
                <w:lang w:eastAsia="zh-CN"/>
              </w:rPr>
            </w:pPr>
            <w:r>
              <w:rPr>
                <w:rFonts w:hint="eastAsia" w:ascii="宋体" w:hAnsi="宋体" w:cs="宋体"/>
                <w:color w:val="auto"/>
                <w:highlight w:val="none"/>
                <w:lang w:eastAsia="zh-CN"/>
              </w:rPr>
              <w:t>安全生产宣传、教育、培训支出</w:t>
            </w:r>
          </w:p>
        </w:tc>
        <w:tc>
          <w:tcPr>
            <w:tcW w:w="4311" w:type="dxa"/>
            <w:tcBorders>
              <w:top w:val="nil"/>
              <w:left w:val="nil"/>
              <w:bottom w:val="single" w:color="auto" w:sz="4" w:space="0"/>
              <w:right w:val="single" w:color="auto" w:sz="4" w:space="0"/>
            </w:tcBorders>
            <w:noWrap w:val="0"/>
            <w:vAlign w:val="center"/>
          </w:tcPr>
          <w:p w14:paraId="73434267">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985" w:type="dxa"/>
            <w:tcBorders>
              <w:top w:val="nil"/>
              <w:left w:val="nil"/>
              <w:bottom w:val="single" w:color="auto" w:sz="4" w:space="0"/>
              <w:right w:val="single" w:color="auto" w:sz="4" w:space="0"/>
            </w:tcBorders>
            <w:noWrap w:val="0"/>
            <w:vAlign w:val="center"/>
          </w:tcPr>
          <w:p w14:paraId="1600D0A5">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701" w:type="dxa"/>
            <w:tcBorders>
              <w:top w:val="nil"/>
              <w:left w:val="nil"/>
              <w:bottom w:val="single" w:color="auto" w:sz="4" w:space="0"/>
              <w:right w:val="single" w:color="auto" w:sz="4" w:space="0"/>
            </w:tcBorders>
            <w:noWrap w:val="0"/>
            <w:vAlign w:val="center"/>
          </w:tcPr>
          <w:p w14:paraId="58E383C0">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445" w:type="dxa"/>
            <w:tcBorders>
              <w:top w:val="nil"/>
              <w:left w:val="nil"/>
              <w:bottom w:val="single" w:color="auto" w:sz="4" w:space="0"/>
              <w:right w:val="single" w:color="auto" w:sz="4" w:space="0"/>
            </w:tcBorders>
            <w:noWrap w:val="0"/>
            <w:vAlign w:val="center"/>
          </w:tcPr>
          <w:p w14:paraId="48A85FCD">
            <w:pPr>
              <w:jc w:val="center"/>
              <w:rPr>
                <w:rFonts w:ascii="宋体" w:hAnsi="宋体" w:cs="宋体"/>
                <w:color w:val="auto"/>
                <w:highlight w:val="none"/>
                <w:lang w:eastAsia="zh-CN"/>
              </w:rPr>
            </w:pPr>
            <w:r>
              <w:rPr>
                <w:rFonts w:hint="eastAsia" w:ascii="宋体" w:hAnsi="宋体" w:cs="宋体"/>
                <w:color w:val="auto"/>
                <w:highlight w:val="none"/>
                <w:lang w:eastAsia="zh-CN"/>
              </w:rPr>
              <w:t>　</w:t>
            </w:r>
          </w:p>
        </w:tc>
      </w:tr>
      <w:tr w14:paraId="6BD080FB">
        <w:tblPrEx>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noWrap w:val="0"/>
            <w:vAlign w:val="center"/>
          </w:tcPr>
          <w:p w14:paraId="2377D8A7">
            <w:pPr>
              <w:jc w:val="center"/>
              <w:rPr>
                <w:rFonts w:ascii="宋体" w:hAnsi="宋体" w:cs="宋体"/>
                <w:color w:val="auto"/>
                <w:highlight w:val="none"/>
              </w:rPr>
            </w:pPr>
            <w:r>
              <w:rPr>
                <w:rFonts w:hint="eastAsia" w:ascii="宋体" w:hAnsi="宋体" w:cs="宋体"/>
                <w:color w:val="auto"/>
                <w:highlight w:val="none"/>
              </w:rPr>
              <w:t>7</w:t>
            </w:r>
          </w:p>
        </w:tc>
        <w:tc>
          <w:tcPr>
            <w:tcW w:w="3544" w:type="dxa"/>
            <w:tcBorders>
              <w:top w:val="nil"/>
              <w:left w:val="nil"/>
              <w:bottom w:val="single" w:color="auto" w:sz="4" w:space="0"/>
              <w:right w:val="single" w:color="auto" w:sz="4" w:space="0"/>
            </w:tcBorders>
            <w:noWrap w:val="0"/>
            <w:vAlign w:val="center"/>
          </w:tcPr>
          <w:p w14:paraId="6F959B6B">
            <w:pPr>
              <w:rPr>
                <w:rFonts w:ascii="宋体" w:hAnsi="宋体" w:cs="宋体"/>
                <w:color w:val="auto"/>
                <w:highlight w:val="none"/>
                <w:lang w:eastAsia="zh-CN"/>
              </w:rPr>
            </w:pPr>
            <w:r>
              <w:rPr>
                <w:rFonts w:hint="eastAsia" w:ascii="宋体" w:hAnsi="宋体" w:cs="宋体"/>
                <w:color w:val="auto"/>
                <w:highlight w:val="none"/>
                <w:lang w:eastAsia="zh-CN"/>
              </w:rPr>
              <w:t>安全生产适用的新技术、新标准、新工艺、新装备的推广应用支出</w:t>
            </w:r>
          </w:p>
        </w:tc>
        <w:tc>
          <w:tcPr>
            <w:tcW w:w="4311" w:type="dxa"/>
            <w:tcBorders>
              <w:top w:val="nil"/>
              <w:left w:val="nil"/>
              <w:bottom w:val="single" w:color="auto" w:sz="4" w:space="0"/>
              <w:right w:val="single" w:color="auto" w:sz="4" w:space="0"/>
            </w:tcBorders>
            <w:noWrap w:val="0"/>
            <w:vAlign w:val="center"/>
          </w:tcPr>
          <w:p w14:paraId="09808424">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985" w:type="dxa"/>
            <w:tcBorders>
              <w:top w:val="nil"/>
              <w:left w:val="nil"/>
              <w:bottom w:val="single" w:color="auto" w:sz="4" w:space="0"/>
              <w:right w:val="single" w:color="auto" w:sz="4" w:space="0"/>
            </w:tcBorders>
            <w:noWrap w:val="0"/>
            <w:vAlign w:val="center"/>
          </w:tcPr>
          <w:p w14:paraId="7B3BD9F2">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701" w:type="dxa"/>
            <w:tcBorders>
              <w:top w:val="nil"/>
              <w:left w:val="nil"/>
              <w:bottom w:val="single" w:color="auto" w:sz="4" w:space="0"/>
              <w:right w:val="single" w:color="auto" w:sz="4" w:space="0"/>
            </w:tcBorders>
            <w:noWrap w:val="0"/>
            <w:vAlign w:val="center"/>
          </w:tcPr>
          <w:p w14:paraId="734A8C88">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445" w:type="dxa"/>
            <w:tcBorders>
              <w:top w:val="nil"/>
              <w:left w:val="nil"/>
              <w:bottom w:val="single" w:color="auto" w:sz="4" w:space="0"/>
              <w:right w:val="single" w:color="auto" w:sz="4" w:space="0"/>
            </w:tcBorders>
            <w:noWrap w:val="0"/>
            <w:vAlign w:val="center"/>
          </w:tcPr>
          <w:p w14:paraId="0926C17D">
            <w:pPr>
              <w:jc w:val="center"/>
              <w:rPr>
                <w:rFonts w:ascii="宋体" w:hAnsi="宋体" w:cs="宋体"/>
                <w:color w:val="auto"/>
                <w:highlight w:val="none"/>
                <w:lang w:eastAsia="zh-CN"/>
              </w:rPr>
            </w:pPr>
            <w:r>
              <w:rPr>
                <w:rFonts w:hint="eastAsia" w:ascii="宋体" w:hAnsi="宋体" w:cs="宋体"/>
                <w:color w:val="auto"/>
                <w:highlight w:val="none"/>
                <w:lang w:eastAsia="zh-CN"/>
              </w:rPr>
              <w:t>　</w:t>
            </w:r>
          </w:p>
        </w:tc>
      </w:tr>
      <w:tr w14:paraId="2993A0F7">
        <w:tblPrEx>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noWrap w:val="0"/>
            <w:vAlign w:val="center"/>
          </w:tcPr>
          <w:p w14:paraId="45317A25">
            <w:pPr>
              <w:jc w:val="center"/>
              <w:rPr>
                <w:rFonts w:ascii="宋体" w:hAnsi="宋体" w:cs="宋体"/>
                <w:color w:val="auto"/>
                <w:highlight w:val="none"/>
              </w:rPr>
            </w:pPr>
            <w:r>
              <w:rPr>
                <w:rFonts w:hint="eastAsia" w:ascii="宋体" w:hAnsi="宋体" w:cs="宋体"/>
                <w:color w:val="auto"/>
                <w:highlight w:val="none"/>
              </w:rPr>
              <w:t>8</w:t>
            </w:r>
          </w:p>
        </w:tc>
        <w:tc>
          <w:tcPr>
            <w:tcW w:w="3544" w:type="dxa"/>
            <w:tcBorders>
              <w:top w:val="nil"/>
              <w:left w:val="nil"/>
              <w:bottom w:val="single" w:color="auto" w:sz="4" w:space="0"/>
              <w:right w:val="single" w:color="auto" w:sz="4" w:space="0"/>
            </w:tcBorders>
            <w:noWrap w:val="0"/>
            <w:vAlign w:val="center"/>
          </w:tcPr>
          <w:p w14:paraId="36AA5B22">
            <w:pPr>
              <w:rPr>
                <w:rFonts w:ascii="宋体" w:hAnsi="宋体" w:cs="宋体"/>
                <w:color w:val="auto"/>
                <w:highlight w:val="none"/>
                <w:lang w:eastAsia="zh-CN"/>
              </w:rPr>
            </w:pPr>
            <w:r>
              <w:rPr>
                <w:rFonts w:hint="eastAsia" w:ascii="宋体" w:hAnsi="宋体" w:cs="宋体"/>
                <w:color w:val="auto"/>
                <w:highlight w:val="none"/>
                <w:lang w:eastAsia="zh-CN"/>
              </w:rPr>
              <w:t>安全设施及特种设备检测检验支出</w:t>
            </w:r>
          </w:p>
        </w:tc>
        <w:tc>
          <w:tcPr>
            <w:tcW w:w="4311" w:type="dxa"/>
            <w:tcBorders>
              <w:top w:val="nil"/>
              <w:left w:val="nil"/>
              <w:bottom w:val="single" w:color="auto" w:sz="4" w:space="0"/>
              <w:right w:val="single" w:color="auto" w:sz="4" w:space="0"/>
            </w:tcBorders>
            <w:noWrap w:val="0"/>
            <w:vAlign w:val="center"/>
          </w:tcPr>
          <w:p w14:paraId="7B6D6DD0">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985" w:type="dxa"/>
            <w:tcBorders>
              <w:top w:val="nil"/>
              <w:left w:val="nil"/>
              <w:bottom w:val="single" w:color="auto" w:sz="4" w:space="0"/>
              <w:right w:val="single" w:color="auto" w:sz="4" w:space="0"/>
            </w:tcBorders>
            <w:noWrap w:val="0"/>
            <w:vAlign w:val="center"/>
          </w:tcPr>
          <w:p w14:paraId="7329E58F">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701" w:type="dxa"/>
            <w:tcBorders>
              <w:top w:val="nil"/>
              <w:left w:val="nil"/>
              <w:bottom w:val="single" w:color="auto" w:sz="4" w:space="0"/>
              <w:right w:val="single" w:color="auto" w:sz="4" w:space="0"/>
            </w:tcBorders>
            <w:noWrap w:val="0"/>
            <w:vAlign w:val="center"/>
          </w:tcPr>
          <w:p w14:paraId="18E0F9E6">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445" w:type="dxa"/>
            <w:tcBorders>
              <w:top w:val="nil"/>
              <w:left w:val="nil"/>
              <w:bottom w:val="single" w:color="auto" w:sz="4" w:space="0"/>
              <w:right w:val="single" w:color="auto" w:sz="4" w:space="0"/>
            </w:tcBorders>
            <w:noWrap w:val="0"/>
            <w:vAlign w:val="center"/>
          </w:tcPr>
          <w:p w14:paraId="46CEFB99">
            <w:pPr>
              <w:jc w:val="center"/>
              <w:rPr>
                <w:rFonts w:ascii="宋体" w:hAnsi="宋体" w:cs="宋体"/>
                <w:color w:val="auto"/>
                <w:highlight w:val="none"/>
                <w:lang w:eastAsia="zh-CN"/>
              </w:rPr>
            </w:pPr>
            <w:r>
              <w:rPr>
                <w:rFonts w:hint="eastAsia" w:ascii="宋体" w:hAnsi="宋体" w:cs="宋体"/>
                <w:color w:val="auto"/>
                <w:highlight w:val="none"/>
                <w:lang w:eastAsia="zh-CN"/>
              </w:rPr>
              <w:t>　</w:t>
            </w:r>
          </w:p>
        </w:tc>
      </w:tr>
      <w:tr w14:paraId="79A7A0ED">
        <w:tblPrEx>
          <w:tblCellMar>
            <w:top w:w="0" w:type="dxa"/>
            <w:left w:w="108" w:type="dxa"/>
            <w:bottom w:w="0" w:type="dxa"/>
            <w:right w:w="108" w:type="dxa"/>
          </w:tblCellMar>
        </w:tblPrEx>
        <w:trPr>
          <w:trHeight w:val="587" w:hRule="atLeast"/>
          <w:jc w:val="right"/>
        </w:trPr>
        <w:tc>
          <w:tcPr>
            <w:tcW w:w="704" w:type="dxa"/>
            <w:tcBorders>
              <w:top w:val="nil"/>
              <w:left w:val="single" w:color="auto" w:sz="4" w:space="0"/>
              <w:bottom w:val="single" w:color="auto" w:sz="4" w:space="0"/>
              <w:right w:val="single" w:color="auto" w:sz="4" w:space="0"/>
            </w:tcBorders>
            <w:noWrap w:val="0"/>
            <w:vAlign w:val="center"/>
          </w:tcPr>
          <w:p w14:paraId="724DC6C7">
            <w:pPr>
              <w:jc w:val="center"/>
              <w:rPr>
                <w:rFonts w:ascii="宋体" w:hAnsi="宋体" w:cs="宋体"/>
                <w:color w:val="auto"/>
                <w:highlight w:val="none"/>
              </w:rPr>
            </w:pPr>
            <w:r>
              <w:rPr>
                <w:rFonts w:hint="eastAsia" w:ascii="宋体" w:hAnsi="宋体" w:cs="宋体"/>
                <w:color w:val="auto"/>
                <w:highlight w:val="none"/>
              </w:rPr>
              <w:t>9</w:t>
            </w:r>
          </w:p>
        </w:tc>
        <w:tc>
          <w:tcPr>
            <w:tcW w:w="3544" w:type="dxa"/>
            <w:tcBorders>
              <w:top w:val="nil"/>
              <w:left w:val="nil"/>
              <w:bottom w:val="single" w:color="auto" w:sz="4" w:space="0"/>
              <w:right w:val="single" w:color="auto" w:sz="4" w:space="0"/>
            </w:tcBorders>
            <w:noWrap w:val="0"/>
            <w:vAlign w:val="center"/>
          </w:tcPr>
          <w:p w14:paraId="6B8C61BC">
            <w:pPr>
              <w:rPr>
                <w:rFonts w:ascii="宋体" w:hAnsi="宋体" w:cs="宋体"/>
                <w:color w:val="auto"/>
                <w:highlight w:val="none"/>
                <w:lang w:eastAsia="zh-CN"/>
              </w:rPr>
            </w:pPr>
            <w:r>
              <w:rPr>
                <w:rFonts w:hint="eastAsia" w:ascii="宋体" w:hAnsi="宋体" w:cs="宋体"/>
                <w:color w:val="auto"/>
                <w:highlight w:val="none"/>
                <w:lang w:eastAsia="zh-CN"/>
              </w:rPr>
              <w:t>安全生产责任保险支出</w:t>
            </w:r>
          </w:p>
        </w:tc>
        <w:tc>
          <w:tcPr>
            <w:tcW w:w="4311" w:type="dxa"/>
            <w:tcBorders>
              <w:top w:val="nil"/>
              <w:left w:val="nil"/>
              <w:bottom w:val="single" w:color="auto" w:sz="4" w:space="0"/>
              <w:right w:val="single" w:color="auto" w:sz="4" w:space="0"/>
            </w:tcBorders>
            <w:noWrap w:val="0"/>
            <w:vAlign w:val="center"/>
          </w:tcPr>
          <w:p w14:paraId="4A114A32">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985" w:type="dxa"/>
            <w:tcBorders>
              <w:top w:val="nil"/>
              <w:left w:val="nil"/>
              <w:bottom w:val="single" w:color="auto" w:sz="4" w:space="0"/>
              <w:right w:val="single" w:color="auto" w:sz="4" w:space="0"/>
            </w:tcBorders>
            <w:noWrap w:val="0"/>
            <w:vAlign w:val="center"/>
          </w:tcPr>
          <w:p w14:paraId="332EC20F">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701" w:type="dxa"/>
            <w:tcBorders>
              <w:top w:val="nil"/>
              <w:left w:val="nil"/>
              <w:bottom w:val="single" w:color="auto" w:sz="4" w:space="0"/>
              <w:right w:val="single" w:color="auto" w:sz="4" w:space="0"/>
            </w:tcBorders>
            <w:noWrap w:val="0"/>
            <w:vAlign w:val="center"/>
          </w:tcPr>
          <w:p w14:paraId="4D034C69">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445" w:type="dxa"/>
            <w:tcBorders>
              <w:top w:val="nil"/>
              <w:left w:val="nil"/>
              <w:bottom w:val="single" w:color="auto" w:sz="4" w:space="0"/>
              <w:right w:val="single" w:color="auto" w:sz="4" w:space="0"/>
            </w:tcBorders>
            <w:noWrap w:val="0"/>
            <w:vAlign w:val="center"/>
          </w:tcPr>
          <w:p w14:paraId="775DC402">
            <w:pPr>
              <w:jc w:val="center"/>
              <w:rPr>
                <w:rFonts w:ascii="宋体" w:hAnsi="宋体" w:cs="宋体"/>
                <w:color w:val="auto"/>
                <w:highlight w:val="none"/>
                <w:lang w:eastAsia="zh-CN"/>
              </w:rPr>
            </w:pPr>
            <w:r>
              <w:rPr>
                <w:rFonts w:hint="eastAsia" w:ascii="宋体" w:hAnsi="宋体" w:cs="宋体"/>
                <w:color w:val="auto"/>
                <w:highlight w:val="none"/>
                <w:lang w:eastAsia="zh-CN"/>
              </w:rPr>
              <w:t>　</w:t>
            </w:r>
          </w:p>
        </w:tc>
      </w:tr>
      <w:tr w14:paraId="31FFDE43">
        <w:tblPrEx>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noWrap w:val="0"/>
            <w:vAlign w:val="center"/>
          </w:tcPr>
          <w:p w14:paraId="4EA0AC6A">
            <w:pPr>
              <w:jc w:val="center"/>
              <w:rPr>
                <w:rFonts w:ascii="宋体" w:hAnsi="宋体" w:cs="宋体"/>
                <w:color w:val="auto"/>
                <w:highlight w:val="none"/>
              </w:rPr>
            </w:pPr>
            <w:r>
              <w:rPr>
                <w:rFonts w:hint="eastAsia" w:ascii="宋体" w:hAnsi="宋体" w:cs="宋体"/>
                <w:color w:val="auto"/>
                <w:highlight w:val="none"/>
              </w:rPr>
              <w:t>10</w:t>
            </w:r>
          </w:p>
        </w:tc>
        <w:tc>
          <w:tcPr>
            <w:tcW w:w="3544" w:type="dxa"/>
            <w:tcBorders>
              <w:top w:val="nil"/>
              <w:left w:val="nil"/>
              <w:bottom w:val="single" w:color="auto" w:sz="4" w:space="0"/>
              <w:right w:val="single" w:color="auto" w:sz="4" w:space="0"/>
            </w:tcBorders>
            <w:noWrap w:val="0"/>
            <w:vAlign w:val="center"/>
          </w:tcPr>
          <w:p w14:paraId="3B37E42B">
            <w:pPr>
              <w:rPr>
                <w:rFonts w:ascii="宋体" w:hAnsi="宋体" w:cs="宋体"/>
                <w:color w:val="auto"/>
                <w:highlight w:val="none"/>
                <w:lang w:eastAsia="zh-CN"/>
              </w:rPr>
            </w:pPr>
            <w:r>
              <w:rPr>
                <w:rFonts w:hint="eastAsia" w:ascii="宋体" w:hAnsi="宋体" w:cs="宋体"/>
                <w:color w:val="auto"/>
                <w:highlight w:val="none"/>
                <w:lang w:eastAsia="zh-CN"/>
              </w:rPr>
              <w:t>法律法规及相关标准规定按安全文明施工费计取的其他项目</w:t>
            </w:r>
          </w:p>
        </w:tc>
        <w:tc>
          <w:tcPr>
            <w:tcW w:w="4311" w:type="dxa"/>
            <w:tcBorders>
              <w:top w:val="nil"/>
              <w:left w:val="nil"/>
              <w:bottom w:val="single" w:color="auto" w:sz="4" w:space="0"/>
              <w:right w:val="single" w:color="auto" w:sz="4" w:space="0"/>
            </w:tcBorders>
            <w:noWrap w:val="0"/>
            <w:vAlign w:val="center"/>
          </w:tcPr>
          <w:p w14:paraId="13717629">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985" w:type="dxa"/>
            <w:tcBorders>
              <w:top w:val="nil"/>
              <w:left w:val="nil"/>
              <w:bottom w:val="single" w:color="auto" w:sz="4" w:space="0"/>
              <w:right w:val="single" w:color="auto" w:sz="4" w:space="0"/>
            </w:tcBorders>
            <w:noWrap w:val="0"/>
            <w:vAlign w:val="center"/>
          </w:tcPr>
          <w:p w14:paraId="74E0F200">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701" w:type="dxa"/>
            <w:tcBorders>
              <w:top w:val="nil"/>
              <w:left w:val="nil"/>
              <w:bottom w:val="single" w:color="auto" w:sz="4" w:space="0"/>
              <w:right w:val="single" w:color="auto" w:sz="4" w:space="0"/>
            </w:tcBorders>
            <w:noWrap w:val="0"/>
            <w:vAlign w:val="center"/>
          </w:tcPr>
          <w:p w14:paraId="5C8F4846">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445" w:type="dxa"/>
            <w:tcBorders>
              <w:top w:val="nil"/>
              <w:left w:val="nil"/>
              <w:bottom w:val="single" w:color="auto" w:sz="4" w:space="0"/>
              <w:right w:val="single" w:color="auto" w:sz="4" w:space="0"/>
            </w:tcBorders>
            <w:noWrap w:val="0"/>
            <w:vAlign w:val="center"/>
          </w:tcPr>
          <w:p w14:paraId="4DE887B2">
            <w:pPr>
              <w:jc w:val="center"/>
              <w:rPr>
                <w:rFonts w:ascii="宋体" w:hAnsi="宋体" w:cs="宋体"/>
                <w:color w:val="auto"/>
                <w:highlight w:val="none"/>
                <w:lang w:eastAsia="zh-CN"/>
              </w:rPr>
            </w:pPr>
            <w:r>
              <w:rPr>
                <w:rFonts w:hint="eastAsia" w:ascii="宋体" w:hAnsi="宋体" w:cs="宋体"/>
                <w:color w:val="auto"/>
                <w:highlight w:val="none"/>
                <w:lang w:eastAsia="zh-CN"/>
              </w:rPr>
              <w:t>　</w:t>
            </w:r>
          </w:p>
        </w:tc>
      </w:tr>
      <w:tr w14:paraId="2D2E371C">
        <w:tblPrEx>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nil"/>
              <w:right w:val="single" w:color="auto" w:sz="4" w:space="0"/>
            </w:tcBorders>
            <w:noWrap w:val="0"/>
            <w:vAlign w:val="center"/>
          </w:tcPr>
          <w:p w14:paraId="694C89C1">
            <w:pPr>
              <w:jc w:val="center"/>
              <w:rPr>
                <w:rFonts w:ascii="宋体" w:hAnsi="宋体" w:cs="宋体"/>
                <w:color w:val="auto"/>
                <w:highlight w:val="none"/>
              </w:rPr>
            </w:pPr>
            <w:r>
              <w:rPr>
                <w:rFonts w:hint="eastAsia" w:ascii="宋体" w:hAnsi="宋体" w:cs="宋体"/>
                <w:color w:val="auto"/>
                <w:highlight w:val="none"/>
              </w:rPr>
              <w:t>11</w:t>
            </w:r>
          </w:p>
        </w:tc>
        <w:tc>
          <w:tcPr>
            <w:tcW w:w="3544" w:type="dxa"/>
            <w:tcBorders>
              <w:top w:val="nil"/>
              <w:left w:val="nil"/>
              <w:bottom w:val="nil"/>
              <w:right w:val="single" w:color="auto" w:sz="4" w:space="0"/>
            </w:tcBorders>
            <w:noWrap w:val="0"/>
            <w:vAlign w:val="center"/>
          </w:tcPr>
          <w:p w14:paraId="67396D60">
            <w:pPr>
              <w:rPr>
                <w:rFonts w:ascii="宋体" w:hAnsi="宋体" w:cs="宋体"/>
                <w:color w:val="auto"/>
                <w:highlight w:val="none"/>
                <w:lang w:eastAsia="zh-CN"/>
              </w:rPr>
            </w:pPr>
            <w:r>
              <w:rPr>
                <w:rFonts w:hint="eastAsia" w:ascii="宋体" w:hAnsi="宋体" w:cs="宋体"/>
                <w:color w:val="auto"/>
                <w:highlight w:val="none"/>
                <w:lang w:eastAsia="zh-CN"/>
              </w:rPr>
              <w:t>其他与绿色施工、文明施工、环境保护及安全生产直接相关的支出</w:t>
            </w:r>
          </w:p>
        </w:tc>
        <w:tc>
          <w:tcPr>
            <w:tcW w:w="4311" w:type="dxa"/>
            <w:tcBorders>
              <w:top w:val="nil"/>
              <w:left w:val="nil"/>
              <w:bottom w:val="nil"/>
              <w:right w:val="single" w:color="auto" w:sz="4" w:space="0"/>
            </w:tcBorders>
            <w:noWrap w:val="0"/>
            <w:vAlign w:val="center"/>
          </w:tcPr>
          <w:p w14:paraId="20C65B5E">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985" w:type="dxa"/>
            <w:tcBorders>
              <w:top w:val="nil"/>
              <w:left w:val="nil"/>
              <w:bottom w:val="nil"/>
              <w:right w:val="single" w:color="auto" w:sz="4" w:space="0"/>
            </w:tcBorders>
            <w:noWrap w:val="0"/>
            <w:vAlign w:val="center"/>
          </w:tcPr>
          <w:p w14:paraId="4C2898F7">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701" w:type="dxa"/>
            <w:tcBorders>
              <w:top w:val="nil"/>
              <w:left w:val="nil"/>
              <w:bottom w:val="nil"/>
              <w:right w:val="single" w:color="auto" w:sz="4" w:space="0"/>
            </w:tcBorders>
            <w:noWrap w:val="0"/>
            <w:vAlign w:val="center"/>
          </w:tcPr>
          <w:p w14:paraId="651A0B6E">
            <w:pPr>
              <w:rPr>
                <w:rFonts w:ascii="宋体" w:hAnsi="宋体" w:cs="宋体"/>
                <w:color w:val="auto"/>
                <w:highlight w:val="none"/>
                <w:lang w:eastAsia="zh-CN"/>
              </w:rPr>
            </w:pPr>
            <w:r>
              <w:rPr>
                <w:rFonts w:hint="eastAsia" w:ascii="宋体" w:hAnsi="宋体" w:cs="宋体"/>
                <w:color w:val="auto"/>
                <w:highlight w:val="none"/>
                <w:lang w:eastAsia="zh-CN"/>
              </w:rPr>
              <w:t>　</w:t>
            </w:r>
          </w:p>
        </w:tc>
        <w:tc>
          <w:tcPr>
            <w:tcW w:w="1445" w:type="dxa"/>
            <w:tcBorders>
              <w:top w:val="nil"/>
              <w:left w:val="nil"/>
              <w:bottom w:val="nil"/>
              <w:right w:val="single" w:color="auto" w:sz="4" w:space="0"/>
            </w:tcBorders>
            <w:noWrap w:val="0"/>
            <w:vAlign w:val="center"/>
          </w:tcPr>
          <w:p w14:paraId="0E84C326">
            <w:pPr>
              <w:jc w:val="center"/>
              <w:rPr>
                <w:rFonts w:ascii="宋体" w:hAnsi="宋体" w:cs="宋体"/>
                <w:color w:val="auto"/>
                <w:highlight w:val="none"/>
                <w:lang w:eastAsia="zh-CN"/>
              </w:rPr>
            </w:pPr>
            <w:r>
              <w:rPr>
                <w:rFonts w:hint="eastAsia" w:ascii="宋体" w:hAnsi="宋体" w:cs="宋体"/>
                <w:color w:val="auto"/>
                <w:highlight w:val="none"/>
                <w:lang w:eastAsia="zh-CN"/>
              </w:rPr>
              <w:t>　</w:t>
            </w:r>
          </w:p>
        </w:tc>
      </w:tr>
      <w:tr w14:paraId="5CDB8D3B">
        <w:tblPrEx>
          <w:tblCellMar>
            <w:top w:w="0" w:type="dxa"/>
            <w:left w:w="108" w:type="dxa"/>
            <w:bottom w:w="0" w:type="dxa"/>
            <w:right w:w="108" w:type="dxa"/>
          </w:tblCellMar>
        </w:tblPrEx>
        <w:trPr>
          <w:trHeight w:val="527" w:hRule="atLeast"/>
          <w:jc w:val="right"/>
        </w:trPr>
        <w:tc>
          <w:tcPr>
            <w:tcW w:w="8559" w:type="dxa"/>
            <w:gridSpan w:val="3"/>
            <w:tcBorders>
              <w:top w:val="nil"/>
              <w:left w:val="single" w:color="auto" w:sz="4" w:space="0"/>
              <w:bottom w:val="single" w:color="auto" w:sz="4" w:space="0"/>
              <w:right w:val="single" w:color="auto" w:sz="4" w:space="0"/>
            </w:tcBorders>
            <w:noWrap w:val="0"/>
            <w:vAlign w:val="center"/>
          </w:tcPr>
          <w:p w14:paraId="702E2EA1">
            <w:pPr>
              <w:jc w:val="center"/>
              <w:rPr>
                <w:rFonts w:ascii="宋体" w:hAnsi="宋体" w:cs="宋体"/>
                <w:color w:val="auto"/>
                <w:highlight w:val="none"/>
              </w:rPr>
            </w:pPr>
            <w:r>
              <w:rPr>
                <w:rFonts w:hint="eastAsia" w:ascii="宋体" w:hAnsi="宋体" w:cs="宋体"/>
                <w:color w:val="auto"/>
                <w:highlight w:val="none"/>
              </w:rPr>
              <w:t>合计</w:t>
            </w:r>
          </w:p>
        </w:tc>
        <w:tc>
          <w:tcPr>
            <w:tcW w:w="1985" w:type="dxa"/>
            <w:tcBorders>
              <w:top w:val="nil"/>
              <w:left w:val="nil"/>
              <w:bottom w:val="single" w:color="auto" w:sz="4" w:space="0"/>
              <w:right w:val="single" w:color="auto" w:sz="4" w:space="0"/>
            </w:tcBorders>
            <w:noWrap w:val="0"/>
            <w:vAlign w:val="center"/>
          </w:tcPr>
          <w:p w14:paraId="7E156A14">
            <w:pPr>
              <w:rPr>
                <w:rFonts w:ascii="宋体" w:hAnsi="宋体" w:cs="宋体"/>
                <w:color w:val="auto"/>
                <w:highlight w:val="none"/>
              </w:rPr>
            </w:pPr>
          </w:p>
        </w:tc>
        <w:tc>
          <w:tcPr>
            <w:tcW w:w="1701" w:type="dxa"/>
            <w:tcBorders>
              <w:top w:val="nil"/>
              <w:left w:val="nil"/>
              <w:bottom w:val="single" w:color="auto" w:sz="4" w:space="0"/>
              <w:right w:val="single" w:color="auto" w:sz="4" w:space="0"/>
            </w:tcBorders>
            <w:noWrap w:val="0"/>
            <w:vAlign w:val="center"/>
          </w:tcPr>
          <w:p w14:paraId="5610DB81">
            <w:pPr>
              <w:rPr>
                <w:rFonts w:ascii="宋体" w:hAnsi="宋体" w:cs="宋体"/>
                <w:color w:val="auto"/>
                <w:highlight w:val="none"/>
              </w:rPr>
            </w:pPr>
          </w:p>
        </w:tc>
        <w:tc>
          <w:tcPr>
            <w:tcW w:w="1445" w:type="dxa"/>
            <w:tcBorders>
              <w:top w:val="nil"/>
              <w:left w:val="nil"/>
              <w:bottom w:val="single" w:color="auto" w:sz="4" w:space="0"/>
              <w:right w:val="single" w:color="auto" w:sz="4" w:space="0"/>
            </w:tcBorders>
            <w:noWrap w:val="0"/>
            <w:vAlign w:val="center"/>
          </w:tcPr>
          <w:p w14:paraId="095E7B80">
            <w:pPr>
              <w:jc w:val="center"/>
              <w:rPr>
                <w:rFonts w:ascii="宋体" w:hAnsi="宋体" w:cs="宋体"/>
                <w:color w:val="auto"/>
                <w:highlight w:val="none"/>
              </w:rPr>
            </w:pPr>
          </w:p>
        </w:tc>
      </w:tr>
    </w:tbl>
    <w:p w14:paraId="6A50F63B">
      <w:pPr>
        <w:ind w:firstLine="1440" w:firstLineChars="600"/>
        <w:rPr>
          <w:rFonts w:ascii="宋体" w:hAnsi="宋体" w:cs="宋体"/>
          <w:color w:val="auto"/>
          <w:highlight w:val="none"/>
          <w:lang w:eastAsia="zh-CN"/>
        </w:rPr>
      </w:pPr>
      <w:r>
        <w:rPr>
          <w:rFonts w:hint="eastAsia" w:ascii="宋体" w:hAnsi="宋体" w:cs="宋体"/>
          <w:color w:val="auto"/>
          <w:highlight w:val="none"/>
          <w:lang w:eastAsia="zh-CN"/>
        </w:rPr>
        <w:t>制表：                  安全经理：                        安全监理：                     总监（安全副总监）：</w:t>
      </w:r>
    </w:p>
    <w:p w14:paraId="486B5ECD">
      <w:pPr>
        <w:ind w:left="2640" w:leftChars="600" w:hanging="1200" w:hangingChars="500"/>
        <w:rPr>
          <w:rFonts w:ascii="宋体" w:hAnsi="宋体" w:cs="宋体"/>
          <w:color w:val="auto"/>
          <w:highlight w:val="none"/>
          <w:lang w:eastAsia="zh-CN"/>
        </w:rPr>
      </w:pPr>
      <w:r>
        <w:rPr>
          <w:rFonts w:hint="eastAsia" w:ascii="宋体" w:hAnsi="宋体" w:cs="宋体"/>
          <w:color w:val="auto"/>
          <w:highlight w:val="none"/>
          <w:lang w:eastAsia="zh-CN"/>
        </w:rPr>
        <w:t>填表说明：施工单位在提交本审查表时，请附具“安全投入工程量现场确认单”等当期所完成的安全生产措施项目清单，及必要的证明文件。该部分内容由安全监理审核。</w:t>
      </w:r>
    </w:p>
    <w:p w14:paraId="45529BED">
      <w:pPr>
        <w:rPr>
          <w:rFonts w:ascii="宋体" w:hAnsi="宋体" w:cs="宋体"/>
          <w:color w:val="auto"/>
          <w:highlight w:val="none"/>
          <w:lang w:eastAsia="zh-CN"/>
        </w:rPr>
      </w:pPr>
    </w:p>
    <w:p w14:paraId="404F9A7B">
      <w:pPr>
        <w:rPr>
          <w:rFonts w:ascii="宋体" w:hAnsi="宋体" w:cs="宋体"/>
          <w:color w:val="auto"/>
          <w:highlight w:val="none"/>
          <w:lang w:eastAsia="zh-CN"/>
        </w:rPr>
      </w:pPr>
    </w:p>
    <w:p w14:paraId="706AB391">
      <w:pPr>
        <w:rPr>
          <w:rFonts w:ascii="宋体" w:hAnsi="宋体" w:cs="宋体"/>
          <w:color w:val="auto"/>
          <w:highlight w:val="none"/>
          <w:lang w:eastAsia="zh-CN"/>
        </w:rPr>
      </w:pPr>
    </w:p>
    <w:p w14:paraId="4F5CC488">
      <w:pPr>
        <w:rPr>
          <w:rFonts w:ascii="宋体" w:hAnsi="宋体" w:cs="宋体"/>
          <w:color w:val="auto"/>
          <w:highlight w:val="none"/>
          <w:lang w:eastAsia="zh-CN"/>
        </w:rPr>
        <w:sectPr>
          <w:footerReference r:id="rId12" w:type="first"/>
          <w:footerReference r:id="rId11" w:type="default"/>
          <w:pgSz w:w="16838" w:h="11906" w:orient="landscape"/>
          <w:pgMar w:top="1191" w:right="1440" w:bottom="1304" w:left="1440" w:header="851" w:footer="992" w:gutter="0"/>
          <w:cols w:space="720" w:num="1"/>
          <w:docGrid w:type="lines" w:linePitch="312" w:charSpace="0"/>
        </w:sectPr>
      </w:pPr>
    </w:p>
    <w:p w14:paraId="4D5989CA">
      <w:pPr>
        <w:pStyle w:val="3"/>
        <w:numPr>
          <w:ilvl w:val="1"/>
          <w:numId w:val="0"/>
        </w:numPr>
        <w:spacing w:after="0"/>
        <w:rPr>
          <w:rFonts w:ascii="仿宋" w:hAnsi="仿宋" w:eastAsia="仿宋"/>
          <w:i w:val="0"/>
          <w:iCs w:val="0"/>
          <w:color w:val="auto"/>
          <w:sz w:val="24"/>
          <w:highlight w:val="none"/>
          <w:lang w:eastAsia="zh-CN"/>
        </w:rPr>
      </w:pPr>
      <w:bookmarkStart w:id="2138" w:name="_Toc1932"/>
      <w:bookmarkStart w:id="2139" w:name="_Toc28716"/>
      <w:bookmarkStart w:id="2140" w:name="_Toc4177"/>
      <w:bookmarkStart w:id="2141" w:name="_Toc8321"/>
      <w:bookmarkStart w:id="2142" w:name="_Toc28574"/>
      <w:r>
        <w:rPr>
          <w:rFonts w:hint="eastAsia" w:ascii="仿宋" w:hAnsi="仿宋" w:eastAsia="仿宋"/>
          <w:i w:val="0"/>
          <w:iCs w:val="0"/>
          <w:color w:val="auto"/>
          <w:sz w:val="24"/>
          <w:highlight w:val="none"/>
          <w:lang w:eastAsia="zh-CN"/>
        </w:rPr>
        <w:t>附件十三：保密协议</w:t>
      </w:r>
      <w:bookmarkEnd w:id="2138"/>
      <w:bookmarkEnd w:id="2139"/>
      <w:bookmarkEnd w:id="2140"/>
      <w:bookmarkEnd w:id="2141"/>
      <w:bookmarkEnd w:id="2142"/>
    </w:p>
    <w:p w14:paraId="6057FDBE">
      <w:pPr>
        <w:rPr>
          <w:rFonts w:ascii="宋体" w:hAnsi="宋体" w:cs="宋体"/>
          <w:color w:val="auto"/>
          <w:highlight w:val="none"/>
          <w:lang w:eastAsia="zh-CN"/>
        </w:rPr>
      </w:pPr>
    </w:p>
    <w:p w14:paraId="73ADD40D">
      <w:pPr>
        <w:spacing w:before="158"/>
        <w:ind w:right="3762"/>
        <w:jc w:val="right"/>
        <w:rPr>
          <w:rFonts w:hint="eastAsia" w:cs="宋体"/>
          <w:b/>
          <w:color w:val="auto"/>
          <w:sz w:val="36"/>
          <w:szCs w:val="36"/>
          <w:highlight w:val="none"/>
          <w:lang w:eastAsia="zh-CN"/>
        </w:rPr>
      </w:pPr>
      <w:r>
        <w:rPr>
          <w:rFonts w:hint="eastAsia" w:cs="宋体"/>
          <w:b/>
          <w:color w:val="auto"/>
          <w:sz w:val="36"/>
          <w:szCs w:val="36"/>
          <w:highlight w:val="none"/>
          <w:lang w:eastAsia="zh-CN"/>
        </w:rPr>
        <w:t xml:space="preserve">  保密协议</w:t>
      </w:r>
    </w:p>
    <w:p w14:paraId="2F0A5AEF">
      <w:pPr>
        <w:spacing w:before="158"/>
        <w:ind w:right="3762"/>
        <w:jc w:val="right"/>
        <w:rPr>
          <w:rFonts w:hint="eastAsia" w:cs="宋体"/>
          <w:b/>
          <w:color w:val="auto"/>
          <w:sz w:val="36"/>
          <w:szCs w:val="36"/>
          <w:highlight w:val="none"/>
          <w:lang w:eastAsia="zh-CN"/>
        </w:rPr>
      </w:pPr>
    </w:p>
    <w:p w14:paraId="2B2A9A64">
      <w:pPr>
        <w:pStyle w:val="17"/>
        <w:widowControl w:val="0"/>
        <w:tabs>
          <w:tab w:val="left" w:pos="1901"/>
          <w:tab w:val="left" w:pos="5380"/>
        </w:tabs>
        <w:autoSpaceDE w:val="0"/>
        <w:autoSpaceDN w:val="0"/>
        <w:spacing w:line="362"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发包人：广州三元里片区改造投资有限公司  </w:t>
      </w:r>
    </w:p>
    <w:p w14:paraId="764A4CC2">
      <w:pPr>
        <w:pStyle w:val="17"/>
        <w:widowControl w:val="0"/>
        <w:tabs>
          <w:tab w:val="left" w:pos="1901"/>
          <w:tab w:val="left" w:pos="5380"/>
        </w:tabs>
        <w:autoSpaceDE w:val="0"/>
        <w:autoSpaceDN w:val="0"/>
        <w:spacing w:line="362"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承包人：(主)  </w:t>
      </w:r>
    </w:p>
    <w:p w14:paraId="6A6522E8">
      <w:pPr>
        <w:pStyle w:val="17"/>
        <w:widowControl w:val="0"/>
        <w:tabs>
          <w:tab w:val="left" w:pos="1901"/>
          <w:tab w:val="left" w:pos="5380"/>
        </w:tabs>
        <w:autoSpaceDE w:val="0"/>
        <w:autoSpaceDN w:val="0"/>
        <w:spacing w:line="362" w:lineRule="auto"/>
        <w:ind w:firstLine="1440" w:firstLineChars="6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(成) </w:t>
      </w:r>
    </w:p>
    <w:p w14:paraId="01876856">
      <w:pPr>
        <w:pStyle w:val="17"/>
        <w:widowControl w:val="0"/>
        <w:tabs>
          <w:tab w:val="left" w:pos="1901"/>
          <w:tab w:val="left" w:pos="5380"/>
        </w:tabs>
        <w:autoSpaceDE w:val="0"/>
        <w:autoSpaceDN w:val="0"/>
        <w:spacing w:line="362" w:lineRule="auto"/>
        <w:ind w:firstLine="1440" w:firstLineChars="6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(成) </w:t>
      </w:r>
    </w:p>
    <w:p w14:paraId="7C8EE492">
      <w:pPr>
        <w:pStyle w:val="17"/>
        <w:widowControl w:val="0"/>
        <w:tabs>
          <w:tab w:val="left" w:pos="1901"/>
          <w:tab w:val="left" w:pos="5380"/>
        </w:tabs>
        <w:autoSpaceDE w:val="0"/>
        <w:autoSpaceDN w:val="0"/>
        <w:spacing w:line="362" w:lineRule="auto"/>
        <w:ind w:firstLine="1440" w:firstLineChars="600"/>
        <w:rPr>
          <w:rFonts w:hint="eastAsia" w:ascii="仿宋" w:hAnsi="仿宋" w:eastAsia="仿宋" w:cs="仿宋"/>
          <w:color w:val="auto"/>
          <w:highlight w:val="none"/>
          <w:lang w:eastAsia="zh-CN"/>
        </w:rPr>
      </w:pPr>
    </w:p>
    <w:p w14:paraId="21D60F75">
      <w:pPr>
        <w:pStyle w:val="17"/>
        <w:tabs>
          <w:tab w:val="left" w:pos="1901"/>
          <w:tab w:val="left" w:pos="5380"/>
        </w:tabs>
        <w:spacing w:line="362" w:lineRule="auto"/>
        <w:ind w:firstLine="480"/>
        <w:rPr>
          <w:rFonts w:hint="eastAsia" w:ascii="仿宋" w:hAnsi="仿宋" w:eastAsia="仿宋" w:cs="仿宋"/>
          <w:color w:val="auto"/>
          <w:spacing w:val="-9"/>
          <w:highlight w:val="none"/>
          <w:lang w:eastAsia="zh-CN" w:bidi="ar-SA"/>
        </w:rPr>
      </w:pPr>
      <w:r>
        <w:rPr>
          <w:rFonts w:hint="eastAsia" w:ascii="仿宋" w:hAnsi="仿宋" w:eastAsia="仿宋" w:cs="仿宋"/>
          <w:color w:val="auto"/>
          <w:spacing w:val="-9"/>
          <w:highlight w:val="none"/>
          <w:lang w:eastAsia="zh-CN" w:bidi="ar-SA"/>
        </w:rPr>
        <w:t>为充分保护发包人的知识产权、保密资料和商业秘密，双方在平等、自愿、协商一致的基础上，达成如下一致意见：</w:t>
      </w:r>
    </w:p>
    <w:p w14:paraId="7393B1F0">
      <w:pPr>
        <w:pStyle w:val="17"/>
        <w:widowControl w:val="0"/>
        <w:autoSpaceDE w:val="0"/>
        <w:autoSpaceDN w:val="0"/>
        <w:ind w:firstLine="444" w:firstLineChars="200"/>
        <w:rPr>
          <w:rFonts w:hint="eastAsia" w:ascii="仿宋" w:hAnsi="仿宋" w:eastAsia="仿宋" w:cs="仿宋"/>
          <w:color w:val="auto"/>
          <w:highlight w:val="none"/>
          <w:lang w:eastAsia="zh-CN"/>
        </w:rPr>
      </w:pPr>
      <w:r>
        <w:rPr>
          <w:rFonts w:hint="eastAsia" w:ascii="仿宋" w:hAnsi="仿宋" w:eastAsia="仿宋" w:cs="仿宋"/>
          <w:color w:val="auto"/>
          <w:spacing w:val="-9"/>
          <w:highlight w:val="none"/>
          <w:lang w:eastAsia="zh-CN"/>
        </w:rPr>
        <w:t>一、本协议所称商业秘密是指不为公众所知悉、能为发包人带来经济利益、具有实用性并经发包人采取保密措施的技术信息和经营信息，包括交易秘密、经营秘密、</w:t>
      </w:r>
      <w:r>
        <w:rPr>
          <w:rFonts w:hint="eastAsia" w:ascii="仿宋" w:hAnsi="仿宋" w:eastAsia="仿宋" w:cs="仿宋"/>
          <w:color w:val="auto"/>
          <w:spacing w:val="-12"/>
          <w:highlight w:val="none"/>
          <w:lang w:eastAsia="zh-CN"/>
        </w:rPr>
        <w:t>管理秘密、技术秘密。发包人商业秘密可能以书面、口头、电子记录或其他任何形式</w:t>
      </w:r>
      <w:r>
        <w:rPr>
          <w:rFonts w:hint="eastAsia" w:ascii="仿宋" w:hAnsi="仿宋" w:eastAsia="仿宋" w:cs="仿宋"/>
          <w:color w:val="auto"/>
          <w:spacing w:val="-16"/>
          <w:highlight w:val="none"/>
          <w:lang w:eastAsia="zh-CN"/>
        </w:rPr>
        <w:t>表现，不必然注明“保密”字样。承包人应严格遵守本协议，保守发包人的商业秘密，</w:t>
      </w:r>
      <w:r>
        <w:rPr>
          <w:rFonts w:hint="eastAsia" w:ascii="仿宋" w:hAnsi="仿宋" w:eastAsia="仿宋" w:cs="仿宋"/>
          <w:color w:val="auto"/>
          <w:highlight w:val="none"/>
          <w:lang w:eastAsia="zh-CN"/>
        </w:rPr>
        <w:t>包括但不限于以下内容：</w:t>
      </w:r>
    </w:p>
    <w:p w14:paraId="0F08880F">
      <w:pPr>
        <w:pStyle w:val="165"/>
        <w:widowControl w:val="0"/>
        <w:numPr>
          <w:ilvl w:val="0"/>
          <w:numId w:val="29"/>
        </w:numPr>
        <w:tabs>
          <w:tab w:val="left" w:pos="943"/>
        </w:tabs>
        <w:autoSpaceDE w:val="0"/>
        <w:autoSpaceDN w:val="0"/>
        <w:spacing w:line="360" w:lineRule="auto"/>
        <w:ind w:left="0" w:firstLine="476"/>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发包人上级单位及相关政府部门送达发包人办理或阅知的属于国家机密的密</w:t>
      </w:r>
      <w:r>
        <w:rPr>
          <w:rFonts w:hint="eastAsia" w:ascii="仿宋" w:hAnsi="仿宋" w:eastAsia="仿宋" w:cs="仿宋"/>
          <w:color w:val="auto"/>
          <w:highlight w:val="none"/>
          <w:lang w:eastAsia="zh-CN"/>
        </w:rPr>
        <w:t>品、密件；</w:t>
      </w:r>
    </w:p>
    <w:p w14:paraId="1BA2C00E">
      <w:pPr>
        <w:pStyle w:val="165"/>
        <w:widowControl w:val="0"/>
        <w:numPr>
          <w:ilvl w:val="0"/>
          <w:numId w:val="29"/>
        </w:numPr>
        <w:tabs>
          <w:tab w:val="left" w:pos="943"/>
        </w:tabs>
        <w:autoSpaceDE w:val="0"/>
        <w:autoSpaceDN w:val="0"/>
        <w:spacing w:line="360" w:lineRule="auto"/>
        <w:ind w:left="0" w:firstLine="476"/>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发包人上级单位送达发包人办理或阅知的密品、密件，以及发包人上级单位</w:t>
      </w:r>
      <w:r>
        <w:rPr>
          <w:rFonts w:hint="eastAsia" w:ascii="仿宋" w:hAnsi="仿宋" w:eastAsia="仿宋" w:cs="仿宋"/>
          <w:color w:val="auto"/>
          <w:highlight w:val="none"/>
          <w:lang w:eastAsia="zh-CN"/>
        </w:rPr>
        <w:t>的其他商业秘密；</w:t>
      </w:r>
    </w:p>
    <w:p w14:paraId="3185DE7A">
      <w:pPr>
        <w:pStyle w:val="165"/>
        <w:widowControl w:val="0"/>
        <w:numPr>
          <w:ilvl w:val="0"/>
          <w:numId w:val="29"/>
        </w:numPr>
        <w:tabs>
          <w:tab w:val="left" w:pos="943"/>
        </w:tabs>
        <w:autoSpaceDE w:val="0"/>
        <w:autoSpaceDN w:val="0"/>
        <w:spacing w:line="360" w:lineRule="auto"/>
        <w:ind w:left="0" w:firstLine="476"/>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发包人投资、建设或管理的项目的开发规划、方案、可行性研究报告、初步</w:t>
      </w:r>
      <w:r>
        <w:rPr>
          <w:rFonts w:hint="eastAsia" w:ascii="仿宋" w:hAnsi="仿宋" w:eastAsia="仿宋" w:cs="仿宋"/>
          <w:color w:val="auto"/>
          <w:highlight w:val="none"/>
          <w:lang w:eastAsia="zh-CN"/>
        </w:rPr>
        <w:t>设计、进度安排等相关文件；</w:t>
      </w:r>
    </w:p>
    <w:p w14:paraId="0DD3895F">
      <w:pPr>
        <w:pStyle w:val="165"/>
        <w:widowControl w:val="0"/>
        <w:numPr>
          <w:ilvl w:val="0"/>
          <w:numId w:val="29"/>
        </w:numPr>
        <w:tabs>
          <w:tab w:val="left" w:pos="943"/>
        </w:tabs>
        <w:autoSpaceDE w:val="0"/>
        <w:autoSpaceDN w:val="0"/>
        <w:spacing w:line="360" w:lineRule="auto"/>
        <w:ind w:left="0" w:firstLine="448"/>
        <w:rPr>
          <w:rFonts w:hint="eastAsia" w:ascii="仿宋" w:hAnsi="仿宋" w:eastAsia="仿宋" w:cs="仿宋"/>
          <w:color w:val="auto"/>
          <w:highlight w:val="none"/>
          <w:lang w:eastAsia="zh-CN"/>
        </w:rPr>
      </w:pPr>
      <w:r>
        <w:rPr>
          <w:rFonts w:hint="eastAsia" w:ascii="仿宋" w:hAnsi="仿宋" w:eastAsia="仿宋" w:cs="仿宋"/>
          <w:color w:val="auto"/>
          <w:spacing w:val="-8"/>
          <w:highlight w:val="none"/>
          <w:lang w:eastAsia="zh-CN"/>
        </w:rPr>
        <w:t>发包人投资、建设或管理的项目工程位置的地理坐标，大于</w:t>
      </w:r>
      <w:r>
        <w:rPr>
          <w:rFonts w:hint="eastAsia" w:ascii="仿宋" w:hAnsi="仿宋" w:eastAsia="仿宋" w:cs="仿宋"/>
          <w:color w:val="auto"/>
          <w:highlight w:val="none"/>
          <w:lang w:eastAsia="zh-CN"/>
        </w:rPr>
        <w:t>1:10</w:t>
      </w:r>
      <w:r>
        <w:rPr>
          <w:rFonts w:hint="eastAsia" w:ascii="仿宋" w:hAnsi="仿宋" w:eastAsia="仿宋" w:cs="仿宋"/>
          <w:color w:val="auto"/>
          <w:spacing w:val="-17"/>
          <w:highlight w:val="none"/>
          <w:lang w:eastAsia="zh-CN"/>
        </w:rPr>
        <w:t>万场区、</w:t>
      </w:r>
      <w:r>
        <w:rPr>
          <w:rFonts w:hint="eastAsia" w:ascii="仿宋" w:hAnsi="仿宋" w:eastAsia="仿宋" w:cs="仿宋"/>
          <w:color w:val="auto"/>
          <w:spacing w:val="-5"/>
          <w:highlight w:val="none"/>
          <w:lang w:eastAsia="zh-CN"/>
        </w:rPr>
        <w:t>坝区地形图、枢纽布置图等工程专业图件；</w:t>
      </w:r>
    </w:p>
    <w:p w14:paraId="46C78957">
      <w:pPr>
        <w:pStyle w:val="165"/>
        <w:widowControl w:val="0"/>
        <w:numPr>
          <w:ilvl w:val="0"/>
          <w:numId w:val="29"/>
        </w:numPr>
        <w:tabs>
          <w:tab w:val="left" w:pos="943"/>
        </w:tabs>
        <w:autoSpaceDE w:val="0"/>
        <w:autoSpaceDN w:val="0"/>
        <w:spacing w:line="360" w:lineRule="auto"/>
        <w:ind w:left="0" w:firstLine="48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发包人投资、建设或管理的工程项目的人防标准、设计规范及资料；</w:t>
      </w:r>
    </w:p>
    <w:p w14:paraId="7D3FCE7A">
      <w:pPr>
        <w:pStyle w:val="165"/>
        <w:widowControl w:val="0"/>
        <w:numPr>
          <w:ilvl w:val="0"/>
          <w:numId w:val="29"/>
        </w:numPr>
        <w:tabs>
          <w:tab w:val="left" w:pos="943"/>
        </w:tabs>
        <w:autoSpaceDE w:val="0"/>
        <w:autoSpaceDN w:val="0"/>
        <w:spacing w:line="360" w:lineRule="auto"/>
        <w:ind w:left="0" w:firstLine="476"/>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发包人财务预算、财务决算、竣工决算及各类财务报表、经济、技术统计报</w:t>
      </w:r>
      <w:r>
        <w:rPr>
          <w:rFonts w:hint="eastAsia" w:ascii="仿宋" w:hAnsi="仿宋" w:eastAsia="仿宋" w:cs="仿宋"/>
          <w:color w:val="auto"/>
          <w:highlight w:val="none"/>
          <w:lang w:eastAsia="zh-CN"/>
        </w:rPr>
        <w:t>表；</w:t>
      </w:r>
    </w:p>
    <w:p w14:paraId="79D78134">
      <w:pPr>
        <w:pStyle w:val="165"/>
        <w:widowControl w:val="0"/>
        <w:numPr>
          <w:ilvl w:val="0"/>
          <w:numId w:val="29"/>
        </w:numPr>
        <w:tabs>
          <w:tab w:val="left" w:pos="943"/>
        </w:tabs>
        <w:autoSpaceDE w:val="0"/>
        <w:autoSpaceDN w:val="0"/>
        <w:spacing w:line="360" w:lineRule="auto"/>
        <w:ind w:left="0" w:firstLine="48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发包人定标签约前的各单项工程概算（含执行概算）、投标文件的评审和比</w:t>
      </w:r>
      <w:r>
        <w:rPr>
          <w:rFonts w:hint="eastAsia" w:ascii="仿宋" w:hAnsi="仿宋" w:eastAsia="仿宋" w:cs="仿宋"/>
          <w:color w:val="auto"/>
          <w:spacing w:val="-10"/>
          <w:highlight w:val="none"/>
          <w:lang w:eastAsia="zh-CN"/>
        </w:rPr>
        <w:t>较、中标候选人的推荐情况、未公布的招标计划、评标人信息、中标后的合同谈判方</w:t>
      </w:r>
      <w:r>
        <w:rPr>
          <w:rFonts w:hint="eastAsia" w:ascii="仿宋" w:hAnsi="仿宋" w:eastAsia="仿宋" w:cs="仿宋"/>
          <w:color w:val="auto"/>
          <w:highlight w:val="none"/>
          <w:lang w:eastAsia="zh-CN"/>
        </w:rPr>
        <w:t>案等商业及技术信息；</w:t>
      </w:r>
    </w:p>
    <w:p w14:paraId="6143B327">
      <w:pPr>
        <w:pStyle w:val="165"/>
        <w:widowControl w:val="0"/>
        <w:numPr>
          <w:ilvl w:val="0"/>
          <w:numId w:val="29"/>
        </w:numPr>
        <w:tabs>
          <w:tab w:val="left" w:pos="943"/>
        </w:tabs>
        <w:autoSpaceDE w:val="0"/>
        <w:autoSpaceDN w:val="0"/>
        <w:spacing w:line="360" w:lineRule="auto"/>
        <w:ind w:left="0" w:firstLine="476"/>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发包人上网电价执行情况和价格成本水平，与竞价上网有关的技术经济指标</w:t>
      </w:r>
      <w:r>
        <w:rPr>
          <w:rFonts w:hint="eastAsia" w:ascii="仿宋" w:hAnsi="仿宋" w:eastAsia="仿宋" w:cs="仿宋"/>
          <w:color w:val="auto"/>
          <w:highlight w:val="none"/>
          <w:lang w:eastAsia="zh-CN"/>
        </w:rPr>
        <w:t>信息、营销报价策略；</w:t>
      </w:r>
    </w:p>
    <w:p w14:paraId="2E72AC2E">
      <w:pPr>
        <w:pStyle w:val="165"/>
        <w:widowControl w:val="0"/>
        <w:numPr>
          <w:ilvl w:val="0"/>
          <w:numId w:val="29"/>
        </w:numPr>
        <w:tabs>
          <w:tab w:val="left" w:pos="943"/>
        </w:tabs>
        <w:autoSpaceDE w:val="0"/>
        <w:autoSpaceDN w:val="0"/>
        <w:spacing w:line="360" w:lineRule="auto"/>
        <w:ind w:left="0" w:firstLine="48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发包人资产、股权、经营、财务、技术设备等有关方面的重要数据资料；</w:t>
      </w:r>
    </w:p>
    <w:p w14:paraId="6B594F3D">
      <w:pPr>
        <w:pStyle w:val="165"/>
        <w:widowControl w:val="0"/>
        <w:numPr>
          <w:ilvl w:val="0"/>
          <w:numId w:val="29"/>
        </w:numPr>
        <w:tabs>
          <w:tab w:val="left" w:pos="1063"/>
        </w:tabs>
        <w:autoSpaceDE w:val="0"/>
        <w:autoSpaceDN w:val="0"/>
        <w:spacing w:line="360" w:lineRule="auto"/>
        <w:ind w:left="0" w:firstLine="444"/>
        <w:rPr>
          <w:rFonts w:hint="eastAsia" w:ascii="仿宋" w:hAnsi="仿宋" w:eastAsia="仿宋" w:cs="仿宋"/>
          <w:color w:val="auto"/>
          <w:highlight w:val="none"/>
          <w:lang w:eastAsia="zh-CN"/>
        </w:rPr>
      </w:pPr>
      <w:r>
        <w:rPr>
          <w:rFonts w:hint="eastAsia" w:ascii="仿宋" w:hAnsi="仿宋" w:eastAsia="仿宋" w:cs="仿宋"/>
          <w:color w:val="auto"/>
          <w:spacing w:val="-9"/>
          <w:highlight w:val="none"/>
          <w:lang w:eastAsia="zh-CN"/>
        </w:rPr>
        <w:t>发包人的决议、会议记录、纪要、各级领导涉及秘密内容的讲话、批示，含</w:t>
      </w:r>
      <w:r>
        <w:rPr>
          <w:rFonts w:hint="eastAsia" w:ascii="仿宋" w:hAnsi="仿宋" w:eastAsia="仿宋" w:cs="仿宋"/>
          <w:color w:val="auto"/>
          <w:highlight w:val="none"/>
          <w:lang w:eastAsia="zh-CN"/>
        </w:rPr>
        <w:t>有秘密内容的信息简报等文件；</w:t>
      </w:r>
    </w:p>
    <w:p w14:paraId="6D119E5C">
      <w:pPr>
        <w:pStyle w:val="165"/>
        <w:widowControl w:val="0"/>
        <w:numPr>
          <w:ilvl w:val="0"/>
          <w:numId w:val="29"/>
        </w:numPr>
        <w:tabs>
          <w:tab w:val="left" w:pos="1063"/>
        </w:tabs>
        <w:autoSpaceDE w:val="0"/>
        <w:autoSpaceDN w:val="0"/>
        <w:spacing w:line="360" w:lineRule="auto"/>
        <w:ind w:left="0" w:firstLine="432"/>
        <w:rPr>
          <w:rFonts w:hint="eastAsia" w:ascii="仿宋" w:hAnsi="仿宋" w:eastAsia="仿宋" w:cs="仿宋"/>
          <w:color w:val="auto"/>
          <w:highlight w:val="none"/>
          <w:lang w:eastAsia="zh-CN"/>
        </w:rPr>
      </w:pPr>
      <w:r>
        <w:rPr>
          <w:rFonts w:hint="eastAsia" w:ascii="仿宋" w:hAnsi="仿宋" w:eastAsia="仿宋" w:cs="仿宋"/>
          <w:color w:val="auto"/>
          <w:spacing w:val="-12"/>
          <w:highlight w:val="none"/>
          <w:lang w:eastAsia="zh-CN"/>
        </w:rPr>
        <w:t>与发包人投资、建设或管理的工程项目相关的合同、协议、备忘录、意向书</w:t>
      </w:r>
      <w:r>
        <w:rPr>
          <w:rFonts w:hint="eastAsia" w:ascii="仿宋" w:hAnsi="仿宋" w:eastAsia="仿宋" w:cs="仿宋"/>
          <w:color w:val="auto"/>
          <w:spacing w:val="-4"/>
          <w:highlight w:val="none"/>
          <w:lang w:eastAsia="zh-CN"/>
        </w:rPr>
        <w:t>、会谈纪要等文件，无论是否以发包人名义签署；</w:t>
      </w:r>
    </w:p>
    <w:p w14:paraId="06EB1BF6">
      <w:pPr>
        <w:pStyle w:val="165"/>
        <w:widowControl w:val="0"/>
        <w:numPr>
          <w:ilvl w:val="0"/>
          <w:numId w:val="29"/>
        </w:numPr>
        <w:tabs>
          <w:tab w:val="left" w:pos="1063"/>
        </w:tabs>
        <w:autoSpaceDE w:val="0"/>
        <w:autoSpaceDN w:val="0"/>
        <w:spacing w:line="360" w:lineRule="auto"/>
        <w:ind w:left="0" w:firstLine="48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发包人签署的其他合同、协议等文件；</w:t>
      </w:r>
    </w:p>
    <w:p w14:paraId="0E1BF651">
      <w:pPr>
        <w:pStyle w:val="165"/>
        <w:widowControl w:val="0"/>
        <w:numPr>
          <w:ilvl w:val="0"/>
          <w:numId w:val="29"/>
        </w:numPr>
        <w:tabs>
          <w:tab w:val="left" w:pos="1063"/>
        </w:tabs>
        <w:autoSpaceDE w:val="0"/>
        <w:autoSpaceDN w:val="0"/>
        <w:spacing w:line="360" w:lineRule="auto"/>
        <w:ind w:left="0" w:firstLine="472"/>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发包人所掌握的具有国内或国际先进水平的科研成果，或发包人所掌握的</w:t>
      </w:r>
      <w:r>
        <w:rPr>
          <w:rFonts w:hint="eastAsia" w:ascii="仿宋" w:hAnsi="仿宋" w:eastAsia="仿宋" w:cs="仿宋"/>
          <w:color w:val="auto"/>
          <w:spacing w:val="-5"/>
          <w:highlight w:val="none"/>
          <w:lang w:eastAsia="zh-CN"/>
        </w:rPr>
        <w:t>具有独创性的商务经营方案或技术研究成果；</w:t>
      </w:r>
    </w:p>
    <w:p w14:paraId="461DDC5E">
      <w:pPr>
        <w:pStyle w:val="165"/>
        <w:widowControl w:val="0"/>
        <w:numPr>
          <w:ilvl w:val="0"/>
          <w:numId w:val="29"/>
        </w:numPr>
        <w:tabs>
          <w:tab w:val="left" w:pos="1063"/>
        </w:tabs>
        <w:autoSpaceDE w:val="0"/>
        <w:autoSpaceDN w:val="0"/>
        <w:spacing w:line="360" w:lineRule="auto"/>
        <w:ind w:left="0" w:firstLine="48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发包人审计报告、审计调查报告、审计意见书及审计工作底稿等相关文件；</w:t>
      </w:r>
    </w:p>
    <w:p w14:paraId="13949AD6">
      <w:pPr>
        <w:pStyle w:val="165"/>
        <w:widowControl w:val="0"/>
        <w:numPr>
          <w:ilvl w:val="0"/>
          <w:numId w:val="29"/>
        </w:numPr>
        <w:tabs>
          <w:tab w:val="left" w:pos="1063"/>
        </w:tabs>
        <w:autoSpaceDE w:val="0"/>
        <w:autoSpaceDN w:val="0"/>
        <w:spacing w:line="360" w:lineRule="auto"/>
        <w:ind w:left="0" w:firstLine="48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发包人人身、设备事故的有关事故情况及处理意见；</w:t>
      </w:r>
    </w:p>
    <w:p w14:paraId="1235D883">
      <w:pPr>
        <w:pStyle w:val="165"/>
        <w:widowControl w:val="0"/>
        <w:numPr>
          <w:ilvl w:val="0"/>
          <w:numId w:val="29"/>
        </w:numPr>
        <w:tabs>
          <w:tab w:val="left" w:pos="1063"/>
        </w:tabs>
        <w:autoSpaceDE w:val="0"/>
        <w:autoSpaceDN w:val="0"/>
        <w:spacing w:line="360" w:lineRule="auto"/>
        <w:ind w:left="0" w:firstLine="48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涉及发包人的案件、投诉、举报的调查情况及处理意见;</w:t>
      </w:r>
    </w:p>
    <w:p w14:paraId="02593830">
      <w:pPr>
        <w:pStyle w:val="165"/>
        <w:widowControl w:val="0"/>
        <w:numPr>
          <w:ilvl w:val="0"/>
          <w:numId w:val="29"/>
        </w:numPr>
        <w:tabs>
          <w:tab w:val="left" w:pos="1063"/>
        </w:tabs>
        <w:autoSpaceDE w:val="0"/>
        <w:autoSpaceDN w:val="0"/>
        <w:spacing w:line="360" w:lineRule="auto"/>
        <w:ind w:left="0" w:firstLine="48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涉及发包人员工利益重大管理事项的信息；</w:t>
      </w:r>
    </w:p>
    <w:p w14:paraId="62F87443">
      <w:pPr>
        <w:pStyle w:val="165"/>
        <w:widowControl w:val="0"/>
        <w:numPr>
          <w:ilvl w:val="0"/>
          <w:numId w:val="29"/>
        </w:numPr>
        <w:tabs>
          <w:tab w:val="left" w:pos="1063"/>
        </w:tabs>
        <w:autoSpaceDE w:val="0"/>
        <w:autoSpaceDN w:val="0"/>
        <w:spacing w:line="360" w:lineRule="auto"/>
        <w:ind w:left="0" w:firstLine="48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发包人员工人事档案和涉及员工工资性、劳务性收入的资料及信息；</w:t>
      </w:r>
    </w:p>
    <w:p w14:paraId="24D5988B">
      <w:pPr>
        <w:pStyle w:val="165"/>
        <w:widowControl w:val="0"/>
        <w:numPr>
          <w:ilvl w:val="0"/>
          <w:numId w:val="29"/>
        </w:numPr>
        <w:tabs>
          <w:tab w:val="left" w:pos="1063"/>
        </w:tabs>
        <w:autoSpaceDE w:val="0"/>
        <w:autoSpaceDN w:val="0"/>
        <w:spacing w:line="360" w:lineRule="auto"/>
        <w:ind w:left="0" w:firstLine="48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发包人未公开的重要活动信息；</w:t>
      </w:r>
    </w:p>
    <w:p w14:paraId="27B0D614">
      <w:pPr>
        <w:pStyle w:val="165"/>
        <w:widowControl w:val="0"/>
        <w:numPr>
          <w:ilvl w:val="0"/>
          <w:numId w:val="29"/>
        </w:numPr>
        <w:tabs>
          <w:tab w:val="left" w:pos="1063"/>
        </w:tabs>
        <w:autoSpaceDE w:val="0"/>
        <w:autoSpaceDN w:val="0"/>
        <w:spacing w:line="360" w:lineRule="auto"/>
        <w:ind w:left="0" w:firstLine="48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属于第三方所有但发包人承诺有保密义务的信息；</w:t>
      </w:r>
    </w:p>
    <w:p w14:paraId="5F4C1FC6">
      <w:pPr>
        <w:pStyle w:val="165"/>
        <w:widowControl w:val="0"/>
        <w:numPr>
          <w:ilvl w:val="0"/>
          <w:numId w:val="29"/>
        </w:numPr>
        <w:tabs>
          <w:tab w:val="left" w:pos="1063"/>
        </w:tabs>
        <w:autoSpaceDE w:val="0"/>
        <w:autoSpaceDN w:val="0"/>
        <w:spacing w:line="360" w:lineRule="auto"/>
        <w:ind w:left="0" w:firstLine="464"/>
        <w:rPr>
          <w:rFonts w:hint="eastAsia" w:ascii="仿宋" w:hAnsi="仿宋" w:eastAsia="仿宋" w:cs="仿宋"/>
          <w:color w:val="auto"/>
          <w:highlight w:val="none"/>
          <w:lang w:eastAsia="zh-CN"/>
        </w:rPr>
      </w:pPr>
      <w:r>
        <w:rPr>
          <w:rFonts w:hint="eastAsia" w:ascii="仿宋" w:hAnsi="仿宋" w:eastAsia="仿宋" w:cs="仿宋"/>
          <w:color w:val="auto"/>
          <w:spacing w:val="-4"/>
          <w:highlight w:val="none"/>
          <w:lang w:eastAsia="zh-CN"/>
        </w:rPr>
        <w:t>发包人的其他商业秘密信息，包括但不限于与发包人的经营管理相关的技</w:t>
      </w:r>
      <w:r>
        <w:rPr>
          <w:rFonts w:hint="eastAsia" w:ascii="仿宋" w:hAnsi="仿宋" w:eastAsia="仿宋" w:cs="仿宋"/>
          <w:color w:val="auto"/>
          <w:spacing w:val="-11"/>
          <w:highlight w:val="none"/>
          <w:lang w:eastAsia="zh-CN"/>
        </w:rPr>
        <w:t>术或经济上的资料或数据、申请报告、市场或项目信息、经营计划、经营策略，发包</w:t>
      </w:r>
      <w:r>
        <w:rPr>
          <w:rFonts w:hint="eastAsia" w:ascii="仿宋" w:hAnsi="仿宋" w:eastAsia="仿宋" w:cs="仿宋"/>
          <w:color w:val="auto"/>
          <w:spacing w:val="-4"/>
          <w:highlight w:val="none"/>
          <w:lang w:eastAsia="zh-CN"/>
        </w:rPr>
        <w:t>人所掌握的尚未公开的其他各类信息。</w:t>
      </w:r>
    </w:p>
    <w:p w14:paraId="5745F681">
      <w:pPr>
        <w:pStyle w:val="17"/>
        <w:widowControl w:val="0"/>
        <w:autoSpaceDE w:val="0"/>
        <w:autoSpaceDN w:val="0"/>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二、本协议第一条所述之商业秘密，承包人不得用于发包人所交付工作以外的任何方面，不得向发包人以外的任何第三方泄露、告知、公布、发布、出版、传授、</w:t>
      </w:r>
      <w:r>
        <w:rPr>
          <w:rFonts w:hint="eastAsia" w:ascii="仿宋" w:hAnsi="仿宋" w:eastAsia="仿宋" w:cs="仿宋"/>
          <w:color w:val="auto"/>
          <w:spacing w:val="-3"/>
          <w:highlight w:val="none"/>
          <w:lang w:eastAsia="zh-CN"/>
        </w:rPr>
        <w:t>转让发包人商业保密或者以其他任何方式使任何第三方知悉发包人的商业秘密，除非</w:t>
      </w:r>
      <w:r>
        <w:rPr>
          <w:rFonts w:hint="eastAsia" w:ascii="仿宋" w:hAnsi="仿宋" w:eastAsia="仿宋" w:cs="仿宋"/>
          <w:color w:val="auto"/>
          <w:spacing w:val="-7"/>
          <w:highlight w:val="none"/>
          <w:lang w:eastAsia="zh-CN"/>
        </w:rPr>
        <w:t>该信息的披露依法律要求必须向有关司法部门透露。但该披露必须事先得到发包人书</w:t>
      </w:r>
      <w:r>
        <w:rPr>
          <w:rFonts w:hint="eastAsia" w:ascii="仿宋" w:hAnsi="仿宋" w:eastAsia="仿宋" w:cs="仿宋"/>
          <w:color w:val="auto"/>
          <w:spacing w:val="-18"/>
          <w:highlight w:val="none"/>
          <w:lang w:eastAsia="zh-CN"/>
        </w:rPr>
        <w:t>面同意，并只能在授权的范围内披露。承包人对于发包人的商业秘密信息的任何修改、</w:t>
      </w:r>
      <w:r>
        <w:rPr>
          <w:rFonts w:hint="eastAsia" w:ascii="仿宋" w:hAnsi="仿宋" w:eastAsia="仿宋" w:cs="仿宋"/>
          <w:color w:val="auto"/>
          <w:highlight w:val="none"/>
          <w:lang w:eastAsia="zh-CN"/>
        </w:rPr>
        <w:t>打印、复制均需得到发包人的书面授权。</w:t>
      </w:r>
    </w:p>
    <w:p w14:paraId="305CC077">
      <w:pPr>
        <w:pStyle w:val="17"/>
        <w:widowControl w:val="0"/>
        <w:autoSpaceDE w:val="0"/>
        <w:autoSpaceDN w:val="0"/>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三、承包人应将涉及发包人商业秘密信息的资料，与其他一般性资料、物品分</w:t>
      </w:r>
      <w:r>
        <w:rPr>
          <w:rFonts w:hint="eastAsia" w:ascii="仿宋" w:hAnsi="仿宋" w:eastAsia="仿宋" w:cs="仿宋"/>
          <w:color w:val="auto"/>
          <w:spacing w:val="-10"/>
          <w:highlight w:val="none"/>
          <w:lang w:eastAsia="zh-CN"/>
        </w:rPr>
        <w:t>别存放，并保证将涉及发包人商业秘密信息的资料置于安全处所，以防止非相关人员</w:t>
      </w:r>
      <w:r>
        <w:rPr>
          <w:rFonts w:hint="eastAsia" w:ascii="仿宋" w:hAnsi="仿宋" w:eastAsia="仿宋" w:cs="仿宋"/>
          <w:color w:val="auto"/>
          <w:highlight w:val="none"/>
          <w:lang w:eastAsia="zh-CN"/>
        </w:rPr>
        <w:t>之接触，并确保该资料不致泄密。</w:t>
      </w:r>
    </w:p>
    <w:p w14:paraId="03ADC6A4">
      <w:pPr>
        <w:pStyle w:val="17"/>
        <w:widowControl w:val="0"/>
        <w:autoSpaceDE w:val="0"/>
        <w:autoSpaceDN w:val="0"/>
        <w:ind w:firstLine="440" w:firstLineChars="200"/>
        <w:rPr>
          <w:rFonts w:hint="eastAsia" w:ascii="仿宋" w:hAnsi="仿宋" w:eastAsia="仿宋" w:cs="仿宋"/>
          <w:color w:val="auto"/>
          <w:highlight w:val="none"/>
          <w:lang w:eastAsia="zh-CN"/>
        </w:rPr>
      </w:pPr>
      <w:r>
        <w:rPr>
          <w:rFonts w:hint="eastAsia" w:ascii="仿宋" w:hAnsi="仿宋" w:eastAsia="仿宋" w:cs="仿宋"/>
          <w:color w:val="auto"/>
          <w:spacing w:val="-10"/>
          <w:highlight w:val="none"/>
          <w:lang w:eastAsia="zh-CN"/>
        </w:rPr>
        <w:t>四、承包人在完成工作后，对于废弃不用的保密资料应作如下处理：文件、图纸等应及时销毁；磁盘、视听资料或其他不易销毁的实物应当及时交还发包人，由发包</w:t>
      </w:r>
      <w:r>
        <w:rPr>
          <w:rFonts w:hint="eastAsia" w:ascii="仿宋" w:hAnsi="仿宋" w:eastAsia="仿宋" w:cs="仿宋"/>
          <w:color w:val="auto"/>
          <w:highlight w:val="none"/>
          <w:lang w:eastAsia="zh-CN"/>
        </w:rPr>
        <w:t>人统一处理。</w:t>
      </w:r>
    </w:p>
    <w:p w14:paraId="241BFFCE">
      <w:pPr>
        <w:pStyle w:val="17"/>
        <w:widowControl w:val="0"/>
        <w:autoSpaceDE w:val="0"/>
        <w:autoSpaceDN w:val="0"/>
        <w:ind w:firstLine="440" w:firstLineChars="200"/>
        <w:rPr>
          <w:rFonts w:hint="eastAsia" w:ascii="仿宋" w:hAnsi="仿宋" w:eastAsia="仿宋" w:cs="仿宋"/>
          <w:color w:val="auto"/>
          <w:highlight w:val="none"/>
          <w:lang w:eastAsia="zh-CN"/>
        </w:rPr>
      </w:pPr>
      <w:r>
        <w:rPr>
          <w:rFonts w:hint="eastAsia" w:ascii="仿宋" w:hAnsi="仿宋" w:eastAsia="仿宋" w:cs="仿宋"/>
          <w:color w:val="auto"/>
          <w:spacing w:val="-10"/>
          <w:highlight w:val="none"/>
          <w:lang w:eastAsia="zh-CN"/>
        </w:rPr>
        <w:t>五、承包人在遗失涉及发包人的商业秘密的资料时，应及时向发包人汇报，以便</w:t>
      </w:r>
      <w:r>
        <w:rPr>
          <w:rFonts w:hint="eastAsia" w:ascii="仿宋" w:hAnsi="仿宋" w:eastAsia="仿宋" w:cs="仿宋"/>
          <w:color w:val="auto"/>
          <w:highlight w:val="none"/>
          <w:lang w:eastAsia="zh-CN"/>
        </w:rPr>
        <w:t>使发包人能立即采取相关措施，减少因商业秘密信息泄露而可能造成的损害。</w:t>
      </w:r>
    </w:p>
    <w:p w14:paraId="527F301E">
      <w:pPr>
        <w:pStyle w:val="17"/>
        <w:widowControl w:val="0"/>
        <w:autoSpaceDE w:val="0"/>
        <w:autoSpaceDN w:val="0"/>
        <w:ind w:firstLine="436" w:firstLineChars="200"/>
        <w:rPr>
          <w:rFonts w:hint="eastAsia" w:ascii="仿宋" w:hAnsi="仿宋" w:eastAsia="仿宋" w:cs="仿宋"/>
          <w:color w:val="auto"/>
          <w:highlight w:val="none"/>
          <w:lang w:eastAsia="zh-CN"/>
        </w:rPr>
      </w:pPr>
      <w:r>
        <w:rPr>
          <w:rFonts w:hint="eastAsia" w:ascii="仿宋" w:hAnsi="仿宋" w:eastAsia="仿宋" w:cs="仿宋"/>
          <w:color w:val="auto"/>
          <w:spacing w:val="-11"/>
          <w:highlight w:val="none"/>
          <w:lang w:eastAsia="zh-CN"/>
        </w:rPr>
        <w:t>六、在本协议终止之后，不论本协议终止的原因为何，承包人仍应对其在本协议</w:t>
      </w:r>
      <w:r>
        <w:rPr>
          <w:rFonts w:hint="eastAsia" w:ascii="仿宋" w:hAnsi="仿宋" w:eastAsia="仿宋" w:cs="仿宋"/>
          <w:color w:val="auto"/>
          <w:spacing w:val="-10"/>
          <w:highlight w:val="none"/>
          <w:lang w:eastAsia="zh-CN"/>
        </w:rPr>
        <w:t>谈判、签署和履行期间接触、知悉的发包人商业秘密承担保密义务。承包人在本合同</w:t>
      </w:r>
      <w:r>
        <w:rPr>
          <w:rFonts w:hint="eastAsia" w:ascii="仿宋" w:hAnsi="仿宋" w:eastAsia="仿宋" w:cs="仿宋"/>
          <w:color w:val="auto"/>
          <w:spacing w:val="-7"/>
          <w:highlight w:val="none"/>
          <w:lang w:eastAsia="zh-CN"/>
        </w:rPr>
        <w:t>终止后承担保密义务为无限期保密，直至发包人宣布解密或者秘密信息由于非承包人</w:t>
      </w:r>
      <w:r>
        <w:rPr>
          <w:rFonts w:hint="eastAsia" w:ascii="仿宋" w:hAnsi="仿宋" w:eastAsia="仿宋" w:cs="仿宋"/>
          <w:color w:val="auto"/>
          <w:highlight w:val="none"/>
          <w:lang w:eastAsia="zh-CN"/>
        </w:rPr>
        <w:t>的责任实际上已经公开。</w:t>
      </w:r>
    </w:p>
    <w:p w14:paraId="7691EF13">
      <w:pPr>
        <w:pStyle w:val="17"/>
        <w:widowControl w:val="0"/>
        <w:autoSpaceDE w:val="0"/>
        <w:autoSpaceDN w:val="0"/>
        <w:ind w:firstLine="436" w:firstLineChars="200"/>
        <w:rPr>
          <w:rFonts w:hint="eastAsia" w:ascii="仿宋" w:hAnsi="仿宋" w:eastAsia="仿宋" w:cs="仿宋"/>
          <w:color w:val="auto"/>
          <w:highlight w:val="none"/>
          <w:lang w:eastAsia="zh-CN"/>
        </w:rPr>
      </w:pPr>
      <w:r>
        <w:rPr>
          <w:rFonts w:hint="eastAsia" w:ascii="仿宋" w:hAnsi="仿宋" w:eastAsia="仿宋" w:cs="仿宋"/>
          <w:color w:val="auto"/>
          <w:spacing w:val="-11"/>
          <w:highlight w:val="none"/>
          <w:lang w:eastAsia="zh-CN"/>
        </w:rPr>
        <w:t>七、承包人因本协议的谈判、签订和履行所持有或保管的一切记录着发包人秘密信息的文件、资料、图表、笔记、报告、信件、传真、磁带、磁盘、仪器以及其他任</w:t>
      </w:r>
      <w:r>
        <w:rPr>
          <w:rFonts w:hint="eastAsia" w:ascii="仿宋" w:hAnsi="仿宋" w:eastAsia="仿宋" w:cs="仿宋"/>
          <w:color w:val="auto"/>
          <w:spacing w:val="-9"/>
          <w:highlight w:val="none"/>
          <w:lang w:eastAsia="zh-CN"/>
        </w:rPr>
        <w:t>何形式的载体，均归发包人所有，无论这些秘密信息有无商业上的价值。承包人应当</w:t>
      </w:r>
      <w:r>
        <w:rPr>
          <w:rFonts w:hint="eastAsia" w:ascii="仿宋" w:hAnsi="仿宋" w:eastAsia="仿宋" w:cs="仿宋"/>
          <w:color w:val="auto"/>
          <w:spacing w:val="-8"/>
          <w:highlight w:val="none"/>
          <w:lang w:eastAsia="zh-CN"/>
        </w:rPr>
        <w:t>于本协议终止时，或者于发包人提出请求时，返还全部属于发包人的财物，包括记载</w:t>
      </w:r>
      <w:r>
        <w:rPr>
          <w:rFonts w:hint="eastAsia" w:ascii="仿宋" w:hAnsi="仿宋" w:eastAsia="仿宋" w:cs="仿宋"/>
          <w:color w:val="auto"/>
          <w:highlight w:val="none"/>
          <w:lang w:eastAsia="zh-CN"/>
        </w:rPr>
        <w:t>着发包人秘密信息的一切载体。</w:t>
      </w:r>
    </w:p>
    <w:p w14:paraId="6579143A">
      <w:pPr>
        <w:pStyle w:val="17"/>
        <w:widowControl w:val="0"/>
        <w:autoSpaceDE w:val="0"/>
        <w:autoSpaceDN w:val="0"/>
        <w:ind w:firstLine="440" w:firstLineChars="200"/>
        <w:rPr>
          <w:rFonts w:hint="eastAsia" w:ascii="仿宋" w:hAnsi="仿宋" w:eastAsia="仿宋" w:cs="仿宋"/>
          <w:color w:val="auto"/>
          <w:highlight w:val="none"/>
          <w:lang w:eastAsia="zh-CN"/>
        </w:rPr>
      </w:pPr>
      <w:r>
        <w:rPr>
          <w:rFonts w:hint="eastAsia" w:ascii="仿宋" w:hAnsi="仿宋" w:eastAsia="仿宋" w:cs="仿宋"/>
          <w:color w:val="auto"/>
          <w:spacing w:val="-10"/>
          <w:highlight w:val="none"/>
          <w:lang w:eastAsia="zh-CN"/>
        </w:rPr>
        <w:t>八、承包人认可，承包人不因履行本协议、发包人规章制度和相关法律法规所规</w:t>
      </w:r>
      <w:r>
        <w:rPr>
          <w:rFonts w:hint="eastAsia" w:ascii="仿宋" w:hAnsi="仿宋" w:eastAsia="仿宋" w:cs="仿宋"/>
          <w:color w:val="auto"/>
          <w:spacing w:val="-5"/>
          <w:highlight w:val="none"/>
          <w:lang w:eastAsia="zh-CN"/>
        </w:rPr>
        <w:t>定的对发包人商业秘密的保密义务而要求发包人支付保密费，发包人也无义务向其支</w:t>
      </w:r>
      <w:r>
        <w:rPr>
          <w:rFonts w:hint="eastAsia" w:ascii="仿宋" w:hAnsi="仿宋" w:eastAsia="仿宋" w:cs="仿宋"/>
          <w:color w:val="auto"/>
          <w:highlight w:val="none"/>
          <w:lang w:eastAsia="zh-CN"/>
        </w:rPr>
        <w:t>付保密费。</w:t>
      </w:r>
    </w:p>
    <w:p w14:paraId="70F1408E">
      <w:pPr>
        <w:pStyle w:val="17"/>
        <w:widowControl w:val="0"/>
        <w:autoSpaceDE w:val="0"/>
        <w:autoSpaceDN w:val="0"/>
        <w:ind w:firstLine="440" w:firstLineChars="200"/>
        <w:rPr>
          <w:rFonts w:hint="eastAsia" w:ascii="仿宋" w:hAnsi="仿宋" w:eastAsia="仿宋" w:cs="仿宋"/>
          <w:color w:val="auto"/>
          <w:highlight w:val="none"/>
          <w:lang w:eastAsia="zh-CN"/>
        </w:rPr>
      </w:pPr>
      <w:r>
        <w:rPr>
          <w:rFonts w:hint="eastAsia" w:ascii="仿宋" w:hAnsi="仿宋" w:eastAsia="仿宋" w:cs="仿宋"/>
          <w:color w:val="auto"/>
          <w:spacing w:val="-10"/>
          <w:highlight w:val="none"/>
          <w:lang w:eastAsia="zh-CN"/>
        </w:rPr>
        <w:t>九、承包人在履行本协议时，不擅自使用任何属于他人的技术或商业秘密，不擅</w:t>
      </w:r>
      <w:r>
        <w:rPr>
          <w:rFonts w:hint="eastAsia" w:ascii="仿宋" w:hAnsi="仿宋" w:eastAsia="仿宋" w:cs="仿宋"/>
          <w:color w:val="auto"/>
          <w:spacing w:val="-7"/>
          <w:highlight w:val="none"/>
          <w:lang w:eastAsia="zh-CN"/>
        </w:rPr>
        <w:t>自实施可能侵犯他人知识产权的行为。若承包人违反上述承诺而导致发包人遭受第三</w:t>
      </w:r>
      <w:r>
        <w:rPr>
          <w:rFonts w:hint="eastAsia" w:ascii="仿宋" w:hAnsi="仿宋" w:eastAsia="仿宋" w:cs="仿宋"/>
          <w:color w:val="auto"/>
          <w:spacing w:val="-9"/>
          <w:highlight w:val="none"/>
          <w:lang w:eastAsia="zh-CN"/>
        </w:rPr>
        <w:t>方的侵权指控时，承包人应当承担发包人为应诉而支付的一切费用；发包人若因此而</w:t>
      </w:r>
      <w:r>
        <w:rPr>
          <w:rFonts w:hint="eastAsia" w:ascii="仿宋" w:hAnsi="仿宋" w:eastAsia="仿宋" w:cs="仿宋"/>
          <w:color w:val="auto"/>
          <w:spacing w:val="-10"/>
          <w:highlight w:val="none"/>
          <w:lang w:eastAsia="zh-CN"/>
        </w:rPr>
        <w:t>承担侵权赔偿责任，有权向承包人追偿。上述费用发包人可以从发包人应支付给承包</w:t>
      </w:r>
      <w:r>
        <w:rPr>
          <w:rFonts w:hint="eastAsia" w:ascii="仿宋" w:hAnsi="仿宋" w:eastAsia="仿宋" w:cs="仿宋"/>
          <w:color w:val="auto"/>
          <w:highlight w:val="none"/>
          <w:lang w:eastAsia="zh-CN"/>
        </w:rPr>
        <w:t>人的合同价款中扣除。</w:t>
      </w:r>
    </w:p>
    <w:p w14:paraId="6C5221AD">
      <w:pPr>
        <w:pStyle w:val="17"/>
        <w:widowControl w:val="0"/>
        <w:autoSpaceDE w:val="0"/>
        <w:autoSpaceDN w:val="0"/>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十、承包人在此作出如下陈述和保证：</w:t>
      </w:r>
    </w:p>
    <w:p w14:paraId="7C7E9B2E">
      <w:pPr>
        <w:pStyle w:val="165"/>
        <w:widowControl w:val="0"/>
        <w:numPr>
          <w:ilvl w:val="0"/>
          <w:numId w:val="30"/>
        </w:numPr>
        <w:tabs>
          <w:tab w:val="left" w:pos="943"/>
        </w:tabs>
        <w:autoSpaceDE w:val="0"/>
        <w:autoSpaceDN w:val="0"/>
        <w:spacing w:line="360" w:lineRule="auto"/>
        <w:ind w:left="0" w:firstLine="476"/>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承包人对获悉的发包人的商业秘密信息负有保密义务，保证不因承包人的故</w:t>
      </w:r>
      <w:r>
        <w:rPr>
          <w:rFonts w:hint="eastAsia" w:ascii="仿宋" w:hAnsi="仿宋" w:eastAsia="仿宋" w:cs="仿宋"/>
          <w:color w:val="auto"/>
          <w:highlight w:val="none"/>
          <w:lang w:eastAsia="zh-CN"/>
        </w:rPr>
        <w:t>意或过失使他人获得、使用这些信息。</w:t>
      </w:r>
    </w:p>
    <w:p w14:paraId="3E38FF95">
      <w:pPr>
        <w:pStyle w:val="165"/>
        <w:widowControl w:val="0"/>
        <w:numPr>
          <w:ilvl w:val="0"/>
          <w:numId w:val="30"/>
        </w:numPr>
        <w:tabs>
          <w:tab w:val="left" w:pos="943"/>
        </w:tabs>
        <w:autoSpaceDE w:val="0"/>
        <w:autoSpaceDN w:val="0"/>
        <w:spacing w:line="360" w:lineRule="auto"/>
        <w:ind w:left="0" w:firstLine="476"/>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除发包人正式的书面指示外，任何口头或非正式的书面指示均不构成承包人</w:t>
      </w:r>
      <w:r>
        <w:rPr>
          <w:rFonts w:hint="eastAsia" w:ascii="仿宋" w:hAnsi="仿宋" w:eastAsia="仿宋" w:cs="仿宋"/>
          <w:color w:val="auto"/>
          <w:highlight w:val="none"/>
          <w:lang w:eastAsia="zh-CN"/>
        </w:rPr>
        <w:t>向任何第三方告知或提供与发包人商业秘密信息有关之资料的抗辩理由。</w:t>
      </w:r>
    </w:p>
    <w:p w14:paraId="4D038B76">
      <w:pPr>
        <w:pStyle w:val="165"/>
        <w:widowControl w:val="0"/>
        <w:numPr>
          <w:ilvl w:val="0"/>
          <w:numId w:val="30"/>
        </w:numPr>
        <w:tabs>
          <w:tab w:val="left" w:pos="943"/>
        </w:tabs>
        <w:autoSpaceDE w:val="0"/>
        <w:autoSpaceDN w:val="0"/>
        <w:spacing w:line="360" w:lineRule="auto"/>
        <w:ind w:left="0" w:firstLine="476"/>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承包人保证不出于故意了解、掌握与本协议的履行无关的商业秘密信息和商</w:t>
      </w:r>
      <w:r>
        <w:rPr>
          <w:rFonts w:hint="eastAsia" w:ascii="仿宋" w:hAnsi="仿宋" w:eastAsia="仿宋" w:cs="仿宋"/>
          <w:color w:val="auto"/>
          <w:highlight w:val="none"/>
          <w:lang w:eastAsia="zh-CN"/>
        </w:rPr>
        <w:t>业技术秘密，更不得出于故意获取有关的资料。</w:t>
      </w:r>
    </w:p>
    <w:p w14:paraId="014C2744">
      <w:pPr>
        <w:pStyle w:val="165"/>
        <w:widowControl w:val="0"/>
        <w:numPr>
          <w:ilvl w:val="0"/>
          <w:numId w:val="30"/>
        </w:numPr>
        <w:tabs>
          <w:tab w:val="left" w:pos="943"/>
        </w:tabs>
        <w:autoSpaceDE w:val="0"/>
        <w:autoSpaceDN w:val="0"/>
        <w:spacing w:line="360" w:lineRule="auto"/>
        <w:ind w:left="0" w:firstLine="48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承包人保证在本协议履行期间和终止之后，不私自复印或保留和发包人商业</w:t>
      </w:r>
      <w:r>
        <w:rPr>
          <w:rFonts w:hint="eastAsia" w:ascii="仿宋" w:hAnsi="仿宋" w:eastAsia="仿宋" w:cs="仿宋"/>
          <w:color w:val="auto"/>
          <w:spacing w:val="-7"/>
          <w:highlight w:val="none"/>
          <w:lang w:eastAsia="zh-CN"/>
        </w:rPr>
        <w:t>秘密信息有关之任何资料，亦不得将知悉的内容泄露于其他任何第三方，或协助第三</w:t>
      </w:r>
      <w:r>
        <w:rPr>
          <w:rFonts w:hint="eastAsia" w:ascii="仿宋" w:hAnsi="仿宋" w:eastAsia="仿宋" w:cs="仿宋"/>
          <w:color w:val="auto"/>
          <w:highlight w:val="none"/>
          <w:lang w:eastAsia="zh-CN"/>
        </w:rPr>
        <w:t>方获悉相关资料的内容。</w:t>
      </w:r>
    </w:p>
    <w:p w14:paraId="595FF347">
      <w:pPr>
        <w:pStyle w:val="17"/>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十一、因本协议而引起的任何纠纷，按主合同约定的争议解决办法执行。</w:t>
      </w:r>
      <w:r>
        <w:rPr>
          <w:rFonts w:hint="eastAsia" w:ascii="仿宋" w:hAnsi="仿宋" w:eastAsia="仿宋" w:cs="仿宋"/>
          <w:color w:val="auto"/>
          <w:highlight w:val="none"/>
          <w:lang w:eastAsia="zh-CN"/>
        </w:rPr>
        <w:tab/>
      </w:r>
      <w:r>
        <w:rPr>
          <w:rFonts w:hint="eastAsia" w:ascii="仿宋" w:hAnsi="仿宋" w:eastAsia="仿宋" w:cs="仿宋"/>
          <w:color w:val="auto"/>
          <w:position w:val="1"/>
          <w:highlight w:val="none"/>
          <w:lang w:eastAsia="zh-CN"/>
        </w:rPr>
        <w:tab/>
      </w:r>
      <w:r>
        <w:rPr>
          <w:rFonts w:hint="eastAsia" w:ascii="仿宋" w:hAnsi="仿宋" w:eastAsia="仿宋" w:cs="仿宋"/>
          <w:color w:val="auto"/>
          <w:position w:val="1"/>
          <w:highlight w:val="none"/>
          <w:lang w:eastAsia="zh-CN"/>
        </w:rPr>
        <w:tab/>
      </w:r>
    </w:p>
    <w:p w14:paraId="7114D15A">
      <w:pPr>
        <w:widowControl w:val="0"/>
        <w:autoSpaceDE w:val="0"/>
        <w:autoSpaceDN w:val="0"/>
        <w:spacing w:line="360" w:lineRule="auto"/>
        <w:ind w:firstLine="480" w:firstLineChars="200"/>
        <w:rPr>
          <w:rFonts w:hint="eastAsia" w:ascii="仿宋" w:hAnsi="仿宋" w:eastAsia="仿宋" w:cs="仿宋"/>
          <w:color w:val="auto"/>
          <w:highlight w:val="none"/>
          <w:lang w:bidi="ar-SA"/>
        </w:rPr>
      </w:pPr>
      <w:r>
        <w:rPr>
          <w:rFonts w:hint="eastAsia" w:ascii="仿宋" w:hAnsi="仿宋" w:eastAsia="仿宋" w:cs="仿宋"/>
          <w:color w:val="auto"/>
          <w:highlight w:val="none"/>
          <w:lang w:bidi="ar-SA"/>
        </w:rPr>
        <w:t>十二、违约责任</w:t>
      </w:r>
    </w:p>
    <w:p w14:paraId="464A505D">
      <w:pPr>
        <w:widowControl w:val="0"/>
        <w:autoSpaceDE w:val="0"/>
        <w:autoSpaceDN w:val="0"/>
        <w:spacing w:line="360" w:lineRule="auto"/>
        <w:ind w:firstLine="480" w:firstLineChars="200"/>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如果承包人违反本协议规定而给发包人造成损失的，承包人应予全额赔偿。</w:t>
      </w:r>
    </w:p>
    <w:p w14:paraId="06317D05">
      <w:pPr>
        <w:widowControl w:val="0"/>
        <w:numPr>
          <w:ilvl w:val="0"/>
          <w:numId w:val="31"/>
        </w:numPr>
        <w:autoSpaceDE w:val="0"/>
        <w:autoSpaceDN w:val="0"/>
        <w:spacing w:line="360" w:lineRule="auto"/>
        <w:ind w:firstLine="480" w:firstLineChars="200"/>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本协议自双方签字并盖章之日起生效，直至承包人承担的保密义务结束失效。本协议修改须经双方同意并以书面形式为准。</w:t>
      </w:r>
    </w:p>
    <w:p w14:paraId="7755F33D">
      <w:pPr>
        <w:widowControl w:val="0"/>
        <w:numPr>
          <w:ilvl w:val="0"/>
          <w:numId w:val="31"/>
        </w:numPr>
        <w:autoSpaceDE w:val="0"/>
        <w:autoSpaceDN w:val="0"/>
        <w:spacing w:line="360" w:lineRule="auto"/>
        <w:ind w:firstLine="480" w:firstLineChars="200"/>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双方确认，在签署本协议前已仔细审阅过合同的内容，并完全了解合同各条款的法律含义。</w:t>
      </w:r>
    </w:p>
    <w:p w14:paraId="47C445A6">
      <w:pPr>
        <w:widowControl w:val="0"/>
        <w:numPr>
          <w:ilvl w:val="0"/>
          <w:numId w:val="31"/>
        </w:numPr>
        <w:autoSpaceDE w:val="0"/>
        <w:autoSpaceDN w:val="0"/>
        <w:spacing w:line="360" w:lineRule="auto"/>
        <w:ind w:firstLine="480" w:firstLineChars="200"/>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本协议随主合同一并签订。</w:t>
      </w:r>
    </w:p>
    <w:p w14:paraId="2185D4B0">
      <w:pPr>
        <w:widowControl w:val="0"/>
        <w:autoSpaceDE w:val="0"/>
        <w:autoSpaceDN w:val="0"/>
        <w:spacing w:line="360" w:lineRule="auto"/>
        <w:ind w:left="480" w:leftChars="200"/>
        <w:rPr>
          <w:rFonts w:hint="eastAsia" w:ascii="仿宋" w:hAnsi="仿宋" w:eastAsia="仿宋" w:cs="仿宋"/>
          <w:color w:val="auto"/>
          <w:highlight w:val="none"/>
          <w:lang w:eastAsia="zh-CN" w:bidi="ar-SA"/>
        </w:rPr>
      </w:pPr>
    </w:p>
    <w:p w14:paraId="26EA8EB2">
      <w:pPr>
        <w:widowControl w:val="0"/>
        <w:autoSpaceDE w:val="0"/>
        <w:autoSpaceDN w:val="0"/>
        <w:spacing w:line="360" w:lineRule="auto"/>
        <w:ind w:left="480" w:leftChars="200"/>
        <w:rPr>
          <w:rFonts w:hint="eastAsia" w:ascii="仿宋" w:hAnsi="仿宋" w:eastAsia="仿宋" w:cs="仿宋"/>
          <w:color w:val="auto"/>
          <w:highlight w:val="none"/>
          <w:lang w:eastAsia="zh-CN" w:bidi="ar-SA"/>
        </w:rPr>
      </w:pPr>
    </w:p>
    <w:p w14:paraId="39A33956">
      <w:pPr>
        <w:widowControl w:val="0"/>
        <w:tabs>
          <w:tab w:val="left" w:pos="5280"/>
        </w:tabs>
        <w:autoSpaceDE w:val="0"/>
        <w:autoSpaceDN w:val="0"/>
        <w:spacing w:line="360" w:lineRule="auto"/>
        <w:ind w:left="480" w:leftChars="200"/>
        <w:rPr>
          <w:rFonts w:hint="eastAsia" w:ascii="仿宋" w:hAnsi="仿宋" w:eastAsia="仿宋" w:cs="仿宋"/>
          <w:color w:val="auto"/>
          <w:highlight w:val="none"/>
          <w:lang w:eastAsia="zh-CN" w:bidi="ar-SA"/>
        </w:rPr>
      </w:pPr>
    </w:p>
    <w:p w14:paraId="3A06B83A">
      <w:pPr>
        <w:widowControl w:val="0"/>
        <w:tabs>
          <w:tab w:val="left" w:pos="5280"/>
        </w:tabs>
        <w:autoSpaceDE w:val="0"/>
        <w:autoSpaceDN w:val="0"/>
        <w:spacing w:line="360" w:lineRule="auto"/>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 xml:space="preserve">发包人： 广州三元里片区改造投资有限公司    承包人：（主） </w:t>
      </w:r>
    </w:p>
    <w:p w14:paraId="52E6B3C1">
      <w:pPr>
        <w:widowControl w:val="0"/>
        <w:tabs>
          <w:tab w:val="left" w:pos="5280"/>
        </w:tabs>
        <w:autoSpaceDE w:val="0"/>
        <w:autoSpaceDN w:val="0"/>
        <w:spacing w:line="360" w:lineRule="auto"/>
        <w:ind w:left="480" w:leftChars="200"/>
        <w:rPr>
          <w:rFonts w:hint="eastAsia" w:ascii="仿宋" w:hAnsi="仿宋" w:eastAsia="仿宋" w:cs="仿宋"/>
          <w:color w:val="auto"/>
          <w:highlight w:val="none"/>
          <w:lang w:eastAsia="zh-CN" w:bidi="ar-SA"/>
        </w:rPr>
      </w:pPr>
    </w:p>
    <w:p w14:paraId="5B5F9920">
      <w:pPr>
        <w:widowControl w:val="0"/>
        <w:autoSpaceDE w:val="0"/>
        <w:autoSpaceDN w:val="0"/>
        <w:spacing w:line="360" w:lineRule="auto"/>
        <w:ind w:left="480" w:leftChars="200"/>
        <w:rPr>
          <w:rFonts w:hint="eastAsia" w:ascii="仿宋" w:hAnsi="仿宋" w:eastAsia="仿宋" w:cs="仿宋"/>
          <w:color w:val="auto"/>
          <w:highlight w:val="none"/>
          <w:lang w:eastAsia="zh-CN" w:bidi="ar-SA"/>
        </w:rPr>
      </w:pPr>
    </w:p>
    <w:p w14:paraId="01EEB72E">
      <w:pPr>
        <w:widowControl w:val="0"/>
        <w:autoSpaceDE w:val="0"/>
        <w:autoSpaceDN w:val="0"/>
        <w:spacing w:line="360" w:lineRule="auto"/>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法定代表人：</w:t>
      </w:r>
      <w:r>
        <w:rPr>
          <w:rFonts w:hint="eastAsia" w:ascii="仿宋" w:hAnsi="仿宋" w:eastAsia="仿宋" w:cs="仿宋"/>
          <w:color w:val="auto"/>
          <w:highlight w:val="none"/>
          <w:lang w:eastAsia="zh-CN" w:bidi="ar-SA"/>
        </w:rPr>
        <w:tab/>
      </w:r>
      <w:r>
        <w:rPr>
          <w:rFonts w:hint="eastAsia" w:ascii="仿宋" w:hAnsi="仿宋" w:eastAsia="仿宋" w:cs="仿宋"/>
          <w:color w:val="auto"/>
          <w:highlight w:val="none"/>
          <w:lang w:eastAsia="zh-CN" w:bidi="ar-SA"/>
        </w:rPr>
        <w:t xml:space="preserve">                          法定代表人：</w:t>
      </w:r>
    </w:p>
    <w:p w14:paraId="4AB8E4CF">
      <w:pPr>
        <w:widowControl w:val="0"/>
        <w:autoSpaceDE w:val="0"/>
        <w:autoSpaceDN w:val="0"/>
        <w:spacing w:line="360" w:lineRule="auto"/>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或授权代表：                            或授权代表：</w:t>
      </w:r>
    </w:p>
    <w:p w14:paraId="328F9EFC">
      <w:pPr>
        <w:widowControl w:val="0"/>
        <w:autoSpaceDE w:val="0"/>
        <w:autoSpaceDN w:val="0"/>
        <w:spacing w:line="360" w:lineRule="auto"/>
        <w:ind w:left="480" w:leftChars="200"/>
        <w:rPr>
          <w:rFonts w:hint="eastAsia" w:ascii="仿宋" w:hAnsi="仿宋" w:eastAsia="仿宋" w:cs="仿宋"/>
          <w:color w:val="auto"/>
          <w:highlight w:val="none"/>
          <w:lang w:eastAsia="zh-CN" w:bidi="ar-SA"/>
        </w:rPr>
      </w:pPr>
    </w:p>
    <w:p w14:paraId="70563110">
      <w:pPr>
        <w:widowControl w:val="0"/>
        <w:autoSpaceDE w:val="0"/>
        <w:autoSpaceDN w:val="0"/>
        <w:spacing w:line="360" w:lineRule="auto"/>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签订时间：                              签订时间：</w:t>
      </w:r>
    </w:p>
    <w:p w14:paraId="3FC75AA9">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bidi="ar-SA"/>
        </w:rPr>
        <w:t xml:space="preserve">签订地点：                              签订地点： </w:t>
      </w:r>
    </w:p>
    <w:p w14:paraId="480464B5">
      <w:pPr>
        <w:rPr>
          <w:rFonts w:hint="eastAsia" w:ascii="仿宋" w:hAnsi="仿宋" w:eastAsia="仿宋" w:cs="仿宋"/>
          <w:color w:val="auto"/>
          <w:highlight w:val="none"/>
          <w:lang w:eastAsia="zh-CN"/>
        </w:rPr>
      </w:pPr>
    </w:p>
    <w:p w14:paraId="53869197">
      <w:pPr>
        <w:pStyle w:val="12"/>
        <w:ind w:firstLine="0"/>
        <w:rPr>
          <w:rFonts w:hint="eastAsia" w:ascii="仿宋" w:hAnsi="仿宋" w:eastAsia="仿宋" w:cs="仿宋"/>
          <w:color w:val="auto"/>
          <w:highlight w:val="none"/>
          <w:lang w:eastAsia="zh-CN"/>
        </w:rPr>
      </w:pPr>
    </w:p>
    <w:p w14:paraId="5AB2BBC9">
      <w:pPr>
        <w:pStyle w:val="12"/>
        <w:ind w:firstLine="0"/>
        <w:rPr>
          <w:rFonts w:hint="eastAsia" w:ascii="仿宋" w:hAnsi="仿宋" w:eastAsia="仿宋" w:cs="仿宋"/>
          <w:color w:val="auto"/>
          <w:highlight w:val="none"/>
          <w:lang w:eastAsia="zh-CN"/>
        </w:rPr>
      </w:pPr>
    </w:p>
    <w:p w14:paraId="7F89EEFB">
      <w:pPr>
        <w:pStyle w:val="12"/>
        <w:ind w:firstLine="0"/>
        <w:rPr>
          <w:rFonts w:hint="eastAsia" w:ascii="仿宋" w:hAnsi="仿宋" w:eastAsia="仿宋" w:cs="仿宋"/>
          <w:color w:val="auto"/>
          <w:highlight w:val="none"/>
          <w:lang w:eastAsia="zh-CN"/>
        </w:rPr>
      </w:pPr>
    </w:p>
    <w:p w14:paraId="27740278">
      <w:pPr>
        <w:widowControl w:val="0"/>
        <w:tabs>
          <w:tab w:val="left" w:pos="5280"/>
        </w:tabs>
        <w:autoSpaceDE w:val="0"/>
        <w:autoSpaceDN w:val="0"/>
        <w:spacing w:line="360" w:lineRule="auto"/>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 xml:space="preserve">承包人：（成）  </w:t>
      </w:r>
      <w:r>
        <w:rPr>
          <w:rFonts w:hint="eastAsia" w:ascii="仿宋" w:hAnsi="仿宋" w:eastAsia="仿宋" w:cs="仿宋"/>
          <w:color w:val="auto"/>
          <w:highlight w:val="none"/>
          <w:lang w:val="en-US" w:eastAsia="zh-CN" w:bidi="ar-SA"/>
        </w:rPr>
        <w:t xml:space="preserve">  </w:t>
      </w:r>
      <w:r>
        <w:rPr>
          <w:rFonts w:hint="eastAsia" w:ascii="仿宋" w:hAnsi="仿宋" w:eastAsia="仿宋" w:cs="仿宋"/>
          <w:color w:val="auto"/>
          <w:highlight w:val="none"/>
          <w:lang w:eastAsia="zh-CN" w:bidi="ar-SA"/>
        </w:rPr>
        <w:t xml:space="preserve">承包人：（成） </w:t>
      </w:r>
    </w:p>
    <w:p w14:paraId="0E3CF6AD">
      <w:pPr>
        <w:widowControl w:val="0"/>
        <w:autoSpaceDE w:val="0"/>
        <w:autoSpaceDN w:val="0"/>
        <w:spacing w:line="360" w:lineRule="auto"/>
        <w:ind w:left="480" w:leftChars="200" w:firstLine="1680" w:firstLineChars="700"/>
        <w:rPr>
          <w:rFonts w:ascii="仿宋" w:hAnsi="仿宋" w:eastAsia="仿宋" w:cs="仿宋"/>
          <w:color w:val="auto"/>
          <w:highlight w:val="none"/>
          <w:lang w:eastAsia="zh-CN" w:bidi="ar-SA"/>
        </w:rPr>
      </w:pPr>
    </w:p>
    <w:p w14:paraId="0CFC9034">
      <w:pPr>
        <w:widowControl w:val="0"/>
        <w:autoSpaceDE w:val="0"/>
        <w:autoSpaceDN w:val="0"/>
        <w:spacing w:line="360" w:lineRule="auto"/>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法定代表人：</w:t>
      </w:r>
      <w:r>
        <w:rPr>
          <w:rFonts w:hint="eastAsia" w:ascii="仿宋" w:hAnsi="仿宋" w:eastAsia="仿宋" w:cs="仿宋"/>
          <w:color w:val="auto"/>
          <w:highlight w:val="none"/>
          <w:lang w:eastAsia="zh-CN" w:bidi="ar-SA"/>
        </w:rPr>
        <w:tab/>
      </w:r>
      <w:r>
        <w:rPr>
          <w:rFonts w:hint="eastAsia" w:ascii="仿宋" w:hAnsi="仿宋" w:eastAsia="仿宋" w:cs="仿宋"/>
          <w:color w:val="auto"/>
          <w:highlight w:val="none"/>
          <w:lang w:eastAsia="zh-CN" w:bidi="ar-SA"/>
        </w:rPr>
        <w:t xml:space="preserve">                          法定代表人：</w:t>
      </w:r>
    </w:p>
    <w:p w14:paraId="66E77A4D">
      <w:pPr>
        <w:widowControl w:val="0"/>
        <w:autoSpaceDE w:val="0"/>
        <w:autoSpaceDN w:val="0"/>
        <w:spacing w:line="360" w:lineRule="auto"/>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或授权代表：                            或授权代表：</w:t>
      </w:r>
    </w:p>
    <w:p w14:paraId="2E505920">
      <w:pPr>
        <w:widowControl w:val="0"/>
        <w:autoSpaceDE w:val="0"/>
        <w:autoSpaceDN w:val="0"/>
        <w:spacing w:line="360" w:lineRule="auto"/>
        <w:ind w:left="480" w:leftChars="200"/>
        <w:rPr>
          <w:rFonts w:hint="eastAsia" w:ascii="仿宋" w:hAnsi="仿宋" w:eastAsia="仿宋" w:cs="仿宋"/>
          <w:color w:val="auto"/>
          <w:highlight w:val="none"/>
          <w:lang w:eastAsia="zh-CN" w:bidi="ar-SA"/>
        </w:rPr>
      </w:pPr>
    </w:p>
    <w:p w14:paraId="366F5298">
      <w:pPr>
        <w:widowControl w:val="0"/>
        <w:autoSpaceDE w:val="0"/>
        <w:autoSpaceDN w:val="0"/>
        <w:spacing w:line="360" w:lineRule="auto"/>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签订时间：                              签订时间：</w:t>
      </w:r>
    </w:p>
    <w:p w14:paraId="0EE5FEC7">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bidi="ar-SA"/>
        </w:rPr>
        <w:t xml:space="preserve">签订地点：                              签订地点： </w:t>
      </w:r>
    </w:p>
    <w:p w14:paraId="6A4294E5">
      <w:pPr>
        <w:pStyle w:val="3"/>
        <w:numPr>
          <w:ilvl w:val="1"/>
          <w:numId w:val="0"/>
        </w:numPr>
        <w:spacing w:after="0"/>
        <w:rPr>
          <w:rFonts w:ascii="仿宋" w:hAnsi="仿宋" w:eastAsia="仿宋"/>
          <w:i w:val="0"/>
          <w:iCs w:val="0"/>
          <w:color w:val="auto"/>
          <w:sz w:val="24"/>
          <w:highlight w:val="none"/>
          <w:lang w:eastAsia="zh-CN"/>
        </w:rPr>
      </w:pPr>
      <w:r>
        <w:rPr>
          <w:rFonts w:hint="eastAsia" w:ascii="仿宋" w:hAnsi="仿宋" w:eastAsia="仿宋"/>
          <w:i w:val="0"/>
          <w:iCs w:val="0"/>
          <w:color w:val="auto"/>
          <w:sz w:val="24"/>
          <w:highlight w:val="none"/>
          <w:lang w:eastAsia="zh-CN"/>
        </w:rPr>
        <w:br w:type="page"/>
      </w:r>
      <w:r>
        <w:rPr>
          <w:rFonts w:hint="eastAsia" w:ascii="仿宋" w:hAnsi="仿宋" w:eastAsia="仿宋"/>
          <w:i w:val="0"/>
          <w:iCs w:val="0"/>
          <w:color w:val="auto"/>
          <w:sz w:val="24"/>
          <w:highlight w:val="none"/>
          <w:lang w:eastAsia="zh-CN"/>
        </w:rPr>
        <w:t>附件十四：本项目现场施工人员配置表</w:t>
      </w:r>
    </w:p>
    <w:p w14:paraId="5354CD4E">
      <w:pPr>
        <w:pStyle w:val="37"/>
        <w:rPr>
          <w:color w:val="auto"/>
          <w:sz w:val="28"/>
          <w:szCs w:val="28"/>
          <w:highlight w:val="none"/>
          <w:lang w:eastAsia="zh-CN"/>
        </w:rPr>
      </w:pPr>
    </w:p>
    <w:tbl>
      <w:tblPr>
        <w:tblStyle w:val="44"/>
        <w:tblW w:w="0" w:type="auto"/>
        <w:tblInd w:w="0" w:type="dxa"/>
        <w:tblLayout w:type="fixed"/>
        <w:tblCellMar>
          <w:top w:w="0" w:type="dxa"/>
          <w:left w:w="108" w:type="dxa"/>
          <w:bottom w:w="0" w:type="dxa"/>
          <w:right w:w="108" w:type="dxa"/>
        </w:tblCellMar>
      </w:tblPr>
      <w:tblGrid>
        <w:gridCol w:w="1671"/>
        <w:gridCol w:w="918"/>
        <w:gridCol w:w="906"/>
        <w:gridCol w:w="870"/>
        <w:gridCol w:w="953"/>
        <w:gridCol w:w="1012"/>
        <w:gridCol w:w="978"/>
        <w:gridCol w:w="1047"/>
        <w:gridCol w:w="1268"/>
      </w:tblGrid>
      <w:tr w14:paraId="0BCC6F85">
        <w:tblPrEx>
          <w:tblCellMar>
            <w:top w:w="0" w:type="dxa"/>
            <w:left w:w="108" w:type="dxa"/>
            <w:bottom w:w="0" w:type="dxa"/>
            <w:right w:w="108" w:type="dxa"/>
          </w:tblCellMar>
        </w:tblPrEx>
        <w:trPr>
          <w:trHeight w:val="438" w:hRule="atLeast"/>
        </w:trPr>
        <w:tc>
          <w:tcPr>
            <w:tcW w:w="1671" w:type="dxa"/>
            <w:vMerge w:val="restart"/>
            <w:tcBorders>
              <w:top w:val="single" w:color="auto" w:sz="4" w:space="0"/>
              <w:left w:val="single" w:color="auto" w:sz="4" w:space="0"/>
              <w:bottom w:val="single" w:color="000000" w:sz="4" w:space="0"/>
              <w:right w:val="single" w:color="000000" w:sz="4" w:space="0"/>
            </w:tcBorders>
            <w:shd w:val="clear" w:color="auto" w:fill="FFFFFF"/>
            <w:noWrap w:val="0"/>
            <w:vAlign w:val="center"/>
          </w:tcPr>
          <w:p w14:paraId="514F1616">
            <w:pPr>
              <w:jc w:val="center"/>
              <w:textAlignment w:val="center"/>
              <w:rPr>
                <w:rFonts w:ascii="报宋" w:hAnsi="报宋" w:eastAsia="报宋" w:cs="报宋"/>
                <w:color w:val="auto"/>
                <w:sz w:val="20"/>
                <w:szCs w:val="20"/>
                <w:highlight w:val="none"/>
              </w:rPr>
            </w:pPr>
            <w:r>
              <w:rPr>
                <w:rFonts w:ascii="报宋" w:hAnsi="报宋" w:eastAsia="报宋" w:cs="报宋"/>
                <w:color w:val="auto"/>
                <w:sz w:val="20"/>
                <w:szCs w:val="20"/>
                <w:highlight w:val="none"/>
                <w:lang w:eastAsia="zh-CN" w:bidi="ar"/>
              </w:rPr>
              <w:t>人员</w:t>
            </w:r>
            <w:r>
              <w:rPr>
                <w:rFonts w:ascii="报宋" w:hAnsi="报宋" w:eastAsia="报宋" w:cs="报宋"/>
                <w:color w:val="auto"/>
                <w:sz w:val="20"/>
                <w:szCs w:val="20"/>
                <w:highlight w:val="none"/>
                <w:lang w:eastAsia="zh-CN" w:bidi="ar"/>
              </w:rPr>
              <w:br w:type="textWrapping"/>
            </w:r>
            <w:r>
              <w:rPr>
                <w:rFonts w:ascii="报宋" w:hAnsi="报宋" w:eastAsia="报宋" w:cs="报宋"/>
                <w:color w:val="auto"/>
                <w:sz w:val="20"/>
                <w:szCs w:val="20"/>
                <w:highlight w:val="none"/>
                <w:lang w:eastAsia="zh-CN" w:bidi="ar"/>
              </w:rPr>
              <w:t>岗位</w:t>
            </w:r>
          </w:p>
        </w:tc>
        <w:tc>
          <w:tcPr>
            <w:tcW w:w="7952" w:type="dxa"/>
            <w:gridSpan w:val="8"/>
            <w:tcBorders>
              <w:top w:val="single" w:color="auto" w:sz="4" w:space="0"/>
              <w:left w:val="single" w:color="000000" w:sz="4" w:space="0"/>
              <w:bottom w:val="single" w:color="000000" w:sz="4" w:space="0"/>
              <w:right w:val="single" w:color="auto" w:sz="4" w:space="0"/>
            </w:tcBorders>
            <w:shd w:val="clear" w:color="auto" w:fill="FFFFFF"/>
            <w:noWrap w:val="0"/>
            <w:vAlign w:val="center"/>
          </w:tcPr>
          <w:p w14:paraId="589161FF">
            <w:pPr>
              <w:jc w:val="center"/>
              <w:textAlignment w:val="center"/>
              <w:rPr>
                <w:rFonts w:ascii="报宋" w:hAnsi="报宋" w:eastAsia="报宋" w:cs="报宋"/>
                <w:color w:val="auto"/>
                <w:sz w:val="32"/>
                <w:szCs w:val="32"/>
                <w:highlight w:val="none"/>
                <w:lang w:eastAsia="zh-CN"/>
              </w:rPr>
            </w:pPr>
            <w:r>
              <w:rPr>
                <w:rFonts w:ascii="报宋" w:hAnsi="报宋" w:eastAsia="报宋" w:cs="报宋"/>
                <w:color w:val="auto"/>
                <w:sz w:val="32"/>
                <w:szCs w:val="32"/>
                <w:highlight w:val="none"/>
                <w:lang w:eastAsia="zh-CN" w:bidi="ar"/>
              </w:rPr>
              <w:t>施工现场各阶段总包人员配置表计划</w:t>
            </w:r>
          </w:p>
        </w:tc>
      </w:tr>
      <w:tr w14:paraId="00BBB202">
        <w:tblPrEx>
          <w:tblCellMar>
            <w:top w:w="0" w:type="dxa"/>
            <w:left w:w="108" w:type="dxa"/>
            <w:bottom w:w="0" w:type="dxa"/>
            <w:right w:w="108" w:type="dxa"/>
          </w:tblCellMar>
        </w:tblPrEx>
        <w:trPr>
          <w:trHeight w:val="735" w:hRule="atLeast"/>
        </w:trPr>
        <w:tc>
          <w:tcPr>
            <w:tcW w:w="1671" w:type="dxa"/>
            <w:vMerge w:val="continue"/>
            <w:tcBorders>
              <w:top w:val="single" w:color="000000" w:sz="12" w:space="0"/>
              <w:left w:val="single" w:color="auto" w:sz="4" w:space="0"/>
              <w:bottom w:val="single" w:color="000000" w:sz="4" w:space="0"/>
              <w:right w:val="single" w:color="000000" w:sz="4" w:space="0"/>
            </w:tcBorders>
            <w:shd w:val="clear" w:color="auto" w:fill="FFFFFF"/>
            <w:noWrap w:val="0"/>
            <w:vAlign w:val="center"/>
          </w:tcPr>
          <w:p w14:paraId="4CDEB529">
            <w:pPr>
              <w:jc w:val="center"/>
              <w:rPr>
                <w:rFonts w:ascii="报宋" w:hAnsi="报宋" w:eastAsia="报宋" w:cs="报宋"/>
                <w:color w:val="auto"/>
                <w:sz w:val="20"/>
                <w:szCs w:val="20"/>
                <w:highlight w:val="none"/>
                <w:lang w:eastAsia="zh-CN"/>
              </w:rPr>
            </w:pPr>
          </w:p>
        </w:tc>
        <w:tc>
          <w:tcPr>
            <w:tcW w:w="9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646C34">
            <w:pPr>
              <w:jc w:val="center"/>
              <w:textAlignment w:val="center"/>
              <w:rPr>
                <w:rFonts w:ascii="报宋" w:hAnsi="报宋" w:eastAsia="报宋" w:cs="报宋"/>
                <w:color w:val="auto"/>
                <w:sz w:val="20"/>
                <w:szCs w:val="20"/>
                <w:highlight w:val="none"/>
              </w:rPr>
            </w:pPr>
            <w:r>
              <w:rPr>
                <w:rFonts w:ascii="报宋" w:hAnsi="报宋" w:eastAsia="报宋" w:cs="报宋"/>
                <w:color w:val="auto"/>
                <w:sz w:val="20"/>
                <w:szCs w:val="20"/>
                <w:highlight w:val="none"/>
                <w:lang w:eastAsia="zh-CN" w:bidi="ar"/>
              </w:rPr>
              <w:t>施工准</w:t>
            </w:r>
            <w:r>
              <w:rPr>
                <w:rFonts w:ascii="报宋" w:hAnsi="报宋" w:eastAsia="报宋" w:cs="报宋"/>
                <w:color w:val="auto"/>
                <w:sz w:val="20"/>
                <w:szCs w:val="20"/>
                <w:highlight w:val="none"/>
                <w:lang w:eastAsia="zh-CN" w:bidi="ar"/>
              </w:rPr>
              <w:br w:type="textWrapping"/>
            </w:r>
            <w:r>
              <w:rPr>
                <w:rFonts w:ascii="报宋" w:hAnsi="报宋" w:eastAsia="报宋" w:cs="报宋"/>
                <w:color w:val="auto"/>
                <w:sz w:val="20"/>
                <w:szCs w:val="20"/>
                <w:highlight w:val="none"/>
                <w:lang w:eastAsia="zh-CN" w:bidi="ar"/>
              </w:rPr>
              <w:t>备阶段</w:t>
            </w:r>
          </w:p>
        </w:tc>
        <w:tc>
          <w:tcPr>
            <w:tcW w:w="9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D97A71">
            <w:pPr>
              <w:jc w:val="center"/>
              <w:textAlignment w:val="center"/>
              <w:rPr>
                <w:rFonts w:ascii="报宋" w:hAnsi="报宋" w:eastAsia="报宋" w:cs="报宋"/>
                <w:color w:val="auto"/>
                <w:sz w:val="20"/>
                <w:szCs w:val="20"/>
                <w:highlight w:val="none"/>
              </w:rPr>
            </w:pPr>
            <w:r>
              <w:rPr>
                <w:rFonts w:ascii="报宋" w:hAnsi="报宋" w:eastAsia="报宋" w:cs="报宋"/>
                <w:color w:val="auto"/>
                <w:sz w:val="20"/>
                <w:szCs w:val="20"/>
                <w:highlight w:val="none"/>
                <w:lang w:eastAsia="zh-CN" w:bidi="ar"/>
              </w:rPr>
              <w:t>土方桩基施</w:t>
            </w:r>
            <w:r>
              <w:rPr>
                <w:rFonts w:ascii="报宋" w:hAnsi="报宋" w:eastAsia="报宋" w:cs="报宋"/>
                <w:color w:val="auto"/>
                <w:sz w:val="20"/>
                <w:szCs w:val="20"/>
                <w:highlight w:val="none"/>
                <w:lang w:eastAsia="zh-CN" w:bidi="ar"/>
              </w:rPr>
              <w:br w:type="textWrapping"/>
            </w:r>
            <w:r>
              <w:rPr>
                <w:rFonts w:ascii="报宋" w:hAnsi="报宋" w:eastAsia="报宋" w:cs="报宋"/>
                <w:color w:val="auto"/>
                <w:sz w:val="20"/>
                <w:szCs w:val="20"/>
                <w:highlight w:val="none"/>
                <w:lang w:eastAsia="zh-CN" w:bidi="ar"/>
              </w:rPr>
              <w:t>工阶段</w:t>
            </w:r>
          </w:p>
        </w:tc>
        <w:tc>
          <w:tcPr>
            <w:tcW w:w="8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F00524">
            <w:pPr>
              <w:jc w:val="center"/>
              <w:textAlignment w:val="center"/>
              <w:rPr>
                <w:rFonts w:ascii="报宋" w:hAnsi="报宋" w:eastAsia="报宋" w:cs="报宋"/>
                <w:color w:val="auto"/>
                <w:sz w:val="20"/>
                <w:szCs w:val="20"/>
                <w:highlight w:val="none"/>
              </w:rPr>
            </w:pPr>
            <w:r>
              <w:rPr>
                <w:rFonts w:ascii="报宋" w:hAnsi="报宋" w:eastAsia="报宋" w:cs="报宋"/>
                <w:color w:val="auto"/>
                <w:sz w:val="20"/>
                <w:szCs w:val="20"/>
                <w:highlight w:val="none"/>
                <w:lang w:eastAsia="zh-CN" w:bidi="ar"/>
              </w:rPr>
              <w:t>地下室</w:t>
            </w:r>
            <w:r>
              <w:rPr>
                <w:rFonts w:ascii="报宋" w:hAnsi="报宋" w:eastAsia="报宋" w:cs="报宋"/>
                <w:color w:val="auto"/>
                <w:sz w:val="20"/>
                <w:szCs w:val="20"/>
                <w:highlight w:val="none"/>
                <w:lang w:eastAsia="zh-CN" w:bidi="ar"/>
              </w:rPr>
              <w:br w:type="textWrapping"/>
            </w:r>
            <w:r>
              <w:rPr>
                <w:rFonts w:ascii="报宋" w:hAnsi="报宋" w:eastAsia="报宋" w:cs="报宋"/>
                <w:color w:val="auto"/>
                <w:sz w:val="20"/>
                <w:szCs w:val="20"/>
                <w:highlight w:val="none"/>
                <w:lang w:eastAsia="zh-CN" w:bidi="ar"/>
              </w:rPr>
              <w:t>阶段</w:t>
            </w:r>
          </w:p>
        </w:tc>
        <w:tc>
          <w:tcPr>
            <w:tcW w:w="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9007A1">
            <w:pPr>
              <w:jc w:val="center"/>
              <w:textAlignment w:val="center"/>
              <w:rPr>
                <w:rFonts w:ascii="报宋" w:hAnsi="报宋" w:eastAsia="报宋" w:cs="报宋"/>
                <w:color w:val="auto"/>
                <w:sz w:val="20"/>
                <w:szCs w:val="20"/>
                <w:highlight w:val="none"/>
              </w:rPr>
            </w:pPr>
            <w:r>
              <w:rPr>
                <w:rFonts w:ascii="报宋" w:hAnsi="报宋" w:eastAsia="报宋" w:cs="报宋"/>
                <w:color w:val="auto"/>
                <w:sz w:val="20"/>
                <w:szCs w:val="20"/>
                <w:highlight w:val="none"/>
                <w:lang w:eastAsia="zh-CN" w:bidi="ar"/>
              </w:rPr>
              <w:t>主体施</w:t>
            </w:r>
            <w:r>
              <w:rPr>
                <w:rFonts w:ascii="报宋" w:hAnsi="报宋" w:eastAsia="报宋" w:cs="报宋"/>
                <w:color w:val="auto"/>
                <w:sz w:val="20"/>
                <w:szCs w:val="20"/>
                <w:highlight w:val="none"/>
                <w:lang w:eastAsia="zh-CN" w:bidi="ar"/>
              </w:rPr>
              <w:br w:type="textWrapping"/>
            </w:r>
            <w:r>
              <w:rPr>
                <w:rFonts w:ascii="报宋" w:hAnsi="报宋" w:eastAsia="报宋" w:cs="报宋"/>
                <w:color w:val="auto"/>
                <w:sz w:val="20"/>
                <w:szCs w:val="20"/>
                <w:highlight w:val="none"/>
                <w:lang w:eastAsia="zh-CN" w:bidi="ar"/>
              </w:rPr>
              <w:t>工阶段</w:t>
            </w:r>
          </w:p>
        </w:tc>
        <w:tc>
          <w:tcPr>
            <w:tcW w:w="10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06458E">
            <w:pPr>
              <w:jc w:val="center"/>
              <w:textAlignment w:val="center"/>
              <w:rPr>
                <w:rFonts w:ascii="报宋" w:hAnsi="报宋" w:eastAsia="报宋" w:cs="报宋"/>
                <w:color w:val="auto"/>
                <w:sz w:val="20"/>
                <w:szCs w:val="20"/>
                <w:highlight w:val="none"/>
                <w:lang w:eastAsia="zh-CN"/>
              </w:rPr>
            </w:pPr>
            <w:r>
              <w:rPr>
                <w:rFonts w:ascii="报宋" w:hAnsi="报宋" w:eastAsia="报宋" w:cs="报宋"/>
                <w:color w:val="auto"/>
                <w:sz w:val="20"/>
                <w:szCs w:val="20"/>
                <w:highlight w:val="none"/>
                <w:lang w:eastAsia="zh-CN" w:bidi="ar"/>
              </w:rPr>
              <w:t>装饰阶</w:t>
            </w:r>
            <w:r>
              <w:rPr>
                <w:rFonts w:ascii="报宋" w:hAnsi="报宋" w:eastAsia="报宋" w:cs="报宋"/>
                <w:color w:val="auto"/>
                <w:sz w:val="20"/>
                <w:szCs w:val="20"/>
                <w:highlight w:val="none"/>
                <w:lang w:eastAsia="zh-CN" w:bidi="ar"/>
              </w:rPr>
              <w:br w:type="textWrapping"/>
            </w:r>
            <w:r>
              <w:rPr>
                <w:rFonts w:ascii="报宋" w:hAnsi="报宋" w:eastAsia="报宋" w:cs="报宋"/>
                <w:color w:val="auto"/>
                <w:sz w:val="20"/>
                <w:szCs w:val="20"/>
                <w:highlight w:val="none"/>
                <w:lang w:eastAsia="zh-CN" w:bidi="ar"/>
              </w:rPr>
              <w:t>段（总平景观）</w:t>
            </w:r>
          </w:p>
        </w:tc>
        <w:tc>
          <w:tcPr>
            <w:tcW w:w="9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0B484B">
            <w:pPr>
              <w:jc w:val="center"/>
              <w:textAlignment w:val="center"/>
              <w:rPr>
                <w:rFonts w:ascii="报宋" w:hAnsi="报宋" w:eastAsia="报宋" w:cs="报宋"/>
                <w:color w:val="auto"/>
                <w:sz w:val="20"/>
                <w:szCs w:val="20"/>
                <w:highlight w:val="none"/>
                <w:lang w:eastAsia="zh-CN"/>
              </w:rPr>
            </w:pPr>
            <w:r>
              <w:rPr>
                <w:rFonts w:ascii="报宋" w:hAnsi="报宋" w:eastAsia="报宋" w:cs="报宋"/>
                <w:color w:val="auto"/>
                <w:sz w:val="20"/>
                <w:szCs w:val="20"/>
                <w:highlight w:val="none"/>
                <w:lang w:eastAsia="zh-CN" w:bidi="ar"/>
              </w:rPr>
              <w:t>收尾竣工及物管移交阶段</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7349BC">
            <w:pPr>
              <w:jc w:val="center"/>
              <w:textAlignment w:val="center"/>
              <w:rPr>
                <w:rFonts w:ascii="报宋" w:hAnsi="报宋" w:eastAsia="报宋" w:cs="报宋"/>
                <w:color w:val="auto"/>
                <w:sz w:val="20"/>
                <w:szCs w:val="20"/>
                <w:highlight w:val="none"/>
              </w:rPr>
            </w:pPr>
            <w:r>
              <w:rPr>
                <w:rFonts w:ascii="报宋" w:hAnsi="报宋" w:eastAsia="报宋" w:cs="报宋"/>
                <w:color w:val="auto"/>
                <w:sz w:val="20"/>
                <w:szCs w:val="20"/>
                <w:highlight w:val="none"/>
                <w:lang w:eastAsia="zh-CN" w:bidi="ar"/>
              </w:rPr>
              <w:t>交楼后</w:t>
            </w:r>
            <w:r>
              <w:rPr>
                <w:rFonts w:ascii="报宋" w:hAnsi="报宋" w:eastAsia="报宋" w:cs="报宋"/>
                <w:color w:val="auto"/>
                <w:sz w:val="20"/>
                <w:szCs w:val="20"/>
                <w:highlight w:val="none"/>
                <w:lang w:eastAsia="zh-CN" w:bidi="ar"/>
              </w:rPr>
              <w:br w:type="textWrapping"/>
            </w:r>
            <w:r>
              <w:rPr>
                <w:rFonts w:ascii="报宋" w:hAnsi="报宋" w:eastAsia="报宋" w:cs="报宋"/>
                <w:color w:val="auto"/>
                <w:sz w:val="20"/>
                <w:szCs w:val="20"/>
                <w:highlight w:val="none"/>
                <w:lang w:eastAsia="zh-CN" w:bidi="ar"/>
              </w:rPr>
              <w:t>三月整</w:t>
            </w:r>
            <w:r>
              <w:rPr>
                <w:rFonts w:ascii="报宋" w:hAnsi="报宋" w:eastAsia="报宋" w:cs="报宋"/>
                <w:color w:val="auto"/>
                <w:sz w:val="20"/>
                <w:szCs w:val="20"/>
                <w:highlight w:val="none"/>
                <w:lang w:eastAsia="zh-CN" w:bidi="ar"/>
              </w:rPr>
              <w:br w:type="textWrapping"/>
            </w:r>
            <w:r>
              <w:rPr>
                <w:rFonts w:ascii="报宋" w:hAnsi="报宋" w:eastAsia="报宋" w:cs="报宋"/>
                <w:color w:val="auto"/>
                <w:sz w:val="20"/>
                <w:szCs w:val="20"/>
                <w:highlight w:val="none"/>
                <w:lang w:eastAsia="zh-CN" w:bidi="ar"/>
              </w:rPr>
              <w:t>改阶段</w:t>
            </w:r>
          </w:p>
        </w:tc>
        <w:tc>
          <w:tcPr>
            <w:tcW w:w="1268"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1D028426">
            <w:pPr>
              <w:jc w:val="center"/>
              <w:textAlignment w:val="center"/>
              <w:rPr>
                <w:rFonts w:ascii="报宋" w:hAnsi="报宋" w:eastAsia="报宋" w:cs="报宋"/>
                <w:color w:val="auto"/>
                <w:sz w:val="20"/>
                <w:szCs w:val="20"/>
                <w:highlight w:val="none"/>
              </w:rPr>
            </w:pPr>
            <w:r>
              <w:rPr>
                <w:rFonts w:ascii="报宋" w:hAnsi="报宋" w:eastAsia="报宋" w:cs="报宋"/>
                <w:color w:val="auto"/>
                <w:sz w:val="20"/>
                <w:szCs w:val="20"/>
                <w:highlight w:val="none"/>
                <w:lang w:eastAsia="zh-CN" w:bidi="ar"/>
              </w:rPr>
              <w:t>备注</w:t>
            </w:r>
          </w:p>
        </w:tc>
      </w:tr>
      <w:tr w14:paraId="37BA2087">
        <w:tblPrEx>
          <w:tblCellMar>
            <w:top w:w="0" w:type="dxa"/>
            <w:left w:w="108" w:type="dxa"/>
            <w:bottom w:w="0" w:type="dxa"/>
            <w:right w:w="108" w:type="dxa"/>
          </w:tblCellMar>
        </w:tblPrEx>
        <w:trPr>
          <w:trHeight w:val="576" w:hRule="atLeast"/>
        </w:trPr>
        <w:tc>
          <w:tcPr>
            <w:tcW w:w="1671"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146B1BC">
            <w:pPr>
              <w:jc w:val="center"/>
              <w:textAlignment w:val="center"/>
              <w:rPr>
                <w:rFonts w:ascii="报宋" w:hAnsi="报宋" w:eastAsia="报宋" w:cs="报宋"/>
                <w:color w:val="auto"/>
                <w:sz w:val="20"/>
                <w:szCs w:val="20"/>
                <w:highlight w:val="none"/>
              </w:rPr>
            </w:pPr>
            <w:r>
              <w:rPr>
                <w:rFonts w:ascii="报宋" w:hAnsi="报宋" w:eastAsia="报宋" w:cs="报宋"/>
                <w:color w:val="auto"/>
                <w:sz w:val="20"/>
                <w:szCs w:val="20"/>
                <w:highlight w:val="none"/>
                <w:lang w:eastAsia="zh-CN" w:bidi="ar"/>
              </w:rPr>
              <w:t>项目经理</w:t>
            </w:r>
          </w:p>
        </w:tc>
        <w:tc>
          <w:tcPr>
            <w:tcW w:w="91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61E5EFC">
            <w:pPr>
              <w:jc w:val="center"/>
              <w:textAlignment w:val="center"/>
              <w:rPr>
                <w:rFonts w:ascii="报宋" w:hAnsi="报宋" w:eastAsia="报宋" w:cs="报宋"/>
                <w:color w:val="auto"/>
                <w:sz w:val="20"/>
                <w:szCs w:val="20"/>
                <w:highlight w:val="none"/>
                <w:lang w:val="en-US" w:eastAsia="en-US" w:bidi="en-US"/>
              </w:rPr>
            </w:pPr>
          </w:p>
        </w:tc>
        <w:tc>
          <w:tcPr>
            <w:tcW w:w="9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3E7804">
            <w:pPr>
              <w:jc w:val="center"/>
              <w:textAlignment w:val="center"/>
              <w:rPr>
                <w:rFonts w:ascii="报宋" w:hAnsi="报宋" w:eastAsia="报宋" w:cs="报宋"/>
                <w:color w:val="auto"/>
                <w:sz w:val="20"/>
                <w:szCs w:val="20"/>
                <w:highlight w:val="none"/>
                <w:lang w:val="en-US" w:eastAsia="en-US" w:bidi="en-US"/>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FD5A63">
            <w:pPr>
              <w:jc w:val="center"/>
              <w:textAlignment w:val="center"/>
              <w:rPr>
                <w:rFonts w:ascii="报宋" w:hAnsi="报宋" w:eastAsia="报宋" w:cs="报宋"/>
                <w:color w:val="auto"/>
                <w:sz w:val="20"/>
                <w:szCs w:val="20"/>
                <w:highlight w:val="none"/>
                <w:lang w:val="en-US" w:eastAsia="en-US" w:bidi="en-US"/>
              </w:rPr>
            </w:pPr>
          </w:p>
        </w:tc>
        <w:tc>
          <w:tcPr>
            <w:tcW w:w="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119C11">
            <w:pPr>
              <w:jc w:val="center"/>
              <w:textAlignment w:val="center"/>
              <w:rPr>
                <w:rFonts w:ascii="报宋" w:hAnsi="报宋" w:eastAsia="报宋" w:cs="报宋"/>
                <w:color w:val="auto"/>
                <w:sz w:val="20"/>
                <w:szCs w:val="20"/>
                <w:highlight w:val="none"/>
                <w:lang w:val="en-US" w:eastAsia="en-US" w:bidi="en-US"/>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1E63FD">
            <w:pPr>
              <w:jc w:val="center"/>
              <w:textAlignment w:val="center"/>
              <w:rPr>
                <w:rFonts w:ascii="报宋" w:hAnsi="报宋" w:eastAsia="报宋" w:cs="报宋"/>
                <w:color w:val="auto"/>
                <w:sz w:val="20"/>
                <w:szCs w:val="20"/>
                <w:highlight w:val="none"/>
                <w:lang w:val="en-US" w:eastAsia="en-US" w:bidi="en-US"/>
              </w:rPr>
            </w:pPr>
          </w:p>
        </w:tc>
        <w:tc>
          <w:tcPr>
            <w:tcW w:w="9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73F5C9">
            <w:pPr>
              <w:jc w:val="center"/>
              <w:textAlignment w:val="center"/>
              <w:rPr>
                <w:rFonts w:ascii="报宋" w:hAnsi="报宋" w:eastAsia="报宋" w:cs="报宋"/>
                <w:color w:val="auto"/>
                <w:sz w:val="20"/>
                <w:szCs w:val="20"/>
                <w:highlight w:val="none"/>
                <w:lang w:val="en-US" w:eastAsia="en-US" w:bidi="en-US"/>
              </w:rPr>
            </w:pP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7E7F7C">
            <w:pPr>
              <w:jc w:val="center"/>
              <w:textAlignment w:val="center"/>
              <w:rPr>
                <w:rFonts w:ascii="报宋" w:hAnsi="报宋" w:eastAsia="报宋" w:cs="报宋"/>
                <w:color w:val="auto"/>
                <w:sz w:val="20"/>
                <w:szCs w:val="20"/>
                <w:highlight w:val="none"/>
                <w:lang w:val="en-US" w:eastAsia="en-US" w:bidi="en-US"/>
              </w:rPr>
            </w:pPr>
          </w:p>
        </w:tc>
        <w:tc>
          <w:tcPr>
            <w:tcW w:w="1268"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05C927D6">
            <w:pPr>
              <w:jc w:val="center"/>
              <w:rPr>
                <w:rFonts w:hint="eastAsia" w:ascii="宋体" w:hAnsi="宋体" w:cs="宋体"/>
                <w:color w:val="auto"/>
                <w:sz w:val="22"/>
                <w:szCs w:val="22"/>
                <w:highlight w:val="none"/>
              </w:rPr>
            </w:pPr>
          </w:p>
        </w:tc>
      </w:tr>
      <w:tr w14:paraId="7CE9E26D">
        <w:tblPrEx>
          <w:tblCellMar>
            <w:top w:w="0" w:type="dxa"/>
            <w:left w:w="108" w:type="dxa"/>
            <w:bottom w:w="0" w:type="dxa"/>
            <w:right w:w="108" w:type="dxa"/>
          </w:tblCellMar>
        </w:tblPrEx>
        <w:trPr>
          <w:trHeight w:val="576" w:hRule="atLeast"/>
        </w:trPr>
        <w:tc>
          <w:tcPr>
            <w:tcW w:w="1671"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5D82F95">
            <w:pPr>
              <w:jc w:val="center"/>
              <w:textAlignment w:val="center"/>
              <w:rPr>
                <w:rFonts w:ascii="报宋" w:hAnsi="报宋" w:eastAsia="报宋" w:cs="报宋"/>
                <w:color w:val="auto"/>
                <w:sz w:val="20"/>
                <w:szCs w:val="20"/>
                <w:highlight w:val="none"/>
              </w:rPr>
            </w:pPr>
            <w:r>
              <w:rPr>
                <w:rFonts w:ascii="报宋" w:hAnsi="报宋" w:eastAsia="报宋" w:cs="报宋"/>
                <w:color w:val="auto"/>
                <w:sz w:val="20"/>
                <w:szCs w:val="20"/>
                <w:highlight w:val="none"/>
                <w:lang w:eastAsia="zh-CN" w:bidi="ar"/>
              </w:rPr>
              <w:t>商务经理</w:t>
            </w:r>
          </w:p>
        </w:tc>
        <w:tc>
          <w:tcPr>
            <w:tcW w:w="918" w:type="dxa"/>
            <w:tcBorders>
              <w:top w:val="nil"/>
              <w:left w:val="single" w:color="000000" w:sz="8" w:space="0"/>
              <w:bottom w:val="single" w:color="000000" w:sz="8" w:space="0"/>
              <w:right w:val="single" w:color="000000" w:sz="8" w:space="0"/>
            </w:tcBorders>
            <w:shd w:val="clear" w:color="auto" w:fill="FFFFFF"/>
            <w:noWrap w:val="0"/>
            <w:vAlign w:val="center"/>
          </w:tcPr>
          <w:p w14:paraId="58806D01">
            <w:pPr>
              <w:jc w:val="center"/>
              <w:textAlignment w:val="center"/>
              <w:rPr>
                <w:rFonts w:ascii="报宋" w:hAnsi="报宋" w:eastAsia="报宋" w:cs="报宋"/>
                <w:color w:val="auto"/>
                <w:sz w:val="20"/>
                <w:szCs w:val="20"/>
                <w:highlight w:val="none"/>
                <w:lang w:val="en-US" w:eastAsia="en-US" w:bidi="en-US"/>
              </w:rPr>
            </w:pPr>
          </w:p>
        </w:tc>
        <w:tc>
          <w:tcPr>
            <w:tcW w:w="9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965F64">
            <w:pPr>
              <w:jc w:val="center"/>
              <w:textAlignment w:val="center"/>
              <w:rPr>
                <w:rFonts w:ascii="报宋" w:hAnsi="报宋" w:eastAsia="报宋" w:cs="报宋"/>
                <w:color w:val="auto"/>
                <w:sz w:val="20"/>
                <w:szCs w:val="20"/>
                <w:highlight w:val="none"/>
                <w:lang w:val="en-US" w:eastAsia="en-US" w:bidi="en-US"/>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8CCD17">
            <w:pPr>
              <w:jc w:val="center"/>
              <w:textAlignment w:val="center"/>
              <w:rPr>
                <w:rFonts w:ascii="报宋" w:hAnsi="报宋" w:eastAsia="报宋" w:cs="报宋"/>
                <w:color w:val="auto"/>
                <w:sz w:val="20"/>
                <w:szCs w:val="20"/>
                <w:highlight w:val="none"/>
                <w:lang w:val="en-US" w:eastAsia="en-US" w:bidi="en-US"/>
              </w:rPr>
            </w:pPr>
          </w:p>
        </w:tc>
        <w:tc>
          <w:tcPr>
            <w:tcW w:w="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962280">
            <w:pPr>
              <w:jc w:val="center"/>
              <w:textAlignment w:val="center"/>
              <w:rPr>
                <w:rFonts w:ascii="报宋" w:hAnsi="报宋" w:eastAsia="报宋" w:cs="报宋"/>
                <w:color w:val="auto"/>
                <w:sz w:val="20"/>
                <w:szCs w:val="20"/>
                <w:highlight w:val="none"/>
                <w:lang w:val="en-US" w:eastAsia="en-US" w:bidi="en-US"/>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E2EDD4">
            <w:pPr>
              <w:jc w:val="center"/>
              <w:textAlignment w:val="center"/>
              <w:rPr>
                <w:rFonts w:ascii="报宋" w:hAnsi="报宋" w:eastAsia="报宋" w:cs="报宋"/>
                <w:color w:val="auto"/>
                <w:sz w:val="20"/>
                <w:szCs w:val="20"/>
                <w:highlight w:val="none"/>
                <w:lang w:val="en-US" w:eastAsia="en-US" w:bidi="en-US"/>
              </w:rPr>
            </w:pPr>
          </w:p>
        </w:tc>
        <w:tc>
          <w:tcPr>
            <w:tcW w:w="9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881228">
            <w:pPr>
              <w:jc w:val="center"/>
              <w:textAlignment w:val="center"/>
              <w:rPr>
                <w:rFonts w:ascii="报宋" w:hAnsi="报宋" w:eastAsia="报宋" w:cs="报宋"/>
                <w:color w:val="auto"/>
                <w:sz w:val="20"/>
                <w:szCs w:val="20"/>
                <w:highlight w:val="none"/>
                <w:lang w:val="en-US" w:eastAsia="en-US" w:bidi="en-US"/>
              </w:rPr>
            </w:pP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DBFE02">
            <w:pPr>
              <w:jc w:val="center"/>
              <w:textAlignment w:val="center"/>
              <w:rPr>
                <w:rFonts w:ascii="报宋" w:hAnsi="报宋" w:eastAsia="报宋" w:cs="报宋"/>
                <w:color w:val="auto"/>
                <w:sz w:val="20"/>
                <w:szCs w:val="20"/>
                <w:highlight w:val="none"/>
                <w:lang w:val="en-US" w:eastAsia="en-US" w:bidi="en-US"/>
              </w:rPr>
            </w:pPr>
          </w:p>
        </w:tc>
        <w:tc>
          <w:tcPr>
            <w:tcW w:w="1268"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0654E640">
            <w:pPr>
              <w:jc w:val="center"/>
              <w:rPr>
                <w:rFonts w:hint="eastAsia" w:ascii="宋体" w:hAnsi="宋体" w:cs="宋体"/>
                <w:color w:val="auto"/>
                <w:sz w:val="22"/>
                <w:szCs w:val="22"/>
                <w:highlight w:val="none"/>
              </w:rPr>
            </w:pPr>
          </w:p>
        </w:tc>
      </w:tr>
      <w:tr w14:paraId="7764CEC8">
        <w:tblPrEx>
          <w:tblCellMar>
            <w:top w:w="0" w:type="dxa"/>
            <w:left w:w="108" w:type="dxa"/>
            <w:bottom w:w="0" w:type="dxa"/>
            <w:right w:w="108" w:type="dxa"/>
          </w:tblCellMar>
        </w:tblPrEx>
        <w:trPr>
          <w:trHeight w:val="303" w:hRule="atLeast"/>
        </w:trPr>
        <w:tc>
          <w:tcPr>
            <w:tcW w:w="1671"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861B561">
            <w:pPr>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lang w:eastAsia="zh-CN" w:bidi="ar"/>
              </w:rPr>
              <w:t>生产经理</w:t>
            </w:r>
          </w:p>
        </w:tc>
        <w:tc>
          <w:tcPr>
            <w:tcW w:w="918" w:type="dxa"/>
            <w:tcBorders>
              <w:top w:val="nil"/>
              <w:left w:val="single" w:color="000000" w:sz="8" w:space="0"/>
              <w:bottom w:val="single" w:color="000000" w:sz="8" w:space="0"/>
              <w:right w:val="single" w:color="000000" w:sz="8" w:space="0"/>
            </w:tcBorders>
            <w:shd w:val="clear" w:color="auto" w:fill="FFFFFF"/>
            <w:noWrap w:val="0"/>
            <w:vAlign w:val="center"/>
          </w:tcPr>
          <w:p w14:paraId="1B7B262D">
            <w:pPr>
              <w:jc w:val="center"/>
              <w:textAlignment w:val="center"/>
              <w:rPr>
                <w:rFonts w:hint="eastAsia" w:ascii="宋体" w:hAnsi="宋体" w:cs="宋体"/>
                <w:color w:val="auto"/>
                <w:sz w:val="22"/>
                <w:szCs w:val="22"/>
                <w:highlight w:val="none"/>
                <w:lang w:val="en-US" w:eastAsia="en-US" w:bidi="en-US"/>
              </w:rPr>
            </w:pPr>
          </w:p>
        </w:tc>
        <w:tc>
          <w:tcPr>
            <w:tcW w:w="9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F591AE">
            <w:pPr>
              <w:jc w:val="center"/>
              <w:textAlignment w:val="center"/>
              <w:rPr>
                <w:rFonts w:hint="eastAsia" w:ascii="宋体" w:hAnsi="宋体" w:cs="宋体"/>
                <w:color w:val="auto"/>
                <w:sz w:val="22"/>
                <w:szCs w:val="22"/>
                <w:highlight w:val="none"/>
                <w:lang w:val="en-US" w:eastAsia="en-US" w:bidi="en-US"/>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80151B">
            <w:pPr>
              <w:jc w:val="center"/>
              <w:textAlignment w:val="center"/>
              <w:rPr>
                <w:rFonts w:hint="eastAsia" w:ascii="宋体" w:hAnsi="宋体" w:cs="宋体"/>
                <w:color w:val="auto"/>
                <w:sz w:val="22"/>
                <w:szCs w:val="22"/>
                <w:highlight w:val="none"/>
                <w:lang w:val="en-US" w:eastAsia="en-US" w:bidi="en-US"/>
              </w:rPr>
            </w:pPr>
          </w:p>
        </w:tc>
        <w:tc>
          <w:tcPr>
            <w:tcW w:w="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003277">
            <w:pPr>
              <w:jc w:val="center"/>
              <w:textAlignment w:val="center"/>
              <w:rPr>
                <w:rFonts w:hint="eastAsia" w:ascii="宋体" w:hAnsi="宋体" w:cs="宋体"/>
                <w:color w:val="auto"/>
                <w:sz w:val="22"/>
                <w:szCs w:val="22"/>
                <w:highlight w:val="none"/>
                <w:lang w:val="en-US" w:eastAsia="en-US" w:bidi="en-US"/>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B905D6">
            <w:pPr>
              <w:jc w:val="center"/>
              <w:textAlignment w:val="center"/>
              <w:rPr>
                <w:rFonts w:hint="eastAsia" w:ascii="宋体" w:hAnsi="宋体" w:cs="宋体"/>
                <w:color w:val="auto"/>
                <w:sz w:val="22"/>
                <w:szCs w:val="22"/>
                <w:highlight w:val="none"/>
                <w:lang w:val="en-US" w:eastAsia="en-US" w:bidi="en-US"/>
              </w:rPr>
            </w:pPr>
          </w:p>
        </w:tc>
        <w:tc>
          <w:tcPr>
            <w:tcW w:w="9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7459E5">
            <w:pPr>
              <w:jc w:val="center"/>
              <w:textAlignment w:val="center"/>
              <w:rPr>
                <w:rFonts w:hint="eastAsia" w:ascii="宋体" w:hAnsi="宋体" w:cs="宋体"/>
                <w:color w:val="auto"/>
                <w:sz w:val="22"/>
                <w:szCs w:val="22"/>
                <w:highlight w:val="none"/>
                <w:lang w:val="en-US" w:eastAsia="en-US" w:bidi="en-US"/>
              </w:rPr>
            </w:pP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2A5059">
            <w:pPr>
              <w:jc w:val="center"/>
              <w:textAlignment w:val="center"/>
              <w:rPr>
                <w:rFonts w:hint="eastAsia" w:ascii="宋体" w:hAnsi="宋体" w:cs="宋体"/>
                <w:color w:val="auto"/>
                <w:sz w:val="22"/>
                <w:szCs w:val="22"/>
                <w:highlight w:val="none"/>
                <w:lang w:val="en-US" w:eastAsia="en-US" w:bidi="en-US"/>
              </w:rPr>
            </w:pPr>
          </w:p>
        </w:tc>
        <w:tc>
          <w:tcPr>
            <w:tcW w:w="1268"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3E42A46F">
            <w:pPr>
              <w:jc w:val="center"/>
              <w:textAlignment w:val="center"/>
              <w:rPr>
                <w:rFonts w:hint="eastAsia" w:ascii="宋体" w:hAnsi="宋体" w:cs="宋体"/>
                <w:color w:val="auto"/>
                <w:sz w:val="20"/>
                <w:szCs w:val="20"/>
                <w:highlight w:val="none"/>
              </w:rPr>
            </w:pPr>
            <w:r>
              <w:rPr>
                <w:rFonts w:hint="eastAsia" w:ascii="宋体" w:hAnsi="宋体" w:cs="宋体"/>
                <w:color w:val="auto"/>
                <w:sz w:val="20"/>
                <w:szCs w:val="20"/>
                <w:highlight w:val="none"/>
                <w:lang w:eastAsia="zh-CN" w:bidi="ar"/>
              </w:rPr>
              <w:t>专业按需配置</w:t>
            </w:r>
          </w:p>
        </w:tc>
      </w:tr>
      <w:tr w14:paraId="6AF1A81B">
        <w:tblPrEx>
          <w:tblCellMar>
            <w:top w:w="0" w:type="dxa"/>
            <w:left w:w="108" w:type="dxa"/>
            <w:bottom w:w="0" w:type="dxa"/>
            <w:right w:w="108" w:type="dxa"/>
          </w:tblCellMar>
        </w:tblPrEx>
        <w:trPr>
          <w:trHeight w:val="300" w:hRule="atLeast"/>
        </w:trPr>
        <w:tc>
          <w:tcPr>
            <w:tcW w:w="1671"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E5F407B">
            <w:pPr>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lang w:eastAsia="zh-CN" w:bidi="ar"/>
              </w:rPr>
              <w:t>技术负责人</w:t>
            </w:r>
          </w:p>
        </w:tc>
        <w:tc>
          <w:tcPr>
            <w:tcW w:w="918" w:type="dxa"/>
            <w:tcBorders>
              <w:top w:val="nil"/>
              <w:left w:val="single" w:color="000000" w:sz="8" w:space="0"/>
              <w:bottom w:val="single" w:color="000000" w:sz="8" w:space="0"/>
              <w:right w:val="single" w:color="000000" w:sz="8" w:space="0"/>
            </w:tcBorders>
            <w:shd w:val="clear" w:color="auto" w:fill="FFFFFF"/>
            <w:noWrap w:val="0"/>
            <w:vAlign w:val="center"/>
          </w:tcPr>
          <w:p w14:paraId="49E5242F">
            <w:pPr>
              <w:jc w:val="center"/>
              <w:textAlignment w:val="center"/>
              <w:rPr>
                <w:rFonts w:hint="eastAsia" w:ascii="宋体" w:hAnsi="宋体" w:cs="宋体"/>
                <w:color w:val="auto"/>
                <w:sz w:val="22"/>
                <w:szCs w:val="22"/>
                <w:highlight w:val="none"/>
                <w:lang w:val="en-US" w:eastAsia="en-US" w:bidi="en-US"/>
              </w:rPr>
            </w:pPr>
          </w:p>
        </w:tc>
        <w:tc>
          <w:tcPr>
            <w:tcW w:w="9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4D0B60">
            <w:pPr>
              <w:jc w:val="center"/>
              <w:textAlignment w:val="center"/>
              <w:rPr>
                <w:rFonts w:hint="eastAsia" w:ascii="宋体" w:hAnsi="宋体" w:cs="宋体"/>
                <w:color w:val="auto"/>
                <w:sz w:val="22"/>
                <w:szCs w:val="22"/>
                <w:highlight w:val="none"/>
                <w:lang w:val="en-US" w:eastAsia="en-US" w:bidi="en-US"/>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220E10">
            <w:pPr>
              <w:jc w:val="center"/>
              <w:textAlignment w:val="center"/>
              <w:rPr>
                <w:rFonts w:hint="eastAsia" w:ascii="宋体" w:hAnsi="宋体" w:cs="宋体"/>
                <w:color w:val="auto"/>
                <w:sz w:val="22"/>
                <w:szCs w:val="22"/>
                <w:highlight w:val="none"/>
                <w:lang w:val="en-US" w:eastAsia="en-US" w:bidi="en-US"/>
              </w:rPr>
            </w:pPr>
          </w:p>
        </w:tc>
        <w:tc>
          <w:tcPr>
            <w:tcW w:w="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21820C">
            <w:pPr>
              <w:jc w:val="center"/>
              <w:textAlignment w:val="center"/>
              <w:rPr>
                <w:rFonts w:hint="eastAsia" w:ascii="宋体" w:hAnsi="宋体" w:cs="宋体"/>
                <w:color w:val="auto"/>
                <w:sz w:val="22"/>
                <w:szCs w:val="22"/>
                <w:highlight w:val="none"/>
                <w:lang w:val="en-US" w:eastAsia="en-US" w:bidi="en-US"/>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68A15F">
            <w:pPr>
              <w:jc w:val="center"/>
              <w:textAlignment w:val="center"/>
              <w:rPr>
                <w:rFonts w:hint="eastAsia" w:ascii="宋体" w:hAnsi="宋体" w:cs="宋体"/>
                <w:color w:val="auto"/>
                <w:sz w:val="22"/>
                <w:szCs w:val="22"/>
                <w:highlight w:val="none"/>
                <w:lang w:val="en-US" w:eastAsia="en-US" w:bidi="en-US"/>
              </w:rPr>
            </w:pPr>
          </w:p>
        </w:tc>
        <w:tc>
          <w:tcPr>
            <w:tcW w:w="9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BFBA81">
            <w:pPr>
              <w:jc w:val="center"/>
              <w:textAlignment w:val="center"/>
              <w:rPr>
                <w:rFonts w:hint="eastAsia" w:ascii="宋体" w:hAnsi="宋体" w:cs="宋体"/>
                <w:color w:val="auto"/>
                <w:sz w:val="22"/>
                <w:szCs w:val="22"/>
                <w:highlight w:val="none"/>
                <w:lang w:val="en-US" w:eastAsia="en-US" w:bidi="en-US"/>
              </w:rPr>
            </w:pP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7E76A4">
            <w:pPr>
              <w:jc w:val="center"/>
              <w:textAlignment w:val="center"/>
              <w:rPr>
                <w:rFonts w:hint="eastAsia" w:ascii="宋体" w:hAnsi="宋体" w:cs="宋体"/>
                <w:color w:val="auto"/>
                <w:sz w:val="22"/>
                <w:szCs w:val="22"/>
                <w:highlight w:val="none"/>
                <w:lang w:val="en-US" w:eastAsia="en-US" w:bidi="en-US"/>
              </w:rPr>
            </w:pPr>
          </w:p>
        </w:tc>
        <w:tc>
          <w:tcPr>
            <w:tcW w:w="1268"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12E20B9B">
            <w:pPr>
              <w:jc w:val="center"/>
              <w:rPr>
                <w:rFonts w:hint="eastAsia" w:ascii="宋体" w:hAnsi="宋体" w:cs="宋体"/>
                <w:color w:val="auto"/>
                <w:sz w:val="22"/>
                <w:szCs w:val="22"/>
                <w:highlight w:val="none"/>
              </w:rPr>
            </w:pPr>
          </w:p>
        </w:tc>
      </w:tr>
      <w:tr w14:paraId="4F518C3A">
        <w:tblPrEx>
          <w:tblCellMar>
            <w:top w:w="0" w:type="dxa"/>
            <w:left w:w="108" w:type="dxa"/>
            <w:bottom w:w="0" w:type="dxa"/>
            <w:right w:w="108" w:type="dxa"/>
          </w:tblCellMar>
        </w:tblPrEx>
        <w:trPr>
          <w:trHeight w:val="303" w:hRule="atLeast"/>
        </w:trPr>
        <w:tc>
          <w:tcPr>
            <w:tcW w:w="1671"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B11C8D2">
            <w:pPr>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lang w:eastAsia="zh-CN" w:bidi="ar"/>
              </w:rPr>
              <w:t>施工员</w:t>
            </w:r>
          </w:p>
        </w:tc>
        <w:tc>
          <w:tcPr>
            <w:tcW w:w="918" w:type="dxa"/>
            <w:tcBorders>
              <w:top w:val="nil"/>
              <w:left w:val="single" w:color="000000" w:sz="8" w:space="0"/>
              <w:bottom w:val="single" w:color="000000" w:sz="8" w:space="0"/>
              <w:right w:val="single" w:color="000000" w:sz="8" w:space="0"/>
            </w:tcBorders>
            <w:shd w:val="clear" w:color="auto" w:fill="FFFFFF"/>
            <w:noWrap w:val="0"/>
            <w:vAlign w:val="center"/>
          </w:tcPr>
          <w:p w14:paraId="3EF47F12">
            <w:pPr>
              <w:jc w:val="center"/>
              <w:textAlignment w:val="center"/>
              <w:rPr>
                <w:rFonts w:hint="eastAsia" w:ascii="宋体" w:hAnsi="宋体" w:cs="宋体"/>
                <w:color w:val="auto"/>
                <w:sz w:val="22"/>
                <w:szCs w:val="22"/>
                <w:highlight w:val="none"/>
                <w:lang w:val="en-US" w:eastAsia="en-US" w:bidi="en-US"/>
              </w:rPr>
            </w:pPr>
          </w:p>
        </w:tc>
        <w:tc>
          <w:tcPr>
            <w:tcW w:w="9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4F1DE9">
            <w:pPr>
              <w:jc w:val="center"/>
              <w:textAlignment w:val="center"/>
              <w:rPr>
                <w:rFonts w:hint="eastAsia" w:ascii="宋体" w:hAnsi="宋体" w:cs="宋体"/>
                <w:color w:val="auto"/>
                <w:sz w:val="22"/>
                <w:szCs w:val="22"/>
                <w:highlight w:val="none"/>
                <w:lang w:val="en-US" w:eastAsia="en-US" w:bidi="en-US"/>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5E6B30">
            <w:pPr>
              <w:jc w:val="center"/>
              <w:textAlignment w:val="center"/>
              <w:rPr>
                <w:rFonts w:hint="eastAsia" w:ascii="宋体" w:hAnsi="宋体" w:cs="宋体"/>
                <w:color w:val="auto"/>
                <w:sz w:val="22"/>
                <w:szCs w:val="22"/>
                <w:highlight w:val="none"/>
                <w:lang w:val="en-US" w:eastAsia="en-US" w:bidi="en-US"/>
              </w:rPr>
            </w:pPr>
          </w:p>
        </w:tc>
        <w:tc>
          <w:tcPr>
            <w:tcW w:w="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C09227">
            <w:pPr>
              <w:jc w:val="center"/>
              <w:textAlignment w:val="center"/>
              <w:rPr>
                <w:rFonts w:hint="eastAsia" w:ascii="宋体" w:hAnsi="宋体" w:cs="宋体"/>
                <w:color w:val="auto"/>
                <w:sz w:val="22"/>
                <w:szCs w:val="22"/>
                <w:highlight w:val="none"/>
                <w:lang w:val="en-US" w:eastAsia="en-US" w:bidi="en-US"/>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F30280">
            <w:pPr>
              <w:jc w:val="center"/>
              <w:textAlignment w:val="center"/>
              <w:rPr>
                <w:rFonts w:hint="eastAsia" w:ascii="宋体" w:hAnsi="宋体" w:cs="宋体"/>
                <w:color w:val="auto"/>
                <w:sz w:val="22"/>
                <w:szCs w:val="22"/>
                <w:highlight w:val="none"/>
                <w:lang w:val="en-US" w:eastAsia="en-US" w:bidi="en-US"/>
              </w:rPr>
            </w:pPr>
          </w:p>
        </w:tc>
        <w:tc>
          <w:tcPr>
            <w:tcW w:w="9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A151CD">
            <w:pPr>
              <w:jc w:val="center"/>
              <w:textAlignment w:val="center"/>
              <w:rPr>
                <w:rFonts w:hint="eastAsia" w:ascii="宋体" w:hAnsi="宋体" w:cs="宋体"/>
                <w:color w:val="auto"/>
                <w:sz w:val="22"/>
                <w:szCs w:val="22"/>
                <w:highlight w:val="none"/>
                <w:lang w:val="en-US" w:eastAsia="en-US" w:bidi="en-US"/>
              </w:rPr>
            </w:pP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044173">
            <w:pPr>
              <w:jc w:val="center"/>
              <w:rPr>
                <w:rFonts w:hint="eastAsia" w:ascii="宋体" w:hAnsi="宋体" w:cs="宋体"/>
                <w:color w:val="auto"/>
                <w:sz w:val="22"/>
                <w:szCs w:val="22"/>
                <w:highlight w:val="none"/>
                <w:lang w:val="en-US" w:eastAsia="en-US" w:bidi="en-US"/>
              </w:rPr>
            </w:pPr>
          </w:p>
        </w:tc>
        <w:tc>
          <w:tcPr>
            <w:tcW w:w="1268"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44248A6A">
            <w:pPr>
              <w:jc w:val="center"/>
              <w:rPr>
                <w:rFonts w:hint="eastAsia" w:ascii="宋体" w:hAnsi="宋体" w:cs="宋体"/>
                <w:color w:val="auto"/>
                <w:sz w:val="22"/>
                <w:szCs w:val="22"/>
                <w:highlight w:val="none"/>
              </w:rPr>
            </w:pPr>
          </w:p>
        </w:tc>
      </w:tr>
      <w:tr w14:paraId="50A3D160">
        <w:tblPrEx>
          <w:tblCellMar>
            <w:top w:w="0" w:type="dxa"/>
            <w:left w:w="108" w:type="dxa"/>
            <w:bottom w:w="0" w:type="dxa"/>
            <w:right w:w="108" w:type="dxa"/>
          </w:tblCellMar>
        </w:tblPrEx>
        <w:trPr>
          <w:trHeight w:val="303" w:hRule="atLeast"/>
        </w:trPr>
        <w:tc>
          <w:tcPr>
            <w:tcW w:w="1671"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382EF3F">
            <w:pPr>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lang w:eastAsia="zh-CN" w:bidi="ar"/>
              </w:rPr>
              <w:t>园林施工员</w:t>
            </w:r>
          </w:p>
        </w:tc>
        <w:tc>
          <w:tcPr>
            <w:tcW w:w="918" w:type="dxa"/>
            <w:tcBorders>
              <w:top w:val="nil"/>
              <w:left w:val="single" w:color="000000" w:sz="8" w:space="0"/>
              <w:bottom w:val="single" w:color="000000" w:sz="8" w:space="0"/>
              <w:right w:val="single" w:color="000000" w:sz="8" w:space="0"/>
            </w:tcBorders>
            <w:shd w:val="clear" w:color="auto" w:fill="FFFFFF"/>
            <w:noWrap w:val="0"/>
            <w:vAlign w:val="center"/>
          </w:tcPr>
          <w:p w14:paraId="41623DBC">
            <w:pPr>
              <w:jc w:val="center"/>
              <w:rPr>
                <w:rFonts w:hint="eastAsia" w:ascii="宋体" w:hAnsi="宋体" w:cs="宋体"/>
                <w:color w:val="auto"/>
                <w:sz w:val="22"/>
                <w:szCs w:val="22"/>
                <w:highlight w:val="none"/>
                <w:lang w:val="en-US" w:eastAsia="en-US" w:bidi="en-US"/>
              </w:rPr>
            </w:pPr>
          </w:p>
        </w:tc>
        <w:tc>
          <w:tcPr>
            <w:tcW w:w="9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659F47">
            <w:pPr>
              <w:jc w:val="center"/>
              <w:rPr>
                <w:rFonts w:hint="eastAsia" w:ascii="宋体" w:hAnsi="宋体" w:cs="宋体"/>
                <w:color w:val="auto"/>
                <w:sz w:val="22"/>
                <w:szCs w:val="22"/>
                <w:highlight w:val="none"/>
                <w:lang w:val="en-US" w:eastAsia="en-US" w:bidi="en-US"/>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9E687E">
            <w:pPr>
              <w:jc w:val="center"/>
              <w:rPr>
                <w:rFonts w:hint="eastAsia" w:ascii="宋体" w:hAnsi="宋体" w:cs="宋体"/>
                <w:color w:val="auto"/>
                <w:sz w:val="22"/>
                <w:szCs w:val="22"/>
                <w:highlight w:val="none"/>
                <w:lang w:val="en-US" w:eastAsia="en-US" w:bidi="en-US"/>
              </w:rPr>
            </w:pPr>
          </w:p>
        </w:tc>
        <w:tc>
          <w:tcPr>
            <w:tcW w:w="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C69616">
            <w:pPr>
              <w:jc w:val="center"/>
              <w:rPr>
                <w:rFonts w:hint="eastAsia" w:ascii="宋体" w:hAnsi="宋体" w:cs="宋体"/>
                <w:color w:val="auto"/>
                <w:sz w:val="22"/>
                <w:szCs w:val="22"/>
                <w:highlight w:val="none"/>
                <w:lang w:val="en-US" w:eastAsia="en-US" w:bidi="en-US"/>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EBDFB7">
            <w:pPr>
              <w:jc w:val="center"/>
              <w:textAlignment w:val="center"/>
              <w:rPr>
                <w:rFonts w:hint="eastAsia" w:ascii="宋体" w:hAnsi="宋体" w:cs="宋体"/>
                <w:color w:val="auto"/>
                <w:sz w:val="22"/>
                <w:szCs w:val="22"/>
                <w:highlight w:val="none"/>
                <w:lang w:val="en-US" w:eastAsia="en-US" w:bidi="en-US"/>
              </w:rPr>
            </w:pPr>
          </w:p>
        </w:tc>
        <w:tc>
          <w:tcPr>
            <w:tcW w:w="9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0DDDC7">
            <w:pPr>
              <w:jc w:val="center"/>
              <w:textAlignment w:val="center"/>
              <w:rPr>
                <w:rFonts w:hint="eastAsia" w:ascii="宋体" w:hAnsi="宋体" w:cs="宋体"/>
                <w:color w:val="auto"/>
                <w:sz w:val="22"/>
                <w:szCs w:val="22"/>
                <w:highlight w:val="none"/>
                <w:lang w:val="en-US" w:eastAsia="en-US" w:bidi="en-US"/>
              </w:rPr>
            </w:pP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A4A4F4">
            <w:pPr>
              <w:jc w:val="center"/>
              <w:rPr>
                <w:rFonts w:hint="eastAsia" w:ascii="宋体" w:hAnsi="宋体" w:cs="宋体"/>
                <w:color w:val="auto"/>
                <w:sz w:val="22"/>
                <w:szCs w:val="22"/>
                <w:highlight w:val="none"/>
                <w:lang w:val="en-US" w:eastAsia="en-US" w:bidi="en-US"/>
              </w:rPr>
            </w:pPr>
          </w:p>
        </w:tc>
        <w:tc>
          <w:tcPr>
            <w:tcW w:w="1268"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2CDB6F17">
            <w:pPr>
              <w:jc w:val="center"/>
              <w:rPr>
                <w:rFonts w:hint="eastAsia" w:ascii="宋体" w:hAnsi="宋体" w:cs="宋体"/>
                <w:color w:val="auto"/>
                <w:sz w:val="22"/>
                <w:szCs w:val="22"/>
                <w:highlight w:val="none"/>
              </w:rPr>
            </w:pPr>
          </w:p>
        </w:tc>
      </w:tr>
      <w:tr w14:paraId="5873628F">
        <w:tblPrEx>
          <w:tblCellMar>
            <w:top w:w="0" w:type="dxa"/>
            <w:left w:w="108" w:type="dxa"/>
            <w:bottom w:w="0" w:type="dxa"/>
            <w:right w:w="108" w:type="dxa"/>
          </w:tblCellMar>
        </w:tblPrEx>
        <w:trPr>
          <w:trHeight w:val="303" w:hRule="atLeast"/>
        </w:trPr>
        <w:tc>
          <w:tcPr>
            <w:tcW w:w="1671"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F3D3BD8">
            <w:pPr>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lang w:eastAsia="zh-CN" w:bidi="ar"/>
              </w:rPr>
              <w:t>精装施工员</w:t>
            </w:r>
          </w:p>
        </w:tc>
        <w:tc>
          <w:tcPr>
            <w:tcW w:w="918" w:type="dxa"/>
            <w:tcBorders>
              <w:top w:val="nil"/>
              <w:left w:val="single" w:color="000000" w:sz="8" w:space="0"/>
              <w:bottom w:val="single" w:color="000000" w:sz="8" w:space="0"/>
              <w:right w:val="single" w:color="000000" w:sz="8" w:space="0"/>
            </w:tcBorders>
            <w:shd w:val="clear" w:color="auto" w:fill="FFFFFF"/>
            <w:noWrap w:val="0"/>
            <w:vAlign w:val="center"/>
          </w:tcPr>
          <w:p w14:paraId="2BDBEFBB">
            <w:pPr>
              <w:jc w:val="center"/>
              <w:rPr>
                <w:rFonts w:hint="eastAsia" w:ascii="宋体" w:hAnsi="宋体" w:cs="宋体"/>
                <w:color w:val="auto"/>
                <w:sz w:val="22"/>
                <w:szCs w:val="22"/>
                <w:highlight w:val="none"/>
                <w:lang w:val="en-US" w:eastAsia="en-US" w:bidi="en-US"/>
              </w:rPr>
            </w:pPr>
          </w:p>
        </w:tc>
        <w:tc>
          <w:tcPr>
            <w:tcW w:w="9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C387C4">
            <w:pPr>
              <w:jc w:val="center"/>
              <w:rPr>
                <w:rFonts w:hint="eastAsia" w:ascii="宋体" w:hAnsi="宋体" w:cs="宋体"/>
                <w:color w:val="auto"/>
                <w:sz w:val="22"/>
                <w:szCs w:val="22"/>
                <w:highlight w:val="none"/>
                <w:lang w:val="en-US" w:eastAsia="en-US" w:bidi="en-US"/>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291569">
            <w:pPr>
              <w:jc w:val="center"/>
              <w:rPr>
                <w:rFonts w:hint="eastAsia" w:ascii="宋体" w:hAnsi="宋体" w:cs="宋体"/>
                <w:color w:val="auto"/>
                <w:sz w:val="22"/>
                <w:szCs w:val="22"/>
                <w:highlight w:val="none"/>
                <w:lang w:val="en-US" w:eastAsia="en-US" w:bidi="en-US"/>
              </w:rPr>
            </w:pPr>
          </w:p>
        </w:tc>
        <w:tc>
          <w:tcPr>
            <w:tcW w:w="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C47D51">
            <w:pPr>
              <w:jc w:val="center"/>
              <w:rPr>
                <w:rFonts w:hint="eastAsia" w:ascii="宋体" w:hAnsi="宋体" w:cs="宋体"/>
                <w:color w:val="auto"/>
                <w:sz w:val="22"/>
                <w:szCs w:val="22"/>
                <w:highlight w:val="none"/>
                <w:lang w:val="en-US" w:eastAsia="en-US" w:bidi="en-US"/>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24083A">
            <w:pPr>
              <w:jc w:val="center"/>
              <w:textAlignment w:val="center"/>
              <w:rPr>
                <w:rFonts w:hint="eastAsia" w:ascii="宋体" w:hAnsi="宋体" w:cs="宋体"/>
                <w:color w:val="auto"/>
                <w:sz w:val="22"/>
                <w:szCs w:val="22"/>
                <w:highlight w:val="none"/>
                <w:lang w:val="en-US" w:eastAsia="en-US" w:bidi="en-US"/>
              </w:rPr>
            </w:pPr>
          </w:p>
        </w:tc>
        <w:tc>
          <w:tcPr>
            <w:tcW w:w="9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FB3465">
            <w:pPr>
              <w:jc w:val="center"/>
              <w:textAlignment w:val="center"/>
              <w:rPr>
                <w:rFonts w:hint="eastAsia" w:ascii="宋体" w:hAnsi="宋体" w:cs="宋体"/>
                <w:color w:val="auto"/>
                <w:sz w:val="22"/>
                <w:szCs w:val="22"/>
                <w:highlight w:val="none"/>
                <w:lang w:val="en-US" w:eastAsia="en-US" w:bidi="en-US"/>
              </w:rPr>
            </w:pP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8B1DAD">
            <w:pPr>
              <w:jc w:val="center"/>
              <w:rPr>
                <w:rFonts w:hint="eastAsia" w:ascii="宋体" w:hAnsi="宋体" w:cs="宋体"/>
                <w:color w:val="auto"/>
                <w:sz w:val="22"/>
                <w:szCs w:val="22"/>
                <w:highlight w:val="none"/>
                <w:lang w:val="en-US" w:eastAsia="en-US" w:bidi="en-US"/>
              </w:rPr>
            </w:pPr>
          </w:p>
        </w:tc>
        <w:tc>
          <w:tcPr>
            <w:tcW w:w="1268"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3614BAA7">
            <w:pPr>
              <w:jc w:val="center"/>
              <w:rPr>
                <w:rFonts w:hint="eastAsia" w:ascii="宋体" w:hAnsi="宋体" w:cs="宋体"/>
                <w:color w:val="auto"/>
                <w:sz w:val="22"/>
                <w:szCs w:val="22"/>
                <w:highlight w:val="none"/>
              </w:rPr>
            </w:pPr>
          </w:p>
        </w:tc>
      </w:tr>
      <w:tr w14:paraId="5B47E365">
        <w:tblPrEx>
          <w:tblCellMar>
            <w:top w:w="0" w:type="dxa"/>
            <w:left w:w="108" w:type="dxa"/>
            <w:bottom w:w="0" w:type="dxa"/>
            <w:right w:w="108" w:type="dxa"/>
          </w:tblCellMar>
        </w:tblPrEx>
        <w:trPr>
          <w:trHeight w:val="303" w:hRule="atLeast"/>
        </w:trPr>
        <w:tc>
          <w:tcPr>
            <w:tcW w:w="1671"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A149EB2">
            <w:pPr>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lang w:eastAsia="zh-CN" w:bidi="ar"/>
              </w:rPr>
              <w:t>水电施工员</w:t>
            </w:r>
          </w:p>
        </w:tc>
        <w:tc>
          <w:tcPr>
            <w:tcW w:w="918" w:type="dxa"/>
            <w:tcBorders>
              <w:top w:val="nil"/>
              <w:left w:val="single" w:color="000000" w:sz="8" w:space="0"/>
              <w:bottom w:val="single" w:color="000000" w:sz="8" w:space="0"/>
              <w:right w:val="single" w:color="000000" w:sz="8" w:space="0"/>
            </w:tcBorders>
            <w:shd w:val="clear" w:color="auto" w:fill="FFFFFF"/>
            <w:noWrap w:val="0"/>
            <w:vAlign w:val="center"/>
          </w:tcPr>
          <w:p w14:paraId="7AD8512A">
            <w:pPr>
              <w:jc w:val="center"/>
              <w:rPr>
                <w:rFonts w:hint="eastAsia" w:ascii="宋体" w:hAnsi="宋体" w:cs="宋体"/>
                <w:color w:val="auto"/>
                <w:sz w:val="22"/>
                <w:szCs w:val="22"/>
                <w:highlight w:val="none"/>
                <w:lang w:val="en-US" w:eastAsia="en-US" w:bidi="en-US"/>
              </w:rPr>
            </w:pPr>
          </w:p>
        </w:tc>
        <w:tc>
          <w:tcPr>
            <w:tcW w:w="9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BA29B4">
            <w:pPr>
              <w:jc w:val="center"/>
              <w:textAlignment w:val="center"/>
              <w:rPr>
                <w:rFonts w:hint="eastAsia" w:ascii="宋体" w:hAnsi="宋体" w:cs="宋体"/>
                <w:color w:val="auto"/>
                <w:sz w:val="22"/>
                <w:szCs w:val="22"/>
                <w:highlight w:val="none"/>
                <w:lang w:val="en-US" w:eastAsia="en-US" w:bidi="en-US"/>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A68603">
            <w:pPr>
              <w:jc w:val="center"/>
              <w:textAlignment w:val="center"/>
              <w:rPr>
                <w:rFonts w:hint="eastAsia" w:ascii="宋体" w:hAnsi="宋体" w:cs="宋体"/>
                <w:color w:val="auto"/>
                <w:sz w:val="22"/>
                <w:szCs w:val="22"/>
                <w:highlight w:val="none"/>
                <w:lang w:val="en-US" w:eastAsia="en-US" w:bidi="en-US"/>
              </w:rPr>
            </w:pPr>
          </w:p>
        </w:tc>
        <w:tc>
          <w:tcPr>
            <w:tcW w:w="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5AB070">
            <w:pPr>
              <w:jc w:val="center"/>
              <w:textAlignment w:val="center"/>
              <w:rPr>
                <w:rFonts w:hint="eastAsia" w:ascii="宋体" w:hAnsi="宋体" w:cs="宋体"/>
                <w:color w:val="auto"/>
                <w:sz w:val="22"/>
                <w:szCs w:val="22"/>
                <w:highlight w:val="none"/>
                <w:lang w:val="en-US" w:eastAsia="en-US" w:bidi="en-US"/>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79339D">
            <w:pPr>
              <w:jc w:val="center"/>
              <w:textAlignment w:val="center"/>
              <w:rPr>
                <w:rFonts w:hint="eastAsia" w:ascii="宋体" w:hAnsi="宋体" w:cs="宋体"/>
                <w:color w:val="auto"/>
                <w:sz w:val="22"/>
                <w:szCs w:val="22"/>
                <w:highlight w:val="none"/>
                <w:lang w:val="en-US" w:eastAsia="en-US" w:bidi="en-US"/>
              </w:rPr>
            </w:pPr>
          </w:p>
        </w:tc>
        <w:tc>
          <w:tcPr>
            <w:tcW w:w="9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34B15E">
            <w:pPr>
              <w:jc w:val="center"/>
              <w:textAlignment w:val="center"/>
              <w:rPr>
                <w:rFonts w:hint="eastAsia" w:ascii="宋体" w:hAnsi="宋体" w:cs="宋体"/>
                <w:color w:val="auto"/>
                <w:sz w:val="22"/>
                <w:szCs w:val="22"/>
                <w:highlight w:val="none"/>
                <w:lang w:val="en-US" w:eastAsia="en-US" w:bidi="en-US"/>
              </w:rPr>
            </w:pP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7E418C">
            <w:pPr>
              <w:jc w:val="center"/>
              <w:rPr>
                <w:rFonts w:hint="eastAsia" w:ascii="宋体" w:hAnsi="宋体" w:cs="宋体"/>
                <w:color w:val="auto"/>
                <w:sz w:val="22"/>
                <w:szCs w:val="22"/>
                <w:highlight w:val="none"/>
                <w:lang w:val="en-US" w:eastAsia="en-US" w:bidi="en-US"/>
              </w:rPr>
            </w:pPr>
          </w:p>
        </w:tc>
        <w:tc>
          <w:tcPr>
            <w:tcW w:w="1268"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2F2F3184">
            <w:pPr>
              <w:jc w:val="center"/>
              <w:rPr>
                <w:rFonts w:hint="eastAsia" w:ascii="宋体" w:hAnsi="宋体" w:cs="宋体"/>
                <w:color w:val="auto"/>
                <w:sz w:val="20"/>
                <w:szCs w:val="20"/>
                <w:highlight w:val="none"/>
              </w:rPr>
            </w:pPr>
          </w:p>
        </w:tc>
      </w:tr>
      <w:tr w14:paraId="25AEBF35">
        <w:tblPrEx>
          <w:tblCellMar>
            <w:top w:w="0" w:type="dxa"/>
            <w:left w:w="108" w:type="dxa"/>
            <w:bottom w:w="0" w:type="dxa"/>
            <w:right w:w="108" w:type="dxa"/>
          </w:tblCellMar>
        </w:tblPrEx>
        <w:trPr>
          <w:trHeight w:val="303" w:hRule="atLeast"/>
        </w:trPr>
        <w:tc>
          <w:tcPr>
            <w:tcW w:w="1671"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DDF95B0">
            <w:pPr>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lang w:eastAsia="zh-CN" w:bidi="ar"/>
              </w:rPr>
              <w:t>安全主管</w:t>
            </w:r>
          </w:p>
        </w:tc>
        <w:tc>
          <w:tcPr>
            <w:tcW w:w="918" w:type="dxa"/>
            <w:tcBorders>
              <w:top w:val="nil"/>
              <w:left w:val="single" w:color="000000" w:sz="8" w:space="0"/>
              <w:bottom w:val="single" w:color="000000" w:sz="8" w:space="0"/>
              <w:right w:val="single" w:color="000000" w:sz="8" w:space="0"/>
            </w:tcBorders>
            <w:shd w:val="clear" w:color="auto" w:fill="FFFFFF"/>
            <w:noWrap w:val="0"/>
            <w:vAlign w:val="center"/>
          </w:tcPr>
          <w:p w14:paraId="28F11DF0">
            <w:pPr>
              <w:jc w:val="center"/>
              <w:textAlignment w:val="center"/>
              <w:rPr>
                <w:rFonts w:hint="eastAsia" w:ascii="宋体" w:hAnsi="宋体" w:cs="宋体"/>
                <w:color w:val="auto"/>
                <w:sz w:val="22"/>
                <w:szCs w:val="22"/>
                <w:highlight w:val="none"/>
                <w:lang w:val="en-US" w:eastAsia="en-US" w:bidi="en-US"/>
              </w:rPr>
            </w:pPr>
          </w:p>
        </w:tc>
        <w:tc>
          <w:tcPr>
            <w:tcW w:w="9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2EDAAF">
            <w:pPr>
              <w:jc w:val="center"/>
              <w:textAlignment w:val="center"/>
              <w:rPr>
                <w:rFonts w:hint="eastAsia" w:ascii="宋体" w:hAnsi="宋体" w:cs="宋体"/>
                <w:color w:val="auto"/>
                <w:sz w:val="22"/>
                <w:szCs w:val="22"/>
                <w:highlight w:val="none"/>
                <w:lang w:val="en-US" w:eastAsia="en-US" w:bidi="en-US"/>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75AFC0">
            <w:pPr>
              <w:jc w:val="center"/>
              <w:textAlignment w:val="center"/>
              <w:rPr>
                <w:rFonts w:hint="eastAsia" w:ascii="宋体" w:hAnsi="宋体" w:cs="宋体"/>
                <w:color w:val="auto"/>
                <w:sz w:val="22"/>
                <w:szCs w:val="22"/>
                <w:highlight w:val="none"/>
                <w:lang w:val="en-US" w:eastAsia="en-US" w:bidi="en-US"/>
              </w:rPr>
            </w:pPr>
          </w:p>
        </w:tc>
        <w:tc>
          <w:tcPr>
            <w:tcW w:w="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042E9E">
            <w:pPr>
              <w:jc w:val="center"/>
              <w:textAlignment w:val="center"/>
              <w:rPr>
                <w:rFonts w:hint="eastAsia" w:ascii="宋体" w:hAnsi="宋体" w:cs="宋体"/>
                <w:color w:val="auto"/>
                <w:sz w:val="22"/>
                <w:szCs w:val="22"/>
                <w:highlight w:val="none"/>
                <w:lang w:val="en-US" w:eastAsia="en-US" w:bidi="en-US"/>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982C88">
            <w:pPr>
              <w:jc w:val="center"/>
              <w:textAlignment w:val="center"/>
              <w:rPr>
                <w:rFonts w:hint="eastAsia" w:ascii="宋体" w:hAnsi="宋体" w:cs="宋体"/>
                <w:color w:val="auto"/>
                <w:sz w:val="22"/>
                <w:szCs w:val="22"/>
                <w:highlight w:val="none"/>
                <w:lang w:val="en-US" w:eastAsia="en-US" w:bidi="en-US"/>
              </w:rPr>
            </w:pPr>
          </w:p>
        </w:tc>
        <w:tc>
          <w:tcPr>
            <w:tcW w:w="9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FCD1EB">
            <w:pPr>
              <w:jc w:val="center"/>
              <w:textAlignment w:val="center"/>
              <w:rPr>
                <w:rFonts w:hint="eastAsia" w:ascii="宋体" w:hAnsi="宋体" w:cs="宋体"/>
                <w:color w:val="auto"/>
                <w:sz w:val="22"/>
                <w:szCs w:val="22"/>
                <w:highlight w:val="none"/>
                <w:lang w:val="en-US" w:eastAsia="en-US" w:bidi="en-US"/>
              </w:rPr>
            </w:pP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0907F6">
            <w:pPr>
              <w:jc w:val="center"/>
              <w:rPr>
                <w:rFonts w:hint="eastAsia" w:ascii="宋体" w:hAnsi="宋体" w:cs="宋体"/>
                <w:color w:val="auto"/>
                <w:sz w:val="22"/>
                <w:szCs w:val="22"/>
                <w:highlight w:val="none"/>
                <w:lang w:val="en-US" w:eastAsia="en-US" w:bidi="en-US"/>
              </w:rPr>
            </w:pPr>
          </w:p>
        </w:tc>
        <w:tc>
          <w:tcPr>
            <w:tcW w:w="1268"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450DD41D">
            <w:pPr>
              <w:jc w:val="center"/>
              <w:rPr>
                <w:rFonts w:hint="eastAsia" w:ascii="宋体" w:hAnsi="宋体" w:cs="宋体"/>
                <w:color w:val="auto"/>
                <w:sz w:val="22"/>
                <w:szCs w:val="22"/>
                <w:highlight w:val="none"/>
              </w:rPr>
            </w:pPr>
          </w:p>
        </w:tc>
      </w:tr>
      <w:tr w14:paraId="334F8DB5">
        <w:tblPrEx>
          <w:tblCellMar>
            <w:top w:w="0" w:type="dxa"/>
            <w:left w:w="108" w:type="dxa"/>
            <w:bottom w:w="0" w:type="dxa"/>
            <w:right w:w="108" w:type="dxa"/>
          </w:tblCellMar>
        </w:tblPrEx>
        <w:trPr>
          <w:trHeight w:val="303" w:hRule="atLeast"/>
        </w:trPr>
        <w:tc>
          <w:tcPr>
            <w:tcW w:w="1671"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8F72F93">
            <w:pPr>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lang w:eastAsia="zh-CN" w:bidi="ar"/>
              </w:rPr>
              <w:t>材料员</w:t>
            </w:r>
          </w:p>
        </w:tc>
        <w:tc>
          <w:tcPr>
            <w:tcW w:w="918" w:type="dxa"/>
            <w:tcBorders>
              <w:top w:val="nil"/>
              <w:left w:val="single" w:color="000000" w:sz="8" w:space="0"/>
              <w:bottom w:val="single" w:color="000000" w:sz="8" w:space="0"/>
              <w:right w:val="single" w:color="000000" w:sz="8" w:space="0"/>
            </w:tcBorders>
            <w:shd w:val="clear" w:color="auto" w:fill="FFFFFF"/>
            <w:noWrap w:val="0"/>
            <w:vAlign w:val="center"/>
          </w:tcPr>
          <w:p w14:paraId="54FDD629">
            <w:pPr>
              <w:jc w:val="center"/>
              <w:textAlignment w:val="auto"/>
              <w:rPr>
                <w:rFonts w:ascii="报宋" w:hAnsi="报宋" w:eastAsia="报宋" w:cs="报宋"/>
                <w:color w:val="auto"/>
                <w:sz w:val="20"/>
                <w:szCs w:val="20"/>
                <w:highlight w:val="none"/>
                <w:lang w:val="en-US" w:eastAsia="en-US" w:bidi="en-US"/>
              </w:rPr>
            </w:pPr>
          </w:p>
        </w:tc>
        <w:tc>
          <w:tcPr>
            <w:tcW w:w="9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6CF75A">
            <w:pPr>
              <w:jc w:val="center"/>
              <w:textAlignment w:val="auto"/>
              <w:rPr>
                <w:rFonts w:ascii="报宋" w:hAnsi="报宋" w:eastAsia="报宋" w:cs="报宋"/>
                <w:color w:val="auto"/>
                <w:sz w:val="20"/>
                <w:szCs w:val="20"/>
                <w:highlight w:val="none"/>
                <w:lang w:val="en-US" w:eastAsia="en-US" w:bidi="en-US"/>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FD49B9">
            <w:pPr>
              <w:jc w:val="center"/>
              <w:textAlignment w:val="auto"/>
              <w:rPr>
                <w:rFonts w:ascii="报宋" w:hAnsi="报宋" w:eastAsia="报宋" w:cs="报宋"/>
                <w:color w:val="auto"/>
                <w:sz w:val="20"/>
                <w:szCs w:val="20"/>
                <w:highlight w:val="none"/>
                <w:lang w:val="en-US" w:eastAsia="en-US" w:bidi="en-US"/>
              </w:rPr>
            </w:pPr>
          </w:p>
        </w:tc>
        <w:tc>
          <w:tcPr>
            <w:tcW w:w="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CC92D1">
            <w:pPr>
              <w:jc w:val="center"/>
              <w:textAlignment w:val="auto"/>
              <w:rPr>
                <w:rFonts w:ascii="报宋" w:hAnsi="报宋" w:eastAsia="报宋" w:cs="报宋"/>
                <w:color w:val="auto"/>
                <w:sz w:val="20"/>
                <w:szCs w:val="20"/>
                <w:highlight w:val="none"/>
                <w:lang w:val="en-US" w:eastAsia="en-US" w:bidi="en-US"/>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C2D74B">
            <w:pPr>
              <w:jc w:val="center"/>
              <w:textAlignment w:val="auto"/>
              <w:rPr>
                <w:rFonts w:ascii="报宋" w:hAnsi="报宋" w:eastAsia="报宋" w:cs="报宋"/>
                <w:color w:val="auto"/>
                <w:sz w:val="20"/>
                <w:szCs w:val="20"/>
                <w:highlight w:val="none"/>
                <w:lang w:val="en-US" w:eastAsia="en-US" w:bidi="en-US"/>
              </w:rPr>
            </w:pPr>
          </w:p>
        </w:tc>
        <w:tc>
          <w:tcPr>
            <w:tcW w:w="9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037765">
            <w:pPr>
              <w:jc w:val="center"/>
              <w:textAlignment w:val="auto"/>
              <w:rPr>
                <w:rFonts w:ascii="报宋" w:hAnsi="报宋" w:eastAsia="报宋" w:cs="报宋"/>
                <w:color w:val="auto"/>
                <w:sz w:val="20"/>
                <w:szCs w:val="20"/>
                <w:highlight w:val="none"/>
                <w:lang w:val="en-US" w:eastAsia="en-US" w:bidi="en-US"/>
              </w:rPr>
            </w:pP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11DEF3">
            <w:pPr>
              <w:jc w:val="center"/>
              <w:textAlignment w:val="auto"/>
              <w:rPr>
                <w:rFonts w:ascii="报宋" w:hAnsi="报宋" w:eastAsia="报宋" w:cs="报宋"/>
                <w:color w:val="auto"/>
                <w:sz w:val="20"/>
                <w:szCs w:val="20"/>
                <w:highlight w:val="none"/>
                <w:lang w:val="en-US" w:eastAsia="en-US" w:bidi="en-US"/>
              </w:rPr>
            </w:pPr>
          </w:p>
        </w:tc>
        <w:tc>
          <w:tcPr>
            <w:tcW w:w="1268"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682F448C">
            <w:pPr>
              <w:jc w:val="center"/>
              <w:rPr>
                <w:rFonts w:hint="eastAsia" w:ascii="宋体" w:hAnsi="宋体" w:cs="宋体"/>
                <w:color w:val="auto"/>
                <w:sz w:val="22"/>
                <w:szCs w:val="22"/>
                <w:highlight w:val="none"/>
              </w:rPr>
            </w:pPr>
          </w:p>
        </w:tc>
      </w:tr>
      <w:tr w14:paraId="02933C68">
        <w:tblPrEx>
          <w:tblCellMar>
            <w:top w:w="0" w:type="dxa"/>
            <w:left w:w="108" w:type="dxa"/>
            <w:bottom w:w="0" w:type="dxa"/>
            <w:right w:w="108" w:type="dxa"/>
          </w:tblCellMar>
        </w:tblPrEx>
        <w:trPr>
          <w:trHeight w:val="303" w:hRule="atLeast"/>
        </w:trPr>
        <w:tc>
          <w:tcPr>
            <w:tcW w:w="1671"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FFFD65B">
            <w:pPr>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lang w:eastAsia="zh-CN" w:bidi="ar"/>
              </w:rPr>
              <w:t>技术员</w:t>
            </w:r>
          </w:p>
        </w:tc>
        <w:tc>
          <w:tcPr>
            <w:tcW w:w="918" w:type="dxa"/>
            <w:tcBorders>
              <w:top w:val="nil"/>
              <w:left w:val="single" w:color="000000" w:sz="8" w:space="0"/>
              <w:bottom w:val="single" w:color="000000" w:sz="8" w:space="0"/>
              <w:right w:val="single" w:color="000000" w:sz="8" w:space="0"/>
            </w:tcBorders>
            <w:shd w:val="clear" w:color="auto" w:fill="FFFFFF"/>
            <w:noWrap w:val="0"/>
            <w:vAlign w:val="center"/>
          </w:tcPr>
          <w:p w14:paraId="699C10B0">
            <w:pPr>
              <w:jc w:val="center"/>
              <w:textAlignment w:val="center"/>
              <w:rPr>
                <w:rFonts w:ascii="报宋" w:hAnsi="报宋" w:eastAsia="报宋" w:cs="报宋"/>
                <w:color w:val="auto"/>
                <w:sz w:val="20"/>
                <w:szCs w:val="20"/>
                <w:highlight w:val="none"/>
                <w:lang w:val="en-US" w:eastAsia="en-US" w:bidi="en-US"/>
              </w:rPr>
            </w:pPr>
          </w:p>
        </w:tc>
        <w:tc>
          <w:tcPr>
            <w:tcW w:w="9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10B46D">
            <w:pPr>
              <w:jc w:val="center"/>
              <w:textAlignment w:val="center"/>
              <w:rPr>
                <w:rFonts w:ascii="报宋" w:hAnsi="报宋" w:eastAsia="报宋" w:cs="报宋"/>
                <w:color w:val="auto"/>
                <w:sz w:val="20"/>
                <w:szCs w:val="20"/>
                <w:highlight w:val="none"/>
                <w:lang w:val="en-US" w:eastAsia="en-US" w:bidi="en-US"/>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8DA9EC">
            <w:pPr>
              <w:jc w:val="center"/>
              <w:textAlignment w:val="center"/>
              <w:rPr>
                <w:rFonts w:ascii="报宋" w:hAnsi="报宋" w:eastAsia="报宋" w:cs="报宋"/>
                <w:color w:val="auto"/>
                <w:sz w:val="20"/>
                <w:szCs w:val="20"/>
                <w:highlight w:val="none"/>
                <w:lang w:val="en-US" w:eastAsia="en-US" w:bidi="en-US"/>
              </w:rPr>
            </w:pPr>
          </w:p>
        </w:tc>
        <w:tc>
          <w:tcPr>
            <w:tcW w:w="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980CCE">
            <w:pPr>
              <w:jc w:val="center"/>
              <w:textAlignment w:val="center"/>
              <w:rPr>
                <w:rFonts w:ascii="报宋" w:hAnsi="报宋" w:eastAsia="报宋" w:cs="报宋"/>
                <w:color w:val="auto"/>
                <w:sz w:val="20"/>
                <w:szCs w:val="20"/>
                <w:highlight w:val="none"/>
                <w:lang w:val="en-US" w:eastAsia="en-US" w:bidi="en-US"/>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6DE987">
            <w:pPr>
              <w:jc w:val="center"/>
              <w:textAlignment w:val="center"/>
              <w:rPr>
                <w:rFonts w:ascii="报宋" w:hAnsi="报宋" w:eastAsia="报宋" w:cs="报宋"/>
                <w:color w:val="auto"/>
                <w:sz w:val="20"/>
                <w:szCs w:val="20"/>
                <w:highlight w:val="none"/>
                <w:lang w:val="en-US" w:eastAsia="en-US" w:bidi="en-US"/>
              </w:rPr>
            </w:pPr>
          </w:p>
        </w:tc>
        <w:tc>
          <w:tcPr>
            <w:tcW w:w="9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471293">
            <w:pPr>
              <w:jc w:val="center"/>
              <w:textAlignment w:val="center"/>
              <w:rPr>
                <w:rFonts w:ascii="报宋" w:hAnsi="报宋" w:eastAsia="报宋" w:cs="报宋"/>
                <w:color w:val="auto"/>
                <w:sz w:val="20"/>
                <w:szCs w:val="20"/>
                <w:highlight w:val="none"/>
                <w:lang w:val="en-US" w:eastAsia="en-US" w:bidi="en-US"/>
              </w:rPr>
            </w:pP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2FC8F8">
            <w:pPr>
              <w:jc w:val="center"/>
              <w:rPr>
                <w:rFonts w:ascii="报宋" w:hAnsi="报宋" w:eastAsia="报宋" w:cs="报宋"/>
                <w:color w:val="auto"/>
                <w:sz w:val="20"/>
                <w:szCs w:val="20"/>
                <w:highlight w:val="none"/>
                <w:lang w:val="en-US" w:eastAsia="en-US" w:bidi="en-US"/>
              </w:rPr>
            </w:pPr>
          </w:p>
        </w:tc>
        <w:tc>
          <w:tcPr>
            <w:tcW w:w="1268"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73396715">
            <w:pPr>
              <w:jc w:val="center"/>
              <w:rPr>
                <w:rFonts w:hint="eastAsia" w:ascii="宋体" w:hAnsi="宋体" w:cs="宋体"/>
                <w:color w:val="auto"/>
                <w:sz w:val="22"/>
                <w:szCs w:val="22"/>
                <w:highlight w:val="none"/>
              </w:rPr>
            </w:pPr>
          </w:p>
        </w:tc>
      </w:tr>
      <w:tr w14:paraId="11C0BC23">
        <w:tblPrEx>
          <w:tblCellMar>
            <w:top w:w="0" w:type="dxa"/>
            <w:left w:w="108" w:type="dxa"/>
            <w:bottom w:w="0" w:type="dxa"/>
            <w:right w:w="108" w:type="dxa"/>
          </w:tblCellMar>
        </w:tblPrEx>
        <w:trPr>
          <w:trHeight w:val="303" w:hRule="atLeast"/>
        </w:trPr>
        <w:tc>
          <w:tcPr>
            <w:tcW w:w="1671"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8F2702D">
            <w:pPr>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lang w:eastAsia="zh-CN" w:bidi="ar"/>
              </w:rPr>
              <w:t>资料员</w:t>
            </w:r>
          </w:p>
        </w:tc>
        <w:tc>
          <w:tcPr>
            <w:tcW w:w="918" w:type="dxa"/>
            <w:tcBorders>
              <w:top w:val="nil"/>
              <w:left w:val="single" w:color="000000" w:sz="8" w:space="0"/>
              <w:bottom w:val="single" w:color="000000" w:sz="8" w:space="0"/>
              <w:right w:val="single" w:color="000000" w:sz="8" w:space="0"/>
            </w:tcBorders>
            <w:shd w:val="clear" w:color="auto" w:fill="FFFFFF"/>
            <w:noWrap w:val="0"/>
            <w:vAlign w:val="center"/>
          </w:tcPr>
          <w:p w14:paraId="656E6403">
            <w:pPr>
              <w:jc w:val="center"/>
              <w:textAlignment w:val="center"/>
              <w:rPr>
                <w:rFonts w:ascii="报宋" w:hAnsi="报宋" w:eastAsia="报宋" w:cs="报宋"/>
                <w:color w:val="auto"/>
                <w:sz w:val="20"/>
                <w:szCs w:val="20"/>
                <w:highlight w:val="none"/>
                <w:lang w:val="en-US" w:eastAsia="en-US" w:bidi="en-US"/>
              </w:rPr>
            </w:pPr>
          </w:p>
        </w:tc>
        <w:tc>
          <w:tcPr>
            <w:tcW w:w="9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93CE5C">
            <w:pPr>
              <w:jc w:val="center"/>
              <w:textAlignment w:val="center"/>
              <w:rPr>
                <w:rFonts w:ascii="报宋" w:hAnsi="报宋" w:eastAsia="报宋" w:cs="报宋"/>
                <w:color w:val="auto"/>
                <w:sz w:val="20"/>
                <w:szCs w:val="20"/>
                <w:highlight w:val="none"/>
                <w:lang w:val="en-US" w:eastAsia="en-US" w:bidi="en-US"/>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1A38E1">
            <w:pPr>
              <w:jc w:val="center"/>
              <w:textAlignment w:val="center"/>
              <w:rPr>
                <w:rFonts w:ascii="报宋" w:hAnsi="报宋" w:eastAsia="报宋" w:cs="报宋"/>
                <w:color w:val="auto"/>
                <w:sz w:val="20"/>
                <w:szCs w:val="20"/>
                <w:highlight w:val="none"/>
                <w:lang w:val="en-US" w:eastAsia="en-US" w:bidi="en-US"/>
              </w:rPr>
            </w:pPr>
          </w:p>
        </w:tc>
        <w:tc>
          <w:tcPr>
            <w:tcW w:w="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01262C">
            <w:pPr>
              <w:jc w:val="center"/>
              <w:textAlignment w:val="center"/>
              <w:rPr>
                <w:rFonts w:ascii="报宋" w:hAnsi="报宋" w:eastAsia="报宋" w:cs="报宋"/>
                <w:color w:val="auto"/>
                <w:sz w:val="20"/>
                <w:szCs w:val="20"/>
                <w:highlight w:val="none"/>
                <w:lang w:val="en-US" w:eastAsia="en-US" w:bidi="en-US"/>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AA8A4C">
            <w:pPr>
              <w:jc w:val="center"/>
              <w:textAlignment w:val="center"/>
              <w:rPr>
                <w:rFonts w:ascii="报宋" w:hAnsi="报宋" w:eastAsia="报宋" w:cs="报宋"/>
                <w:color w:val="auto"/>
                <w:sz w:val="20"/>
                <w:szCs w:val="20"/>
                <w:highlight w:val="none"/>
                <w:lang w:val="en-US" w:eastAsia="en-US" w:bidi="en-US"/>
              </w:rPr>
            </w:pPr>
          </w:p>
        </w:tc>
        <w:tc>
          <w:tcPr>
            <w:tcW w:w="9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4E91DB">
            <w:pPr>
              <w:jc w:val="center"/>
              <w:textAlignment w:val="center"/>
              <w:rPr>
                <w:rFonts w:ascii="报宋" w:hAnsi="报宋" w:eastAsia="报宋" w:cs="报宋"/>
                <w:color w:val="auto"/>
                <w:sz w:val="20"/>
                <w:szCs w:val="20"/>
                <w:highlight w:val="none"/>
                <w:lang w:val="en-US" w:eastAsia="en-US" w:bidi="en-US"/>
              </w:rPr>
            </w:pP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4A6617">
            <w:pPr>
              <w:jc w:val="center"/>
              <w:rPr>
                <w:rFonts w:ascii="报宋" w:hAnsi="报宋" w:eastAsia="报宋" w:cs="报宋"/>
                <w:color w:val="auto"/>
                <w:sz w:val="20"/>
                <w:szCs w:val="20"/>
                <w:highlight w:val="none"/>
                <w:lang w:val="en-US" w:eastAsia="en-US" w:bidi="en-US"/>
              </w:rPr>
            </w:pPr>
          </w:p>
        </w:tc>
        <w:tc>
          <w:tcPr>
            <w:tcW w:w="1268"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78515542">
            <w:pPr>
              <w:jc w:val="center"/>
              <w:rPr>
                <w:rFonts w:hint="eastAsia" w:ascii="宋体" w:hAnsi="宋体" w:cs="宋体"/>
                <w:color w:val="auto"/>
                <w:sz w:val="22"/>
                <w:szCs w:val="22"/>
                <w:highlight w:val="none"/>
              </w:rPr>
            </w:pPr>
          </w:p>
        </w:tc>
      </w:tr>
      <w:tr w14:paraId="316AC0F3">
        <w:tblPrEx>
          <w:tblCellMar>
            <w:top w:w="0" w:type="dxa"/>
            <w:left w:w="108" w:type="dxa"/>
            <w:bottom w:w="0" w:type="dxa"/>
            <w:right w:w="108" w:type="dxa"/>
          </w:tblCellMar>
        </w:tblPrEx>
        <w:trPr>
          <w:trHeight w:val="303" w:hRule="atLeast"/>
        </w:trPr>
        <w:tc>
          <w:tcPr>
            <w:tcW w:w="1671"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3741F87">
            <w:pPr>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lang w:eastAsia="zh-CN" w:bidi="ar"/>
              </w:rPr>
              <w:t>安全员</w:t>
            </w:r>
          </w:p>
        </w:tc>
        <w:tc>
          <w:tcPr>
            <w:tcW w:w="918" w:type="dxa"/>
            <w:tcBorders>
              <w:top w:val="nil"/>
              <w:left w:val="single" w:color="000000" w:sz="8" w:space="0"/>
              <w:bottom w:val="single" w:color="000000" w:sz="8" w:space="0"/>
              <w:right w:val="single" w:color="000000" w:sz="8" w:space="0"/>
            </w:tcBorders>
            <w:shd w:val="clear" w:color="auto" w:fill="FFFFFF"/>
            <w:noWrap w:val="0"/>
            <w:vAlign w:val="center"/>
          </w:tcPr>
          <w:p w14:paraId="11F0BF17">
            <w:pPr>
              <w:jc w:val="center"/>
              <w:rPr>
                <w:rFonts w:ascii="报宋" w:hAnsi="报宋" w:eastAsia="报宋" w:cs="报宋"/>
                <w:color w:val="auto"/>
                <w:sz w:val="20"/>
                <w:szCs w:val="20"/>
                <w:highlight w:val="none"/>
                <w:lang w:val="en-US" w:eastAsia="en-US" w:bidi="en-US"/>
              </w:rPr>
            </w:pPr>
          </w:p>
        </w:tc>
        <w:tc>
          <w:tcPr>
            <w:tcW w:w="9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46538B">
            <w:pPr>
              <w:jc w:val="center"/>
              <w:textAlignment w:val="center"/>
              <w:rPr>
                <w:rFonts w:ascii="报宋" w:hAnsi="报宋" w:eastAsia="报宋" w:cs="报宋"/>
                <w:color w:val="auto"/>
                <w:sz w:val="20"/>
                <w:szCs w:val="20"/>
                <w:highlight w:val="none"/>
                <w:lang w:val="en-US" w:eastAsia="en-US" w:bidi="en-US"/>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AFBBC5">
            <w:pPr>
              <w:jc w:val="center"/>
              <w:textAlignment w:val="center"/>
              <w:rPr>
                <w:rFonts w:ascii="报宋" w:hAnsi="报宋" w:eastAsia="报宋" w:cs="报宋"/>
                <w:color w:val="auto"/>
                <w:sz w:val="20"/>
                <w:szCs w:val="20"/>
                <w:highlight w:val="none"/>
                <w:lang w:val="en-US" w:eastAsia="en-US" w:bidi="en-US"/>
              </w:rPr>
            </w:pPr>
          </w:p>
        </w:tc>
        <w:tc>
          <w:tcPr>
            <w:tcW w:w="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1E3C1C">
            <w:pPr>
              <w:jc w:val="center"/>
              <w:textAlignment w:val="center"/>
              <w:rPr>
                <w:rFonts w:ascii="报宋" w:hAnsi="报宋" w:eastAsia="报宋" w:cs="报宋"/>
                <w:color w:val="auto"/>
                <w:sz w:val="20"/>
                <w:szCs w:val="20"/>
                <w:highlight w:val="none"/>
                <w:lang w:val="en-US" w:eastAsia="en-US" w:bidi="en-US"/>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F11908">
            <w:pPr>
              <w:jc w:val="center"/>
              <w:textAlignment w:val="center"/>
              <w:rPr>
                <w:rFonts w:ascii="报宋" w:hAnsi="报宋" w:eastAsia="报宋" w:cs="报宋"/>
                <w:color w:val="auto"/>
                <w:sz w:val="20"/>
                <w:szCs w:val="20"/>
                <w:highlight w:val="none"/>
                <w:lang w:val="en-US" w:eastAsia="en-US" w:bidi="en-US"/>
              </w:rPr>
            </w:pPr>
          </w:p>
        </w:tc>
        <w:tc>
          <w:tcPr>
            <w:tcW w:w="9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E42E75">
            <w:pPr>
              <w:jc w:val="center"/>
              <w:textAlignment w:val="center"/>
              <w:rPr>
                <w:rFonts w:ascii="报宋" w:hAnsi="报宋" w:eastAsia="报宋" w:cs="报宋"/>
                <w:color w:val="auto"/>
                <w:sz w:val="20"/>
                <w:szCs w:val="20"/>
                <w:highlight w:val="none"/>
                <w:lang w:val="en-US" w:eastAsia="en-US" w:bidi="en-US"/>
              </w:rPr>
            </w:pP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0A2202">
            <w:pPr>
              <w:jc w:val="center"/>
              <w:rPr>
                <w:rFonts w:ascii="报宋" w:hAnsi="报宋" w:eastAsia="报宋" w:cs="报宋"/>
                <w:color w:val="auto"/>
                <w:sz w:val="20"/>
                <w:szCs w:val="20"/>
                <w:highlight w:val="none"/>
                <w:lang w:val="en-US" w:eastAsia="en-US" w:bidi="en-US"/>
              </w:rPr>
            </w:pPr>
          </w:p>
        </w:tc>
        <w:tc>
          <w:tcPr>
            <w:tcW w:w="1268"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367CDA27">
            <w:pPr>
              <w:jc w:val="center"/>
              <w:rPr>
                <w:rFonts w:hint="eastAsia" w:ascii="宋体" w:hAnsi="宋体" w:cs="宋体"/>
                <w:color w:val="auto"/>
                <w:sz w:val="22"/>
                <w:szCs w:val="22"/>
                <w:highlight w:val="none"/>
              </w:rPr>
            </w:pPr>
          </w:p>
        </w:tc>
      </w:tr>
      <w:tr w14:paraId="6317E733">
        <w:tblPrEx>
          <w:tblCellMar>
            <w:top w:w="0" w:type="dxa"/>
            <w:left w:w="108" w:type="dxa"/>
            <w:bottom w:w="0" w:type="dxa"/>
            <w:right w:w="108" w:type="dxa"/>
          </w:tblCellMar>
        </w:tblPrEx>
        <w:trPr>
          <w:trHeight w:val="303" w:hRule="atLeast"/>
        </w:trPr>
        <w:tc>
          <w:tcPr>
            <w:tcW w:w="1671"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AD87384">
            <w:pPr>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lang w:eastAsia="zh-CN" w:bidi="ar"/>
              </w:rPr>
              <w:t>机管员</w:t>
            </w:r>
          </w:p>
        </w:tc>
        <w:tc>
          <w:tcPr>
            <w:tcW w:w="918" w:type="dxa"/>
            <w:tcBorders>
              <w:top w:val="nil"/>
              <w:left w:val="single" w:color="000000" w:sz="8" w:space="0"/>
              <w:bottom w:val="single" w:color="000000" w:sz="8" w:space="0"/>
              <w:right w:val="single" w:color="000000" w:sz="8" w:space="0"/>
            </w:tcBorders>
            <w:shd w:val="clear" w:color="auto" w:fill="FFFFFF"/>
            <w:noWrap w:val="0"/>
            <w:vAlign w:val="center"/>
          </w:tcPr>
          <w:p w14:paraId="18DBC2DB">
            <w:pPr>
              <w:jc w:val="center"/>
              <w:textAlignment w:val="auto"/>
              <w:rPr>
                <w:rFonts w:ascii="报宋" w:hAnsi="报宋" w:eastAsia="报宋" w:cs="报宋"/>
                <w:color w:val="auto"/>
                <w:sz w:val="20"/>
                <w:szCs w:val="20"/>
                <w:highlight w:val="none"/>
                <w:lang w:val="en-US" w:eastAsia="en-US" w:bidi="en-US"/>
              </w:rPr>
            </w:pPr>
          </w:p>
        </w:tc>
        <w:tc>
          <w:tcPr>
            <w:tcW w:w="9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66E2E2">
            <w:pPr>
              <w:jc w:val="center"/>
              <w:textAlignment w:val="auto"/>
              <w:rPr>
                <w:rFonts w:ascii="报宋" w:hAnsi="报宋" w:eastAsia="报宋" w:cs="报宋"/>
                <w:color w:val="auto"/>
                <w:sz w:val="20"/>
                <w:szCs w:val="20"/>
                <w:highlight w:val="none"/>
                <w:lang w:val="en-US" w:eastAsia="en-US" w:bidi="en-US"/>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F0C100">
            <w:pPr>
              <w:jc w:val="center"/>
              <w:textAlignment w:val="auto"/>
              <w:rPr>
                <w:rFonts w:ascii="报宋" w:hAnsi="报宋" w:eastAsia="报宋" w:cs="报宋"/>
                <w:color w:val="auto"/>
                <w:sz w:val="20"/>
                <w:szCs w:val="20"/>
                <w:highlight w:val="none"/>
                <w:lang w:val="en-US" w:eastAsia="en-US" w:bidi="en-US"/>
              </w:rPr>
            </w:pPr>
          </w:p>
        </w:tc>
        <w:tc>
          <w:tcPr>
            <w:tcW w:w="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545520">
            <w:pPr>
              <w:jc w:val="center"/>
              <w:textAlignment w:val="auto"/>
              <w:rPr>
                <w:rFonts w:ascii="报宋" w:hAnsi="报宋" w:eastAsia="报宋" w:cs="报宋"/>
                <w:color w:val="auto"/>
                <w:sz w:val="20"/>
                <w:szCs w:val="20"/>
                <w:highlight w:val="none"/>
                <w:lang w:val="en-US" w:eastAsia="en-US" w:bidi="en-US"/>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9C0DF7">
            <w:pPr>
              <w:jc w:val="center"/>
              <w:textAlignment w:val="auto"/>
              <w:rPr>
                <w:rFonts w:ascii="报宋" w:hAnsi="报宋" w:eastAsia="报宋" w:cs="报宋"/>
                <w:color w:val="auto"/>
                <w:sz w:val="20"/>
                <w:szCs w:val="20"/>
                <w:highlight w:val="none"/>
                <w:lang w:val="en-US" w:eastAsia="en-US" w:bidi="en-US"/>
              </w:rPr>
            </w:pPr>
          </w:p>
        </w:tc>
        <w:tc>
          <w:tcPr>
            <w:tcW w:w="9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BF5DF5">
            <w:pPr>
              <w:jc w:val="center"/>
              <w:textAlignment w:val="auto"/>
              <w:rPr>
                <w:rFonts w:ascii="报宋" w:hAnsi="报宋" w:eastAsia="报宋" w:cs="报宋"/>
                <w:color w:val="auto"/>
                <w:sz w:val="20"/>
                <w:szCs w:val="20"/>
                <w:highlight w:val="none"/>
                <w:lang w:val="en-US" w:eastAsia="en-US" w:bidi="en-US"/>
              </w:rPr>
            </w:pP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E21092">
            <w:pPr>
              <w:jc w:val="center"/>
              <w:textAlignment w:val="auto"/>
              <w:rPr>
                <w:rFonts w:ascii="报宋" w:hAnsi="报宋" w:eastAsia="报宋" w:cs="报宋"/>
                <w:color w:val="auto"/>
                <w:sz w:val="20"/>
                <w:szCs w:val="20"/>
                <w:highlight w:val="none"/>
                <w:lang w:val="en-US" w:eastAsia="en-US" w:bidi="en-US"/>
              </w:rPr>
            </w:pPr>
          </w:p>
        </w:tc>
        <w:tc>
          <w:tcPr>
            <w:tcW w:w="1268"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59463A86">
            <w:pPr>
              <w:jc w:val="center"/>
              <w:rPr>
                <w:rFonts w:hint="eastAsia" w:ascii="宋体" w:hAnsi="宋体" w:cs="宋体"/>
                <w:color w:val="auto"/>
                <w:sz w:val="22"/>
                <w:szCs w:val="22"/>
                <w:highlight w:val="none"/>
              </w:rPr>
            </w:pPr>
          </w:p>
        </w:tc>
      </w:tr>
      <w:tr w14:paraId="48AF52C3">
        <w:tblPrEx>
          <w:tblCellMar>
            <w:top w:w="0" w:type="dxa"/>
            <w:left w:w="108" w:type="dxa"/>
            <w:bottom w:w="0" w:type="dxa"/>
            <w:right w:w="108" w:type="dxa"/>
          </w:tblCellMar>
        </w:tblPrEx>
        <w:trPr>
          <w:trHeight w:val="303" w:hRule="atLeast"/>
        </w:trPr>
        <w:tc>
          <w:tcPr>
            <w:tcW w:w="1671"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5111433">
            <w:pPr>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lang w:eastAsia="zh-CN" w:bidi="ar"/>
              </w:rPr>
              <w:t>质检员</w:t>
            </w:r>
          </w:p>
        </w:tc>
        <w:tc>
          <w:tcPr>
            <w:tcW w:w="918" w:type="dxa"/>
            <w:tcBorders>
              <w:top w:val="nil"/>
              <w:left w:val="single" w:color="000000" w:sz="8" w:space="0"/>
              <w:bottom w:val="single" w:color="000000" w:sz="8" w:space="0"/>
              <w:right w:val="single" w:color="000000" w:sz="8" w:space="0"/>
            </w:tcBorders>
            <w:shd w:val="clear" w:color="auto" w:fill="FFFFFF"/>
            <w:noWrap w:val="0"/>
            <w:vAlign w:val="center"/>
          </w:tcPr>
          <w:p w14:paraId="03CAF860">
            <w:pPr>
              <w:jc w:val="center"/>
              <w:textAlignment w:val="auto"/>
              <w:rPr>
                <w:rFonts w:ascii="报宋" w:hAnsi="报宋" w:eastAsia="报宋" w:cs="报宋"/>
                <w:color w:val="auto"/>
                <w:sz w:val="20"/>
                <w:szCs w:val="20"/>
                <w:highlight w:val="none"/>
                <w:lang w:val="en-US" w:eastAsia="en-US" w:bidi="en-US"/>
              </w:rPr>
            </w:pPr>
          </w:p>
        </w:tc>
        <w:tc>
          <w:tcPr>
            <w:tcW w:w="9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957ABB">
            <w:pPr>
              <w:jc w:val="center"/>
              <w:textAlignment w:val="auto"/>
              <w:rPr>
                <w:rFonts w:ascii="报宋" w:hAnsi="报宋" w:eastAsia="报宋" w:cs="报宋"/>
                <w:color w:val="auto"/>
                <w:sz w:val="20"/>
                <w:szCs w:val="20"/>
                <w:highlight w:val="none"/>
                <w:lang w:val="en-US" w:eastAsia="en-US" w:bidi="en-US"/>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632CAE">
            <w:pPr>
              <w:jc w:val="center"/>
              <w:textAlignment w:val="auto"/>
              <w:rPr>
                <w:rFonts w:ascii="报宋" w:hAnsi="报宋" w:eastAsia="报宋" w:cs="报宋"/>
                <w:color w:val="auto"/>
                <w:sz w:val="20"/>
                <w:szCs w:val="20"/>
                <w:highlight w:val="none"/>
                <w:lang w:val="en-US" w:eastAsia="en-US" w:bidi="en-US"/>
              </w:rPr>
            </w:pPr>
          </w:p>
        </w:tc>
        <w:tc>
          <w:tcPr>
            <w:tcW w:w="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5FC86D">
            <w:pPr>
              <w:jc w:val="center"/>
              <w:textAlignment w:val="auto"/>
              <w:rPr>
                <w:rFonts w:ascii="报宋" w:hAnsi="报宋" w:eastAsia="报宋" w:cs="报宋"/>
                <w:color w:val="auto"/>
                <w:sz w:val="20"/>
                <w:szCs w:val="20"/>
                <w:highlight w:val="none"/>
                <w:lang w:val="en-US" w:eastAsia="en-US" w:bidi="en-US"/>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FCCB3D">
            <w:pPr>
              <w:jc w:val="center"/>
              <w:textAlignment w:val="auto"/>
              <w:rPr>
                <w:rFonts w:ascii="报宋" w:hAnsi="报宋" w:eastAsia="报宋" w:cs="报宋"/>
                <w:color w:val="auto"/>
                <w:sz w:val="20"/>
                <w:szCs w:val="20"/>
                <w:highlight w:val="none"/>
                <w:lang w:val="en-US" w:eastAsia="en-US" w:bidi="en-US"/>
              </w:rPr>
            </w:pPr>
          </w:p>
        </w:tc>
        <w:tc>
          <w:tcPr>
            <w:tcW w:w="9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2D24CA">
            <w:pPr>
              <w:jc w:val="center"/>
              <w:textAlignment w:val="auto"/>
              <w:rPr>
                <w:rFonts w:ascii="报宋" w:hAnsi="报宋" w:eastAsia="报宋" w:cs="报宋"/>
                <w:color w:val="auto"/>
                <w:sz w:val="20"/>
                <w:szCs w:val="20"/>
                <w:highlight w:val="none"/>
                <w:lang w:val="en-US" w:eastAsia="en-US" w:bidi="en-US"/>
              </w:rPr>
            </w:pP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9E1E27">
            <w:pPr>
              <w:jc w:val="center"/>
              <w:textAlignment w:val="auto"/>
              <w:rPr>
                <w:rFonts w:ascii="报宋" w:hAnsi="报宋" w:eastAsia="报宋" w:cs="报宋"/>
                <w:color w:val="auto"/>
                <w:sz w:val="20"/>
                <w:szCs w:val="20"/>
                <w:highlight w:val="none"/>
                <w:lang w:val="en-US" w:eastAsia="en-US" w:bidi="en-US"/>
              </w:rPr>
            </w:pPr>
          </w:p>
        </w:tc>
        <w:tc>
          <w:tcPr>
            <w:tcW w:w="1268"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24F9A8BC">
            <w:pPr>
              <w:jc w:val="center"/>
              <w:rPr>
                <w:rFonts w:hint="eastAsia" w:ascii="宋体" w:hAnsi="宋体" w:cs="宋体"/>
                <w:color w:val="auto"/>
                <w:sz w:val="22"/>
                <w:szCs w:val="22"/>
                <w:highlight w:val="none"/>
              </w:rPr>
            </w:pPr>
          </w:p>
        </w:tc>
      </w:tr>
      <w:tr w14:paraId="3B837870">
        <w:tblPrEx>
          <w:tblCellMar>
            <w:top w:w="0" w:type="dxa"/>
            <w:left w:w="108" w:type="dxa"/>
            <w:bottom w:w="0" w:type="dxa"/>
            <w:right w:w="108" w:type="dxa"/>
          </w:tblCellMar>
        </w:tblPrEx>
        <w:trPr>
          <w:trHeight w:val="303" w:hRule="atLeast"/>
        </w:trPr>
        <w:tc>
          <w:tcPr>
            <w:tcW w:w="1671"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174DE4A">
            <w:pPr>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lang w:eastAsia="zh-CN" w:bidi="ar"/>
              </w:rPr>
              <w:t>试验员</w:t>
            </w:r>
          </w:p>
        </w:tc>
        <w:tc>
          <w:tcPr>
            <w:tcW w:w="918" w:type="dxa"/>
            <w:tcBorders>
              <w:top w:val="nil"/>
              <w:left w:val="single" w:color="000000" w:sz="8" w:space="0"/>
              <w:bottom w:val="single" w:color="000000" w:sz="8" w:space="0"/>
              <w:right w:val="single" w:color="000000" w:sz="8" w:space="0"/>
            </w:tcBorders>
            <w:shd w:val="clear" w:color="auto" w:fill="FFFFFF"/>
            <w:noWrap w:val="0"/>
            <w:vAlign w:val="center"/>
          </w:tcPr>
          <w:p w14:paraId="06EA19A0">
            <w:pPr>
              <w:jc w:val="center"/>
              <w:rPr>
                <w:rFonts w:ascii="报宋" w:hAnsi="报宋" w:eastAsia="报宋" w:cs="报宋"/>
                <w:color w:val="auto"/>
                <w:sz w:val="20"/>
                <w:szCs w:val="20"/>
                <w:highlight w:val="none"/>
                <w:lang w:val="en-US" w:eastAsia="en-US" w:bidi="en-US"/>
              </w:rPr>
            </w:pPr>
          </w:p>
        </w:tc>
        <w:tc>
          <w:tcPr>
            <w:tcW w:w="9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02E5F8">
            <w:pPr>
              <w:jc w:val="center"/>
              <w:rPr>
                <w:rFonts w:ascii="报宋" w:hAnsi="报宋" w:eastAsia="报宋" w:cs="报宋"/>
                <w:color w:val="auto"/>
                <w:sz w:val="20"/>
                <w:szCs w:val="20"/>
                <w:highlight w:val="none"/>
                <w:lang w:val="en-US" w:eastAsia="en-US" w:bidi="en-US"/>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E858B6">
            <w:pPr>
              <w:jc w:val="center"/>
              <w:rPr>
                <w:rFonts w:ascii="报宋" w:hAnsi="报宋" w:eastAsia="报宋" w:cs="报宋"/>
                <w:color w:val="auto"/>
                <w:sz w:val="20"/>
                <w:szCs w:val="20"/>
                <w:highlight w:val="none"/>
                <w:lang w:val="en-US" w:eastAsia="en-US" w:bidi="en-US"/>
              </w:rPr>
            </w:pPr>
          </w:p>
        </w:tc>
        <w:tc>
          <w:tcPr>
            <w:tcW w:w="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0254E4">
            <w:pPr>
              <w:jc w:val="center"/>
              <w:rPr>
                <w:rFonts w:ascii="报宋" w:hAnsi="报宋" w:eastAsia="报宋" w:cs="报宋"/>
                <w:color w:val="auto"/>
                <w:sz w:val="20"/>
                <w:szCs w:val="20"/>
                <w:highlight w:val="none"/>
                <w:lang w:val="en-US" w:eastAsia="en-US" w:bidi="en-US"/>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F9D99D">
            <w:pPr>
              <w:jc w:val="center"/>
              <w:rPr>
                <w:rFonts w:ascii="报宋" w:hAnsi="报宋" w:eastAsia="报宋" w:cs="报宋"/>
                <w:color w:val="auto"/>
                <w:sz w:val="20"/>
                <w:szCs w:val="20"/>
                <w:highlight w:val="none"/>
                <w:lang w:val="en-US" w:eastAsia="en-US" w:bidi="en-US"/>
              </w:rPr>
            </w:pPr>
          </w:p>
        </w:tc>
        <w:tc>
          <w:tcPr>
            <w:tcW w:w="9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0D6ECC">
            <w:pPr>
              <w:jc w:val="center"/>
              <w:rPr>
                <w:rFonts w:ascii="报宋" w:hAnsi="报宋" w:eastAsia="报宋" w:cs="报宋"/>
                <w:color w:val="auto"/>
                <w:sz w:val="20"/>
                <w:szCs w:val="20"/>
                <w:highlight w:val="none"/>
                <w:lang w:val="en-US" w:eastAsia="en-US" w:bidi="en-US"/>
              </w:rPr>
            </w:pP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658800">
            <w:pPr>
              <w:jc w:val="center"/>
              <w:rPr>
                <w:rFonts w:ascii="报宋" w:hAnsi="报宋" w:eastAsia="报宋" w:cs="报宋"/>
                <w:color w:val="auto"/>
                <w:sz w:val="20"/>
                <w:szCs w:val="20"/>
                <w:highlight w:val="none"/>
                <w:lang w:val="en-US" w:eastAsia="en-US" w:bidi="en-US"/>
              </w:rPr>
            </w:pPr>
          </w:p>
        </w:tc>
        <w:tc>
          <w:tcPr>
            <w:tcW w:w="1268"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54B55D5C">
            <w:pPr>
              <w:jc w:val="center"/>
              <w:rPr>
                <w:rFonts w:hint="eastAsia" w:ascii="宋体" w:hAnsi="宋体" w:cs="宋体"/>
                <w:color w:val="auto"/>
                <w:sz w:val="22"/>
                <w:szCs w:val="22"/>
                <w:highlight w:val="none"/>
              </w:rPr>
            </w:pPr>
          </w:p>
        </w:tc>
      </w:tr>
      <w:tr w14:paraId="0004C078">
        <w:tblPrEx>
          <w:tblCellMar>
            <w:top w:w="0" w:type="dxa"/>
            <w:left w:w="108" w:type="dxa"/>
            <w:bottom w:w="0" w:type="dxa"/>
            <w:right w:w="108" w:type="dxa"/>
          </w:tblCellMar>
        </w:tblPrEx>
        <w:trPr>
          <w:trHeight w:val="303" w:hRule="atLeast"/>
        </w:trPr>
        <w:tc>
          <w:tcPr>
            <w:tcW w:w="1671"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28FBD16">
            <w:pPr>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lang w:eastAsia="zh-CN" w:bidi="ar"/>
              </w:rPr>
              <w:t>实测实量</w:t>
            </w:r>
          </w:p>
        </w:tc>
        <w:tc>
          <w:tcPr>
            <w:tcW w:w="918" w:type="dxa"/>
            <w:tcBorders>
              <w:top w:val="nil"/>
              <w:left w:val="single" w:color="000000" w:sz="8" w:space="0"/>
              <w:bottom w:val="single" w:color="000000" w:sz="8" w:space="0"/>
              <w:right w:val="single" w:color="000000" w:sz="8" w:space="0"/>
            </w:tcBorders>
            <w:shd w:val="clear" w:color="auto" w:fill="FFFFFF"/>
            <w:noWrap w:val="0"/>
            <w:vAlign w:val="center"/>
          </w:tcPr>
          <w:p w14:paraId="0A569800">
            <w:pPr>
              <w:jc w:val="center"/>
              <w:rPr>
                <w:rFonts w:ascii="报宋" w:hAnsi="报宋" w:eastAsia="报宋" w:cs="报宋"/>
                <w:color w:val="auto"/>
                <w:sz w:val="20"/>
                <w:szCs w:val="20"/>
                <w:highlight w:val="none"/>
                <w:lang w:val="en-US" w:eastAsia="en-US" w:bidi="en-US"/>
              </w:rPr>
            </w:pPr>
          </w:p>
        </w:tc>
        <w:tc>
          <w:tcPr>
            <w:tcW w:w="9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C6457A">
            <w:pPr>
              <w:jc w:val="center"/>
              <w:rPr>
                <w:rFonts w:ascii="报宋" w:hAnsi="报宋" w:eastAsia="报宋" w:cs="报宋"/>
                <w:color w:val="auto"/>
                <w:sz w:val="20"/>
                <w:szCs w:val="20"/>
                <w:highlight w:val="none"/>
                <w:lang w:val="en-US" w:eastAsia="en-US" w:bidi="en-US"/>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2657FD">
            <w:pPr>
              <w:jc w:val="center"/>
              <w:rPr>
                <w:rFonts w:ascii="报宋" w:hAnsi="报宋" w:eastAsia="报宋" w:cs="报宋"/>
                <w:color w:val="auto"/>
                <w:sz w:val="20"/>
                <w:szCs w:val="20"/>
                <w:highlight w:val="none"/>
                <w:lang w:val="en-US" w:eastAsia="en-US" w:bidi="en-US"/>
              </w:rPr>
            </w:pPr>
          </w:p>
        </w:tc>
        <w:tc>
          <w:tcPr>
            <w:tcW w:w="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B3FEBA">
            <w:pPr>
              <w:jc w:val="center"/>
              <w:rPr>
                <w:rFonts w:ascii="报宋" w:hAnsi="报宋" w:eastAsia="报宋" w:cs="报宋"/>
                <w:color w:val="auto"/>
                <w:sz w:val="20"/>
                <w:szCs w:val="20"/>
                <w:highlight w:val="none"/>
                <w:lang w:val="en-US" w:eastAsia="en-US" w:bidi="en-US"/>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AE8750">
            <w:pPr>
              <w:jc w:val="center"/>
              <w:rPr>
                <w:rFonts w:ascii="报宋" w:hAnsi="报宋" w:eastAsia="报宋" w:cs="报宋"/>
                <w:color w:val="auto"/>
                <w:sz w:val="20"/>
                <w:szCs w:val="20"/>
                <w:highlight w:val="none"/>
                <w:lang w:val="en-US" w:eastAsia="en-US" w:bidi="en-US"/>
              </w:rPr>
            </w:pPr>
          </w:p>
        </w:tc>
        <w:tc>
          <w:tcPr>
            <w:tcW w:w="9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E8E179">
            <w:pPr>
              <w:jc w:val="center"/>
              <w:rPr>
                <w:rFonts w:ascii="报宋" w:hAnsi="报宋" w:eastAsia="报宋" w:cs="报宋"/>
                <w:color w:val="auto"/>
                <w:sz w:val="20"/>
                <w:szCs w:val="20"/>
                <w:highlight w:val="none"/>
                <w:lang w:val="en-US" w:eastAsia="en-US" w:bidi="en-US"/>
              </w:rPr>
            </w:pP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C73992">
            <w:pPr>
              <w:jc w:val="center"/>
              <w:rPr>
                <w:rFonts w:ascii="报宋" w:hAnsi="报宋" w:eastAsia="报宋" w:cs="报宋"/>
                <w:color w:val="auto"/>
                <w:sz w:val="20"/>
                <w:szCs w:val="20"/>
                <w:highlight w:val="none"/>
                <w:lang w:val="en-US" w:eastAsia="en-US" w:bidi="en-US"/>
              </w:rPr>
            </w:pPr>
          </w:p>
        </w:tc>
        <w:tc>
          <w:tcPr>
            <w:tcW w:w="1268"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13288535">
            <w:pPr>
              <w:jc w:val="center"/>
              <w:rPr>
                <w:rFonts w:hint="eastAsia" w:ascii="宋体" w:hAnsi="宋体" w:cs="宋体"/>
                <w:color w:val="auto"/>
                <w:sz w:val="22"/>
                <w:szCs w:val="22"/>
                <w:highlight w:val="none"/>
              </w:rPr>
            </w:pPr>
          </w:p>
        </w:tc>
      </w:tr>
      <w:tr w14:paraId="537DD464">
        <w:tblPrEx>
          <w:tblCellMar>
            <w:top w:w="0" w:type="dxa"/>
            <w:left w:w="108" w:type="dxa"/>
            <w:bottom w:w="0" w:type="dxa"/>
            <w:right w:w="108" w:type="dxa"/>
          </w:tblCellMar>
        </w:tblPrEx>
        <w:trPr>
          <w:trHeight w:val="303" w:hRule="atLeast"/>
        </w:trPr>
        <w:tc>
          <w:tcPr>
            <w:tcW w:w="1671" w:type="dxa"/>
            <w:tcBorders>
              <w:top w:val="single" w:color="000000" w:sz="4" w:space="0"/>
              <w:left w:val="single" w:color="auto" w:sz="4" w:space="0"/>
              <w:bottom w:val="nil"/>
              <w:right w:val="single" w:color="000000" w:sz="4" w:space="0"/>
            </w:tcBorders>
            <w:shd w:val="clear" w:color="auto" w:fill="FFFFFF"/>
            <w:noWrap w:val="0"/>
            <w:vAlign w:val="center"/>
          </w:tcPr>
          <w:p w14:paraId="57114DE3">
            <w:pPr>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lang w:eastAsia="zh-CN" w:bidi="ar"/>
              </w:rPr>
              <w:t>维修管理员</w:t>
            </w:r>
          </w:p>
        </w:tc>
        <w:tc>
          <w:tcPr>
            <w:tcW w:w="918" w:type="dxa"/>
            <w:tcBorders>
              <w:top w:val="nil"/>
              <w:left w:val="single" w:color="000000" w:sz="8" w:space="0"/>
              <w:bottom w:val="single" w:color="000000" w:sz="8" w:space="0"/>
              <w:right w:val="single" w:color="000000" w:sz="8" w:space="0"/>
            </w:tcBorders>
            <w:shd w:val="clear" w:color="auto" w:fill="FFFFFF"/>
            <w:noWrap w:val="0"/>
            <w:vAlign w:val="center"/>
          </w:tcPr>
          <w:p w14:paraId="7CF84FE4">
            <w:pPr>
              <w:jc w:val="center"/>
              <w:rPr>
                <w:rFonts w:hint="eastAsia" w:ascii="报宋" w:hAnsi="报宋" w:eastAsia="报宋" w:cs="报宋"/>
                <w:color w:val="auto"/>
                <w:sz w:val="20"/>
                <w:szCs w:val="20"/>
                <w:highlight w:val="none"/>
                <w:lang w:val="en-US" w:eastAsia="en-US" w:bidi="en-US"/>
              </w:rPr>
            </w:pPr>
          </w:p>
        </w:tc>
        <w:tc>
          <w:tcPr>
            <w:tcW w:w="906" w:type="dxa"/>
            <w:tcBorders>
              <w:top w:val="single" w:color="000000" w:sz="4" w:space="0"/>
              <w:left w:val="single" w:color="000000" w:sz="4" w:space="0"/>
              <w:bottom w:val="nil"/>
              <w:right w:val="single" w:color="000000" w:sz="4" w:space="0"/>
            </w:tcBorders>
            <w:shd w:val="clear" w:color="auto" w:fill="FFFFFF"/>
            <w:noWrap w:val="0"/>
            <w:vAlign w:val="center"/>
          </w:tcPr>
          <w:p w14:paraId="45B2CBBF">
            <w:pPr>
              <w:jc w:val="center"/>
              <w:rPr>
                <w:rFonts w:ascii="报宋" w:hAnsi="报宋" w:eastAsia="报宋" w:cs="报宋"/>
                <w:color w:val="auto"/>
                <w:sz w:val="20"/>
                <w:szCs w:val="20"/>
                <w:highlight w:val="none"/>
                <w:lang w:val="en-US" w:eastAsia="en-US" w:bidi="en-US"/>
              </w:rPr>
            </w:pPr>
          </w:p>
        </w:tc>
        <w:tc>
          <w:tcPr>
            <w:tcW w:w="870" w:type="dxa"/>
            <w:tcBorders>
              <w:top w:val="single" w:color="000000" w:sz="4" w:space="0"/>
              <w:left w:val="single" w:color="000000" w:sz="4" w:space="0"/>
              <w:bottom w:val="nil"/>
              <w:right w:val="single" w:color="000000" w:sz="4" w:space="0"/>
            </w:tcBorders>
            <w:shd w:val="clear" w:color="auto" w:fill="FFFFFF"/>
            <w:noWrap w:val="0"/>
            <w:vAlign w:val="center"/>
          </w:tcPr>
          <w:p w14:paraId="793F8254">
            <w:pPr>
              <w:jc w:val="center"/>
              <w:rPr>
                <w:rFonts w:ascii="报宋" w:hAnsi="报宋" w:eastAsia="报宋" w:cs="报宋"/>
                <w:color w:val="auto"/>
                <w:sz w:val="20"/>
                <w:szCs w:val="20"/>
                <w:highlight w:val="none"/>
                <w:lang w:val="en-US" w:eastAsia="en-US" w:bidi="en-US"/>
              </w:rPr>
            </w:pPr>
          </w:p>
        </w:tc>
        <w:tc>
          <w:tcPr>
            <w:tcW w:w="953" w:type="dxa"/>
            <w:tcBorders>
              <w:top w:val="single" w:color="000000" w:sz="4" w:space="0"/>
              <w:left w:val="single" w:color="000000" w:sz="4" w:space="0"/>
              <w:bottom w:val="nil"/>
              <w:right w:val="single" w:color="000000" w:sz="4" w:space="0"/>
            </w:tcBorders>
            <w:shd w:val="clear" w:color="auto" w:fill="FFFFFF"/>
            <w:noWrap w:val="0"/>
            <w:vAlign w:val="center"/>
          </w:tcPr>
          <w:p w14:paraId="21201330">
            <w:pPr>
              <w:jc w:val="center"/>
              <w:rPr>
                <w:rFonts w:ascii="报宋" w:hAnsi="报宋" w:eastAsia="报宋" w:cs="报宋"/>
                <w:color w:val="auto"/>
                <w:sz w:val="20"/>
                <w:szCs w:val="20"/>
                <w:highlight w:val="none"/>
                <w:lang w:val="en-US" w:eastAsia="en-US" w:bidi="en-US"/>
              </w:rPr>
            </w:pPr>
          </w:p>
        </w:tc>
        <w:tc>
          <w:tcPr>
            <w:tcW w:w="1012" w:type="dxa"/>
            <w:tcBorders>
              <w:top w:val="single" w:color="000000" w:sz="4" w:space="0"/>
              <w:left w:val="single" w:color="000000" w:sz="4" w:space="0"/>
              <w:bottom w:val="nil"/>
              <w:right w:val="single" w:color="000000" w:sz="4" w:space="0"/>
            </w:tcBorders>
            <w:shd w:val="clear" w:color="auto" w:fill="FFFFFF"/>
            <w:noWrap w:val="0"/>
            <w:vAlign w:val="center"/>
          </w:tcPr>
          <w:p w14:paraId="0CC9219B">
            <w:pPr>
              <w:jc w:val="center"/>
              <w:rPr>
                <w:rFonts w:ascii="报宋" w:hAnsi="报宋" w:eastAsia="报宋" w:cs="报宋"/>
                <w:color w:val="auto"/>
                <w:sz w:val="20"/>
                <w:szCs w:val="20"/>
                <w:highlight w:val="none"/>
                <w:lang w:val="en-US" w:eastAsia="en-US" w:bidi="en-US"/>
              </w:rPr>
            </w:pPr>
          </w:p>
        </w:tc>
        <w:tc>
          <w:tcPr>
            <w:tcW w:w="978" w:type="dxa"/>
            <w:tcBorders>
              <w:top w:val="single" w:color="000000" w:sz="4" w:space="0"/>
              <w:left w:val="single" w:color="000000" w:sz="4" w:space="0"/>
              <w:bottom w:val="nil"/>
              <w:right w:val="single" w:color="000000" w:sz="4" w:space="0"/>
            </w:tcBorders>
            <w:shd w:val="clear" w:color="auto" w:fill="FFFFFF"/>
            <w:noWrap w:val="0"/>
            <w:vAlign w:val="center"/>
          </w:tcPr>
          <w:p w14:paraId="09BD6609">
            <w:pPr>
              <w:jc w:val="center"/>
              <w:rPr>
                <w:rFonts w:ascii="报宋" w:hAnsi="报宋" w:eastAsia="报宋" w:cs="报宋"/>
                <w:color w:val="auto"/>
                <w:sz w:val="20"/>
                <w:szCs w:val="20"/>
                <w:highlight w:val="none"/>
                <w:lang w:val="en-US" w:eastAsia="en-US" w:bidi="en-US"/>
              </w:rPr>
            </w:pPr>
          </w:p>
        </w:tc>
        <w:tc>
          <w:tcPr>
            <w:tcW w:w="1047" w:type="dxa"/>
            <w:tcBorders>
              <w:top w:val="single" w:color="000000" w:sz="4" w:space="0"/>
              <w:left w:val="single" w:color="000000" w:sz="4" w:space="0"/>
              <w:bottom w:val="nil"/>
              <w:right w:val="single" w:color="000000" w:sz="4" w:space="0"/>
            </w:tcBorders>
            <w:shd w:val="clear" w:color="auto" w:fill="FFFFFF"/>
            <w:noWrap w:val="0"/>
            <w:vAlign w:val="center"/>
          </w:tcPr>
          <w:p w14:paraId="7CE96312">
            <w:pPr>
              <w:jc w:val="center"/>
              <w:rPr>
                <w:rFonts w:ascii="报宋" w:hAnsi="报宋" w:eastAsia="报宋" w:cs="报宋"/>
                <w:color w:val="auto"/>
                <w:sz w:val="20"/>
                <w:szCs w:val="20"/>
                <w:highlight w:val="none"/>
                <w:lang w:val="en-US" w:eastAsia="en-US" w:bidi="en-US"/>
              </w:rPr>
            </w:pPr>
          </w:p>
        </w:tc>
        <w:tc>
          <w:tcPr>
            <w:tcW w:w="1268" w:type="dxa"/>
            <w:tcBorders>
              <w:top w:val="single" w:color="000000" w:sz="4" w:space="0"/>
              <w:left w:val="single" w:color="000000" w:sz="4" w:space="0"/>
              <w:bottom w:val="nil"/>
              <w:right w:val="single" w:color="auto" w:sz="4" w:space="0"/>
            </w:tcBorders>
            <w:shd w:val="clear" w:color="auto" w:fill="FFFFFF"/>
            <w:noWrap w:val="0"/>
            <w:vAlign w:val="center"/>
          </w:tcPr>
          <w:p w14:paraId="38B2B8CA">
            <w:pPr>
              <w:jc w:val="center"/>
              <w:rPr>
                <w:rFonts w:hint="eastAsia" w:ascii="宋体" w:hAnsi="宋体" w:cs="宋体"/>
                <w:color w:val="auto"/>
                <w:sz w:val="22"/>
                <w:szCs w:val="22"/>
                <w:highlight w:val="none"/>
              </w:rPr>
            </w:pPr>
          </w:p>
        </w:tc>
      </w:tr>
      <w:tr w14:paraId="37FCBC49">
        <w:tblPrEx>
          <w:tblCellMar>
            <w:top w:w="0" w:type="dxa"/>
            <w:left w:w="108" w:type="dxa"/>
            <w:bottom w:w="0" w:type="dxa"/>
            <w:right w:w="108" w:type="dxa"/>
          </w:tblCellMar>
        </w:tblPrEx>
        <w:trPr>
          <w:trHeight w:val="303" w:hRule="atLeast"/>
        </w:trPr>
        <w:tc>
          <w:tcPr>
            <w:tcW w:w="1671" w:type="dxa"/>
            <w:tcBorders>
              <w:top w:val="single" w:color="000000" w:sz="4" w:space="0"/>
              <w:left w:val="single" w:color="auto" w:sz="4" w:space="0"/>
              <w:bottom w:val="single" w:color="auto" w:sz="4" w:space="0"/>
              <w:right w:val="single" w:color="000000" w:sz="4" w:space="0"/>
            </w:tcBorders>
            <w:shd w:val="clear" w:color="auto" w:fill="FFFFFF"/>
            <w:noWrap w:val="0"/>
            <w:vAlign w:val="center"/>
          </w:tcPr>
          <w:p w14:paraId="1CA7C5BC">
            <w:pPr>
              <w:keepNext w:val="0"/>
              <w:keepLines w:val="0"/>
              <w:widowControl/>
              <w:suppressLineNumbers w:val="0"/>
              <w:jc w:val="center"/>
              <w:textAlignment w:val="center"/>
              <w:rPr>
                <w:rFonts w:hint="eastAsia" w:ascii="宋体" w:hAnsi="宋体" w:eastAsia="宋体" w:cs="宋体"/>
                <w:color w:val="auto"/>
                <w:sz w:val="22"/>
                <w:szCs w:val="22"/>
                <w:highlight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商务工程师</w:t>
            </w:r>
          </w:p>
        </w:tc>
        <w:tc>
          <w:tcPr>
            <w:tcW w:w="918"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6A685F9A">
            <w:pPr>
              <w:jc w:val="center"/>
              <w:textAlignment w:val="auto"/>
              <w:rPr>
                <w:rFonts w:hint="eastAsia" w:ascii="报宋" w:hAnsi="报宋" w:eastAsia="报宋" w:cs="报宋"/>
                <w:color w:val="auto"/>
                <w:sz w:val="20"/>
                <w:szCs w:val="20"/>
                <w:highlight w:val="none"/>
                <w:lang w:val="en-US" w:eastAsia="en-US" w:bidi="en-US"/>
              </w:rPr>
            </w:pPr>
          </w:p>
        </w:tc>
        <w:tc>
          <w:tcPr>
            <w:tcW w:w="906"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49D299AE">
            <w:pPr>
              <w:jc w:val="center"/>
              <w:textAlignment w:val="auto"/>
              <w:rPr>
                <w:rFonts w:hint="eastAsia" w:ascii="报宋" w:hAnsi="报宋" w:eastAsia="报宋" w:cs="报宋"/>
                <w:color w:val="auto"/>
                <w:sz w:val="20"/>
                <w:szCs w:val="20"/>
                <w:highlight w:val="none"/>
                <w:lang w:val="en-US" w:eastAsia="en-US" w:bidi="en-US"/>
              </w:rPr>
            </w:pPr>
          </w:p>
        </w:tc>
        <w:tc>
          <w:tcPr>
            <w:tcW w:w="870"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4EC62F3F">
            <w:pPr>
              <w:jc w:val="center"/>
              <w:textAlignment w:val="center"/>
              <w:rPr>
                <w:rFonts w:hint="eastAsia" w:ascii="宋体" w:hAnsi="宋体" w:cs="宋体"/>
                <w:color w:val="auto"/>
                <w:sz w:val="22"/>
                <w:szCs w:val="22"/>
                <w:highlight w:val="none"/>
                <w:lang w:val="en-US" w:eastAsia="en-US" w:bidi="en-US"/>
              </w:rPr>
            </w:pPr>
          </w:p>
        </w:tc>
        <w:tc>
          <w:tcPr>
            <w:tcW w:w="953"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0A6FE3E6">
            <w:pPr>
              <w:jc w:val="center"/>
              <w:textAlignment w:val="center"/>
              <w:rPr>
                <w:rFonts w:hint="eastAsia" w:ascii="宋体" w:hAnsi="宋体" w:cs="宋体"/>
                <w:color w:val="auto"/>
                <w:sz w:val="22"/>
                <w:szCs w:val="22"/>
                <w:highlight w:val="none"/>
                <w:lang w:val="en-US" w:eastAsia="en-US" w:bidi="en-US"/>
              </w:rPr>
            </w:pPr>
          </w:p>
        </w:tc>
        <w:tc>
          <w:tcPr>
            <w:tcW w:w="1012"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27FE9446">
            <w:pPr>
              <w:jc w:val="center"/>
              <w:textAlignment w:val="center"/>
              <w:rPr>
                <w:rFonts w:hint="eastAsia" w:ascii="宋体" w:hAnsi="宋体" w:cs="宋体"/>
                <w:color w:val="auto"/>
                <w:sz w:val="22"/>
                <w:szCs w:val="22"/>
                <w:highlight w:val="none"/>
                <w:lang w:val="en-US" w:eastAsia="en-US" w:bidi="en-US"/>
              </w:rPr>
            </w:pPr>
          </w:p>
        </w:tc>
        <w:tc>
          <w:tcPr>
            <w:tcW w:w="978"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69BEEF01">
            <w:pPr>
              <w:jc w:val="center"/>
              <w:textAlignment w:val="center"/>
              <w:rPr>
                <w:rFonts w:hint="eastAsia" w:ascii="宋体" w:hAnsi="宋体" w:cs="宋体"/>
                <w:color w:val="auto"/>
                <w:sz w:val="22"/>
                <w:szCs w:val="22"/>
                <w:highlight w:val="none"/>
                <w:lang w:val="en-US" w:eastAsia="en-US" w:bidi="en-US"/>
              </w:rPr>
            </w:pPr>
          </w:p>
        </w:tc>
        <w:tc>
          <w:tcPr>
            <w:tcW w:w="1047"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77AF7973">
            <w:pPr>
              <w:jc w:val="center"/>
              <w:textAlignment w:val="center"/>
              <w:rPr>
                <w:rFonts w:hint="eastAsia" w:ascii="宋体" w:hAnsi="宋体" w:cs="宋体"/>
                <w:color w:val="auto"/>
                <w:sz w:val="22"/>
                <w:szCs w:val="22"/>
                <w:highlight w:val="none"/>
                <w:lang w:val="en-US" w:eastAsia="en-US" w:bidi="en-US"/>
              </w:rPr>
            </w:pPr>
          </w:p>
        </w:tc>
        <w:tc>
          <w:tcPr>
            <w:tcW w:w="1268" w:type="dxa"/>
            <w:tcBorders>
              <w:top w:val="single" w:color="000000" w:sz="4" w:space="0"/>
              <w:left w:val="single" w:color="000000" w:sz="4" w:space="0"/>
              <w:bottom w:val="single" w:color="auto" w:sz="4" w:space="0"/>
              <w:right w:val="single" w:color="auto" w:sz="4" w:space="0"/>
            </w:tcBorders>
            <w:shd w:val="clear" w:color="auto" w:fill="FFFFFF"/>
            <w:noWrap w:val="0"/>
            <w:vAlign w:val="center"/>
          </w:tcPr>
          <w:p w14:paraId="4C57E505">
            <w:pPr>
              <w:jc w:val="center"/>
              <w:rPr>
                <w:rFonts w:hint="eastAsia" w:ascii="宋体" w:hAnsi="宋体" w:cs="宋体"/>
                <w:color w:val="auto"/>
                <w:sz w:val="22"/>
                <w:szCs w:val="22"/>
                <w:highlight w:val="none"/>
              </w:rPr>
            </w:pPr>
          </w:p>
        </w:tc>
      </w:tr>
      <w:tr w14:paraId="0D6EAB11">
        <w:tblPrEx>
          <w:tblCellMar>
            <w:top w:w="0" w:type="dxa"/>
            <w:left w:w="108" w:type="dxa"/>
            <w:bottom w:w="0" w:type="dxa"/>
            <w:right w:w="108" w:type="dxa"/>
          </w:tblCellMar>
        </w:tblPrEx>
        <w:trPr>
          <w:trHeight w:val="303" w:hRule="atLeast"/>
        </w:trPr>
        <w:tc>
          <w:tcPr>
            <w:tcW w:w="1671" w:type="dxa"/>
            <w:tcBorders>
              <w:top w:val="single" w:color="000000" w:sz="4" w:space="0"/>
              <w:left w:val="single" w:color="auto" w:sz="4" w:space="0"/>
              <w:bottom w:val="single" w:color="auto" w:sz="4" w:space="0"/>
              <w:right w:val="single" w:color="000000" w:sz="4" w:space="0"/>
            </w:tcBorders>
            <w:shd w:val="clear" w:color="auto" w:fill="FFFFFF"/>
            <w:noWrap w:val="0"/>
            <w:vAlign w:val="center"/>
          </w:tcPr>
          <w:p w14:paraId="3F33BDB9">
            <w:pPr>
              <w:keepNext w:val="0"/>
              <w:keepLines w:val="0"/>
              <w:widowControl/>
              <w:suppressLineNumbers w:val="0"/>
              <w:jc w:val="center"/>
              <w:textAlignment w:val="center"/>
              <w:rPr>
                <w:rFonts w:hint="eastAsia" w:ascii="宋体" w:hAnsi="宋体" w:eastAsia="宋体" w:cs="宋体"/>
                <w:color w:val="auto"/>
                <w:sz w:val="22"/>
                <w:szCs w:val="22"/>
                <w:highlight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BIM工程师</w:t>
            </w:r>
          </w:p>
        </w:tc>
        <w:tc>
          <w:tcPr>
            <w:tcW w:w="918"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68678AEE">
            <w:pPr>
              <w:jc w:val="center"/>
              <w:textAlignment w:val="auto"/>
              <w:rPr>
                <w:rFonts w:hint="eastAsia" w:ascii="报宋" w:hAnsi="报宋" w:eastAsia="报宋" w:cs="报宋"/>
                <w:color w:val="auto"/>
                <w:sz w:val="20"/>
                <w:szCs w:val="20"/>
                <w:highlight w:val="none"/>
                <w:lang w:val="en-US" w:eastAsia="en-US" w:bidi="en-US"/>
              </w:rPr>
            </w:pPr>
          </w:p>
        </w:tc>
        <w:tc>
          <w:tcPr>
            <w:tcW w:w="906"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30E90595">
            <w:pPr>
              <w:jc w:val="center"/>
              <w:textAlignment w:val="auto"/>
              <w:rPr>
                <w:rFonts w:hint="eastAsia" w:ascii="报宋" w:hAnsi="报宋" w:eastAsia="报宋" w:cs="报宋"/>
                <w:color w:val="auto"/>
                <w:sz w:val="20"/>
                <w:szCs w:val="20"/>
                <w:highlight w:val="none"/>
                <w:lang w:val="en-US" w:eastAsia="en-US" w:bidi="en-US"/>
              </w:rPr>
            </w:pPr>
          </w:p>
        </w:tc>
        <w:tc>
          <w:tcPr>
            <w:tcW w:w="870"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097A8A29">
            <w:pPr>
              <w:jc w:val="center"/>
              <w:textAlignment w:val="center"/>
              <w:rPr>
                <w:rFonts w:hint="eastAsia" w:ascii="宋体" w:hAnsi="宋体" w:cs="宋体"/>
                <w:color w:val="auto"/>
                <w:sz w:val="22"/>
                <w:szCs w:val="22"/>
                <w:highlight w:val="none"/>
                <w:lang w:val="en-US" w:eastAsia="en-US" w:bidi="en-US"/>
              </w:rPr>
            </w:pPr>
          </w:p>
        </w:tc>
        <w:tc>
          <w:tcPr>
            <w:tcW w:w="953"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67A05901">
            <w:pPr>
              <w:jc w:val="center"/>
              <w:textAlignment w:val="center"/>
              <w:rPr>
                <w:rFonts w:hint="eastAsia" w:ascii="宋体" w:hAnsi="宋体" w:cs="宋体"/>
                <w:color w:val="auto"/>
                <w:sz w:val="22"/>
                <w:szCs w:val="22"/>
                <w:highlight w:val="none"/>
                <w:lang w:val="en-US" w:eastAsia="en-US" w:bidi="en-US"/>
              </w:rPr>
            </w:pPr>
          </w:p>
        </w:tc>
        <w:tc>
          <w:tcPr>
            <w:tcW w:w="1012"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3AB8FB55">
            <w:pPr>
              <w:jc w:val="center"/>
              <w:textAlignment w:val="center"/>
              <w:rPr>
                <w:rFonts w:hint="eastAsia" w:ascii="宋体" w:hAnsi="宋体" w:cs="宋体"/>
                <w:color w:val="auto"/>
                <w:sz w:val="22"/>
                <w:szCs w:val="22"/>
                <w:highlight w:val="none"/>
                <w:lang w:val="en-US" w:eastAsia="en-US" w:bidi="en-US"/>
              </w:rPr>
            </w:pPr>
          </w:p>
        </w:tc>
        <w:tc>
          <w:tcPr>
            <w:tcW w:w="978"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68282CDA">
            <w:pPr>
              <w:jc w:val="center"/>
              <w:textAlignment w:val="center"/>
              <w:rPr>
                <w:rFonts w:hint="eastAsia" w:ascii="宋体" w:hAnsi="宋体" w:cs="宋体"/>
                <w:color w:val="auto"/>
                <w:sz w:val="22"/>
                <w:szCs w:val="22"/>
                <w:highlight w:val="none"/>
                <w:lang w:val="en-US" w:eastAsia="en-US" w:bidi="en-US"/>
              </w:rPr>
            </w:pPr>
          </w:p>
        </w:tc>
        <w:tc>
          <w:tcPr>
            <w:tcW w:w="1047"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2F628717">
            <w:pPr>
              <w:jc w:val="center"/>
              <w:textAlignment w:val="center"/>
              <w:rPr>
                <w:rFonts w:hint="eastAsia" w:ascii="宋体" w:hAnsi="宋体" w:cs="宋体"/>
                <w:color w:val="auto"/>
                <w:sz w:val="22"/>
                <w:szCs w:val="22"/>
                <w:highlight w:val="none"/>
                <w:lang w:val="en-US" w:eastAsia="en-US" w:bidi="en-US"/>
              </w:rPr>
            </w:pPr>
          </w:p>
        </w:tc>
        <w:tc>
          <w:tcPr>
            <w:tcW w:w="1268" w:type="dxa"/>
            <w:tcBorders>
              <w:top w:val="single" w:color="000000" w:sz="4" w:space="0"/>
              <w:left w:val="single" w:color="000000" w:sz="4" w:space="0"/>
              <w:bottom w:val="single" w:color="auto" w:sz="4" w:space="0"/>
              <w:right w:val="single" w:color="auto" w:sz="4" w:space="0"/>
            </w:tcBorders>
            <w:shd w:val="clear" w:color="auto" w:fill="FFFFFF"/>
            <w:noWrap w:val="0"/>
            <w:vAlign w:val="center"/>
          </w:tcPr>
          <w:p w14:paraId="15699440">
            <w:pPr>
              <w:jc w:val="center"/>
              <w:rPr>
                <w:rFonts w:hint="eastAsia" w:ascii="宋体" w:hAnsi="宋体" w:cs="宋体"/>
                <w:color w:val="auto"/>
                <w:sz w:val="22"/>
                <w:szCs w:val="22"/>
                <w:highlight w:val="none"/>
              </w:rPr>
            </w:pPr>
          </w:p>
        </w:tc>
      </w:tr>
      <w:tr w14:paraId="56913CE0">
        <w:tblPrEx>
          <w:tblCellMar>
            <w:top w:w="0" w:type="dxa"/>
            <w:left w:w="108" w:type="dxa"/>
            <w:bottom w:w="0" w:type="dxa"/>
            <w:right w:w="108" w:type="dxa"/>
          </w:tblCellMar>
        </w:tblPrEx>
        <w:trPr>
          <w:trHeight w:val="303" w:hRule="atLeast"/>
        </w:trPr>
        <w:tc>
          <w:tcPr>
            <w:tcW w:w="1671" w:type="dxa"/>
            <w:tcBorders>
              <w:top w:val="single" w:color="000000" w:sz="4" w:space="0"/>
              <w:left w:val="single" w:color="auto" w:sz="4" w:space="0"/>
              <w:bottom w:val="single" w:color="auto" w:sz="4" w:space="0"/>
              <w:right w:val="single" w:color="000000" w:sz="4" w:space="0"/>
            </w:tcBorders>
            <w:shd w:val="clear" w:color="auto" w:fill="FFFFFF"/>
            <w:noWrap w:val="0"/>
            <w:vAlign w:val="center"/>
          </w:tcPr>
          <w:p w14:paraId="5D37048F">
            <w:pPr>
              <w:jc w:val="center"/>
              <w:textAlignment w:val="center"/>
              <w:rPr>
                <w:rFonts w:ascii="报宋" w:hAnsi="报宋" w:eastAsia="报宋" w:cs="报宋"/>
                <w:color w:val="auto"/>
                <w:sz w:val="20"/>
                <w:szCs w:val="20"/>
                <w:highlight w:val="none"/>
              </w:rPr>
            </w:pPr>
            <w:r>
              <w:rPr>
                <w:rFonts w:ascii="报宋" w:hAnsi="报宋" w:eastAsia="报宋" w:cs="报宋"/>
                <w:color w:val="auto"/>
                <w:sz w:val="20"/>
                <w:szCs w:val="20"/>
                <w:highlight w:val="none"/>
                <w:lang w:eastAsia="zh-CN" w:bidi="ar"/>
              </w:rPr>
              <w:t>合计</w:t>
            </w:r>
          </w:p>
        </w:tc>
        <w:tc>
          <w:tcPr>
            <w:tcW w:w="918"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063AD93D">
            <w:pPr>
              <w:jc w:val="center"/>
              <w:textAlignment w:val="auto"/>
              <w:rPr>
                <w:rFonts w:hint="eastAsia" w:ascii="报宋" w:hAnsi="报宋" w:eastAsia="报宋" w:cs="报宋"/>
                <w:color w:val="auto"/>
                <w:sz w:val="20"/>
                <w:szCs w:val="20"/>
                <w:highlight w:val="none"/>
                <w:lang w:val="en-US" w:eastAsia="en-US" w:bidi="en-US"/>
              </w:rPr>
            </w:pPr>
          </w:p>
        </w:tc>
        <w:tc>
          <w:tcPr>
            <w:tcW w:w="906"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08725894">
            <w:pPr>
              <w:jc w:val="center"/>
              <w:textAlignment w:val="auto"/>
              <w:rPr>
                <w:rFonts w:hint="eastAsia" w:ascii="报宋" w:hAnsi="报宋" w:eastAsia="报宋" w:cs="报宋"/>
                <w:color w:val="auto"/>
                <w:sz w:val="20"/>
                <w:szCs w:val="20"/>
                <w:highlight w:val="none"/>
                <w:lang w:val="en-US" w:eastAsia="en-US" w:bidi="en-US"/>
              </w:rPr>
            </w:pPr>
          </w:p>
        </w:tc>
        <w:tc>
          <w:tcPr>
            <w:tcW w:w="870"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3D404259">
            <w:pPr>
              <w:jc w:val="center"/>
              <w:textAlignment w:val="center"/>
              <w:rPr>
                <w:rFonts w:hint="eastAsia" w:ascii="宋体" w:hAnsi="宋体" w:cs="宋体"/>
                <w:color w:val="auto"/>
                <w:sz w:val="22"/>
                <w:szCs w:val="22"/>
                <w:highlight w:val="none"/>
                <w:lang w:val="en-US" w:eastAsia="en-US" w:bidi="en-US"/>
              </w:rPr>
            </w:pPr>
          </w:p>
        </w:tc>
        <w:tc>
          <w:tcPr>
            <w:tcW w:w="953"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0D9BF6C6">
            <w:pPr>
              <w:jc w:val="center"/>
              <w:textAlignment w:val="center"/>
              <w:rPr>
                <w:rFonts w:hint="eastAsia" w:ascii="宋体" w:hAnsi="宋体" w:cs="宋体"/>
                <w:color w:val="auto"/>
                <w:sz w:val="22"/>
                <w:szCs w:val="22"/>
                <w:highlight w:val="none"/>
                <w:lang w:val="en-US" w:eastAsia="en-US" w:bidi="en-US"/>
              </w:rPr>
            </w:pPr>
          </w:p>
        </w:tc>
        <w:tc>
          <w:tcPr>
            <w:tcW w:w="1012"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48084642">
            <w:pPr>
              <w:jc w:val="center"/>
              <w:textAlignment w:val="center"/>
              <w:rPr>
                <w:rFonts w:hint="eastAsia" w:ascii="宋体" w:hAnsi="宋体" w:cs="宋体"/>
                <w:color w:val="auto"/>
                <w:sz w:val="22"/>
                <w:szCs w:val="22"/>
                <w:highlight w:val="none"/>
                <w:lang w:val="en-US" w:eastAsia="en-US" w:bidi="en-US"/>
              </w:rPr>
            </w:pPr>
          </w:p>
        </w:tc>
        <w:tc>
          <w:tcPr>
            <w:tcW w:w="978"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7DAE95FB">
            <w:pPr>
              <w:jc w:val="center"/>
              <w:textAlignment w:val="center"/>
              <w:rPr>
                <w:rFonts w:hint="eastAsia" w:ascii="宋体" w:hAnsi="宋体" w:cs="宋体"/>
                <w:color w:val="auto"/>
                <w:sz w:val="22"/>
                <w:szCs w:val="22"/>
                <w:highlight w:val="none"/>
                <w:lang w:val="en-US" w:eastAsia="en-US" w:bidi="en-US"/>
              </w:rPr>
            </w:pPr>
          </w:p>
        </w:tc>
        <w:tc>
          <w:tcPr>
            <w:tcW w:w="1047"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1812B70D">
            <w:pPr>
              <w:jc w:val="center"/>
              <w:textAlignment w:val="center"/>
              <w:rPr>
                <w:rFonts w:hint="eastAsia" w:ascii="宋体" w:hAnsi="宋体" w:cs="宋体"/>
                <w:color w:val="auto"/>
                <w:sz w:val="22"/>
                <w:szCs w:val="22"/>
                <w:highlight w:val="none"/>
                <w:lang w:val="en-US" w:eastAsia="en-US" w:bidi="en-US"/>
              </w:rPr>
            </w:pPr>
          </w:p>
        </w:tc>
        <w:tc>
          <w:tcPr>
            <w:tcW w:w="1268" w:type="dxa"/>
            <w:tcBorders>
              <w:top w:val="single" w:color="000000" w:sz="4" w:space="0"/>
              <w:left w:val="single" w:color="000000" w:sz="4" w:space="0"/>
              <w:bottom w:val="single" w:color="auto" w:sz="4" w:space="0"/>
              <w:right w:val="single" w:color="auto" w:sz="4" w:space="0"/>
            </w:tcBorders>
            <w:shd w:val="clear" w:color="auto" w:fill="FFFFFF"/>
            <w:noWrap w:val="0"/>
            <w:vAlign w:val="center"/>
          </w:tcPr>
          <w:p w14:paraId="5AA503A4">
            <w:pPr>
              <w:jc w:val="center"/>
              <w:rPr>
                <w:rFonts w:hint="eastAsia" w:ascii="宋体" w:hAnsi="宋体" w:cs="宋体"/>
                <w:color w:val="auto"/>
                <w:sz w:val="22"/>
                <w:szCs w:val="22"/>
                <w:highlight w:val="none"/>
              </w:rPr>
            </w:pPr>
          </w:p>
        </w:tc>
      </w:tr>
      <w:tr w14:paraId="26067B79">
        <w:tblPrEx>
          <w:tblCellMar>
            <w:top w:w="0" w:type="dxa"/>
            <w:left w:w="108" w:type="dxa"/>
            <w:bottom w:w="0" w:type="dxa"/>
            <w:right w:w="108" w:type="dxa"/>
          </w:tblCellMar>
        </w:tblPrEx>
        <w:trPr>
          <w:trHeight w:val="400" w:hRule="atLeast"/>
        </w:trPr>
        <w:tc>
          <w:tcPr>
            <w:tcW w:w="9623" w:type="dxa"/>
            <w:gridSpan w:val="9"/>
            <w:tcBorders>
              <w:top w:val="single" w:color="auto" w:sz="4" w:space="0"/>
              <w:left w:val="nil"/>
              <w:bottom w:val="nil"/>
              <w:right w:val="nil"/>
            </w:tcBorders>
            <w:shd w:val="clear" w:color="auto" w:fill="FFFFFF"/>
            <w:noWrap w:val="0"/>
            <w:vAlign w:val="top"/>
          </w:tcPr>
          <w:p w14:paraId="4D5454F4">
            <w:pPr>
              <w:textAlignment w:val="top"/>
              <w:rPr>
                <w:rFonts w:hint="eastAsia" w:ascii="宋体" w:hAnsi="宋体" w:cs="宋体"/>
                <w:color w:val="auto"/>
                <w:sz w:val="20"/>
                <w:szCs w:val="20"/>
                <w:highlight w:val="none"/>
                <w:lang w:eastAsia="zh-CN"/>
              </w:rPr>
            </w:pPr>
            <w:r>
              <w:rPr>
                <w:rFonts w:hint="eastAsia" w:ascii="宋体" w:hAnsi="宋体" w:cs="宋体"/>
                <w:color w:val="auto"/>
                <w:sz w:val="20"/>
                <w:szCs w:val="20"/>
                <w:highlight w:val="none"/>
                <w:lang w:eastAsia="zh-CN" w:bidi="ar"/>
              </w:rPr>
              <w:fldChar w:fldCharType="begin"/>
            </w:r>
            <w:r>
              <w:rPr>
                <w:rFonts w:hint="eastAsia" w:ascii="宋体" w:hAnsi="宋体" w:cs="宋体"/>
                <w:color w:val="auto"/>
                <w:sz w:val="20"/>
                <w:szCs w:val="20"/>
                <w:highlight w:val="none"/>
                <w:lang w:eastAsia="zh-CN" w:bidi="ar"/>
              </w:rPr>
              <w:instrText xml:space="preserve"> HYPERLINK "https://www.sohu.com/a/339899265_785322" \o "https://www.sohu.com/a/339899265_785322" </w:instrText>
            </w:r>
            <w:r>
              <w:rPr>
                <w:rFonts w:hint="eastAsia" w:ascii="宋体" w:hAnsi="宋体" w:cs="宋体"/>
                <w:color w:val="auto"/>
                <w:sz w:val="20"/>
                <w:szCs w:val="20"/>
                <w:highlight w:val="none"/>
                <w:lang w:eastAsia="zh-CN" w:bidi="ar"/>
              </w:rPr>
              <w:fldChar w:fldCharType="separate"/>
            </w:r>
            <w:r>
              <w:rPr>
                <w:rStyle w:val="51"/>
                <w:rFonts w:hint="eastAsia" w:ascii="宋体" w:hAnsi="宋体" w:cs="宋体"/>
                <w:color w:val="auto"/>
                <w:sz w:val="20"/>
                <w:szCs w:val="20"/>
                <w:highlight w:val="none"/>
                <w:u w:val="none"/>
                <w:lang w:eastAsia="zh-CN"/>
              </w:rPr>
              <w:t>备注：1、以上人员配置仍需满足住建部门及制度规定要求；2、相关行政及商务人员单位按需配置不在此列</w:t>
            </w:r>
            <w:r>
              <w:rPr>
                <w:rFonts w:hint="eastAsia" w:ascii="宋体" w:hAnsi="宋体" w:cs="宋体"/>
                <w:color w:val="auto"/>
                <w:sz w:val="20"/>
                <w:szCs w:val="20"/>
                <w:highlight w:val="none"/>
                <w:lang w:eastAsia="zh-CN" w:bidi="ar"/>
              </w:rPr>
              <w:fldChar w:fldCharType="end"/>
            </w:r>
          </w:p>
        </w:tc>
      </w:tr>
    </w:tbl>
    <w:p w14:paraId="33BEA2AA">
      <w:pPr>
        <w:pStyle w:val="37"/>
        <w:rPr>
          <w:color w:val="auto"/>
          <w:sz w:val="28"/>
          <w:szCs w:val="28"/>
          <w:highlight w:val="none"/>
          <w:lang w:eastAsia="zh-CN"/>
        </w:rPr>
      </w:pPr>
    </w:p>
    <w:p w14:paraId="5F7696C2">
      <w:pPr>
        <w:pStyle w:val="37"/>
        <w:rPr>
          <w:color w:val="auto"/>
          <w:sz w:val="28"/>
          <w:szCs w:val="28"/>
          <w:highlight w:val="none"/>
          <w:lang w:eastAsia="zh-CN"/>
        </w:rPr>
        <w:sectPr>
          <w:pgSz w:w="11906" w:h="16838"/>
          <w:pgMar w:top="1440" w:right="1304" w:bottom="1440" w:left="1191" w:header="851" w:footer="992" w:gutter="0"/>
          <w:cols w:space="720" w:num="1"/>
          <w:docGrid w:type="lines" w:linePitch="312" w:charSpace="0"/>
        </w:sectPr>
      </w:pPr>
    </w:p>
    <w:p w14:paraId="225CFCE8">
      <w:pPr>
        <w:pStyle w:val="3"/>
        <w:numPr>
          <w:ilvl w:val="1"/>
          <w:numId w:val="0"/>
        </w:numPr>
        <w:spacing w:after="0"/>
        <w:rPr>
          <w:rFonts w:hint="eastAsia" w:ascii="仿宋" w:hAnsi="仿宋" w:eastAsia="仿宋"/>
          <w:i w:val="0"/>
          <w:iCs w:val="0"/>
          <w:color w:val="auto"/>
          <w:sz w:val="24"/>
          <w:highlight w:val="none"/>
          <w:lang w:eastAsia="zh-CN"/>
        </w:rPr>
      </w:pPr>
      <w:r>
        <w:rPr>
          <w:rFonts w:hint="eastAsia" w:ascii="仿宋" w:hAnsi="仿宋" w:eastAsia="仿宋"/>
          <w:i w:val="0"/>
          <w:iCs w:val="0"/>
          <w:color w:val="auto"/>
          <w:sz w:val="24"/>
          <w:highlight w:val="none"/>
          <w:lang w:eastAsia="zh-CN"/>
        </w:rPr>
        <w:t>附件十五：施工总计划</w:t>
      </w:r>
    </w:p>
    <w:p w14:paraId="14EED1D9">
      <w:pPr>
        <w:rPr>
          <w:rFonts w:hint="eastAsia" w:ascii="仿宋" w:hAnsi="仿宋" w:eastAsia="仿宋"/>
          <w:color w:val="auto"/>
          <w:highlight w:val="none"/>
          <w:lang w:eastAsia="zh-CN"/>
        </w:rPr>
      </w:pPr>
    </w:p>
    <w:p w14:paraId="5E7DDEE9">
      <w:pPr>
        <w:pStyle w:val="17"/>
        <w:spacing w:before="182" w:line="220" w:lineRule="auto"/>
        <w:ind w:left="3697"/>
        <w:rPr>
          <w:color w:val="auto"/>
          <w:highlight w:val="none"/>
        </w:rPr>
      </w:pPr>
      <w:r>
        <w:rPr>
          <w:rFonts w:hint="eastAsia" w:ascii="仿宋" w:hAnsi="仿宋" w:eastAsia="仿宋" w:cs="仿宋"/>
          <w:i w:val="0"/>
          <w:iCs w:val="0"/>
          <w:color w:val="auto"/>
          <w:sz w:val="28"/>
          <w:szCs w:val="28"/>
          <w:highlight w:val="none"/>
          <w:lang w:eastAsia="zh-CN"/>
        </w:rPr>
        <w:t>施工总计划（</w:t>
      </w:r>
      <w:r>
        <w:rPr>
          <w:rFonts w:hint="eastAsia" w:ascii="仿宋" w:hAnsi="仿宋" w:eastAsia="仿宋" w:cs="仿宋"/>
          <w:color w:val="auto"/>
          <w:sz w:val="28"/>
          <w:szCs w:val="28"/>
          <w:highlight w:val="none"/>
          <w:lang w:val="en-US" w:eastAsia="zh-CN"/>
        </w:rPr>
        <w:t>另册</w:t>
      </w:r>
      <w:r>
        <w:rPr>
          <w:rFonts w:hint="eastAsia" w:ascii="仿宋" w:hAnsi="仿宋" w:eastAsia="仿宋" w:cs="Times New Roman"/>
          <w:i w:val="0"/>
          <w:iCs w:val="0"/>
          <w:color w:val="auto"/>
          <w:sz w:val="24"/>
          <w:highlight w:val="none"/>
          <w:lang w:eastAsia="zh-CN"/>
        </w:rPr>
        <w:t>）</w:t>
      </w:r>
    </w:p>
    <w:p w14:paraId="1376A76A">
      <w:pPr>
        <w:spacing w:line="67" w:lineRule="exact"/>
        <w:rPr>
          <w:color w:val="auto"/>
          <w:highlight w:val="none"/>
        </w:rPr>
      </w:pPr>
    </w:p>
    <w:p w14:paraId="572D347B">
      <w:pPr>
        <w:pStyle w:val="165"/>
        <w:widowControl w:val="0"/>
        <w:tabs>
          <w:tab w:val="left" w:pos="943"/>
        </w:tabs>
        <w:autoSpaceDE w:val="0"/>
        <w:autoSpaceDN w:val="0"/>
        <w:spacing w:line="360" w:lineRule="auto"/>
        <w:ind w:firstLine="0" w:firstLineChars="0"/>
        <w:rPr>
          <w:rFonts w:hint="eastAsia" w:ascii="仿宋" w:hAnsi="仿宋" w:eastAsia="仿宋" w:cs="仿宋"/>
          <w:color w:val="auto"/>
          <w:spacing w:val="-1"/>
          <w:highlight w:val="none"/>
          <w:lang w:eastAsia="zh-CN"/>
        </w:rPr>
      </w:pPr>
      <w:r>
        <w:rPr>
          <w:rFonts w:hint="eastAsia" w:ascii="仿宋" w:hAnsi="仿宋" w:eastAsia="仿宋" w:cs="仿宋"/>
          <w:color w:val="auto"/>
          <w:spacing w:val="-1"/>
          <w:highlight w:val="none"/>
          <w:lang w:eastAsia="zh-CN"/>
        </w:rPr>
        <w:br w:type="page"/>
      </w:r>
      <w:r>
        <w:rPr>
          <w:rFonts w:hint="eastAsia" w:ascii="仿宋" w:hAnsi="仿宋" w:eastAsia="仿宋" w:cs="仿宋"/>
          <w:color w:val="auto"/>
          <w:spacing w:val="-1"/>
          <w:highlight w:val="none"/>
          <w:lang w:eastAsia="zh-CN"/>
        </w:rPr>
        <w:t>附件十六：</w:t>
      </w:r>
    </w:p>
    <w:p w14:paraId="47D851FF">
      <w:pPr>
        <w:pStyle w:val="37"/>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广州白云城市发展集团有限公司建筑材料看样定板管理办法（试行）</w:t>
      </w:r>
    </w:p>
    <w:p w14:paraId="29500B1F">
      <w:pPr>
        <w:pStyle w:val="165"/>
        <w:widowControl w:val="0"/>
        <w:tabs>
          <w:tab w:val="left" w:pos="943"/>
        </w:tabs>
        <w:autoSpaceDE w:val="0"/>
        <w:autoSpaceDN w:val="0"/>
        <w:spacing w:line="360" w:lineRule="auto"/>
        <w:ind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另册</w:t>
      </w:r>
    </w:p>
    <w:p w14:paraId="213CC5E6">
      <w:pPr>
        <w:pStyle w:val="165"/>
        <w:widowControl w:val="0"/>
        <w:tabs>
          <w:tab w:val="left" w:pos="943"/>
        </w:tabs>
        <w:autoSpaceDE w:val="0"/>
        <w:autoSpaceDN w:val="0"/>
        <w:spacing w:line="360" w:lineRule="auto"/>
        <w:ind w:firstLine="0" w:firstLineChars="0"/>
        <w:jc w:val="both"/>
        <w:rPr>
          <w:rFonts w:hint="eastAsia" w:ascii="仿宋" w:hAnsi="仿宋" w:eastAsia="仿宋" w:cs="仿宋"/>
          <w:color w:val="auto"/>
          <w:spacing w:val="-1"/>
          <w:highlight w:val="none"/>
          <w:lang w:val="en-US" w:eastAsia="zh-CN"/>
        </w:rPr>
      </w:pPr>
      <w:r>
        <w:rPr>
          <w:rFonts w:hint="eastAsia" w:ascii="仿宋" w:hAnsi="仿宋" w:eastAsia="仿宋" w:cs="仿宋"/>
          <w:color w:val="auto"/>
          <w:spacing w:val="-1"/>
          <w:highlight w:val="none"/>
          <w:lang w:eastAsia="zh-CN"/>
        </w:rPr>
        <w:br w:type="page"/>
      </w:r>
      <w:r>
        <w:rPr>
          <w:rFonts w:hint="eastAsia" w:ascii="仿宋" w:hAnsi="仿宋" w:eastAsia="仿宋" w:cs="仿宋"/>
          <w:color w:val="auto"/>
          <w:spacing w:val="-1"/>
          <w:highlight w:val="none"/>
          <w:lang w:val="en-US" w:eastAsia="zh-CN"/>
        </w:rPr>
        <w:t>附件十七</w:t>
      </w:r>
    </w:p>
    <w:p w14:paraId="5B770CC0">
      <w:pPr>
        <w:pStyle w:val="165"/>
        <w:widowControl w:val="0"/>
        <w:tabs>
          <w:tab w:val="left" w:pos="943"/>
        </w:tabs>
        <w:autoSpaceDE w:val="0"/>
        <w:autoSpaceDN w:val="0"/>
        <w:spacing w:line="360" w:lineRule="auto"/>
        <w:ind w:firstLine="0" w:firstLineChars="0"/>
        <w:jc w:val="center"/>
        <w:rPr>
          <w:rFonts w:hint="eastAsia" w:ascii="仿宋" w:hAnsi="仿宋" w:eastAsia="仿宋" w:cs="仿宋"/>
          <w:b/>
          <w:bCs/>
          <w:color w:val="auto"/>
          <w:spacing w:val="-1"/>
          <w:sz w:val="28"/>
          <w:szCs w:val="28"/>
          <w:highlight w:val="none"/>
          <w:lang w:eastAsia="zh-CN"/>
        </w:rPr>
      </w:pPr>
      <w:r>
        <w:rPr>
          <w:rFonts w:hint="eastAsia" w:ascii="仿宋" w:hAnsi="仿宋" w:eastAsia="仿宋" w:cs="仿宋"/>
          <w:b/>
          <w:bCs/>
          <w:color w:val="auto"/>
          <w:spacing w:val="-1"/>
          <w:sz w:val="28"/>
          <w:szCs w:val="28"/>
          <w:highlight w:val="none"/>
          <w:lang w:eastAsia="zh-CN"/>
        </w:rPr>
        <w:t>房屋质量交付验收标准</w:t>
      </w:r>
    </w:p>
    <w:p w14:paraId="33121BA6">
      <w:pPr>
        <w:pStyle w:val="165"/>
        <w:widowControl w:val="0"/>
        <w:tabs>
          <w:tab w:val="left" w:pos="943"/>
        </w:tabs>
        <w:autoSpaceDE w:val="0"/>
        <w:autoSpaceDN w:val="0"/>
        <w:spacing w:line="360" w:lineRule="auto"/>
        <w:ind w:firstLine="0" w:firstLineChars="0"/>
        <w:rPr>
          <w:rFonts w:hint="eastAsia" w:ascii="仿宋" w:hAnsi="仿宋" w:eastAsia="仿宋" w:cs="仿宋"/>
          <w:color w:val="auto"/>
          <w:spacing w:val="-1"/>
          <w:highlight w:val="none"/>
          <w:lang w:eastAsia="zh-CN"/>
        </w:rPr>
      </w:pPr>
      <w:r>
        <w:rPr>
          <w:rFonts w:hint="eastAsia" w:ascii="仿宋" w:hAnsi="仿宋" w:eastAsia="仿宋" w:cs="仿宋"/>
          <w:color w:val="auto"/>
          <w:spacing w:val="-1"/>
          <w:highlight w:val="none"/>
          <w:lang w:eastAsia="zh-CN"/>
        </w:rPr>
        <w:t>1. 适用于合同工程的质量标准及相关规范，包括但不限于:</w:t>
      </w:r>
    </w:p>
    <w:p w14:paraId="4FDEE728">
      <w:pPr>
        <w:pStyle w:val="165"/>
        <w:widowControl w:val="0"/>
        <w:tabs>
          <w:tab w:val="left" w:pos="943"/>
        </w:tabs>
        <w:autoSpaceDE w:val="0"/>
        <w:autoSpaceDN w:val="0"/>
        <w:spacing w:line="360" w:lineRule="auto"/>
        <w:ind w:firstLine="0" w:firstLineChars="0"/>
        <w:rPr>
          <w:rFonts w:hint="eastAsia" w:ascii="仿宋" w:hAnsi="仿宋" w:eastAsia="仿宋" w:cs="仿宋"/>
          <w:color w:val="auto"/>
          <w:spacing w:val="-1"/>
          <w:highlight w:val="none"/>
          <w:lang w:eastAsia="zh-CN"/>
        </w:rPr>
      </w:pPr>
      <w:r>
        <w:rPr>
          <w:rFonts w:hint="eastAsia" w:ascii="仿宋" w:hAnsi="仿宋" w:eastAsia="仿宋" w:cs="仿宋"/>
          <w:color w:val="auto"/>
          <w:spacing w:val="-1"/>
          <w:highlight w:val="none"/>
          <w:lang w:eastAsia="zh-CN"/>
        </w:rPr>
        <w:t>（1）《建筑工程施工质量验收统一标准》(GB50300-2001)</w:t>
      </w:r>
    </w:p>
    <w:p w14:paraId="3D3AFE56">
      <w:pPr>
        <w:pStyle w:val="165"/>
        <w:widowControl w:val="0"/>
        <w:tabs>
          <w:tab w:val="left" w:pos="943"/>
        </w:tabs>
        <w:autoSpaceDE w:val="0"/>
        <w:autoSpaceDN w:val="0"/>
        <w:spacing w:line="360" w:lineRule="auto"/>
        <w:ind w:firstLine="0" w:firstLineChars="0"/>
        <w:rPr>
          <w:rFonts w:hint="eastAsia" w:ascii="仿宋" w:hAnsi="仿宋" w:eastAsia="仿宋" w:cs="仿宋"/>
          <w:color w:val="auto"/>
          <w:spacing w:val="-1"/>
          <w:highlight w:val="none"/>
          <w:lang w:eastAsia="zh-CN"/>
        </w:rPr>
      </w:pPr>
      <w:r>
        <w:rPr>
          <w:rFonts w:hint="eastAsia" w:ascii="仿宋" w:hAnsi="仿宋" w:eastAsia="仿宋" w:cs="仿宋"/>
          <w:color w:val="auto"/>
          <w:spacing w:val="-1"/>
          <w:highlight w:val="none"/>
          <w:lang w:eastAsia="zh-CN"/>
        </w:rPr>
        <w:t>（2）《建筑地基基础工程施工质量验收规范》(GB50202-2002)</w:t>
      </w:r>
    </w:p>
    <w:p w14:paraId="2C4AB8EF">
      <w:pPr>
        <w:pStyle w:val="165"/>
        <w:widowControl w:val="0"/>
        <w:tabs>
          <w:tab w:val="left" w:pos="943"/>
        </w:tabs>
        <w:autoSpaceDE w:val="0"/>
        <w:autoSpaceDN w:val="0"/>
        <w:spacing w:line="360" w:lineRule="auto"/>
        <w:ind w:firstLine="0" w:firstLineChars="0"/>
        <w:rPr>
          <w:rFonts w:hint="eastAsia" w:ascii="仿宋" w:hAnsi="仿宋" w:eastAsia="仿宋" w:cs="仿宋"/>
          <w:color w:val="auto"/>
          <w:spacing w:val="-1"/>
          <w:highlight w:val="none"/>
          <w:lang w:eastAsia="zh-CN"/>
        </w:rPr>
      </w:pPr>
      <w:r>
        <w:rPr>
          <w:rFonts w:hint="eastAsia" w:ascii="仿宋" w:hAnsi="仿宋" w:eastAsia="仿宋" w:cs="仿宋"/>
          <w:color w:val="auto"/>
          <w:spacing w:val="-1"/>
          <w:highlight w:val="none"/>
          <w:lang w:eastAsia="zh-CN"/>
        </w:rPr>
        <w:t>（3）《砌体工程施工质量验收规范》(GB50203-2002)</w:t>
      </w:r>
    </w:p>
    <w:p w14:paraId="07440997">
      <w:pPr>
        <w:pStyle w:val="165"/>
        <w:widowControl w:val="0"/>
        <w:tabs>
          <w:tab w:val="left" w:pos="943"/>
        </w:tabs>
        <w:autoSpaceDE w:val="0"/>
        <w:autoSpaceDN w:val="0"/>
        <w:spacing w:line="360" w:lineRule="auto"/>
        <w:ind w:firstLine="0" w:firstLineChars="0"/>
        <w:rPr>
          <w:rFonts w:hint="eastAsia" w:ascii="仿宋" w:hAnsi="仿宋" w:eastAsia="仿宋" w:cs="仿宋"/>
          <w:color w:val="auto"/>
          <w:spacing w:val="-1"/>
          <w:highlight w:val="none"/>
          <w:lang w:eastAsia="zh-CN"/>
        </w:rPr>
      </w:pPr>
      <w:r>
        <w:rPr>
          <w:rFonts w:hint="eastAsia" w:ascii="仿宋" w:hAnsi="仿宋" w:eastAsia="仿宋" w:cs="仿宋"/>
          <w:color w:val="auto"/>
          <w:spacing w:val="-1"/>
          <w:highlight w:val="none"/>
          <w:lang w:eastAsia="zh-CN"/>
        </w:rPr>
        <w:t>（4）《混凝土结构工程施工质量验收规范》(GB50204-2002)</w:t>
      </w:r>
    </w:p>
    <w:p w14:paraId="43823A02">
      <w:pPr>
        <w:pStyle w:val="165"/>
        <w:widowControl w:val="0"/>
        <w:tabs>
          <w:tab w:val="left" w:pos="943"/>
        </w:tabs>
        <w:autoSpaceDE w:val="0"/>
        <w:autoSpaceDN w:val="0"/>
        <w:spacing w:line="360" w:lineRule="auto"/>
        <w:ind w:firstLine="0" w:firstLineChars="0"/>
        <w:rPr>
          <w:rFonts w:hint="eastAsia" w:ascii="仿宋" w:hAnsi="仿宋" w:eastAsia="仿宋" w:cs="仿宋"/>
          <w:color w:val="auto"/>
          <w:spacing w:val="-1"/>
          <w:highlight w:val="none"/>
          <w:lang w:eastAsia="zh-CN"/>
        </w:rPr>
      </w:pPr>
      <w:r>
        <w:rPr>
          <w:rFonts w:hint="eastAsia" w:ascii="仿宋" w:hAnsi="仿宋" w:eastAsia="仿宋" w:cs="仿宋"/>
          <w:color w:val="auto"/>
          <w:spacing w:val="-1"/>
          <w:highlight w:val="none"/>
          <w:lang w:eastAsia="zh-CN"/>
        </w:rPr>
        <w:t>（5）《屋面工程施工质量验收规范》(GB50207-2002)</w:t>
      </w:r>
    </w:p>
    <w:p w14:paraId="50FC25BF">
      <w:pPr>
        <w:pStyle w:val="165"/>
        <w:widowControl w:val="0"/>
        <w:tabs>
          <w:tab w:val="left" w:pos="943"/>
        </w:tabs>
        <w:autoSpaceDE w:val="0"/>
        <w:autoSpaceDN w:val="0"/>
        <w:spacing w:line="360" w:lineRule="auto"/>
        <w:ind w:firstLine="0" w:firstLineChars="0"/>
        <w:rPr>
          <w:rFonts w:hint="eastAsia" w:ascii="仿宋" w:hAnsi="仿宋" w:eastAsia="仿宋" w:cs="仿宋"/>
          <w:color w:val="auto"/>
          <w:spacing w:val="-1"/>
          <w:highlight w:val="none"/>
          <w:lang w:eastAsia="zh-CN"/>
        </w:rPr>
      </w:pPr>
      <w:r>
        <w:rPr>
          <w:rFonts w:hint="eastAsia" w:ascii="仿宋" w:hAnsi="仿宋" w:eastAsia="仿宋" w:cs="仿宋"/>
          <w:color w:val="auto"/>
          <w:spacing w:val="-1"/>
          <w:highlight w:val="none"/>
          <w:lang w:eastAsia="zh-CN"/>
        </w:rPr>
        <w:t>（6）《地下防水工程施工质量验收规范》(GB50208-2002)</w:t>
      </w:r>
    </w:p>
    <w:p w14:paraId="689DC8CA">
      <w:pPr>
        <w:pStyle w:val="165"/>
        <w:widowControl w:val="0"/>
        <w:tabs>
          <w:tab w:val="left" w:pos="943"/>
        </w:tabs>
        <w:autoSpaceDE w:val="0"/>
        <w:autoSpaceDN w:val="0"/>
        <w:spacing w:line="360" w:lineRule="auto"/>
        <w:ind w:firstLine="0" w:firstLineChars="0"/>
        <w:rPr>
          <w:rFonts w:hint="eastAsia" w:ascii="仿宋" w:hAnsi="仿宋" w:eastAsia="仿宋" w:cs="仿宋"/>
          <w:color w:val="auto"/>
          <w:spacing w:val="-1"/>
          <w:highlight w:val="none"/>
          <w:lang w:eastAsia="zh-CN"/>
        </w:rPr>
      </w:pPr>
      <w:r>
        <w:rPr>
          <w:rFonts w:hint="eastAsia" w:ascii="仿宋" w:hAnsi="仿宋" w:eastAsia="仿宋" w:cs="仿宋"/>
          <w:color w:val="auto"/>
          <w:spacing w:val="-1"/>
          <w:highlight w:val="none"/>
          <w:lang w:eastAsia="zh-CN"/>
        </w:rPr>
        <w:t>（7）《建筑地面工程施工质量验收规范》(GB50209-2002)</w:t>
      </w:r>
    </w:p>
    <w:p w14:paraId="516556EF">
      <w:pPr>
        <w:pStyle w:val="165"/>
        <w:widowControl w:val="0"/>
        <w:tabs>
          <w:tab w:val="left" w:pos="943"/>
        </w:tabs>
        <w:autoSpaceDE w:val="0"/>
        <w:autoSpaceDN w:val="0"/>
        <w:spacing w:line="360" w:lineRule="auto"/>
        <w:ind w:firstLine="0" w:firstLineChars="0"/>
        <w:rPr>
          <w:rFonts w:hint="eastAsia" w:ascii="仿宋" w:hAnsi="仿宋" w:eastAsia="仿宋" w:cs="仿宋"/>
          <w:color w:val="auto"/>
          <w:spacing w:val="-1"/>
          <w:highlight w:val="none"/>
          <w:lang w:eastAsia="zh-CN"/>
        </w:rPr>
      </w:pPr>
      <w:r>
        <w:rPr>
          <w:rFonts w:hint="eastAsia" w:ascii="仿宋" w:hAnsi="仿宋" w:eastAsia="仿宋" w:cs="仿宋"/>
          <w:color w:val="auto"/>
          <w:spacing w:val="-1"/>
          <w:highlight w:val="none"/>
          <w:lang w:eastAsia="zh-CN"/>
        </w:rPr>
        <w:t>（8）《建筑装饰装修工程施工质量验收规范》(GB50210-2001)</w:t>
      </w:r>
    </w:p>
    <w:p w14:paraId="19A6C085">
      <w:pPr>
        <w:pStyle w:val="165"/>
        <w:widowControl w:val="0"/>
        <w:tabs>
          <w:tab w:val="left" w:pos="943"/>
        </w:tabs>
        <w:autoSpaceDE w:val="0"/>
        <w:autoSpaceDN w:val="0"/>
        <w:spacing w:line="360" w:lineRule="auto"/>
        <w:ind w:firstLine="0" w:firstLineChars="0"/>
        <w:rPr>
          <w:rFonts w:hint="eastAsia" w:ascii="仿宋" w:hAnsi="仿宋" w:eastAsia="仿宋" w:cs="仿宋"/>
          <w:color w:val="auto"/>
          <w:spacing w:val="-1"/>
          <w:highlight w:val="none"/>
          <w:lang w:eastAsia="zh-CN"/>
        </w:rPr>
      </w:pPr>
      <w:r>
        <w:rPr>
          <w:rFonts w:hint="eastAsia" w:ascii="仿宋" w:hAnsi="仿宋" w:eastAsia="仿宋" w:cs="仿宋"/>
          <w:color w:val="auto"/>
          <w:spacing w:val="-1"/>
          <w:highlight w:val="none"/>
          <w:lang w:eastAsia="zh-CN"/>
        </w:rPr>
        <w:t>（9）《建筑给水排水及采暖工程施工质量验收规范》(GB50242-2002)</w:t>
      </w:r>
    </w:p>
    <w:p w14:paraId="48D2B516">
      <w:pPr>
        <w:pStyle w:val="165"/>
        <w:widowControl w:val="0"/>
        <w:tabs>
          <w:tab w:val="left" w:pos="943"/>
        </w:tabs>
        <w:autoSpaceDE w:val="0"/>
        <w:autoSpaceDN w:val="0"/>
        <w:spacing w:line="360" w:lineRule="auto"/>
        <w:ind w:firstLine="0" w:firstLineChars="0"/>
        <w:rPr>
          <w:rFonts w:hint="eastAsia" w:ascii="仿宋" w:hAnsi="仿宋" w:eastAsia="仿宋" w:cs="仿宋"/>
          <w:color w:val="auto"/>
          <w:spacing w:val="-1"/>
          <w:highlight w:val="none"/>
          <w:lang w:eastAsia="zh-CN"/>
        </w:rPr>
      </w:pPr>
      <w:r>
        <w:rPr>
          <w:rFonts w:hint="eastAsia" w:ascii="仿宋" w:hAnsi="仿宋" w:eastAsia="仿宋" w:cs="仿宋"/>
          <w:color w:val="auto"/>
          <w:spacing w:val="-1"/>
          <w:highlight w:val="none"/>
          <w:lang w:eastAsia="zh-CN"/>
        </w:rPr>
        <w:t>（10）《通风与空调工程施工质量验收规范》(GB50243-2002)</w:t>
      </w:r>
    </w:p>
    <w:p w14:paraId="714CA054">
      <w:pPr>
        <w:pStyle w:val="165"/>
        <w:widowControl w:val="0"/>
        <w:tabs>
          <w:tab w:val="left" w:pos="943"/>
        </w:tabs>
        <w:autoSpaceDE w:val="0"/>
        <w:autoSpaceDN w:val="0"/>
        <w:spacing w:line="360" w:lineRule="auto"/>
        <w:ind w:firstLine="0" w:firstLineChars="0"/>
        <w:rPr>
          <w:rFonts w:hint="eastAsia" w:ascii="仿宋" w:hAnsi="仿宋" w:eastAsia="仿宋" w:cs="仿宋"/>
          <w:color w:val="auto"/>
          <w:spacing w:val="-1"/>
          <w:highlight w:val="none"/>
          <w:lang w:eastAsia="zh-CN"/>
        </w:rPr>
      </w:pPr>
      <w:r>
        <w:rPr>
          <w:rFonts w:hint="eastAsia" w:ascii="仿宋" w:hAnsi="仿宋" w:eastAsia="仿宋" w:cs="仿宋"/>
          <w:color w:val="auto"/>
          <w:spacing w:val="-1"/>
          <w:highlight w:val="none"/>
          <w:lang w:eastAsia="zh-CN"/>
        </w:rPr>
        <w:t>（11）《建筑电气工程施工质量验收规范》(GB50303-2002)</w:t>
      </w:r>
    </w:p>
    <w:p w14:paraId="4EFE7EEE">
      <w:pPr>
        <w:pStyle w:val="165"/>
        <w:widowControl w:val="0"/>
        <w:tabs>
          <w:tab w:val="left" w:pos="943"/>
        </w:tabs>
        <w:autoSpaceDE w:val="0"/>
        <w:autoSpaceDN w:val="0"/>
        <w:spacing w:line="360" w:lineRule="auto"/>
        <w:ind w:firstLine="0" w:firstLineChars="0"/>
        <w:rPr>
          <w:rFonts w:hint="eastAsia" w:ascii="仿宋" w:hAnsi="仿宋" w:eastAsia="仿宋" w:cs="仿宋"/>
          <w:color w:val="auto"/>
          <w:spacing w:val="-1"/>
          <w:highlight w:val="none"/>
          <w:lang w:eastAsia="zh-CN"/>
        </w:rPr>
      </w:pPr>
      <w:r>
        <w:rPr>
          <w:rFonts w:hint="eastAsia" w:ascii="仿宋" w:hAnsi="仿宋" w:eastAsia="仿宋" w:cs="仿宋"/>
          <w:color w:val="auto"/>
          <w:spacing w:val="-1"/>
          <w:highlight w:val="none"/>
          <w:lang w:eastAsia="zh-CN"/>
        </w:rPr>
        <w:t>（12）《屋面工程技术规范》(GB50345-2004)</w:t>
      </w:r>
    </w:p>
    <w:p w14:paraId="60C411C0">
      <w:pPr>
        <w:pStyle w:val="165"/>
        <w:widowControl w:val="0"/>
        <w:tabs>
          <w:tab w:val="left" w:pos="943"/>
        </w:tabs>
        <w:autoSpaceDE w:val="0"/>
        <w:autoSpaceDN w:val="0"/>
        <w:spacing w:line="360" w:lineRule="auto"/>
        <w:ind w:firstLine="0" w:firstLineChars="0"/>
        <w:rPr>
          <w:rFonts w:hint="eastAsia" w:ascii="仿宋" w:hAnsi="仿宋" w:eastAsia="仿宋" w:cs="仿宋"/>
          <w:color w:val="auto"/>
          <w:spacing w:val="-1"/>
          <w:highlight w:val="none"/>
          <w:lang w:eastAsia="zh-CN"/>
        </w:rPr>
      </w:pPr>
      <w:r>
        <w:rPr>
          <w:rFonts w:hint="eastAsia" w:ascii="仿宋" w:hAnsi="仿宋" w:eastAsia="仿宋" w:cs="仿宋"/>
          <w:color w:val="auto"/>
          <w:spacing w:val="-1"/>
          <w:highlight w:val="none"/>
          <w:lang w:eastAsia="zh-CN"/>
        </w:rPr>
        <w:t>（13）《安全防范工程技术规范》(GB50348-2004)</w:t>
      </w:r>
    </w:p>
    <w:p w14:paraId="665F8DA3">
      <w:pPr>
        <w:pStyle w:val="165"/>
        <w:widowControl w:val="0"/>
        <w:tabs>
          <w:tab w:val="left" w:pos="943"/>
        </w:tabs>
        <w:autoSpaceDE w:val="0"/>
        <w:autoSpaceDN w:val="0"/>
        <w:spacing w:line="360" w:lineRule="auto"/>
        <w:ind w:firstLine="0" w:firstLineChars="0"/>
        <w:rPr>
          <w:rFonts w:hint="eastAsia" w:ascii="仿宋" w:hAnsi="仿宋" w:eastAsia="仿宋" w:cs="仿宋"/>
          <w:color w:val="auto"/>
          <w:spacing w:val="-1"/>
          <w:highlight w:val="none"/>
          <w:lang w:eastAsia="zh-CN"/>
        </w:rPr>
      </w:pPr>
      <w:r>
        <w:rPr>
          <w:rFonts w:hint="eastAsia" w:ascii="仿宋" w:hAnsi="仿宋" w:eastAsia="仿宋" w:cs="仿宋"/>
          <w:color w:val="auto"/>
          <w:spacing w:val="-1"/>
          <w:highlight w:val="none"/>
          <w:lang w:eastAsia="zh-CN"/>
        </w:rPr>
        <w:t>（14）《建筑工程施工质量评价标准》(GB/T50375-2006)</w:t>
      </w:r>
    </w:p>
    <w:p w14:paraId="5487DFE1">
      <w:pPr>
        <w:pStyle w:val="165"/>
        <w:widowControl w:val="0"/>
        <w:tabs>
          <w:tab w:val="left" w:pos="943"/>
        </w:tabs>
        <w:autoSpaceDE w:val="0"/>
        <w:autoSpaceDN w:val="0"/>
        <w:spacing w:line="360" w:lineRule="auto"/>
        <w:ind w:firstLine="0" w:firstLineChars="0"/>
        <w:rPr>
          <w:rFonts w:hint="eastAsia" w:ascii="仿宋" w:hAnsi="仿宋" w:eastAsia="仿宋" w:cs="仿宋"/>
          <w:color w:val="auto"/>
          <w:spacing w:val="-1"/>
          <w:highlight w:val="none"/>
          <w:lang w:eastAsia="zh-CN"/>
        </w:rPr>
      </w:pPr>
      <w:r>
        <w:rPr>
          <w:rFonts w:hint="eastAsia" w:ascii="仿宋" w:hAnsi="仿宋" w:eastAsia="仿宋" w:cs="仿宋"/>
          <w:color w:val="auto"/>
          <w:spacing w:val="-1"/>
          <w:highlight w:val="none"/>
          <w:lang w:eastAsia="zh-CN"/>
        </w:rPr>
        <w:t>2、在合同期间，如有新的质量标准、</w:t>
      </w:r>
      <w:r>
        <w:rPr>
          <w:rFonts w:hint="eastAsia" w:ascii="仿宋" w:hAnsi="仿宋" w:eastAsia="仿宋" w:cs="仿宋"/>
          <w:color w:val="auto"/>
          <w:spacing w:val="-1"/>
          <w:highlight w:val="none"/>
          <w:lang w:val="en-US" w:eastAsia="zh-CN"/>
        </w:rPr>
        <w:t>规范</w:t>
      </w:r>
      <w:r>
        <w:rPr>
          <w:rFonts w:hint="eastAsia" w:ascii="仿宋" w:hAnsi="仿宋" w:eastAsia="仿宋" w:cs="仿宋"/>
          <w:color w:val="auto"/>
          <w:spacing w:val="-1"/>
          <w:highlight w:val="none"/>
          <w:lang w:eastAsia="zh-CN"/>
        </w:rPr>
        <w:t>公布发布的，则按从新和从严的原则履行。</w:t>
      </w:r>
    </w:p>
    <w:p w14:paraId="2FEEABD2">
      <w:pPr>
        <w:pStyle w:val="165"/>
        <w:widowControl w:val="0"/>
        <w:tabs>
          <w:tab w:val="left" w:pos="943"/>
        </w:tabs>
        <w:autoSpaceDE w:val="0"/>
        <w:autoSpaceDN w:val="0"/>
        <w:spacing w:line="360" w:lineRule="auto"/>
        <w:ind w:firstLine="0" w:firstLineChars="0"/>
        <w:rPr>
          <w:rFonts w:ascii="仿宋" w:hAnsi="仿宋" w:eastAsia="仿宋" w:cs="仿宋"/>
          <w:color w:val="auto"/>
          <w:spacing w:val="-1"/>
          <w:highlight w:val="none"/>
          <w:lang w:eastAsia="zh-CN"/>
        </w:rPr>
      </w:pPr>
      <w:r>
        <w:rPr>
          <w:rFonts w:hint="eastAsia" w:ascii="仿宋" w:hAnsi="仿宋" w:eastAsia="仿宋" w:cs="仿宋"/>
          <w:color w:val="auto"/>
          <w:spacing w:val="-1"/>
          <w:highlight w:val="none"/>
          <w:lang w:val="en-US" w:eastAsia="zh-CN"/>
        </w:rPr>
        <w:t>3</w:t>
      </w:r>
      <w:r>
        <w:rPr>
          <w:rFonts w:hint="eastAsia" w:ascii="仿宋" w:hAnsi="仿宋" w:eastAsia="仿宋" w:cs="仿宋"/>
          <w:color w:val="auto"/>
          <w:spacing w:val="-1"/>
          <w:highlight w:val="none"/>
          <w:lang w:eastAsia="zh-CN"/>
        </w:rPr>
        <w:t>、工程技术要求、规范的特别约定。</w:t>
      </w:r>
    </w:p>
    <w:p w14:paraId="5D62A807">
      <w:pPr>
        <w:pStyle w:val="37"/>
        <w:rPr>
          <w:color w:val="auto"/>
          <w:sz w:val="28"/>
          <w:szCs w:val="28"/>
          <w:highlight w:val="none"/>
          <w:lang w:eastAsia="zh-CN"/>
        </w:rPr>
      </w:pPr>
    </w:p>
    <w:sectPr>
      <w:pgSz w:w="11906" w:h="16838"/>
      <w:pgMar w:top="1440" w:right="1304" w:bottom="1440" w:left="119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报宋">
    <w:altName w:val="宋体"/>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A5626">
    <w:pPr>
      <w:pStyle w:val="28"/>
      <w:tabs>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4"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F9FCA0">
                          <w:pPr>
                            <w:pStyle w:val="28"/>
                          </w:pPr>
                          <w:r>
                            <w:fldChar w:fldCharType="begin"/>
                          </w:r>
                          <w:r>
                            <w:instrText xml:space="preserve"> PAGE  \* MERGEFORMAT </w:instrText>
                          </w:r>
                          <w:r>
                            <w:fldChar w:fldCharType="separate"/>
                          </w:r>
                          <w:r>
                            <w:t>IX</w:t>
                          </w:r>
                          <w:r>
                            <w:fldChar w:fldCharType="end"/>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DtyecoBAACbAwAADgAAAAAAAAABACAAAAAeAQAAZHJzL2Uyb0Rv&#10;Yy54bWxQSwUGAAAAAAYABgBZAQAAWgUAAAAA&#10;">
              <v:fill on="f" focussize="0,0"/>
              <v:stroke on="f"/>
              <v:imagedata o:title=""/>
              <o:lock v:ext="edit" aspectratio="f"/>
              <v:textbox inset="0mm,0mm,0mm,0mm" style="mso-fit-shape-to-text:t;">
                <w:txbxContent>
                  <w:p w14:paraId="2DF9FCA0">
                    <w:pPr>
                      <w:pStyle w:val="28"/>
                    </w:pPr>
                    <w:r>
                      <w:fldChar w:fldCharType="begin"/>
                    </w:r>
                    <w:r>
                      <w:instrText xml:space="preserve"> PAGE  \* MERGEFORMAT </w:instrText>
                    </w:r>
                    <w:r>
                      <w:fldChar w:fldCharType="separate"/>
                    </w:r>
                    <w:r>
                      <w:t>IX</w:t>
                    </w:r>
                    <w:r>
                      <w:fldChar w:fldCharType="end"/>
                    </w:r>
                  </w:p>
                </w:txbxContent>
              </v:textbox>
            </v:shape>
          </w:pict>
        </mc:Fallback>
      </mc:AlternateContent>
    </w:r>
  </w:p>
  <w:p w14:paraId="48A48377">
    <w:pPr>
      <w:pStyle w:val="28"/>
      <w:tabs>
        <w:tab w:val="clear" w:pos="4153"/>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56267">
    <w:pPr>
      <w:pStyle w:val="28"/>
      <w:tabs>
        <w:tab w:val="center" w:pos="5102"/>
        <w:tab w:val="clear" w:pos="4153"/>
        <w:tab w:val="clear" w:pos="8306"/>
      </w:tabs>
      <w:rPr>
        <w:rFonts w:hint="eastAsia"/>
        <w:lang w:eastAsia="zh-CN"/>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5"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097DBF">
                          <w:pPr>
                            <w:pStyle w:val="28"/>
                          </w:pPr>
                          <w:r>
                            <w:fldChar w:fldCharType="begin"/>
                          </w:r>
                          <w:r>
                            <w:instrText xml:space="preserve"> PAGE  \* MERGEFORMAT </w:instrText>
                          </w:r>
                          <w:r>
                            <w:fldChar w:fldCharType="separate"/>
                          </w:r>
                          <w:r>
                            <w:t>VI</w:t>
                          </w:r>
                          <w:r>
                            <w:fldChar w:fldCharType="end"/>
                          </w:r>
                        </w:p>
                      </w:txbxContent>
                    </wps:txbx>
                    <wps:bodyPr wrap="none" lIns="0" tIns="0" rIns="0" bIns="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ILrtM/LAQAAmwMAAA4AAAAAAAAAAQAgAAAAHgEAAGRycy9lMm9E&#10;b2MueG1sUEsFBgAAAAAGAAYAWQEAAFsFAAAAAA==&#10;">
              <v:fill on="f" focussize="0,0"/>
              <v:stroke on="f"/>
              <v:imagedata o:title=""/>
              <o:lock v:ext="edit" aspectratio="f"/>
              <v:textbox inset="0mm,0mm,0mm,0mm" style="mso-fit-shape-to-text:t;">
                <w:txbxContent>
                  <w:p w14:paraId="29097DBF">
                    <w:pPr>
                      <w:pStyle w:val="28"/>
                    </w:pPr>
                    <w:r>
                      <w:fldChar w:fldCharType="begin"/>
                    </w:r>
                    <w:r>
                      <w:instrText xml:space="preserve"> PAGE  \* MERGEFORMAT </w:instrText>
                    </w:r>
                    <w:r>
                      <w:fldChar w:fldCharType="separate"/>
                    </w:r>
                    <w:r>
                      <w:t>VI</w:t>
                    </w:r>
                    <w:r>
                      <w:fldChar w:fldCharType="end"/>
                    </w:r>
                  </w:p>
                </w:txbxContent>
              </v:textbox>
            </v:shape>
          </w:pict>
        </mc:Fallback>
      </mc:AlternateContent>
    </w:r>
    <w:r>
      <w:rPr>
        <w:rFonts w:hint="eastAsia"/>
        <w:lang w:eastAsia="zh-CN"/>
      </w:rPr>
      <w:tab/>
    </w:r>
  </w:p>
  <w:p w14:paraId="1B2C6FEB">
    <w:pPr>
      <w:pStyle w:val="28"/>
      <w:tabs>
        <w:tab w:val="clear" w:pos="4153"/>
        <w:tab w:val="clear" w:pos="8306"/>
      </w:tabs>
      <w:rPr>
        <w:rFonts w:hint="eastAsia"/>
        <w:lang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0F349">
    <w:pPr>
      <w:pStyle w:val="28"/>
      <w:tabs>
        <w:tab w:val="clear" w:pos="4153"/>
        <w:tab w:val="clear" w:pos="8306"/>
      </w:tabs>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6"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B01345">
                          <w:pPr>
                            <w:pStyle w:val="28"/>
                          </w:pPr>
                          <w:r>
                            <w:fldChar w:fldCharType="begin"/>
                          </w:r>
                          <w:r>
                            <w:instrText xml:space="preserve"> PAGE  \* MERGEFORMAT </w:instrText>
                          </w:r>
                          <w:r>
                            <w:fldChar w:fldCharType="separate"/>
                          </w:r>
                          <w:r>
                            <w:t>299</w:t>
                          </w:r>
                          <w:r>
                            <w:fldChar w:fldCharType="end"/>
                          </w:r>
                        </w:p>
                      </w:txbxContent>
                    </wps:txbx>
                    <wps:bodyPr wrap="none" lIns="0" tIns="0" rIns="0" bIns="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kMrLocoBAACbAwAADgAAAAAAAAABACAAAAAeAQAAZHJzL2Uyb0Rv&#10;Yy54bWxQSwUGAAAAAAYABgBZAQAAWgUAAAAA&#10;">
              <v:fill on="f" focussize="0,0"/>
              <v:stroke on="f"/>
              <v:imagedata o:title=""/>
              <o:lock v:ext="edit" aspectratio="f"/>
              <v:textbox inset="0mm,0mm,0mm,0mm" style="mso-fit-shape-to-text:t;">
                <w:txbxContent>
                  <w:p w14:paraId="53B01345">
                    <w:pPr>
                      <w:pStyle w:val="28"/>
                    </w:pPr>
                    <w:r>
                      <w:fldChar w:fldCharType="begin"/>
                    </w:r>
                    <w:r>
                      <w:instrText xml:space="preserve"> PAGE  \* MERGEFORMAT </w:instrText>
                    </w:r>
                    <w:r>
                      <w:fldChar w:fldCharType="separate"/>
                    </w:r>
                    <w:r>
                      <w:t>299</w:t>
                    </w:r>
                    <w:r>
                      <w:fldChar w:fldCharType="end"/>
                    </w:r>
                  </w:p>
                </w:txbxContent>
              </v:textbox>
            </v:shape>
          </w:pict>
        </mc:Fallback>
      </mc:AlternateContent>
    </w:r>
  </w:p>
  <w:p w14:paraId="5010D655">
    <w:pPr>
      <w:pStyle w:val="28"/>
      <w:tabs>
        <w:tab w:val="clear" w:pos="4153"/>
        <w:tab w:val="clear"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FC10F">
    <w:pPr>
      <w:pStyle w:val="28"/>
      <w:tabs>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2" name="0002df"/>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3A2A66">
                          <w:pPr>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rPr>
                            <w:t>344</w:t>
                          </w:r>
                          <w:r>
                            <w:rPr>
                              <w:sz w:val="20"/>
                              <w:szCs w:val="20"/>
                            </w:rPr>
                            <w:fldChar w:fldCharType="end"/>
                          </w:r>
                        </w:p>
                      </w:txbxContent>
                    </wps:txbx>
                    <wps:bodyPr wrap="none" lIns="0" tIns="0" rIns="0" bIns="0" upright="1">
                      <a:spAutoFit/>
                    </wps:bodyPr>
                  </wps:wsp>
                </a:graphicData>
              </a:graphic>
            </wp:anchor>
          </w:drawing>
        </mc:Choice>
        <mc:Fallback>
          <w:pict>
            <v:shape id="0002df"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OuGBEW5AQAAlgMAAA4AAAAAAAAAAQAgAAAAHgEAAGRycy9lMm9Eb2MueG1sUEsFBgAAAAAGAAYA&#10;WQEAAEkFAAAAAA==&#10;">
              <v:fill on="f" focussize="0,0"/>
              <v:stroke on="f"/>
              <v:imagedata o:title=""/>
              <o:lock v:ext="edit" aspectratio="f"/>
              <v:textbox inset="0mm,0mm,0mm,0mm" style="mso-fit-shape-to-text:t;">
                <w:txbxContent>
                  <w:p w14:paraId="773A2A66">
                    <w:pPr>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rPr>
                      <w:t>344</w:t>
                    </w:r>
                    <w:r>
                      <w:rPr>
                        <w:sz w:val="20"/>
                        <w:szCs w:val="20"/>
                      </w:rPr>
                      <w:fldChar w:fldCharType="end"/>
                    </w:r>
                  </w:p>
                </w:txbxContent>
              </v:textbox>
            </v:shape>
          </w:pict>
        </mc:Fallback>
      </mc:AlternateContent>
    </w:r>
  </w:p>
  <w:p w14:paraId="0539E0AC">
    <w:pPr>
      <w:pStyle w:val="28"/>
      <w:tabs>
        <w:tab w:val="clear" w:pos="4153"/>
        <w:tab w:val="clear" w:pos="8306"/>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EAB35">
    <w:pPr>
      <w:pStyle w:val="28"/>
      <w:tabs>
        <w:tab w:val="clear" w:pos="4153"/>
        <w:tab w:val="clear"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3" name="0002e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FF8D8A">
                          <w:pP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349</w:t>
                          </w:r>
                          <w:r>
                            <w:rPr>
                              <w:sz w:val="21"/>
                              <w:szCs w:val="21"/>
                            </w:rPr>
                            <w:fldChar w:fldCharType="end"/>
                          </w:r>
                        </w:p>
                      </w:txbxContent>
                    </wps:txbx>
                    <wps:bodyPr wrap="none" lIns="0" tIns="0" rIns="0" bIns="0" upright="1">
                      <a:spAutoFit/>
                    </wps:bodyPr>
                  </wps:wsp>
                </a:graphicData>
              </a:graphic>
            </wp:anchor>
          </w:drawing>
        </mc:Choice>
        <mc:Fallback>
          <w:pict>
            <v:shape id="0002e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p&#10;ebnPAAAABQEAAA8AAAAAAAAAAQAgAAAAIgAAAGRycy9kb3ducmV2LnhtbFBLAQIUABQAAAAIAIdO&#10;4kDWPx6FugEAAJYDAAAOAAAAAAAAAAEAIAAAAB4BAABkcnMvZTJvRG9jLnhtbFBLBQYAAAAABgAG&#10;AFkBAABKBQAAAAA=&#10;">
              <v:fill on="f" focussize="0,0"/>
              <v:stroke on="f"/>
              <v:imagedata o:title=""/>
              <o:lock v:ext="edit" aspectratio="f"/>
              <v:textbox inset="0mm,0mm,0mm,0mm" style="mso-fit-shape-to-text:t;">
                <w:txbxContent>
                  <w:p w14:paraId="45FF8D8A">
                    <w:pP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349</w:t>
                    </w:r>
                    <w:r>
                      <w:rPr>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76900">
    <w:pPr>
      <w:pStyle w:val="28"/>
      <w:tabs>
        <w:tab w:val="clear" w:pos="4153"/>
        <w:tab w:val="clear" w:pos="8306"/>
      </w:tabs>
    </w:pPr>
    <w:r>
      <w:fldChar w:fldCharType="begin"/>
    </w:r>
    <w:r>
      <w:instrText xml:space="preserve"> PAGE   \* MERGEFORMAT </w:instrText>
    </w:r>
    <w:r>
      <w:fldChar w:fldCharType="separate"/>
    </w:r>
    <w:r>
      <w:rPr>
        <w:lang w:val="zh-CN"/>
      </w:rPr>
      <w:t>1</w:t>
    </w:r>
    <w:r>
      <w:fldChar w:fldCharType="end"/>
    </w:r>
  </w:p>
  <w:p w14:paraId="11D8156D">
    <w:pPr>
      <w:pStyle w:val="28"/>
      <w:tabs>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D1DE7">
    <w:pPr>
      <w:pStyle w:val="29"/>
      <w:pBdr>
        <w:bottom w:val="none" w:color="auto" w:sz="0" w:space="1"/>
      </w:pBdr>
      <w:tabs>
        <w:tab w:val="left" w:pos="8625"/>
        <w:tab w:val="clear" w:pos="4153"/>
        <w:tab w:val="clear" w:pos="8306"/>
      </w:tabs>
      <w:jc w:val="left"/>
      <w:rPr>
        <w:rFonts w:hint="eastAsia"/>
        <w:lang w:eastAsia="zh-CN"/>
      </w:rPr>
    </w:pPr>
    <w:r>
      <w:rPr>
        <w:rFonts w:hint="eastAsia"/>
        <w:lang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7A013">
    <w:pPr>
      <w:pStyle w:val="2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EE128">
    <w:pPr>
      <w:pStyle w:val="29"/>
      <w:pBdr>
        <w:bottom w:val="none" w:color="auto" w:sz="0" w:space="1"/>
      </w:pBdr>
      <w:tabs>
        <w:tab w:val="clear" w:pos="4153"/>
        <w:tab w:val="clear" w:pos="830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8707E">
    <w:pPr>
      <w:tabs>
        <w:tab w:val="left" w:pos="142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4B1D8B"/>
    <w:multiLevelType w:val="singleLevel"/>
    <w:tmpl w:val="B44B1D8B"/>
    <w:lvl w:ilvl="0" w:tentative="0">
      <w:start w:val="1"/>
      <w:numFmt w:val="decimal"/>
      <w:suff w:val="nothing"/>
      <w:lvlText w:val="（%1）"/>
      <w:lvlJc w:val="left"/>
    </w:lvl>
  </w:abstractNum>
  <w:abstractNum w:abstractNumId="1">
    <w:nsid w:val="BCE2FA98"/>
    <w:multiLevelType w:val="singleLevel"/>
    <w:tmpl w:val="BCE2FA98"/>
    <w:lvl w:ilvl="0" w:tentative="0">
      <w:start w:val="1"/>
      <w:numFmt w:val="decimal"/>
      <w:lvlText w:val="%1)"/>
      <w:lvlJc w:val="left"/>
      <w:pPr>
        <w:tabs>
          <w:tab w:val="left" w:pos="312"/>
        </w:tabs>
      </w:pPr>
    </w:lvl>
  </w:abstractNum>
  <w:abstractNum w:abstractNumId="2">
    <w:nsid w:val="C6949046"/>
    <w:multiLevelType w:val="singleLevel"/>
    <w:tmpl w:val="C6949046"/>
    <w:lvl w:ilvl="0" w:tentative="0">
      <w:start w:val="1"/>
      <w:numFmt w:val="decimal"/>
      <w:lvlText w:val="%1)"/>
      <w:lvlJc w:val="left"/>
      <w:pPr>
        <w:tabs>
          <w:tab w:val="left" w:pos="312"/>
        </w:tabs>
      </w:pPr>
    </w:lvl>
  </w:abstractNum>
  <w:abstractNum w:abstractNumId="3">
    <w:nsid w:val="CF092B84"/>
    <w:multiLevelType w:val="multilevel"/>
    <w:tmpl w:val="CF092B84"/>
    <w:lvl w:ilvl="0" w:tentative="0">
      <w:start w:val="1"/>
      <w:numFmt w:val="decimal"/>
      <w:lvlText w:val="%1."/>
      <w:lvlJc w:val="left"/>
      <w:pPr>
        <w:ind w:left="101" w:hanging="361"/>
      </w:pPr>
      <w:rPr>
        <w:rFonts w:hint="default" w:ascii="宋体" w:hAnsi="宋体" w:eastAsia="宋体" w:cs="宋体"/>
        <w:spacing w:val="-17"/>
        <w:w w:val="100"/>
        <w:sz w:val="22"/>
        <w:szCs w:val="22"/>
      </w:rPr>
    </w:lvl>
    <w:lvl w:ilvl="1" w:tentative="0">
      <w:start w:val="0"/>
      <w:numFmt w:val="bullet"/>
      <w:lvlText w:val="•"/>
      <w:lvlJc w:val="left"/>
      <w:pPr>
        <w:ind w:left="1002" w:hanging="361"/>
      </w:pPr>
      <w:rPr>
        <w:rFonts w:hint="default"/>
      </w:rPr>
    </w:lvl>
    <w:lvl w:ilvl="2" w:tentative="0">
      <w:start w:val="0"/>
      <w:numFmt w:val="bullet"/>
      <w:lvlText w:val="•"/>
      <w:lvlJc w:val="left"/>
      <w:pPr>
        <w:ind w:left="1905" w:hanging="361"/>
      </w:pPr>
      <w:rPr>
        <w:rFonts w:hint="default"/>
      </w:rPr>
    </w:lvl>
    <w:lvl w:ilvl="3" w:tentative="0">
      <w:start w:val="0"/>
      <w:numFmt w:val="bullet"/>
      <w:lvlText w:val="•"/>
      <w:lvlJc w:val="left"/>
      <w:pPr>
        <w:ind w:left="2807" w:hanging="361"/>
      </w:pPr>
      <w:rPr>
        <w:rFonts w:hint="default"/>
      </w:rPr>
    </w:lvl>
    <w:lvl w:ilvl="4" w:tentative="0">
      <w:start w:val="0"/>
      <w:numFmt w:val="bullet"/>
      <w:lvlText w:val="•"/>
      <w:lvlJc w:val="left"/>
      <w:pPr>
        <w:ind w:left="3710" w:hanging="361"/>
      </w:pPr>
      <w:rPr>
        <w:rFonts w:hint="default"/>
      </w:rPr>
    </w:lvl>
    <w:lvl w:ilvl="5" w:tentative="0">
      <w:start w:val="0"/>
      <w:numFmt w:val="bullet"/>
      <w:lvlText w:val="•"/>
      <w:lvlJc w:val="left"/>
      <w:pPr>
        <w:ind w:left="4613" w:hanging="361"/>
      </w:pPr>
      <w:rPr>
        <w:rFonts w:hint="default"/>
      </w:rPr>
    </w:lvl>
    <w:lvl w:ilvl="6" w:tentative="0">
      <w:start w:val="0"/>
      <w:numFmt w:val="bullet"/>
      <w:lvlText w:val="•"/>
      <w:lvlJc w:val="left"/>
      <w:pPr>
        <w:ind w:left="5515" w:hanging="361"/>
      </w:pPr>
      <w:rPr>
        <w:rFonts w:hint="default"/>
      </w:rPr>
    </w:lvl>
    <w:lvl w:ilvl="7" w:tentative="0">
      <w:start w:val="0"/>
      <w:numFmt w:val="bullet"/>
      <w:lvlText w:val="•"/>
      <w:lvlJc w:val="left"/>
      <w:pPr>
        <w:ind w:left="6418" w:hanging="361"/>
      </w:pPr>
      <w:rPr>
        <w:rFonts w:hint="default"/>
      </w:rPr>
    </w:lvl>
    <w:lvl w:ilvl="8" w:tentative="0">
      <w:start w:val="0"/>
      <w:numFmt w:val="bullet"/>
      <w:lvlText w:val="•"/>
      <w:lvlJc w:val="left"/>
      <w:pPr>
        <w:ind w:left="7320" w:hanging="361"/>
      </w:pPr>
      <w:rPr>
        <w:rFonts w:hint="default"/>
      </w:rPr>
    </w:lvl>
  </w:abstractNum>
  <w:abstractNum w:abstractNumId="4">
    <w:nsid w:val="D88F98E9"/>
    <w:multiLevelType w:val="singleLevel"/>
    <w:tmpl w:val="D88F98E9"/>
    <w:lvl w:ilvl="0" w:tentative="0">
      <w:start w:val="4"/>
      <w:numFmt w:val="chineseCounting"/>
      <w:suff w:val="space"/>
      <w:lvlText w:val="第%1部分"/>
      <w:lvlJc w:val="left"/>
      <w:rPr>
        <w:rFonts w:hint="eastAsia"/>
      </w:rPr>
    </w:lvl>
  </w:abstractNum>
  <w:abstractNum w:abstractNumId="5">
    <w:nsid w:val="E6E802A7"/>
    <w:multiLevelType w:val="singleLevel"/>
    <w:tmpl w:val="E6E802A7"/>
    <w:lvl w:ilvl="0" w:tentative="0">
      <w:start w:val="1"/>
      <w:numFmt w:val="decimal"/>
      <w:lvlText w:val="%1."/>
      <w:lvlJc w:val="left"/>
      <w:pPr>
        <w:tabs>
          <w:tab w:val="left" w:pos="312"/>
        </w:tabs>
      </w:pPr>
    </w:lvl>
  </w:abstractNum>
  <w:abstractNum w:abstractNumId="6">
    <w:nsid w:val="FC9608F3"/>
    <w:multiLevelType w:val="singleLevel"/>
    <w:tmpl w:val="FC9608F3"/>
    <w:lvl w:ilvl="0" w:tentative="0">
      <w:start w:val="2"/>
      <w:numFmt w:val="decimal"/>
      <w:lvlText w:val="(%1)"/>
      <w:lvlJc w:val="left"/>
      <w:pPr>
        <w:tabs>
          <w:tab w:val="left" w:pos="312"/>
        </w:tabs>
      </w:pPr>
    </w:lvl>
  </w:abstractNum>
  <w:abstractNum w:abstractNumId="7">
    <w:nsid w:val="0053208E"/>
    <w:multiLevelType w:val="multilevel"/>
    <w:tmpl w:val="0053208E"/>
    <w:lvl w:ilvl="0" w:tentative="0">
      <w:start w:val="1"/>
      <w:numFmt w:val="decimal"/>
      <w:lvlText w:val="%1."/>
      <w:lvlJc w:val="left"/>
      <w:pPr>
        <w:ind w:left="101" w:hanging="361"/>
      </w:pPr>
      <w:rPr>
        <w:rFonts w:hint="default" w:ascii="宋体" w:hAnsi="宋体" w:eastAsia="宋体" w:cs="宋体"/>
        <w:spacing w:val="-17"/>
        <w:w w:val="100"/>
        <w:sz w:val="22"/>
        <w:szCs w:val="22"/>
      </w:rPr>
    </w:lvl>
    <w:lvl w:ilvl="1" w:tentative="0">
      <w:start w:val="0"/>
      <w:numFmt w:val="bullet"/>
      <w:lvlText w:val="•"/>
      <w:lvlJc w:val="left"/>
      <w:pPr>
        <w:ind w:left="1002" w:hanging="361"/>
      </w:pPr>
      <w:rPr>
        <w:rFonts w:hint="default"/>
      </w:rPr>
    </w:lvl>
    <w:lvl w:ilvl="2" w:tentative="0">
      <w:start w:val="0"/>
      <w:numFmt w:val="bullet"/>
      <w:lvlText w:val="•"/>
      <w:lvlJc w:val="left"/>
      <w:pPr>
        <w:ind w:left="1905" w:hanging="361"/>
      </w:pPr>
      <w:rPr>
        <w:rFonts w:hint="default"/>
      </w:rPr>
    </w:lvl>
    <w:lvl w:ilvl="3" w:tentative="0">
      <w:start w:val="0"/>
      <w:numFmt w:val="bullet"/>
      <w:lvlText w:val="•"/>
      <w:lvlJc w:val="left"/>
      <w:pPr>
        <w:ind w:left="2807" w:hanging="361"/>
      </w:pPr>
      <w:rPr>
        <w:rFonts w:hint="default"/>
      </w:rPr>
    </w:lvl>
    <w:lvl w:ilvl="4" w:tentative="0">
      <w:start w:val="0"/>
      <w:numFmt w:val="bullet"/>
      <w:lvlText w:val="•"/>
      <w:lvlJc w:val="left"/>
      <w:pPr>
        <w:ind w:left="3710" w:hanging="361"/>
      </w:pPr>
      <w:rPr>
        <w:rFonts w:hint="default"/>
      </w:rPr>
    </w:lvl>
    <w:lvl w:ilvl="5" w:tentative="0">
      <w:start w:val="0"/>
      <w:numFmt w:val="bullet"/>
      <w:lvlText w:val="•"/>
      <w:lvlJc w:val="left"/>
      <w:pPr>
        <w:ind w:left="4613" w:hanging="361"/>
      </w:pPr>
      <w:rPr>
        <w:rFonts w:hint="default"/>
      </w:rPr>
    </w:lvl>
    <w:lvl w:ilvl="6" w:tentative="0">
      <w:start w:val="0"/>
      <w:numFmt w:val="bullet"/>
      <w:lvlText w:val="•"/>
      <w:lvlJc w:val="left"/>
      <w:pPr>
        <w:ind w:left="5515" w:hanging="361"/>
      </w:pPr>
      <w:rPr>
        <w:rFonts w:hint="default"/>
      </w:rPr>
    </w:lvl>
    <w:lvl w:ilvl="7" w:tentative="0">
      <w:start w:val="0"/>
      <w:numFmt w:val="bullet"/>
      <w:lvlText w:val="•"/>
      <w:lvlJc w:val="left"/>
      <w:pPr>
        <w:ind w:left="6418" w:hanging="361"/>
      </w:pPr>
      <w:rPr>
        <w:rFonts w:hint="default"/>
      </w:rPr>
    </w:lvl>
    <w:lvl w:ilvl="8" w:tentative="0">
      <w:start w:val="0"/>
      <w:numFmt w:val="bullet"/>
      <w:lvlText w:val="•"/>
      <w:lvlJc w:val="left"/>
      <w:pPr>
        <w:ind w:left="7320" w:hanging="361"/>
      </w:pPr>
      <w:rPr>
        <w:rFonts w:hint="default"/>
      </w:rPr>
    </w:lvl>
  </w:abstractNum>
  <w:abstractNum w:abstractNumId="8">
    <w:nsid w:val="024012D0"/>
    <w:multiLevelType w:val="multilevel"/>
    <w:tmpl w:val="024012D0"/>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9">
    <w:nsid w:val="0E3E05E7"/>
    <w:multiLevelType w:val="multilevel"/>
    <w:tmpl w:val="0E3E05E7"/>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25D80AF4"/>
    <w:multiLevelType w:val="multilevel"/>
    <w:tmpl w:val="25D80AF4"/>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283C4915"/>
    <w:multiLevelType w:val="singleLevel"/>
    <w:tmpl w:val="283C4915"/>
    <w:lvl w:ilvl="0" w:tentative="0">
      <w:start w:val="1"/>
      <w:numFmt w:val="decimal"/>
      <w:suff w:val="space"/>
      <w:lvlText w:val="（%1）"/>
      <w:lvlJc w:val="left"/>
    </w:lvl>
  </w:abstractNum>
  <w:abstractNum w:abstractNumId="13">
    <w:nsid w:val="297241D1"/>
    <w:multiLevelType w:val="multilevel"/>
    <w:tmpl w:val="297241D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2DC80B06"/>
    <w:multiLevelType w:val="multilevel"/>
    <w:tmpl w:val="2DC80B06"/>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5">
    <w:nsid w:val="36BA4641"/>
    <w:multiLevelType w:val="multilevel"/>
    <w:tmpl w:val="36BA464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4056568E"/>
    <w:multiLevelType w:val="multilevel"/>
    <w:tmpl w:val="4056568E"/>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7">
    <w:nsid w:val="5A360EEB"/>
    <w:multiLevelType w:val="multilevel"/>
    <w:tmpl w:val="5A360EEB"/>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5B691D0A"/>
    <w:multiLevelType w:val="multilevel"/>
    <w:tmpl w:val="5B691D0A"/>
    <w:lvl w:ilvl="0" w:tentative="0">
      <w:start w:val="1"/>
      <w:numFmt w:val="decimal"/>
      <w:lvlText w:val="（%1）"/>
      <w:lvlJc w:val="left"/>
      <w:pPr>
        <w:tabs>
          <w:tab w:val="left" w:pos="1560"/>
        </w:tabs>
        <w:ind w:left="1560" w:hanging="1080"/>
      </w:pPr>
      <w:rPr>
        <w:rFonts w:hint="eastAsia"/>
      </w:r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5E5A866A"/>
    <w:multiLevelType w:val="singleLevel"/>
    <w:tmpl w:val="5E5A866A"/>
    <w:lvl w:ilvl="0" w:tentative="0">
      <w:start w:val="10"/>
      <w:numFmt w:val="decimal"/>
      <w:suff w:val="space"/>
      <w:lvlText w:val="%1."/>
      <w:lvlJc w:val="left"/>
    </w:lvl>
  </w:abstractNum>
  <w:abstractNum w:abstractNumId="20">
    <w:nsid w:val="62256771"/>
    <w:multiLevelType w:val="multilevel"/>
    <w:tmpl w:val="6225677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64624B5C"/>
    <w:multiLevelType w:val="multilevel"/>
    <w:tmpl w:val="64624B5C"/>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2">
    <w:nsid w:val="64DF7DF1"/>
    <w:multiLevelType w:val="multilevel"/>
    <w:tmpl w:val="64DF7DF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655CEC24"/>
    <w:multiLevelType w:val="singleLevel"/>
    <w:tmpl w:val="655CEC24"/>
    <w:lvl w:ilvl="0" w:tentative="0">
      <w:start w:val="13"/>
      <w:numFmt w:val="chineseCounting"/>
      <w:suff w:val="nothing"/>
      <w:lvlText w:val="%1、"/>
      <w:lvlJc w:val="left"/>
      <w:rPr>
        <w:rFonts w:hint="eastAsia"/>
      </w:rPr>
    </w:lvl>
  </w:abstractNum>
  <w:abstractNum w:abstractNumId="24">
    <w:nsid w:val="6A8425B5"/>
    <w:multiLevelType w:val="multilevel"/>
    <w:tmpl w:val="6A8425B5"/>
    <w:lvl w:ilvl="0" w:tentative="0">
      <w:start w:val="1"/>
      <w:numFmt w:val="decimal"/>
      <w:lvlText w:val="7.3.%1"/>
      <w:lvlJc w:val="left"/>
      <w:pPr>
        <w:ind w:left="2340" w:hanging="420"/>
      </w:pPr>
      <w:rPr>
        <w:rFonts w:hint="eastAsia"/>
      </w:rPr>
    </w:lvl>
    <w:lvl w:ilvl="1" w:tentative="0">
      <w:start w:val="1"/>
      <w:numFmt w:val="lowerLetter"/>
      <w:lvlText w:val="%2)"/>
      <w:lvlJc w:val="left"/>
      <w:pPr>
        <w:ind w:left="2760" w:hanging="420"/>
      </w:pPr>
    </w:lvl>
    <w:lvl w:ilvl="2" w:tentative="0">
      <w:start w:val="1"/>
      <w:numFmt w:val="lowerRoman"/>
      <w:lvlText w:val="%3."/>
      <w:lvlJc w:val="right"/>
      <w:pPr>
        <w:ind w:left="3180" w:hanging="420"/>
      </w:pPr>
    </w:lvl>
    <w:lvl w:ilvl="3" w:tentative="0">
      <w:start w:val="1"/>
      <w:numFmt w:val="decimal"/>
      <w:lvlText w:val="%4."/>
      <w:lvlJc w:val="left"/>
      <w:pPr>
        <w:ind w:left="3600" w:hanging="420"/>
      </w:pPr>
    </w:lvl>
    <w:lvl w:ilvl="4" w:tentative="0">
      <w:start w:val="1"/>
      <w:numFmt w:val="lowerLetter"/>
      <w:lvlText w:val="%5)"/>
      <w:lvlJc w:val="left"/>
      <w:pPr>
        <w:ind w:left="4020" w:hanging="420"/>
      </w:pPr>
    </w:lvl>
    <w:lvl w:ilvl="5" w:tentative="0">
      <w:start w:val="1"/>
      <w:numFmt w:val="lowerRoman"/>
      <w:lvlText w:val="%6."/>
      <w:lvlJc w:val="right"/>
      <w:pPr>
        <w:ind w:left="4440" w:hanging="420"/>
      </w:pPr>
    </w:lvl>
    <w:lvl w:ilvl="6" w:tentative="0">
      <w:start w:val="1"/>
      <w:numFmt w:val="decimal"/>
      <w:lvlText w:val="%7."/>
      <w:lvlJc w:val="left"/>
      <w:pPr>
        <w:ind w:left="4860" w:hanging="420"/>
      </w:pPr>
    </w:lvl>
    <w:lvl w:ilvl="7" w:tentative="0">
      <w:start w:val="1"/>
      <w:numFmt w:val="lowerLetter"/>
      <w:lvlText w:val="%8)"/>
      <w:lvlJc w:val="left"/>
      <w:pPr>
        <w:ind w:left="5280" w:hanging="420"/>
      </w:pPr>
    </w:lvl>
    <w:lvl w:ilvl="8" w:tentative="0">
      <w:start w:val="1"/>
      <w:numFmt w:val="lowerRoman"/>
      <w:lvlText w:val="%9."/>
      <w:lvlJc w:val="right"/>
      <w:pPr>
        <w:ind w:left="5700" w:hanging="420"/>
      </w:pPr>
    </w:lvl>
  </w:abstractNum>
  <w:abstractNum w:abstractNumId="25">
    <w:nsid w:val="6C1074F8"/>
    <w:multiLevelType w:val="multilevel"/>
    <w:tmpl w:val="6C1074F8"/>
    <w:lvl w:ilvl="0" w:tentative="0">
      <w:start w:val="1"/>
      <w:numFmt w:val="decimal"/>
      <w:lvlText w:val="（%1）"/>
      <w:lvlJc w:val="left"/>
      <w:pPr>
        <w:tabs>
          <w:tab w:val="left" w:pos="1110"/>
        </w:tabs>
        <w:ind w:left="1110" w:hanging="510"/>
      </w:pPr>
      <w:rPr>
        <w:rFonts w:hint="eastAsia"/>
        <w:color w:val="000000"/>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26">
    <w:nsid w:val="6C4A1042"/>
    <w:multiLevelType w:val="multilevel"/>
    <w:tmpl w:val="6C4A1042"/>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7">
    <w:nsid w:val="6D953FA2"/>
    <w:multiLevelType w:val="singleLevel"/>
    <w:tmpl w:val="6D953FA2"/>
    <w:lvl w:ilvl="0" w:tentative="0">
      <w:start w:val="1"/>
      <w:numFmt w:val="decimal"/>
      <w:suff w:val="nothing"/>
      <w:lvlText w:val="（%1）"/>
      <w:lvlJc w:val="left"/>
    </w:lvl>
  </w:abstractNum>
  <w:abstractNum w:abstractNumId="28">
    <w:nsid w:val="73A55E2C"/>
    <w:multiLevelType w:val="multilevel"/>
    <w:tmpl w:val="73A55E2C"/>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7BE858F9"/>
    <w:multiLevelType w:val="multilevel"/>
    <w:tmpl w:val="7BE858F9"/>
    <w:lvl w:ilvl="0" w:tentative="0">
      <w:start w:val="1"/>
      <w:numFmt w:val="decimal"/>
      <w:lvlText w:val="（%1）"/>
      <w:lvlJc w:val="left"/>
      <w:pPr>
        <w:ind w:left="2340" w:hanging="720"/>
      </w:pPr>
      <w:rPr>
        <w:rFonts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30">
    <w:nsid w:val="7E43197E"/>
    <w:multiLevelType w:val="multilevel"/>
    <w:tmpl w:val="7E43197E"/>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27"/>
  </w:num>
  <w:num w:numId="2">
    <w:abstractNumId w:val="1"/>
  </w:num>
  <w:num w:numId="3">
    <w:abstractNumId w:val="6"/>
  </w:num>
  <w:num w:numId="4">
    <w:abstractNumId w:val="12"/>
  </w:num>
  <w:num w:numId="5">
    <w:abstractNumId w:val="24"/>
  </w:num>
  <w:num w:numId="6">
    <w:abstractNumId w:val="25"/>
  </w:num>
  <w:num w:numId="7">
    <w:abstractNumId w:val="2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21"/>
  </w:num>
  <w:num w:numId="11">
    <w:abstractNumId w:val="16"/>
  </w:num>
  <w:num w:numId="12">
    <w:abstractNumId w:val="14"/>
  </w:num>
  <w:num w:numId="13">
    <w:abstractNumId w:val="26"/>
  </w:num>
  <w:num w:numId="14">
    <w:abstractNumId w:val="15"/>
  </w:num>
  <w:num w:numId="15">
    <w:abstractNumId w:val="9"/>
  </w:num>
  <w:num w:numId="16">
    <w:abstractNumId w:val="11"/>
  </w:num>
  <w:num w:numId="17">
    <w:abstractNumId w:val="28"/>
  </w:num>
  <w:num w:numId="18">
    <w:abstractNumId w:val="30"/>
  </w:num>
  <w:num w:numId="19">
    <w:abstractNumId w:val="13"/>
  </w:num>
  <w:num w:numId="20">
    <w:abstractNumId w:val="18"/>
  </w:num>
  <w:num w:numId="21">
    <w:abstractNumId w:val="17"/>
  </w:num>
  <w:num w:numId="22">
    <w:abstractNumId w:val="22"/>
  </w:num>
  <w:num w:numId="23">
    <w:abstractNumId w:val="29"/>
  </w:num>
  <w:num w:numId="24">
    <w:abstractNumId w:val="19"/>
  </w:num>
  <w:num w:numId="25">
    <w:abstractNumId w:val="0"/>
  </w:num>
  <w:num w:numId="26">
    <w:abstractNumId w:val="2"/>
  </w:num>
  <w:num w:numId="27">
    <w:abstractNumId w:val="5"/>
  </w:num>
  <w:num w:numId="28">
    <w:abstractNumId w:val="4"/>
  </w:num>
  <w:num w:numId="29">
    <w:abstractNumId w:val="7"/>
  </w:num>
  <w:num w:numId="30">
    <w:abstractNumId w:val="3"/>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hyphenationZone w:val="360"/>
  <w:displayHorizontalDrawingGridEvery w:val="1"/>
  <w:displayVerticalDrawingGridEvery w:val="1"/>
  <w:noPunctuationKerning w:val="1"/>
  <w:characterSpacingControl w:val="compressPunctuation"/>
  <w:hdrShapeDefaults>
    <o:shapelayout v:ext="edit">
      <o:idmap v:ext="edit" data="2"/>
    </o:shapelayout>
  </w:hdrShapeDefaults>
  <w:endnotePr>
    <w:numFmt w:val="decimal"/>
  </w:endnotePr>
  <w:compat>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wMTFkMDI3ZjBmZjczM2Q3M2EwOGI5M2VjYzUzMDkifQ=="/>
  </w:docVars>
  <w:rsids>
    <w:rsidRoot w:val="00172A27"/>
    <w:rsid w:val="0000618F"/>
    <w:rsid w:val="00087253"/>
    <w:rsid w:val="0010781C"/>
    <w:rsid w:val="00146E6D"/>
    <w:rsid w:val="00155487"/>
    <w:rsid w:val="00194F2C"/>
    <w:rsid w:val="00204CA2"/>
    <w:rsid w:val="0022325F"/>
    <w:rsid w:val="002A767E"/>
    <w:rsid w:val="002B4323"/>
    <w:rsid w:val="002B499F"/>
    <w:rsid w:val="002D32E6"/>
    <w:rsid w:val="002F701C"/>
    <w:rsid w:val="00370048"/>
    <w:rsid w:val="00394AC4"/>
    <w:rsid w:val="003B4918"/>
    <w:rsid w:val="00417D4F"/>
    <w:rsid w:val="0046375D"/>
    <w:rsid w:val="004D066F"/>
    <w:rsid w:val="00542AFE"/>
    <w:rsid w:val="0055134C"/>
    <w:rsid w:val="005574FC"/>
    <w:rsid w:val="005A17EE"/>
    <w:rsid w:val="005A4794"/>
    <w:rsid w:val="005B41F4"/>
    <w:rsid w:val="005E3316"/>
    <w:rsid w:val="005E3FD2"/>
    <w:rsid w:val="005F4B5D"/>
    <w:rsid w:val="00603C65"/>
    <w:rsid w:val="006A5AF0"/>
    <w:rsid w:val="007F18BF"/>
    <w:rsid w:val="008C4D7C"/>
    <w:rsid w:val="008F4EC0"/>
    <w:rsid w:val="0097787F"/>
    <w:rsid w:val="00987258"/>
    <w:rsid w:val="009939B8"/>
    <w:rsid w:val="009C69A7"/>
    <w:rsid w:val="009C7EFC"/>
    <w:rsid w:val="009F006A"/>
    <w:rsid w:val="00A26BD6"/>
    <w:rsid w:val="00A8188B"/>
    <w:rsid w:val="00AA0ACE"/>
    <w:rsid w:val="00B372F6"/>
    <w:rsid w:val="00BE00D0"/>
    <w:rsid w:val="00C14B91"/>
    <w:rsid w:val="00C62B7B"/>
    <w:rsid w:val="00EB60B2"/>
    <w:rsid w:val="00EC0027"/>
    <w:rsid w:val="00ED133B"/>
    <w:rsid w:val="00ED5A25"/>
    <w:rsid w:val="00F572AD"/>
    <w:rsid w:val="00FA4C69"/>
    <w:rsid w:val="00FC4AC0"/>
    <w:rsid w:val="011949CD"/>
    <w:rsid w:val="01203FAE"/>
    <w:rsid w:val="013B3F9D"/>
    <w:rsid w:val="01555E6C"/>
    <w:rsid w:val="015E45A4"/>
    <w:rsid w:val="015F4723"/>
    <w:rsid w:val="016245C6"/>
    <w:rsid w:val="01792D23"/>
    <w:rsid w:val="01846B57"/>
    <w:rsid w:val="01907210"/>
    <w:rsid w:val="01967DCC"/>
    <w:rsid w:val="019E60FF"/>
    <w:rsid w:val="01A06E9D"/>
    <w:rsid w:val="01AC184D"/>
    <w:rsid w:val="01B33237"/>
    <w:rsid w:val="01B91D0C"/>
    <w:rsid w:val="01CB6B26"/>
    <w:rsid w:val="01CE455B"/>
    <w:rsid w:val="01D91895"/>
    <w:rsid w:val="01E274B5"/>
    <w:rsid w:val="01E46D29"/>
    <w:rsid w:val="01EA3BB2"/>
    <w:rsid w:val="01F351A2"/>
    <w:rsid w:val="02001FB6"/>
    <w:rsid w:val="020E6922"/>
    <w:rsid w:val="0215430E"/>
    <w:rsid w:val="021B6523"/>
    <w:rsid w:val="02301FCF"/>
    <w:rsid w:val="02356E74"/>
    <w:rsid w:val="02382989"/>
    <w:rsid w:val="0245358F"/>
    <w:rsid w:val="024E0A5E"/>
    <w:rsid w:val="02525FE0"/>
    <w:rsid w:val="02787994"/>
    <w:rsid w:val="027F102D"/>
    <w:rsid w:val="02B250DA"/>
    <w:rsid w:val="02DF57A3"/>
    <w:rsid w:val="02F608AE"/>
    <w:rsid w:val="03062FF8"/>
    <w:rsid w:val="031E7D2F"/>
    <w:rsid w:val="032633D2"/>
    <w:rsid w:val="033124A2"/>
    <w:rsid w:val="03312F93"/>
    <w:rsid w:val="033C60AA"/>
    <w:rsid w:val="03451AAA"/>
    <w:rsid w:val="034E7D05"/>
    <w:rsid w:val="0359343E"/>
    <w:rsid w:val="037E6D6A"/>
    <w:rsid w:val="03972D7B"/>
    <w:rsid w:val="03B40AFE"/>
    <w:rsid w:val="03E16EAF"/>
    <w:rsid w:val="03EE1218"/>
    <w:rsid w:val="03F62DA4"/>
    <w:rsid w:val="04071455"/>
    <w:rsid w:val="04074FB1"/>
    <w:rsid w:val="04321072"/>
    <w:rsid w:val="044D0AA8"/>
    <w:rsid w:val="04676213"/>
    <w:rsid w:val="047A5783"/>
    <w:rsid w:val="04934A97"/>
    <w:rsid w:val="04945110"/>
    <w:rsid w:val="04955CF5"/>
    <w:rsid w:val="04CE02C4"/>
    <w:rsid w:val="04D74983"/>
    <w:rsid w:val="04F9438A"/>
    <w:rsid w:val="05280493"/>
    <w:rsid w:val="053F5205"/>
    <w:rsid w:val="05464B78"/>
    <w:rsid w:val="054767E1"/>
    <w:rsid w:val="0562030E"/>
    <w:rsid w:val="059705B7"/>
    <w:rsid w:val="05AF5475"/>
    <w:rsid w:val="05C3315A"/>
    <w:rsid w:val="05CE64CC"/>
    <w:rsid w:val="05DE7EC1"/>
    <w:rsid w:val="05E57574"/>
    <w:rsid w:val="05E82BC0"/>
    <w:rsid w:val="0607573C"/>
    <w:rsid w:val="0609539B"/>
    <w:rsid w:val="060E6ACB"/>
    <w:rsid w:val="06146239"/>
    <w:rsid w:val="061A210C"/>
    <w:rsid w:val="062624CB"/>
    <w:rsid w:val="063522A9"/>
    <w:rsid w:val="063812F1"/>
    <w:rsid w:val="06466D03"/>
    <w:rsid w:val="066606B5"/>
    <w:rsid w:val="066D591C"/>
    <w:rsid w:val="06885420"/>
    <w:rsid w:val="068C635E"/>
    <w:rsid w:val="06922FA1"/>
    <w:rsid w:val="069E0C11"/>
    <w:rsid w:val="06A70AC2"/>
    <w:rsid w:val="06C54C7C"/>
    <w:rsid w:val="06C673A5"/>
    <w:rsid w:val="06D25D4A"/>
    <w:rsid w:val="06D47CA8"/>
    <w:rsid w:val="06E94E42"/>
    <w:rsid w:val="06F145D5"/>
    <w:rsid w:val="06F603FE"/>
    <w:rsid w:val="06FA0DFD"/>
    <w:rsid w:val="06FE24DC"/>
    <w:rsid w:val="07081FF5"/>
    <w:rsid w:val="07190F4E"/>
    <w:rsid w:val="07414C7E"/>
    <w:rsid w:val="0753678F"/>
    <w:rsid w:val="078723F4"/>
    <w:rsid w:val="07A12B96"/>
    <w:rsid w:val="07A60424"/>
    <w:rsid w:val="07C05875"/>
    <w:rsid w:val="07CE4C09"/>
    <w:rsid w:val="07D01B5E"/>
    <w:rsid w:val="07F65825"/>
    <w:rsid w:val="08096ED2"/>
    <w:rsid w:val="081B54CF"/>
    <w:rsid w:val="081E779D"/>
    <w:rsid w:val="08217C0B"/>
    <w:rsid w:val="082223BA"/>
    <w:rsid w:val="0824785C"/>
    <w:rsid w:val="082C4FE6"/>
    <w:rsid w:val="084C38DA"/>
    <w:rsid w:val="085A20A1"/>
    <w:rsid w:val="086230FE"/>
    <w:rsid w:val="086710EB"/>
    <w:rsid w:val="08A47F9D"/>
    <w:rsid w:val="08AA43A9"/>
    <w:rsid w:val="08B17BE1"/>
    <w:rsid w:val="08BF5E5A"/>
    <w:rsid w:val="08E42E64"/>
    <w:rsid w:val="08E458C1"/>
    <w:rsid w:val="08F97E3C"/>
    <w:rsid w:val="090F1EE9"/>
    <w:rsid w:val="09304DFC"/>
    <w:rsid w:val="094822F4"/>
    <w:rsid w:val="096D1A96"/>
    <w:rsid w:val="09967928"/>
    <w:rsid w:val="099F3726"/>
    <w:rsid w:val="09BD1118"/>
    <w:rsid w:val="09C51A1E"/>
    <w:rsid w:val="09D260D7"/>
    <w:rsid w:val="09D92F4C"/>
    <w:rsid w:val="0A0006F5"/>
    <w:rsid w:val="0A0A2E31"/>
    <w:rsid w:val="0A1314E2"/>
    <w:rsid w:val="0A1B5312"/>
    <w:rsid w:val="0A240315"/>
    <w:rsid w:val="0A37311D"/>
    <w:rsid w:val="0A413535"/>
    <w:rsid w:val="0A6A0E49"/>
    <w:rsid w:val="0A6C70A7"/>
    <w:rsid w:val="0A6E4F28"/>
    <w:rsid w:val="0A8B6674"/>
    <w:rsid w:val="0A90413B"/>
    <w:rsid w:val="0AA03859"/>
    <w:rsid w:val="0ACA6D38"/>
    <w:rsid w:val="0AE14D6E"/>
    <w:rsid w:val="0AE54B4C"/>
    <w:rsid w:val="0AFA625F"/>
    <w:rsid w:val="0B006C75"/>
    <w:rsid w:val="0B2203FB"/>
    <w:rsid w:val="0B7E06E0"/>
    <w:rsid w:val="0B8B64C8"/>
    <w:rsid w:val="0B942449"/>
    <w:rsid w:val="0BBD6FE4"/>
    <w:rsid w:val="0BCB4B16"/>
    <w:rsid w:val="0BD55995"/>
    <w:rsid w:val="0BEB5738"/>
    <w:rsid w:val="0BEE2CAE"/>
    <w:rsid w:val="0C021E64"/>
    <w:rsid w:val="0C094814"/>
    <w:rsid w:val="0C0E44B1"/>
    <w:rsid w:val="0C2C6001"/>
    <w:rsid w:val="0C3C5A14"/>
    <w:rsid w:val="0C496300"/>
    <w:rsid w:val="0C5403D6"/>
    <w:rsid w:val="0C59659F"/>
    <w:rsid w:val="0C611206"/>
    <w:rsid w:val="0C937093"/>
    <w:rsid w:val="0C9D13EF"/>
    <w:rsid w:val="0CB87790"/>
    <w:rsid w:val="0CC57965"/>
    <w:rsid w:val="0CC954FA"/>
    <w:rsid w:val="0CF978B9"/>
    <w:rsid w:val="0CFF7179"/>
    <w:rsid w:val="0D04094F"/>
    <w:rsid w:val="0D132C19"/>
    <w:rsid w:val="0D2E393D"/>
    <w:rsid w:val="0D3938B1"/>
    <w:rsid w:val="0D3C7DAF"/>
    <w:rsid w:val="0D3D766C"/>
    <w:rsid w:val="0D49663A"/>
    <w:rsid w:val="0D5A1EB8"/>
    <w:rsid w:val="0D7D074B"/>
    <w:rsid w:val="0D7F66E5"/>
    <w:rsid w:val="0D8E057B"/>
    <w:rsid w:val="0D9F2A26"/>
    <w:rsid w:val="0DB7190D"/>
    <w:rsid w:val="0DC363ED"/>
    <w:rsid w:val="0DC43F13"/>
    <w:rsid w:val="0DC82E31"/>
    <w:rsid w:val="0DC94D19"/>
    <w:rsid w:val="0DCD726B"/>
    <w:rsid w:val="0DD54741"/>
    <w:rsid w:val="0DE3273C"/>
    <w:rsid w:val="0DE85E53"/>
    <w:rsid w:val="0E0B3969"/>
    <w:rsid w:val="0E0F7C20"/>
    <w:rsid w:val="0E122ED0"/>
    <w:rsid w:val="0E252C04"/>
    <w:rsid w:val="0E3050CF"/>
    <w:rsid w:val="0E6260E4"/>
    <w:rsid w:val="0E67321C"/>
    <w:rsid w:val="0E692DCD"/>
    <w:rsid w:val="0E7B3B2B"/>
    <w:rsid w:val="0E807E3A"/>
    <w:rsid w:val="0E877FF8"/>
    <w:rsid w:val="0EA31869"/>
    <w:rsid w:val="0EB06BF1"/>
    <w:rsid w:val="0EC71F0D"/>
    <w:rsid w:val="0ED2274F"/>
    <w:rsid w:val="0EF23FAF"/>
    <w:rsid w:val="0EF44384"/>
    <w:rsid w:val="0EFB55A8"/>
    <w:rsid w:val="0F0E5742"/>
    <w:rsid w:val="0F145BD2"/>
    <w:rsid w:val="0F3054A7"/>
    <w:rsid w:val="0F3348CF"/>
    <w:rsid w:val="0F380715"/>
    <w:rsid w:val="0F392187"/>
    <w:rsid w:val="0F4075C9"/>
    <w:rsid w:val="0F5B5524"/>
    <w:rsid w:val="0F6248F5"/>
    <w:rsid w:val="0F6414FF"/>
    <w:rsid w:val="0F6971EC"/>
    <w:rsid w:val="0F6E05DA"/>
    <w:rsid w:val="0F7939B0"/>
    <w:rsid w:val="0F957168"/>
    <w:rsid w:val="0F96505F"/>
    <w:rsid w:val="0F9977AB"/>
    <w:rsid w:val="0FD06B9F"/>
    <w:rsid w:val="0FED3546"/>
    <w:rsid w:val="10106E02"/>
    <w:rsid w:val="102C4678"/>
    <w:rsid w:val="102F2921"/>
    <w:rsid w:val="10685029"/>
    <w:rsid w:val="107B371A"/>
    <w:rsid w:val="108005C5"/>
    <w:rsid w:val="108D7E56"/>
    <w:rsid w:val="10AC760C"/>
    <w:rsid w:val="10B262A5"/>
    <w:rsid w:val="10BE16A3"/>
    <w:rsid w:val="11013C67"/>
    <w:rsid w:val="11141361"/>
    <w:rsid w:val="11172FFF"/>
    <w:rsid w:val="11187EDE"/>
    <w:rsid w:val="111F6277"/>
    <w:rsid w:val="114809B7"/>
    <w:rsid w:val="114C7209"/>
    <w:rsid w:val="11607092"/>
    <w:rsid w:val="11866494"/>
    <w:rsid w:val="118916FB"/>
    <w:rsid w:val="11AF5B1B"/>
    <w:rsid w:val="11B947A9"/>
    <w:rsid w:val="11CA6F5D"/>
    <w:rsid w:val="11D75F88"/>
    <w:rsid w:val="11FE4CEC"/>
    <w:rsid w:val="12047522"/>
    <w:rsid w:val="12244674"/>
    <w:rsid w:val="124318AA"/>
    <w:rsid w:val="12466C22"/>
    <w:rsid w:val="125735A8"/>
    <w:rsid w:val="125B6BB7"/>
    <w:rsid w:val="125E4936"/>
    <w:rsid w:val="125F3CE5"/>
    <w:rsid w:val="12720EF7"/>
    <w:rsid w:val="12802811"/>
    <w:rsid w:val="12813C52"/>
    <w:rsid w:val="128D3DF0"/>
    <w:rsid w:val="1299771C"/>
    <w:rsid w:val="129A2687"/>
    <w:rsid w:val="12A75FC1"/>
    <w:rsid w:val="12AF0CEE"/>
    <w:rsid w:val="12B44556"/>
    <w:rsid w:val="12B5207C"/>
    <w:rsid w:val="12E20C42"/>
    <w:rsid w:val="12EC1F42"/>
    <w:rsid w:val="12EE08A5"/>
    <w:rsid w:val="12FD7DFA"/>
    <w:rsid w:val="13005851"/>
    <w:rsid w:val="13223BB5"/>
    <w:rsid w:val="13256750"/>
    <w:rsid w:val="133A3D63"/>
    <w:rsid w:val="135F434B"/>
    <w:rsid w:val="13655850"/>
    <w:rsid w:val="1376765A"/>
    <w:rsid w:val="138228A6"/>
    <w:rsid w:val="13826A05"/>
    <w:rsid w:val="139070E5"/>
    <w:rsid w:val="13974BA2"/>
    <w:rsid w:val="13A037D7"/>
    <w:rsid w:val="13A03E47"/>
    <w:rsid w:val="13A24CF6"/>
    <w:rsid w:val="13AE369B"/>
    <w:rsid w:val="13C262C9"/>
    <w:rsid w:val="13CA6005"/>
    <w:rsid w:val="13D331F7"/>
    <w:rsid w:val="13D75F38"/>
    <w:rsid w:val="13EF6631"/>
    <w:rsid w:val="14063F47"/>
    <w:rsid w:val="14180B15"/>
    <w:rsid w:val="141F00F5"/>
    <w:rsid w:val="143F42F3"/>
    <w:rsid w:val="144953C8"/>
    <w:rsid w:val="14551885"/>
    <w:rsid w:val="145C06AD"/>
    <w:rsid w:val="14682B31"/>
    <w:rsid w:val="146F6962"/>
    <w:rsid w:val="14744B0F"/>
    <w:rsid w:val="14AC12D8"/>
    <w:rsid w:val="14B62339"/>
    <w:rsid w:val="14BF71E2"/>
    <w:rsid w:val="14FB4178"/>
    <w:rsid w:val="15195C3E"/>
    <w:rsid w:val="15436571"/>
    <w:rsid w:val="154C5A4B"/>
    <w:rsid w:val="154F0566"/>
    <w:rsid w:val="154F67B8"/>
    <w:rsid w:val="15753A23"/>
    <w:rsid w:val="158521DA"/>
    <w:rsid w:val="1589459B"/>
    <w:rsid w:val="15911DFF"/>
    <w:rsid w:val="15913019"/>
    <w:rsid w:val="15A22503"/>
    <w:rsid w:val="15AC76C1"/>
    <w:rsid w:val="15B50D11"/>
    <w:rsid w:val="15B95830"/>
    <w:rsid w:val="15C60441"/>
    <w:rsid w:val="15DA0679"/>
    <w:rsid w:val="15DB004C"/>
    <w:rsid w:val="15DB44F0"/>
    <w:rsid w:val="15DC38FB"/>
    <w:rsid w:val="15E637C0"/>
    <w:rsid w:val="15EE05F4"/>
    <w:rsid w:val="15F86E50"/>
    <w:rsid w:val="163151CF"/>
    <w:rsid w:val="166D1180"/>
    <w:rsid w:val="167322FF"/>
    <w:rsid w:val="16744934"/>
    <w:rsid w:val="167D36C1"/>
    <w:rsid w:val="168D7598"/>
    <w:rsid w:val="16976668"/>
    <w:rsid w:val="16C11A90"/>
    <w:rsid w:val="16C22171"/>
    <w:rsid w:val="16D36815"/>
    <w:rsid w:val="16D546A7"/>
    <w:rsid w:val="16D87B29"/>
    <w:rsid w:val="16DB7EC5"/>
    <w:rsid w:val="16DD3446"/>
    <w:rsid w:val="16DE63D0"/>
    <w:rsid w:val="16E16DCE"/>
    <w:rsid w:val="16F2389F"/>
    <w:rsid w:val="16FA2753"/>
    <w:rsid w:val="17011D34"/>
    <w:rsid w:val="1703020F"/>
    <w:rsid w:val="17052605"/>
    <w:rsid w:val="170A37E3"/>
    <w:rsid w:val="170F61FF"/>
    <w:rsid w:val="17123C42"/>
    <w:rsid w:val="171B2DF6"/>
    <w:rsid w:val="1723614E"/>
    <w:rsid w:val="172901D3"/>
    <w:rsid w:val="172D0D7B"/>
    <w:rsid w:val="172D2B29"/>
    <w:rsid w:val="17435EA8"/>
    <w:rsid w:val="17481711"/>
    <w:rsid w:val="174F6F43"/>
    <w:rsid w:val="1753089F"/>
    <w:rsid w:val="175511DD"/>
    <w:rsid w:val="175B1444"/>
    <w:rsid w:val="178C3CF3"/>
    <w:rsid w:val="17920BDE"/>
    <w:rsid w:val="179F786C"/>
    <w:rsid w:val="17A32DEB"/>
    <w:rsid w:val="17B615F2"/>
    <w:rsid w:val="17CA0378"/>
    <w:rsid w:val="17E551B2"/>
    <w:rsid w:val="17EA5200"/>
    <w:rsid w:val="17F047C7"/>
    <w:rsid w:val="17FE0EF6"/>
    <w:rsid w:val="180233B3"/>
    <w:rsid w:val="180C273E"/>
    <w:rsid w:val="18147845"/>
    <w:rsid w:val="182B350C"/>
    <w:rsid w:val="185D7A07"/>
    <w:rsid w:val="18644751"/>
    <w:rsid w:val="18685523"/>
    <w:rsid w:val="186C4D4D"/>
    <w:rsid w:val="187327BD"/>
    <w:rsid w:val="18866995"/>
    <w:rsid w:val="188744BB"/>
    <w:rsid w:val="188A6AA5"/>
    <w:rsid w:val="18916EE0"/>
    <w:rsid w:val="18956BD8"/>
    <w:rsid w:val="189A5F9C"/>
    <w:rsid w:val="18A500BF"/>
    <w:rsid w:val="18CC7F75"/>
    <w:rsid w:val="18D30F86"/>
    <w:rsid w:val="18D76CF0"/>
    <w:rsid w:val="18DC4807"/>
    <w:rsid w:val="18E851EE"/>
    <w:rsid w:val="18F02060"/>
    <w:rsid w:val="19037FE5"/>
    <w:rsid w:val="19173A91"/>
    <w:rsid w:val="191A36DA"/>
    <w:rsid w:val="19307588"/>
    <w:rsid w:val="193079B6"/>
    <w:rsid w:val="193901D2"/>
    <w:rsid w:val="19400C2A"/>
    <w:rsid w:val="194C40F0"/>
    <w:rsid w:val="194F2A3A"/>
    <w:rsid w:val="19595E57"/>
    <w:rsid w:val="1971BD8F"/>
    <w:rsid w:val="1973153B"/>
    <w:rsid w:val="198815BA"/>
    <w:rsid w:val="1995404C"/>
    <w:rsid w:val="19967231"/>
    <w:rsid w:val="19A749BC"/>
    <w:rsid w:val="19A95C78"/>
    <w:rsid w:val="19B925CE"/>
    <w:rsid w:val="19BA4753"/>
    <w:rsid w:val="19D47239"/>
    <w:rsid w:val="19EE0FF5"/>
    <w:rsid w:val="19F26E0C"/>
    <w:rsid w:val="1A0D3A84"/>
    <w:rsid w:val="1A0E6C42"/>
    <w:rsid w:val="1A2C0901"/>
    <w:rsid w:val="1A334B07"/>
    <w:rsid w:val="1A363574"/>
    <w:rsid w:val="1A3C06A7"/>
    <w:rsid w:val="1A3D7527"/>
    <w:rsid w:val="1A613215"/>
    <w:rsid w:val="1A647218"/>
    <w:rsid w:val="1A756AD6"/>
    <w:rsid w:val="1A7A0815"/>
    <w:rsid w:val="1A8E42E5"/>
    <w:rsid w:val="1A9A0068"/>
    <w:rsid w:val="1AAB623F"/>
    <w:rsid w:val="1AAC140F"/>
    <w:rsid w:val="1AC477C0"/>
    <w:rsid w:val="1ACC474B"/>
    <w:rsid w:val="1AD11A1D"/>
    <w:rsid w:val="1AE04B73"/>
    <w:rsid w:val="1AE76442"/>
    <w:rsid w:val="1AF476AD"/>
    <w:rsid w:val="1AF5403A"/>
    <w:rsid w:val="1AFF11C3"/>
    <w:rsid w:val="1B0B66F8"/>
    <w:rsid w:val="1B0C3D66"/>
    <w:rsid w:val="1B11643C"/>
    <w:rsid w:val="1B1A7082"/>
    <w:rsid w:val="1B4B06D5"/>
    <w:rsid w:val="1B5C5B5F"/>
    <w:rsid w:val="1B711F26"/>
    <w:rsid w:val="1B734D6E"/>
    <w:rsid w:val="1B740D26"/>
    <w:rsid w:val="1B9B4505"/>
    <w:rsid w:val="1B9C202B"/>
    <w:rsid w:val="1B9D02A7"/>
    <w:rsid w:val="1BA00681"/>
    <w:rsid w:val="1BA513E1"/>
    <w:rsid w:val="1BC752FA"/>
    <w:rsid w:val="1BC872C4"/>
    <w:rsid w:val="1BF80424"/>
    <w:rsid w:val="1C2D4FF0"/>
    <w:rsid w:val="1C3B7A0D"/>
    <w:rsid w:val="1C4050AC"/>
    <w:rsid w:val="1C4A7806"/>
    <w:rsid w:val="1C4C57FF"/>
    <w:rsid w:val="1C5E75FF"/>
    <w:rsid w:val="1C6711EE"/>
    <w:rsid w:val="1C694603"/>
    <w:rsid w:val="1C6A3A67"/>
    <w:rsid w:val="1C6A689E"/>
    <w:rsid w:val="1C71406A"/>
    <w:rsid w:val="1C760ACE"/>
    <w:rsid w:val="1C8F393E"/>
    <w:rsid w:val="1C977F89"/>
    <w:rsid w:val="1C9D605B"/>
    <w:rsid w:val="1CA04CCC"/>
    <w:rsid w:val="1CA56495"/>
    <w:rsid w:val="1CBD7CDF"/>
    <w:rsid w:val="1CD3147D"/>
    <w:rsid w:val="1CDA7840"/>
    <w:rsid w:val="1CEC3AA6"/>
    <w:rsid w:val="1CF87735"/>
    <w:rsid w:val="1CF93072"/>
    <w:rsid w:val="1D024AC7"/>
    <w:rsid w:val="1D0F1348"/>
    <w:rsid w:val="1D2E5AEE"/>
    <w:rsid w:val="1D2F2587"/>
    <w:rsid w:val="1D3E783E"/>
    <w:rsid w:val="1D5A71E1"/>
    <w:rsid w:val="1D81790A"/>
    <w:rsid w:val="1D902173"/>
    <w:rsid w:val="1D923E12"/>
    <w:rsid w:val="1D9531D6"/>
    <w:rsid w:val="1DD40CBA"/>
    <w:rsid w:val="1DF443A0"/>
    <w:rsid w:val="1E17361E"/>
    <w:rsid w:val="1E2B09F5"/>
    <w:rsid w:val="1E430E84"/>
    <w:rsid w:val="1E4671A6"/>
    <w:rsid w:val="1E4D2A49"/>
    <w:rsid w:val="1E5B5378"/>
    <w:rsid w:val="1E7B4313"/>
    <w:rsid w:val="1E8A362D"/>
    <w:rsid w:val="1E9217B7"/>
    <w:rsid w:val="1E99357E"/>
    <w:rsid w:val="1EA4705E"/>
    <w:rsid w:val="1EC51899"/>
    <w:rsid w:val="1ECA3968"/>
    <w:rsid w:val="1ECC0E79"/>
    <w:rsid w:val="1EDF0CE8"/>
    <w:rsid w:val="1EDF46B8"/>
    <w:rsid w:val="1F0C74C8"/>
    <w:rsid w:val="1F1A2C26"/>
    <w:rsid w:val="1F510DCE"/>
    <w:rsid w:val="1F52137F"/>
    <w:rsid w:val="1F5656AF"/>
    <w:rsid w:val="1F58424B"/>
    <w:rsid w:val="1F697925"/>
    <w:rsid w:val="1F8C510C"/>
    <w:rsid w:val="1F9D85AE"/>
    <w:rsid w:val="1FA005D7"/>
    <w:rsid w:val="1FB04B5B"/>
    <w:rsid w:val="1FB40682"/>
    <w:rsid w:val="1FBC2C9C"/>
    <w:rsid w:val="1FC11EA9"/>
    <w:rsid w:val="1FC14756"/>
    <w:rsid w:val="1FC35DD8"/>
    <w:rsid w:val="1FCB2EDF"/>
    <w:rsid w:val="1FD71884"/>
    <w:rsid w:val="1FE02E2E"/>
    <w:rsid w:val="1FEB3031"/>
    <w:rsid w:val="203E1903"/>
    <w:rsid w:val="20592BE1"/>
    <w:rsid w:val="2069626E"/>
    <w:rsid w:val="20795048"/>
    <w:rsid w:val="207D5C79"/>
    <w:rsid w:val="20A13715"/>
    <w:rsid w:val="20B34D04"/>
    <w:rsid w:val="20C20786"/>
    <w:rsid w:val="20E1356A"/>
    <w:rsid w:val="20E64C1A"/>
    <w:rsid w:val="20E91C57"/>
    <w:rsid w:val="20EF0E4F"/>
    <w:rsid w:val="20F621DE"/>
    <w:rsid w:val="20F67A58"/>
    <w:rsid w:val="20F841A8"/>
    <w:rsid w:val="211378B1"/>
    <w:rsid w:val="212C5BFF"/>
    <w:rsid w:val="214A01DA"/>
    <w:rsid w:val="215826BF"/>
    <w:rsid w:val="216E0B21"/>
    <w:rsid w:val="21712744"/>
    <w:rsid w:val="218C669E"/>
    <w:rsid w:val="21937A2C"/>
    <w:rsid w:val="21956353"/>
    <w:rsid w:val="219739C1"/>
    <w:rsid w:val="21BD0EBB"/>
    <w:rsid w:val="21D30173"/>
    <w:rsid w:val="21D43CAD"/>
    <w:rsid w:val="21D8332C"/>
    <w:rsid w:val="21EB3DBB"/>
    <w:rsid w:val="220947FF"/>
    <w:rsid w:val="220A23E4"/>
    <w:rsid w:val="221943D6"/>
    <w:rsid w:val="22250FCC"/>
    <w:rsid w:val="22386CFF"/>
    <w:rsid w:val="223C00C4"/>
    <w:rsid w:val="223D337B"/>
    <w:rsid w:val="225C5A76"/>
    <w:rsid w:val="22621A13"/>
    <w:rsid w:val="226314FA"/>
    <w:rsid w:val="22756086"/>
    <w:rsid w:val="22804455"/>
    <w:rsid w:val="229E2B2D"/>
    <w:rsid w:val="22A33857"/>
    <w:rsid w:val="22B325B7"/>
    <w:rsid w:val="22D12F02"/>
    <w:rsid w:val="22DB2D85"/>
    <w:rsid w:val="23474F72"/>
    <w:rsid w:val="234823FE"/>
    <w:rsid w:val="2353120A"/>
    <w:rsid w:val="237C3F4E"/>
    <w:rsid w:val="237F2A5C"/>
    <w:rsid w:val="239006C7"/>
    <w:rsid w:val="23A77A72"/>
    <w:rsid w:val="23AC3027"/>
    <w:rsid w:val="23BE0A31"/>
    <w:rsid w:val="23DD5001"/>
    <w:rsid w:val="23E23456"/>
    <w:rsid w:val="23E46C65"/>
    <w:rsid w:val="23F720F0"/>
    <w:rsid w:val="240370EB"/>
    <w:rsid w:val="2428467C"/>
    <w:rsid w:val="24545B99"/>
    <w:rsid w:val="247516A7"/>
    <w:rsid w:val="247E72BC"/>
    <w:rsid w:val="248D4C07"/>
    <w:rsid w:val="24B35BF3"/>
    <w:rsid w:val="24B43FF7"/>
    <w:rsid w:val="24C70B18"/>
    <w:rsid w:val="24D10A1F"/>
    <w:rsid w:val="24DB7315"/>
    <w:rsid w:val="24DE1906"/>
    <w:rsid w:val="24DE36B4"/>
    <w:rsid w:val="24E231A5"/>
    <w:rsid w:val="24EC2DA2"/>
    <w:rsid w:val="2512121D"/>
    <w:rsid w:val="251E5D62"/>
    <w:rsid w:val="25227A45"/>
    <w:rsid w:val="25234470"/>
    <w:rsid w:val="25576969"/>
    <w:rsid w:val="255C556D"/>
    <w:rsid w:val="25677C99"/>
    <w:rsid w:val="256B4A2D"/>
    <w:rsid w:val="259956BC"/>
    <w:rsid w:val="25B05051"/>
    <w:rsid w:val="25DA1FF8"/>
    <w:rsid w:val="25E230A5"/>
    <w:rsid w:val="25E42F4C"/>
    <w:rsid w:val="25FF7D86"/>
    <w:rsid w:val="260F6E0D"/>
    <w:rsid w:val="26314DE6"/>
    <w:rsid w:val="26320A23"/>
    <w:rsid w:val="26562154"/>
    <w:rsid w:val="266F6CBA"/>
    <w:rsid w:val="26712A32"/>
    <w:rsid w:val="267E514F"/>
    <w:rsid w:val="26820AA7"/>
    <w:rsid w:val="26B67F49"/>
    <w:rsid w:val="26B953BE"/>
    <w:rsid w:val="26BC17D3"/>
    <w:rsid w:val="26C03072"/>
    <w:rsid w:val="26C27FDD"/>
    <w:rsid w:val="26C6425D"/>
    <w:rsid w:val="26D94C3A"/>
    <w:rsid w:val="26EF7BBF"/>
    <w:rsid w:val="27002763"/>
    <w:rsid w:val="27007912"/>
    <w:rsid w:val="27080F39"/>
    <w:rsid w:val="270D202F"/>
    <w:rsid w:val="271251E0"/>
    <w:rsid w:val="2716594F"/>
    <w:rsid w:val="27435A51"/>
    <w:rsid w:val="27553735"/>
    <w:rsid w:val="277A5916"/>
    <w:rsid w:val="27914A0E"/>
    <w:rsid w:val="27934C2A"/>
    <w:rsid w:val="279E5F6F"/>
    <w:rsid w:val="27B533EC"/>
    <w:rsid w:val="27B827E8"/>
    <w:rsid w:val="27BC21FA"/>
    <w:rsid w:val="27C43035"/>
    <w:rsid w:val="27CE26A6"/>
    <w:rsid w:val="280E2503"/>
    <w:rsid w:val="281E4325"/>
    <w:rsid w:val="28255661"/>
    <w:rsid w:val="283E4B96"/>
    <w:rsid w:val="28425D08"/>
    <w:rsid w:val="28461C9C"/>
    <w:rsid w:val="284A54AC"/>
    <w:rsid w:val="284B72B3"/>
    <w:rsid w:val="286E4D4F"/>
    <w:rsid w:val="28852E12"/>
    <w:rsid w:val="28915F3B"/>
    <w:rsid w:val="289A78F2"/>
    <w:rsid w:val="289F128D"/>
    <w:rsid w:val="28A6273B"/>
    <w:rsid w:val="28D55C26"/>
    <w:rsid w:val="28FE76F7"/>
    <w:rsid w:val="29047AEE"/>
    <w:rsid w:val="29156443"/>
    <w:rsid w:val="292F03DE"/>
    <w:rsid w:val="294206B6"/>
    <w:rsid w:val="295D729E"/>
    <w:rsid w:val="29657F00"/>
    <w:rsid w:val="297D349C"/>
    <w:rsid w:val="29A33AED"/>
    <w:rsid w:val="29A739E3"/>
    <w:rsid w:val="29A9603F"/>
    <w:rsid w:val="29D839AB"/>
    <w:rsid w:val="2A017711"/>
    <w:rsid w:val="2A063491"/>
    <w:rsid w:val="2A0D192F"/>
    <w:rsid w:val="2A1F49ED"/>
    <w:rsid w:val="2A2B725F"/>
    <w:rsid w:val="2A2C6C70"/>
    <w:rsid w:val="2A2F38CA"/>
    <w:rsid w:val="2A385615"/>
    <w:rsid w:val="2A4B5693"/>
    <w:rsid w:val="2A554419"/>
    <w:rsid w:val="2A566112"/>
    <w:rsid w:val="2A586A70"/>
    <w:rsid w:val="2A5D507B"/>
    <w:rsid w:val="2A5D61D2"/>
    <w:rsid w:val="2A5E151F"/>
    <w:rsid w:val="2A5F7045"/>
    <w:rsid w:val="2AA35184"/>
    <w:rsid w:val="2AB41CF5"/>
    <w:rsid w:val="2ACB061D"/>
    <w:rsid w:val="2ACF5F79"/>
    <w:rsid w:val="2AD52E64"/>
    <w:rsid w:val="2AE5299E"/>
    <w:rsid w:val="2B047CF7"/>
    <w:rsid w:val="2B1521AE"/>
    <w:rsid w:val="2B3B53BD"/>
    <w:rsid w:val="2B4559A5"/>
    <w:rsid w:val="2B4A3F03"/>
    <w:rsid w:val="2B53744F"/>
    <w:rsid w:val="2B5D17D7"/>
    <w:rsid w:val="2B872BD8"/>
    <w:rsid w:val="2B88427A"/>
    <w:rsid w:val="2BAE519E"/>
    <w:rsid w:val="2BAF618C"/>
    <w:rsid w:val="2BBC5E4C"/>
    <w:rsid w:val="2BD97695"/>
    <w:rsid w:val="2BDA6C77"/>
    <w:rsid w:val="2BE23A8A"/>
    <w:rsid w:val="2BF043F9"/>
    <w:rsid w:val="2BF62C84"/>
    <w:rsid w:val="2BFA0BD3"/>
    <w:rsid w:val="2C030087"/>
    <w:rsid w:val="2C1E24D1"/>
    <w:rsid w:val="2C1E6DBB"/>
    <w:rsid w:val="2C482942"/>
    <w:rsid w:val="2C5729DD"/>
    <w:rsid w:val="2C574478"/>
    <w:rsid w:val="2C6208C4"/>
    <w:rsid w:val="2C6C481A"/>
    <w:rsid w:val="2C772B45"/>
    <w:rsid w:val="2C844B41"/>
    <w:rsid w:val="2CAB7666"/>
    <w:rsid w:val="2CC338BC"/>
    <w:rsid w:val="2CD61A37"/>
    <w:rsid w:val="2CDF0993"/>
    <w:rsid w:val="2CE25A08"/>
    <w:rsid w:val="2D142369"/>
    <w:rsid w:val="2D285149"/>
    <w:rsid w:val="2D2D342B"/>
    <w:rsid w:val="2D385F42"/>
    <w:rsid w:val="2D4D587B"/>
    <w:rsid w:val="2D6E7B00"/>
    <w:rsid w:val="2D794BC2"/>
    <w:rsid w:val="2D83129D"/>
    <w:rsid w:val="2D8D5C78"/>
    <w:rsid w:val="2D8E211C"/>
    <w:rsid w:val="2DBF416F"/>
    <w:rsid w:val="2DBF7926"/>
    <w:rsid w:val="2DE25FC3"/>
    <w:rsid w:val="2E0028ED"/>
    <w:rsid w:val="2E045F3A"/>
    <w:rsid w:val="2E1B7727"/>
    <w:rsid w:val="2E20043A"/>
    <w:rsid w:val="2E20089A"/>
    <w:rsid w:val="2E293BF2"/>
    <w:rsid w:val="2E374561"/>
    <w:rsid w:val="2E536B56"/>
    <w:rsid w:val="2E6A1BD6"/>
    <w:rsid w:val="2E7327B2"/>
    <w:rsid w:val="2E8452CD"/>
    <w:rsid w:val="2E861045"/>
    <w:rsid w:val="2E8C08D1"/>
    <w:rsid w:val="2EA72D69"/>
    <w:rsid w:val="2EA74A2D"/>
    <w:rsid w:val="2EC8419E"/>
    <w:rsid w:val="2ED56DD4"/>
    <w:rsid w:val="2ED753FC"/>
    <w:rsid w:val="2EE10029"/>
    <w:rsid w:val="2F0A41BD"/>
    <w:rsid w:val="2F320771"/>
    <w:rsid w:val="2F3C6314"/>
    <w:rsid w:val="2F3E191F"/>
    <w:rsid w:val="2F415F0B"/>
    <w:rsid w:val="2F495127"/>
    <w:rsid w:val="2F697967"/>
    <w:rsid w:val="2F754C15"/>
    <w:rsid w:val="2F8C268B"/>
    <w:rsid w:val="2F9C22EC"/>
    <w:rsid w:val="2FB90FA6"/>
    <w:rsid w:val="2FBD30B0"/>
    <w:rsid w:val="2FC14A69"/>
    <w:rsid w:val="2FD06BEC"/>
    <w:rsid w:val="2FD73121"/>
    <w:rsid w:val="2FDE161A"/>
    <w:rsid w:val="2FE27199"/>
    <w:rsid w:val="2FE7261D"/>
    <w:rsid w:val="30001452"/>
    <w:rsid w:val="30250B8F"/>
    <w:rsid w:val="30422D49"/>
    <w:rsid w:val="30453DC7"/>
    <w:rsid w:val="304A7E50"/>
    <w:rsid w:val="304B7C62"/>
    <w:rsid w:val="304C6AFB"/>
    <w:rsid w:val="30590093"/>
    <w:rsid w:val="305E4E7F"/>
    <w:rsid w:val="306E72D9"/>
    <w:rsid w:val="30B01166"/>
    <w:rsid w:val="30B4422E"/>
    <w:rsid w:val="30CB71E3"/>
    <w:rsid w:val="30D51E0F"/>
    <w:rsid w:val="31070819"/>
    <w:rsid w:val="311C359A"/>
    <w:rsid w:val="312A1231"/>
    <w:rsid w:val="314B7E5C"/>
    <w:rsid w:val="315D5088"/>
    <w:rsid w:val="316361E1"/>
    <w:rsid w:val="317C228B"/>
    <w:rsid w:val="318178A1"/>
    <w:rsid w:val="31915E29"/>
    <w:rsid w:val="31D00865"/>
    <w:rsid w:val="31E367AE"/>
    <w:rsid w:val="31E613F8"/>
    <w:rsid w:val="32075387"/>
    <w:rsid w:val="320C6EE3"/>
    <w:rsid w:val="320D54A7"/>
    <w:rsid w:val="321626E0"/>
    <w:rsid w:val="321E3342"/>
    <w:rsid w:val="322546D1"/>
    <w:rsid w:val="322C22D2"/>
    <w:rsid w:val="32441E9D"/>
    <w:rsid w:val="324C5EA9"/>
    <w:rsid w:val="324E0BDE"/>
    <w:rsid w:val="32891103"/>
    <w:rsid w:val="32987598"/>
    <w:rsid w:val="329F24C6"/>
    <w:rsid w:val="32A23C6C"/>
    <w:rsid w:val="32CB5278"/>
    <w:rsid w:val="32CF342F"/>
    <w:rsid w:val="32D17A95"/>
    <w:rsid w:val="32DF04AE"/>
    <w:rsid w:val="32E53E60"/>
    <w:rsid w:val="32E75442"/>
    <w:rsid w:val="32EB368F"/>
    <w:rsid w:val="33100759"/>
    <w:rsid w:val="332A7BB1"/>
    <w:rsid w:val="332C66A0"/>
    <w:rsid w:val="33463A80"/>
    <w:rsid w:val="33472346"/>
    <w:rsid w:val="335F5B53"/>
    <w:rsid w:val="33686F6B"/>
    <w:rsid w:val="337B59DB"/>
    <w:rsid w:val="338E06BE"/>
    <w:rsid w:val="339064C2"/>
    <w:rsid w:val="33945FB2"/>
    <w:rsid w:val="339B3928"/>
    <w:rsid w:val="33A54AF4"/>
    <w:rsid w:val="33C1667B"/>
    <w:rsid w:val="33C3520B"/>
    <w:rsid w:val="33CA3782"/>
    <w:rsid w:val="33E23F41"/>
    <w:rsid w:val="33F121D0"/>
    <w:rsid w:val="34100CDC"/>
    <w:rsid w:val="341B5D8B"/>
    <w:rsid w:val="342015F4"/>
    <w:rsid w:val="34321327"/>
    <w:rsid w:val="34362BC5"/>
    <w:rsid w:val="344A2B14"/>
    <w:rsid w:val="3472129B"/>
    <w:rsid w:val="347D25A2"/>
    <w:rsid w:val="3486326D"/>
    <w:rsid w:val="34870797"/>
    <w:rsid w:val="34961F6B"/>
    <w:rsid w:val="34962551"/>
    <w:rsid w:val="34AB35B3"/>
    <w:rsid w:val="34B42578"/>
    <w:rsid w:val="3510349F"/>
    <w:rsid w:val="35117C4C"/>
    <w:rsid w:val="352B0250"/>
    <w:rsid w:val="35431DD1"/>
    <w:rsid w:val="354E440C"/>
    <w:rsid w:val="35783726"/>
    <w:rsid w:val="357C4F4F"/>
    <w:rsid w:val="35AF0E81"/>
    <w:rsid w:val="35BB309D"/>
    <w:rsid w:val="35DB2F58"/>
    <w:rsid w:val="35DF2C43"/>
    <w:rsid w:val="35F13B75"/>
    <w:rsid w:val="35FA2A0A"/>
    <w:rsid w:val="362D0443"/>
    <w:rsid w:val="363366EC"/>
    <w:rsid w:val="36394BEF"/>
    <w:rsid w:val="364C2B74"/>
    <w:rsid w:val="36545584"/>
    <w:rsid w:val="365D7C65"/>
    <w:rsid w:val="36841CD6"/>
    <w:rsid w:val="36873EB5"/>
    <w:rsid w:val="3693100A"/>
    <w:rsid w:val="36A36F22"/>
    <w:rsid w:val="36B3053F"/>
    <w:rsid w:val="36C3270A"/>
    <w:rsid w:val="36C43FEC"/>
    <w:rsid w:val="36D4030B"/>
    <w:rsid w:val="36E54092"/>
    <w:rsid w:val="36E83F1F"/>
    <w:rsid w:val="36EF40B6"/>
    <w:rsid w:val="37070849"/>
    <w:rsid w:val="375D3D59"/>
    <w:rsid w:val="37794C73"/>
    <w:rsid w:val="37863E63"/>
    <w:rsid w:val="37904CE2"/>
    <w:rsid w:val="379365AE"/>
    <w:rsid w:val="37B7401D"/>
    <w:rsid w:val="37CD3840"/>
    <w:rsid w:val="37F012DD"/>
    <w:rsid w:val="37F06C4E"/>
    <w:rsid w:val="37FC5ED4"/>
    <w:rsid w:val="38042FDA"/>
    <w:rsid w:val="38090B40"/>
    <w:rsid w:val="380B25BB"/>
    <w:rsid w:val="381B38E3"/>
    <w:rsid w:val="381C67F8"/>
    <w:rsid w:val="38321471"/>
    <w:rsid w:val="383230B5"/>
    <w:rsid w:val="3833520C"/>
    <w:rsid w:val="38343A63"/>
    <w:rsid w:val="384358B1"/>
    <w:rsid w:val="38442DF1"/>
    <w:rsid w:val="385F36A4"/>
    <w:rsid w:val="38673ACB"/>
    <w:rsid w:val="388F46CA"/>
    <w:rsid w:val="390F7E89"/>
    <w:rsid w:val="391159AF"/>
    <w:rsid w:val="392C4597"/>
    <w:rsid w:val="398950B0"/>
    <w:rsid w:val="39987E7E"/>
    <w:rsid w:val="39A90CAA"/>
    <w:rsid w:val="39AD6474"/>
    <w:rsid w:val="39BC07FA"/>
    <w:rsid w:val="39C0000A"/>
    <w:rsid w:val="39C8780C"/>
    <w:rsid w:val="39CE564E"/>
    <w:rsid w:val="39D32C64"/>
    <w:rsid w:val="39D569DC"/>
    <w:rsid w:val="39DA4074"/>
    <w:rsid w:val="39DE22A7"/>
    <w:rsid w:val="39E45753"/>
    <w:rsid w:val="39E60BE9"/>
    <w:rsid w:val="39F8198E"/>
    <w:rsid w:val="39FF2231"/>
    <w:rsid w:val="3A046C44"/>
    <w:rsid w:val="3A116C65"/>
    <w:rsid w:val="3A271074"/>
    <w:rsid w:val="3A292136"/>
    <w:rsid w:val="3A325A59"/>
    <w:rsid w:val="3A3844CD"/>
    <w:rsid w:val="3A444628"/>
    <w:rsid w:val="3A485400"/>
    <w:rsid w:val="3A5C0EAC"/>
    <w:rsid w:val="3A5D101E"/>
    <w:rsid w:val="3A8F09E3"/>
    <w:rsid w:val="3A8F6091"/>
    <w:rsid w:val="3A994209"/>
    <w:rsid w:val="3A9E53BA"/>
    <w:rsid w:val="3ACE7FFB"/>
    <w:rsid w:val="3B0A2037"/>
    <w:rsid w:val="3B0A7109"/>
    <w:rsid w:val="3B1134EC"/>
    <w:rsid w:val="3B1A714C"/>
    <w:rsid w:val="3B360B23"/>
    <w:rsid w:val="3B375A5D"/>
    <w:rsid w:val="3B4344AF"/>
    <w:rsid w:val="3B556027"/>
    <w:rsid w:val="3B750477"/>
    <w:rsid w:val="3B7A66DC"/>
    <w:rsid w:val="3B8E4274"/>
    <w:rsid w:val="3BA83C67"/>
    <w:rsid w:val="3BB80A6A"/>
    <w:rsid w:val="3BB825F6"/>
    <w:rsid w:val="3BBF6D0F"/>
    <w:rsid w:val="3BD41F9F"/>
    <w:rsid w:val="3BDF03E6"/>
    <w:rsid w:val="3BE21884"/>
    <w:rsid w:val="3BEE0229"/>
    <w:rsid w:val="3BFC2946"/>
    <w:rsid w:val="3BFC79BE"/>
    <w:rsid w:val="3C0A6664"/>
    <w:rsid w:val="3C553BC4"/>
    <w:rsid w:val="3C643F15"/>
    <w:rsid w:val="3C6978B0"/>
    <w:rsid w:val="3C720E5A"/>
    <w:rsid w:val="3C7567B3"/>
    <w:rsid w:val="3C7646F9"/>
    <w:rsid w:val="3C797AF3"/>
    <w:rsid w:val="3C85165B"/>
    <w:rsid w:val="3CC2633F"/>
    <w:rsid w:val="3CD8066F"/>
    <w:rsid w:val="3CE07B72"/>
    <w:rsid w:val="3CE13D97"/>
    <w:rsid w:val="3CE31009"/>
    <w:rsid w:val="3D040C7C"/>
    <w:rsid w:val="3D1617E6"/>
    <w:rsid w:val="3D181556"/>
    <w:rsid w:val="3D211F38"/>
    <w:rsid w:val="3D241A6F"/>
    <w:rsid w:val="3D3D595C"/>
    <w:rsid w:val="3D5374CE"/>
    <w:rsid w:val="3D7601C7"/>
    <w:rsid w:val="3D8449A1"/>
    <w:rsid w:val="3D96545D"/>
    <w:rsid w:val="3DA52B6A"/>
    <w:rsid w:val="3DA66F17"/>
    <w:rsid w:val="3DCB0822"/>
    <w:rsid w:val="3DCB7A98"/>
    <w:rsid w:val="3DF15DAF"/>
    <w:rsid w:val="3E105B4E"/>
    <w:rsid w:val="3E10789B"/>
    <w:rsid w:val="3E247F32"/>
    <w:rsid w:val="3E265A58"/>
    <w:rsid w:val="3E3363C7"/>
    <w:rsid w:val="3E3B4383"/>
    <w:rsid w:val="3E467EA9"/>
    <w:rsid w:val="3E546A69"/>
    <w:rsid w:val="3E5C1510"/>
    <w:rsid w:val="3E650ED7"/>
    <w:rsid w:val="3E6572ED"/>
    <w:rsid w:val="3E68555E"/>
    <w:rsid w:val="3E921340"/>
    <w:rsid w:val="3EA4149F"/>
    <w:rsid w:val="3EB94B1E"/>
    <w:rsid w:val="3EC86B10"/>
    <w:rsid w:val="3ED5122D"/>
    <w:rsid w:val="3EE140C6"/>
    <w:rsid w:val="3EE600B3"/>
    <w:rsid w:val="3EFC5866"/>
    <w:rsid w:val="3F134F7F"/>
    <w:rsid w:val="3F1F7016"/>
    <w:rsid w:val="3F345E6E"/>
    <w:rsid w:val="3F382BDD"/>
    <w:rsid w:val="3F406FEE"/>
    <w:rsid w:val="3F52287D"/>
    <w:rsid w:val="3F683855"/>
    <w:rsid w:val="3F8C02E0"/>
    <w:rsid w:val="3F925572"/>
    <w:rsid w:val="3F9257C8"/>
    <w:rsid w:val="3F96038F"/>
    <w:rsid w:val="3F9B06C8"/>
    <w:rsid w:val="3FAB4C4B"/>
    <w:rsid w:val="3FB11C9A"/>
    <w:rsid w:val="3FB81AD4"/>
    <w:rsid w:val="3FBB2C44"/>
    <w:rsid w:val="3FCF3ECE"/>
    <w:rsid w:val="3FD140EA"/>
    <w:rsid w:val="3FD1601B"/>
    <w:rsid w:val="3FF6FB7E"/>
    <w:rsid w:val="40035253"/>
    <w:rsid w:val="40117721"/>
    <w:rsid w:val="4012224B"/>
    <w:rsid w:val="401665CD"/>
    <w:rsid w:val="40346B25"/>
    <w:rsid w:val="405D7C65"/>
    <w:rsid w:val="405E7F60"/>
    <w:rsid w:val="406602FB"/>
    <w:rsid w:val="408B4C29"/>
    <w:rsid w:val="40950592"/>
    <w:rsid w:val="40A36379"/>
    <w:rsid w:val="40D07EFD"/>
    <w:rsid w:val="40D93765"/>
    <w:rsid w:val="40E1210B"/>
    <w:rsid w:val="410009B8"/>
    <w:rsid w:val="41090E89"/>
    <w:rsid w:val="410D7C40"/>
    <w:rsid w:val="410F5288"/>
    <w:rsid w:val="41197AF6"/>
    <w:rsid w:val="41281F3D"/>
    <w:rsid w:val="413D5E0D"/>
    <w:rsid w:val="415E7653"/>
    <w:rsid w:val="41795FF8"/>
    <w:rsid w:val="417A2AA2"/>
    <w:rsid w:val="418A09F4"/>
    <w:rsid w:val="418A27A2"/>
    <w:rsid w:val="418D4040"/>
    <w:rsid w:val="41970A1B"/>
    <w:rsid w:val="41AF045B"/>
    <w:rsid w:val="41B46148"/>
    <w:rsid w:val="41C51A2C"/>
    <w:rsid w:val="41ED7419"/>
    <w:rsid w:val="41F1637D"/>
    <w:rsid w:val="41F83C48"/>
    <w:rsid w:val="421E223B"/>
    <w:rsid w:val="424C445A"/>
    <w:rsid w:val="428F43EE"/>
    <w:rsid w:val="42900856"/>
    <w:rsid w:val="42A21BDD"/>
    <w:rsid w:val="42A55301"/>
    <w:rsid w:val="42AC41EC"/>
    <w:rsid w:val="42C27BE5"/>
    <w:rsid w:val="42C850F3"/>
    <w:rsid w:val="42CE66BF"/>
    <w:rsid w:val="42D72F1E"/>
    <w:rsid w:val="42D94B2B"/>
    <w:rsid w:val="42FB6AEF"/>
    <w:rsid w:val="432639DC"/>
    <w:rsid w:val="43316F03"/>
    <w:rsid w:val="43353590"/>
    <w:rsid w:val="43542429"/>
    <w:rsid w:val="43760B22"/>
    <w:rsid w:val="43893A0A"/>
    <w:rsid w:val="43911BC6"/>
    <w:rsid w:val="439438AA"/>
    <w:rsid w:val="43B70A87"/>
    <w:rsid w:val="43D27E8C"/>
    <w:rsid w:val="43E83863"/>
    <w:rsid w:val="44071E88"/>
    <w:rsid w:val="44081230"/>
    <w:rsid w:val="44427364"/>
    <w:rsid w:val="445157F9"/>
    <w:rsid w:val="445172A7"/>
    <w:rsid w:val="4464552C"/>
    <w:rsid w:val="44661CE1"/>
    <w:rsid w:val="44BB002C"/>
    <w:rsid w:val="44DC17D6"/>
    <w:rsid w:val="44F248E6"/>
    <w:rsid w:val="44FF7003"/>
    <w:rsid w:val="450122D7"/>
    <w:rsid w:val="45014F31"/>
    <w:rsid w:val="45120B3F"/>
    <w:rsid w:val="4522685D"/>
    <w:rsid w:val="452964DE"/>
    <w:rsid w:val="454F2AA7"/>
    <w:rsid w:val="4569273A"/>
    <w:rsid w:val="456A1E40"/>
    <w:rsid w:val="45CC15DB"/>
    <w:rsid w:val="45CD7B83"/>
    <w:rsid w:val="45E43B94"/>
    <w:rsid w:val="45F91CA4"/>
    <w:rsid w:val="45FC106F"/>
    <w:rsid w:val="46055955"/>
    <w:rsid w:val="460D74FE"/>
    <w:rsid w:val="46134DE4"/>
    <w:rsid w:val="46373185"/>
    <w:rsid w:val="464B69A4"/>
    <w:rsid w:val="46654175"/>
    <w:rsid w:val="468612D5"/>
    <w:rsid w:val="468E4AE3"/>
    <w:rsid w:val="46B37C77"/>
    <w:rsid w:val="46D14FF5"/>
    <w:rsid w:val="46D1677D"/>
    <w:rsid w:val="46DB13AA"/>
    <w:rsid w:val="46E850CB"/>
    <w:rsid w:val="46F07ED9"/>
    <w:rsid w:val="46F67290"/>
    <w:rsid w:val="470148BE"/>
    <w:rsid w:val="47165978"/>
    <w:rsid w:val="47205F4E"/>
    <w:rsid w:val="472F5BD9"/>
    <w:rsid w:val="47314D98"/>
    <w:rsid w:val="4746391E"/>
    <w:rsid w:val="475555CC"/>
    <w:rsid w:val="476E221E"/>
    <w:rsid w:val="478131A3"/>
    <w:rsid w:val="478A34FC"/>
    <w:rsid w:val="47A34A81"/>
    <w:rsid w:val="47BE31A6"/>
    <w:rsid w:val="47BE4D93"/>
    <w:rsid w:val="47C044E3"/>
    <w:rsid w:val="47C223EA"/>
    <w:rsid w:val="47C6205A"/>
    <w:rsid w:val="480037BE"/>
    <w:rsid w:val="4816773E"/>
    <w:rsid w:val="482E0134"/>
    <w:rsid w:val="4832149E"/>
    <w:rsid w:val="48566BB2"/>
    <w:rsid w:val="486755EB"/>
    <w:rsid w:val="486A50DB"/>
    <w:rsid w:val="48931F3C"/>
    <w:rsid w:val="489A151D"/>
    <w:rsid w:val="48AA2A6E"/>
    <w:rsid w:val="48B26009"/>
    <w:rsid w:val="48D507A7"/>
    <w:rsid w:val="48E20297"/>
    <w:rsid w:val="4915300A"/>
    <w:rsid w:val="491755BD"/>
    <w:rsid w:val="49262315"/>
    <w:rsid w:val="49267254"/>
    <w:rsid w:val="49456CD3"/>
    <w:rsid w:val="494A4539"/>
    <w:rsid w:val="495913D8"/>
    <w:rsid w:val="495D3A62"/>
    <w:rsid w:val="496062FA"/>
    <w:rsid w:val="496438D9"/>
    <w:rsid w:val="496D4C1E"/>
    <w:rsid w:val="497C1676"/>
    <w:rsid w:val="497F1DAA"/>
    <w:rsid w:val="49857A68"/>
    <w:rsid w:val="498E0BAB"/>
    <w:rsid w:val="49997A26"/>
    <w:rsid w:val="49A07007"/>
    <w:rsid w:val="49A10513"/>
    <w:rsid w:val="4A007AA5"/>
    <w:rsid w:val="4A2F2139"/>
    <w:rsid w:val="4A34774F"/>
    <w:rsid w:val="4A370106"/>
    <w:rsid w:val="4A510301"/>
    <w:rsid w:val="4A5B2F2E"/>
    <w:rsid w:val="4A691BD6"/>
    <w:rsid w:val="4A71761D"/>
    <w:rsid w:val="4A7E749E"/>
    <w:rsid w:val="4A811D2B"/>
    <w:rsid w:val="4A922F1C"/>
    <w:rsid w:val="4AD83372"/>
    <w:rsid w:val="4AD94368"/>
    <w:rsid w:val="4AE7656F"/>
    <w:rsid w:val="4AEB42B2"/>
    <w:rsid w:val="4AF2360F"/>
    <w:rsid w:val="4AFB2A0E"/>
    <w:rsid w:val="4B006FCA"/>
    <w:rsid w:val="4B173DD3"/>
    <w:rsid w:val="4B1F44D4"/>
    <w:rsid w:val="4B2C6B42"/>
    <w:rsid w:val="4B330FB5"/>
    <w:rsid w:val="4B3641E4"/>
    <w:rsid w:val="4B3907DA"/>
    <w:rsid w:val="4B3A6FE7"/>
    <w:rsid w:val="4B531E57"/>
    <w:rsid w:val="4B6218EF"/>
    <w:rsid w:val="4B887D0E"/>
    <w:rsid w:val="4B906C34"/>
    <w:rsid w:val="4B944C86"/>
    <w:rsid w:val="4BCF518F"/>
    <w:rsid w:val="4BD22088"/>
    <w:rsid w:val="4BE37D62"/>
    <w:rsid w:val="4C235CCD"/>
    <w:rsid w:val="4C327D2A"/>
    <w:rsid w:val="4C781DEB"/>
    <w:rsid w:val="4C8E75EA"/>
    <w:rsid w:val="4C98691B"/>
    <w:rsid w:val="4CBD3B22"/>
    <w:rsid w:val="4CBE2078"/>
    <w:rsid w:val="4CE3088A"/>
    <w:rsid w:val="4CFF19D9"/>
    <w:rsid w:val="4D1530B9"/>
    <w:rsid w:val="4D1B4BF6"/>
    <w:rsid w:val="4D2674F1"/>
    <w:rsid w:val="4D395E7C"/>
    <w:rsid w:val="4D944041"/>
    <w:rsid w:val="4D98225E"/>
    <w:rsid w:val="4DBC2B3C"/>
    <w:rsid w:val="4DD30139"/>
    <w:rsid w:val="4DDF1795"/>
    <w:rsid w:val="4DF96C64"/>
    <w:rsid w:val="4E036B6E"/>
    <w:rsid w:val="4E3301FD"/>
    <w:rsid w:val="4E361621"/>
    <w:rsid w:val="4E616639"/>
    <w:rsid w:val="4E9C52AC"/>
    <w:rsid w:val="4EA466C2"/>
    <w:rsid w:val="4EA964E9"/>
    <w:rsid w:val="4EAA7FE0"/>
    <w:rsid w:val="4ED96A67"/>
    <w:rsid w:val="4EEE3C7A"/>
    <w:rsid w:val="4EEE43DC"/>
    <w:rsid w:val="4EEF8B8F"/>
    <w:rsid w:val="4EF007F3"/>
    <w:rsid w:val="4F136843"/>
    <w:rsid w:val="4F3F4778"/>
    <w:rsid w:val="4F611628"/>
    <w:rsid w:val="4F74239C"/>
    <w:rsid w:val="4F802737"/>
    <w:rsid w:val="4F895C25"/>
    <w:rsid w:val="4F897AF1"/>
    <w:rsid w:val="4F936A3B"/>
    <w:rsid w:val="4F9C3DCC"/>
    <w:rsid w:val="4F9F3013"/>
    <w:rsid w:val="4FB20D76"/>
    <w:rsid w:val="4FFB72DE"/>
    <w:rsid w:val="500C4699"/>
    <w:rsid w:val="500E3F5E"/>
    <w:rsid w:val="50120532"/>
    <w:rsid w:val="50594DE2"/>
    <w:rsid w:val="505C6D00"/>
    <w:rsid w:val="506E3FE9"/>
    <w:rsid w:val="509C7DFC"/>
    <w:rsid w:val="50B9275C"/>
    <w:rsid w:val="50C64E79"/>
    <w:rsid w:val="50C91FEA"/>
    <w:rsid w:val="50E023DF"/>
    <w:rsid w:val="50EC21B3"/>
    <w:rsid w:val="50F6750C"/>
    <w:rsid w:val="51033699"/>
    <w:rsid w:val="511A5799"/>
    <w:rsid w:val="512322CB"/>
    <w:rsid w:val="51273B6A"/>
    <w:rsid w:val="512F2A1E"/>
    <w:rsid w:val="51387B25"/>
    <w:rsid w:val="513A6263"/>
    <w:rsid w:val="515A634A"/>
    <w:rsid w:val="51701D94"/>
    <w:rsid w:val="51735001"/>
    <w:rsid w:val="517E287B"/>
    <w:rsid w:val="51A93BC9"/>
    <w:rsid w:val="51B33F45"/>
    <w:rsid w:val="51E732F9"/>
    <w:rsid w:val="51E90E1F"/>
    <w:rsid w:val="51E94A9A"/>
    <w:rsid w:val="520D3F1C"/>
    <w:rsid w:val="5217718C"/>
    <w:rsid w:val="52220F04"/>
    <w:rsid w:val="52313C54"/>
    <w:rsid w:val="52391DA6"/>
    <w:rsid w:val="523D2BA6"/>
    <w:rsid w:val="5255062E"/>
    <w:rsid w:val="5282525B"/>
    <w:rsid w:val="528E6E3E"/>
    <w:rsid w:val="52B92D5E"/>
    <w:rsid w:val="52C95602"/>
    <w:rsid w:val="52CB374D"/>
    <w:rsid w:val="52D41ACF"/>
    <w:rsid w:val="52D64BD6"/>
    <w:rsid w:val="52E31D12"/>
    <w:rsid w:val="52E43851"/>
    <w:rsid w:val="52EC4D1C"/>
    <w:rsid w:val="531C6FD2"/>
    <w:rsid w:val="531D2377"/>
    <w:rsid w:val="53217B73"/>
    <w:rsid w:val="533958BC"/>
    <w:rsid w:val="53513120"/>
    <w:rsid w:val="535D7256"/>
    <w:rsid w:val="53653BAB"/>
    <w:rsid w:val="53656BCB"/>
    <w:rsid w:val="53685B94"/>
    <w:rsid w:val="53706130"/>
    <w:rsid w:val="53723CD6"/>
    <w:rsid w:val="538A2B86"/>
    <w:rsid w:val="53990737"/>
    <w:rsid w:val="539B25ED"/>
    <w:rsid w:val="53A2274A"/>
    <w:rsid w:val="53A63401"/>
    <w:rsid w:val="53AA2830"/>
    <w:rsid w:val="53BA02B2"/>
    <w:rsid w:val="53BF13BE"/>
    <w:rsid w:val="53C43AE8"/>
    <w:rsid w:val="53DB5CFD"/>
    <w:rsid w:val="53E256DA"/>
    <w:rsid w:val="53E47AF0"/>
    <w:rsid w:val="53EC4BF7"/>
    <w:rsid w:val="53F65F0E"/>
    <w:rsid w:val="540B32CF"/>
    <w:rsid w:val="543B0F98"/>
    <w:rsid w:val="544C2A8B"/>
    <w:rsid w:val="54566C76"/>
    <w:rsid w:val="545D78A2"/>
    <w:rsid w:val="54624EB9"/>
    <w:rsid w:val="546A2F4E"/>
    <w:rsid w:val="546F41D1"/>
    <w:rsid w:val="54901C88"/>
    <w:rsid w:val="54922888"/>
    <w:rsid w:val="54932362"/>
    <w:rsid w:val="54935A23"/>
    <w:rsid w:val="549A28A4"/>
    <w:rsid w:val="54C51119"/>
    <w:rsid w:val="54E35B29"/>
    <w:rsid w:val="54E72244"/>
    <w:rsid w:val="54E779E8"/>
    <w:rsid w:val="54E81862"/>
    <w:rsid w:val="5507666B"/>
    <w:rsid w:val="55091C71"/>
    <w:rsid w:val="5520438D"/>
    <w:rsid w:val="553014C8"/>
    <w:rsid w:val="553B7BE4"/>
    <w:rsid w:val="553D7E00"/>
    <w:rsid w:val="556F788D"/>
    <w:rsid w:val="55886BA1"/>
    <w:rsid w:val="55902467"/>
    <w:rsid w:val="55937A20"/>
    <w:rsid w:val="55965ACC"/>
    <w:rsid w:val="55B6370E"/>
    <w:rsid w:val="55BA6903"/>
    <w:rsid w:val="55C74C17"/>
    <w:rsid w:val="560E354A"/>
    <w:rsid w:val="561A41D8"/>
    <w:rsid w:val="562B17A3"/>
    <w:rsid w:val="563A66CA"/>
    <w:rsid w:val="5664120B"/>
    <w:rsid w:val="567929F8"/>
    <w:rsid w:val="567B1F2B"/>
    <w:rsid w:val="56833368"/>
    <w:rsid w:val="56A27D73"/>
    <w:rsid w:val="56A87AD9"/>
    <w:rsid w:val="56C34C31"/>
    <w:rsid w:val="56D555C3"/>
    <w:rsid w:val="56D93B58"/>
    <w:rsid w:val="56DD7778"/>
    <w:rsid w:val="56E61DD1"/>
    <w:rsid w:val="56EF67BB"/>
    <w:rsid w:val="56FC0440"/>
    <w:rsid w:val="57005943"/>
    <w:rsid w:val="57280C70"/>
    <w:rsid w:val="57327131"/>
    <w:rsid w:val="57350DD7"/>
    <w:rsid w:val="573A3ECB"/>
    <w:rsid w:val="573D2803"/>
    <w:rsid w:val="575738BA"/>
    <w:rsid w:val="575E070F"/>
    <w:rsid w:val="576E44D1"/>
    <w:rsid w:val="578A7E03"/>
    <w:rsid w:val="57921D6A"/>
    <w:rsid w:val="579637F7"/>
    <w:rsid w:val="57994AFA"/>
    <w:rsid w:val="57A35914"/>
    <w:rsid w:val="57AD0B13"/>
    <w:rsid w:val="57C540DC"/>
    <w:rsid w:val="57D32C7F"/>
    <w:rsid w:val="57DE6759"/>
    <w:rsid w:val="57FD04C1"/>
    <w:rsid w:val="580B4DA8"/>
    <w:rsid w:val="581346E7"/>
    <w:rsid w:val="58230619"/>
    <w:rsid w:val="58254B7B"/>
    <w:rsid w:val="582C415B"/>
    <w:rsid w:val="582E3707"/>
    <w:rsid w:val="583555B0"/>
    <w:rsid w:val="583B7EFB"/>
    <w:rsid w:val="584C587A"/>
    <w:rsid w:val="58584F50"/>
    <w:rsid w:val="58646C78"/>
    <w:rsid w:val="58711B6E"/>
    <w:rsid w:val="587D678E"/>
    <w:rsid w:val="588B5834"/>
    <w:rsid w:val="588E0DE7"/>
    <w:rsid w:val="58A3441E"/>
    <w:rsid w:val="58B024DE"/>
    <w:rsid w:val="58D34D76"/>
    <w:rsid w:val="58FF53CC"/>
    <w:rsid w:val="590B3D71"/>
    <w:rsid w:val="5915074C"/>
    <w:rsid w:val="59367ED8"/>
    <w:rsid w:val="59441031"/>
    <w:rsid w:val="595079D6"/>
    <w:rsid w:val="595A2A33"/>
    <w:rsid w:val="596A6CE9"/>
    <w:rsid w:val="5980475F"/>
    <w:rsid w:val="5986608D"/>
    <w:rsid w:val="59910D81"/>
    <w:rsid w:val="59A21E96"/>
    <w:rsid w:val="59B40AA8"/>
    <w:rsid w:val="59BD742A"/>
    <w:rsid w:val="59D47887"/>
    <w:rsid w:val="59DB1995"/>
    <w:rsid w:val="5A095DB7"/>
    <w:rsid w:val="5A0B2EFB"/>
    <w:rsid w:val="5A233DA2"/>
    <w:rsid w:val="5A2550F7"/>
    <w:rsid w:val="5A4D65D0"/>
    <w:rsid w:val="5A551F7F"/>
    <w:rsid w:val="5A59783D"/>
    <w:rsid w:val="5A985AD8"/>
    <w:rsid w:val="5A9A1850"/>
    <w:rsid w:val="5AB337E7"/>
    <w:rsid w:val="5ABD2DCA"/>
    <w:rsid w:val="5AC230B8"/>
    <w:rsid w:val="5AC27B73"/>
    <w:rsid w:val="5AC928AD"/>
    <w:rsid w:val="5ACE328A"/>
    <w:rsid w:val="5AD22D98"/>
    <w:rsid w:val="5ADE1207"/>
    <w:rsid w:val="5ADF1011"/>
    <w:rsid w:val="5AEB425A"/>
    <w:rsid w:val="5AF01470"/>
    <w:rsid w:val="5B024B31"/>
    <w:rsid w:val="5B12227D"/>
    <w:rsid w:val="5B1A5E46"/>
    <w:rsid w:val="5B1B1B73"/>
    <w:rsid w:val="5B1E164B"/>
    <w:rsid w:val="5B3068E3"/>
    <w:rsid w:val="5B370E4D"/>
    <w:rsid w:val="5B3B29C6"/>
    <w:rsid w:val="5B4930DF"/>
    <w:rsid w:val="5B631C42"/>
    <w:rsid w:val="5B767BC7"/>
    <w:rsid w:val="5B7B5757"/>
    <w:rsid w:val="5B9835BA"/>
    <w:rsid w:val="5BAF4E87"/>
    <w:rsid w:val="5BB11D9C"/>
    <w:rsid w:val="5BB46942"/>
    <w:rsid w:val="5BBB1A7E"/>
    <w:rsid w:val="5BBE156E"/>
    <w:rsid w:val="5BE17A05"/>
    <w:rsid w:val="5BE22850"/>
    <w:rsid w:val="5BF83527"/>
    <w:rsid w:val="5BFD36CE"/>
    <w:rsid w:val="5C0A6562"/>
    <w:rsid w:val="5C0B1692"/>
    <w:rsid w:val="5C0E4DD3"/>
    <w:rsid w:val="5C694265"/>
    <w:rsid w:val="5C6E089F"/>
    <w:rsid w:val="5C7A5916"/>
    <w:rsid w:val="5C7D6D34"/>
    <w:rsid w:val="5C7F54AA"/>
    <w:rsid w:val="5C9A1694"/>
    <w:rsid w:val="5C9B4ACE"/>
    <w:rsid w:val="5C9D73D6"/>
    <w:rsid w:val="5CA21247"/>
    <w:rsid w:val="5CA71285"/>
    <w:rsid w:val="5CB169DD"/>
    <w:rsid w:val="5CBA680E"/>
    <w:rsid w:val="5CBE65AB"/>
    <w:rsid w:val="5CEA0EF8"/>
    <w:rsid w:val="5CF24581"/>
    <w:rsid w:val="5D177188"/>
    <w:rsid w:val="5D1C42B5"/>
    <w:rsid w:val="5D280C5C"/>
    <w:rsid w:val="5D2C0026"/>
    <w:rsid w:val="5D3D3D5F"/>
    <w:rsid w:val="5D5E6B65"/>
    <w:rsid w:val="5D8E4C61"/>
    <w:rsid w:val="5D8E65A1"/>
    <w:rsid w:val="5DAB5B22"/>
    <w:rsid w:val="5DB76275"/>
    <w:rsid w:val="5DBB3FB7"/>
    <w:rsid w:val="5DBE1C12"/>
    <w:rsid w:val="5DC57515"/>
    <w:rsid w:val="5DE57CA5"/>
    <w:rsid w:val="5E0F7E5F"/>
    <w:rsid w:val="5E115985"/>
    <w:rsid w:val="5E156D07"/>
    <w:rsid w:val="5E635468"/>
    <w:rsid w:val="5E75648C"/>
    <w:rsid w:val="5E7D126D"/>
    <w:rsid w:val="5E8061A2"/>
    <w:rsid w:val="5EA54320"/>
    <w:rsid w:val="5EA56CF6"/>
    <w:rsid w:val="5ECC18BB"/>
    <w:rsid w:val="5EE4753E"/>
    <w:rsid w:val="5F1606DE"/>
    <w:rsid w:val="5F182526"/>
    <w:rsid w:val="5F1D232B"/>
    <w:rsid w:val="5F2D0A43"/>
    <w:rsid w:val="5F38703E"/>
    <w:rsid w:val="5F3945BD"/>
    <w:rsid w:val="5F412CC2"/>
    <w:rsid w:val="5F4742F7"/>
    <w:rsid w:val="5F4B136B"/>
    <w:rsid w:val="5F584BB5"/>
    <w:rsid w:val="5F84662B"/>
    <w:rsid w:val="5F915928"/>
    <w:rsid w:val="5F9A5BEC"/>
    <w:rsid w:val="5F9F1343"/>
    <w:rsid w:val="5FA850AE"/>
    <w:rsid w:val="5FAC0279"/>
    <w:rsid w:val="5FAE1394"/>
    <w:rsid w:val="5FCA1DC6"/>
    <w:rsid w:val="5FCDB745"/>
    <w:rsid w:val="5FD64BE7"/>
    <w:rsid w:val="5FE24CA2"/>
    <w:rsid w:val="5FE307E1"/>
    <w:rsid w:val="5FF7C20F"/>
    <w:rsid w:val="6025396A"/>
    <w:rsid w:val="603F203F"/>
    <w:rsid w:val="60457B68"/>
    <w:rsid w:val="605F3D79"/>
    <w:rsid w:val="606E6F5F"/>
    <w:rsid w:val="60857355"/>
    <w:rsid w:val="608B4E5E"/>
    <w:rsid w:val="6094372F"/>
    <w:rsid w:val="60AE3F78"/>
    <w:rsid w:val="60CA4D35"/>
    <w:rsid w:val="60CB2763"/>
    <w:rsid w:val="60F33B15"/>
    <w:rsid w:val="61052B89"/>
    <w:rsid w:val="610733B3"/>
    <w:rsid w:val="61174364"/>
    <w:rsid w:val="613053B8"/>
    <w:rsid w:val="613D6038"/>
    <w:rsid w:val="6147435F"/>
    <w:rsid w:val="61563BD5"/>
    <w:rsid w:val="61630BEE"/>
    <w:rsid w:val="61743178"/>
    <w:rsid w:val="61897F29"/>
    <w:rsid w:val="61903065"/>
    <w:rsid w:val="61A31953"/>
    <w:rsid w:val="61B35D1D"/>
    <w:rsid w:val="61CC3713"/>
    <w:rsid w:val="61D252AB"/>
    <w:rsid w:val="61E66023"/>
    <w:rsid w:val="61E92941"/>
    <w:rsid w:val="61FD491A"/>
    <w:rsid w:val="62030E3A"/>
    <w:rsid w:val="62117DC5"/>
    <w:rsid w:val="622654A3"/>
    <w:rsid w:val="623C6464"/>
    <w:rsid w:val="6240079F"/>
    <w:rsid w:val="624479E6"/>
    <w:rsid w:val="625247BE"/>
    <w:rsid w:val="6267026A"/>
    <w:rsid w:val="6268497F"/>
    <w:rsid w:val="626C30FD"/>
    <w:rsid w:val="626C7867"/>
    <w:rsid w:val="627731E4"/>
    <w:rsid w:val="627A5D04"/>
    <w:rsid w:val="6286496B"/>
    <w:rsid w:val="6291178B"/>
    <w:rsid w:val="62A019CE"/>
    <w:rsid w:val="62A20E36"/>
    <w:rsid w:val="62BA40A9"/>
    <w:rsid w:val="62FA527D"/>
    <w:rsid w:val="63225D72"/>
    <w:rsid w:val="6324615B"/>
    <w:rsid w:val="6329551F"/>
    <w:rsid w:val="63350368"/>
    <w:rsid w:val="634E4F86"/>
    <w:rsid w:val="635375DA"/>
    <w:rsid w:val="635822A8"/>
    <w:rsid w:val="636429FB"/>
    <w:rsid w:val="63687B73"/>
    <w:rsid w:val="637A422D"/>
    <w:rsid w:val="63870498"/>
    <w:rsid w:val="63AF3F3F"/>
    <w:rsid w:val="63B04789"/>
    <w:rsid w:val="63D45929"/>
    <w:rsid w:val="63E458EA"/>
    <w:rsid w:val="63E6385D"/>
    <w:rsid w:val="63ED479F"/>
    <w:rsid w:val="640A2E72"/>
    <w:rsid w:val="642411A7"/>
    <w:rsid w:val="642B64D6"/>
    <w:rsid w:val="642C0DD0"/>
    <w:rsid w:val="642D103F"/>
    <w:rsid w:val="644A3FD0"/>
    <w:rsid w:val="64566A5F"/>
    <w:rsid w:val="64655EEF"/>
    <w:rsid w:val="64772EF6"/>
    <w:rsid w:val="648D4044"/>
    <w:rsid w:val="649E3CEB"/>
    <w:rsid w:val="64A550C3"/>
    <w:rsid w:val="64AF5128"/>
    <w:rsid w:val="64BD4531"/>
    <w:rsid w:val="64CD09EF"/>
    <w:rsid w:val="64DF4A2F"/>
    <w:rsid w:val="64E145AA"/>
    <w:rsid w:val="64E42A92"/>
    <w:rsid w:val="64F953C5"/>
    <w:rsid w:val="64FE123D"/>
    <w:rsid w:val="650C48DD"/>
    <w:rsid w:val="650D2BA2"/>
    <w:rsid w:val="652F5838"/>
    <w:rsid w:val="6542607A"/>
    <w:rsid w:val="65444892"/>
    <w:rsid w:val="65491EA9"/>
    <w:rsid w:val="655D5744"/>
    <w:rsid w:val="656404CE"/>
    <w:rsid w:val="659F2575"/>
    <w:rsid w:val="659F56C9"/>
    <w:rsid w:val="65B94576"/>
    <w:rsid w:val="65C72A7B"/>
    <w:rsid w:val="65D75707"/>
    <w:rsid w:val="65D8694A"/>
    <w:rsid w:val="65E73470"/>
    <w:rsid w:val="66360E63"/>
    <w:rsid w:val="664F7993"/>
    <w:rsid w:val="6653422F"/>
    <w:rsid w:val="66560D21"/>
    <w:rsid w:val="665A60F4"/>
    <w:rsid w:val="665C36D3"/>
    <w:rsid w:val="66611F64"/>
    <w:rsid w:val="667227FF"/>
    <w:rsid w:val="66772A46"/>
    <w:rsid w:val="667D6FDB"/>
    <w:rsid w:val="6685226D"/>
    <w:rsid w:val="669178A3"/>
    <w:rsid w:val="669E44E5"/>
    <w:rsid w:val="66AA27F6"/>
    <w:rsid w:val="66AC150F"/>
    <w:rsid w:val="66B025D2"/>
    <w:rsid w:val="66E856F1"/>
    <w:rsid w:val="66EA7D74"/>
    <w:rsid w:val="66F00DFD"/>
    <w:rsid w:val="66F846AB"/>
    <w:rsid w:val="66FB152F"/>
    <w:rsid w:val="670267B3"/>
    <w:rsid w:val="6713018F"/>
    <w:rsid w:val="6716225F"/>
    <w:rsid w:val="676C2629"/>
    <w:rsid w:val="67746F85"/>
    <w:rsid w:val="678671AD"/>
    <w:rsid w:val="67946A64"/>
    <w:rsid w:val="679A4C3E"/>
    <w:rsid w:val="67AB1BF0"/>
    <w:rsid w:val="67BB2E76"/>
    <w:rsid w:val="67D41B8B"/>
    <w:rsid w:val="67D62049"/>
    <w:rsid w:val="67E53954"/>
    <w:rsid w:val="68057461"/>
    <w:rsid w:val="681A3FD0"/>
    <w:rsid w:val="681B565D"/>
    <w:rsid w:val="684F58FC"/>
    <w:rsid w:val="68605BD0"/>
    <w:rsid w:val="68643CD5"/>
    <w:rsid w:val="68783F4F"/>
    <w:rsid w:val="68886A72"/>
    <w:rsid w:val="68970ABE"/>
    <w:rsid w:val="689B3738"/>
    <w:rsid w:val="68A13DAA"/>
    <w:rsid w:val="68A906D0"/>
    <w:rsid w:val="68DE4FFE"/>
    <w:rsid w:val="68EE6E14"/>
    <w:rsid w:val="690B012A"/>
    <w:rsid w:val="69160826"/>
    <w:rsid w:val="691965DE"/>
    <w:rsid w:val="69325DC9"/>
    <w:rsid w:val="69434640"/>
    <w:rsid w:val="69510F78"/>
    <w:rsid w:val="695D4175"/>
    <w:rsid w:val="69670B4F"/>
    <w:rsid w:val="697D65C5"/>
    <w:rsid w:val="69877444"/>
    <w:rsid w:val="698A6E1C"/>
    <w:rsid w:val="69A30290"/>
    <w:rsid w:val="69A41DA4"/>
    <w:rsid w:val="69C31F52"/>
    <w:rsid w:val="69CA45E6"/>
    <w:rsid w:val="69DC1DC7"/>
    <w:rsid w:val="69F56663"/>
    <w:rsid w:val="69FC07E3"/>
    <w:rsid w:val="6A10568B"/>
    <w:rsid w:val="6A265C3D"/>
    <w:rsid w:val="6A2F6E5B"/>
    <w:rsid w:val="6A55309E"/>
    <w:rsid w:val="6A576E16"/>
    <w:rsid w:val="6A616649"/>
    <w:rsid w:val="6A6370C1"/>
    <w:rsid w:val="6A6E03DF"/>
    <w:rsid w:val="6A851914"/>
    <w:rsid w:val="6AB04628"/>
    <w:rsid w:val="6ABF12C5"/>
    <w:rsid w:val="6AC50223"/>
    <w:rsid w:val="6ADDDD4C"/>
    <w:rsid w:val="6AE461D0"/>
    <w:rsid w:val="6AF42465"/>
    <w:rsid w:val="6AF95086"/>
    <w:rsid w:val="6B1E75CD"/>
    <w:rsid w:val="6B232ADA"/>
    <w:rsid w:val="6B293237"/>
    <w:rsid w:val="6B3841FF"/>
    <w:rsid w:val="6B517106"/>
    <w:rsid w:val="6B6D052F"/>
    <w:rsid w:val="6B7C486F"/>
    <w:rsid w:val="6B8464BD"/>
    <w:rsid w:val="6B8B3DCC"/>
    <w:rsid w:val="6B8C2AEF"/>
    <w:rsid w:val="6B9009D5"/>
    <w:rsid w:val="6B963286"/>
    <w:rsid w:val="6BB114D6"/>
    <w:rsid w:val="6BBC5C13"/>
    <w:rsid w:val="6BBD2636"/>
    <w:rsid w:val="6BC56285"/>
    <w:rsid w:val="6BC766CD"/>
    <w:rsid w:val="6BCC7390"/>
    <w:rsid w:val="6C0134DD"/>
    <w:rsid w:val="6C044B29"/>
    <w:rsid w:val="6C092244"/>
    <w:rsid w:val="6C1E223F"/>
    <w:rsid w:val="6C1E5755"/>
    <w:rsid w:val="6C384175"/>
    <w:rsid w:val="6C3F5511"/>
    <w:rsid w:val="6C4F6C96"/>
    <w:rsid w:val="6C5F0204"/>
    <w:rsid w:val="6C604FA2"/>
    <w:rsid w:val="6C735A5D"/>
    <w:rsid w:val="6C824AFC"/>
    <w:rsid w:val="6CA63B30"/>
    <w:rsid w:val="6CA9147F"/>
    <w:rsid w:val="6CD12FAC"/>
    <w:rsid w:val="6CD32C66"/>
    <w:rsid w:val="6CD438B0"/>
    <w:rsid w:val="6CDE737B"/>
    <w:rsid w:val="6CE772BC"/>
    <w:rsid w:val="6CFE5C6F"/>
    <w:rsid w:val="6D002FAD"/>
    <w:rsid w:val="6D0C47F7"/>
    <w:rsid w:val="6D2A4632"/>
    <w:rsid w:val="6D336C9A"/>
    <w:rsid w:val="6D353DF2"/>
    <w:rsid w:val="6D415B5B"/>
    <w:rsid w:val="6D4D2A6A"/>
    <w:rsid w:val="6D56792A"/>
    <w:rsid w:val="6DA51448"/>
    <w:rsid w:val="6DAA54AF"/>
    <w:rsid w:val="6DB0362D"/>
    <w:rsid w:val="6DCE3D76"/>
    <w:rsid w:val="6DE210EC"/>
    <w:rsid w:val="6DE9274B"/>
    <w:rsid w:val="6DF1361C"/>
    <w:rsid w:val="6E041063"/>
    <w:rsid w:val="6E0B03F1"/>
    <w:rsid w:val="6E0E1EE1"/>
    <w:rsid w:val="6E0F4958"/>
    <w:rsid w:val="6E111743"/>
    <w:rsid w:val="6E204B43"/>
    <w:rsid w:val="6E276AFF"/>
    <w:rsid w:val="6E337B9A"/>
    <w:rsid w:val="6E4874EA"/>
    <w:rsid w:val="6E4B0042"/>
    <w:rsid w:val="6E50164F"/>
    <w:rsid w:val="6E677844"/>
    <w:rsid w:val="6E697118"/>
    <w:rsid w:val="6E6A3122"/>
    <w:rsid w:val="6E6C395D"/>
    <w:rsid w:val="6E791822"/>
    <w:rsid w:val="6E81465F"/>
    <w:rsid w:val="6E815CDB"/>
    <w:rsid w:val="6E8421A4"/>
    <w:rsid w:val="6EA63EC8"/>
    <w:rsid w:val="6EC45DD8"/>
    <w:rsid w:val="6ED46D64"/>
    <w:rsid w:val="6ED7279A"/>
    <w:rsid w:val="6EEE1606"/>
    <w:rsid w:val="6EEF1D13"/>
    <w:rsid w:val="6EF12FC4"/>
    <w:rsid w:val="6EFA06B8"/>
    <w:rsid w:val="6EFA4214"/>
    <w:rsid w:val="6F07403E"/>
    <w:rsid w:val="6F1C23DC"/>
    <w:rsid w:val="6F3239AE"/>
    <w:rsid w:val="6F526662"/>
    <w:rsid w:val="6F6873CF"/>
    <w:rsid w:val="6F6F075E"/>
    <w:rsid w:val="6F826A4C"/>
    <w:rsid w:val="6F8E3205"/>
    <w:rsid w:val="6F90311B"/>
    <w:rsid w:val="6F926CE1"/>
    <w:rsid w:val="6FB67327"/>
    <w:rsid w:val="6FCB58C4"/>
    <w:rsid w:val="6FD9586C"/>
    <w:rsid w:val="6FDF4BD1"/>
    <w:rsid w:val="6FF572CA"/>
    <w:rsid w:val="70076BE8"/>
    <w:rsid w:val="700A492A"/>
    <w:rsid w:val="700B3CB2"/>
    <w:rsid w:val="701D28B0"/>
    <w:rsid w:val="70273DBA"/>
    <w:rsid w:val="702B65A7"/>
    <w:rsid w:val="703A5210"/>
    <w:rsid w:val="70444BCD"/>
    <w:rsid w:val="706127A7"/>
    <w:rsid w:val="706933FF"/>
    <w:rsid w:val="70C525FF"/>
    <w:rsid w:val="70C60D97"/>
    <w:rsid w:val="70DA60AB"/>
    <w:rsid w:val="70E231B1"/>
    <w:rsid w:val="70E46F2A"/>
    <w:rsid w:val="70ED6AF7"/>
    <w:rsid w:val="711041C2"/>
    <w:rsid w:val="711C4B2A"/>
    <w:rsid w:val="7124506C"/>
    <w:rsid w:val="71327C95"/>
    <w:rsid w:val="71341BBB"/>
    <w:rsid w:val="71356090"/>
    <w:rsid w:val="713E5355"/>
    <w:rsid w:val="715D595D"/>
    <w:rsid w:val="7165186D"/>
    <w:rsid w:val="71653A32"/>
    <w:rsid w:val="71685DAD"/>
    <w:rsid w:val="716E51C5"/>
    <w:rsid w:val="718A3256"/>
    <w:rsid w:val="71AC3EEB"/>
    <w:rsid w:val="71DB34A0"/>
    <w:rsid w:val="71DC3A8A"/>
    <w:rsid w:val="72001CA3"/>
    <w:rsid w:val="72169B47"/>
    <w:rsid w:val="72247F25"/>
    <w:rsid w:val="72312642"/>
    <w:rsid w:val="723E71BD"/>
    <w:rsid w:val="725C4FBE"/>
    <w:rsid w:val="725F5A7C"/>
    <w:rsid w:val="72A11576"/>
    <w:rsid w:val="72A20CD1"/>
    <w:rsid w:val="72C76B03"/>
    <w:rsid w:val="72C963D7"/>
    <w:rsid w:val="72CC236B"/>
    <w:rsid w:val="731C432C"/>
    <w:rsid w:val="73213BC3"/>
    <w:rsid w:val="732E362D"/>
    <w:rsid w:val="733E312D"/>
    <w:rsid w:val="73467A28"/>
    <w:rsid w:val="73467F22"/>
    <w:rsid w:val="739A7CA6"/>
    <w:rsid w:val="73A700A7"/>
    <w:rsid w:val="73B975E3"/>
    <w:rsid w:val="73BC019C"/>
    <w:rsid w:val="73D628CA"/>
    <w:rsid w:val="73D8098C"/>
    <w:rsid w:val="73E027CB"/>
    <w:rsid w:val="73ED20E8"/>
    <w:rsid w:val="73ED7512"/>
    <w:rsid w:val="73F53D63"/>
    <w:rsid w:val="740564AC"/>
    <w:rsid w:val="74251D33"/>
    <w:rsid w:val="74277859"/>
    <w:rsid w:val="743263B0"/>
    <w:rsid w:val="747405C4"/>
    <w:rsid w:val="74757175"/>
    <w:rsid w:val="74777B05"/>
    <w:rsid w:val="74A64D02"/>
    <w:rsid w:val="74B03CF2"/>
    <w:rsid w:val="74BB31C0"/>
    <w:rsid w:val="74DE67B5"/>
    <w:rsid w:val="74E25E76"/>
    <w:rsid w:val="74EE0377"/>
    <w:rsid w:val="7510653F"/>
    <w:rsid w:val="752B6C54"/>
    <w:rsid w:val="75374744"/>
    <w:rsid w:val="75734D4A"/>
    <w:rsid w:val="75933419"/>
    <w:rsid w:val="759E3B4B"/>
    <w:rsid w:val="75A03EB7"/>
    <w:rsid w:val="75A84FA7"/>
    <w:rsid w:val="75AFFFE0"/>
    <w:rsid w:val="75BE5F9B"/>
    <w:rsid w:val="75BF1F5C"/>
    <w:rsid w:val="75C04C88"/>
    <w:rsid w:val="75C75406"/>
    <w:rsid w:val="75DE03EB"/>
    <w:rsid w:val="75DF1868"/>
    <w:rsid w:val="75F26D6E"/>
    <w:rsid w:val="760E1FDF"/>
    <w:rsid w:val="7610256F"/>
    <w:rsid w:val="762304F4"/>
    <w:rsid w:val="762C2079"/>
    <w:rsid w:val="763A5FC9"/>
    <w:rsid w:val="76610B37"/>
    <w:rsid w:val="766D176F"/>
    <w:rsid w:val="76724FD8"/>
    <w:rsid w:val="76AE24B4"/>
    <w:rsid w:val="76C410FF"/>
    <w:rsid w:val="76D60861"/>
    <w:rsid w:val="76DD4B47"/>
    <w:rsid w:val="76DF38DA"/>
    <w:rsid w:val="770E2F52"/>
    <w:rsid w:val="772938E8"/>
    <w:rsid w:val="774A2E79"/>
    <w:rsid w:val="774C051F"/>
    <w:rsid w:val="778B7DFC"/>
    <w:rsid w:val="77CB2BF1"/>
    <w:rsid w:val="77CD0717"/>
    <w:rsid w:val="77CE4490"/>
    <w:rsid w:val="77D11FA1"/>
    <w:rsid w:val="77DC7B80"/>
    <w:rsid w:val="77E31623"/>
    <w:rsid w:val="77EA4AF0"/>
    <w:rsid w:val="77F67699"/>
    <w:rsid w:val="780B4292"/>
    <w:rsid w:val="78180973"/>
    <w:rsid w:val="78213BDA"/>
    <w:rsid w:val="78395C91"/>
    <w:rsid w:val="78570858"/>
    <w:rsid w:val="78656233"/>
    <w:rsid w:val="78850FF2"/>
    <w:rsid w:val="789112F1"/>
    <w:rsid w:val="78972A76"/>
    <w:rsid w:val="789E0306"/>
    <w:rsid w:val="78A376CA"/>
    <w:rsid w:val="78BF039A"/>
    <w:rsid w:val="78C34708"/>
    <w:rsid w:val="78C348C3"/>
    <w:rsid w:val="78C95383"/>
    <w:rsid w:val="78DB58DC"/>
    <w:rsid w:val="793565CE"/>
    <w:rsid w:val="79375137"/>
    <w:rsid w:val="793C56FF"/>
    <w:rsid w:val="794F33AE"/>
    <w:rsid w:val="79557C20"/>
    <w:rsid w:val="795F448D"/>
    <w:rsid w:val="7968243D"/>
    <w:rsid w:val="798256FF"/>
    <w:rsid w:val="798987BA"/>
    <w:rsid w:val="799412DE"/>
    <w:rsid w:val="799B67CD"/>
    <w:rsid w:val="79C6659F"/>
    <w:rsid w:val="79E431D2"/>
    <w:rsid w:val="79F94451"/>
    <w:rsid w:val="79FF4B23"/>
    <w:rsid w:val="7A1A1ED2"/>
    <w:rsid w:val="7A1A7740"/>
    <w:rsid w:val="7A3659D4"/>
    <w:rsid w:val="7A6173CF"/>
    <w:rsid w:val="7A750010"/>
    <w:rsid w:val="7A910122"/>
    <w:rsid w:val="7A9E283F"/>
    <w:rsid w:val="7AA1145D"/>
    <w:rsid w:val="7AA85DC9"/>
    <w:rsid w:val="7ABC5452"/>
    <w:rsid w:val="7ACD6C80"/>
    <w:rsid w:val="7ACF2869"/>
    <w:rsid w:val="7AD10705"/>
    <w:rsid w:val="7AD76788"/>
    <w:rsid w:val="7AD8371A"/>
    <w:rsid w:val="7AEA5327"/>
    <w:rsid w:val="7AFE084B"/>
    <w:rsid w:val="7B1A2C1E"/>
    <w:rsid w:val="7B1F5CAB"/>
    <w:rsid w:val="7B2D132A"/>
    <w:rsid w:val="7B3F2E95"/>
    <w:rsid w:val="7B432FC7"/>
    <w:rsid w:val="7B453F4C"/>
    <w:rsid w:val="7B95216B"/>
    <w:rsid w:val="7BA774D1"/>
    <w:rsid w:val="7BB42087"/>
    <w:rsid w:val="7BB64E64"/>
    <w:rsid w:val="7BC376CA"/>
    <w:rsid w:val="7BCB41D3"/>
    <w:rsid w:val="7BD24B58"/>
    <w:rsid w:val="7BD75A39"/>
    <w:rsid w:val="7BE71557"/>
    <w:rsid w:val="7BFF6C8D"/>
    <w:rsid w:val="7C1868D7"/>
    <w:rsid w:val="7C236795"/>
    <w:rsid w:val="7C3743CF"/>
    <w:rsid w:val="7C3B456D"/>
    <w:rsid w:val="7C77ECEC"/>
    <w:rsid w:val="7C9537CE"/>
    <w:rsid w:val="7C9E6B26"/>
    <w:rsid w:val="7CA12173"/>
    <w:rsid w:val="7CB3520C"/>
    <w:rsid w:val="7CE01F48"/>
    <w:rsid w:val="7CE85FF3"/>
    <w:rsid w:val="7CE96B86"/>
    <w:rsid w:val="7CEB043C"/>
    <w:rsid w:val="7CF2748B"/>
    <w:rsid w:val="7CF404F4"/>
    <w:rsid w:val="7CF6002A"/>
    <w:rsid w:val="7CFD4D16"/>
    <w:rsid w:val="7D227FB0"/>
    <w:rsid w:val="7D312FBE"/>
    <w:rsid w:val="7D362A5C"/>
    <w:rsid w:val="7D3B3E4E"/>
    <w:rsid w:val="7D4A6B4A"/>
    <w:rsid w:val="7D5D351F"/>
    <w:rsid w:val="7D5F4670"/>
    <w:rsid w:val="7D69294D"/>
    <w:rsid w:val="7D6C09D3"/>
    <w:rsid w:val="7D6FF50E"/>
    <w:rsid w:val="7D834292"/>
    <w:rsid w:val="7D8E6B9B"/>
    <w:rsid w:val="7D9D6DDE"/>
    <w:rsid w:val="7DD70594"/>
    <w:rsid w:val="7DD95499"/>
    <w:rsid w:val="7DDD2DFA"/>
    <w:rsid w:val="7DE71E07"/>
    <w:rsid w:val="7DF06F0E"/>
    <w:rsid w:val="7DF66B38"/>
    <w:rsid w:val="7E227D9F"/>
    <w:rsid w:val="7E290672"/>
    <w:rsid w:val="7E2D0162"/>
    <w:rsid w:val="7E2E5C88"/>
    <w:rsid w:val="7E3314F0"/>
    <w:rsid w:val="7E3A3F89"/>
    <w:rsid w:val="7E3C5255"/>
    <w:rsid w:val="7E751B09"/>
    <w:rsid w:val="7E8A6519"/>
    <w:rsid w:val="7E9F26E2"/>
    <w:rsid w:val="7ED379EE"/>
    <w:rsid w:val="7EE4399A"/>
    <w:rsid w:val="7EEB7AC2"/>
    <w:rsid w:val="7EED169F"/>
    <w:rsid w:val="7EF7AA68"/>
    <w:rsid w:val="7EFFC2E7"/>
    <w:rsid w:val="7F0C5600"/>
    <w:rsid w:val="7F212D03"/>
    <w:rsid w:val="7F295C6D"/>
    <w:rsid w:val="7F523DF9"/>
    <w:rsid w:val="7F590AE3"/>
    <w:rsid w:val="7F5BB446"/>
    <w:rsid w:val="7F6310E9"/>
    <w:rsid w:val="7F6A23C2"/>
    <w:rsid w:val="7F6A2CF0"/>
    <w:rsid w:val="7F6C2D76"/>
    <w:rsid w:val="7F6E491E"/>
    <w:rsid w:val="7F77368B"/>
    <w:rsid w:val="7F7B42E3"/>
    <w:rsid w:val="7F8C2C66"/>
    <w:rsid w:val="7F9B6E04"/>
    <w:rsid w:val="7FC468A4"/>
    <w:rsid w:val="7FDC7C51"/>
    <w:rsid w:val="7FE27C68"/>
    <w:rsid w:val="7FEF2E8F"/>
    <w:rsid w:val="7FF3E3E6"/>
    <w:rsid w:val="7FFC9C8C"/>
    <w:rsid w:val="7FFF9059"/>
    <w:rsid w:val="B1FCB26E"/>
    <w:rsid w:val="BCFA2F04"/>
    <w:rsid w:val="BDDCE7B0"/>
    <w:rsid w:val="BEAFAFC8"/>
    <w:rsid w:val="BFE74A11"/>
    <w:rsid w:val="C67E7B46"/>
    <w:rsid w:val="C6C75E97"/>
    <w:rsid w:val="CE9DA842"/>
    <w:rsid w:val="CF5FC321"/>
    <w:rsid w:val="CFBE5F06"/>
    <w:rsid w:val="D7DF6ABA"/>
    <w:rsid w:val="DF39C106"/>
    <w:rsid w:val="E5EAA032"/>
    <w:rsid w:val="E7F4CADB"/>
    <w:rsid w:val="EDA28466"/>
    <w:rsid w:val="EFB71FBE"/>
    <w:rsid w:val="EFEE8F4A"/>
    <w:rsid w:val="EFF70F0E"/>
    <w:rsid w:val="F3DDBE83"/>
    <w:rsid w:val="F3DF04F6"/>
    <w:rsid w:val="F47B4815"/>
    <w:rsid w:val="F677B523"/>
    <w:rsid w:val="F6A71768"/>
    <w:rsid w:val="F77933E8"/>
    <w:rsid w:val="F7DFD78E"/>
    <w:rsid w:val="F7EF00BA"/>
    <w:rsid w:val="FB3F48CE"/>
    <w:rsid w:val="FD3F2459"/>
    <w:rsid w:val="FD77BA69"/>
    <w:rsid w:val="FF9F213B"/>
    <w:rsid w:val="FF9F742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en-US" w:bidi="en-US"/>
    </w:rPr>
  </w:style>
  <w:style w:type="paragraph" w:styleId="2">
    <w:name w:val="heading 1"/>
    <w:basedOn w:val="1"/>
    <w:next w:val="1"/>
    <w:link w:val="53"/>
    <w:qFormat/>
    <w:uiPriority w:val="0"/>
    <w:pPr>
      <w:keepNext/>
      <w:spacing w:before="240" w:after="60"/>
      <w:outlineLvl w:val="0"/>
    </w:pPr>
    <w:rPr>
      <w:rFonts w:ascii="Cambria" w:hAnsi="Cambria"/>
      <w:b/>
      <w:bCs/>
      <w:kern w:val="32"/>
      <w:sz w:val="32"/>
      <w:szCs w:val="32"/>
      <w:lang w:bidi="ar-SA"/>
    </w:rPr>
  </w:style>
  <w:style w:type="paragraph" w:styleId="3">
    <w:name w:val="heading 2"/>
    <w:basedOn w:val="1"/>
    <w:next w:val="1"/>
    <w:link w:val="54"/>
    <w:qFormat/>
    <w:uiPriority w:val="0"/>
    <w:pPr>
      <w:keepNext/>
      <w:spacing w:before="240" w:after="60"/>
      <w:outlineLvl w:val="1"/>
    </w:pPr>
    <w:rPr>
      <w:rFonts w:ascii="Cambria" w:hAnsi="Cambria"/>
      <w:b/>
      <w:bCs/>
      <w:i/>
      <w:iCs/>
      <w:sz w:val="28"/>
      <w:szCs w:val="28"/>
      <w:lang w:bidi="ar-SA"/>
    </w:rPr>
  </w:style>
  <w:style w:type="paragraph" w:styleId="4">
    <w:name w:val="heading 3"/>
    <w:basedOn w:val="1"/>
    <w:next w:val="1"/>
    <w:link w:val="55"/>
    <w:qFormat/>
    <w:uiPriority w:val="0"/>
    <w:pPr>
      <w:keepNext/>
      <w:spacing w:before="240" w:after="60"/>
      <w:outlineLvl w:val="2"/>
    </w:pPr>
    <w:rPr>
      <w:rFonts w:ascii="Cambria" w:hAnsi="Cambria"/>
      <w:b/>
      <w:bCs/>
      <w:sz w:val="26"/>
      <w:szCs w:val="26"/>
      <w:lang w:bidi="ar-SA"/>
    </w:rPr>
  </w:style>
  <w:style w:type="paragraph" w:styleId="5">
    <w:name w:val="heading 4"/>
    <w:basedOn w:val="1"/>
    <w:next w:val="1"/>
    <w:link w:val="56"/>
    <w:qFormat/>
    <w:uiPriority w:val="0"/>
    <w:pPr>
      <w:keepNext/>
      <w:spacing w:before="240" w:after="60"/>
      <w:outlineLvl w:val="3"/>
    </w:pPr>
    <w:rPr>
      <w:b/>
      <w:bCs/>
      <w:sz w:val="28"/>
      <w:szCs w:val="28"/>
      <w:lang w:bidi="ar-SA"/>
    </w:rPr>
  </w:style>
  <w:style w:type="paragraph" w:styleId="6">
    <w:name w:val="heading 5"/>
    <w:basedOn w:val="1"/>
    <w:next w:val="1"/>
    <w:link w:val="57"/>
    <w:qFormat/>
    <w:uiPriority w:val="0"/>
    <w:pPr>
      <w:spacing w:before="240" w:after="60"/>
      <w:outlineLvl w:val="4"/>
    </w:pPr>
    <w:rPr>
      <w:b/>
      <w:bCs/>
      <w:i/>
      <w:iCs/>
      <w:sz w:val="26"/>
      <w:szCs w:val="26"/>
      <w:lang w:bidi="ar-SA"/>
    </w:rPr>
  </w:style>
  <w:style w:type="paragraph" w:styleId="7">
    <w:name w:val="heading 6"/>
    <w:basedOn w:val="1"/>
    <w:next w:val="1"/>
    <w:link w:val="58"/>
    <w:qFormat/>
    <w:uiPriority w:val="0"/>
    <w:pPr>
      <w:spacing w:before="240" w:after="60"/>
      <w:outlineLvl w:val="5"/>
    </w:pPr>
    <w:rPr>
      <w:b/>
      <w:bCs/>
      <w:sz w:val="20"/>
      <w:szCs w:val="20"/>
      <w:lang w:bidi="ar-SA"/>
    </w:rPr>
  </w:style>
  <w:style w:type="paragraph" w:styleId="8">
    <w:name w:val="heading 7"/>
    <w:basedOn w:val="1"/>
    <w:next w:val="1"/>
    <w:link w:val="59"/>
    <w:qFormat/>
    <w:uiPriority w:val="0"/>
    <w:pPr>
      <w:spacing w:before="240" w:after="60"/>
      <w:outlineLvl w:val="6"/>
    </w:pPr>
    <w:rPr>
      <w:lang w:bidi="ar-SA"/>
    </w:rPr>
  </w:style>
  <w:style w:type="paragraph" w:styleId="9">
    <w:name w:val="heading 8"/>
    <w:basedOn w:val="1"/>
    <w:next w:val="1"/>
    <w:link w:val="60"/>
    <w:qFormat/>
    <w:uiPriority w:val="0"/>
    <w:pPr>
      <w:spacing w:before="240" w:after="60"/>
      <w:outlineLvl w:val="7"/>
    </w:pPr>
    <w:rPr>
      <w:i/>
      <w:iCs/>
      <w:lang w:bidi="ar-SA"/>
    </w:rPr>
  </w:style>
  <w:style w:type="paragraph" w:styleId="10">
    <w:name w:val="heading 9"/>
    <w:basedOn w:val="1"/>
    <w:next w:val="1"/>
    <w:link w:val="61"/>
    <w:qFormat/>
    <w:uiPriority w:val="0"/>
    <w:pPr>
      <w:spacing w:before="240" w:after="60"/>
      <w:outlineLvl w:val="8"/>
    </w:pPr>
    <w:rPr>
      <w:rFonts w:ascii="Cambria" w:hAnsi="Cambria"/>
      <w:sz w:val="20"/>
      <w:szCs w:val="20"/>
      <w:lang w:bidi="ar-SA"/>
    </w:rPr>
  </w:style>
  <w:style w:type="character" w:default="1" w:styleId="46">
    <w:name w:val="Default Paragraph Font"/>
    <w:unhideWhenUsed/>
    <w:uiPriority w:val="1"/>
  </w:style>
  <w:style w:type="table" w:default="1" w:styleId="44">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1260"/>
      <w:jc w:val="left"/>
    </w:pPr>
    <w:rPr>
      <w:sz w:val="18"/>
      <w:szCs w:val="18"/>
    </w:rPr>
  </w:style>
  <w:style w:type="paragraph" w:styleId="12">
    <w:name w:val="Normal Indent"/>
    <w:basedOn w:val="1"/>
    <w:qFormat/>
    <w:uiPriority w:val="0"/>
    <w:pPr>
      <w:ind w:firstLine="420"/>
    </w:pPr>
    <w:rPr>
      <w:rFonts w:ascii="Times New Roman" w:hAnsi="Times New Roman" w:cs="Times New Roman"/>
    </w:rPr>
  </w:style>
  <w:style w:type="paragraph" w:styleId="13">
    <w:name w:val="List Bullet"/>
    <w:basedOn w:val="1"/>
    <w:next w:val="1"/>
    <w:uiPriority w:val="0"/>
    <w:pPr>
      <w:tabs>
        <w:tab w:val="left" w:pos="360"/>
      </w:tabs>
      <w:ind w:left="360" w:hanging="360" w:hangingChars="200"/>
    </w:pPr>
    <w:rPr>
      <w:rFonts w:ascii="Times New Roman" w:hAnsi="Times New Roman" w:cs="Times New Roman"/>
    </w:rPr>
  </w:style>
  <w:style w:type="paragraph" w:styleId="14">
    <w:name w:val="Document Map"/>
    <w:basedOn w:val="1"/>
    <w:next w:val="1"/>
    <w:link w:val="62"/>
    <w:qFormat/>
    <w:uiPriority w:val="0"/>
    <w:pPr>
      <w:shd w:val="clear" w:color="auto" w:fill="000080"/>
    </w:pPr>
    <w:rPr>
      <w:lang w:bidi="ar-SA"/>
    </w:rPr>
  </w:style>
  <w:style w:type="paragraph" w:styleId="15">
    <w:name w:val="annotation text"/>
    <w:basedOn w:val="1"/>
    <w:link w:val="63"/>
    <w:qFormat/>
    <w:uiPriority w:val="0"/>
    <w:pPr>
      <w:jc w:val="left"/>
    </w:pPr>
    <w:rPr>
      <w:lang w:bidi="ar-SA"/>
    </w:rPr>
  </w:style>
  <w:style w:type="paragraph" w:styleId="16">
    <w:name w:val="Body Text 3"/>
    <w:basedOn w:val="1"/>
    <w:next w:val="1"/>
    <w:link w:val="64"/>
    <w:qFormat/>
    <w:uiPriority w:val="0"/>
    <w:pPr>
      <w:spacing w:after="120"/>
    </w:pPr>
    <w:rPr>
      <w:sz w:val="16"/>
      <w:szCs w:val="16"/>
      <w:lang w:bidi="ar-SA"/>
    </w:rPr>
  </w:style>
  <w:style w:type="paragraph" w:styleId="17">
    <w:name w:val="Body Text"/>
    <w:basedOn w:val="1"/>
    <w:link w:val="65"/>
    <w:qFormat/>
    <w:uiPriority w:val="99"/>
    <w:pPr>
      <w:spacing w:after="120" w:line="360" w:lineRule="auto"/>
      <w:ind w:firstLine="0" w:firstLineChars="0"/>
    </w:pPr>
    <w:rPr>
      <w:rFonts w:ascii="Times New Roman" w:hAnsi="Times New Roman" w:eastAsia="宋体"/>
      <w:lang w:bidi="ar-SA"/>
    </w:rPr>
  </w:style>
  <w:style w:type="paragraph" w:styleId="18">
    <w:name w:val="Body Text Indent"/>
    <w:basedOn w:val="1"/>
    <w:next w:val="19"/>
    <w:link w:val="66"/>
    <w:qFormat/>
    <w:uiPriority w:val="0"/>
    <w:pPr>
      <w:ind w:firstLine="630"/>
    </w:pPr>
    <w:rPr>
      <w:rFonts w:ascii="宋体"/>
      <w:sz w:val="20"/>
      <w:szCs w:val="20"/>
      <w:lang w:bidi="ar-SA"/>
    </w:rPr>
  </w:style>
  <w:style w:type="paragraph" w:styleId="19">
    <w:name w:val="envelope return"/>
    <w:basedOn w:val="1"/>
    <w:qFormat/>
    <w:uiPriority w:val="0"/>
    <w:pPr>
      <w:snapToGrid w:val="0"/>
    </w:pPr>
    <w:rPr>
      <w:rFonts w:ascii="Arial" w:hAnsi="Arial"/>
      <w:szCs w:val="24"/>
    </w:rPr>
  </w:style>
  <w:style w:type="paragraph" w:styleId="20">
    <w:name w:val="List Bullet 2"/>
    <w:basedOn w:val="13"/>
    <w:next w:val="1"/>
    <w:qFormat/>
    <w:uiPriority w:val="0"/>
    <w:pPr>
      <w:tabs>
        <w:tab w:val="clear" w:pos="360"/>
      </w:tabs>
    </w:pPr>
    <w:rPr>
      <w:kern w:val="0"/>
    </w:rPr>
  </w:style>
  <w:style w:type="paragraph" w:styleId="21">
    <w:name w:val="toc 5"/>
    <w:basedOn w:val="1"/>
    <w:next w:val="1"/>
    <w:qFormat/>
    <w:uiPriority w:val="0"/>
    <w:pPr>
      <w:ind w:left="840"/>
      <w:jc w:val="left"/>
    </w:pPr>
    <w:rPr>
      <w:sz w:val="18"/>
      <w:szCs w:val="18"/>
    </w:rPr>
  </w:style>
  <w:style w:type="paragraph" w:styleId="22">
    <w:name w:val="toc 3"/>
    <w:basedOn w:val="1"/>
    <w:next w:val="1"/>
    <w:qFormat/>
    <w:uiPriority w:val="0"/>
    <w:pPr>
      <w:ind w:left="420"/>
      <w:jc w:val="left"/>
    </w:pPr>
    <w:rPr>
      <w:iCs/>
      <w:sz w:val="20"/>
      <w:szCs w:val="20"/>
    </w:rPr>
  </w:style>
  <w:style w:type="paragraph" w:styleId="23">
    <w:name w:val="Plain Text"/>
    <w:basedOn w:val="1"/>
    <w:link w:val="67"/>
    <w:qFormat/>
    <w:uiPriority w:val="0"/>
    <w:rPr>
      <w:rFonts w:ascii="宋体" w:hAnsi="Courier New"/>
      <w:sz w:val="20"/>
      <w:szCs w:val="20"/>
      <w:lang w:bidi="ar-SA"/>
    </w:rPr>
  </w:style>
  <w:style w:type="paragraph" w:styleId="24">
    <w:name w:val="toc 8"/>
    <w:basedOn w:val="1"/>
    <w:next w:val="1"/>
    <w:qFormat/>
    <w:uiPriority w:val="0"/>
    <w:pPr>
      <w:ind w:left="1470"/>
      <w:jc w:val="left"/>
    </w:pPr>
    <w:rPr>
      <w:sz w:val="18"/>
      <w:szCs w:val="18"/>
    </w:rPr>
  </w:style>
  <w:style w:type="paragraph" w:styleId="25">
    <w:name w:val="Date"/>
    <w:basedOn w:val="1"/>
    <w:next w:val="1"/>
    <w:link w:val="68"/>
    <w:qFormat/>
    <w:uiPriority w:val="0"/>
    <w:pPr>
      <w:ind w:left="100" w:leftChars="2500"/>
    </w:pPr>
    <w:rPr>
      <w:rFonts w:ascii="仿宋_GB2312" w:eastAsia="仿宋_GB2312"/>
      <w:b/>
      <w:bCs/>
      <w:lang w:bidi="ar-SA"/>
    </w:rPr>
  </w:style>
  <w:style w:type="paragraph" w:styleId="26">
    <w:name w:val="Body Text Indent 2"/>
    <w:basedOn w:val="1"/>
    <w:next w:val="1"/>
    <w:link w:val="69"/>
    <w:qFormat/>
    <w:uiPriority w:val="0"/>
    <w:pPr>
      <w:tabs>
        <w:tab w:val="left" w:pos="4970"/>
      </w:tabs>
      <w:spacing w:line="360" w:lineRule="auto"/>
      <w:ind w:firstLine="480" w:firstLineChars="200"/>
    </w:pPr>
    <w:rPr>
      <w:lang w:bidi="ar-SA"/>
    </w:rPr>
  </w:style>
  <w:style w:type="paragraph" w:styleId="27">
    <w:name w:val="Balloon Text"/>
    <w:basedOn w:val="1"/>
    <w:link w:val="70"/>
    <w:qFormat/>
    <w:uiPriority w:val="0"/>
    <w:rPr>
      <w:sz w:val="18"/>
      <w:szCs w:val="18"/>
      <w:lang w:bidi="ar-SA"/>
    </w:rPr>
  </w:style>
  <w:style w:type="paragraph" w:styleId="28">
    <w:name w:val="footer"/>
    <w:basedOn w:val="1"/>
    <w:link w:val="71"/>
    <w:qFormat/>
    <w:uiPriority w:val="99"/>
    <w:pPr>
      <w:tabs>
        <w:tab w:val="center" w:pos="4153"/>
        <w:tab w:val="right" w:pos="8306"/>
      </w:tabs>
      <w:jc w:val="left"/>
    </w:pPr>
    <w:rPr>
      <w:sz w:val="18"/>
      <w:szCs w:val="18"/>
      <w:lang w:bidi="ar-SA"/>
    </w:rPr>
  </w:style>
  <w:style w:type="paragraph" w:styleId="29">
    <w:name w:val="header"/>
    <w:basedOn w:val="1"/>
    <w:link w:val="72"/>
    <w:qFormat/>
    <w:uiPriority w:val="99"/>
    <w:pPr>
      <w:pBdr>
        <w:bottom w:val="single" w:color="000000" w:sz="6" w:space="1"/>
      </w:pBdr>
      <w:tabs>
        <w:tab w:val="center" w:pos="4153"/>
        <w:tab w:val="right" w:pos="8306"/>
      </w:tabs>
      <w:jc w:val="center"/>
    </w:pPr>
    <w:rPr>
      <w:sz w:val="18"/>
      <w:szCs w:val="18"/>
      <w:lang w:bidi="ar-SA"/>
    </w:rPr>
  </w:style>
  <w:style w:type="paragraph" w:styleId="30">
    <w:name w:val="toc 1"/>
    <w:basedOn w:val="1"/>
    <w:next w:val="1"/>
    <w:qFormat/>
    <w:uiPriority w:val="0"/>
    <w:pPr>
      <w:spacing w:before="120" w:after="120"/>
      <w:jc w:val="left"/>
    </w:pPr>
    <w:rPr>
      <w:b/>
      <w:bCs/>
      <w:caps/>
      <w:sz w:val="20"/>
      <w:szCs w:val="20"/>
    </w:rPr>
  </w:style>
  <w:style w:type="paragraph" w:styleId="31">
    <w:name w:val="toc 4"/>
    <w:basedOn w:val="1"/>
    <w:next w:val="1"/>
    <w:qFormat/>
    <w:uiPriority w:val="0"/>
    <w:pPr>
      <w:ind w:left="630"/>
      <w:jc w:val="left"/>
    </w:pPr>
    <w:rPr>
      <w:sz w:val="18"/>
      <w:szCs w:val="18"/>
    </w:rPr>
  </w:style>
  <w:style w:type="paragraph" w:styleId="32">
    <w:name w:val="Subtitle"/>
    <w:basedOn w:val="1"/>
    <w:next w:val="1"/>
    <w:link w:val="73"/>
    <w:qFormat/>
    <w:uiPriority w:val="0"/>
    <w:pPr>
      <w:spacing w:after="60"/>
      <w:jc w:val="center"/>
      <w:outlineLvl w:val="1"/>
    </w:pPr>
    <w:rPr>
      <w:rFonts w:ascii="Cambria" w:hAnsi="Cambria"/>
      <w:lang w:bidi="ar-SA"/>
    </w:rPr>
  </w:style>
  <w:style w:type="paragraph" w:styleId="33">
    <w:name w:val="toc 6"/>
    <w:basedOn w:val="1"/>
    <w:next w:val="1"/>
    <w:qFormat/>
    <w:uiPriority w:val="0"/>
    <w:pPr>
      <w:ind w:left="1050"/>
      <w:jc w:val="left"/>
    </w:pPr>
    <w:rPr>
      <w:sz w:val="18"/>
      <w:szCs w:val="18"/>
    </w:rPr>
  </w:style>
  <w:style w:type="paragraph" w:styleId="34">
    <w:name w:val="Body Text Indent 3"/>
    <w:basedOn w:val="1"/>
    <w:next w:val="1"/>
    <w:link w:val="74"/>
    <w:qFormat/>
    <w:uiPriority w:val="0"/>
    <w:pPr>
      <w:spacing w:line="360" w:lineRule="auto"/>
      <w:ind w:left="1978" w:leftChars="942"/>
    </w:pPr>
    <w:rPr>
      <w:rFonts w:hAnsi="宋体"/>
      <w:lang w:bidi="ar-SA"/>
    </w:rPr>
  </w:style>
  <w:style w:type="paragraph" w:styleId="35">
    <w:name w:val="toc 2"/>
    <w:basedOn w:val="1"/>
    <w:next w:val="1"/>
    <w:qFormat/>
    <w:uiPriority w:val="0"/>
    <w:pPr>
      <w:ind w:left="210"/>
      <w:jc w:val="left"/>
    </w:pPr>
    <w:rPr>
      <w:smallCaps/>
      <w:sz w:val="20"/>
      <w:szCs w:val="20"/>
    </w:rPr>
  </w:style>
  <w:style w:type="paragraph" w:styleId="36">
    <w:name w:val="toc 9"/>
    <w:basedOn w:val="1"/>
    <w:next w:val="1"/>
    <w:qFormat/>
    <w:uiPriority w:val="0"/>
    <w:pPr>
      <w:ind w:left="1680"/>
      <w:jc w:val="left"/>
    </w:pPr>
    <w:rPr>
      <w:sz w:val="18"/>
      <w:szCs w:val="18"/>
    </w:rPr>
  </w:style>
  <w:style w:type="paragraph" w:styleId="37">
    <w:name w:val="Body Text 2"/>
    <w:basedOn w:val="1"/>
    <w:link w:val="75"/>
    <w:qFormat/>
    <w:uiPriority w:val="0"/>
    <w:rPr>
      <w:rFonts w:eastAsia="楷体_GB2312"/>
      <w:b/>
      <w:bCs/>
      <w:lang w:bidi="ar-SA"/>
    </w:rPr>
  </w:style>
  <w:style w:type="paragraph" w:styleId="38">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9">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40">
    <w:name w:val="Title"/>
    <w:basedOn w:val="1"/>
    <w:next w:val="1"/>
    <w:link w:val="76"/>
    <w:qFormat/>
    <w:uiPriority w:val="0"/>
    <w:pPr>
      <w:spacing w:before="240" w:after="60"/>
      <w:jc w:val="center"/>
      <w:outlineLvl w:val="0"/>
    </w:pPr>
    <w:rPr>
      <w:rFonts w:ascii="Cambria" w:hAnsi="Cambria"/>
      <w:b/>
      <w:bCs/>
      <w:kern w:val="28"/>
      <w:sz w:val="32"/>
      <w:szCs w:val="32"/>
      <w:lang w:bidi="ar-SA"/>
    </w:rPr>
  </w:style>
  <w:style w:type="paragraph" w:styleId="41">
    <w:name w:val="annotation subject"/>
    <w:basedOn w:val="15"/>
    <w:next w:val="15"/>
    <w:link w:val="77"/>
    <w:qFormat/>
    <w:uiPriority w:val="0"/>
    <w:rPr>
      <w:b/>
      <w:bCs/>
    </w:rPr>
  </w:style>
  <w:style w:type="paragraph" w:styleId="42">
    <w:name w:val="Body Text First Indent"/>
    <w:basedOn w:val="17"/>
    <w:unhideWhenUsed/>
    <w:qFormat/>
    <w:uiPriority w:val="0"/>
    <w:pPr>
      <w:ind w:firstLine="420" w:firstLineChars="100"/>
    </w:pPr>
    <w:rPr>
      <w:kern w:val="2"/>
      <w:sz w:val="21"/>
      <w:lang w:val="en-US" w:eastAsia="zh-CN"/>
    </w:rPr>
  </w:style>
  <w:style w:type="paragraph" w:styleId="43">
    <w:name w:val="Body Text First Indent 2"/>
    <w:basedOn w:val="18"/>
    <w:unhideWhenUsed/>
    <w:qFormat/>
    <w:uiPriority w:val="99"/>
    <w:pPr>
      <w:ind w:firstLine="420" w:firstLineChars="200"/>
    </w:pPr>
    <w:rPr>
      <w:rFonts w:ascii="Times New Roman" w:hAnsi="Times New Roman"/>
      <w:sz w:val="21"/>
      <w:szCs w:val="22"/>
    </w:rPr>
  </w:style>
  <w:style w:type="table" w:styleId="45">
    <w:name w:val="Table Grid"/>
    <w:basedOn w:val="44"/>
    <w:qFormat/>
    <w:uiPriority w:val="0"/>
    <w:rPr>
      <w:rFonts w:ascii="Times New Roman" w:hAnsi="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qFormat/>
    <w:uiPriority w:val="0"/>
    <w:rPr>
      <w:b/>
      <w:bCs/>
    </w:rPr>
  </w:style>
  <w:style w:type="character" w:styleId="48">
    <w:name w:val="page number"/>
    <w:qFormat/>
    <w:uiPriority w:val="0"/>
    <w:rPr>
      <w:rFonts w:ascii="Times New Roman" w:hAnsi="Times New Roman" w:cs="Times New Roman"/>
    </w:rPr>
  </w:style>
  <w:style w:type="character" w:styleId="49">
    <w:name w:val="FollowedHyperlink"/>
    <w:qFormat/>
    <w:uiPriority w:val="0"/>
    <w:rPr>
      <w:color w:val="800080"/>
      <w:u w:val="single"/>
    </w:rPr>
  </w:style>
  <w:style w:type="character" w:styleId="50">
    <w:name w:val="Emphasis"/>
    <w:qFormat/>
    <w:uiPriority w:val="0"/>
    <w:rPr>
      <w:rFonts w:ascii="Calibri" w:hAnsi="Calibri"/>
      <w:b/>
      <w:i/>
      <w:iCs/>
    </w:rPr>
  </w:style>
  <w:style w:type="character" w:styleId="51">
    <w:name w:val="Hyperlink"/>
    <w:qFormat/>
    <w:uiPriority w:val="0"/>
    <w:rPr>
      <w:color w:val="0000FF"/>
      <w:u w:val="single"/>
    </w:rPr>
  </w:style>
  <w:style w:type="character" w:styleId="52">
    <w:name w:val="annotation reference"/>
    <w:qFormat/>
    <w:uiPriority w:val="0"/>
    <w:rPr>
      <w:rFonts w:ascii="Times New Roman" w:hAnsi="Times New Roman" w:cs="Times New Roman"/>
      <w:sz w:val="21"/>
      <w:szCs w:val="21"/>
    </w:rPr>
  </w:style>
  <w:style w:type="character" w:customStyle="1" w:styleId="53">
    <w:name w:val="标题 1 字符1"/>
    <w:link w:val="2"/>
    <w:qFormat/>
    <w:locked/>
    <w:uiPriority w:val="9"/>
    <w:rPr>
      <w:rFonts w:ascii="Cambria" w:hAnsi="Cambria" w:eastAsia="宋体" w:cs="Calibri"/>
      <w:b/>
      <w:bCs/>
      <w:kern w:val="32"/>
      <w:sz w:val="32"/>
      <w:szCs w:val="32"/>
    </w:rPr>
  </w:style>
  <w:style w:type="character" w:customStyle="1" w:styleId="54">
    <w:name w:val="标题 2 字符1"/>
    <w:link w:val="3"/>
    <w:qFormat/>
    <w:locked/>
    <w:uiPriority w:val="9"/>
    <w:rPr>
      <w:rFonts w:ascii="Cambria" w:hAnsi="Cambria" w:eastAsia="宋体"/>
      <w:b/>
      <w:bCs/>
      <w:i/>
      <w:iCs/>
      <w:sz w:val="28"/>
      <w:szCs w:val="28"/>
    </w:rPr>
  </w:style>
  <w:style w:type="character" w:customStyle="1" w:styleId="55">
    <w:name w:val="标题 3 字符1"/>
    <w:link w:val="4"/>
    <w:qFormat/>
    <w:locked/>
    <w:uiPriority w:val="9"/>
    <w:rPr>
      <w:rFonts w:ascii="Cambria" w:hAnsi="Cambria" w:eastAsia="宋体" w:cs="Calibri"/>
      <w:b/>
      <w:bCs/>
      <w:sz w:val="26"/>
      <w:szCs w:val="26"/>
    </w:rPr>
  </w:style>
  <w:style w:type="character" w:customStyle="1" w:styleId="56">
    <w:name w:val="标题 4 字符1"/>
    <w:link w:val="5"/>
    <w:qFormat/>
    <w:locked/>
    <w:uiPriority w:val="9"/>
    <w:rPr>
      <w:rFonts w:cs="Calibri"/>
      <w:b/>
      <w:bCs/>
      <w:sz w:val="28"/>
      <w:szCs w:val="28"/>
    </w:rPr>
  </w:style>
  <w:style w:type="character" w:customStyle="1" w:styleId="57">
    <w:name w:val="标题 5 字符1"/>
    <w:link w:val="6"/>
    <w:qFormat/>
    <w:locked/>
    <w:uiPriority w:val="9"/>
    <w:rPr>
      <w:rFonts w:cs="Calibri"/>
      <w:b/>
      <w:bCs/>
      <w:i/>
      <w:iCs/>
      <w:sz w:val="26"/>
      <w:szCs w:val="26"/>
    </w:rPr>
  </w:style>
  <w:style w:type="character" w:customStyle="1" w:styleId="58">
    <w:name w:val="标题 6 字符1"/>
    <w:link w:val="7"/>
    <w:qFormat/>
    <w:locked/>
    <w:uiPriority w:val="9"/>
    <w:rPr>
      <w:rFonts w:cs="Calibri"/>
      <w:b/>
      <w:bCs/>
    </w:rPr>
  </w:style>
  <w:style w:type="character" w:customStyle="1" w:styleId="59">
    <w:name w:val="标题 7 字符1"/>
    <w:link w:val="8"/>
    <w:qFormat/>
    <w:locked/>
    <w:uiPriority w:val="9"/>
    <w:rPr>
      <w:rFonts w:cs="Calibri"/>
      <w:sz w:val="24"/>
      <w:szCs w:val="24"/>
    </w:rPr>
  </w:style>
  <w:style w:type="character" w:customStyle="1" w:styleId="60">
    <w:name w:val="标题 8 字符1"/>
    <w:link w:val="9"/>
    <w:qFormat/>
    <w:locked/>
    <w:uiPriority w:val="9"/>
    <w:rPr>
      <w:rFonts w:cs="Calibri"/>
      <w:i/>
      <w:iCs/>
      <w:sz w:val="24"/>
      <w:szCs w:val="24"/>
    </w:rPr>
  </w:style>
  <w:style w:type="character" w:customStyle="1" w:styleId="61">
    <w:name w:val="标题 9 字符1"/>
    <w:link w:val="10"/>
    <w:qFormat/>
    <w:locked/>
    <w:uiPriority w:val="9"/>
    <w:rPr>
      <w:rFonts w:ascii="Cambria" w:hAnsi="Cambria" w:eastAsia="宋体" w:cs="Calibri"/>
    </w:rPr>
  </w:style>
  <w:style w:type="character" w:customStyle="1" w:styleId="62">
    <w:name w:val="文档结构图 字符1"/>
    <w:link w:val="14"/>
    <w:semiHidden/>
    <w:qFormat/>
    <w:locked/>
    <w:uiPriority w:val="99"/>
    <w:rPr>
      <w:rFonts w:ascii="Times New Roman" w:hAnsi="Times New Roman" w:eastAsia="宋体" w:cs="Times New Roman"/>
      <w:sz w:val="24"/>
      <w:szCs w:val="24"/>
      <w:shd w:val="clear" w:color="auto" w:fill="000080"/>
    </w:rPr>
  </w:style>
  <w:style w:type="character" w:customStyle="1" w:styleId="63">
    <w:name w:val="批注文字 字符1"/>
    <w:link w:val="15"/>
    <w:semiHidden/>
    <w:qFormat/>
    <w:locked/>
    <w:uiPriority w:val="99"/>
    <w:rPr>
      <w:rFonts w:ascii="Times New Roman" w:hAnsi="Times New Roman" w:eastAsia="宋体" w:cs="Times New Roman"/>
      <w:sz w:val="24"/>
      <w:szCs w:val="24"/>
    </w:rPr>
  </w:style>
  <w:style w:type="character" w:customStyle="1" w:styleId="64">
    <w:name w:val="正文文本 3 字符1"/>
    <w:link w:val="16"/>
    <w:qFormat/>
    <w:locked/>
    <w:uiPriority w:val="99"/>
    <w:rPr>
      <w:rFonts w:ascii="Times New Roman" w:hAnsi="Times New Roman" w:eastAsia="宋体" w:cs="Times New Roman"/>
      <w:sz w:val="16"/>
      <w:szCs w:val="16"/>
    </w:rPr>
  </w:style>
  <w:style w:type="character" w:customStyle="1" w:styleId="65">
    <w:name w:val="正文文本 字符1"/>
    <w:link w:val="17"/>
    <w:semiHidden/>
    <w:qFormat/>
    <w:locked/>
    <w:uiPriority w:val="99"/>
    <w:rPr>
      <w:rFonts w:ascii="Times New Roman" w:hAnsi="Times New Roman" w:eastAsia="宋体" w:cs="Times New Roman"/>
      <w:sz w:val="24"/>
      <w:szCs w:val="24"/>
    </w:rPr>
  </w:style>
  <w:style w:type="character" w:customStyle="1" w:styleId="66">
    <w:name w:val="正文文本缩进 字符1"/>
    <w:link w:val="18"/>
    <w:qFormat/>
    <w:locked/>
    <w:uiPriority w:val="0"/>
    <w:rPr>
      <w:rFonts w:ascii="宋体" w:hAnsi="Times New Roman" w:eastAsia="宋体" w:cs="宋体"/>
      <w:sz w:val="20"/>
      <w:szCs w:val="20"/>
    </w:rPr>
  </w:style>
  <w:style w:type="character" w:customStyle="1" w:styleId="67">
    <w:name w:val="纯文本 字符1"/>
    <w:link w:val="23"/>
    <w:qFormat/>
    <w:locked/>
    <w:uiPriority w:val="0"/>
    <w:rPr>
      <w:rFonts w:ascii="宋体" w:hAnsi="Courier New" w:eastAsia="宋体" w:cs="宋体"/>
      <w:sz w:val="20"/>
      <w:szCs w:val="20"/>
    </w:rPr>
  </w:style>
  <w:style w:type="character" w:customStyle="1" w:styleId="68">
    <w:name w:val="日期 字符1"/>
    <w:link w:val="25"/>
    <w:semiHidden/>
    <w:qFormat/>
    <w:locked/>
    <w:uiPriority w:val="99"/>
    <w:rPr>
      <w:rFonts w:ascii="仿宋_GB2312" w:hAnsi="Times New Roman" w:eastAsia="仿宋_GB2312" w:cs="仿宋_GB2312"/>
      <w:b/>
      <w:bCs/>
      <w:sz w:val="24"/>
      <w:szCs w:val="24"/>
    </w:rPr>
  </w:style>
  <w:style w:type="character" w:customStyle="1" w:styleId="69">
    <w:name w:val="正文文本缩进 2 字符1"/>
    <w:link w:val="26"/>
    <w:semiHidden/>
    <w:qFormat/>
    <w:locked/>
    <w:uiPriority w:val="99"/>
    <w:rPr>
      <w:rFonts w:ascii="Times New Roman" w:hAnsi="Times New Roman" w:eastAsia="宋体" w:cs="Times New Roman"/>
      <w:sz w:val="24"/>
      <w:szCs w:val="24"/>
    </w:rPr>
  </w:style>
  <w:style w:type="character" w:customStyle="1" w:styleId="70">
    <w:name w:val="批注框文本 字符1"/>
    <w:link w:val="27"/>
    <w:semiHidden/>
    <w:qFormat/>
    <w:locked/>
    <w:uiPriority w:val="99"/>
    <w:rPr>
      <w:rFonts w:ascii="Times New Roman" w:hAnsi="Times New Roman" w:eastAsia="宋体" w:cs="Times New Roman"/>
      <w:sz w:val="18"/>
      <w:szCs w:val="18"/>
    </w:rPr>
  </w:style>
  <w:style w:type="character" w:customStyle="1" w:styleId="71">
    <w:name w:val="页脚 字符1"/>
    <w:link w:val="28"/>
    <w:qFormat/>
    <w:locked/>
    <w:uiPriority w:val="99"/>
    <w:rPr>
      <w:sz w:val="18"/>
      <w:szCs w:val="18"/>
    </w:rPr>
  </w:style>
  <w:style w:type="character" w:customStyle="1" w:styleId="72">
    <w:name w:val="页眉 字符1"/>
    <w:link w:val="29"/>
    <w:qFormat/>
    <w:locked/>
    <w:uiPriority w:val="99"/>
    <w:rPr>
      <w:sz w:val="18"/>
      <w:szCs w:val="18"/>
    </w:rPr>
  </w:style>
  <w:style w:type="character" w:customStyle="1" w:styleId="73">
    <w:name w:val="副标题 字符1"/>
    <w:link w:val="32"/>
    <w:qFormat/>
    <w:locked/>
    <w:uiPriority w:val="11"/>
    <w:rPr>
      <w:rFonts w:ascii="Cambria" w:hAnsi="Cambria" w:eastAsia="宋体"/>
      <w:sz w:val="24"/>
      <w:szCs w:val="24"/>
    </w:rPr>
  </w:style>
  <w:style w:type="character" w:customStyle="1" w:styleId="74">
    <w:name w:val="正文文本缩进 3 字符1"/>
    <w:link w:val="34"/>
    <w:semiHidden/>
    <w:qFormat/>
    <w:locked/>
    <w:uiPriority w:val="99"/>
    <w:rPr>
      <w:rFonts w:ascii="Times New Roman" w:hAnsi="宋体" w:eastAsia="宋体" w:cs="Times New Roman"/>
      <w:sz w:val="24"/>
      <w:szCs w:val="24"/>
    </w:rPr>
  </w:style>
  <w:style w:type="character" w:customStyle="1" w:styleId="75">
    <w:name w:val="正文文本 2 字符1"/>
    <w:link w:val="37"/>
    <w:semiHidden/>
    <w:qFormat/>
    <w:locked/>
    <w:uiPriority w:val="99"/>
    <w:rPr>
      <w:rFonts w:ascii="Times New Roman" w:hAnsi="Times New Roman" w:eastAsia="楷体_GB2312" w:cs="Times New Roman"/>
      <w:b/>
      <w:bCs/>
      <w:sz w:val="24"/>
      <w:szCs w:val="24"/>
    </w:rPr>
  </w:style>
  <w:style w:type="character" w:customStyle="1" w:styleId="76">
    <w:name w:val="标题 字符1"/>
    <w:link w:val="40"/>
    <w:qFormat/>
    <w:locked/>
    <w:uiPriority w:val="10"/>
    <w:rPr>
      <w:rFonts w:ascii="Cambria" w:hAnsi="Cambria" w:eastAsia="宋体"/>
      <w:b/>
      <w:bCs/>
      <w:kern w:val="28"/>
      <w:sz w:val="32"/>
      <w:szCs w:val="32"/>
    </w:rPr>
  </w:style>
  <w:style w:type="character" w:customStyle="1" w:styleId="77">
    <w:name w:val="批注主题 字符1"/>
    <w:link w:val="41"/>
    <w:semiHidden/>
    <w:qFormat/>
    <w:locked/>
    <w:uiPriority w:val="99"/>
    <w:rPr>
      <w:rFonts w:ascii="Times New Roman" w:hAnsi="Times New Roman" w:eastAsia="宋体" w:cs="Times New Roman"/>
      <w:b/>
      <w:bCs/>
      <w:sz w:val="24"/>
      <w:szCs w:val="24"/>
    </w:rPr>
  </w:style>
  <w:style w:type="character" w:customStyle="1" w:styleId="78">
    <w:name w:val="正文文本缩进 Char"/>
    <w:qFormat/>
    <w:locked/>
    <w:uiPriority w:val="0"/>
    <w:rPr>
      <w:rFonts w:ascii="宋体" w:eastAsia="宋体"/>
      <w:kern w:val="2"/>
      <w:sz w:val="32"/>
      <w:szCs w:val="32"/>
      <w:lang w:bidi="ar-SA"/>
    </w:rPr>
  </w:style>
  <w:style w:type="character" w:customStyle="1" w:styleId="79">
    <w:name w:val="日期 字符"/>
    <w:semiHidden/>
    <w:qFormat/>
    <w:locked/>
    <w:uiPriority w:val="99"/>
    <w:rPr>
      <w:rFonts w:ascii="仿宋_GB2312" w:hAnsi="Times New Roman" w:eastAsia="仿宋_GB2312" w:cs="仿宋_GB2312"/>
      <w:b/>
      <w:bCs/>
      <w:sz w:val="24"/>
      <w:szCs w:val="24"/>
    </w:rPr>
  </w:style>
  <w:style w:type="character" w:customStyle="1" w:styleId="80">
    <w:name w:val="批注文字 字符"/>
    <w:semiHidden/>
    <w:qFormat/>
    <w:locked/>
    <w:uiPriority w:val="99"/>
    <w:rPr>
      <w:rFonts w:ascii="Times New Roman" w:hAnsi="Times New Roman" w:eastAsia="宋体" w:cs="Times New Roman"/>
      <w:sz w:val="24"/>
      <w:szCs w:val="24"/>
    </w:rPr>
  </w:style>
  <w:style w:type="character" w:customStyle="1" w:styleId="81">
    <w:name w:val="Char Char10"/>
    <w:qFormat/>
    <w:uiPriority w:val="99"/>
    <w:rPr>
      <w:rFonts w:ascii="宋体" w:hAnsi="Courier New" w:eastAsia="宋体" w:cs="宋体"/>
      <w:kern w:val="2"/>
      <w:sz w:val="24"/>
      <w:szCs w:val="24"/>
      <w:lang w:val="en-US" w:eastAsia="zh-CN"/>
    </w:rPr>
  </w:style>
  <w:style w:type="character" w:customStyle="1" w:styleId="82">
    <w:name w:val="_Style 81"/>
    <w:qFormat/>
    <w:uiPriority w:val="32"/>
    <w:rPr>
      <w:b/>
      <w:sz w:val="24"/>
      <w:u w:val="single"/>
    </w:rPr>
  </w:style>
  <w:style w:type="character" w:customStyle="1" w:styleId="83">
    <w:name w:val="font31"/>
    <w:qFormat/>
    <w:uiPriority w:val="0"/>
    <w:rPr>
      <w:rFonts w:hint="eastAsia" w:ascii="宋体" w:hAnsi="宋体" w:eastAsia="宋体" w:cs="宋体"/>
      <w:b/>
      <w:bCs/>
      <w:color w:val="000000"/>
      <w:sz w:val="22"/>
      <w:szCs w:val="22"/>
      <w:u w:val="none"/>
    </w:rPr>
  </w:style>
  <w:style w:type="character" w:customStyle="1" w:styleId="84">
    <w:name w:val="批注主题 字符"/>
    <w:semiHidden/>
    <w:qFormat/>
    <w:locked/>
    <w:uiPriority w:val="99"/>
    <w:rPr>
      <w:rFonts w:ascii="Times New Roman" w:hAnsi="Times New Roman" w:eastAsia="宋体" w:cs="Times New Roman"/>
      <w:b/>
      <w:bCs/>
      <w:sz w:val="24"/>
      <w:szCs w:val="24"/>
    </w:rPr>
  </w:style>
  <w:style w:type="character" w:customStyle="1" w:styleId="85">
    <w:name w:val="标题 Char1"/>
    <w:qFormat/>
    <w:locked/>
    <w:uiPriority w:val="99"/>
    <w:rPr>
      <w:rFonts w:ascii="Cambria" w:hAnsi="Cambria" w:eastAsia="宋体" w:cs="Cambria"/>
      <w:b/>
      <w:bCs/>
      <w:kern w:val="0"/>
      <w:sz w:val="20"/>
      <w:szCs w:val="20"/>
    </w:rPr>
  </w:style>
  <w:style w:type="character" w:customStyle="1" w:styleId="86">
    <w:name w:val="纯文本 Char"/>
    <w:qFormat/>
    <w:locked/>
    <w:uiPriority w:val="0"/>
    <w:rPr>
      <w:rFonts w:ascii="宋体" w:hAnsi="Courier New" w:eastAsia="宋体"/>
      <w:kern w:val="2"/>
      <w:sz w:val="21"/>
      <w:szCs w:val="21"/>
      <w:lang w:bidi="ar-SA"/>
    </w:rPr>
  </w:style>
  <w:style w:type="character" w:customStyle="1" w:styleId="87">
    <w:name w:val="标题 8 字符"/>
    <w:semiHidden/>
    <w:qFormat/>
    <w:locked/>
    <w:uiPriority w:val="99"/>
    <w:rPr>
      <w:rFonts w:ascii="Arial" w:hAnsi="Arial" w:eastAsia="黑体" w:cs="Arial"/>
      <w:sz w:val="24"/>
      <w:szCs w:val="24"/>
      <w:lang w:val="en-US" w:eastAsia="zh-CN"/>
    </w:rPr>
  </w:style>
  <w:style w:type="character" w:customStyle="1" w:styleId="88">
    <w:name w:val="_Style 87"/>
    <w:qFormat/>
    <w:uiPriority w:val="21"/>
    <w:rPr>
      <w:b/>
      <w:i/>
      <w:sz w:val="24"/>
      <w:szCs w:val="24"/>
      <w:u w:val="single"/>
    </w:rPr>
  </w:style>
  <w:style w:type="character" w:customStyle="1" w:styleId="89">
    <w:name w:val="标题 6 Char1"/>
    <w:qFormat/>
    <w:locked/>
    <w:uiPriority w:val="99"/>
    <w:rPr>
      <w:rFonts w:ascii="Arial" w:hAnsi="Arial" w:eastAsia="黑体" w:cs="Calibri"/>
      <w:b/>
      <w:bCs/>
      <w:sz w:val="24"/>
      <w:szCs w:val="24"/>
      <w:lang w:bidi="ar-SA"/>
    </w:rPr>
  </w:style>
  <w:style w:type="character" w:customStyle="1" w:styleId="90">
    <w:name w:val="font41"/>
    <w:qFormat/>
    <w:uiPriority w:val="0"/>
    <w:rPr>
      <w:rFonts w:hint="eastAsia" w:ascii="宋体" w:hAnsi="宋体" w:eastAsia="宋体" w:cs="宋体"/>
      <w:b/>
      <w:bCs/>
      <w:color w:val="000000"/>
      <w:sz w:val="22"/>
      <w:szCs w:val="22"/>
      <w:u w:val="single"/>
    </w:rPr>
  </w:style>
  <w:style w:type="character" w:customStyle="1" w:styleId="91">
    <w:name w:val="textcontents1"/>
    <w:qFormat/>
    <w:uiPriority w:val="99"/>
    <w:rPr>
      <w:color w:val="000000"/>
      <w:sz w:val="22"/>
      <w:szCs w:val="22"/>
    </w:rPr>
  </w:style>
  <w:style w:type="character" w:customStyle="1" w:styleId="92">
    <w:name w:val="p0 Char Char"/>
    <w:link w:val="93"/>
    <w:qFormat/>
    <w:locked/>
    <w:uiPriority w:val="99"/>
    <w:rPr>
      <w:rFonts w:ascii="Times New Roman" w:hAnsi="Times New Roman" w:eastAsia="宋体" w:cs="Times New Roman"/>
      <w:kern w:val="0"/>
      <w:sz w:val="21"/>
      <w:szCs w:val="21"/>
    </w:rPr>
  </w:style>
  <w:style w:type="paragraph" w:customStyle="1" w:styleId="93">
    <w:name w:val="p0"/>
    <w:basedOn w:val="1"/>
    <w:next w:val="1"/>
    <w:link w:val="92"/>
    <w:qFormat/>
    <w:uiPriority w:val="99"/>
    <w:pPr>
      <w:widowControl/>
    </w:pPr>
    <w:rPr>
      <w:sz w:val="21"/>
      <w:szCs w:val="21"/>
      <w:lang w:bidi="ar-SA"/>
    </w:rPr>
  </w:style>
  <w:style w:type="character" w:customStyle="1" w:styleId="94">
    <w:name w:val="标题 9 Char1"/>
    <w:qFormat/>
    <w:locked/>
    <w:uiPriority w:val="99"/>
    <w:rPr>
      <w:rFonts w:ascii="Arial" w:hAnsi="Arial" w:eastAsia="黑体" w:cs="Calibri"/>
      <w:sz w:val="21"/>
      <w:szCs w:val="21"/>
      <w:lang w:bidi="ar-SA"/>
    </w:rPr>
  </w:style>
  <w:style w:type="character" w:customStyle="1" w:styleId="95">
    <w:name w:val="标题 字符"/>
    <w:qFormat/>
    <w:locked/>
    <w:uiPriority w:val="99"/>
    <w:rPr>
      <w:rFonts w:ascii="Cambria" w:hAnsi="Cambria" w:eastAsia="宋体" w:cs="Cambria"/>
      <w:b/>
      <w:bCs/>
      <w:kern w:val="0"/>
      <w:sz w:val="20"/>
      <w:szCs w:val="20"/>
    </w:rPr>
  </w:style>
  <w:style w:type="character" w:customStyle="1" w:styleId="96">
    <w:name w:val="标题 8 Char1"/>
    <w:qFormat/>
    <w:locked/>
    <w:uiPriority w:val="99"/>
    <w:rPr>
      <w:rFonts w:ascii="Arial" w:hAnsi="Arial" w:eastAsia="黑体" w:cs="Calibri"/>
      <w:sz w:val="24"/>
      <w:szCs w:val="24"/>
      <w:lang w:bidi="ar-SA"/>
    </w:rPr>
  </w:style>
  <w:style w:type="character" w:customStyle="1" w:styleId="97">
    <w:name w:val="批注框文本 字符"/>
    <w:semiHidden/>
    <w:qFormat/>
    <w:locked/>
    <w:uiPriority w:val="99"/>
    <w:rPr>
      <w:rFonts w:ascii="Times New Roman" w:hAnsi="Times New Roman" w:eastAsia="宋体" w:cs="Times New Roman"/>
      <w:sz w:val="18"/>
      <w:szCs w:val="18"/>
    </w:rPr>
  </w:style>
  <w:style w:type="character" w:customStyle="1" w:styleId="98">
    <w:name w:val="页脚 Char"/>
    <w:qFormat/>
    <w:locked/>
    <w:uiPriority w:val="0"/>
    <w:rPr>
      <w:rFonts w:ascii="Calibri" w:hAnsi="Calibri"/>
      <w:kern w:val="2"/>
      <w:sz w:val="18"/>
      <w:szCs w:val="18"/>
      <w:lang w:bidi="ar-SA"/>
    </w:rPr>
  </w:style>
  <w:style w:type="character" w:customStyle="1" w:styleId="99">
    <w:name w:val="15"/>
    <w:qFormat/>
    <w:uiPriority w:val="99"/>
    <w:rPr>
      <w:rFonts w:ascii="Times New Roman" w:hAnsi="Times New Roman" w:cs="Times New Roman"/>
      <w:color w:val="000000"/>
      <w:u w:val="none"/>
    </w:rPr>
  </w:style>
  <w:style w:type="character" w:customStyle="1" w:styleId="100">
    <w:name w:val="页眉 Char"/>
    <w:qFormat/>
    <w:uiPriority w:val="99"/>
    <w:rPr>
      <w:rFonts w:eastAsia="宋体"/>
      <w:sz w:val="18"/>
      <w:szCs w:val="18"/>
      <w:lang w:bidi="ar-SA"/>
    </w:rPr>
  </w:style>
  <w:style w:type="character" w:customStyle="1" w:styleId="101">
    <w:name w:val="_Style 100"/>
    <w:qFormat/>
    <w:uiPriority w:val="31"/>
    <w:rPr>
      <w:sz w:val="24"/>
      <w:szCs w:val="24"/>
      <w:u w:val="single"/>
    </w:rPr>
  </w:style>
  <w:style w:type="character" w:customStyle="1" w:styleId="102">
    <w:name w:val="正文文本缩进 3 字符"/>
    <w:semiHidden/>
    <w:qFormat/>
    <w:locked/>
    <w:uiPriority w:val="99"/>
    <w:rPr>
      <w:rFonts w:ascii="Times New Roman" w:hAnsi="宋体" w:eastAsia="宋体" w:cs="Times New Roman"/>
      <w:sz w:val="24"/>
      <w:szCs w:val="24"/>
    </w:rPr>
  </w:style>
  <w:style w:type="character" w:customStyle="1" w:styleId="103">
    <w:name w:val="纯文本 字符"/>
    <w:qFormat/>
    <w:locked/>
    <w:uiPriority w:val="99"/>
    <w:rPr>
      <w:rFonts w:ascii="宋体" w:hAnsi="Courier New" w:eastAsia="宋体" w:cs="宋体"/>
      <w:sz w:val="20"/>
      <w:szCs w:val="20"/>
    </w:rPr>
  </w:style>
  <w:style w:type="character" w:customStyle="1" w:styleId="104">
    <w:name w:val="副标题 字符"/>
    <w:qFormat/>
    <w:locked/>
    <w:uiPriority w:val="99"/>
    <w:rPr>
      <w:rFonts w:ascii="Calibri Light" w:hAnsi="Calibri Light" w:eastAsia="宋体" w:cs="Calibri Light"/>
      <w:b/>
      <w:bCs/>
      <w:kern w:val="28"/>
      <w:sz w:val="20"/>
      <w:szCs w:val="20"/>
    </w:rPr>
  </w:style>
  <w:style w:type="character" w:customStyle="1" w:styleId="105">
    <w:name w:val="页脚 字符"/>
    <w:qFormat/>
    <w:locked/>
    <w:uiPriority w:val="99"/>
    <w:rPr>
      <w:sz w:val="18"/>
      <w:szCs w:val="18"/>
    </w:rPr>
  </w:style>
  <w:style w:type="character" w:customStyle="1" w:styleId="106">
    <w:name w:val="引用 字符"/>
    <w:link w:val="107"/>
    <w:qFormat/>
    <w:uiPriority w:val="29"/>
    <w:rPr>
      <w:i/>
      <w:sz w:val="24"/>
      <w:szCs w:val="24"/>
    </w:rPr>
  </w:style>
  <w:style w:type="paragraph" w:styleId="107">
    <w:name w:val="Quote"/>
    <w:basedOn w:val="1"/>
    <w:next w:val="1"/>
    <w:link w:val="106"/>
    <w:qFormat/>
    <w:uiPriority w:val="29"/>
    <w:rPr>
      <w:i/>
      <w:lang w:bidi="ar-SA"/>
    </w:rPr>
  </w:style>
  <w:style w:type="character" w:customStyle="1" w:styleId="108">
    <w:name w:val="正文文本 3 Char"/>
    <w:qFormat/>
    <w:locked/>
    <w:uiPriority w:val="0"/>
    <w:rPr>
      <w:kern w:val="2"/>
      <w:sz w:val="16"/>
      <w:szCs w:val="16"/>
      <w:lang w:bidi="ar-SA"/>
    </w:rPr>
  </w:style>
  <w:style w:type="character" w:customStyle="1" w:styleId="109">
    <w:name w:val="Char Char3"/>
    <w:qFormat/>
    <w:uiPriority w:val="99"/>
    <w:rPr>
      <w:rFonts w:ascii="宋体" w:hAnsi="宋体" w:eastAsia="宋体" w:cs="宋体"/>
      <w:sz w:val="18"/>
      <w:szCs w:val="18"/>
      <w:lang w:val="en-US" w:eastAsia="zh-CN"/>
    </w:rPr>
  </w:style>
  <w:style w:type="character" w:customStyle="1" w:styleId="110">
    <w:name w:val="标题 9 字符"/>
    <w:semiHidden/>
    <w:qFormat/>
    <w:locked/>
    <w:uiPriority w:val="99"/>
    <w:rPr>
      <w:rFonts w:ascii="Arial" w:hAnsi="Arial" w:eastAsia="黑体" w:cs="Arial"/>
      <w:sz w:val="21"/>
      <w:szCs w:val="21"/>
      <w:lang w:val="en-US" w:eastAsia="zh-CN"/>
    </w:rPr>
  </w:style>
  <w:style w:type="character" w:customStyle="1" w:styleId="111">
    <w:name w:val="标题 6 字符"/>
    <w:semiHidden/>
    <w:qFormat/>
    <w:locked/>
    <w:uiPriority w:val="99"/>
    <w:rPr>
      <w:rFonts w:ascii="Arial" w:hAnsi="Arial" w:eastAsia="黑体" w:cs="Arial"/>
      <w:b/>
      <w:bCs/>
      <w:sz w:val="24"/>
      <w:szCs w:val="24"/>
      <w:lang w:val="en-US" w:eastAsia="zh-CN"/>
    </w:rPr>
  </w:style>
  <w:style w:type="character" w:customStyle="1" w:styleId="112">
    <w:name w:val="文档结构图 字符"/>
    <w:semiHidden/>
    <w:qFormat/>
    <w:locked/>
    <w:uiPriority w:val="99"/>
    <w:rPr>
      <w:rFonts w:ascii="Times New Roman" w:hAnsi="Times New Roman" w:eastAsia="宋体" w:cs="Times New Roman"/>
      <w:sz w:val="24"/>
      <w:szCs w:val="24"/>
      <w:shd w:val="clear" w:color="auto" w:fill="000080"/>
    </w:rPr>
  </w:style>
  <w:style w:type="character" w:customStyle="1" w:styleId="113">
    <w:name w:val="正文文本 2 字符"/>
    <w:semiHidden/>
    <w:qFormat/>
    <w:locked/>
    <w:uiPriority w:val="99"/>
    <w:rPr>
      <w:rFonts w:ascii="Times New Roman" w:hAnsi="Times New Roman" w:eastAsia="楷体_GB2312" w:cs="Times New Roman"/>
      <w:b/>
      <w:bCs/>
      <w:sz w:val="24"/>
      <w:szCs w:val="24"/>
    </w:rPr>
  </w:style>
  <w:style w:type="character" w:customStyle="1" w:styleId="114">
    <w:name w:val="正文文本缩进 字符"/>
    <w:qFormat/>
    <w:locked/>
    <w:uiPriority w:val="99"/>
    <w:rPr>
      <w:rFonts w:ascii="宋体" w:hAnsi="Times New Roman" w:eastAsia="宋体" w:cs="宋体"/>
      <w:sz w:val="20"/>
      <w:szCs w:val="20"/>
    </w:rPr>
  </w:style>
  <w:style w:type="character" w:customStyle="1" w:styleId="115">
    <w:name w:val="样式111 Char"/>
    <w:link w:val="116"/>
    <w:qFormat/>
    <w:locked/>
    <w:uiPriority w:val="0"/>
    <w:rPr>
      <w:rFonts w:ascii="Calibri" w:hAnsi="Calibri" w:eastAsia="宋体"/>
      <w:kern w:val="2"/>
      <w:sz w:val="21"/>
      <w:szCs w:val="22"/>
      <w:lang w:val="en-US" w:eastAsia="zh-CN" w:bidi="ar-SA"/>
    </w:rPr>
  </w:style>
  <w:style w:type="paragraph" w:customStyle="1" w:styleId="116">
    <w:name w:val="样式111"/>
    <w:basedOn w:val="1"/>
    <w:link w:val="115"/>
    <w:qFormat/>
    <w:uiPriority w:val="0"/>
    <w:pPr>
      <w:ind w:left="550" w:leftChars="550"/>
    </w:pPr>
    <w:rPr>
      <w:rFonts w:ascii="Calibri" w:hAnsi="Calibri"/>
      <w:kern w:val="2"/>
      <w:sz w:val="21"/>
      <w:szCs w:val="22"/>
      <w:lang w:eastAsia="zh-CN" w:bidi="ar-SA"/>
    </w:rPr>
  </w:style>
  <w:style w:type="character" w:customStyle="1" w:styleId="117">
    <w:name w:val="font61"/>
    <w:qFormat/>
    <w:uiPriority w:val="0"/>
    <w:rPr>
      <w:rFonts w:hint="eastAsia" w:ascii="宋体" w:hAnsi="宋体" w:eastAsia="宋体" w:cs="宋体"/>
      <w:color w:val="000000"/>
      <w:sz w:val="22"/>
      <w:szCs w:val="22"/>
      <w:u w:val="single"/>
    </w:rPr>
  </w:style>
  <w:style w:type="character" w:customStyle="1" w:styleId="118">
    <w:name w:val="页眉 字符"/>
    <w:qFormat/>
    <w:locked/>
    <w:uiPriority w:val="99"/>
    <w:rPr>
      <w:sz w:val="18"/>
      <w:szCs w:val="18"/>
    </w:rPr>
  </w:style>
  <w:style w:type="character" w:customStyle="1" w:styleId="119">
    <w:name w:val="标题 1 Char1"/>
    <w:qFormat/>
    <w:locked/>
    <w:uiPriority w:val="99"/>
    <w:rPr>
      <w:rFonts w:ascii="宋体" w:hAnsi="Calibri" w:eastAsia="宋体" w:cs="Calibri"/>
      <w:sz w:val="44"/>
      <w:szCs w:val="44"/>
      <w:lang w:bidi="ar-SA"/>
    </w:rPr>
  </w:style>
  <w:style w:type="character" w:customStyle="1" w:styleId="120">
    <w:name w:val="font11"/>
    <w:qFormat/>
    <w:uiPriority w:val="0"/>
    <w:rPr>
      <w:rFonts w:hint="eastAsia" w:ascii="宋体" w:hAnsi="宋体" w:eastAsia="宋体" w:cs="宋体"/>
      <w:color w:val="000000"/>
      <w:sz w:val="22"/>
      <w:szCs w:val="22"/>
      <w:u w:val="none"/>
    </w:rPr>
  </w:style>
  <w:style w:type="character" w:customStyle="1" w:styleId="121">
    <w:name w:val="标题 1 字符"/>
    <w:qFormat/>
    <w:locked/>
    <w:uiPriority w:val="99"/>
    <w:rPr>
      <w:rFonts w:ascii="宋体" w:eastAsia="宋体" w:cs="宋体"/>
      <w:sz w:val="44"/>
      <w:szCs w:val="44"/>
      <w:lang w:val="en-US" w:eastAsia="zh-CN"/>
    </w:rPr>
  </w:style>
  <w:style w:type="character" w:customStyle="1" w:styleId="122">
    <w:name w:val="标题 4 字符"/>
    <w:semiHidden/>
    <w:qFormat/>
    <w:locked/>
    <w:uiPriority w:val="99"/>
    <w:rPr>
      <w:rFonts w:ascii="Arial" w:hAnsi="Arial" w:eastAsia="黑体" w:cs="Arial"/>
      <w:b/>
      <w:bCs/>
      <w:sz w:val="28"/>
      <w:szCs w:val="28"/>
      <w:lang w:val="en-US" w:eastAsia="zh-CN"/>
    </w:rPr>
  </w:style>
  <w:style w:type="character" w:customStyle="1" w:styleId="123">
    <w:name w:val="textcontents"/>
    <w:qFormat/>
    <w:uiPriority w:val="99"/>
  </w:style>
  <w:style w:type="character" w:customStyle="1" w:styleId="124">
    <w:name w:val="font51"/>
    <w:qFormat/>
    <w:uiPriority w:val="0"/>
    <w:rPr>
      <w:rFonts w:hint="eastAsia" w:ascii="宋体" w:hAnsi="宋体" w:eastAsia="宋体" w:cs="宋体"/>
      <w:color w:val="FF0000"/>
      <w:sz w:val="22"/>
      <w:szCs w:val="22"/>
      <w:u w:val="none"/>
    </w:rPr>
  </w:style>
  <w:style w:type="character" w:customStyle="1" w:styleId="125">
    <w:name w:val="标题 5 Char1"/>
    <w:qFormat/>
    <w:locked/>
    <w:uiPriority w:val="99"/>
    <w:rPr>
      <w:rFonts w:ascii="Calibri" w:hAnsi="Calibri" w:eastAsia="宋体" w:cs="Calibri"/>
      <w:b/>
      <w:bCs/>
      <w:sz w:val="28"/>
      <w:szCs w:val="28"/>
      <w:lang w:bidi="ar-SA"/>
    </w:rPr>
  </w:style>
  <w:style w:type="character" w:customStyle="1" w:styleId="126">
    <w:name w:val="明显引用 字符"/>
    <w:link w:val="127"/>
    <w:qFormat/>
    <w:uiPriority w:val="30"/>
    <w:rPr>
      <w:b/>
      <w:i/>
      <w:sz w:val="24"/>
    </w:rPr>
  </w:style>
  <w:style w:type="paragraph" w:styleId="127">
    <w:name w:val="Intense Quote"/>
    <w:basedOn w:val="1"/>
    <w:next w:val="1"/>
    <w:link w:val="126"/>
    <w:qFormat/>
    <w:uiPriority w:val="30"/>
    <w:pPr>
      <w:ind w:left="720" w:right="720"/>
    </w:pPr>
    <w:rPr>
      <w:b/>
      <w:i/>
      <w:szCs w:val="20"/>
      <w:lang w:bidi="ar-SA"/>
    </w:rPr>
  </w:style>
  <w:style w:type="character" w:customStyle="1" w:styleId="128">
    <w:name w:val="_Style 127"/>
    <w:qFormat/>
    <w:uiPriority w:val="33"/>
    <w:rPr>
      <w:rFonts w:ascii="Cambria" w:hAnsi="Cambria" w:eastAsia="宋体"/>
      <w:b/>
      <w:i/>
      <w:sz w:val="24"/>
      <w:szCs w:val="24"/>
    </w:rPr>
  </w:style>
  <w:style w:type="character" w:customStyle="1" w:styleId="129">
    <w:name w:val="标题 3 字符"/>
    <w:semiHidden/>
    <w:qFormat/>
    <w:locked/>
    <w:uiPriority w:val="99"/>
    <w:rPr>
      <w:rFonts w:eastAsia="宋体"/>
      <w:b/>
      <w:bCs/>
      <w:sz w:val="32"/>
      <w:szCs w:val="32"/>
      <w:lang w:val="en-US" w:eastAsia="zh-CN"/>
    </w:rPr>
  </w:style>
  <w:style w:type="character" w:customStyle="1" w:styleId="130">
    <w:name w:val="副标题 Char1"/>
    <w:qFormat/>
    <w:locked/>
    <w:uiPriority w:val="99"/>
    <w:rPr>
      <w:rFonts w:ascii="Calibri Light" w:hAnsi="Calibri Light" w:eastAsia="宋体" w:cs="Calibri Light"/>
      <w:b/>
      <w:bCs/>
      <w:kern w:val="28"/>
      <w:sz w:val="20"/>
      <w:szCs w:val="20"/>
    </w:rPr>
  </w:style>
  <w:style w:type="character" w:customStyle="1" w:styleId="131">
    <w:name w:val="标题 2 字符"/>
    <w:qFormat/>
    <w:locked/>
    <w:uiPriority w:val="99"/>
    <w:rPr>
      <w:rFonts w:ascii="宋体" w:hAnsi="Arial" w:eastAsia="宋体" w:cs="宋体"/>
      <w:sz w:val="32"/>
      <w:szCs w:val="32"/>
      <w:lang w:val="en-US" w:eastAsia="zh-CN"/>
    </w:rPr>
  </w:style>
  <w:style w:type="character" w:customStyle="1" w:styleId="132">
    <w:name w:val="标题 7 Char1"/>
    <w:qFormat/>
    <w:locked/>
    <w:uiPriority w:val="99"/>
    <w:rPr>
      <w:rFonts w:ascii="Calibri" w:hAnsi="Calibri" w:eastAsia="宋体" w:cs="Calibri"/>
      <w:b/>
      <w:bCs/>
      <w:sz w:val="24"/>
      <w:szCs w:val="24"/>
      <w:lang w:bidi="ar-SA"/>
    </w:rPr>
  </w:style>
  <w:style w:type="character" w:customStyle="1" w:styleId="133">
    <w:name w:val="标题 7 字符"/>
    <w:semiHidden/>
    <w:qFormat/>
    <w:locked/>
    <w:uiPriority w:val="99"/>
    <w:rPr>
      <w:rFonts w:eastAsia="宋体"/>
      <w:b/>
      <w:bCs/>
      <w:sz w:val="24"/>
      <w:szCs w:val="24"/>
      <w:lang w:val="en-US" w:eastAsia="zh-CN"/>
    </w:rPr>
  </w:style>
  <w:style w:type="character" w:customStyle="1" w:styleId="134">
    <w:name w:val="font21"/>
    <w:qFormat/>
    <w:uiPriority w:val="0"/>
    <w:rPr>
      <w:rFonts w:hint="eastAsia" w:ascii="宋体" w:hAnsi="宋体" w:eastAsia="宋体" w:cs="宋体"/>
      <w:color w:val="000000"/>
      <w:sz w:val="22"/>
      <w:szCs w:val="22"/>
      <w:u w:val="none"/>
    </w:rPr>
  </w:style>
  <w:style w:type="character" w:customStyle="1" w:styleId="135">
    <w:name w:val="apple-style-span"/>
    <w:qFormat/>
    <w:uiPriority w:val="99"/>
  </w:style>
  <w:style w:type="character" w:customStyle="1" w:styleId="136">
    <w:name w:val="标题 4 Char1"/>
    <w:qFormat/>
    <w:locked/>
    <w:uiPriority w:val="99"/>
    <w:rPr>
      <w:rFonts w:ascii="Arial" w:hAnsi="Arial" w:eastAsia="黑体" w:cs="Calibri"/>
      <w:b/>
      <w:bCs/>
      <w:sz w:val="28"/>
      <w:szCs w:val="28"/>
      <w:lang w:bidi="ar-SA"/>
    </w:rPr>
  </w:style>
  <w:style w:type="character" w:customStyle="1" w:styleId="137">
    <w:name w:val="Intense Quote Char"/>
    <w:link w:val="138"/>
    <w:qFormat/>
    <w:locked/>
    <w:uiPriority w:val="99"/>
    <w:rPr>
      <w:b/>
      <w:bCs/>
      <w:i/>
      <w:iCs/>
      <w:color w:val="4F81BD"/>
      <w:sz w:val="22"/>
      <w:szCs w:val="22"/>
    </w:rPr>
  </w:style>
  <w:style w:type="paragraph" w:customStyle="1" w:styleId="138">
    <w:name w:val="明显引用1"/>
    <w:basedOn w:val="1"/>
    <w:next w:val="1"/>
    <w:link w:val="137"/>
    <w:qFormat/>
    <w:uiPriority w:val="99"/>
    <w:pPr>
      <w:pBdr>
        <w:bottom w:val="single" w:color="4F81BD" w:sz="4" w:space="4"/>
      </w:pBdr>
      <w:spacing w:before="200" w:after="280"/>
      <w:ind w:left="936" w:right="936"/>
    </w:pPr>
    <w:rPr>
      <w:b/>
      <w:bCs/>
      <w:i/>
      <w:iCs/>
      <w:color w:val="4F81BD"/>
      <w:sz w:val="22"/>
      <w:szCs w:val="22"/>
      <w:lang w:bidi="ar-SA"/>
    </w:rPr>
  </w:style>
  <w:style w:type="character" w:customStyle="1" w:styleId="139">
    <w:name w:val="正文文本 3 字符"/>
    <w:qFormat/>
    <w:locked/>
    <w:uiPriority w:val="99"/>
    <w:rPr>
      <w:rFonts w:ascii="Times New Roman" w:hAnsi="Times New Roman" w:eastAsia="宋体" w:cs="Times New Roman"/>
      <w:sz w:val="16"/>
      <w:szCs w:val="16"/>
    </w:rPr>
  </w:style>
  <w:style w:type="character" w:customStyle="1" w:styleId="140">
    <w:name w:val="标题 3 Char1"/>
    <w:qFormat/>
    <w:locked/>
    <w:uiPriority w:val="99"/>
    <w:rPr>
      <w:rFonts w:ascii="Calibri" w:hAnsi="Calibri" w:eastAsia="宋体" w:cs="Calibri"/>
      <w:b/>
      <w:bCs/>
      <w:sz w:val="32"/>
      <w:szCs w:val="32"/>
      <w:lang w:val="en-US" w:eastAsia="zh-CN" w:bidi="ar-SA"/>
    </w:rPr>
  </w:style>
  <w:style w:type="character" w:customStyle="1" w:styleId="141">
    <w:name w:val="正文文本缩进 2 字符"/>
    <w:semiHidden/>
    <w:qFormat/>
    <w:locked/>
    <w:uiPriority w:val="99"/>
    <w:rPr>
      <w:rFonts w:ascii="Times New Roman" w:hAnsi="Times New Roman" w:eastAsia="宋体" w:cs="Times New Roman"/>
      <w:sz w:val="24"/>
      <w:szCs w:val="24"/>
    </w:rPr>
  </w:style>
  <w:style w:type="character" w:customStyle="1" w:styleId="142">
    <w:name w:val="正文文本 字符"/>
    <w:semiHidden/>
    <w:qFormat/>
    <w:locked/>
    <w:uiPriority w:val="99"/>
    <w:rPr>
      <w:rFonts w:ascii="Times New Roman" w:hAnsi="Times New Roman" w:eastAsia="宋体" w:cs="Times New Roman"/>
      <w:sz w:val="24"/>
      <w:szCs w:val="24"/>
    </w:rPr>
  </w:style>
  <w:style w:type="character" w:customStyle="1" w:styleId="143">
    <w:name w:val="标题 5 字符"/>
    <w:semiHidden/>
    <w:qFormat/>
    <w:locked/>
    <w:uiPriority w:val="99"/>
    <w:rPr>
      <w:rFonts w:eastAsia="宋体"/>
      <w:b/>
      <w:bCs/>
      <w:sz w:val="28"/>
      <w:szCs w:val="28"/>
      <w:lang w:val="en-US" w:eastAsia="zh-CN"/>
    </w:rPr>
  </w:style>
  <w:style w:type="character" w:customStyle="1" w:styleId="144">
    <w:name w:val="_Style 143"/>
    <w:qFormat/>
    <w:uiPriority w:val="19"/>
    <w:rPr>
      <w:i/>
      <w:color w:val="5A5A5A"/>
    </w:rPr>
  </w:style>
  <w:style w:type="character" w:customStyle="1" w:styleId="145">
    <w:name w:val="标题 2 Char1"/>
    <w:qFormat/>
    <w:locked/>
    <w:uiPriority w:val="99"/>
    <w:rPr>
      <w:rFonts w:ascii="宋体" w:hAnsi="Arial"/>
      <w:sz w:val="32"/>
      <w:szCs w:val="32"/>
    </w:rPr>
  </w:style>
  <w:style w:type="paragraph" w:customStyle="1" w:styleId="146">
    <w:name w:val="Normal1"/>
    <w:qFormat/>
    <w:uiPriority w:val="0"/>
    <w:pPr>
      <w:jc w:val="both"/>
    </w:pPr>
    <w:rPr>
      <w:rFonts w:ascii="Times New Roman" w:hAnsi="Times New Roman" w:eastAsia="宋体" w:cs="Times New Roman"/>
      <w:kern w:val="2"/>
      <w:sz w:val="21"/>
      <w:szCs w:val="21"/>
      <w:lang w:val="en-US" w:eastAsia="zh-CN" w:bidi="ar-SA"/>
    </w:rPr>
  </w:style>
  <w:style w:type="paragraph" w:customStyle="1" w:styleId="147">
    <w:name w:val="TOC Heading"/>
    <w:basedOn w:val="2"/>
    <w:next w:val="1"/>
    <w:qFormat/>
    <w:uiPriority w:val="99"/>
    <w:pPr>
      <w:numPr>
        <w:ilvl w:val="0"/>
        <w:numId w:val="0"/>
      </w:numPr>
      <w:tabs>
        <w:tab w:val="left" w:pos="432"/>
      </w:tabs>
      <w:spacing w:before="480" w:after="0" w:line="276" w:lineRule="auto"/>
      <w:outlineLvl w:val="9"/>
    </w:pPr>
    <w:rPr>
      <w:rFonts w:ascii="Cambria" w:hAnsi="Cambria" w:cs="Cambria"/>
      <w:b w:val="0"/>
      <w:bCs w:val="0"/>
      <w:color w:val="365F91"/>
    </w:rPr>
  </w:style>
  <w:style w:type="paragraph" w:customStyle="1" w:styleId="148">
    <w:name w:val="CM31"/>
    <w:basedOn w:val="149"/>
    <w:next w:val="149"/>
    <w:qFormat/>
    <w:uiPriority w:val="99"/>
    <w:pPr>
      <w:spacing w:line="426" w:lineRule="atLeast"/>
    </w:pPr>
    <w:rPr>
      <w:color w:val="000000"/>
    </w:rPr>
  </w:style>
  <w:style w:type="paragraph" w:customStyle="1" w:styleId="149">
    <w:name w:val="Default"/>
    <w:qFormat/>
    <w:uiPriority w:val="99"/>
    <w:pPr>
      <w:widowControl w:val="0"/>
      <w:autoSpaceDE w:val="0"/>
      <w:autoSpaceDN w:val="0"/>
      <w:spacing w:after="200" w:line="276" w:lineRule="auto"/>
    </w:pPr>
    <w:rPr>
      <w:rFonts w:ascii="Times New Roman" w:hAnsi="Times New Roman" w:eastAsia="宋体" w:cs="Times New Roman"/>
      <w:color w:val="000000"/>
      <w:sz w:val="24"/>
      <w:szCs w:val="24"/>
      <w:lang w:val="en-US" w:eastAsia="zh-CN" w:bidi="ar-SA"/>
    </w:rPr>
  </w:style>
  <w:style w:type="paragraph" w:customStyle="1" w:styleId="150">
    <w:name w:val="_Style 61"/>
    <w:next w:val="1"/>
    <w:qFormat/>
    <w:uiPriority w:val="99"/>
    <w:pPr>
      <w:widowControl w:val="0"/>
      <w:spacing w:after="200" w:line="276" w:lineRule="auto"/>
      <w:jc w:val="both"/>
    </w:pPr>
    <w:rPr>
      <w:rFonts w:ascii="Times New Roman" w:hAnsi="Times New Roman" w:eastAsia="宋体" w:cs="Times New Roman"/>
      <w:kern w:val="2"/>
      <w:sz w:val="21"/>
      <w:szCs w:val="21"/>
      <w:lang w:val="en-US" w:eastAsia="zh-CN" w:bidi="ar-SA"/>
    </w:rPr>
  </w:style>
  <w:style w:type="paragraph" w:customStyle="1" w:styleId="151">
    <w:name w:val="_Style 150"/>
    <w:basedOn w:val="2"/>
    <w:next w:val="1"/>
    <w:qFormat/>
    <w:uiPriority w:val="39"/>
    <w:pPr>
      <w:outlineLvl w:val="9"/>
    </w:pPr>
    <w:rPr>
      <w:rFonts w:cs="Times New Roman"/>
    </w:rPr>
  </w:style>
  <w:style w:type="paragraph" w:customStyle="1" w:styleId="152">
    <w:name w:val="Char"/>
    <w:basedOn w:val="1"/>
    <w:next w:val="1"/>
    <w:qFormat/>
    <w:uiPriority w:val="99"/>
    <w:rPr>
      <w:rFonts w:ascii="Times New Roman" w:hAnsi="Times New Roman" w:cs="Times New Roman"/>
    </w:rPr>
  </w:style>
  <w:style w:type="paragraph" w:customStyle="1" w:styleId="153">
    <w:name w:val="CM35"/>
    <w:basedOn w:val="149"/>
    <w:next w:val="149"/>
    <w:qFormat/>
    <w:uiPriority w:val="99"/>
    <w:rPr>
      <w:color w:val="000000"/>
    </w:rPr>
  </w:style>
  <w:style w:type="paragraph" w:customStyle="1" w:styleId="154">
    <w:name w:val="_Style 3"/>
    <w:semiHidden/>
    <w:qFormat/>
    <w:uiPriority w:val="99"/>
    <w:rPr>
      <w:rFonts w:ascii="Times New Roman" w:hAnsi="Times New Roman" w:eastAsia="宋体" w:cs="Times New Roman"/>
      <w:kern w:val="2"/>
      <w:sz w:val="21"/>
      <w:szCs w:val="24"/>
      <w:lang w:val="en-US" w:eastAsia="zh-CN" w:bidi="ar-SA"/>
    </w:rPr>
  </w:style>
  <w:style w:type="paragraph" w:customStyle="1" w:styleId="155">
    <w:name w:val="合同三级标题"/>
    <w:basedOn w:val="4"/>
    <w:qFormat/>
    <w:uiPriority w:val="0"/>
    <w:pPr>
      <w:tabs>
        <w:tab w:val="left" w:pos="284"/>
      </w:tabs>
      <w:autoSpaceDE w:val="0"/>
      <w:autoSpaceDN w:val="0"/>
      <w:adjustRightInd w:val="0"/>
      <w:spacing w:before="0" w:beforeLines="0" w:after="0" w:afterLines="0" w:line="240" w:lineRule="auto"/>
      <w:jc w:val="left"/>
    </w:pPr>
    <w:rPr>
      <w:rFonts w:eastAsia="黑体"/>
      <w:b w:val="0"/>
      <w:kern w:val="0"/>
      <w:position w:val="-1"/>
      <w:sz w:val="24"/>
      <w:szCs w:val="30"/>
    </w:rPr>
  </w:style>
  <w:style w:type="paragraph" w:customStyle="1" w:styleId="156">
    <w:name w:val="_Style 155"/>
    <w:unhideWhenUsed/>
    <w:qFormat/>
    <w:uiPriority w:val="99"/>
    <w:rPr>
      <w:rFonts w:ascii="Times New Roman" w:hAnsi="Times New Roman" w:eastAsia="宋体" w:cs="Times New Roman"/>
      <w:sz w:val="24"/>
      <w:szCs w:val="24"/>
      <w:lang w:val="en-US" w:eastAsia="en-US" w:bidi="en-US"/>
    </w:rPr>
  </w:style>
  <w:style w:type="paragraph" w:customStyle="1" w:styleId="157">
    <w:name w:val="列出段落2"/>
    <w:basedOn w:val="1"/>
    <w:qFormat/>
    <w:uiPriority w:val="0"/>
    <w:pPr>
      <w:ind w:firstLine="420" w:firstLineChars="200"/>
    </w:pPr>
    <w:rPr>
      <w:rFonts w:cs="Times New Roman"/>
      <w:szCs w:val="22"/>
    </w:rPr>
  </w:style>
  <w:style w:type="paragraph" w:customStyle="1" w:styleId="158">
    <w:name w:val="文一"/>
    <w:basedOn w:val="1"/>
    <w:next w:val="1"/>
    <w:qFormat/>
    <w:uiPriority w:val="99"/>
    <w:pPr>
      <w:topLinePunct/>
      <w:spacing w:line="360" w:lineRule="auto"/>
      <w:ind w:firstLine="200" w:firstLineChars="200"/>
    </w:pPr>
    <w:rPr>
      <w:rFonts w:ascii="Times New Roman" w:hAnsi="Times New Roman" w:cs="Times New Roman"/>
      <w:spacing w:val="4"/>
      <w:kern w:val="0"/>
      <w:sz w:val="24"/>
      <w:szCs w:val="24"/>
    </w:rPr>
  </w:style>
  <w:style w:type="paragraph" w:customStyle="1" w:styleId="159">
    <w:name w:val="正文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0">
    <w:name w:val="font0"/>
    <w:basedOn w:val="1"/>
    <w:next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61">
    <w:name w:val="Char Char Char Char Char Char Char"/>
    <w:basedOn w:val="1"/>
    <w:next w:val="1"/>
    <w:qFormat/>
    <w:uiPriority w:val="99"/>
    <w:pPr>
      <w:widowControl/>
      <w:spacing w:after="160" w:line="240" w:lineRule="exact"/>
      <w:jc w:val="left"/>
    </w:pPr>
    <w:rPr>
      <w:rFonts w:ascii="Arial" w:hAnsi="Arial" w:cs="Arial"/>
      <w:b/>
      <w:bCs/>
      <w:kern w:val="0"/>
      <w:sz w:val="24"/>
      <w:szCs w:val="24"/>
      <w:lang w:eastAsia="en-US"/>
    </w:rPr>
  </w:style>
  <w:style w:type="paragraph" w:customStyle="1" w:styleId="162">
    <w:name w:val="Normal_0"/>
    <w:qFormat/>
    <w:uiPriority w:val="99"/>
    <w:pPr>
      <w:spacing w:before="120" w:after="240" w:line="276" w:lineRule="auto"/>
      <w:jc w:val="both"/>
    </w:pPr>
    <w:rPr>
      <w:rFonts w:ascii="Times New Roman" w:hAnsi="Times New Roman" w:eastAsia="宋体" w:cs="Times New Roman"/>
      <w:sz w:val="22"/>
      <w:szCs w:val="22"/>
      <w:lang w:val="ru-RU" w:eastAsia="en-US" w:bidi="ar-SA"/>
    </w:rPr>
  </w:style>
  <w:style w:type="paragraph" w:customStyle="1" w:styleId="163">
    <w:name w:val="xl26"/>
    <w:basedOn w:val="1"/>
    <w:next w:val="1"/>
    <w:qFormat/>
    <w:uiPriority w:val="99"/>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4"/>
      <w:szCs w:val="24"/>
    </w:rPr>
  </w:style>
  <w:style w:type="paragraph" w:customStyle="1" w:styleId="164">
    <w:name w:val="CM39"/>
    <w:basedOn w:val="149"/>
    <w:next w:val="149"/>
    <w:qFormat/>
    <w:uiPriority w:val="99"/>
    <w:rPr>
      <w:color w:val="000000"/>
    </w:rPr>
  </w:style>
  <w:style w:type="paragraph" w:styleId="165">
    <w:name w:val="List Paragraph"/>
    <w:basedOn w:val="1"/>
    <w:qFormat/>
    <w:uiPriority w:val="99"/>
    <w:pPr>
      <w:ind w:firstLine="420" w:firstLineChars="200"/>
    </w:pPr>
  </w:style>
  <w:style w:type="paragraph" w:customStyle="1" w:styleId="166">
    <w:name w:val="CM25"/>
    <w:basedOn w:val="149"/>
    <w:next w:val="149"/>
    <w:qFormat/>
    <w:uiPriority w:val="99"/>
    <w:pPr>
      <w:spacing w:line="426" w:lineRule="atLeast"/>
    </w:pPr>
    <w:rPr>
      <w:color w:val="000000"/>
    </w:rPr>
  </w:style>
  <w:style w:type="paragraph" w:customStyle="1" w:styleId="167">
    <w:name w:val="列表段落1"/>
    <w:basedOn w:val="1"/>
    <w:qFormat/>
    <w:uiPriority w:val="34"/>
    <w:pPr>
      <w:ind w:left="720"/>
      <w:contextualSpacing/>
    </w:pPr>
  </w:style>
  <w:style w:type="paragraph" w:customStyle="1" w:styleId="168">
    <w:name w:val="x_msonormal"/>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69">
    <w:name w:val="CM5"/>
    <w:basedOn w:val="149"/>
    <w:next w:val="149"/>
    <w:qFormat/>
    <w:uiPriority w:val="99"/>
    <w:pPr>
      <w:spacing w:line="428" w:lineRule="atLeast"/>
    </w:pPr>
    <w:rPr>
      <w:color w:val="000000"/>
    </w:rPr>
  </w:style>
  <w:style w:type="paragraph" w:customStyle="1" w:styleId="170">
    <w:name w:val="zhang"/>
    <w:basedOn w:val="1"/>
    <w:next w:val="1"/>
    <w:qFormat/>
    <w:uiPriority w:val="99"/>
    <w:pPr>
      <w:widowControl/>
      <w:spacing w:before="100" w:beforeAutospacing="1" w:after="100" w:afterAutospacing="1"/>
      <w:jc w:val="left"/>
    </w:pPr>
    <w:rPr>
      <w:rFonts w:ascii="宋体" w:hAnsi="宋体" w:cs="宋体"/>
      <w:b/>
      <w:bCs/>
      <w:smallCaps/>
      <w:color w:val="000000"/>
      <w:kern w:val="0"/>
      <w:sz w:val="20"/>
      <w:szCs w:val="20"/>
    </w:rPr>
  </w:style>
  <w:style w:type="paragraph" w:customStyle="1" w:styleId="171">
    <w:name w:val="通用标题4"/>
    <w:next w:val="1"/>
    <w:qFormat/>
    <w:uiPriority w:val="0"/>
    <w:pPr>
      <w:tabs>
        <w:tab w:val="left" w:pos="851"/>
      </w:tabs>
      <w:spacing w:line="360" w:lineRule="auto"/>
      <w:ind w:left="2126"/>
      <w:jc w:val="both"/>
      <w:outlineLvl w:val="3"/>
    </w:pPr>
    <w:rPr>
      <w:rFonts w:ascii="宋体" w:hAnsi="宋体" w:eastAsia="宋体" w:cs="Times New Roman"/>
      <w:kern w:val="2"/>
      <w:sz w:val="24"/>
      <w:szCs w:val="21"/>
      <w:lang w:val="en-US" w:eastAsia="zh-CN" w:bidi="ar-SA"/>
    </w:rPr>
  </w:style>
  <w:style w:type="paragraph" w:customStyle="1" w:styleId="172">
    <w:name w:val="列出段落1"/>
    <w:basedOn w:val="1"/>
    <w:qFormat/>
    <w:uiPriority w:val="0"/>
    <w:pPr>
      <w:widowControl w:val="0"/>
      <w:ind w:firstLine="420" w:firstLineChars="200"/>
      <w:jc w:val="both"/>
    </w:pPr>
    <w:rPr>
      <w:kern w:val="2"/>
      <w:sz w:val="21"/>
      <w:lang w:eastAsia="zh-CN" w:bidi="ar-SA"/>
    </w:rPr>
  </w:style>
  <w:style w:type="paragraph" w:customStyle="1" w:styleId="173">
    <w:name w:val="_Style 4"/>
    <w:basedOn w:val="2"/>
    <w:next w:val="1"/>
    <w:qFormat/>
    <w:uiPriority w:val="99"/>
    <w:pPr>
      <w:widowControl w:val="0"/>
      <w:numPr>
        <w:ilvl w:val="0"/>
        <w:numId w:val="0"/>
      </w:numPr>
      <w:tabs>
        <w:tab w:val="left" w:pos="432"/>
      </w:tabs>
      <w:spacing w:line="576" w:lineRule="auto"/>
      <w:jc w:val="both"/>
      <w:outlineLvl w:val="9"/>
    </w:pPr>
    <w:rPr>
      <w:rFonts w:ascii="Calibri" w:hAnsi="Calibri" w:cs="Calibri"/>
      <w:b w:val="0"/>
      <w:bCs w:val="0"/>
      <w:kern w:val="44"/>
      <w:sz w:val="44"/>
      <w:szCs w:val="44"/>
    </w:rPr>
  </w:style>
  <w:style w:type="paragraph" w:customStyle="1" w:styleId="174">
    <w:name w:val="Table Paragraph"/>
    <w:basedOn w:val="1"/>
    <w:qFormat/>
    <w:uiPriority w:val="1"/>
  </w:style>
  <w:style w:type="paragraph" w:styleId="175">
    <w:name w:val="No Spacing"/>
    <w:basedOn w:val="1"/>
    <w:qFormat/>
    <w:uiPriority w:val="1"/>
    <w:rPr>
      <w:szCs w:val="32"/>
    </w:rPr>
  </w:style>
  <w:style w:type="paragraph" w:customStyle="1" w:styleId="176">
    <w:name w:val="CM6"/>
    <w:basedOn w:val="149"/>
    <w:next w:val="149"/>
    <w:qFormat/>
    <w:uiPriority w:val="99"/>
    <w:pPr>
      <w:spacing w:line="428" w:lineRule="atLeast"/>
    </w:pPr>
    <w:rPr>
      <w:color w:val="000000"/>
    </w:rPr>
  </w:style>
  <w:style w:type="table" w:customStyle="1" w:styleId="177">
    <w:name w:val="Table Normal"/>
    <w:unhideWhenUsed/>
    <w:qFormat/>
    <w:uiPriority w:val="0"/>
    <w:tblPr>
      <w:tblCellMar>
        <w:top w:w="0" w:type="dxa"/>
        <w:left w:w="0" w:type="dxa"/>
        <w:bottom w:w="0" w:type="dxa"/>
        <w:right w:w="0" w:type="dxa"/>
      </w:tblCellMar>
    </w:tblPr>
  </w:style>
  <w:style w:type="paragraph" w:customStyle="1" w:styleId="178">
    <w:name w:val="Table Text"/>
    <w:basedOn w:val="1"/>
    <w:semiHidden/>
    <w:qFormat/>
    <w:uiPriority w:val="0"/>
    <w:pPr>
      <w:ind w:firstLine="0" w:firstLineChars="0"/>
    </w:pPr>
    <w:rPr>
      <w:rFonts w:ascii="宋体" w:hAnsi="宋体" w:eastAsia="宋体" w:cs="宋体"/>
      <w:sz w:val="19"/>
      <w:szCs w:val="19"/>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372</Pages>
  <Words>31723</Words>
  <Characters>33817</Characters>
  <Lines>1</Lines>
  <Paragraphs>1</Paragraphs>
  <TotalTime>92</TotalTime>
  <ScaleCrop>false</ScaleCrop>
  <LinksUpToDate>false</LinksUpToDate>
  <CharactersWithSpaces>35239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2024-09-11T05:10:00Z</dcterms:created>
  <dc:creator>Administrator</dc:creator>
  <cp:lastModifiedBy>cmh</cp:lastModifiedBy>
  <cp:lastPrinted>2025-11-28T01:58:00Z</cp:lastPrinted>
  <dcterms:modified xsi:type="dcterms:W3CDTF">2025-11-28T02:58:12Z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A2AB03B96DB84C6FA2BAD7CDD20D171D_13</vt:lpwstr>
  </property>
  <property fmtid="{D5CDD505-2E9C-101B-9397-08002B2CF9AE}" pid="4" name="KSOTemplateDocerSaveRecord">
    <vt:lpwstr>eyJoZGlkIjoiODIwZWI3ZjliYzZkMmY1ZjVhNDYwMjhmYjhiY2I1ZGMiLCJ1c2VySWQiOiI0MjI4Njk3NTYifQ==</vt:lpwstr>
  </property>
</Properties>
</file>