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87C8F">
      <w:pPr>
        <w:spacing w:after="380" w:line="360" w:lineRule="auto"/>
        <w:ind w:firstLine="4337" w:firstLineChars="1800"/>
        <w:jc w:val="both"/>
        <w:rPr>
          <w:highlight w:val="none"/>
          <w:u w:val="single"/>
          <w:lang w:eastAsia="zh-CN"/>
        </w:rPr>
      </w:pPr>
      <w:r>
        <w:rPr>
          <w:rFonts w:hint="eastAsia" w:ascii="宋体" w:hAnsi="宋体" w:eastAsia="宋体"/>
          <w:b/>
          <w:highlight w:val="none"/>
          <w:lang w:eastAsia="zh-CN"/>
        </w:rPr>
        <w:t>合同编号：</w:t>
      </w:r>
      <w:r>
        <w:rPr>
          <w:rFonts w:ascii="宋体" w:hAnsi="宋体" w:eastAsia="宋体"/>
          <w:b/>
          <w:highlight w:val="none"/>
          <w:u w:val="single"/>
          <w:lang w:eastAsia="zh-CN"/>
        </w:rPr>
        <w:t xml:space="preserve">        </w:t>
      </w:r>
    </w:p>
    <w:p w14:paraId="6BEF7893">
      <w:pPr>
        <w:pStyle w:val="23"/>
        <w:spacing w:after="380" w:line="360" w:lineRule="auto"/>
        <w:ind w:firstLine="220"/>
        <w:rPr>
          <w:rFonts w:hint="eastAsia"/>
          <w:highlight w:val="none"/>
          <w:lang w:eastAsia="zh-CN"/>
        </w:rPr>
      </w:pPr>
    </w:p>
    <w:p w14:paraId="1A478C02">
      <w:pPr>
        <w:pStyle w:val="23"/>
        <w:spacing w:after="380" w:line="360" w:lineRule="auto"/>
        <w:ind w:firstLine="220"/>
        <w:rPr>
          <w:rFonts w:hint="eastAsia"/>
          <w:highlight w:val="none"/>
          <w:lang w:eastAsia="zh-CN"/>
        </w:rPr>
      </w:pPr>
    </w:p>
    <w:p w14:paraId="3C5C90DE">
      <w:pPr>
        <w:pStyle w:val="23"/>
        <w:spacing w:after="380" w:line="360" w:lineRule="auto"/>
        <w:ind w:firstLine="0"/>
        <w:jc w:val="center"/>
        <w:rPr>
          <w:rFonts w:hint="eastAsia"/>
          <w:b/>
          <w:sz w:val="48"/>
          <w:szCs w:val="48"/>
          <w:highlight w:val="none"/>
        </w:rPr>
      </w:pPr>
      <w:r>
        <w:rPr>
          <w:rFonts w:hint="eastAsia"/>
          <w:b/>
          <w:sz w:val="48"/>
          <w:szCs w:val="48"/>
          <w:highlight w:val="none"/>
          <w:lang w:val="en-US" w:eastAsia="zh-CN"/>
        </w:rPr>
        <w:t>在线监测系统2026年度运行维护服务项目</w:t>
      </w:r>
      <w:r>
        <w:rPr>
          <w:b/>
          <w:sz w:val="48"/>
          <w:szCs w:val="48"/>
          <w:highlight w:val="none"/>
        </w:rPr>
        <w:t>合同</w:t>
      </w:r>
    </w:p>
    <w:p w14:paraId="462E61F9">
      <w:pPr>
        <w:spacing w:line="360" w:lineRule="auto"/>
        <w:ind w:left="1606" w:hanging="1606" w:hangingChars="500"/>
        <w:rPr>
          <w:rFonts w:hint="eastAsia" w:ascii="宋体" w:hAnsi="宋体" w:eastAsia="宋体"/>
          <w:b/>
          <w:sz w:val="32"/>
          <w:szCs w:val="32"/>
          <w:highlight w:val="none"/>
          <w:lang w:eastAsia="zh-CN"/>
        </w:rPr>
      </w:pPr>
    </w:p>
    <w:p w14:paraId="7C7178AD">
      <w:pPr>
        <w:spacing w:line="360" w:lineRule="auto"/>
        <w:ind w:left="1606" w:hanging="1606" w:hangingChars="500"/>
        <w:rPr>
          <w:rFonts w:hint="eastAsia" w:ascii="宋体" w:hAnsi="宋体" w:eastAsia="宋体"/>
          <w:b/>
          <w:sz w:val="32"/>
          <w:szCs w:val="32"/>
          <w:highlight w:val="none"/>
          <w:lang w:eastAsia="zh-CN"/>
        </w:rPr>
      </w:pPr>
    </w:p>
    <w:p w14:paraId="282F8248">
      <w:pPr>
        <w:spacing w:line="360" w:lineRule="auto"/>
        <w:ind w:left="1606" w:hanging="1606" w:hangingChars="500"/>
        <w:rPr>
          <w:rFonts w:hint="eastAsia" w:ascii="宋体" w:hAnsi="宋体" w:eastAsia="宋体"/>
          <w:b/>
          <w:sz w:val="32"/>
          <w:szCs w:val="32"/>
          <w:highlight w:val="none"/>
          <w:lang w:eastAsia="zh-CN"/>
        </w:rPr>
      </w:pPr>
    </w:p>
    <w:p w14:paraId="41A5BA54">
      <w:pPr>
        <w:spacing w:line="360" w:lineRule="auto"/>
        <w:ind w:left="1606" w:hanging="1606" w:hangingChars="500"/>
        <w:rPr>
          <w:rFonts w:hint="eastAsia" w:ascii="宋体" w:hAnsi="宋体" w:eastAsia="宋体"/>
          <w:b/>
          <w:sz w:val="32"/>
          <w:szCs w:val="32"/>
          <w:highlight w:val="none"/>
          <w:lang w:eastAsia="zh-CN"/>
        </w:rPr>
      </w:pPr>
    </w:p>
    <w:p w14:paraId="0DEA0EDF">
      <w:pPr>
        <w:spacing w:line="360" w:lineRule="auto"/>
        <w:ind w:left="1606" w:hanging="1606" w:hangingChars="500"/>
        <w:rPr>
          <w:rFonts w:hint="eastAsia" w:ascii="宋体" w:hAnsi="宋体" w:eastAsia="宋体"/>
          <w:b/>
          <w:sz w:val="32"/>
          <w:szCs w:val="32"/>
          <w:highlight w:val="none"/>
          <w:lang w:eastAsia="zh-CN"/>
        </w:rPr>
      </w:pPr>
    </w:p>
    <w:p w14:paraId="67493922">
      <w:pPr>
        <w:spacing w:line="360" w:lineRule="auto"/>
        <w:ind w:left="1606" w:hanging="1606" w:hangingChars="500"/>
        <w:rPr>
          <w:rFonts w:hint="eastAsia" w:ascii="宋体" w:hAnsi="宋体" w:eastAsia="宋体"/>
          <w:b/>
          <w:sz w:val="32"/>
          <w:szCs w:val="32"/>
          <w:highlight w:val="none"/>
          <w:lang w:eastAsia="zh-CN"/>
        </w:rPr>
      </w:pPr>
      <w:r>
        <w:rPr>
          <w:rFonts w:hint="eastAsia" w:ascii="宋体" w:hAnsi="宋体" w:eastAsia="宋体"/>
          <w:b/>
          <w:sz w:val="32"/>
          <w:szCs w:val="32"/>
          <w:highlight w:val="none"/>
          <w:lang w:eastAsia="zh-CN"/>
        </w:rPr>
        <w:t>项目名称：在线监测系统2026年度运行维护服务项目</w:t>
      </w:r>
    </w:p>
    <w:p w14:paraId="7F21A90F">
      <w:pPr>
        <w:spacing w:line="360" w:lineRule="auto"/>
        <w:rPr>
          <w:rFonts w:hint="eastAsia" w:ascii="宋体" w:hAnsi="宋体" w:eastAsia="宋体"/>
          <w:b/>
          <w:sz w:val="32"/>
          <w:szCs w:val="32"/>
          <w:highlight w:val="none"/>
          <w:lang w:eastAsia="zh-CN"/>
        </w:rPr>
      </w:pPr>
      <w:r>
        <w:rPr>
          <w:rFonts w:hint="eastAsia" w:ascii="宋体" w:hAnsi="宋体" w:eastAsia="宋体"/>
          <w:b/>
          <w:sz w:val="32"/>
          <w:szCs w:val="32"/>
          <w:highlight w:val="none"/>
          <w:lang w:eastAsia="zh-CN"/>
        </w:rPr>
        <w:t>甲方：广州南沙城市排水有限公司</w:t>
      </w:r>
    </w:p>
    <w:p w14:paraId="771F56AF">
      <w:pPr>
        <w:spacing w:line="360" w:lineRule="auto"/>
        <w:rPr>
          <w:rFonts w:hint="eastAsia" w:ascii="宋体" w:hAnsi="宋体" w:eastAsia="宋体"/>
          <w:b/>
          <w:sz w:val="32"/>
          <w:szCs w:val="32"/>
          <w:highlight w:val="none"/>
          <w:lang w:eastAsia="zh-CN"/>
        </w:rPr>
      </w:pPr>
      <w:r>
        <w:rPr>
          <w:rFonts w:hint="eastAsia" w:ascii="宋体" w:hAnsi="宋体" w:eastAsia="宋体"/>
          <w:b/>
          <w:sz w:val="32"/>
          <w:szCs w:val="32"/>
          <w:highlight w:val="none"/>
          <w:lang w:eastAsia="zh-CN"/>
        </w:rPr>
        <w:t>乙方</w:t>
      </w:r>
      <w:r>
        <w:rPr>
          <w:rFonts w:hint="eastAsia" w:ascii="宋体" w:hAnsi="宋体" w:eastAsia="宋体"/>
          <w:sz w:val="32"/>
          <w:szCs w:val="32"/>
          <w:highlight w:val="none"/>
          <w:lang w:eastAsia="zh-CN"/>
        </w:rPr>
        <w:t>：</w:t>
      </w:r>
    </w:p>
    <w:p w14:paraId="084D7C80">
      <w:pPr>
        <w:pStyle w:val="33"/>
        <w:spacing w:line="360" w:lineRule="auto"/>
        <w:ind w:firstLine="0"/>
        <w:jc w:val="both"/>
        <w:rPr>
          <w:rFonts w:hint="eastAsia"/>
          <w:highlight w:val="none"/>
          <w:lang w:eastAsia="zh-CN"/>
        </w:rPr>
      </w:pPr>
      <w:r>
        <w:rPr>
          <w:rFonts w:hint="eastAsia"/>
          <w:b/>
          <w:sz w:val="32"/>
          <w:szCs w:val="32"/>
          <w:highlight w:val="none"/>
        </w:rPr>
        <w:t>签订日期：202</w:t>
      </w:r>
      <w:r>
        <w:rPr>
          <w:rFonts w:hint="eastAsia"/>
          <w:b/>
          <w:sz w:val="32"/>
          <w:szCs w:val="32"/>
          <w:highlight w:val="none"/>
          <w:lang w:val="en-US" w:eastAsia="zh-CN"/>
        </w:rPr>
        <w:t>5</w:t>
      </w:r>
      <w:r>
        <w:rPr>
          <w:rFonts w:hint="eastAsia"/>
          <w:b/>
          <w:sz w:val="32"/>
          <w:szCs w:val="32"/>
          <w:highlight w:val="none"/>
        </w:rPr>
        <w:t>年</w:t>
      </w:r>
      <w:r>
        <w:rPr>
          <w:rFonts w:hint="eastAsia"/>
          <w:b/>
          <w:sz w:val="32"/>
          <w:szCs w:val="32"/>
          <w:highlight w:val="none"/>
          <w:lang w:val="en-US" w:eastAsia="zh-CN"/>
        </w:rPr>
        <w:t xml:space="preserve">   </w:t>
      </w:r>
      <w:r>
        <w:rPr>
          <w:rFonts w:hint="eastAsia"/>
          <w:b/>
          <w:sz w:val="32"/>
          <w:szCs w:val="32"/>
          <w:highlight w:val="none"/>
        </w:rPr>
        <w:t>月</w:t>
      </w:r>
      <w:r>
        <w:rPr>
          <w:rFonts w:hint="eastAsia"/>
          <w:b/>
          <w:sz w:val="32"/>
          <w:szCs w:val="32"/>
          <w:highlight w:val="none"/>
          <w:lang w:val="en-US" w:eastAsia="zh-CN"/>
        </w:rPr>
        <w:t xml:space="preserve">   </w:t>
      </w:r>
      <w:r>
        <w:rPr>
          <w:rFonts w:hint="eastAsia"/>
          <w:b/>
          <w:sz w:val="32"/>
          <w:szCs w:val="32"/>
          <w:highlight w:val="none"/>
        </w:rPr>
        <w:t>日</w:t>
      </w:r>
    </w:p>
    <w:p w14:paraId="1FADF6F8">
      <w:pPr>
        <w:pStyle w:val="33"/>
        <w:spacing w:line="471" w:lineRule="exact"/>
        <w:ind w:firstLine="440"/>
        <w:jc w:val="center"/>
        <w:rPr>
          <w:rFonts w:hint="eastAsia"/>
          <w:sz w:val="36"/>
          <w:szCs w:val="36"/>
          <w:highlight w:val="none"/>
          <w:lang w:eastAsia="zh-CN"/>
        </w:rPr>
      </w:pPr>
    </w:p>
    <w:p w14:paraId="6FE851F8">
      <w:pPr>
        <w:rPr>
          <w:rFonts w:hint="eastAsia" w:ascii="宋体" w:hAnsi="宋体" w:eastAsia="宋体" w:cs="宋体"/>
          <w:sz w:val="36"/>
          <w:szCs w:val="36"/>
          <w:highlight w:val="none"/>
          <w:lang w:val="zh-TW" w:eastAsia="zh-TW" w:bidi="zh-TW"/>
        </w:rPr>
      </w:pPr>
      <w:r>
        <w:rPr>
          <w:rFonts w:hint="eastAsia" w:ascii="宋体" w:hAnsi="宋体" w:eastAsia="宋体"/>
          <w:sz w:val="36"/>
          <w:szCs w:val="36"/>
          <w:highlight w:val="none"/>
          <w:lang w:eastAsia="zh-CN"/>
        </w:rPr>
        <w:br w:type="page"/>
      </w:r>
    </w:p>
    <w:p w14:paraId="3E9D9B0B">
      <w:pPr>
        <w:pStyle w:val="33"/>
        <w:spacing w:line="471" w:lineRule="exact"/>
        <w:ind w:firstLine="0"/>
        <w:jc w:val="center"/>
        <w:rPr>
          <w:rFonts w:hint="eastAsia"/>
          <w:b/>
          <w:sz w:val="36"/>
          <w:szCs w:val="36"/>
          <w:highlight w:val="none"/>
          <w:lang w:eastAsia="zh-CN" w:bidi="en-US"/>
        </w:rPr>
      </w:pPr>
      <w:r>
        <w:rPr>
          <w:rFonts w:hint="eastAsia"/>
          <w:b/>
          <w:sz w:val="36"/>
          <w:szCs w:val="36"/>
          <w:highlight w:val="none"/>
          <w:lang w:val="en-US" w:eastAsia="zh-CN" w:bidi="en-US"/>
        </w:rPr>
        <w:t>在线监测系统2026年度运行维护服务项目</w:t>
      </w:r>
      <w:r>
        <w:rPr>
          <w:rFonts w:hint="eastAsia"/>
          <w:b/>
          <w:sz w:val="36"/>
          <w:szCs w:val="36"/>
          <w:highlight w:val="none"/>
          <w:lang w:eastAsia="zh-CN" w:bidi="en-US"/>
        </w:rPr>
        <w:t>合同</w:t>
      </w:r>
    </w:p>
    <w:p w14:paraId="3F51C9E4">
      <w:pPr>
        <w:pStyle w:val="33"/>
        <w:spacing w:line="471" w:lineRule="exact"/>
        <w:ind w:firstLine="0"/>
        <w:jc w:val="center"/>
        <w:rPr>
          <w:rFonts w:hint="eastAsia"/>
          <w:b/>
          <w:sz w:val="36"/>
          <w:szCs w:val="36"/>
          <w:highlight w:val="none"/>
          <w:lang w:eastAsia="zh-CN" w:bidi="en-US"/>
        </w:rPr>
      </w:pPr>
    </w:p>
    <w:p w14:paraId="3FBB01F3">
      <w:pPr>
        <w:pStyle w:val="33"/>
        <w:spacing w:line="360" w:lineRule="auto"/>
        <w:ind w:firstLine="480"/>
        <w:jc w:val="both"/>
        <w:rPr>
          <w:rFonts w:hint="eastAsia"/>
          <w:sz w:val="24"/>
          <w:szCs w:val="24"/>
          <w:highlight w:val="none"/>
          <w:lang w:eastAsia="zh-CN"/>
        </w:rPr>
      </w:pPr>
      <w:r>
        <w:rPr>
          <w:rFonts w:hint="eastAsia"/>
          <w:sz w:val="24"/>
          <w:szCs w:val="24"/>
          <w:highlight w:val="none"/>
          <w:lang w:eastAsia="zh-CN"/>
        </w:rPr>
        <w:t>甲方：</w:t>
      </w:r>
      <w:r>
        <w:rPr>
          <w:rFonts w:hint="eastAsia"/>
          <w:sz w:val="24"/>
          <w:szCs w:val="24"/>
          <w:highlight w:val="none"/>
          <w:lang w:val="en-US" w:eastAsia="zh-CN"/>
        </w:rPr>
        <w:t>广州南沙城市排水</w:t>
      </w:r>
      <w:r>
        <w:rPr>
          <w:rFonts w:hint="eastAsia"/>
          <w:sz w:val="24"/>
          <w:szCs w:val="24"/>
          <w:highlight w:val="none"/>
          <w:lang w:eastAsia="zh-CN"/>
        </w:rPr>
        <w:t>有限公司</w:t>
      </w:r>
    </w:p>
    <w:p w14:paraId="0446A41E">
      <w:pPr>
        <w:pStyle w:val="33"/>
        <w:spacing w:line="360" w:lineRule="auto"/>
        <w:ind w:firstLine="480"/>
        <w:jc w:val="both"/>
        <w:rPr>
          <w:rFonts w:hint="eastAsia"/>
          <w:sz w:val="24"/>
          <w:szCs w:val="24"/>
          <w:highlight w:val="none"/>
          <w:lang w:val="en-US" w:eastAsia="zh-CN"/>
        </w:rPr>
      </w:pPr>
      <w:r>
        <w:rPr>
          <w:rFonts w:hint="eastAsia"/>
          <w:sz w:val="24"/>
          <w:szCs w:val="24"/>
          <w:highlight w:val="none"/>
          <w:lang w:eastAsia="zh-CN"/>
        </w:rPr>
        <w:t>乙方：</w:t>
      </w:r>
      <w:r>
        <w:rPr>
          <w:sz w:val="24"/>
          <w:szCs w:val="24"/>
          <w:highlight w:val="none"/>
          <w:lang w:val="en-US" w:eastAsia="zh-CN"/>
        </w:rPr>
        <w:t xml:space="preserve">            </w:t>
      </w:r>
    </w:p>
    <w:p w14:paraId="2512C866">
      <w:pPr>
        <w:pStyle w:val="33"/>
        <w:spacing w:line="360" w:lineRule="auto"/>
        <w:ind w:firstLine="480"/>
        <w:jc w:val="both"/>
        <w:rPr>
          <w:rFonts w:hint="eastAsia"/>
          <w:sz w:val="24"/>
          <w:szCs w:val="24"/>
          <w:highlight w:val="none"/>
          <w:u w:val="single"/>
          <w:lang w:eastAsia="zh-CN"/>
        </w:rPr>
      </w:pPr>
    </w:p>
    <w:p w14:paraId="5C9EBF0E">
      <w:pPr>
        <w:pStyle w:val="33"/>
        <w:spacing w:line="360" w:lineRule="auto"/>
        <w:ind w:firstLine="480"/>
        <w:jc w:val="both"/>
        <w:rPr>
          <w:rFonts w:hint="eastAsia"/>
          <w:sz w:val="24"/>
          <w:szCs w:val="24"/>
          <w:highlight w:val="none"/>
          <w:lang w:val="en-US" w:eastAsia="zh-CN" w:bidi="en-US"/>
        </w:rPr>
      </w:pPr>
      <w:r>
        <w:rPr>
          <w:rFonts w:hint="eastAsia"/>
          <w:sz w:val="24"/>
          <w:szCs w:val="24"/>
          <w:highlight w:val="none"/>
          <w:lang w:val="en-US" w:eastAsia="zh-CN" w:bidi="en-US"/>
        </w:rPr>
        <w:t>本项目于</w:t>
      </w:r>
      <w:r>
        <w:rPr>
          <w:sz w:val="24"/>
          <w:szCs w:val="24"/>
          <w:highlight w:val="none"/>
          <w:lang w:val="en-US" w:eastAsia="zh-CN" w:bidi="en-US"/>
        </w:rPr>
        <w:t>202</w:t>
      </w:r>
      <w:r>
        <w:rPr>
          <w:rFonts w:hint="eastAsia"/>
          <w:sz w:val="24"/>
          <w:szCs w:val="24"/>
          <w:highlight w:val="none"/>
          <w:lang w:val="en-US" w:eastAsia="zh-CN" w:bidi="en-US"/>
        </w:rPr>
        <w:t>5年  月  日经公开招标采购方式确定乙方承担甲方水质、水量等在线监测（设备维护、维修）运行服务的工作任务。</w:t>
      </w:r>
    </w:p>
    <w:p w14:paraId="5114594C">
      <w:pPr>
        <w:pStyle w:val="33"/>
        <w:spacing w:line="360" w:lineRule="auto"/>
        <w:ind w:firstLine="480"/>
        <w:jc w:val="both"/>
        <w:rPr>
          <w:rFonts w:hint="eastAsia"/>
          <w:sz w:val="24"/>
          <w:szCs w:val="24"/>
          <w:highlight w:val="none"/>
          <w:lang w:val="en-US" w:eastAsia="zh-CN" w:bidi="en-US"/>
        </w:rPr>
      </w:pPr>
      <w:r>
        <w:rPr>
          <w:rFonts w:hint="eastAsia"/>
          <w:sz w:val="24"/>
          <w:szCs w:val="24"/>
          <w:highlight w:val="none"/>
          <w:lang w:val="en-US" w:eastAsia="zh-CN" w:bidi="en-US"/>
        </w:rPr>
        <w:t>依照《中华人民共和国民法典》及其他有关法律、法规、规章，并结合广州市和南沙区有关规定及本项目的具体情况，遵循平等、自愿、公平和诚实信用的原则，双方就本项目协商一致，签订本合同，共同遵守。</w:t>
      </w:r>
    </w:p>
    <w:p w14:paraId="14B290F4">
      <w:pPr>
        <w:pStyle w:val="33"/>
        <w:spacing w:line="360" w:lineRule="auto"/>
        <w:ind w:firstLine="480"/>
        <w:jc w:val="both"/>
        <w:rPr>
          <w:rFonts w:hint="eastAsia"/>
          <w:b/>
          <w:bCs/>
          <w:sz w:val="24"/>
          <w:szCs w:val="24"/>
          <w:highlight w:val="none"/>
          <w:lang w:val="en-US" w:eastAsia="zh-CN" w:bidi="en-US"/>
        </w:rPr>
      </w:pPr>
      <w:bookmarkStart w:id="0" w:name="bookmark9"/>
      <w:r>
        <w:rPr>
          <w:rFonts w:hint="eastAsia"/>
          <w:b/>
          <w:bCs/>
          <w:sz w:val="24"/>
          <w:szCs w:val="24"/>
          <w:highlight w:val="none"/>
          <w:lang w:val="en-US" w:eastAsia="zh-CN" w:bidi="en-US"/>
        </w:rPr>
        <w:t>一</w:t>
      </w:r>
      <w:bookmarkEnd w:id="0"/>
      <w:r>
        <w:rPr>
          <w:rFonts w:hint="eastAsia"/>
          <w:b/>
          <w:bCs/>
          <w:sz w:val="24"/>
          <w:szCs w:val="24"/>
          <w:highlight w:val="none"/>
          <w:lang w:val="en-US" w:eastAsia="zh-CN" w:bidi="en-US"/>
        </w:rPr>
        <w:t>、项目内容</w:t>
      </w:r>
    </w:p>
    <w:p w14:paraId="2634D0CD">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lang w:eastAsia="zh-CN"/>
        </w:rPr>
        <w:t>已接收的污水设施站点常规水质、水量等自动在线监测设备进行运行维护服务工作。包括但不限于：暂定全参数化学法在线监测设施运维（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个重要站点）、化学法在线监测设施运维（暂定17</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个一般站点）、光学法（电极法）在线监测设施运维（暂定</w:t>
      </w: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lang w:eastAsia="zh-CN"/>
        </w:rPr>
        <w:t>个）</w:t>
      </w:r>
      <w:r>
        <w:rPr>
          <w:rFonts w:hint="eastAsia" w:ascii="宋体" w:hAnsi="宋体" w:eastAsia="宋体" w:cs="宋体"/>
          <w:sz w:val="24"/>
          <w:szCs w:val="24"/>
          <w:highlight w:val="none"/>
          <w:lang w:val="en-US" w:eastAsia="zh-CN"/>
        </w:rPr>
        <w:t>和化学法自动水质监测设备运维（管网系统关键节点，暂定1个）。甲方</w:t>
      </w:r>
      <w:r>
        <w:rPr>
          <w:rFonts w:hint="eastAsia" w:ascii="宋体" w:hAnsi="宋体" w:eastAsia="宋体" w:cs="宋体"/>
          <w:sz w:val="24"/>
          <w:szCs w:val="24"/>
          <w:highlight w:val="none"/>
          <w:lang w:eastAsia="zh-CN"/>
        </w:rPr>
        <w:t>根据实际接收情况，分批下发任务单，未在任务单内的站点，</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lang w:eastAsia="zh-CN"/>
        </w:rPr>
        <w:t>协助</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lang w:eastAsia="zh-CN"/>
        </w:rPr>
        <w:t>摸查形成相关台账后，经</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lang w:eastAsia="zh-CN"/>
        </w:rPr>
        <w:t>确认后另行下任务单。（具体清单以</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lang w:eastAsia="zh-CN"/>
        </w:rPr>
        <w:t>下发任务单为准）</w:t>
      </w:r>
    </w:p>
    <w:p w14:paraId="51752A5A">
      <w:pPr>
        <w:adjustRightInd w:val="0"/>
        <w:snapToGrid w:val="0"/>
        <w:spacing w:line="360" w:lineRule="auto"/>
        <w:ind w:firstLine="482" w:firstLineChars="200"/>
        <w:rPr>
          <w:rFonts w:hint="eastAsia" w:ascii="宋体" w:hAnsi="宋体" w:eastAsia="宋体" w:cs="宋体"/>
          <w:highlight w:val="none"/>
          <w:lang w:eastAsia="zh-CN"/>
        </w:rPr>
      </w:pPr>
      <w:bookmarkStart w:id="1" w:name="bookmark10"/>
      <w:r>
        <w:rPr>
          <w:rFonts w:hint="eastAsia" w:ascii="宋体" w:hAnsi="宋体" w:eastAsia="宋体" w:cs="宋体"/>
          <w:b/>
          <w:bCs/>
          <w:highlight w:val="none"/>
          <w:lang w:eastAsia="zh-CN"/>
        </w:rPr>
        <w:t>二</w:t>
      </w:r>
      <w:bookmarkEnd w:id="1"/>
      <w:r>
        <w:rPr>
          <w:rFonts w:hint="eastAsia" w:ascii="宋体" w:hAnsi="宋体" w:eastAsia="宋体" w:cs="宋体"/>
          <w:b/>
          <w:bCs/>
          <w:highlight w:val="none"/>
          <w:lang w:eastAsia="zh-CN"/>
        </w:rPr>
        <w:t>、合同金额</w:t>
      </w:r>
    </w:p>
    <w:p w14:paraId="64882C17">
      <w:pPr>
        <w:pStyle w:val="33"/>
        <w:adjustRightInd w:val="0"/>
        <w:snapToGrid w:val="0"/>
        <w:spacing w:line="360" w:lineRule="auto"/>
        <w:ind w:firstLine="480" w:firstLineChars="200"/>
        <w:jc w:val="both"/>
        <w:rPr>
          <w:rFonts w:hint="eastAsia"/>
          <w:sz w:val="24"/>
          <w:szCs w:val="24"/>
          <w:highlight w:val="none"/>
          <w:lang w:eastAsia="zh-CN"/>
        </w:rPr>
      </w:pPr>
      <w:r>
        <w:rPr>
          <w:rFonts w:hint="eastAsia"/>
          <w:sz w:val="24"/>
          <w:szCs w:val="24"/>
          <w:highlight w:val="none"/>
          <w:lang w:eastAsia="zh-CN"/>
        </w:rPr>
        <w:t>（一）合同暂定价（含税价）为人民币</w:t>
      </w:r>
      <w:r>
        <w:rPr>
          <w:sz w:val="24"/>
          <w:szCs w:val="24"/>
          <w:highlight w:val="none"/>
          <w:lang w:eastAsia="zh-CN"/>
        </w:rPr>
        <w:t>¥</w:t>
      </w:r>
      <w:r>
        <w:rPr>
          <w:sz w:val="24"/>
          <w:szCs w:val="24"/>
          <w:highlight w:val="none"/>
          <w:u w:val="single"/>
          <w:lang w:eastAsia="zh-CN"/>
        </w:rPr>
        <w:t xml:space="preserve"> </w:t>
      </w:r>
      <w:r>
        <w:rPr>
          <w:rFonts w:hint="eastAsia"/>
          <w:sz w:val="24"/>
          <w:szCs w:val="24"/>
          <w:highlight w:val="none"/>
          <w:u w:val="single"/>
          <w:lang w:val="en-US" w:eastAsia="zh-CN"/>
        </w:rPr>
        <w:t xml:space="preserve">          </w:t>
      </w:r>
      <w:r>
        <w:rPr>
          <w:rFonts w:hint="eastAsia"/>
          <w:sz w:val="24"/>
          <w:szCs w:val="24"/>
          <w:highlight w:val="none"/>
          <w:lang w:eastAsia="zh-CN"/>
        </w:rPr>
        <w:t>元（大写：</w:t>
      </w:r>
      <w:r>
        <w:rPr>
          <w:rFonts w:hint="eastAsia"/>
          <w:sz w:val="24"/>
          <w:szCs w:val="24"/>
          <w:highlight w:val="none"/>
          <w:lang w:val="en-US" w:eastAsia="zh-CN"/>
        </w:rPr>
        <w:t xml:space="preserve"> </w:t>
      </w:r>
      <w:r>
        <w:rPr>
          <w:rFonts w:hint="eastAsia"/>
          <w:sz w:val="24"/>
          <w:szCs w:val="24"/>
          <w:highlight w:val="none"/>
          <w:lang w:eastAsia="zh-CN"/>
        </w:rPr>
        <w:t>）。其中不含税价¥</w:t>
      </w:r>
      <w:r>
        <w:rPr>
          <w:sz w:val="24"/>
          <w:szCs w:val="24"/>
          <w:highlight w:val="none"/>
          <w:u w:val="single"/>
          <w:lang w:eastAsia="zh-CN"/>
        </w:rPr>
        <w:t xml:space="preserve"> </w:t>
      </w:r>
      <w:r>
        <w:rPr>
          <w:rFonts w:hint="eastAsia"/>
          <w:sz w:val="24"/>
          <w:szCs w:val="24"/>
          <w:highlight w:val="none"/>
          <w:u w:val="single"/>
          <w:lang w:val="en-US" w:eastAsia="zh-CN"/>
        </w:rPr>
        <w:t xml:space="preserve">   </w:t>
      </w:r>
      <w:r>
        <w:rPr>
          <w:rFonts w:hint="eastAsia"/>
          <w:sz w:val="24"/>
          <w:szCs w:val="24"/>
          <w:highlight w:val="none"/>
          <w:lang w:eastAsia="zh-CN"/>
        </w:rPr>
        <w:t>元，税费¥</w:t>
      </w:r>
      <w:r>
        <w:rPr>
          <w:sz w:val="24"/>
          <w:szCs w:val="24"/>
          <w:highlight w:val="none"/>
          <w:u w:val="single"/>
          <w:lang w:eastAsia="zh-CN"/>
        </w:rPr>
        <w:t xml:space="preserve">  </w:t>
      </w:r>
      <w:r>
        <w:rPr>
          <w:rFonts w:hint="eastAsia"/>
          <w:sz w:val="24"/>
          <w:szCs w:val="24"/>
          <w:highlight w:val="none"/>
          <w:u w:val="single"/>
          <w:lang w:val="en-US" w:eastAsia="zh-CN"/>
        </w:rPr>
        <w:t xml:space="preserve">  </w:t>
      </w:r>
      <w:r>
        <w:rPr>
          <w:rFonts w:hint="eastAsia"/>
          <w:sz w:val="24"/>
          <w:szCs w:val="24"/>
          <w:highlight w:val="none"/>
          <w:lang w:eastAsia="zh-CN"/>
        </w:rPr>
        <w:t>元</w:t>
      </w:r>
      <w:r>
        <w:rPr>
          <w:rFonts w:hint="eastAsia"/>
          <w:sz w:val="24"/>
          <w:szCs w:val="24"/>
          <w:highlight w:val="none"/>
          <w:lang w:eastAsia="zh-CN"/>
        </w:rPr>
        <w:t>，税率为</w:t>
      </w:r>
      <w:r>
        <w:rPr>
          <w:sz w:val="24"/>
          <w:szCs w:val="24"/>
          <w:highlight w:val="none"/>
          <w:u w:val="single"/>
          <w:lang w:eastAsia="zh-CN"/>
        </w:rPr>
        <w:t xml:space="preserve"> </w:t>
      </w:r>
      <w:r>
        <w:rPr>
          <w:rFonts w:hint="eastAsia"/>
          <w:sz w:val="24"/>
          <w:szCs w:val="24"/>
          <w:highlight w:val="none"/>
          <w:u w:val="single"/>
          <w:lang w:val="en-US" w:eastAsia="zh-CN"/>
        </w:rPr>
        <w:t xml:space="preserve">  </w:t>
      </w:r>
      <w:r>
        <w:rPr>
          <w:sz w:val="24"/>
          <w:szCs w:val="24"/>
          <w:highlight w:val="none"/>
          <w:lang w:eastAsia="zh-CN"/>
        </w:rPr>
        <w:t>%,</w:t>
      </w:r>
      <w:r>
        <w:rPr>
          <w:rFonts w:hint="eastAsia"/>
          <w:sz w:val="24"/>
          <w:szCs w:val="24"/>
          <w:highlight w:val="none"/>
          <w:lang w:eastAsia="zh-CN"/>
        </w:rPr>
        <w:t>在合同履行期间，如遇国家税收政策调整，改变相应税率的，本合同含税总价应按调整后税率做相应调整，结算时，以不含税总价为基础计算税率变化对应的各阶段含税总价为结算价。</w:t>
      </w:r>
      <w:r>
        <w:rPr>
          <w:sz w:val="24"/>
          <w:szCs w:val="24"/>
          <w:highlight w:val="none"/>
          <w:lang w:eastAsia="zh-CN"/>
        </w:rPr>
        <w:t xml:space="preserve"> </w:t>
      </w:r>
    </w:p>
    <w:p w14:paraId="2A595035">
      <w:pPr>
        <w:pStyle w:val="33"/>
        <w:adjustRightInd w:val="0"/>
        <w:snapToGrid w:val="0"/>
        <w:spacing w:line="360" w:lineRule="auto"/>
        <w:ind w:firstLine="480" w:firstLineChars="200"/>
        <w:jc w:val="both"/>
        <w:rPr>
          <w:rFonts w:hint="eastAsia"/>
          <w:b w:val="0"/>
          <w:bCs w:val="0"/>
          <w:sz w:val="24"/>
          <w:szCs w:val="24"/>
          <w:highlight w:val="none"/>
          <w:lang w:val="en-US" w:eastAsia="zh-CN" w:bidi="en-US"/>
        </w:rPr>
      </w:pPr>
      <w:r>
        <w:rPr>
          <w:rFonts w:hint="eastAsia"/>
          <w:sz w:val="24"/>
          <w:szCs w:val="24"/>
          <w:highlight w:val="none"/>
          <w:lang w:eastAsia="zh-CN"/>
        </w:rPr>
        <w:t>（二）甲方有权根据上级主管部门的要求新增、取消或更新在线监测设备。甲方不承担违约责任，乙方自行承担有关的风险。因此对乙方的运营成本造成增加，甲方不因此而增加运营服务费用。乙方仍需提供新增或更新在线监测设备运行所需的合法合规的试剂、备件和消耗品等。</w:t>
      </w:r>
    </w:p>
    <w:p w14:paraId="3F66C357">
      <w:pPr>
        <w:adjustRightInd w:val="0"/>
        <w:snapToGrid w:val="0"/>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（三）合同价款已包括</w:t>
      </w:r>
      <w:r>
        <w:rPr>
          <w:rFonts w:hint="eastAsia" w:ascii="宋体" w:hAnsi="宋体" w:eastAsia="宋体" w:cs="宋体"/>
          <w:highlight w:val="none"/>
          <w:lang w:eastAsia="zh-CN"/>
        </w:rPr>
        <w:t>暂估价</w:t>
      </w:r>
      <w:r>
        <w:rPr>
          <w:rFonts w:hint="eastAsia" w:ascii="宋体" w:hAnsi="宋体" w:eastAsia="宋体" w:cs="宋体"/>
          <w:highlight w:val="none"/>
          <w:lang w:val="en-US" w:eastAsia="zh-CN"/>
        </w:rPr>
        <w:t>650000.00</w:t>
      </w:r>
      <w:r>
        <w:rPr>
          <w:rFonts w:hint="eastAsia" w:ascii="宋体" w:hAnsi="宋体" w:eastAsia="宋体" w:cs="宋体"/>
          <w:highlight w:val="none"/>
          <w:lang w:eastAsia="zh-CN"/>
        </w:rPr>
        <w:t>元</w:t>
      </w:r>
      <w:r>
        <w:rPr>
          <w:rFonts w:hint="eastAsia" w:ascii="宋体" w:hAnsi="宋体" w:eastAsia="宋体" w:cs="宋体"/>
          <w:highlight w:val="none"/>
          <w:lang w:eastAsia="zh-CN"/>
        </w:rPr>
        <w:t>，为甲方对危废处置能发生的工作而暂估的费用，该费用由委托人根据项目实际使用。</w:t>
      </w:r>
    </w:p>
    <w:p w14:paraId="6460C263">
      <w:pPr>
        <w:adjustRightInd w:val="0"/>
        <w:snapToGrid w:val="0"/>
        <w:spacing w:line="360" w:lineRule="auto"/>
        <w:ind w:firstLine="480" w:firstLineChars="200"/>
        <w:jc w:val="both"/>
        <w:rPr>
          <w:rFonts w:hint="eastAsia" w:ascii="宋体" w:hAnsi="宋体" w:eastAsia="宋体" w:cs="宋体"/>
          <w:color w:val="auto"/>
          <w:highlight w:val="none"/>
          <w:lang w:eastAsia="zh-CN" w:bidi="ar-SA"/>
        </w:rPr>
      </w:pPr>
      <w:r>
        <w:rPr>
          <w:rFonts w:hint="eastAsia" w:ascii="宋体" w:hAnsi="宋体" w:eastAsia="宋体" w:cs="宋体"/>
          <w:highlight w:val="none"/>
          <w:lang w:eastAsia="zh-CN"/>
        </w:rPr>
        <w:t>（四）合同价款已包括</w:t>
      </w:r>
      <w:r>
        <w:rPr>
          <w:rFonts w:hint="eastAsia" w:ascii="宋体" w:hAnsi="宋体" w:eastAsia="宋体" w:cs="宋体"/>
          <w:highlight w:val="none"/>
          <w:lang w:eastAsia="zh-CN"/>
        </w:rPr>
        <w:t>暂</w:t>
      </w:r>
      <w:r>
        <w:rPr>
          <w:rFonts w:hint="eastAsia" w:ascii="宋体" w:hAnsi="宋体" w:eastAsia="宋体" w:cs="宋体"/>
          <w:color w:val="auto"/>
          <w:highlight w:val="none"/>
          <w:lang w:eastAsia="zh-CN" w:bidi="ar-SA"/>
        </w:rPr>
        <w:t>列金</w:t>
      </w:r>
      <w:r>
        <w:rPr>
          <w:rFonts w:hint="eastAsia" w:ascii="宋体" w:hAnsi="宋体" w:eastAsia="宋体" w:cs="宋体"/>
          <w:highlight w:val="none"/>
          <w:lang w:eastAsia="zh-CN"/>
        </w:rPr>
        <w:t>价</w:t>
      </w:r>
      <w:r>
        <w:rPr>
          <w:rFonts w:hint="eastAsia" w:ascii="宋体" w:hAnsi="宋体" w:eastAsia="宋体" w:cs="宋体"/>
          <w:highlight w:val="none"/>
          <w:lang w:val="en-US" w:eastAsia="zh-CN"/>
        </w:rPr>
        <w:t>700000.00</w:t>
      </w:r>
      <w:r>
        <w:rPr>
          <w:rFonts w:hint="eastAsia" w:ascii="宋体" w:hAnsi="宋体" w:eastAsia="宋体" w:cs="宋体"/>
          <w:highlight w:val="none"/>
          <w:lang w:eastAsia="zh-CN"/>
        </w:rPr>
        <w:t>元</w:t>
      </w:r>
      <w:r>
        <w:rPr>
          <w:rFonts w:hint="eastAsia" w:ascii="宋体" w:hAnsi="宋体" w:eastAsia="宋体" w:cs="宋体"/>
          <w:highlight w:val="none"/>
          <w:lang w:eastAsia="zh-CN"/>
        </w:rPr>
        <w:t>，</w:t>
      </w:r>
      <w:r>
        <w:rPr>
          <w:rFonts w:hint="eastAsia" w:ascii="宋体" w:hAnsi="宋体" w:eastAsia="宋体" w:cs="宋体"/>
          <w:color w:val="auto"/>
          <w:highlight w:val="none"/>
          <w:lang w:eastAsia="zh-CN" w:bidi="ar-SA"/>
        </w:rPr>
        <w:t>为</w:t>
      </w:r>
      <w:r>
        <w:rPr>
          <w:rFonts w:hint="eastAsia" w:ascii="宋体" w:hAnsi="宋体" w:eastAsia="宋体" w:cs="宋体"/>
          <w:color w:val="auto"/>
          <w:highlight w:val="none"/>
          <w:lang w:val="en-US" w:eastAsia="zh-CN" w:bidi="ar-SA"/>
        </w:rPr>
        <w:t>甲方</w:t>
      </w:r>
      <w:r>
        <w:rPr>
          <w:rFonts w:hint="eastAsia" w:ascii="宋体" w:hAnsi="宋体" w:eastAsia="宋体" w:cs="宋体"/>
          <w:highlight w:val="none"/>
          <w:lang w:eastAsia="zh-CN"/>
        </w:rPr>
        <w:t>下发的其他</w:t>
      </w:r>
      <w:r>
        <w:rPr>
          <w:rFonts w:hint="eastAsia" w:ascii="宋体" w:hAnsi="宋体" w:eastAsia="宋体" w:cs="宋体"/>
          <w:color w:val="auto"/>
          <w:highlight w:val="none"/>
          <w:lang w:eastAsia="zh-CN" w:bidi="ar-SA"/>
        </w:rPr>
        <w:t>任务可能发生的工作而预留的费用，该费用由</w:t>
      </w:r>
      <w:r>
        <w:rPr>
          <w:rFonts w:hint="eastAsia" w:ascii="宋体" w:hAnsi="宋体" w:eastAsia="宋体" w:cs="宋体"/>
          <w:color w:val="auto"/>
          <w:highlight w:val="none"/>
          <w:lang w:val="en-US" w:eastAsia="zh-CN" w:bidi="ar-SA"/>
        </w:rPr>
        <w:t>甲方</w:t>
      </w:r>
      <w:r>
        <w:rPr>
          <w:rFonts w:hint="eastAsia" w:ascii="宋体" w:hAnsi="宋体" w:eastAsia="宋体" w:cs="宋体"/>
          <w:color w:val="auto"/>
          <w:highlight w:val="none"/>
          <w:lang w:eastAsia="zh-CN" w:bidi="ar-SA"/>
        </w:rPr>
        <w:t>根据项目需要支配使用。</w:t>
      </w:r>
    </w:p>
    <w:p w14:paraId="6F0E2B60">
      <w:pPr>
        <w:adjustRightInd w:val="0"/>
        <w:snapToGrid w:val="0"/>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（五）本项目采用“合同费用总额控制、单项工作费用总额可调整”的模式，即每项工作实际发生累计费用可超过合同中对应的项目金额，所有项目发生的金额累计不得超过合同暂定价。</w:t>
      </w:r>
    </w:p>
    <w:p w14:paraId="0DA2F2CC">
      <w:pPr>
        <w:spacing w:line="360" w:lineRule="auto"/>
        <w:ind w:firstLine="482" w:firstLineChars="200"/>
        <w:jc w:val="both"/>
        <w:rPr>
          <w:rFonts w:hint="eastAsia" w:ascii="宋体" w:hAnsi="宋体" w:eastAsia="宋体" w:cs="宋体"/>
          <w:b/>
          <w:bCs/>
          <w:highlight w:val="none"/>
          <w:lang w:eastAsia="zh-CN"/>
        </w:rPr>
      </w:pPr>
      <w:bookmarkStart w:id="2" w:name="bookmark13"/>
      <w:r>
        <w:rPr>
          <w:rFonts w:ascii="宋体" w:hAnsi="宋体" w:eastAsia="宋体" w:cs="宋体"/>
          <w:b/>
          <w:bCs/>
          <w:highlight w:val="none"/>
          <w:lang w:eastAsia="zh-CN"/>
        </w:rPr>
        <w:t>三</w:t>
      </w:r>
      <w:bookmarkEnd w:id="2"/>
      <w:r>
        <w:rPr>
          <w:rFonts w:hint="eastAsia" w:ascii="宋体" w:hAnsi="宋体" w:eastAsia="宋体" w:cs="宋体"/>
          <w:b/>
          <w:bCs/>
          <w:highlight w:val="none"/>
          <w:lang w:eastAsia="zh-CN"/>
        </w:rPr>
        <w:t>、</w:t>
      </w:r>
      <w:r>
        <w:rPr>
          <w:rFonts w:ascii="宋体" w:hAnsi="宋体" w:eastAsia="宋体" w:cs="宋体"/>
          <w:b/>
          <w:bCs/>
          <w:highlight w:val="none"/>
          <w:lang w:eastAsia="zh-CN"/>
        </w:rPr>
        <w:t>项目执行地点</w:t>
      </w:r>
    </w:p>
    <w:p w14:paraId="3F492565">
      <w:pPr>
        <w:spacing w:line="360" w:lineRule="auto"/>
        <w:ind w:firstLine="480" w:firstLineChars="200"/>
        <w:jc w:val="both"/>
        <w:rPr>
          <w:rFonts w:hint="eastAsia" w:ascii="宋体" w:hAnsi="宋体" w:eastAsia="宋体" w:cs="宋体"/>
          <w:highlight w:val="none"/>
          <w:lang w:eastAsia="zh-CN"/>
        </w:rPr>
      </w:pPr>
      <w:r>
        <w:rPr>
          <w:rFonts w:ascii="宋体" w:hAnsi="宋体" w:eastAsia="宋体" w:cs="宋体"/>
          <w:highlight w:val="none"/>
          <w:lang w:eastAsia="zh-CN"/>
        </w:rPr>
        <w:t>项目执行地点：</w:t>
      </w:r>
      <w:r>
        <w:rPr>
          <w:rFonts w:hint="default" w:ascii="宋体" w:hAnsi="宋体" w:eastAsia="宋体" w:cs="宋体"/>
          <w:sz w:val="24"/>
          <w:szCs w:val="24"/>
          <w:highlight w:val="none"/>
          <w:lang w:val="en-US" w:eastAsia="zh-CN"/>
        </w:rPr>
        <w:t>广州市南沙区内，</w:t>
      </w:r>
      <w:r>
        <w:rPr>
          <w:rFonts w:ascii="宋体" w:hAnsi="宋体" w:eastAsia="宋体" w:cs="宋体"/>
          <w:highlight w:val="none"/>
          <w:lang w:eastAsia="zh-CN"/>
        </w:rPr>
        <w:t>本项目中需要提供服务的各</w:t>
      </w:r>
      <w:r>
        <w:rPr>
          <w:rFonts w:hint="eastAsia" w:ascii="宋体" w:hAnsi="宋体" w:eastAsia="宋体" w:cs="宋体"/>
          <w:highlight w:val="none"/>
          <w:lang w:eastAsia="zh-CN"/>
        </w:rPr>
        <w:t>污水设施站点</w:t>
      </w:r>
      <w:r>
        <w:rPr>
          <w:rFonts w:ascii="宋体" w:hAnsi="宋体" w:eastAsia="宋体" w:cs="宋体"/>
          <w:highlight w:val="none"/>
          <w:lang w:eastAsia="zh-CN"/>
        </w:rPr>
        <w:t>内</w:t>
      </w:r>
      <w:r>
        <w:rPr>
          <w:rFonts w:hint="eastAsia" w:ascii="宋体" w:hAnsi="宋体" w:eastAsia="宋体" w:cs="宋体"/>
          <w:highlight w:val="none"/>
          <w:lang w:eastAsia="zh-CN"/>
        </w:rPr>
        <w:t>及甲方接收管网范围内</w:t>
      </w:r>
      <w:r>
        <w:rPr>
          <w:rFonts w:ascii="宋体" w:hAnsi="宋体" w:eastAsia="宋体" w:cs="宋体"/>
          <w:highlight w:val="none"/>
          <w:lang w:eastAsia="zh-CN"/>
        </w:rPr>
        <w:t>。</w:t>
      </w:r>
    </w:p>
    <w:p w14:paraId="742C70C0">
      <w:pPr>
        <w:spacing w:line="360" w:lineRule="auto"/>
        <w:ind w:firstLine="482" w:firstLineChars="200"/>
        <w:jc w:val="both"/>
        <w:rPr>
          <w:rFonts w:hint="eastAsia" w:ascii="宋体" w:hAnsi="宋体" w:eastAsia="宋体" w:cs="宋体"/>
          <w:b/>
          <w:bCs/>
          <w:highlight w:val="none"/>
          <w:lang w:eastAsia="zh-CN"/>
        </w:rPr>
      </w:pPr>
      <w:bookmarkStart w:id="3" w:name="bookmark14"/>
      <w:r>
        <w:rPr>
          <w:rFonts w:ascii="宋体" w:hAnsi="宋体" w:eastAsia="宋体" w:cs="宋体"/>
          <w:b/>
          <w:bCs/>
          <w:highlight w:val="none"/>
          <w:lang w:eastAsia="zh-CN"/>
        </w:rPr>
        <w:t>四</w:t>
      </w:r>
      <w:bookmarkEnd w:id="3"/>
      <w:r>
        <w:rPr>
          <w:rFonts w:ascii="宋体" w:hAnsi="宋体" w:eastAsia="宋体" w:cs="宋体"/>
          <w:b/>
          <w:bCs/>
          <w:highlight w:val="none"/>
          <w:lang w:eastAsia="zh-CN"/>
        </w:rPr>
        <w:t>、项目执行时间</w:t>
      </w:r>
    </w:p>
    <w:p w14:paraId="67EE6684">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运营服务期暂定为一年，自甲方第一次下发任务单之日起算。在不超过合同总价前提下，甲方有权根据项目开展情况对服务期进行调整。</w:t>
      </w:r>
    </w:p>
    <w:p w14:paraId="0589F7DA">
      <w:pPr>
        <w:spacing w:line="360" w:lineRule="auto"/>
        <w:ind w:firstLine="482" w:firstLineChars="200"/>
        <w:jc w:val="both"/>
        <w:rPr>
          <w:rFonts w:hint="eastAsia" w:ascii="宋体" w:hAnsi="宋体" w:eastAsia="宋体" w:cs="宋体"/>
          <w:highlight w:val="none"/>
          <w:lang w:eastAsia="zh-CN"/>
        </w:rPr>
      </w:pPr>
      <w:bookmarkStart w:id="4" w:name="bookmark15"/>
      <w:r>
        <w:rPr>
          <w:rFonts w:hint="eastAsia" w:ascii="宋体" w:hAnsi="宋体" w:eastAsia="宋体" w:cs="宋体"/>
          <w:b/>
          <w:bCs/>
          <w:highlight w:val="none"/>
          <w:lang w:eastAsia="zh-CN"/>
        </w:rPr>
        <w:t>五、</w:t>
      </w:r>
      <w:bookmarkEnd w:id="4"/>
      <w:r>
        <w:rPr>
          <w:rFonts w:hint="eastAsia" w:ascii="宋体" w:hAnsi="宋体" w:eastAsia="宋体" w:cs="宋体"/>
          <w:b/>
          <w:bCs/>
          <w:highlight w:val="none"/>
          <w:lang w:eastAsia="zh-CN"/>
        </w:rPr>
        <w:t>运维相关配套</w:t>
      </w:r>
    </w:p>
    <w:p w14:paraId="555B2CE5">
      <w:pPr>
        <w:spacing w:line="360" w:lineRule="auto"/>
        <w:ind w:firstLine="480" w:firstLineChars="200"/>
        <w:jc w:val="both"/>
        <w:rPr>
          <w:rFonts w:hint="eastAsia" w:ascii="宋体" w:hAnsi="宋体" w:eastAsia="宋体" w:cs="宋体"/>
          <w:sz w:val="24"/>
          <w:szCs w:val="24"/>
          <w:highlight w:val="none"/>
          <w:lang w:eastAsia="zh-CN"/>
        </w:rPr>
      </w:pPr>
      <w:bookmarkStart w:id="5" w:name="_Toc257043060"/>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）办公室、备品备件、备机及水站运维实验室配置</w:t>
      </w:r>
    </w:p>
    <w:p w14:paraId="79C90D05">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为更好完成本项目运行维护服务，</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lang w:eastAsia="zh-CN"/>
        </w:rPr>
        <w:t>须承诺中标后30天内在南沙区提供100平米或以上的运维服务办公场地，作为项目设立实验室、备品备件库和备机库使用。其中备品备件库的储量应按照满足不少于3个月正常运维的储量准备；备机库的储量应按照整体运维设备数量的1:30（向上舍入取整）储备备机。同时承诺设计质控实验室，质控实验配备常用的试剂药剂配备、流转、存储工具。硫酸等管制用品,依法备案申请,保证储量满足正常运维3个月或以上时间。</w:t>
      </w:r>
    </w:p>
    <w:p w14:paraId="5FEF58C3">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）手工采样比对分析计划</w:t>
      </w:r>
    </w:p>
    <w:p w14:paraId="64A7D72F">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每半年抽查一次，每次抽查不少于50%点位, 每年对辖区内在线监测设施全覆盖检查一次，手工比对参数为cod、氨氮、总磷、总氮。</w:t>
      </w:r>
    </w:p>
    <w:p w14:paraId="2929DF2F">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人员投入计划</w:t>
      </w:r>
    </w:p>
    <w:p w14:paraId="75A5C95B">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现场运维人员投入数量按照与运维站点数量1：10的比例进行投入,其中项目负责人1名、项目实验室工作人员3名,专职安全管理人员1名,其他保障正常运行维护工作的人员不少于</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名，总投入人员数量不少于</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名。</w:t>
      </w:r>
    </w:p>
    <w:p w14:paraId="249A89F8">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车辆投入计划</w:t>
      </w:r>
    </w:p>
    <w:p w14:paraId="5CB129A4">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按照总投入车辆数量与总投入人员数量1:2的比例进行车辆租赁或者统一购买，总投入的车辆数量不少于</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辆。</w:t>
      </w:r>
    </w:p>
    <w:p w14:paraId="65C6B023">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eastAsia="zh-CN"/>
        </w:rPr>
        <w:t>）废液处理计划</w:t>
      </w:r>
    </w:p>
    <w:p w14:paraId="4BCD92B0">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在线监测仪器分析所产生的废液（不含重要站点产生的废液）由</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lang w:eastAsia="zh-CN"/>
        </w:rPr>
        <w:t>委托具有该类废液收集、运输、储存、处理、处置等有效资质的单位进行处理，费用实报实销。</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lang w:eastAsia="zh-CN"/>
        </w:rPr>
        <w:t>应依照《危险废物转移管理办法》及地方环保行政主管部门有关要求办理危险废物转移联单，负责危险废物的收集、运输、装卸、过磅、清理等工作，并负责注册及如实填写《广东省固体废物环境监管信息平台》的各项内容，做好相关登记台账，在合同存续期间内完成</w:t>
      </w:r>
      <w:r>
        <w:rPr>
          <w:rFonts w:hint="eastAsia" w:ascii="宋体" w:hAnsi="宋体" w:eastAsia="宋体" w:cs="宋体"/>
          <w:sz w:val="24"/>
          <w:szCs w:val="24"/>
          <w:highlight w:val="none"/>
          <w:lang w:val="en-US" w:eastAsia="zh-CN"/>
        </w:rPr>
        <w:t>信</w:t>
      </w:r>
      <w:r>
        <w:rPr>
          <w:rFonts w:hint="eastAsia" w:ascii="宋体" w:hAnsi="宋体" w:eastAsia="宋体" w:cs="宋体"/>
          <w:sz w:val="24"/>
          <w:szCs w:val="24"/>
          <w:highlight w:val="none"/>
          <w:lang w:eastAsia="zh-CN"/>
        </w:rPr>
        <w:t>息平台的危险废物管理计划年度备案等工作，做到依法依规转移危险废物，进行废物处理处置。各站点内危险废物标签、贮存分区标志、设施标志样式、颜色、内容均符合标准。在整个危险废物处理处置服务过程必须遵守国家和地方各项法规及环保部门的有关规定，确保对环境无污染。如在服务期内发生任何相关环境质量、安全事故或者其他由于乙方原因导致的事故时，均由</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lang w:eastAsia="zh-CN"/>
        </w:rPr>
        <w:t>自行负责。</w:t>
      </w:r>
    </w:p>
    <w:p w14:paraId="4279AA5C">
      <w:pPr>
        <w:numPr>
          <w:ilvl w:val="0"/>
          <w:numId w:val="1"/>
        </w:numPr>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通过增设物联网设施并采取相应的技术手段进行数据维护（包括不限于购置物联网设备、物联网卡、甲方合理联网要求等），以保障处理站点的流量及在线监测数据稳定传送至甲方与市水务局平台。所增设的物联网设施产权归甲方所有，服务期满后不得拆卸。</w:t>
      </w:r>
    </w:p>
    <w:bookmarkEnd w:id="5"/>
    <w:p w14:paraId="52BEFD35">
      <w:pPr>
        <w:spacing w:line="360" w:lineRule="auto"/>
        <w:ind w:firstLine="482" w:firstLineChars="200"/>
        <w:rPr>
          <w:rFonts w:hint="eastAsia" w:ascii="宋体" w:hAnsi="宋体" w:eastAsia="宋体" w:cs="宋体"/>
          <w:b/>
          <w:bCs/>
          <w:highlight w:val="none"/>
          <w:lang w:eastAsia="zh-CN"/>
        </w:rPr>
      </w:pPr>
      <w:bookmarkStart w:id="6" w:name="bookmark28"/>
      <w:r>
        <w:rPr>
          <w:rFonts w:hint="eastAsia" w:ascii="宋体" w:hAnsi="宋体" w:eastAsia="宋体" w:cs="宋体"/>
          <w:b/>
          <w:bCs/>
          <w:highlight w:val="none"/>
          <w:lang w:eastAsia="zh-CN"/>
        </w:rPr>
        <w:t>六</w:t>
      </w:r>
      <w:r>
        <w:rPr>
          <w:rFonts w:ascii="宋体" w:hAnsi="宋体" w:eastAsia="宋体" w:cs="宋体"/>
          <w:b/>
          <w:bCs/>
          <w:highlight w:val="none"/>
          <w:lang w:eastAsia="zh-CN"/>
        </w:rPr>
        <w:t xml:space="preserve"> </w:t>
      </w:r>
      <w:r>
        <w:rPr>
          <w:rFonts w:hint="eastAsia" w:ascii="宋体" w:hAnsi="宋体" w:eastAsia="宋体" w:cs="宋体"/>
          <w:b/>
          <w:bCs/>
          <w:highlight w:val="none"/>
          <w:lang w:eastAsia="zh-CN"/>
        </w:rPr>
        <w:t>、重要站点要求</w:t>
      </w:r>
    </w:p>
    <w:p w14:paraId="16E3CE91">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lang w:eastAsia="zh-CN"/>
        </w:rPr>
        <w:t>监测站点须符合《水污染源在线监测系统（CODCr、NH3-N 等）运行技术规范》（HJ 355-2019）要求开展日常运维工作，且监测数据须符合</w:t>
      </w: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"http://kjs.mee.gov.cn/hjbhbz/bzwb/jcffbz/201912/t20191227_753675.shtml" </w:instrText>
      </w:r>
      <w:r>
        <w:rPr>
          <w:rFonts w:hint="eastAsia" w:ascii="宋体" w:hAnsi="宋体" w:eastAsia="宋体" w:cs="宋体"/>
          <w:sz w:val="24"/>
          <w:szCs w:val="24"/>
          <w:highlight w:val="none"/>
          <w:lang w:eastAsia="zh-CN"/>
        </w:rPr>
        <w:fldChar w:fldCharType="separate"/>
      </w:r>
      <w:r>
        <w:rPr>
          <w:rStyle w:val="18"/>
          <w:rFonts w:hint="eastAsia" w:ascii="宋体" w:hAnsi="宋体" w:eastAsia="宋体" w:cs="宋体"/>
          <w:color w:val="000000"/>
          <w:sz w:val="24"/>
          <w:szCs w:val="24"/>
          <w:highlight w:val="none"/>
          <w:lang w:eastAsia="zh-CN"/>
        </w:rPr>
        <w:t>《水污染源在线监测系统（CODCr、NH3-N等）数据有效性判别技术规范》（HJ 356-2019）</w:t>
      </w:r>
      <w:r>
        <w:rPr>
          <w:rStyle w:val="18"/>
          <w:rFonts w:hint="eastAsia" w:ascii="宋体" w:hAnsi="宋体" w:eastAsia="宋体" w:cs="宋体"/>
          <w:color w:val="000000"/>
          <w:sz w:val="24"/>
          <w:szCs w:val="24"/>
          <w:highlight w:val="none"/>
          <w:lang w:eastAsia="zh-CN"/>
        </w:rPr>
        <w:fldChar w:fldCharType="end"/>
      </w:r>
      <w:r>
        <w:rPr>
          <w:rFonts w:hint="eastAsia" w:ascii="宋体" w:hAnsi="宋体" w:eastAsia="宋体" w:cs="宋体"/>
          <w:sz w:val="24"/>
          <w:szCs w:val="24"/>
          <w:highlight w:val="none"/>
          <w:lang w:eastAsia="zh-CN"/>
        </w:rPr>
        <w:t>要求。其中，在污水处理站连续排放情况下，化学需氧量、氨氮、总磷及总氮等水质分析仪至少每2小时上传一个有效监测数据，每日保证上传12组有效小时值和1组日均值（参与统计有效小时值不少于9组）；pH、悬浮物水质分析仪、流量计及温度计至少每10min获得一个监测值。在污水处理厂间歇排放情况下，化学需氧量、氨氮、总磷及总氮等水质分析仪监测数据数不少于实际污水累计排放小时数；pH、悬浮物水质分析仪、流量计及温度计监测数据数不少于实际污水累计排放小时数的6倍。</w:t>
      </w:r>
    </w:p>
    <w:p w14:paraId="2E275951">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乙方应至少安排1人对每个站点在线监测系统进行专人专职维护，且每人维护站点不得多于2个，运行维护人员须具有从事相应专业知识和专业技能（持有上岗证，到岗前提供上岗证并将复印件有序张贴在站房内以备检查），每个站点每周至少一次到场进行维护。监测系统设备出现故障时，运行维护人员须2小时内赶到现场处理，并须24小时保持电话通讯畅通，完成系统设备运行维护工作，及时处理相关故障异常和突发应急情况，并向甲方汇报处理进度，保障在线监测系统稳定正常运行。</w:t>
      </w:r>
    </w:p>
    <w:p w14:paraId="7892C4AF">
      <w:pPr>
        <w:widowControl w:val="0"/>
        <w:numPr>
          <w:ilvl w:val="0"/>
          <w:numId w:val="0"/>
        </w:numPr>
        <w:autoSpaceDN/>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运行维护人员须每天登录监控平台查询监测系统监测数据传输情况，每周至少一次现场检查在线监测站房现场仪器设备运行情况，包括：</w:t>
      </w:r>
    </w:p>
    <w:p w14:paraId="53F46D3A">
      <w:pPr>
        <w:widowControl w:val="0"/>
        <w:numPr>
          <w:ilvl w:val="0"/>
          <w:numId w:val="0"/>
        </w:numPr>
        <w:autoSpaceDN/>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检查电路系统、接地线路和通讯线路是否正常；检查采水系统、水样预处理系统、配水系统及各控制设备部件运行是否正常；清洗管路（监测仪器、自动采样器管路等)、水箱或相关部件（探头、检测池等）。</w:t>
      </w:r>
    </w:p>
    <w:p w14:paraId="675AEBF7">
      <w:pPr>
        <w:widowControl w:val="0"/>
        <w:numPr>
          <w:ilvl w:val="0"/>
          <w:numId w:val="0"/>
        </w:numPr>
        <w:autoSpaceDN/>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检查仪器运行状态、部件运转情况及试剂、蒸馏水消耗情况；按规定的仪器维护要求制定易耗损部件、试剂清单及维护周期，必须定期（每周、每月）更换易耗损部件、清洗仪器内部管路、更换或补充仪器所需试剂、标准溶液、蒸馏水等，保证其符合《国家环境监测技术规范》质量保证要求，建立满足在线监测运行维护需要的备品备件仓库，建立详细的出入库台账，定期检查库存状况，更换下来的耗材和损件，注明仪器、故障原因、更换时间，形成台账，甲方不定期进行盘点。</w:t>
      </w:r>
    </w:p>
    <w:p w14:paraId="3C55BC29">
      <w:pPr>
        <w:widowControl w:val="0"/>
        <w:numPr>
          <w:ilvl w:val="0"/>
          <w:numId w:val="0"/>
        </w:numPr>
        <w:autoSpaceDN/>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监测仪器及工控机数据信息，检查仪器控制或数据信息传输是否正常；检查自动留样器、自动采样器运行情况，必要时（如实际水样比对、数据异常等）送留存水样到相关检测单位分析，判断在线监测数据是否准确有效；</w:t>
      </w:r>
    </w:p>
    <w:p w14:paraId="53517073">
      <w:pPr>
        <w:widowControl w:val="0"/>
        <w:numPr>
          <w:ilvl w:val="0"/>
          <w:numId w:val="0"/>
        </w:numPr>
        <w:autoSpaceDN/>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证站房的整洁与卫生，维护现场地面干净，每个站房做到“工完、料净、场地清”。检查站房及相关辅助和安全设施（如空调、冰箱、通风、照明、消防器材、防雷设施、UPS应急电源等），保障相关设施完好和功能正常；</w:t>
      </w:r>
    </w:p>
    <w:p w14:paraId="0C9E302C">
      <w:pPr>
        <w:widowControl w:val="0"/>
        <w:numPr>
          <w:ilvl w:val="0"/>
          <w:numId w:val="0"/>
        </w:numPr>
        <w:autoSpaceDN/>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行维护人员须规范填写现场记录（运行维护记录、质控校验记录、配件和易耗品更换记录、故障和维修记录等），并整理仪器设备验收表、运行维护单位营业执照或资质、人员上岗证、仪器相关合格证书、废液记录、运行维护记录、运维管理制度、在线异常报告等资料放置于站房现场。当发现异常或相关问题时，立即报告甲方并跟进处理，同时做好记录。</w:t>
      </w:r>
    </w:p>
    <w:p w14:paraId="27C4ADF0">
      <w:pPr>
        <w:widowControl w:val="0"/>
        <w:numPr>
          <w:ilvl w:val="0"/>
          <w:numId w:val="0"/>
        </w:numPr>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lang w:eastAsia="zh-CN"/>
        </w:rPr>
        <w:t>须每周对监测仪器进行标液核查、每月进行曲线标定、质控样校验，针对 COD、TOC、NH3-N、TP、TN水质自动分析仪应每月至少进行一次实际水样比对，当测试误差超出规定范围时，须对仪器重新进行标定，确保仪器监测数据符合要求，设备标定或校准前须提前2小时向</w:t>
      </w:r>
      <w:r>
        <w:rPr>
          <w:rFonts w:hint="eastAsia" w:ascii="宋体" w:hAnsi="宋体" w:eastAsia="宋体" w:cs="宋体"/>
          <w:sz w:val="24"/>
          <w:szCs w:val="24"/>
          <w:highlight w:val="none"/>
          <w:lang w:eastAsia="zh-CN"/>
        </w:rPr>
        <w:t>甲方报备。落实完成月度、季度考核相关工作，包括：国家、省、市、区环保及水务管理部门实施的监督考核及有效性审核（标样考核、实际水样比对）、甲方及其委托的质量控制服务单位实施的质控考核以及其他抽查考核工作。若环保比对监督性考核出现未达标情况，乙方须及时查明原因作出整改并重新委托测试，直至环保比对监督性检查合格。</w:t>
      </w:r>
    </w:p>
    <w:p w14:paraId="4F792052">
      <w:pPr>
        <w:widowControl w:val="0"/>
        <w:numPr>
          <w:ilvl w:val="0"/>
          <w:numId w:val="0"/>
        </w:numPr>
        <w:autoSpaceDN/>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eastAsia="zh-CN"/>
        </w:rPr>
        <w:t>若仪器发生故障导致数据异常或超标预警情况（负值、零值、不变值、瞬时值超标、日均值超标等），</w:t>
      </w:r>
      <w:r>
        <w:rPr>
          <w:rFonts w:hint="eastAsia" w:ascii="宋体" w:hAnsi="宋体" w:eastAsia="宋体" w:cs="宋体"/>
          <w:sz w:val="24"/>
          <w:szCs w:val="24"/>
          <w:highlight w:val="none"/>
          <w:lang w:eastAsia="zh-CN"/>
        </w:rPr>
        <w:t>乙方必须进行留样备质控单位检测，并及时查明原因和整改处理，整理和填报仪器故障分析报告和相关证明材料（仪器故障记录、情况说明、现场照片等），并做好向环保管理部门申诉相关工作。</w:t>
      </w:r>
    </w:p>
    <w:p w14:paraId="0052DEAC">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eastAsia="zh-CN"/>
        </w:rPr>
        <w:t>污染源自动监控设施的维修、更换，必须在48小时内恢复自动监控设施正常运行， 设备故障在48小时内不能解决的，乙方必须提供备用设备，直至故障修复。备用设备须满足国家环保部的相关技术要求，通过国家环保部有关部门的相关认证，包含但不限于以下内容：</w:t>
      </w:r>
    </w:p>
    <w:p w14:paraId="22627C08">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1、进口仪器具备国家质量技术监督部门的计量器具型式批准证书；</w:t>
      </w:r>
    </w:p>
    <w:p w14:paraId="734EEDC9">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2、环境保护部环境监测仪器检测中心适应性监测报告；</w:t>
      </w:r>
    </w:p>
    <w:p w14:paraId="11E37254">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3、具备国家环境保护产品认证证书（限国家已开展的认证产品）</w:t>
      </w:r>
    </w:p>
    <w:p w14:paraId="59614433">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设施不能正常运行期间，要采取人工采样监测的方式报送数据，数据报送每天不少于4次，间隔不得超过6小时，监测技术要求参照HJ 91.1执行。</w:t>
      </w:r>
    </w:p>
    <w:p w14:paraId="7DECB3FB">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lang w:eastAsia="zh-CN"/>
        </w:rPr>
        <w:t xml:space="preserve">监测数据完整性：实现对污水处理厂 24 小时实时在线监测，按国家的相关规定，将在线监测数据根据污水处理厂的排放情况完整上传至各级环保部门的监控平台，各在线监测系统的在线率应分别达到95%以上。 </w:t>
      </w:r>
    </w:p>
    <w:p w14:paraId="2CCB6D6A">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监测数据准确性：积极配合各级环境监测部门对污染源自动监测系统的监测设备进行实验室比对监测和自动监测数据有效性审核。平时进行不定期抽查校验，确保在线监测数据传输正确和数据传输稳定，报文传输稳定性在99%以上，当出现报文错误或丢失时启动纠错逻辑，要求数据采集传输仪重新发送报文。</w:t>
      </w:r>
    </w:p>
    <w:p w14:paraId="7BE75AE1">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lang w:eastAsia="zh-CN"/>
        </w:rPr>
        <w:t>其他</w:t>
      </w:r>
    </w:p>
    <w:p w14:paraId="5D583174">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乙方在仪器设备因故障、调试等原因暂停在线监测时，须根据《水污染源在线监测系统（CODCr、NH3-N等）数据有效性判别技术规范》（HJ356-2019）、《水污染源在线监测系统（CODCr、NH3-N等）运行技术规范》（HJ355-2019）等环保部门的相关要求，对暂停监测的项目进行手工检测，并将监测报告提交甲方，该部分费用由乙方承担，甲方不再另行支付费用。</w:t>
      </w:r>
    </w:p>
    <w:p w14:paraId="316F03AF">
      <w:pPr>
        <w:spacing w:line="360" w:lineRule="auto"/>
        <w:ind w:firstLine="482"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七、</w:t>
      </w:r>
      <w:r>
        <w:rPr>
          <w:rFonts w:ascii="宋体" w:hAnsi="宋体" w:eastAsia="宋体" w:cs="宋体"/>
          <w:b/>
          <w:bCs/>
          <w:highlight w:val="none"/>
          <w:lang w:eastAsia="zh-CN"/>
        </w:rPr>
        <w:t>一般站点日常运维内容</w:t>
      </w:r>
    </w:p>
    <w:p w14:paraId="4387F94C">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）保持所负责维护设备的整洁与卫生，维护现场地面干净，每个维护作业点做到“工完、料净、场地清”。</w:t>
      </w:r>
    </w:p>
    <w:p w14:paraId="0AFEC51A">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）日常巡检至少每两周进行一次，包括设备检查，记录检查等内容，每次对巡检结果进行记录并归档。</w:t>
      </w:r>
    </w:p>
    <w:p w14:paraId="5771BA48">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日常巡检包含该采样系统运行状况、预处理系统运行状况、监测测仪器运行状况等，并填写巡检记录，同时根据操作规程对仪器进行维护保养。</w:t>
      </w:r>
    </w:p>
    <w:p w14:paraId="2636FF69">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每次进行备件或材料更换时对更换的备件或材料的品名、规格、数量等进行记录并归档。</w:t>
      </w:r>
    </w:p>
    <w:p w14:paraId="247DB7A6">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每次更换标准物质时记录有效期和浓度等信息。</w:t>
      </w:r>
    </w:p>
    <w:p w14:paraId="325287C9">
      <w:pPr>
        <w:widowControl w:val="0"/>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eastAsia="zh-CN"/>
        </w:rPr>
        <w:t>）至少每6小时上传一个有效监测数据，每日保证上传4组有效小时值。乙方须每月对监测仪器进行标液核查、每月进行曲线标定、质控样校验，针对 COD、 NH3-N、TP水质自动分析仪应每月至少进行一次实际水样比对，当测试误差超出规定范围时，须对仪器重新进行标定，确保仪器监测数据符合要求，设备标定或校准前须提前2小时向甲方报备。落实完成考核相关工作，包括：国家、省、市、区环保及水务管理部门实施的监督考核及有效性审核（标样考核、实际水样比对）、甲方及其委托的质量控制服务单位实施的质控考核以及其他抽查考核工作。若环保比对监督性考核出现未达标情况，乙方须及时查明原因作出整改并重新委托测试，直至环保比对监督性检查合格。</w:t>
      </w:r>
    </w:p>
    <w:p w14:paraId="0DBF443A">
      <w:pPr>
        <w:widowControl w:val="0"/>
        <w:numPr>
          <w:ilvl w:val="0"/>
          <w:numId w:val="0"/>
        </w:numPr>
        <w:autoSpaceDN/>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lang w:eastAsia="zh-CN"/>
        </w:rPr>
        <w:t>）运行维护人员须每周登录监控平台查询监测系统监测数据传输情况，每月至少一次现场检查在线监测站房现场仪器设备运行情况， 检查具体内容同重要站点第3项。</w:t>
      </w:r>
    </w:p>
    <w:p w14:paraId="227C7BA7">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lang w:eastAsia="zh-CN"/>
        </w:rPr>
        <w:t>）污染源自动监控设施的维修、更换，必须在96小时内恢复自动监控设施正常运行， 设备故障在96小时内不能解决的，乙方必须提供备用设备，直至故障修复。备用设备须满足国家环保部的相关技术要求，通过国家环保部有关部门的相关认证，包含但不限于以下内容：</w:t>
      </w:r>
    </w:p>
    <w:p w14:paraId="0A197B1A">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1、进口仪器具备国家质量技术监督部门的计量器具型式批准证书；</w:t>
      </w:r>
    </w:p>
    <w:p w14:paraId="6F6178CD">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2、环境保护部环境监测仪器检测中心适应性监测报告；</w:t>
      </w:r>
    </w:p>
    <w:p w14:paraId="5FF62619">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3、具备国家环境保护产品认证证书（限国家已开展的认证产品）；</w:t>
      </w:r>
    </w:p>
    <w:p w14:paraId="11DFCBDE">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4、后续可根据行政主管部门及甲方要求进行调整。</w:t>
      </w:r>
    </w:p>
    <w:p w14:paraId="7593E9E9">
      <w:pPr>
        <w:spacing w:line="360" w:lineRule="auto"/>
        <w:ind w:firstLine="482" w:firstLineChars="200"/>
        <w:rPr>
          <w:rFonts w:hint="eastAsia" w:ascii="宋体" w:hAnsi="宋体" w:eastAsia="宋体" w:cs="宋体"/>
          <w:highlight w:val="none"/>
          <w:lang w:eastAsia="zh-CN"/>
        </w:rPr>
      </w:pPr>
      <w:r>
        <w:rPr>
          <w:rFonts w:hint="eastAsia" w:ascii="宋体" w:hAnsi="宋体" w:eastAsia="宋体" w:cs="宋体"/>
          <w:b/>
          <w:bCs/>
          <w:highlight w:val="none"/>
          <w:lang w:eastAsia="zh-CN"/>
        </w:rPr>
        <w:t>八、光学法（电极法）在线监测设施运维要求</w:t>
      </w:r>
    </w:p>
    <w:p w14:paraId="1C1DECD3">
      <w:pPr>
        <w:pStyle w:val="12"/>
        <w:spacing w:line="360" w:lineRule="auto"/>
        <w:ind w:firstLine="420" w:firstLineChars="200"/>
        <w:rPr>
          <w:rFonts w:hint="eastAsia" w:ascii="宋体" w:hAnsi="宋体" w:cs="宋体"/>
          <w:sz w:val="21"/>
          <w:szCs w:val="21"/>
          <w:highlight w:val="none"/>
          <w:lang w:eastAsia="zh-Hans"/>
        </w:rPr>
      </w:pPr>
      <w:r>
        <w:rPr>
          <w:rFonts w:hint="eastAsia" w:ascii="宋体" w:hAnsi="宋体" w:cs="宋体"/>
          <w:sz w:val="21"/>
          <w:szCs w:val="21"/>
          <w:highlight w:val="none"/>
        </w:rPr>
        <w:t>光学法（电极法）在线监测设施运维要求按照以下电极运维手册进行。</w:t>
      </w:r>
    </w:p>
    <w:p w14:paraId="004099E4">
      <w:pPr>
        <w:pStyle w:val="12"/>
        <w:ind w:firstLine="3150" w:firstLineChars="1500"/>
        <w:jc w:val="center"/>
        <w:rPr>
          <w:rFonts w:hint="eastAsia" w:ascii="宋体" w:hAnsi="宋体" w:cs="宋体"/>
          <w:b w:val="0"/>
          <w:kern w:val="0"/>
          <w:sz w:val="21"/>
          <w:szCs w:val="21"/>
          <w:highlight w:val="none"/>
        </w:rPr>
      </w:pPr>
      <w:r>
        <w:rPr>
          <w:rFonts w:hint="eastAsia" w:ascii="宋体" w:hAnsi="宋体" w:cs="宋体"/>
          <w:b w:val="0"/>
          <w:kern w:val="0"/>
          <w:sz w:val="21"/>
          <w:szCs w:val="21"/>
          <w:highlight w:val="none"/>
        </w:rPr>
        <w:t>电极运维手册</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193"/>
        <w:gridCol w:w="1293"/>
        <w:gridCol w:w="5213"/>
      </w:tblGrid>
      <w:tr w14:paraId="20E5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26" w:type="dxa"/>
            <w:noWrap w:val="0"/>
            <w:vAlign w:val="center"/>
          </w:tcPr>
          <w:p w14:paraId="0E78F67C">
            <w:pPr>
              <w:pStyle w:val="12"/>
              <w:widowControl/>
              <w:ind w:firstLine="0" w:firstLineChars="0"/>
              <w:jc w:val="center"/>
              <w:textAlignment w:val="center"/>
              <w:rPr>
                <w:rFonts w:hint="eastAsia" w:ascii="宋体" w:hAnsi="宋体" w:cs="宋体"/>
                <w:sz w:val="21"/>
                <w:szCs w:val="21"/>
                <w:highlight w:val="none"/>
              </w:rPr>
            </w:pPr>
            <w:r>
              <w:rPr>
                <w:rFonts w:hint="eastAsia" w:ascii="宋体" w:hAnsi="宋体" w:cs="宋体"/>
                <w:sz w:val="21"/>
                <w:szCs w:val="21"/>
                <w:highlight w:val="none"/>
                <w:lang w:bidi="en-US"/>
              </w:rPr>
              <w:t>序号</w:t>
            </w:r>
          </w:p>
        </w:tc>
        <w:tc>
          <w:tcPr>
            <w:tcW w:w="1277" w:type="dxa"/>
            <w:noWrap w:val="0"/>
            <w:vAlign w:val="center"/>
          </w:tcPr>
          <w:p w14:paraId="39A84F21">
            <w:pPr>
              <w:pStyle w:val="12"/>
              <w:widowControl/>
              <w:ind w:firstLine="0" w:firstLineChars="0"/>
              <w:jc w:val="center"/>
              <w:textAlignment w:val="center"/>
              <w:rPr>
                <w:rFonts w:hint="eastAsia" w:ascii="宋体" w:hAnsi="宋体" w:cs="宋体"/>
                <w:sz w:val="21"/>
                <w:szCs w:val="21"/>
                <w:highlight w:val="none"/>
              </w:rPr>
            </w:pPr>
            <w:r>
              <w:rPr>
                <w:rFonts w:hint="eastAsia" w:ascii="宋体" w:hAnsi="宋体" w:cs="宋体"/>
                <w:sz w:val="21"/>
                <w:szCs w:val="21"/>
                <w:highlight w:val="none"/>
              </w:rPr>
              <w:t>操作内容</w:t>
            </w:r>
          </w:p>
        </w:tc>
        <w:tc>
          <w:tcPr>
            <w:tcW w:w="1335" w:type="dxa"/>
            <w:noWrap w:val="0"/>
            <w:vAlign w:val="center"/>
          </w:tcPr>
          <w:p w14:paraId="1278C1AA">
            <w:pPr>
              <w:pStyle w:val="12"/>
              <w:widowControl/>
              <w:ind w:firstLine="0" w:firstLineChars="0"/>
              <w:jc w:val="center"/>
              <w:textAlignment w:val="center"/>
              <w:rPr>
                <w:rFonts w:hint="eastAsia" w:ascii="宋体" w:hAnsi="宋体" w:cs="宋体"/>
                <w:sz w:val="21"/>
                <w:szCs w:val="21"/>
                <w:highlight w:val="none"/>
              </w:rPr>
            </w:pPr>
            <w:r>
              <w:rPr>
                <w:rFonts w:hint="eastAsia" w:ascii="宋体" w:hAnsi="宋体" w:cs="宋体"/>
                <w:sz w:val="21"/>
                <w:szCs w:val="21"/>
                <w:highlight w:val="none"/>
                <w:lang w:bidi="en-US"/>
              </w:rPr>
              <w:t>操作频次</w:t>
            </w:r>
          </w:p>
        </w:tc>
        <w:tc>
          <w:tcPr>
            <w:tcW w:w="5475" w:type="dxa"/>
            <w:noWrap w:val="0"/>
            <w:vAlign w:val="center"/>
          </w:tcPr>
          <w:p w14:paraId="138790C2">
            <w:pPr>
              <w:pStyle w:val="12"/>
              <w:widowControl/>
              <w:ind w:firstLine="2100" w:firstLineChars="1000"/>
              <w:jc w:val="center"/>
              <w:textAlignment w:val="center"/>
              <w:rPr>
                <w:rFonts w:hint="eastAsia" w:ascii="宋体" w:hAnsi="宋体" w:cs="宋体"/>
                <w:sz w:val="21"/>
                <w:szCs w:val="21"/>
                <w:highlight w:val="none"/>
              </w:rPr>
            </w:pPr>
            <w:r>
              <w:rPr>
                <w:rFonts w:hint="eastAsia" w:ascii="宋体" w:hAnsi="宋体" w:cs="宋体"/>
                <w:sz w:val="21"/>
                <w:szCs w:val="21"/>
                <w:highlight w:val="none"/>
              </w:rPr>
              <w:t>操作方法</w:t>
            </w:r>
          </w:p>
        </w:tc>
      </w:tr>
      <w:tr w14:paraId="6C67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826" w:type="dxa"/>
            <w:noWrap w:val="0"/>
            <w:vAlign w:val="center"/>
          </w:tcPr>
          <w:p w14:paraId="7FB0639B">
            <w:pPr>
              <w:pStyle w:val="12"/>
              <w:widowControl/>
              <w:ind w:firstLine="420" w:firstLineChars="200"/>
              <w:jc w:val="center"/>
              <w:textAlignment w:val="center"/>
              <w:rPr>
                <w:rFonts w:hint="eastAsia" w:ascii="宋体" w:hAnsi="宋体" w:cs="宋体"/>
                <w:sz w:val="21"/>
                <w:szCs w:val="21"/>
                <w:highlight w:val="none"/>
              </w:rPr>
            </w:pPr>
            <w:r>
              <w:rPr>
                <w:rFonts w:hint="eastAsia" w:ascii="宋体" w:hAnsi="宋体" w:cs="宋体"/>
                <w:sz w:val="21"/>
                <w:szCs w:val="21"/>
                <w:highlight w:val="none"/>
              </w:rPr>
              <w:t>1</w:t>
            </w:r>
          </w:p>
        </w:tc>
        <w:tc>
          <w:tcPr>
            <w:tcW w:w="1277" w:type="dxa"/>
            <w:noWrap w:val="0"/>
            <w:vAlign w:val="center"/>
          </w:tcPr>
          <w:p w14:paraId="65D8DA12">
            <w:pPr>
              <w:pStyle w:val="12"/>
              <w:widowControl/>
              <w:ind w:firstLine="0" w:firstLineChars="0"/>
              <w:jc w:val="center"/>
              <w:textAlignment w:val="center"/>
              <w:rPr>
                <w:rFonts w:hint="eastAsia" w:ascii="宋体" w:hAnsi="宋体" w:cs="宋体"/>
                <w:sz w:val="21"/>
                <w:szCs w:val="21"/>
                <w:highlight w:val="none"/>
              </w:rPr>
            </w:pPr>
            <w:r>
              <w:rPr>
                <w:rFonts w:hint="eastAsia" w:ascii="宋体" w:hAnsi="宋体" w:cs="宋体"/>
                <w:sz w:val="21"/>
                <w:szCs w:val="21"/>
                <w:highlight w:val="none"/>
              </w:rPr>
              <w:t>清洗电极</w:t>
            </w:r>
          </w:p>
        </w:tc>
        <w:tc>
          <w:tcPr>
            <w:tcW w:w="1335" w:type="dxa"/>
            <w:noWrap w:val="0"/>
            <w:vAlign w:val="center"/>
          </w:tcPr>
          <w:p w14:paraId="1D6DADFC">
            <w:pPr>
              <w:pStyle w:val="12"/>
              <w:widowControl/>
              <w:ind w:firstLine="420" w:firstLineChars="200"/>
              <w:jc w:val="center"/>
              <w:textAlignment w:val="center"/>
              <w:rPr>
                <w:rFonts w:hint="eastAsia" w:ascii="宋体" w:hAnsi="宋体" w:cs="宋体"/>
                <w:sz w:val="21"/>
                <w:szCs w:val="21"/>
                <w:highlight w:val="none"/>
              </w:rPr>
            </w:pPr>
            <w:r>
              <w:rPr>
                <w:rFonts w:hint="eastAsia" w:ascii="宋体" w:hAnsi="宋体" w:cs="宋体"/>
                <w:sz w:val="21"/>
                <w:szCs w:val="21"/>
                <w:highlight w:val="none"/>
              </w:rPr>
              <w:t>每周</w:t>
            </w:r>
          </w:p>
        </w:tc>
        <w:tc>
          <w:tcPr>
            <w:tcW w:w="5475" w:type="dxa"/>
            <w:noWrap w:val="0"/>
            <w:vAlign w:val="center"/>
          </w:tcPr>
          <w:p w14:paraId="139CCE6E">
            <w:pPr>
              <w:pStyle w:val="12"/>
              <w:widowControl/>
              <w:ind w:firstLine="420" w:firstLineChars="200"/>
              <w:textAlignment w:val="center"/>
              <w:rPr>
                <w:rFonts w:hint="eastAsia" w:ascii="宋体" w:hAnsi="宋体" w:cs="宋体"/>
                <w:sz w:val="21"/>
                <w:szCs w:val="21"/>
                <w:highlight w:val="none"/>
              </w:rPr>
            </w:pPr>
            <w:r>
              <w:rPr>
                <w:rFonts w:hint="eastAsia" w:ascii="宋体" w:hAnsi="宋体" w:cs="宋体"/>
                <w:sz w:val="21"/>
                <w:szCs w:val="21"/>
                <w:highlight w:val="none"/>
              </w:rPr>
              <w:t>1、该操作针对现场的氨氮、COD电极打捞上来后，使用纯水对电极整体进行清洗。2、电极桶内部也需要进行冲刷保证内部没有坭污残留。</w:t>
            </w:r>
          </w:p>
        </w:tc>
      </w:tr>
      <w:tr w14:paraId="4780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826" w:type="dxa"/>
            <w:noWrap w:val="0"/>
            <w:vAlign w:val="center"/>
          </w:tcPr>
          <w:p w14:paraId="2E7F37AF">
            <w:pPr>
              <w:pStyle w:val="12"/>
              <w:widowControl/>
              <w:ind w:firstLine="420" w:firstLineChars="200"/>
              <w:jc w:val="center"/>
              <w:textAlignment w:val="center"/>
              <w:rPr>
                <w:rFonts w:hint="eastAsia" w:ascii="宋体" w:hAnsi="宋体" w:cs="宋体"/>
                <w:sz w:val="21"/>
                <w:szCs w:val="21"/>
                <w:highlight w:val="none"/>
              </w:rPr>
            </w:pPr>
            <w:r>
              <w:rPr>
                <w:rFonts w:hint="eastAsia" w:ascii="宋体" w:hAnsi="宋体" w:cs="宋体"/>
                <w:sz w:val="21"/>
                <w:szCs w:val="21"/>
                <w:highlight w:val="none"/>
              </w:rPr>
              <w:t>2</w:t>
            </w:r>
          </w:p>
        </w:tc>
        <w:tc>
          <w:tcPr>
            <w:tcW w:w="1277" w:type="dxa"/>
            <w:noWrap w:val="0"/>
            <w:vAlign w:val="center"/>
          </w:tcPr>
          <w:p w14:paraId="195BC457">
            <w:pPr>
              <w:pStyle w:val="12"/>
              <w:widowControl/>
              <w:ind w:firstLine="0" w:firstLineChars="0"/>
              <w:jc w:val="center"/>
              <w:textAlignment w:val="center"/>
              <w:rPr>
                <w:rFonts w:hint="eastAsia" w:ascii="宋体" w:hAnsi="宋体" w:cs="宋体"/>
                <w:sz w:val="21"/>
                <w:szCs w:val="21"/>
                <w:highlight w:val="none"/>
              </w:rPr>
            </w:pPr>
            <w:r>
              <w:rPr>
                <w:rFonts w:hint="eastAsia" w:ascii="宋体" w:hAnsi="宋体" w:cs="宋体"/>
                <w:sz w:val="21"/>
                <w:szCs w:val="21"/>
                <w:highlight w:val="none"/>
              </w:rPr>
              <w:t>校准电极</w:t>
            </w:r>
          </w:p>
        </w:tc>
        <w:tc>
          <w:tcPr>
            <w:tcW w:w="1335" w:type="dxa"/>
            <w:noWrap w:val="0"/>
            <w:vAlign w:val="center"/>
          </w:tcPr>
          <w:p w14:paraId="1EA31662">
            <w:pPr>
              <w:pStyle w:val="12"/>
              <w:widowControl/>
              <w:ind w:firstLine="420" w:firstLineChars="200"/>
              <w:jc w:val="center"/>
              <w:textAlignment w:val="center"/>
              <w:rPr>
                <w:rFonts w:hint="eastAsia" w:ascii="宋体" w:hAnsi="宋体" w:cs="宋体"/>
                <w:sz w:val="21"/>
                <w:szCs w:val="21"/>
                <w:highlight w:val="none"/>
              </w:rPr>
            </w:pPr>
            <w:r>
              <w:rPr>
                <w:rFonts w:hint="eastAsia" w:ascii="宋体" w:hAnsi="宋体" w:cs="宋体"/>
                <w:sz w:val="21"/>
                <w:szCs w:val="21"/>
                <w:highlight w:val="none"/>
              </w:rPr>
              <w:t>每周</w:t>
            </w:r>
          </w:p>
        </w:tc>
        <w:tc>
          <w:tcPr>
            <w:tcW w:w="5475" w:type="dxa"/>
            <w:noWrap w:val="0"/>
            <w:vAlign w:val="center"/>
          </w:tcPr>
          <w:p w14:paraId="5B30550E">
            <w:pPr>
              <w:pStyle w:val="12"/>
              <w:widowControl/>
              <w:ind w:firstLine="420" w:firstLineChars="200"/>
              <w:textAlignment w:val="center"/>
              <w:rPr>
                <w:rFonts w:hint="eastAsia" w:ascii="宋体" w:hAnsi="宋体" w:cs="宋体"/>
                <w:sz w:val="21"/>
                <w:szCs w:val="21"/>
                <w:highlight w:val="none"/>
              </w:rPr>
            </w:pPr>
            <w:r>
              <w:rPr>
                <w:rFonts w:hint="eastAsia" w:ascii="宋体" w:hAnsi="宋体" w:cs="宋体"/>
                <w:sz w:val="21"/>
                <w:szCs w:val="21"/>
                <w:highlight w:val="none"/>
              </w:rPr>
              <w:t>1、每周对氨氮、COD电极进行校准。2、该校准需要对电极进行清洗后进行。3、氨氮校准标液为：5mg/L、50mg/L、COD标液为：100mg/L、400mg/L</w:t>
            </w:r>
          </w:p>
        </w:tc>
      </w:tr>
      <w:tr w14:paraId="7F39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26" w:type="dxa"/>
            <w:noWrap w:val="0"/>
            <w:vAlign w:val="center"/>
          </w:tcPr>
          <w:p w14:paraId="0FC315EE">
            <w:pPr>
              <w:pStyle w:val="12"/>
              <w:widowControl/>
              <w:ind w:firstLine="420" w:firstLineChars="200"/>
              <w:jc w:val="center"/>
              <w:textAlignment w:val="center"/>
              <w:rPr>
                <w:rFonts w:hint="eastAsia" w:ascii="宋体" w:hAnsi="宋体" w:cs="宋体"/>
                <w:sz w:val="21"/>
                <w:szCs w:val="21"/>
                <w:highlight w:val="none"/>
              </w:rPr>
            </w:pPr>
            <w:r>
              <w:rPr>
                <w:rFonts w:hint="eastAsia" w:ascii="宋体" w:hAnsi="宋体" w:cs="宋体"/>
                <w:sz w:val="21"/>
                <w:szCs w:val="21"/>
                <w:highlight w:val="none"/>
              </w:rPr>
              <w:t>3</w:t>
            </w:r>
          </w:p>
        </w:tc>
        <w:tc>
          <w:tcPr>
            <w:tcW w:w="1277" w:type="dxa"/>
            <w:noWrap w:val="0"/>
            <w:vAlign w:val="center"/>
          </w:tcPr>
          <w:p w14:paraId="3C52D506">
            <w:pPr>
              <w:pStyle w:val="12"/>
              <w:widowControl/>
              <w:ind w:firstLine="0" w:firstLineChars="0"/>
              <w:jc w:val="center"/>
              <w:textAlignment w:val="center"/>
              <w:rPr>
                <w:rFonts w:hint="eastAsia" w:ascii="宋体" w:hAnsi="宋体" w:cs="宋体"/>
                <w:sz w:val="21"/>
                <w:szCs w:val="21"/>
                <w:highlight w:val="none"/>
              </w:rPr>
            </w:pPr>
            <w:r>
              <w:rPr>
                <w:rFonts w:hint="eastAsia" w:ascii="宋体" w:hAnsi="宋体" w:cs="宋体"/>
                <w:sz w:val="21"/>
                <w:szCs w:val="21"/>
                <w:highlight w:val="none"/>
              </w:rPr>
              <w:t>手工比对</w:t>
            </w:r>
          </w:p>
        </w:tc>
        <w:tc>
          <w:tcPr>
            <w:tcW w:w="1335" w:type="dxa"/>
            <w:noWrap w:val="0"/>
            <w:vAlign w:val="center"/>
          </w:tcPr>
          <w:p w14:paraId="2C61EAC5">
            <w:pPr>
              <w:pStyle w:val="12"/>
              <w:widowControl/>
              <w:ind w:firstLine="420" w:firstLineChars="200"/>
              <w:jc w:val="center"/>
              <w:textAlignment w:val="center"/>
              <w:rPr>
                <w:rFonts w:hint="eastAsia" w:ascii="宋体" w:hAnsi="宋体" w:cs="宋体"/>
                <w:sz w:val="21"/>
                <w:szCs w:val="21"/>
                <w:highlight w:val="none"/>
              </w:rPr>
            </w:pPr>
            <w:r>
              <w:rPr>
                <w:rFonts w:hint="eastAsia" w:ascii="宋体" w:hAnsi="宋体" w:cs="宋体"/>
                <w:sz w:val="21"/>
                <w:szCs w:val="21"/>
                <w:highlight w:val="none"/>
              </w:rPr>
              <w:t>每年</w:t>
            </w:r>
          </w:p>
        </w:tc>
        <w:tc>
          <w:tcPr>
            <w:tcW w:w="5475" w:type="dxa"/>
            <w:noWrap w:val="0"/>
            <w:vAlign w:val="center"/>
          </w:tcPr>
          <w:p w14:paraId="1650818C">
            <w:pPr>
              <w:pStyle w:val="12"/>
              <w:widowControl/>
              <w:ind w:firstLine="420" w:firstLineChars="200"/>
              <w:textAlignment w:val="center"/>
              <w:rPr>
                <w:rFonts w:hint="eastAsia" w:ascii="宋体" w:hAnsi="宋体" w:cs="宋体"/>
                <w:sz w:val="21"/>
                <w:szCs w:val="21"/>
                <w:highlight w:val="none"/>
              </w:rPr>
            </w:pPr>
            <w:r>
              <w:rPr>
                <w:rFonts w:hint="eastAsia" w:ascii="宋体" w:hAnsi="宋体" w:cs="宋体"/>
                <w:sz w:val="21"/>
                <w:szCs w:val="21"/>
                <w:highlight w:val="none"/>
              </w:rPr>
              <w:t>1、每年需要第三方的有资质实验室对站点设备进行比对采样工作</w:t>
            </w:r>
          </w:p>
        </w:tc>
      </w:tr>
      <w:tr w14:paraId="596A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826" w:type="dxa"/>
            <w:noWrap w:val="0"/>
            <w:vAlign w:val="center"/>
          </w:tcPr>
          <w:p w14:paraId="048C71DB">
            <w:pPr>
              <w:pStyle w:val="12"/>
              <w:widowControl/>
              <w:ind w:firstLine="420" w:firstLineChars="200"/>
              <w:jc w:val="center"/>
              <w:textAlignment w:val="center"/>
              <w:rPr>
                <w:rFonts w:hint="eastAsia" w:ascii="宋体" w:hAnsi="宋体" w:cs="宋体"/>
                <w:sz w:val="21"/>
                <w:szCs w:val="21"/>
                <w:highlight w:val="none"/>
              </w:rPr>
            </w:pPr>
            <w:r>
              <w:rPr>
                <w:rFonts w:hint="eastAsia" w:ascii="宋体" w:hAnsi="宋体" w:cs="宋体"/>
                <w:sz w:val="21"/>
                <w:szCs w:val="21"/>
                <w:highlight w:val="none"/>
              </w:rPr>
              <w:t>4</w:t>
            </w:r>
          </w:p>
        </w:tc>
        <w:tc>
          <w:tcPr>
            <w:tcW w:w="1277" w:type="dxa"/>
            <w:noWrap w:val="0"/>
            <w:vAlign w:val="center"/>
          </w:tcPr>
          <w:p w14:paraId="6AAECD7B">
            <w:pPr>
              <w:pStyle w:val="12"/>
              <w:widowControl/>
              <w:ind w:firstLine="0" w:firstLineChars="0"/>
              <w:jc w:val="center"/>
              <w:textAlignment w:val="center"/>
              <w:rPr>
                <w:rFonts w:hint="eastAsia" w:ascii="宋体" w:hAnsi="宋体" w:cs="宋体"/>
                <w:sz w:val="21"/>
                <w:szCs w:val="21"/>
                <w:highlight w:val="none"/>
              </w:rPr>
            </w:pPr>
            <w:r>
              <w:rPr>
                <w:rFonts w:hint="eastAsia" w:ascii="宋体" w:hAnsi="宋体" w:cs="宋体"/>
                <w:sz w:val="21"/>
                <w:szCs w:val="21"/>
                <w:highlight w:val="none"/>
              </w:rPr>
              <w:t>电极耗材更换</w:t>
            </w:r>
          </w:p>
        </w:tc>
        <w:tc>
          <w:tcPr>
            <w:tcW w:w="1335" w:type="dxa"/>
            <w:noWrap w:val="0"/>
            <w:vAlign w:val="center"/>
          </w:tcPr>
          <w:p w14:paraId="26036BF4">
            <w:pPr>
              <w:pStyle w:val="12"/>
              <w:widowControl/>
              <w:ind w:firstLine="420" w:firstLineChars="200"/>
              <w:jc w:val="center"/>
              <w:textAlignment w:val="center"/>
              <w:rPr>
                <w:rFonts w:hint="eastAsia" w:ascii="宋体" w:hAnsi="宋体" w:cs="宋体"/>
                <w:sz w:val="21"/>
                <w:szCs w:val="21"/>
                <w:highlight w:val="none"/>
              </w:rPr>
            </w:pPr>
            <w:r>
              <w:rPr>
                <w:rFonts w:hint="eastAsia" w:ascii="宋体" w:hAnsi="宋体" w:cs="宋体"/>
                <w:sz w:val="21"/>
                <w:szCs w:val="21"/>
                <w:highlight w:val="none"/>
              </w:rPr>
              <w:t>每半年</w:t>
            </w:r>
          </w:p>
        </w:tc>
        <w:tc>
          <w:tcPr>
            <w:tcW w:w="5475" w:type="dxa"/>
            <w:noWrap w:val="0"/>
            <w:vAlign w:val="center"/>
          </w:tcPr>
          <w:p w14:paraId="5EBCA9DB">
            <w:pPr>
              <w:pStyle w:val="12"/>
              <w:widowControl/>
              <w:ind w:firstLine="420" w:firstLineChars="200"/>
              <w:textAlignment w:val="center"/>
              <w:rPr>
                <w:rFonts w:hint="eastAsia" w:ascii="宋体" w:hAnsi="宋体" w:cs="宋体"/>
                <w:sz w:val="21"/>
                <w:szCs w:val="21"/>
                <w:highlight w:val="none"/>
              </w:rPr>
            </w:pPr>
            <w:r>
              <w:rPr>
                <w:rFonts w:hint="eastAsia" w:ascii="宋体" w:hAnsi="宋体" w:cs="宋体"/>
                <w:sz w:val="21"/>
                <w:szCs w:val="21"/>
                <w:highlight w:val="none"/>
              </w:rPr>
              <w:t>1、现场氨氮电极测量膜帽和电解液需要每半年进行更换。2、COD电刷头需要根据现场的使用情况每半年进行更换检查。</w:t>
            </w:r>
          </w:p>
        </w:tc>
      </w:tr>
      <w:tr w14:paraId="4361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26" w:type="dxa"/>
            <w:noWrap w:val="0"/>
            <w:vAlign w:val="center"/>
          </w:tcPr>
          <w:p w14:paraId="181607AC">
            <w:pPr>
              <w:pStyle w:val="12"/>
              <w:widowControl/>
              <w:ind w:firstLine="420" w:firstLineChars="200"/>
              <w:jc w:val="center"/>
              <w:textAlignment w:val="center"/>
              <w:rPr>
                <w:rFonts w:hint="eastAsia" w:ascii="宋体" w:hAnsi="宋体" w:cs="宋体"/>
                <w:sz w:val="21"/>
                <w:szCs w:val="21"/>
                <w:highlight w:val="none"/>
              </w:rPr>
            </w:pPr>
            <w:r>
              <w:rPr>
                <w:rFonts w:hint="eastAsia" w:ascii="宋体" w:hAnsi="宋体" w:cs="宋体"/>
                <w:sz w:val="21"/>
                <w:szCs w:val="21"/>
                <w:highlight w:val="none"/>
              </w:rPr>
              <w:t>5</w:t>
            </w:r>
          </w:p>
        </w:tc>
        <w:tc>
          <w:tcPr>
            <w:tcW w:w="1277" w:type="dxa"/>
            <w:noWrap w:val="0"/>
            <w:vAlign w:val="center"/>
          </w:tcPr>
          <w:p w14:paraId="2072519B">
            <w:pPr>
              <w:pStyle w:val="12"/>
              <w:widowControl/>
              <w:ind w:firstLine="0" w:firstLineChars="0"/>
              <w:jc w:val="center"/>
              <w:textAlignment w:val="center"/>
              <w:rPr>
                <w:rFonts w:hint="eastAsia" w:ascii="宋体" w:hAnsi="宋体" w:cs="宋体"/>
                <w:sz w:val="21"/>
                <w:szCs w:val="21"/>
                <w:highlight w:val="none"/>
              </w:rPr>
            </w:pPr>
            <w:r>
              <w:rPr>
                <w:rFonts w:hint="eastAsia" w:ascii="宋体" w:hAnsi="宋体" w:cs="宋体"/>
                <w:sz w:val="21"/>
                <w:szCs w:val="21"/>
                <w:highlight w:val="none"/>
              </w:rPr>
              <w:t>电极更换</w:t>
            </w:r>
          </w:p>
        </w:tc>
        <w:tc>
          <w:tcPr>
            <w:tcW w:w="1335" w:type="dxa"/>
            <w:noWrap w:val="0"/>
            <w:vAlign w:val="center"/>
          </w:tcPr>
          <w:p w14:paraId="5A14AAEE">
            <w:pPr>
              <w:pStyle w:val="12"/>
              <w:widowControl/>
              <w:ind w:firstLine="420" w:firstLineChars="200"/>
              <w:jc w:val="center"/>
              <w:textAlignment w:val="center"/>
              <w:rPr>
                <w:rFonts w:hint="eastAsia" w:ascii="宋体" w:hAnsi="宋体" w:cs="宋体"/>
                <w:sz w:val="21"/>
                <w:szCs w:val="21"/>
                <w:highlight w:val="none"/>
              </w:rPr>
            </w:pPr>
            <w:r>
              <w:rPr>
                <w:rFonts w:hint="eastAsia" w:ascii="宋体" w:hAnsi="宋体" w:cs="宋体"/>
                <w:sz w:val="21"/>
                <w:szCs w:val="21"/>
                <w:highlight w:val="none"/>
              </w:rPr>
              <w:t>每年</w:t>
            </w:r>
          </w:p>
        </w:tc>
        <w:tc>
          <w:tcPr>
            <w:tcW w:w="5475" w:type="dxa"/>
            <w:noWrap w:val="0"/>
            <w:vAlign w:val="center"/>
          </w:tcPr>
          <w:p w14:paraId="23D53997">
            <w:pPr>
              <w:pStyle w:val="12"/>
              <w:widowControl/>
              <w:ind w:firstLine="420" w:firstLineChars="200"/>
              <w:textAlignment w:val="center"/>
              <w:rPr>
                <w:rFonts w:hint="eastAsia" w:ascii="宋体" w:hAnsi="宋体" w:cs="宋体"/>
                <w:sz w:val="21"/>
                <w:szCs w:val="21"/>
                <w:highlight w:val="none"/>
              </w:rPr>
            </w:pPr>
            <w:r>
              <w:rPr>
                <w:rFonts w:hint="eastAsia" w:ascii="宋体" w:hAnsi="宋体" w:cs="宋体"/>
                <w:sz w:val="21"/>
                <w:szCs w:val="21"/>
                <w:highlight w:val="none"/>
              </w:rPr>
              <w:t>1、根据现场水质情况每年需对损坏电极进行更换工作。</w:t>
            </w:r>
          </w:p>
        </w:tc>
      </w:tr>
    </w:tbl>
    <w:p w14:paraId="053C8177">
      <w:pPr>
        <w:spacing w:line="360" w:lineRule="auto"/>
        <w:rPr>
          <w:rFonts w:hint="eastAsia" w:ascii="宋体" w:hAnsi="宋体" w:eastAsia="宋体" w:cs="宋体"/>
          <w:highlight w:val="none"/>
          <w:lang w:eastAsia="zh-CN"/>
        </w:rPr>
      </w:pPr>
    </w:p>
    <w:p w14:paraId="7D3F645B">
      <w:pPr>
        <w:numPr>
          <w:ilvl w:val="0"/>
          <w:numId w:val="2"/>
        </w:numPr>
        <w:spacing w:line="360" w:lineRule="auto"/>
        <w:ind w:firstLine="482"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服务要求</w:t>
      </w:r>
    </w:p>
    <w:p w14:paraId="4F2342AD">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lang w:eastAsia="zh-CN"/>
        </w:rPr>
        <w:t>根据实际接收情况，分批下发任务单，未在任务单内的站点，</w:t>
      </w:r>
      <w:r>
        <w:rPr>
          <w:rFonts w:hint="eastAsia" w:ascii="宋体" w:hAnsi="宋体" w:eastAsia="宋体" w:cs="宋体"/>
          <w:sz w:val="24"/>
          <w:szCs w:val="24"/>
          <w:highlight w:val="none"/>
          <w:lang w:eastAsia="zh-CN"/>
        </w:rPr>
        <w:t>乙方协助甲方摸查形成相关台账后，经甲方确认后另行下任务单。乙方需在2个月内核对完现场实际在线监测系统基本情况，包括：运行状态、数量、品牌、型号、位置，并做出在线监测系统运行手册，每月形成盖章版在线监测系统运维报告，内容包含运维工作总结、监测数据分析，水质情况分析等。</w:t>
      </w:r>
    </w:p>
    <w:p w14:paraId="4D9DDCFC">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本项目包含物联网传输通信费用和相关维护费用。</w:t>
      </w:r>
    </w:p>
    <w:p w14:paraId="0E4B527F">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运维期满1个月内将各站点的运维资料、自检资料、检测资料等相关资料纸质版及电子版移交甲方。    </w:t>
      </w:r>
    </w:p>
    <w:p w14:paraId="496D292E">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运维期满，与下一批运维单位做好交接工作，两个单位共同运维两周作为过渡期，</w:t>
      </w:r>
      <w:r>
        <w:rPr>
          <w:rFonts w:hint="eastAsia" w:ascii="宋体" w:hAnsi="宋体" w:eastAsia="宋体" w:cs="宋体"/>
          <w:highlight w:val="none"/>
          <w:lang w:eastAsia="zh-CN"/>
        </w:rPr>
        <w:t>本项目费用包含过渡期费用</w:t>
      </w:r>
      <w:r>
        <w:rPr>
          <w:rFonts w:hint="eastAsia" w:ascii="宋体" w:hAnsi="宋体" w:eastAsia="宋体" w:cs="宋体"/>
          <w:szCs w:val="24"/>
          <w:highlight w:val="none"/>
          <w:lang w:eastAsia="zh-CN"/>
        </w:rPr>
        <w:t>。</w:t>
      </w:r>
      <w:r>
        <w:rPr>
          <w:rFonts w:hint="eastAsia" w:ascii="宋体" w:hAnsi="宋体" w:eastAsia="宋体" w:cs="宋体"/>
          <w:sz w:val="24"/>
          <w:szCs w:val="24"/>
          <w:highlight w:val="none"/>
          <w:lang w:eastAsia="zh-CN"/>
        </w:rPr>
        <w:t> </w:t>
      </w:r>
    </w:p>
    <w:p w14:paraId="225C2BBF">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eastAsia="zh-CN"/>
        </w:rPr>
        <w:t>乙方应具备与监测任务相适应的技术人员、仪器设备和实验室环境，明确监测人员和管理人员的职责、权限和相互关系，有适当的措施和程序保证监测结果准确可靠。应备有所运行在线监测仪器的备用仪器，同时应配备相应仪器参比方法实际水样比对试验装置。</w:t>
      </w:r>
    </w:p>
    <w:p w14:paraId="79BCFBC8">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lang w:eastAsia="zh-CN"/>
        </w:rPr>
        <w:t>应充分了解并掌握国家、省、市、区等对在线监测系统运行管理的各项监督管理要求，制定合理的运行维护计划，配备充足的人力和物力，保持</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lang w:eastAsia="zh-CN"/>
        </w:rPr>
        <w:t>各在线监测系统的正常运行，规范完成相关工作，保证国家、省、市、区对在线监测系统的检查考核合格。</w:t>
      </w:r>
    </w:p>
    <w:p w14:paraId="1E46D3AC">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lang w:eastAsia="zh-CN"/>
        </w:rPr>
        <w:t>保证</w:t>
      </w:r>
      <w:r>
        <w:rPr>
          <w:rFonts w:hint="eastAsia" w:ascii="宋体" w:hAnsi="宋体" w:eastAsia="宋体" w:cs="宋体"/>
          <w:sz w:val="24"/>
          <w:szCs w:val="24"/>
          <w:highlight w:val="none"/>
          <w:lang w:eastAsia="zh-CN"/>
        </w:rPr>
        <w:t>甲方各站点系统和各仪器设备的运行管理、检测数据，满足或高于以下（但不限于）规范要求：</w:t>
      </w:r>
    </w:p>
    <w:p w14:paraId="539DF0BC">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eastAsia="zh-CN"/>
        </w:rPr>
        <w:t>《污染源自动监控设施运行管理办法》</w:t>
      </w:r>
    </w:p>
    <w:p w14:paraId="76027430">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2、《水污染源在线监测系统（COD</w:t>
      </w:r>
      <w:r>
        <w:rPr>
          <w:rFonts w:hint="eastAsia" w:ascii="宋体" w:hAnsi="宋体" w:eastAsia="宋体" w:cs="宋体"/>
          <w:sz w:val="24"/>
          <w:szCs w:val="24"/>
          <w:highlight w:val="none"/>
          <w:vertAlign w:val="baseline"/>
          <w:lang w:eastAsia="zh-CN"/>
        </w:rPr>
        <w:t>Cr</w:t>
      </w:r>
      <w:r>
        <w:rPr>
          <w:rFonts w:hint="eastAsia" w:ascii="宋体" w:hAnsi="宋体" w:eastAsia="宋体" w:cs="宋体"/>
          <w:sz w:val="24"/>
          <w:szCs w:val="24"/>
          <w:highlight w:val="none"/>
          <w:lang w:eastAsia="zh-CN"/>
        </w:rPr>
        <w:t>、NH</w:t>
      </w:r>
      <w:r>
        <w:rPr>
          <w:rFonts w:hint="eastAsia" w:ascii="宋体" w:hAnsi="宋体" w:eastAsia="宋体" w:cs="宋体"/>
          <w:sz w:val="24"/>
          <w:szCs w:val="24"/>
          <w:highlight w:val="none"/>
          <w:vertAlign w:val="baseline"/>
          <w:lang w:eastAsia="zh-CN"/>
        </w:rPr>
        <w:t>3</w:t>
      </w:r>
      <w:r>
        <w:rPr>
          <w:rFonts w:hint="eastAsia" w:ascii="宋体" w:hAnsi="宋体" w:eastAsia="宋体" w:cs="宋体"/>
          <w:sz w:val="24"/>
          <w:szCs w:val="24"/>
          <w:highlight w:val="none"/>
          <w:lang w:eastAsia="zh-CN"/>
        </w:rPr>
        <w:t>-N等）数据有效性判别技术规范》（HJ356-2019）；</w:t>
      </w:r>
    </w:p>
    <w:p w14:paraId="76C82638">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3、《水污染源在线监测系统 （COD</w:t>
      </w:r>
      <w:r>
        <w:rPr>
          <w:rFonts w:hint="eastAsia" w:ascii="宋体" w:hAnsi="宋体" w:eastAsia="宋体" w:cs="宋体"/>
          <w:sz w:val="24"/>
          <w:szCs w:val="24"/>
          <w:highlight w:val="none"/>
          <w:vertAlign w:val="baseline"/>
          <w:lang w:eastAsia="zh-CN"/>
        </w:rPr>
        <w:t>Cr</w:t>
      </w:r>
      <w:r>
        <w:rPr>
          <w:rFonts w:hint="eastAsia" w:ascii="宋体" w:hAnsi="宋体" w:eastAsia="宋体" w:cs="宋体"/>
          <w:sz w:val="24"/>
          <w:szCs w:val="24"/>
          <w:highlight w:val="none"/>
          <w:lang w:eastAsia="zh-CN"/>
        </w:rPr>
        <w:t>、NH</w:t>
      </w:r>
      <w:r>
        <w:rPr>
          <w:rFonts w:hint="eastAsia" w:ascii="宋体" w:hAnsi="宋体" w:eastAsia="宋体" w:cs="宋体"/>
          <w:sz w:val="24"/>
          <w:szCs w:val="24"/>
          <w:highlight w:val="none"/>
          <w:vertAlign w:val="baseline"/>
          <w:lang w:eastAsia="zh-CN"/>
        </w:rPr>
        <w:t>3</w:t>
      </w:r>
      <w:r>
        <w:rPr>
          <w:rFonts w:hint="eastAsia" w:ascii="宋体" w:hAnsi="宋体" w:eastAsia="宋体" w:cs="宋体"/>
          <w:sz w:val="24"/>
          <w:szCs w:val="24"/>
          <w:highlight w:val="none"/>
          <w:lang w:eastAsia="zh-CN"/>
        </w:rPr>
        <w:t>-N 等）运行技术规范》（HJ355-2019）；</w:t>
      </w:r>
    </w:p>
    <w:p w14:paraId="6FEF841C">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4、《污染物在线监控（监测）系统数据传输标准》（HJ 212-2017）；</w:t>
      </w:r>
    </w:p>
    <w:p w14:paraId="5E2F56D6">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5、《水污染源在线监测系统 （COD</w:t>
      </w:r>
      <w:r>
        <w:rPr>
          <w:rFonts w:hint="eastAsia" w:ascii="宋体" w:hAnsi="宋体" w:eastAsia="宋体" w:cs="宋体"/>
          <w:sz w:val="24"/>
          <w:szCs w:val="24"/>
          <w:highlight w:val="none"/>
          <w:vertAlign w:val="baseline"/>
          <w:lang w:eastAsia="zh-CN"/>
        </w:rPr>
        <w:t>Cr</w:t>
      </w:r>
      <w:r>
        <w:rPr>
          <w:rFonts w:hint="eastAsia" w:ascii="宋体" w:hAnsi="宋体" w:eastAsia="宋体" w:cs="宋体"/>
          <w:sz w:val="24"/>
          <w:szCs w:val="24"/>
          <w:highlight w:val="none"/>
          <w:lang w:eastAsia="zh-CN"/>
        </w:rPr>
        <w:t>、NH3-N 等）验收技术规范》（HJ354-2019）；</w:t>
      </w:r>
    </w:p>
    <w:p w14:paraId="07209365">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w:t>
      </w:r>
      <w:r>
        <w:rPr>
          <w:rFonts w:hint="eastAsia" w:ascii="宋体" w:hAnsi="宋体" w:eastAsia="宋体" w:cs="宋体"/>
          <w:sz w:val="24"/>
          <w:szCs w:val="24"/>
          <w:highlight w:val="none"/>
          <w:lang w:eastAsia="zh-CN"/>
        </w:rPr>
        <w:t>《化学需氧量（COD</w:t>
      </w:r>
      <w:r>
        <w:rPr>
          <w:rFonts w:hint="eastAsia" w:ascii="宋体" w:hAnsi="宋体" w:eastAsia="宋体" w:cs="宋体"/>
          <w:sz w:val="24"/>
          <w:szCs w:val="24"/>
          <w:highlight w:val="none"/>
          <w:vertAlign w:val="baseline"/>
          <w:lang w:eastAsia="zh-CN"/>
        </w:rPr>
        <w:t>Cr</w:t>
      </w:r>
      <w:r>
        <w:rPr>
          <w:rFonts w:hint="eastAsia" w:ascii="宋体" w:hAnsi="宋体" w:eastAsia="宋体" w:cs="宋体"/>
          <w:sz w:val="24"/>
          <w:szCs w:val="24"/>
          <w:highlight w:val="none"/>
          <w:lang w:eastAsia="zh-CN"/>
        </w:rPr>
        <w:t>）水质在线自动监测仪技术要求及检测方法》（HJ 377-2019）；</w:t>
      </w:r>
    </w:p>
    <w:p w14:paraId="5EF2C646">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《氨氮水质在线自动监测仪技术要求及检测方法》（HJ101-2019）；</w:t>
      </w:r>
    </w:p>
    <w:p w14:paraId="3C7FE300">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8、有效数据率＞90%；</w:t>
      </w:r>
    </w:p>
    <w:p w14:paraId="2515B22B">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w:t>
      </w:r>
      <w:r>
        <w:rPr>
          <w:rFonts w:hint="eastAsia" w:ascii="宋体" w:hAnsi="宋体" w:eastAsia="宋体" w:cs="宋体"/>
          <w:sz w:val="24"/>
          <w:szCs w:val="24"/>
          <w:highlight w:val="none"/>
          <w:lang w:eastAsia="zh-CN"/>
        </w:rPr>
        <w:t>保证所有监控站点设备正常运行率在95%以上。</w:t>
      </w:r>
    </w:p>
    <w:p w14:paraId="5B62DCA1">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lang w:eastAsia="zh-CN"/>
        </w:rPr>
        <w:t>按规范填写自动监测设备运行与维护相关的记录表格并定期整理归档，包括但不限于《水污染源在线监测系统基本情况》、《维护巡检记录表》、《水污染源在线监测仪器参数设置记录表》、《标样核查及校准结果记录表》、《检修记录表》、《易耗品更换记录表》、《标准样品更换记录表》、《实际水样比对试验结果记录表》、《水污染源在线监测系统运行比对监测报告》、《运行工作检查表》、《废液出入库记录》等。</w:t>
      </w:r>
    </w:p>
    <w:p w14:paraId="1A8A659E">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lang w:eastAsia="zh-CN"/>
        </w:rPr>
        <w:t>保证</w:t>
      </w:r>
      <w:r>
        <w:rPr>
          <w:rFonts w:hint="eastAsia" w:ascii="宋体" w:hAnsi="宋体" w:eastAsia="宋体" w:cs="宋体"/>
          <w:sz w:val="24"/>
          <w:szCs w:val="24"/>
          <w:highlight w:val="none"/>
          <w:lang w:eastAsia="zh-CN"/>
        </w:rPr>
        <w:t>甲方所有在线监测仪器的比对合格，包括但不限于：国家、省、市、区等环保和水务主管部门组织的监督考核及有效性审核（标样考核、实际水样比对）。若比对出现未达标情况，乙方</w:t>
      </w:r>
      <w:r>
        <w:rPr>
          <w:rFonts w:hint="eastAsia" w:ascii="宋体" w:hAnsi="宋体" w:eastAsia="宋体" w:cs="宋体"/>
          <w:sz w:val="24"/>
          <w:szCs w:val="24"/>
          <w:highlight w:val="none"/>
          <w:lang w:eastAsia="zh-CN"/>
        </w:rPr>
        <w:t>须及时查明原因作出整改并重新委托测试，直至比对合格。</w:t>
      </w:r>
    </w:p>
    <w:p w14:paraId="6BB61B02">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十</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lang w:eastAsia="zh-CN"/>
        </w:rPr>
        <w:t>在操作、维护所有在线分析仪及电气设备时，必须严格按照各类在线分析仪及电气设备的安全操作规范、规定指引更换化学试剂和备品、备件，确保人员人身和设备设施的安全，并做好各站点防火防盗等的安全工作，保证安全无事故。</w:t>
      </w:r>
    </w:p>
    <w:p w14:paraId="50A44089">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十一</w:t>
      </w:r>
      <w:r>
        <w:rPr>
          <w:rFonts w:hint="eastAsia" w:ascii="宋体" w:hAnsi="宋体" w:eastAsia="宋体" w:cs="宋体"/>
          <w:sz w:val="24"/>
          <w:szCs w:val="24"/>
          <w:highlight w:val="none"/>
          <w:lang w:eastAsia="zh-CN"/>
        </w:rPr>
        <w:t>）在线监测系统的维修要求：（1）乙方应主动发现系统运行维护问题，提交维修计划、方案、预算，经甲方</w:t>
      </w:r>
      <w:r>
        <w:rPr>
          <w:rFonts w:hint="eastAsia" w:ascii="宋体" w:hAnsi="宋体" w:eastAsia="宋体" w:cs="宋体"/>
          <w:sz w:val="24"/>
          <w:szCs w:val="24"/>
          <w:highlight w:val="none"/>
          <w:lang w:eastAsia="zh-CN"/>
        </w:rPr>
        <w:t>审核后，</w:t>
      </w:r>
      <w:r>
        <w:rPr>
          <w:rFonts w:hint="eastAsia" w:ascii="宋体" w:hAnsi="宋体" w:eastAsia="宋体" w:cs="宋体"/>
          <w:sz w:val="24"/>
          <w:szCs w:val="24"/>
          <w:highlight w:val="none"/>
          <w:lang w:eastAsia="zh-CN"/>
        </w:rPr>
        <w:t>乙方按计划、预算及时维修。（2）甲方</w:t>
      </w:r>
      <w:r>
        <w:rPr>
          <w:rFonts w:hint="eastAsia" w:ascii="宋体" w:hAnsi="宋体" w:eastAsia="宋体" w:cs="宋体"/>
          <w:sz w:val="24"/>
          <w:szCs w:val="24"/>
          <w:highlight w:val="none"/>
          <w:lang w:eastAsia="zh-CN"/>
        </w:rPr>
        <w:t>可根据系统运行情况，要求</w:t>
      </w:r>
      <w:r>
        <w:rPr>
          <w:rFonts w:hint="eastAsia" w:ascii="宋体" w:hAnsi="宋体" w:eastAsia="宋体" w:cs="宋体"/>
          <w:sz w:val="24"/>
          <w:szCs w:val="24"/>
          <w:highlight w:val="none"/>
          <w:lang w:eastAsia="zh-CN"/>
        </w:rPr>
        <w:t>乙方对在线监测系统进行检验，发现问题，提交维修计划，经甲方</w:t>
      </w:r>
      <w:r>
        <w:rPr>
          <w:rFonts w:hint="eastAsia" w:ascii="宋体" w:hAnsi="宋体" w:eastAsia="宋体" w:cs="宋体"/>
          <w:sz w:val="24"/>
          <w:szCs w:val="24"/>
          <w:highlight w:val="none"/>
          <w:lang w:eastAsia="zh-CN"/>
        </w:rPr>
        <w:t>审核后，</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lang w:eastAsia="zh-CN"/>
        </w:rPr>
        <w:t>按计划、预算及时维修。（3）在线监测站房内的配套系统，包括控制系统、水样采集系统、配电系统、断电保护系统、给排水系统、防雷系统、通风温控系统、视频监控系统、照明系统、通讯设施等的配套系统及站房本身的维护和维修所产生的费用由</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lang w:eastAsia="zh-CN"/>
        </w:rPr>
        <w:t>承担。（4）按要求建立健全有关电子文档、摄影和摄像等资料台账。</w:t>
      </w:r>
    </w:p>
    <w:p w14:paraId="5F6BE063">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十二</w:t>
      </w:r>
      <w:r>
        <w:rPr>
          <w:rFonts w:hint="eastAsia" w:ascii="宋体" w:hAnsi="宋体" w:eastAsia="宋体" w:cs="宋体"/>
          <w:sz w:val="24"/>
          <w:szCs w:val="24"/>
          <w:highlight w:val="none"/>
          <w:lang w:eastAsia="zh-CN"/>
        </w:rPr>
        <w:t>）乙方应定期向环保和水务主管部门了解并学习国家、省、市、区等对在线监测系统运行管理的最新要求，并按照最新要求规范进行运营服务，同时将相关情况书面告知甲方</w:t>
      </w:r>
      <w:r>
        <w:rPr>
          <w:rFonts w:hint="eastAsia" w:ascii="宋体" w:hAnsi="宋体" w:eastAsia="宋体" w:cs="宋体"/>
          <w:sz w:val="24"/>
          <w:szCs w:val="24"/>
          <w:highlight w:val="none"/>
          <w:lang w:eastAsia="zh-CN"/>
        </w:rPr>
        <w:t>。</w:t>
      </w:r>
    </w:p>
    <w:p w14:paraId="6E925A2F">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十三</w:t>
      </w:r>
      <w:r>
        <w:rPr>
          <w:rFonts w:hint="eastAsia" w:ascii="宋体" w:hAnsi="宋体" w:eastAsia="宋体" w:cs="宋体"/>
          <w:sz w:val="24"/>
          <w:szCs w:val="24"/>
          <w:highlight w:val="none"/>
          <w:lang w:eastAsia="zh-CN"/>
        </w:rPr>
        <w:t>）协助甲方</w:t>
      </w:r>
      <w:r>
        <w:rPr>
          <w:rFonts w:hint="eastAsia" w:ascii="宋体" w:hAnsi="宋体" w:eastAsia="宋体" w:cs="宋体"/>
          <w:sz w:val="24"/>
          <w:szCs w:val="24"/>
          <w:highlight w:val="none"/>
          <w:lang w:eastAsia="zh-CN"/>
        </w:rPr>
        <w:t>做好接受国家、省、市、区检查工作。工作包括但不限于：</w:t>
      </w:r>
      <w:r>
        <w:rPr>
          <w:rFonts w:hint="eastAsia" w:ascii="宋体" w:hAnsi="宋体" w:eastAsia="宋体" w:cs="宋体"/>
          <w:sz w:val="24"/>
          <w:szCs w:val="24"/>
          <w:highlight w:val="none"/>
          <w:lang w:eastAsia="zh-CN"/>
        </w:rPr>
        <w:t>乙方必须协助甲方</w:t>
      </w:r>
      <w:r>
        <w:rPr>
          <w:rFonts w:hint="eastAsia" w:ascii="宋体" w:hAnsi="宋体" w:eastAsia="宋体" w:cs="宋体"/>
          <w:sz w:val="24"/>
          <w:szCs w:val="24"/>
          <w:highlight w:val="none"/>
          <w:lang w:eastAsia="zh-CN"/>
        </w:rPr>
        <w:t>完成每年国家、省、市、区等上级主管部门组织的环保、安全等工作的检查任务，接受环保比对试验、在线设施运营监督检查和其他各项上级部门下达的考核任务，并保证系统运行正常，规范完成相关工作，检测数据准确、可靠、有效。在此期间，</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lang w:eastAsia="zh-CN"/>
        </w:rPr>
        <w:t>须无条件服从</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lang w:eastAsia="zh-CN"/>
        </w:rPr>
        <w:t>的工作安排，所产生的费用由</w:t>
      </w:r>
      <w:r>
        <w:rPr>
          <w:rFonts w:hint="eastAsia" w:ascii="宋体" w:hAnsi="宋体" w:eastAsia="宋体" w:cs="宋体"/>
          <w:sz w:val="24"/>
          <w:szCs w:val="24"/>
          <w:highlight w:val="none"/>
          <w:lang w:eastAsia="zh-CN"/>
        </w:rPr>
        <w:t>乙方负责。</w:t>
      </w:r>
    </w:p>
    <w:p w14:paraId="0E4C33AB">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十四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上级主管部门及</w:t>
      </w:r>
      <w:r>
        <w:rPr>
          <w:rFonts w:hint="eastAsia" w:ascii="宋体" w:hAnsi="宋体" w:eastAsia="宋体" w:cs="宋体"/>
          <w:sz w:val="24"/>
          <w:szCs w:val="24"/>
          <w:highlight w:val="none"/>
          <w:lang w:eastAsia="zh-CN"/>
        </w:rPr>
        <w:t>甲方对在线监测系统提出的其他要求。</w:t>
      </w:r>
    </w:p>
    <w:p w14:paraId="7C855209">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十五</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重要站点在服务期满前一周内，一般站点和光学法设备在服务期满前一月内，</w:t>
      </w:r>
      <w:r>
        <w:rPr>
          <w:rFonts w:hint="eastAsia" w:ascii="宋体" w:hAnsi="宋体" w:eastAsia="宋体" w:cs="宋体"/>
          <w:sz w:val="24"/>
          <w:szCs w:val="24"/>
          <w:highlight w:val="none"/>
          <w:lang w:eastAsia="zh-CN"/>
        </w:rPr>
        <w:t>乙方对各在线监测系统进行一次全面的检修，检修如需要停机，停机时间必须控制在上级有关主管部门及甲方规定的时间内。内容包括：按仪器操作使用说明需要定期更换的配件，对其使用时间已超过规定使用时间一半的配件进行更换；进行一次校准和标定（若在本次保养中有更换配件，则必须在更换后进行）；通过一次质控样比对测试。更换取水管路；对系统的自动控制部分测试检修与维护；对自动监测仪器进行检修、校准及标定，完成仪器精密度、准确度、线性度等重要指标的测试；对源水取样泵、水箱、水箱的液位控制及水样预处理系统等外围设备进行检修与保养；数据采集系统异常状态（缺少或丢失记录）修复检查、时间校准、校正控制器检查；各部分维护检修后单机测试与系统联机调试；数据信息传输测试和远程监控测试；设备机架防腐；通风温控系统及站房其他辅助设备等的检修、保养。站房保养：检查在线监测站房状况，更新保养，金属构件除锈油漆防腐，更换破损的设施，包括防水、电路、给排水、墙面、地砖、门窗、消防设施、办公设施等。</w:t>
      </w:r>
    </w:p>
    <w:p w14:paraId="74FE0632">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上述保养工作必须在甲方监督下进行，并经过甲方确认后才视为完成。否则，甲方有权自行委托其他单位进行，所需费用通过扣除乙方服务费用支付。</w:t>
      </w:r>
    </w:p>
    <w:p w14:paraId="7D29948E">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十六</w:t>
      </w:r>
      <w:r>
        <w:rPr>
          <w:rFonts w:hint="eastAsia" w:ascii="宋体" w:hAnsi="宋体" w:eastAsia="宋体" w:cs="宋体"/>
          <w:sz w:val="24"/>
          <w:szCs w:val="24"/>
          <w:highlight w:val="none"/>
          <w:lang w:eastAsia="zh-CN"/>
        </w:rPr>
        <w:t>）工作配合和探索创新</w:t>
      </w:r>
    </w:p>
    <w:p w14:paraId="6C62B17C">
      <w:pPr>
        <w:numPr>
          <w:ilvl w:val="0"/>
          <w:numId w:val="0"/>
        </w:numPr>
        <w:spacing w:line="360" w:lineRule="auto"/>
        <w:ind w:firstLine="480" w:firstLineChars="2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1、配合有关部门的日常检查和定期考评。</w:t>
      </w:r>
    </w:p>
    <w:p w14:paraId="3C71FB27">
      <w:pPr>
        <w:numPr>
          <w:ilvl w:val="0"/>
          <w:numId w:val="0"/>
        </w:numPr>
        <w:spacing w:line="360" w:lineRule="auto"/>
        <w:ind w:firstLine="480" w:firstLineChars="2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2、合同期内按上级主管部门要求新增、取消或更新在线监测设备。</w:t>
      </w:r>
    </w:p>
    <w:p w14:paraId="2E4CE441">
      <w:pPr>
        <w:numPr>
          <w:ilvl w:val="0"/>
          <w:numId w:val="0"/>
        </w:numPr>
        <w:spacing w:line="360" w:lineRule="auto"/>
        <w:ind w:firstLine="480" w:firstLineChars="200"/>
        <w:jc w:val="both"/>
        <w:rPr>
          <w:rFonts w:hint="default"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3、探索与创新。密切关注自然村及周边建筑排水、水系变化，对污水收集系统改造、在线监测系统运行维护提出优化建议；密切关注自然村及周边生态环境、产业、城镇管网覆盖情况和政策的变化，对污水治理模式、设施尾水标准及排放去向提出优化建议；密切关注其他地区在线监测优良做法，学习应用提高管理水平和能力；密切关注在线监测系统建设先进经验，提升信息化管理水平和能力。</w:t>
      </w:r>
      <w:r>
        <w:rPr>
          <w:rFonts w:hint="eastAsia" w:ascii="宋体" w:hAnsi="宋体" w:eastAsia="宋体" w:cs="宋体"/>
          <w:sz w:val="24"/>
          <w:szCs w:val="24"/>
          <w:highlight w:val="none"/>
          <w:lang w:eastAsia="zh-CN"/>
        </w:rPr>
        <w:t>完成在线环保方向科学技术类或专利类、或者技术发明类或突出贡献类或论文类等其中一项申报及后续工作。</w:t>
      </w:r>
    </w:p>
    <w:p w14:paraId="3D51AC55">
      <w:pPr>
        <w:numPr>
          <w:ilvl w:val="0"/>
          <w:numId w:val="0"/>
        </w:numPr>
        <w:spacing w:line="360" w:lineRule="auto"/>
        <w:ind w:firstLine="480" w:firstLineChars="2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4、配合做好镇街及上级主管部门考评，按上级主管部门要求每月、半年做好运维报告或报表等资料性工作。</w:t>
      </w:r>
    </w:p>
    <w:p w14:paraId="0EABD1AE">
      <w:pPr>
        <w:numPr>
          <w:ilvl w:val="0"/>
          <w:numId w:val="0"/>
        </w:numPr>
        <w:spacing w:line="360" w:lineRule="auto"/>
        <w:ind w:firstLine="480" w:firstLineChars="2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5、配合甲方做好在线监控系统的相关工作。</w:t>
      </w:r>
    </w:p>
    <w:p w14:paraId="6645379D">
      <w:pPr>
        <w:spacing w:line="360" w:lineRule="auto"/>
        <w:ind w:firstLine="420"/>
        <w:jc w:val="both"/>
        <w:rPr>
          <w:rFonts w:hint="eastAsia" w:ascii="宋体" w:hAnsi="宋体" w:eastAsia="宋体" w:cs="宋体"/>
          <w:highlight w:val="none"/>
          <w:lang w:eastAsia="zh-CN"/>
        </w:rPr>
      </w:pPr>
      <w:r>
        <w:rPr>
          <w:rFonts w:hint="eastAsia" w:ascii="宋体" w:hAnsi="宋体" w:eastAsia="宋体" w:cs="宋体"/>
          <w:b/>
          <w:bCs/>
          <w:highlight w:val="none"/>
          <w:lang w:eastAsia="zh-CN"/>
        </w:rPr>
        <w:t>十、服务内容</w:t>
      </w:r>
    </w:p>
    <w:bookmarkEnd w:id="6"/>
    <w:p w14:paraId="506E375D">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各在线监测站房的在线监测仪表：化学需氧量水质分析仪、氨氮水质分析仪、总氮水质分析仪（总氮磷水质分析仪）、总磷水质分析仪、悬浮物水质分析仪、pH检测仪表、自动采样器等水污染源在线监测系统仪器。</w:t>
      </w:r>
    </w:p>
    <w:p w14:paraId="657058EC">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（二）各在线监测站房的配套系统，包括控制系统、水样采集系统、配电系统、断电保护系统、给排水系统、防雷系统、通风温控系统、视频监控系统、照明系统、通讯设施等配套系统及站房本身。</w:t>
      </w:r>
    </w:p>
    <w:p w14:paraId="347ED09D">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各在线监测站房的在线监测系统平台，包括管理平台（含软、硬件）、视频监控平台以及在线监测系统数据上传至上级主管部门（包括但不限于国家、省、市、区相关主管部门）和所在厂中控系统的通讯设施（包括向上级主管部门上传在线监测系统数据所发生的通讯费用）。</w:t>
      </w:r>
    </w:p>
    <w:p w14:paraId="6552038B">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（四）所有在运营服务中（包括在线监测系统正常运行、设备设施的日常维护和维修、仪器的比对和校准校验等）需要的试剂、配件、消耗品、蒸馏水等，由乙方提供并包含在投标总价中：</w:t>
      </w:r>
    </w:p>
    <w:p w14:paraId="7234E1A1">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1.在线监测系统运行所需试剂、备件包和消耗品等必须由设备原生产厂家或厂家授权的公司提供。乙方必须向甲方提交试剂备件供应公司的代理协议或授权文件；</w:t>
      </w:r>
    </w:p>
    <w:p w14:paraId="78DC755F">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2.试剂、备件的采购、库存、使用情况必须建立专门台帐，甲方可随时检查；</w:t>
      </w:r>
    </w:p>
    <w:p w14:paraId="782798B2">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乙方应根据各在线监测站点的在用在线检测设备使用情况，考虑系统正常情况下所消耗的试剂和备件，乙方必须保证按设备说明书维护要求进行试剂、消耗品等的定期更换，任何原因造成的额外试剂和备件费用，由乙方负责。</w:t>
      </w:r>
    </w:p>
    <w:p w14:paraId="692CFFAB">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（五）危废处理：</w:t>
      </w:r>
    </w:p>
    <w:p w14:paraId="57F46AAB">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一般站点：在线监测仪器分析所产生的废液由乙方委托具有该类废物收集、运输、储存、处理、处置等有效资质的单位或公司进行处理，危废处理费用实报实销。负责制度制定（含污染环境防治责任制度、标识制度、应急预案等）；危废计划管理、台账和申报；分类储存及收集（包含危废标签、标识、贮存标志、设施标志等）；贮存设施环境管理；</w:t>
      </w:r>
    </w:p>
    <w:p w14:paraId="148600F7">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重要站点：甲方工作：甲方委托具有资质单位运输、处理、处置危废；乙方工作：配合甲方完成危废处理；配合甲方制度制定（含污染环境防治责任制度、标识制度、应急预案等）；配合甲方危废计划管理、台账和申报。负责分类储存及收集（包含危废标签、标识、贮存标志、设施标志等）；负责贮存设施环境管理；</w:t>
      </w:r>
    </w:p>
    <w:p w14:paraId="7C86B92D">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（六）在线监测仪表、系统在运行中出现的故障，由乙方负责维修，费用（包括人工、零配件及运输等所有费用）由乙方承担。</w:t>
      </w:r>
    </w:p>
    <w:p w14:paraId="4129271B">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七）对于甲方各站点因设备更换和技改导致需完成环保验收的在线监测系统，乙方须按照国家、省、市、区相关主管部门及甲方要求，并根据在线监测系统及仪器设备安装情况，负责完成更换的仪器设备（COD、氨氮、总磷、总氮、pH、SS在线监测设备等）相关环保验收工作，包括：仪器设备调试、性能测试、比对检测、向环保管理部门报批及整理提交相关资料等，产生费用由乙方承担。</w:t>
      </w:r>
    </w:p>
    <w:p w14:paraId="52D92D53">
      <w:pPr>
        <w:numPr>
          <w:ilvl w:val="0"/>
          <w:numId w:val="0"/>
        </w:num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（八）乙方按甲方相关要求完成在线监测站点设备、设施、相关系统台账登记及摸查工作。</w:t>
      </w:r>
    </w:p>
    <w:p w14:paraId="62B6BFA7">
      <w:pPr>
        <w:spacing w:line="360" w:lineRule="auto"/>
        <w:ind w:firstLine="482" w:firstLineChars="200"/>
        <w:jc w:val="both"/>
        <w:rPr>
          <w:rFonts w:hint="eastAsia" w:ascii="宋体" w:hAnsi="宋体" w:eastAsia="宋体" w:cs="宋体"/>
          <w:b/>
          <w:bCs/>
          <w:highlight w:val="none"/>
          <w:lang w:eastAsia="zh-CN"/>
        </w:rPr>
      </w:pPr>
      <w:r>
        <w:rPr>
          <w:rFonts w:hint="eastAsia" w:ascii="宋体" w:hAnsi="宋体" w:eastAsia="宋体" w:cs="宋体"/>
          <w:b/>
          <w:bCs/>
          <w:highlight w:val="none"/>
          <w:lang w:eastAsia="zh-CN"/>
        </w:rPr>
        <w:t>十一</w:t>
      </w:r>
      <w:r>
        <w:rPr>
          <w:rFonts w:ascii="宋体" w:hAnsi="宋体" w:eastAsia="宋体" w:cs="宋体"/>
          <w:b/>
          <w:bCs/>
          <w:highlight w:val="none"/>
          <w:lang w:eastAsia="zh-CN"/>
        </w:rPr>
        <w:t>、双方权利和义务</w:t>
      </w:r>
    </w:p>
    <w:p w14:paraId="3F7677D3">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（一）</w:t>
      </w:r>
      <w:r>
        <w:rPr>
          <w:rFonts w:ascii="宋体" w:hAnsi="宋体" w:cs="宋体"/>
          <w:sz w:val="24"/>
          <w:szCs w:val="24"/>
          <w:highlight w:val="none"/>
        </w:rPr>
        <w:t xml:space="preserve"> </w:t>
      </w:r>
      <w:r>
        <w:rPr>
          <w:rFonts w:hint="eastAsia" w:ascii="宋体" w:hAnsi="宋体"/>
          <w:sz w:val="24"/>
          <w:highlight w:val="none"/>
        </w:rPr>
        <w:t>甲方委派</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（电话：        ）</w:t>
      </w:r>
      <w:r>
        <w:rPr>
          <w:rFonts w:ascii="宋体" w:hAnsi="宋体"/>
          <w:sz w:val="24"/>
          <w:highlight w:val="none"/>
          <w:u w:val="single"/>
        </w:rPr>
        <w:t xml:space="preserve">   </w:t>
      </w:r>
      <w:r>
        <w:rPr>
          <w:rFonts w:hint="eastAsia" w:ascii="宋体" w:hAnsi="宋体"/>
          <w:sz w:val="24"/>
          <w:highlight w:val="none"/>
        </w:rPr>
        <w:t>作为甲方代表，负责</w:t>
      </w:r>
      <w:r>
        <w:rPr>
          <w:rFonts w:ascii="宋体" w:hAnsi="宋体"/>
          <w:sz w:val="24"/>
          <w:highlight w:val="none"/>
        </w:rPr>
        <w:t>联系乙方，</w:t>
      </w:r>
      <w:r>
        <w:rPr>
          <w:rFonts w:hint="eastAsia" w:ascii="宋体" w:hAnsi="宋体"/>
          <w:sz w:val="24"/>
          <w:highlight w:val="none"/>
        </w:rPr>
        <w:t xml:space="preserve">代表甲方履行本合同义务；乙方委派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（电话：        ）  </w:t>
      </w:r>
      <w:r>
        <w:rPr>
          <w:rFonts w:hint="eastAsia" w:ascii="宋体" w:hAnsi="宋体"/>
          <w:sz w:val="24"/>
          <w:highlight w:val="none"/>
        </w:rPr>
        <w:t>为乙方代表，负责</w:t>
      </w:r>
      <w:r>
        <w:rPr>
          <w:rFonts w:ascii="宋体" w:hAnsi="宋体"/>
          <w:sz w:val="24"/>
          <w:highlight w:val="none"/>
        </w:rPr>
        <w:t>联系甲方，</w:t>
      </w:r>
      <w:r>
        <w:rPr>
          <w:rFonts w:hint="eastAsia" w:ascii="宋体" w:hAnsi="宋体"/>
          <w:sz w:val="24"/>
          <w:highlight w:val="none"/>
        </w:rPr>
        <w:t>代表乙方履行本合同义务。</w:t>
      </w:r>
    </w:p>
    <w:p w14:paraId="17E3539F">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二</w:t>
      </w:r>
      <w:r>
        <w:rPr>
          <w:rFonts w:hint="eastAsia" w:ascii="宋体" w:hAnsi="宋体" w:eastAsia="宋体" w:cs="宋体"/>
          <w:highlight w:val="none"/>
          <w:lang w:eastAsia="zh-CN"/>
        </w:rPr>
        <w:t>）甲方有权对乙方的工作实施监督检查和</w:t>
      </w:r>
      <w:r>
        <w:rPr>
          <w:rFonts w:ascii="宋体" w:hAnsi="宋体" w:eastAsia="宋体" w:cs="宋体"/>
          <w:highlight w:val="none"/>
          <w:lang w:eastAsia="zh-CN"/>
        </w:rPr>
        <w:t>技术咨询</w:t>
      </w:r>
      <w:r>
        <w:rPr>
          <w:rFonts w:hint="eastAsia" w:ascii="宋体" w:hAnsi="宋体" w:eastAsia="宋体" w:cs="宋体"/>
          <w:highlight w:val="none"/>
          <w:lang w:eastAsia="zh-CN"/>
        </w:rPr>
        <w:t>，保证各在线监测系统满足本项目招标文件及本合同各项要求。</w:t>
      </w:r>
    </w:p>
    <w:p w14:paraId="070BA819">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三</w:t>
      </w:r>
      <w:r>
        <w:rPr>
          <w:rFonts w:hint="eastAsia" w:ascii="宋体" w:hAnsi="宋体" w:eastAsia="宋体" w:cs="宋体"/>
          <w:highlight w:val="none"/>
          <w:lang w:eastAsia="zh-CN"/>
        </w:rPr>
        <w:t>）</w:t>
      </w:r>
      <w:r>
        <w:rPr>
          <w:rFonts w:ascii="宋体" w:hAnsi="宋体" w:eastAsia="宋体" w:cs="宋体"/>
          <w:highlight w:val="none"/>
          <w:lang w:eastAsia="zh-CN"/>
        </w:rPr>
        <w:t>乙方保证在线监测系统内设备运行正常、稳定、维护及时快捷，传输的数据实时、有效、准确、连续、可靠、安全，可供甲方随时抽查调用。</w:t>
      </w:r>
    </w:p>
    <w:p w14:paraId="653C766F">
      <w:pPr>
        <w:spacing w:line="360" w:lineRule="auto"/>
        <w:ind w:left="480"/>
        <w:jc w:val="both"/>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四</w:t>
      </w:r>
      <w:r>
        <w:rPr>
          <w:rFonts w:hint="eastAsia" w:ascii="宋体" w:hAnsi="宋体" w:eastAsia="宋体" w:cs="宋体"/>
          <w:highlight w:val="none"/>
          <w:lang w:eastAsia="zh-CN"/>
        </w:rPr>
        <w:t>）</w:t>
      </w:r>
      <w:r>
        <w:rPr>
          <w:rFonts w:ascii="宋体" w:hAnsi="宋体" w:eastAsia="宋体" w:cs="宋体"/>
          <w:highlight w:val="none"/>
          <w:lang w:eastAsia="zh-CN"/>
        </w:rPr>
        <w:t>运营服务所需的各项费用（包括但不限于：</w:t>
      </w:r>
      <w:r>
        <w:rPr>
          <w:rFonts w:hint="eastAsia" w:ascii="宋体" w:hAnsi="宋体" w:eastAsia="宋体" w:cs="宋体"/>
          <w:highlight w:val="none"/>
          <w:lang w:eastAsia="zh-CN"/>
        </w:rPr>
        <w:t>在线监测系统正常运行、</w:t>
      </w:r>
    </w:p>
    <w:p w14:paraId="412F3BEF">
      <w:pPr>
        <w:numPr>
          <w:ilvl w:val="0"/>
          <w:numId w:val="0"/>
        </w:numPr>
        <w:spacing w:line="360" w:lineRule="auto"/>
        <w:jc w:val="both"/>
        <w:rPr>
          <w:rFonts w:hint="eastAsia" w:ascii="宋体" w:hAnsi="宋体" w:eastAsia="宋体" w:cs="宋体"/>
          <w:highlight w:val="none"/>
          <w:lang w:eastAsia="zh-CN"/>
        </w:rPr>
      </w:pPr>
      <w:r>
        <w:rPr>
          <w:rFonts w:hint="eastAsia" w:ascii="宋体" w:hAnsi="宋体" w:eastAsia="宋体" w:cs="宋体"/>
          <w:highlight w:val="none"/>
          <w:lang w:eastAsia="zh-CN"/>
        </w:rPr>
        <w:t>设备设施的日常维护和维修、仪器的比对和校准校验等费用；</w:t>
      </w:r>
      <w:r>
        <w:rPr>
          <w:rFonts w:ascii="宋体" w:hAnsi="宋体" w:eastAsia="宋体" w:cs="宋体"/>
          <w:sz w:val="24"/>
          <w:szCs w:val="24"/>
          <w:highlight w:val="none"/>
        </w:rPr>
        <w:t>通过增设物联网设施并采取相应的技术手段进行数据维护（包括不限于购置物联网设备、物联网卡、甲方合理联网要求等），以保障处理站点的流量及在线监测数据稳定传送至甲方与市水务局平台</w:t>
      </w:r>
      <w:r>
        <w:rPr>
          <w:rFonts w:hint="eastAsia" w:ascii="宋体" w:hAnsi="宋体" w:eastAsia="宋体" w:cs="宋体"/>
          <w:sz w:val="24"/>
          <w:szCs w:val="24"/>
          <w:highlight w:val="none"/>
          <w:lang w:val="en-US" w:eastAsia="zh-CN"/>
        </w:rPr>
        <w:t>等费用；</w:t>
      </w:r>
      <w:r>
        <w:rPr>
          <w:rFonts w:ascii="宋体" w:hAnsi="宋体" w:eastAsia="宋体" w:cs="宋体"/>
          <w:highlight w:val="none"/>
          <w:lang w:eastAsia="zh-CN"/>
        </w:rPr>
        <w:t>乙方所派遣的所有技术人员、管理人员</w:t>
      </w:r>
      <w:r>
        <w:rPr>
          <w:rFonts w:hint="eastAsia" w:ascii="宋体" w:hAnsi="宋体" w:eastAsia="宋体" w:cs="宋体"/>
          <w:highlight w:val="none"/>
          <w:lang w:eastAsia="zh-CN"/>
        </w:rPr>
        <w:t>的</w:t>
      </w:r>
      <w:r>
        <w:rPr>
          <w:rFonts w:ascii="宋体" w:hAnsi="宋体" w:eastAsia="宋体" w:cs="宋体"/>
          <w:highlight w:val="none"/>
          <w:lang w:eastAsia="zh-CN"/>
        </w:rPr>
        <w:t>通讯、交通运输</w:t>
      </w:r>
      <w:r>
        <w:rPr>
          <w:rFonts w:hint="eastAsia" w:ascii="宋体" w:hAnsi="宋体" w:eastAsia="宋体" w:cs="宋体"/>
          <w:highlight w:val="none"/>
          <w:lang w:eastAsia="zh-CN"/>
        </w:rPr>
        <w:t>等费用；</w:t>
      </w:r>
      <w:r>
        <w:rPr>
          <w:rFonts w:ascii="宋体" w:hAnsi="宋体" w:eastAsia="宋体" w:cs="宋体"/>
          <w:highlight w:val="none"/>
          <w:lang w:eastAsia="zh-CN"/>
        </w:rPr>
        <w:t>试剂</w:t>
      </w:r>
      <w:r>
        <w:rPr>
          <w:rFonts w:hint="eastAsia" w:ascii="宋体" w:hAnsi="宋体" w:eastAsia="宋体" w:cs="宋体"/>
          <w:highlight w:val="none"/>
          <w:lang w:eastAsia="zh-CN"/>
        </w:rPr>
        <w:t>、配件、消耗品、蒸馏水</w:t>
      </w:r>
      <w:r>
        <w:rPr>
          <w:rFonts w:ascii="宋体" w:hAnsi="宋体" w:eastAsia="宋体" w:cs="宋体"/>
          <w:highlight w:val="none"/>
          <w:lang w:eastAsia="zh-CN"/>
        </w:rPr>
        <w:t>等发生的其他</w:t>
      </w:r>
      <w:r>
        <w:rPr>
          <w:rFonts w:hint="eastAsia" w:ascii="宋体" w:hAnsi="宋体" w:eastAsia="宋体" w:cs="宋体"/>
          <w:highlight w:val="none"/>
          <w:lang w:eastAsia="zh-CN"/>
        </w:rPr>
        <w:t>相关</w:t>
      </w:r>
      <w:r>
        <w:rPr>
          <w:rFonts w:ascii="宋体" w:hAnsi="宋体" w:eastAsia="宋体" w:cs="宋体"/>
          <w:highlight w:val="none"/>
          <w:lang w:eastAsia="zh-CN"/>
        </w:rPr>
        <w:t>费用）均由乙方负责</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甲方不再另行支付其他任何费用</w:t>
      </w:r>
      <w:r>
        <w:rPr>
          <w:rFonts w:ascii="宋体" w:hAnsi="宋体" w:eastAsia="宋体" w:cs="宋体"/>
          <w:highlight w:val="none"/>
          <w:lang w:eastAsia="zh-CN"/>
        </w:rPr>
        <w:t>。</w:t>
      </w:r>
    </w:p>
    <w:p w14:paraId="035C9A2B">
      <w:pPr>
        <w:numPr>
          <w:ilvl w:val="-1"/>
          <w:numId w:val="0"/>
        </w:num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五</w:t>
      </w:r>
      <w:r>
        <w:rPr>
          <w:rFonts w:hint="eastAsia" w:ascii="宋体" w:hAnsi="宋体" w:eastAsia="宋体" w:cs="宋体"/>
          <w:highlight w:val="none"/>
          <w:lang w:eastAsia="zh-CN"/>
        </w:rPr>
        <w:t>）乙方应负责其工作人员的劳动保护和人身安全。乙方应安排已依法与乙方建立劳动关系的员工代表乙方履行本合同义务。乙方承诺已依法为其员工购买国家规定的社会保险、商业保险等福利待遇。乙方履约过程中，若乙方人员出现任何安全事故、人身伤害、财产损失的，由乙方自行承担用人单位的法定责任和侵权责任，与甲方无关。若因乙方履约造成甲方财物损失或人员伤害的（包括但不限于甲方的财物损失、甲方向任何第三方支付的补偿、律师费、差旅费、仲裁费或诉讼费、公证费、公告费、评估费、送达费、保全费、鉴定费、执行费等），乙方应全额赔偿甲方。</w:t>
      </w:r>
    </w:p>
    <w:p w14:paraId="12931D3E">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六</w:t>
      </w:r>
      <w:r>
        <w:rPr>
          <w:rFonts w:hint="eastAsia" w:ascii="宋体" w:hAnsi="宋体" w:eastAsia="宋体" w:cs="宋体"/>
          <w:highlight w:val="none"/>
          <w:lang w:eastAsia="zh-CN"/>
        </w:rPr>
        <w:t>）乙方应协助甲方做好接受国家、省、市、区检查工作。</w:t>
      </w:r>
      <w:r>
        <w:rPr>
          <w:rFonts w:ascii="宋体" w:hAnsi="宋体" w:eastAsia="宋体" w:cs="宋体"/>
          <w:highlight w:val="none"/>
          <w:lang w:eastAsia="zh-CN"/>
        </w:rPr>
        <w:t>乙方</w:t>
      </w:r>
      <w:r>
        <w:rPr>
          <w:rFonts w:hint="eastAsia" w:ascii="宋体" w:hAnsi="宋体" w:eastAsia="宋体" w:cs="宋体"/>
          <w:highlight w:val="none"/>
          <w:lang w:eastAsia="zh-CN"/>
        </w:rPr>
        <w:t>须无条件服从甲方的工作安排，所产生的费用由</w:t>
      </w:r>
      <w:r>
        <w:rPr>
          <w:rFonts w:ascii="宋体" w:hAnsi="宋体" w:eastAsia="宋体" w:cs="宋体"/>
          <w:highlight w:val="none"/>
          <w:lang w:eastAsia="zh-CN"/>
        </w:rPr>
        <w:t>乙方</w:t>
      </w:r>
      <w:r>
        <w:rPr>
          <w:rFonts w:hint="eastAsia" w:ascii="宋体" w:hAnsi="宋体" w:eastAsia="宋体" w:cs="宋体"/>
          <w:highlight w:val="none"/>
          <w:lang w:eastAsia="zh-CN"/>
        </w:rPr>
        <w:t>负责。</w:t>
      </w:r>
    </w:p>
    <w:p w14:paraId="30D5A127">
      <w:pPr>
        <w:spacing w:line="360" w:lineRule="auto"/>
        <w:ind w:left="480"/>
        <w:jc w:val="both"/>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七</w:t>
      </w:r>
      <w:r>
        <w:rPr>
          <w:rFonts w:hint="eastAsia" w:ascii="宋体" w:hAnsi="宋体" w:eastAsia="宋体" w:cs="宋体"/>
          <w:highlight w:val="none"/>
          <w:lang w:eastAsia="zh-CN"/>
        </w:rPr>
        <w:t>）</w:t>
      </w:r>
      <w:r>
        <w:rPr>
          <w:rFonts w:ascii="宋体" w:hAnsi="宋体" w:eastAsia="宋体" w:cs="宋体"/>
          <w:highlight w:val="none"/>
          <w:lang w:eastAsia="zh-CN"/>
        </w:rPr>
        <w:t>乙方必须服从甲方的管理及质量控制，按时提交项目运营的相关资料</w:t>
      </w:r>
    </w:p>
    <w:p w14:paraId="0E940F8A">
      <w:pPr>
        <w:spacing w:line="360" w:lineRule="auto"/>
        <w:jc w:val="both"/>
        <w:rPr>
          <w:rFonts w:hint="eastAsia" w:ascii="宋体" w:hAnsi="宋体" w:eastAsia="宋体" w:cs="宋体"/>
          <w:highlight w:val="none"/>
          <w:lang w:eastAsia="zh-CN"/>
        </w:rPr>
      </w:pPr>
      <w:r>
        <w:rPr>
          <w:rFonts w:ascii="宋体" w:hAnsi="宋体" w:eastAsia="宋体" w:cs="宋体"/>
          <w:highlight w:val="none"/>
          <w:lang w:eastAsia="zh-CN"/>
        </w:rPr>
        <w:t>及数据。</w:t>
      </w:r>
    </w:p>
    <w:p w14:paraId="6124E7B7">
      <w:pPr>
        <w:numPr>
          <w:ilvl w:val="-1"/>
          <w:numId w:val="0"/>
        </w:num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八</w:t>
      </w:r>
      <w:r>
        <w:rPr>
          <w:rFonts w:hint="eastAsia" w:ascii="宋体" w:hAnsi="宋体" w:eastAsia="宋体" w:cs="宋体"/>
          <w:highlight w:val="none"/>
          <w:lang w:eastAsia="zh-CN"/>
        </w:rPr>
        <w:t>）</w:t>
      </w:r>
      <w:r>
        <w:rPr>
          <w:rFonts w:ascii="宋体" w:hAnsi="宋体" w:eastAsia="宋体" w:cs="宋体"/>
          <w:highlight w:val="none"/>
          <w:lang w:eastAsia="zh-CN"/>
        </w:rPr>
        <w:t>乙方必须做好安全管理，维护好现场的防火、防盗设施, 如发生被盗、火灾</w:t>
      </w:r>
      <w:r>
        <w:rPr>
          <w:rFonts w:hint="eastAsia" w:ascii="宋体" w:hAnsi="宋体" w:eastAsia="宋体" w:cs="宋体"/>
          <w:highlight w:val="none"/>
          <w:lang w:eastAsia="zh-CN"/>
        </w:rPr>
        <w:t>、现场维护操作不当</w:t>
      </w:r>
      <w:r>
        <w:rPr>
          <w:rFonts w:ascii="宋体" w:hAnsi="宋体" w:eastAsia="宋体" w:cs="宋体"/>
          <w:highlight w:val="none"/>
          <w:lang w:eastAsia="zh-CN"/>
        </w:rPr>
        <w:t>等</w:t>
      </w:r>
      <w:r>
        <w:rPr>
          <w:rFonts w:hint="eastAsia" w:ascii="宋体" w:hAnsi="宋体" w:eastAsia="宋体" w:cs="宋体"/>
          <w:highlight w:val="none"/>
          <w:lang w:eastAsia="zh-CN"/>
        </w:rPr>
        <w:t>安全</w:t>
      </w:r>
      <w:r>
        <w:rPr>
          <w:rFonts w:ascii="宋体" w:hAnsi="宋体" w:eastAsia="宋体" w:cs="宋体"/>
          <w:highlight w:val="none"/>
          <w:lang w:eastAsia="zh-CN"/>
        </w:rPr>
        <w:t>事故，一切事故责任由乙方负责。</w:t>
      </w:r>
    </w:p>
    <w:p w14:paraId="5FDA355D">
      <w:pPr>
        <w:numPr>
          <w:ilvl w:val="-1"/>
          <w:numId w:val="0"/>
        </w:num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九</w:t>
      </w:r>
      <w:r>
        <w:rPr>
          <w:rFonts w:hint="eastAsia" w:ascii="宋体" w:hAnsi="宋体" w:eastAsia="宋体" w:cs="宋体"/>
          <w:highlight w:val="none"/>
          <w:lang w:eastAsia="zh-CN"/>
        </w:rPr>
        <w:t>）</w:t>
      </w:r>
      <w:r>
        <w:rPr>
          <w:rFonts w:ascii="宋体" w:hAnsi="宋体" w:eastAsia="宋体" w:cs="宋体"/>
          <w:highlight w:val="none"/>
          <w:lang w:eastAsia="zh-CN"/>
        </w:rPr>
        <w:t>乙方及其工作人员对在线监测的数据、甲方提供的所有资料以及甲乙双方履行本合同所交往的资料负有保密义务。未经甲方书面同意，乙方及其工作人员不得将上述资料告知第三方，或用于本合同项目以外的事宜。</w:t>
      </w:r>
    </w:p>
    <w:p w14:paraId="513E217A">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十</w:t>
      </w:r>
      <w:r>
        <w:rPr>
          <w:rFonts w:hint="eastAsia" w:ascii="宋体" w:hAnsi="宋体" w:eastAsia="宋体" w:cs="宋体"/>
          <w:highlight w:val="none"/>
          <w:lang w:eastAsia="zh-CN"/>
        </w:rPr>
        <w:t>）</w:t>
      </w:r>
      <w:r>
        <w:rPr>
          <w:rFonts w:ascii="宋体" w:hAnsi="宋体" w:eastAsia="宋体" w:cs="宋体"/>
          <w:highlight w:val="none"/>
          <w:lang w:eastAsia="zh-CN"/>
        </w:rPr>
        <w:t>乙方按甲方主管部门的要求，完善各在线监测系统的数据上传功能，将在线监测数据上传至</w:t>
      </w:r>
      <w:r>
        <w:rPr>
          <w:rFonts w:hint="eastAsia" w:ascii="宋体" w:hAnsi="宋体" w:eastAsia="宋体" w:cs="宋体"/>
          <w:highlight w:val="none"/>
          <w:lang w:eastAsia="zh-CN"/>
        </w:rPr>
        <w:t>国家、省、市、区环保及水务平台</w:t>
      </w:r>
      <w:r>
        <w:rPr>
          <w:rFonts w:ascii="宋体" w:hAnsi="宋体" w:eastAsia="宋体" w:cs="宋体"/>
          <w:highlight w:val="none"/>
          <w:lang w:eastAsia="zh-CN"/>
        </w:rPr>
        <w:t>。</w:t>
      </w:r>
    </w:p>
    <w:p w14:paraId="5797265A">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（十</w:t>
      </w:r>
      <w:r>
        <w:rPr>
          <w:rFonts w:hint="eastAsia" w:ascii="宋体" w:hAnsi="宋体" w:eastAsia="宋体" w:cs="宋体"/>
          <w:highlight w:val="none"/>
          <w:lang w:val="en-US" w:eastAsia="zh-CN"/>
        </w:rPr>
        <w:t>一</w:t>
      </w:r>
      <w:r>
        <w:rPr>
          <w:rFonts w:hint="eastAsia" w:ascii="宋体" w:hAnsi="宋体" w:eastAsia="宋体" w:cs="宋体"/>
          <w:highlight w:val="none"/>
          <w:lang w:eastAsia="zh-CN"/>
        </w:rPr>
        <w:t>）乙方应</w:t>
      </w:r>
      <w:r>
        <w:rPr>
          <w:rFonts w:ascii="宋体" w:hAnsi="宋体" w:eastAsia="宋体" w:cs="宋体"/>
          <w:highlight w:val="none"/>
          <w:lang w:eastAsia="zh-CN"/>
        </w:rPr>
        <w:t>配合</w:t>
      </w:r>
      <w:r>
        <w:rPr>
          <w:rFonts w:hint="eastAsia" w:ascii="宋体" w:hAnsi="宋体" w:eastAsia="宋体" w:cs="宋体"/>
          <w:highlight w:val="none"/>
          <w:lang w:eastAsia="zh-CN"/>
        </w:rPr>
        <w:t>农村生活污水治理运维</w:t>
      </w:r>
      <w:r>
        <w:rPr>
          <w:rFonts w:ascii="宋体" w:hAnsi="宋体" w:eastAsia="宋体" w:cs="宋体"/>
          <w:highlight w:val="none"/>
          <w:lang w:eastAsia="zh-CN"/>
        </w:rPr>
        <w:t>服务单位</w:t>
      </w:r>
      <w:r>
        <w:rPr>
          <w:rFonts w:hint="eastAsia" w:ascii="宋体" w:hAnsi="宋体" w:eastAsia="宋体" w:cs="宋体"/>
          <w:highlight w:val="none"/>
          <w:lang w:eastAsia="zh-CN"/>
        </w:rPr>
        <w:t>有关工作和甲方有关信息化工作。</w:t>
      </w:r>
    </w:p>
    <w:p w14:paraId="5CA72D26">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（十</w:t>
      </w:r>
      <w:r>
        <w:rPr>
          <w:rFonts w:hint="eastAsia" w:ascii="宋体" w:hAnsi="宋体" w:eastAsia="宋体" w:cs="宋体"/>
          <w:highlight w:val="none"/>
          <w:lang w:val="en-US" w:eastAsia="zh-CN"/>
        </w:rPr>
        <w:t>二</w:t>
      </w:r>
      <w:r>
        <w:rPr>
          <w:rFonts w:hint="eastAsia" w:ascii="宋体" w:hAnsi="宋体" w:eastAsia="宋体" w:cs="宋体"/>
          <w:highlight w:val="none"/>
          <w:lang w:eastAsia="zh-CN"/>
        </w:rPr>
        <w:t>）乙方应确保其向甲方提供的产品或服务未侵犯任何第三方的合法权益（包括但不限于第三方的著作权、商标权、专利权等）或已获得相关权利人授权以便甲方可无须另外支付除本合同约定以外的任何费用而作商业性使用。若甲方因使用乙方所提供的产品或服务而被任何第三方追偿的，乙方应赔偿甲方因此造成的所有损失（包括但不限于甲方向第三方的赔偿、律师费、差旅费、仲裁费和诉讼费、公证费、公告费、评估费、鉴定费、财产保全费、调查费、邮寄送达费、印刷费、执行费、拍卖费等。</w:t>
      </w:r>
    </w:p>
    <w:p w14:paraId="147BFE92">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（十</w:t>
      </w:r>
      <w:r>
        <w:rPr>
          <w:rFonts w:hint="eastAsia" w:ascii="宋体" w:hAnsi="宋体" w:eastAsia="宋体" w:cs="宋体"/>
          <w:highlight w:val="none"/>
          <w:lang w:val="en-US" w:eastAsia="zh-CN"/>
        </w:rPr>
        <w:t>三</w:t>
      </w:r>
      <w:r>
        <w:rPr>
          <w:rFonts w:hint="eastAsia" w:ascii="宋体" w:hAnsi="宋体" w:eastAsia="宋体" w:cs="宋体"/>
          <w:highlight w:val="none"/>
          <w:lang w:eastAsia="zh-CN"/>
        </w:rPr>
        <w:t>）乙方分包的专业项目，需经甲方同意后方可实施。</w:t>
      </w:r>
    </w:p>
    <w:p w14:paraId="73E1F2DD">
      <w:pPr>
        <w:spacing w:line="360" w:lineRule="auto"/>
        <w:ind w:left="480"/>
        <w:jc w:val="both"/>
        <w:rPr>
          <w:rFonts w:hint="eastAsia" w:ascii="宋体" w:hAnsi="宋体" w:eastAsia="宋体" w:cs="宋体"/>
          <w:b/>
          <w:bCs/>
          <w:highlight w:val="none"/>
          <w:lang w:eastAsia="zh-CN"/>
        </w:rPr>
      </w:pPr>
      <w:r>
        <w:rPr>
          <w:rFonts w:hint="eastAsia" w:ascii="宋体" w:hAnsi="宋体" w:eastAsia="宋体" w:cs="宋体"/>
          <w:b/>
          <w:bCs/>
          <w:highlight w:val="none"/>
          <w:lang w:eastAsia="zh-CN"/>
        </w:rPr>
        <w:t>十二、付款方式</w:t>
      </w:r>
    </w:p>
    <w:p w14:paraId="3E2F0198">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（一）</w:t>
      </w:r>
      <w:r>
        <w:rPr>
          <w:rFonts w:ascii="宋体" w:hAnsi="宋体" w:eastAsia="宋体" w:cs="宋体"/>
          <w:highlight w:val="none"/>
          <w:lang w:eastAsia="zh-CN"/>
        </w:rPr>
        <w:t>费用按实际发生支付和结算，即</w:t>
      </w:r>
      <w:r>
        <w:rPr>
          <w:rFonts w:hint="eastAsia" w:ascii="宋体" w:hAnsi="宋体" w:eastAsia="宋体" w:cs="宋体"/>
          <w:highlight w:val="none"/>
          <w:lang w:eastAsia="zh-CN"/>
        </w:rPr>
        <w:t>甲方</w:t>
      </w:r>
      <w:r>
        <w:rPr>
          <w:rFonts w:ascii="宋体" w:hAnsi="宋体" w:eastAsia="宋体" w:cs="宋体"/>
          <w:highlight w:val="none"/>
          <w:lang w:eastAsia="zh-CN"/>
        </w:rPr>
        <w:t>按实际工作需要，采取任务单方式下达工作任务。</w:t>
      </w:r>
    </w:p>
    <w:p w14:paraId="593E1C8F">
      <w:pPr>
        <w:spacing w:line="360" w:lineRule="auto"/>
        <w:ind w:firstLine="48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eastAsia="zh-CN"/>
        </w:rPr>
        <w:t>（二）合同款项按照季度支付，完成季度考核后，按照经甲方确认并实际发生的工作量进行计量。</w:t>
      </w:r>
      <w:r>
        <w:rPr>
          <w:rFonts w:hint="eastAsia" w:ascii="宋体" w:hAnsi="宋体" w:eastAsia="宋体" w:cs="宋体"/>
          <w:highlight w:val="none"/>
          <w:lang w:val="en-US" w:eastAsia="zh-CN"/>
        </w:rPr>
        <w:t>乙方向甲方开具与该确认计量金额</w:t>
      </w:r>
      <w:r>
        <w:rPr>
          <w:rFonts w:ascii="宋体" w:hAnsi="宋体"/>
          <w:sz w:val="24"/>
          <w:highlight w:val="none"/>
        </w:rPr>
        <w:t>等额</w:t>
      </w:r>
      <w:r>
        <w:rPr>
          <w:rFonts w:hint="eastAsia" w:ascii="宋体" w:hAnsi="宋体" w:eastAsia="宋体"/>
          <w:sz w:val="24"/>
          <w:highlight w:val="none"/>
          <w:lang w:val="en-US" w:eastAsia="zh-CN"/>
        </w:rPr>
        <w:t>的</w:t>
      </w:r>
      <w:r>
        <w:rPr>
          <w:rFonts w:hint="eastAsia" w:ascii="宋体" w:hAnsi="宋体"/>
          <w:sz w:val="24"/>
          <w:highlight w:val="none"/>
        </w:rPr>
        <w:t>合法</w:t>
      </w:r>
      <w:r>
        <w:rPr>
          <w:rFonts w:ascii="宋体" w:hAnsi="宋体"/>
          <w:sz w:val="24"/>
          <w:highlight w:val="none"/>
        </w:rPr>
        <w:t>有效增值税专用发票</w:t>
      </w:r>
      <w:r>
        <w:rPr>
          <w:rFonts w:hint="eastAsia" w:ascii="宋体" w:hAnsi="宋体" w:eastAsia="宋体"/>
          <w:sz w:val="24"/>
          <w:highlight w:val="none"/>
          <w:lang w:eastAsia="zh-CN"/>
        </w:rPr>
        <w:t>。</w:t>
      </w:r>
    </w:p>
    <w:p w14:paraId="789C7E9A">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三</w:t>
      </w:r>
      <w:r>
        <w:rPr>
          <w:rFonts w:hint="eastAsia" w:ascii="宋体" w:hAnsi="宋体" w:eastAsia="宋体" w:cs="宋体"/>
          <w:highlight w:val="none"/>
          <w:lang w:eastAsia="zh-CN"/>
        </w:rPr>
        <w:t>）支付比例见《季度考核分数运用》。甲方在验收完成后支付至结算价</w:t>
      </w:r>
      <w:r>
        <w:rPr>
          <w:rFonts w:ascii="宋体" w:hAnsi="宋体" w:eastAsia="宋体" w:cs="宋体"/>
          <w:highlight w:val="none"/>
          <w:lang w:eastAsia="zh-CN"/>
        </w:rPr>
        <w:t>100%</w:t>
      </w:r>
      <w:r>
        <w:rPr>
          <w:rFonts w:hint="eastAsia" w:ascii="宋体" w:hAnsi="宋体" w:eastAsia="宋体" w:cs="宋体"/>
          <w:highlight w:val="none"/>
          <w:lang w:eastAsia="zh-CN"/>
        </w:rPr>
        <w:t>。</w:t>
      </w:r>
    </w:p>
    <w:p w14:paraId="36887C22">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四</w:t>
      </w:r>
      <w:r>
        <w:rPr>
          <w:rFonts w:hint="eastAsia" w:ascii="宋体" w:hAnsi="宋体" w:eastAsia="宋体" w:cs="宋体"/>
          <w:highlight w:val="none"/>
          <w:lang w:eastAsia="zh-CN"/>
        </w:rPr>
        <w:t>）乙方未按约定提供增值税专用发票的，甲方有权延付。甲方按乙方指定的银行账户将货款由甲方账户汇出，即视为甲方完成付款义务。</w:t>
      </w:r>
    </w:p>
    <w:p w14:paraId="06FE51F4">
      <w:pPr>
        <w:numPr>
          <w:ilvl w:val="255"/>
          <w:numId w:val="0"/>
        </w:numPr>
        <w:snapToGrid w:val="0"/>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五</w:t>
      </w:r>
      <w:r>
        <w:rPr>
          <w:rFonts w:hint="eastAsia" w:ascii="宋体" w:hAnsi="宋体" w:eastAsia="宋体" w:cs="宋体"/>
          <w:highlight w:val="none"/>
          <w:lang w:eastAsia="zh-CN"/>
        </w:rPr>
        <w:t>）暂列金付款方式及计价原则：按照甲方指示其他合同工作任务，待结算完毕后一并支付。</w:t>
      </w:r>
    </w:p>
    <w:p w14:paraId="659AA547">
      <w:pPr>
        <w:numPr>
          <w:ilvl w:val="255"/>
          <w:numId w:val="0"/>
        </w:numPr>
        <w:adjustRightInd w:val="0"/>
        <w:snapToGrid w:val="0"/>
        <w:spacing w:line="360" w:lineRule="auto"/>
        <w:ind w:firstLine="480" w:firstLineChars="200"/>
        <w:rPr>
          <w:rFonts w:ascii="宋体" w:hAnsi="宋体" w:cs="宋体"/>
          <w:highlight w:val="none"/>
          <w:lang w:val="zh-CN"/>
        </w:rPr>
      </w:pPr>
      <w:r>
        <w:rPr>
          <w:rFonts w:hint="eastAsia" w:ascii="宋体" w:hAnsi="宋体" w:cs="宋体"/>
          <w:highlight w:val="none"/>
          <w:lang w:val="zh-CN" w:eastAsia="zh-CN"/>
        </w:rPr>
        <w:t>合同清单未列项目全费用综合单价根据市政工程、安装工程、房屋建筑和市政修缮工程、土建工程、园林绿化工程、装饰装修工程等专业相应执行同期省、市造价部门颁布的综合定额及相关计价文件编制再乘以（</w:t>
      </w:r>
      <w:r>
        <w:rPr>
          <w:rFonts w:ascii="宋体" w:hAnsi="宋体" w:cs="宋体"/>
          <w:highlight w:val="none"/>
          <w:lang w:val="zh-CN" w:eastAsia="zh-CN"/>
        </w:rPr>
        <w:t>1-</w:t>
      </w:r>
      <w:r>
        <w:rPr>
          <w:rFonts w:hint="eastAsia" w:ascii="宋体" w:hAnsi="宋体" w:cs="宋体"/>
          <w:highlight w:val="none"/>
          <w:lang w:val="zh-CN" w:eastAsia="zh-CN"/>
        </w:rPr>
        <w:t>中标下浮率）确定，（中标下浮率</w:t>
      </w:r>
      <w:r>
        <w:rPr>
          <w:rFonts w:ascii="宋体" w:hAnsi="宋体" w:cs="宋体"/>
          <w:highlight w:val="none"/>
          <w:lang w:val="zh-CN" w:eastAsia="zh-CN"/>
        </w:rPr>
        <w:t>=[</w:t>
      </w:r>
      <w:r>
        <w:rPr>
          <w:rFonts w:hint="eastAsia" w:ascii="宋体" w:hAnsi="宋体" w:cs="宋体"/>
          <w:highlight w:val="none"/>
          <w:lang w:val="zh-CN" w:eastAsia="zh-CN"/>
        </w:rPr>
        <w:t>（招标最高控制价</w:t>
      </w:r>
      <w:r>
        <w:rPr>
          <w:rFonts w:ascii="宋体" w:hAnsi="宋体" w:cs="宋体"/>
          <w:highlight w:val="none"/>
          <w:lang w:val="zh-CN" w:eastAsia="zh-CN"/>
        </w:rPr>
        <w:t>-</w:t>
      </w:r>
      <w:r>
        <w:rPr>
          <w:rFonts w:hint="eastAsia" w:ascii="宋体" w:hAnsi="宋体" w:cs="宋体"/>
          <w:highlight w:val="none"/>
          <w:lang w:val="zh-CN" w:eastAsia="zh-CN"/>
        </w:rPr>
        <w:t>暂列金-暂估价）</w:t>
      </w:r>
      <w:r>
        <w:rPr>
          <w:rFonts w:ascii="宋体" w:hAnsi="宋体" w:cs="宋体"/>
          <w:highlight w:val="none"/>
          <w:lang w:val="zh-CN" w:eastAsia="zh-CN"/>
        </w:rPr>
        <w:t>-</w:t>
      </w:r>
      <w:r>
        <w:rPr>
          <w:rFonts w:hint="eastAsia" w:ascii="宋体" w:hAnsi="宋体" w:cs="宋体"/>
          <w:highlight w:val="none"/>
          <w:lang w:val="zh-CN" w:eastAsia="zh-CN"/>
        </w:rPr>
        <w:t>（中标价</w:t>
      </w:r>
      <w:r>
        <w:rPr>
          <w:rFonts w:ascii="宋体" w:hAnsi="宋体" w:cs="宋体"/>
          <w:highlight w:val="none"/>
          <w:lang w:val="zh-CN" w:eastAsia="zh-CN"/>
        </w:rPr>
        <w:t>-</w:t>
      </w:r>
      <w:r>
        <w:rPr>
          <w:rFonts w:hint="eastAsia" w:ascii="宋体" w:hAnsi="宋体" w:cs="宋体"/>
          <w:highlight w:val="none"/>
          <w:lang w:val="zh-CN" w:eastAsia="zh-CN"/>
        </w:rPr>
        <w:t>暂列金-暂估价）〕÷（招标最高控制价</w:t>
      </w:r>
      <w:r>
        <w:rPr>
          <w:rFonts w:ascii="宋体" w:hAnsi="宋体" w:cs="宋体"/>
          <w:highlight w:val="none"/>
          <w:lang w:val="zh-CN" w:eastAsia="zh-CN"/>
        </w:rPr>
        <w:t>-</w:t>
      </w:r>
      <w:r>
        <w:rPr>
          <w:rFonts w:hint="eastAsia" w:ascii="宋体" w:hAnsi="宋体" w:cs="宋体"/>
          <w:highlight w:val="none"/>
          <w:lang w:val="zh-CN" w:eastAsia="zh-CN"/>
        </w:rPr>
        <w:t>暂列金-暂估价）</w:t>
      </w:r>
      <w:r>
        <w:rPr>
          <w:rFonts w:ascii="宋体" w:hAnsi="宋体" w:cs="宋体"/>
          <w:highlight w:val="none"/>
          <w:lang w:val="zh-CN" w:eastAsia="zh-CN"/>
        </w:rPr>
        <w:t>*100%</w:t>
      </w:r>
      <w:r>
        <w:rPr>
          <w:rFonts w:hint="eastAsia" w:ascii="宋体" w:hAnsi="宋体" w:cs="宋体"/>
          <w:highlight w:val="none"/>
          <w:lang w:val="zh-CN" w:eastAsia="zh-CN"/>
        </w:rPr>
        <w:t>。），相关计价文件包括但不限于</w:t>
      </w:r>
      <w:r>
        <w:rPr>
          <w:rFonts w:ascii="å®‹ä½“" w:hAnsi="å®‹ä½“" w:eastAsia="å®‹ä½“" w:cs="å®‹ä½“"/>
          <w:i w:val="0"/>
          <w:iCs w:val="0"/>
          <w:caps w:val="0"/>
          <w:color w:val="000000"/>
          <w:spacing w:val="0"/>
          <w:sz w:val="24"/>
          <w:szCs w:val="24"/>
          <w:highlight w:val="none"/>
          <w:shd w:val="clear" w:fill="FFFFFF"/>
        </w:rPr>
        <w:t>《建设工程工程量清单计价标准》</w:t>
      </w:r>
      <w:r>
        <w:rPr>
          <w:rFonts w:hint="eastAsia" w:ascii="宋体" w:hAnsi="宋体" w:cs="宋体"/>
          <w:highlight w:val="none"/>
          <w:lang w:val="zh-CN" w:eastAsia="zh-CN"/>
        </w:rPr>
        <w:t>（GB/T50500-2024）《广东省市政工程综合定额</w:t>
      </w:r>
      <w:r>
        <w:rPr>
          <w:rFonts w:ascii="宋体" w:hAnsi="宋体" w:cs="宋体"/>
          <w:highlight w:val="none"/>
          <w:lang w:val="zh-CN" w:eastAsia="zh-CN"/>
        </w:rPr>
        <w:t>2018</w:t>
      </w:r>
      <w:r>
        <w:rPr>
          <w:rFonts w:hint="eastAsia" w:ascii="宋体" w:hAnsi="宋体" w:cs="宋体"/>
          <w:highlight w:val="none"/>
          <w:lang w:val="zh-CN" w:eastAsia="zh-CN"/>
        </w:rPr>
        <w:t>》《广东省通用安装工程综合定额2018》《广东省房屋建筑和市政修缮工程综合定额</w:t>
      </w:r>
      <w:r>
        <w:rPr>
          <w:rFonts w:ascii="宋体" w:hAnsi="宋体" w:cs="宋体"/>
          <w:highlight w:val="none"/>
          <w:lang w:val="zh-CN" w:eastAsia="zh-CN"/>
        </w:rPr>
        <w:t>2012</w:t>
      </w:r>
      <w:r>
        <w:rPr>
          <w:rFonts w:hint="eastAsia" w:ascii="宋体" w:hAnsi="宋体" w:cs="宋体"/>
          <w:highlight w:val="none"/>
          <w:lang w:val="zh-CN" w:eastAsia="zh-CN"/>
        </w:rPr>
        <w:t>》《广东省排水管道非开挖修复更新工程预算定额</w:t>
      </w:r>
      <w:r>
        <w:rPr>
          <w:rFonts w:ascii="宋体" w:hAnsi="宋体" w:cs="宋体"/>
          <w:highlight w:val="none"/>
          <w:lang w:val="zh-CN" w:eastAsia="zh-CN"/>
        </w:rPr>
        <w:t>2019</w:t>
      </w:r>
      <w:r>
        <w:rPr>
          <w:rFonts w:hint="eastAsia" w:ascii="宋体" w:hAnsi="宋体" w:cs="宋体"/>
          <w:highlight w:val="none"/>
          <w:lang w:val="zh-CN" w:eastAsia="zh-CN"/>
        </w:rPr>
        <w:t>》*0.8及《广州市政补充定额</w:t>
      </w:r>
      <w:r>
        <w:rPr>
          <w:rFonts w:ascii="宋体" w:hAnsi="宋体" w:cs="宋体"/>
          <w:highlight w:val="none"/>
          <w:lang w:val="zh-CN" w:eastAsia="zh-CN"/>
        </w:rPr>
        <w:t>2019</w:t>
      </w:r>
      <w:r>
        <w:rPr>
          <w:rFonts w:hint="eastAsia" w:ascii="宋体" w:hAnsi="宋体" w:cs="宋体"/>
          <w:highlight w:val="none"/>
          <w:lang w:val="zh-CN" w:eastAsia="zh-CN"/>
        </w:rPr>
        <w:t>》等，按定额排序顺序优先采用相关定额定价。新增项目的人工、材料、机械价格按广州市造价管理站同期发布《广州市建设工程价格信息及有关计价办法的通知》予以调整，《广州市建设工程价格信息及有关计价办法的通知》没有的材料单价，则参考同期（施工期）该材料的市场价格。</w:t>
      </w:r>
    </w:p>
    <w:p w14:paraId="78C37200">
      <w:pPr>
        <w:numPr>
          <w:ilvl w:val="255"/>
          <w:numId w:val="0"/>
        </w:numPr>
        <w:snapToGrid w:val="0"/>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若现行计价定额中没有相应子目可套用时，需对人工、材料和机械消耗量进行签证按实计算。</w:t>
      </w:r>
      <w:r>
        <w:rPr>
          <w:rFonts w:hint="eastAsia" w:ascii="宋体" w:hAnsi="宋体" w:cs="宋体"/>
          <w:highlight w:val="none"/>
          <w:lang w:eastAsia="zh-CN"/>
        </w:rPr>
        <w:t>其中：①</w:t>
      </w:r>
      <w:r>
        <w:rPr>
          <w:rFonts w:hint="eastAsia" w:ascii="宋体" w:hAnsi="宋体" w:cs="宋体"/>
          <w:highlight w:val="none"/>
          <w:lang w:val="zh-CN" w:eastAsia="zh-CN"/>
        </w:rPr>
        <w:t>人工及材料单价参考《广州市建设工程价格信息及有关计价办法的通知》，若无法参考，按市场实际询价为准。</w:t>
      </w:r>
      <w:r>
        <w:rPr>
          <w:rFonts w:hint="eastAsia" w:ascii="宋体" w:hAnsi="宋体" w:cs="宋体"/>
          <w:highlight w:val="none"/>
          <w:lang w:eastAsia="zh-CN"/>
        </w:rPr>
        <w:t>②</w:t>
      </w:r>
      <w:r>
        <w:rPr>
          <w:rFonts w:hint="eastAsia" w:ascii="宋体" w:hAnsi="宋体" w:cs="宋体"/>
          <w:highlight w:val="none"/>
          <w:lang w:val="zh-CN" w:eastAsia="zh-CN"/>
        </w:rPr>
        <w:t>机械台班单价参考《广东省建设工程施工机具台班费用编制规则</w:t>
      </w:r>
      <w:r>
        <w:rPr>
          <w:rFonts w:ascii="宋体" w:hAnsi="宋体" w:cs="宋体"/>
          <w:highlight w:val="none"/>
          <w:lang w:val="zh-CN" w:eastAsia="zh-CN"/>
        </w:rPr>
        <w:t>(2018)</w:t>
      </w:r>
      <w:r>
        <w:rPr>
          <w:rFonts w:hint="eastAsia" w:ascii="宋体" w:hAnsi="宋体" w:cs="宋体"/>
          <w:highlight w:val="none"/>
          <w:lang w:val="zh-CN" w:eastAsia="zh-CN"/>
        </w:rPr>
        <w:t>》费用构成，调整机上人工单价和燃料动力价格。若无法参考，按市场实际询价为准。</w:t>
      </w:r>
      <w:r>
        <w:rPr>
          <w:rFonts w:hint="eastAsia" w:ascii="宋体" w:hAnsi="宋体" w:cs="宋体"/>
          <w:highlight w:val="none"/>
          <w:lang w:eastAsia="zh-CN"/>
        </w:rPr>
        <w:t>③</w:t>
      </w:r>
      <w:r>
        <w:rPr>
          <w:rFonts w:hint="eastAsia" w:ascii="宋体" w:hAnsi="宋体" w:cs="宋体"/>
          <w:highlight w:val="none"/>
          <w:lang w:val="zh-CN" w:eastAsia="zh-CN"/>
        </w:rPr>
        <w:t>管理费、利润率、其他项目费等均按</w:t>
      </w:r>
      <w:r>
        <w:rPr>
          <w:rFonts w:hint="eastAsia" w:ascii="宋体" w:hAnsi="宋体" w:cs="宋体"/>
          <w:highlight w:val="none"/>
          <w:lang w:eastAsia="zh-CN"/>
        </w:rPr>
        <w:t>任务</w:t>
      </w:r>
      <w:r>
        <w:rPr>
          <w:rFonts w:hint="eastAsia" w:ascii="宋体" w:hAnsi="宋体" w:cs="宋体"/>
          <w:highlight w:val="none"/>
          <w:lang w:val="zh-CN" w:eastAsia="zh-CN"/>
        </w:rPr>
        <w:t>下发时间对应的最新计价规定执行。</w:t>
      </w:r>
      <w:r>
        <w:rPr>
          <w:rFonts w:hint="eastAsia" w:ascii="宋体" w:hAnsi="宋体" w:cs="宋体"/>
          <w:highlight w:val="none"/>
          <w:lang w:val="zh-CN"/>
        </w:rPr>
        <w:t>最终以发包人核准后确定，结算时承包人须提供相应材料的合格证、发票。</w:t>
      </w:r>
    </w:p>
    <w:p w14:paraId="7CF968B3">
      <w:pPr>
        <w:numPr>
          <w:ilvl w:val="255"/>
          <w:numId w:val="0"/>
        </w:num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六</w:t>
      </w:r>
      <w:r>
        <w:rPr>
          <w:rFonts w:hint="eastAsia" w:ascii="宋体" w:hAnsi="宋体" w:eastAsia="宋体" w:cs="宋体"/>
          <w:highlight w:val="none"/>
          <w:lang w:eastAsia="zh-CN"/>
        </w:rPr>
        <w:t>）暂估价付款方式及计价原则：危废处理费用采取实报实销，结算完成后一并支付。乙方未按危废处理的相关规定进行处置，或乙方私自增加危废处理量等行为，甲方将不予支付此部分费用。</w:t>
      </w:r>
    </w:p>
    <w:p w14:paraId="4733F452">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七</w:t>
      </w:r>
      <w:r>
        <w:rPr>
          <w:rFonts w:hint="eastAsia" w:ascii="宋体" w:hAnsi="宋体" w:eastAsia="宋体" w:cs="宋体"/>
          <w:highlight w:val="none"/>
          <w:lang w:eastAsia="zh-CN"/>
        </w:rPr>
        <w:t>）</w:t>
      </w:r>
      <w:r>
        <w:rPr>
          <w:rFonts w:ascii="宋体" w:hAnsi="宋体" w:eastAsia="宋体" w:cs="宋体"/>
          <w:highlight w:val="none"/>
          <w:lang w:eastAsia="zh-CN"/>
        </w:rPr>
        <w:t>考核标准及罚则</w:t>
      </w:r>
    </w:p>
    <w:p w14:paraId="3E766E75">
      <w:pPr>
        <w:numPr>
          <w:ilvl w:val="255"/>
          <w:numId w:val="0"/>
        </w:numPr>
        <w:spacing w:line="360" w:lineRule="auto"/>
        <w:ind w:firstLine="480" w:firstLineChars="200"/>
        <w:jc w:val="left"/>
        <w:rPr>
          <w:rFonts w:hint="default" w:ascii="宋体" w:hAnsi="宋体" w:eastAsia="宋体" w:cs="宋体"/>
          <w:sz w:val="24"/>
          <w:szCs w:val="24"/>
          <w:highlight w:val="none"/>
          <w:lang w:eastAsia="zh-CN"/>
        </w:rPr>
      </w:pPr>
      <w:r>
        <w:rPr>
          <w:rFonts w:hint="default" w:ascii="宋体" w:hAnsi="宋体" w:eastAsia="宋体" w:cs="宋体"/>
          <w:sz w:val="24"/>
          <w:szCs w:val="24"/>
          <w:highlight w:val="none"/>
          <w:lang w:eastAsia="zh-CN"/>
        </w:rPr>
        <w:t>运营费支付季度考核表中的考核内容应符合相应的考核要求，重要站点每季度全覆盖考核，一般站点抽检10%考核，光学法（电极法）抽检5%考核，并以相关上级部门考核评分为参考。</w:t>
      </w:r>
    </w:p>
    <w:p w14:paraId="035C542F">
      <w:pPr>
        <w:numPr>
          <w:ilvl w:val="255"/>
          <w:numId w:val="0"/>
        </w:numPr>
        <w:spacing w:line="360" w:lineRule="auto"/>
        <w:ind w:firstLine="3360" w:firstLineChars="1400"/>
        <w:jc w:val="left"/>
        <w:rPr>
          <w:rFonts w:hint="default" w:ascii="宋体" w:hAnsi="宋体" w:eastAsia="宋体" w:cs="宋体"/>
          <w:b w:val="0"/>
          <w:bCs w:val="0"/>
          <w:sz w:val="24"/>
          <w:szCs w:val="24"/>
          <w:highlight w:val="none"/>
          <w:lang w:eastAsia="zh-CN"/>
        </w:rPr>
      </w:pPr>
      <w:r>
        <w:rPr>
          <w:rFonts w:hint="default" w:ascii="宋体" w:hAnsi="宋体" w:eastAsia="宋体" w:cs="宋体"/>
          <w:b w:val="0"/>
          <w:bCs w:val="0"/>
          <w:sz w:val="24"/>
          <w:szCs w:val="24"/>
          <w:highlight w:val="none"/>
          <w:lang w:eastAsia="zh-CN"/>
        </w:rPr>
        <w:t>运营费支付季度考核表</w:t>
      </w:r>
    </w:p>
    <w:p w14:paraId="7A7B625B">
      <w:pPr>
        <w:numPr>
          <w:ilvl w:val="255"/>
          <w:numId w:val="0"/>
        </w:numPr>
        <w:spacing w:line="360" w:lineRule="auto"/>
        <w:ind w:firstLine="480" w:firstLineChars="200"/>
        <w:jc w:val="left"/>
        <w:rPr>
          <w:rFonts w:hint="default" w:ascii="宋体" w:hAnsi="宋体" w:eastAsia="宋体" w:cs="宋体"/>
          <w:sz w:val="24"/>
          <w:szCs w:val="24"/>
          <w:highlight w:val="none"/>
          <w:lang w:eastAsia="zh-CN"/>
        </w:rPr>
      </w:pPr>
      <w:r>
        <w:rPr>
          <w:rFonts w:hint="default" w:ascii="宋体" w:hAnsi="宋体" w:eastAsia="宋体" w:cs="宋体"/>
          <w:sz w:val="24"/>
          <w:szCs w:val="24"/>
          <w:highlight w:val="none"/>
          <w:lang w:eastAsia="zh-CN"/>
        </w:rPr>
        <w:t>（备注：本表“HJ355-2019”指“《水污染源在线监测系统（CODCr、NH3-N 等）运行技术规范》（HJ355-2019）”）</w:t>
      </w:r>
    </w:p>
    <w:tbl>
      <w:tblPr>
        <w:tblStyle w:val="16"/>
        <w:tblW w:w="9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916"/>
        <w:gridCol w:w="1074"/>
        <w:gridCol w:w="2184"/>
      </w:tblGrid>
      <w:tr w14:paraId="0188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vMerge w:val="restart"/>
            <w:noWrap w:val="0"/>
            <w:vAlign w:val="center"/>
          </w:tcPr>
          <w:p w14:paraId="7C874E91">
            <w:pPr>
              <w:ind w:firstLine="420" w:firstLineChars="200"/>
              <w:jc w:val="center"/>
              <w:rPr>
                <w:rFonts w:hint="eastAsia" w:ascii="宋体" w:hAnsi="宋体" w:cs="宋体"/>
                <w:sz w:val="21"/>
                <w:szCs w:val="21"/>
                <w:highlight w:val="none"/>
              </w:rPr>
            </w:pPr>
            <w:r>
              <w:rPr>
                <w:rFonts w:hint="eastAsia" w:ascii="宋体" w:hAnsi="宋体" w:cs="宋体"/>
                <w:sz w:val="21"/>
                <w:szCs w:val="21"/>
                <w:highlight w:val="none"/>
              </w:rPr>
              <w:t>考核内容</w:t>
            </w:r>
          </w:p>
        </w:tc>
        <w:tc>
          <w:tcPr>
            <w:tcW w:w="3916" w:type="dxa"/>
            <w:vMerge w:val="restart"/>
            <w:noWrap w:val="0"/>
            <w:vAlign w:val="center"/>
          </w:tcPr>
          <w:p w14:paraId="1E259ACD">
            <w:pPr>
              <w:ind w:firstLine="420" w:firstLineChars="200"/>
              <w:jc w:val="center"/>
              <w:rPr>
                <w:rFonts w:hint="eastAsia" w:ascii="宋体" w:hAnsi="宋体" w:cs="宋体"/>
                <w:sz w:val="21"/>
                <w:szCs w:val="21"/>
                <w:highlight w:val="none"/>
              </w:rPr>
            </w:pPr>
            <w:r>
              <w:rPr>
                <w:rFonts w:hint="eastAsia" w:ascii="宋体" w:hAnsi="宋体" w:cs="宋体"/>
                <w:sz w:val="21"/>
                <w:szCs w:val="21"/>
                <w:highlight w:val="none"/>
              </w:rPr>
              <w:t>要求</w:t>
            </w:r>
          </w:p>
        </w:tc>
        <w:tc>
          <w:tcPr>
            <w:tcW w:w="3258" w:type="dxa"/>
            <w:gridSpan w:val="2"/>
            <w:noWrap w:val="0"/>
            <w:vAlign w:val="center"/>
          </w:tcPr>
          <w:p w14:paraId="7099D04E">
            <w:pPr>
              <w:ind w:firstLine="420" w:firstLineChars="200"/>
              <w:jc w:val="center"/>
              <w:rPr>
                <w:rFonts w:hint="eastAsia" w:ascii="宋体" w:hAnsi="宋体" w:cs="宋体"/>
                <w:sz w:val="21"/>
                <w:szCs w:val="21"/>
                <w:highlight w:val="none"/>
              </w:rPr>
            </w:pPr>
            <w:r>
              <w:rPr>
                <w:rFonts w:hint="eastAsia" w:ascii="宋体" w:hAnsi="宋体" w:cs="宋体"/>
                <w:sz w:val="21"/>
                <w:szCs w:val="21"/>
                <w:highlight w:val="none"/>
              </w:rPr>
              <w:t>考核情况</w:t>
            </w:r>
          </w:p>
        </w:tc>
      </w:tr>
      <w:tr w14:paraId="3D18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660" w:type="dxa"/>
            <w:vMerge w:val="continue"/>
            <w:noWrap w:val="0"/>
            <w:vAlign w:val="center"/>
          </w:tcPr>
          <w:p w14:paraId="7822AFB2">
            <w:pPr>
              <w:ind w:firstLine="420" w:firstLineChars="200"/>
              <w:rPr>
                <w:rFonts w:hint="eastAsia" w:ascii="宋体" w:hAnsi="宋体" w:cs="宋体"/>
                <w:sz w:val="21"/>
                <w:szCs w:val="21"/>
                <w:highlight w:val="none"/>
              </w:rPr>
            </w:pPr>
          </w:p>
        </w:tc>
        <w:tc>
          <w:tcPr>
            <w:tcW w:w="3916" w:type="dxa"/>
            <w:vMerge w:val="continue"/>
            <w:noWrap w:val="0"/>
            <w:vAlign w:val="center"/>
          </w:tcPr>
          <w:p w14:paraId="56BDABE2">
            <w:pPr>
              <w:ind w:firstLine="420" w:firstLineChars="200"/>
              <w:rPr>
                <w:rFonts w:hint="eastAsia" w:ascii="宋体" w:hAnsi="宋体" w:cs="宋体"/>
                <w:sz w:val="21"/>
                <w:szCs w:val="21"/>
                <w:highlight w:val="none"/>
              </w:rPr>
            </w:pPr>
          </w:p>
        </w:tc>
        <w:tc>
          <w:tcPr>
            <w:tcW w:w="1074" w:type="dxa"/>
            <w:tcBorders>
              <w:right w:val="single" w:color="auto" w:sz="4" w:space="0"/>
            </w:tcBorders>
            <w:noWrap w:val="0"/>
            <w:vAlign w:val="center"/>
          </w:tcPr>
          <w:p w14:paraId="02F1C42F">
            <w:pPr>
              <w:ind w:firstLine="420" w:firstLineChars="200"/>
              <w:rPr>
                <w:rFonts w:hint="eastAsia" w:ascii="宋体" w:hAnsi="宋体" w:cs="宋体"/>
                <w:sz w:val="21"/>
                <w:szCs w:val="21"/>
                <w:highlight w:val="none"/>
              </w:rPr>
            </w:pPr>
            <w:r>
              <w:rPr>
                <w:rFonts w:hint="eastAsia" w:ascii="宋体" w:hAnsi="宋体" w:cs="宋体"/>
                <w:sz w:val="21"/>
                <w:szCs w:val="21"/>
                <w:highlight w:val="none"/>
              </w:rPr>
              <w:t>分值</w:t>
            </w:r>
          </w:p>
        </w:tc>
        <w:tc>
          <w:tcPr>
            <w:tcW w:w="2184" w:type="dxa"/>
            <w:tcBorders>
              <w:left w:val="single" w:color="auto" w:sz="4" w:space="0"/>
            </w:tcBorders>
            <w:noWrap w:val="0"/>
            <w:vAlign w:val="center"/>
          </w:tcPr>
          <w:p w14:paraId="15A5DC16">
            <w:pPr>
              <w:ind w:firstLine="420" w:firstLineChars="200"/>
              <w:rPr>
                <w:rFonts w:hint="eastAsia" w:ascii="宋体" w:hAnsi="宋体" w:cs="宋体"/>
                <w:sz w:val="21"/>
                <w:szCs w:val="21"/>
                <w:highlight w:val="none"/>
              </w:rPr>
            </w:pPr>
            <w:r>
              <w:rPr>
                <w:rFonts w:hint="eastAsia" w:ascii="宋体" w:hAnsi="宋体" w:cs="宋体"/>
                <w:sz w:val="21"/>
                <w:szCs w:val="21"/>
                <w:highlight w:val="none"/>
              </w:rPr>
              <w:t>评分标准</w:t>
            </w:r>
          </w:p>
        </w:tc>
      </w:tr>
      <w:tr w14:paraId="5284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noWrap w:val="0"/>
            <w:vAlign w:val="center"/>
          </w:tcPr>
          <w:p w14:paraId="356D24A9">
            <w:pPr>
              <w:ind w:firstLine="420" w:firstLineChars="200"/>
              <w:rPr>
                <w:rFonts w:hint="eastAsia" w:ascii="宋体" w:hAnsi="宋体" w:cs="宋体"/>
                <w:sz w:val="21"/>
                <w:szCs w:val="21"/>
                <w:highlight w:val="none"/>
              </w:rPr>
            </w:pPr>
            <w:r>
              <w:rPr>
                <w:rFonts w:hint="eastAsia" w:ascii="宋体" w:hAnsi="宋体" w:cs="宋体"/>
                <w:sz w:val="21"/>
                <w:szCs w:val="21"/>
                <w:highlight w:val="none"/>
              </w:rPr>
              <w:t>▲接受国家、省、市、区环保和水务部门（或委托的）的比对监测考核</w:t>
            </w:r>
          </w:p>
        </w:tc>
        <w:tc>
          <w:tcPr>
            <w:tcW w:w="3916" w:type="dxa"/>
            <w:noWrap w:val="0"/>
            <w:vAlign w:val="center"/>
          </w:tcPr>
          <w:p w14:paraId="0B4914FF">
            <w:pPr>
              <w:rPr>
                <w:rFonts w:hint="eastAsia" w:ascii="宋体" w:hAnsi="宋体" w:cs="宋体"/>
                <w:sz w:val="21"/>
                <w:szCs w:val="21"/>
                <w:highlight w:val="none"/>
              </w:rPr>
            </w:pPr>
            <w:r>
              <w:rPr>
                <w:rFonts w:hint="eastAsia" w:ascii="宋体" w:hAnsi="宋体" w:cs="宋体"/>
                <w:sz w:val="21"/>
                <w:szCs w:val="21"/>
                <w:highlight w:val="none"/>
              </w:rPr>
              <w:t>顺利通过比对监测，非服务单位原因导致的不通过除外，结果满足HJ355-2019标准中表1的要求</w:t>
            </w:r>
          </w:p>
        </w:tc>
        <w:tc>
          <w:tcPr>
            <w:tcW w:w="1074" w:type="dxa"/>
            <w:tcBorders>
              <w:right w:val="single" w:color="auto" w:sz="4" w:space="0"/>
            </w:tcBorders>
            <w:noWrap w:val="0"/>
            <w:vAlign w:val="center"/>
          </w:tcPr>
          <w:p w14:paraId="0C2C1207">
            <w:pPr>
              <w:ind w:firstLine="420" w:firstLineChars="200"/>
              <w:rPr>
                <w:rFonts w:hint="eastAsia" w:ascii="宋体" w:hAnsi="宋体" w:cs="宋体"/>
                <w:sz w:val="21"/>
                <w:szCs w:val="21"/>
                <w:highlight w:val="none"/>
              </w:rPr>
            </w:pPr>
            <w:r>
              <w:rPr>
                <w:rFonts w:hint="eastAsia" w:ascii="宋体" w:hAnsi="宋体" w:cs="宋体"/>
                <w:sz w:val="21"/>
                <w:szCs w:val="21"/>
                <w:highlight w:val="none"/>
              </w:rPr>
              <w:t>10</w:t>
            </w:r>
          </w:p>
        </w:tc>
        <w:tc>
          <w:tcPr>
            <w:tcW w:w="2184" w:type="dxa"/>
            <w:tcBorders>
              <w:left w:val="single" w:color="auto" w:sz="4" w:space="0"/>
            </w:tcBorders>
            <w:noWrap w:val="0"/>
            <w:vAlign w:val="center"/>
          </w:tcPr>
          <w:p w14:paraId="66B57DA7">
            <w:pPr>
              <w:rPr>
                <w:rFonts w:hint="eastAsia" w:ascii="宋体" w:hAnsi="宋体" w:cs="宋体"/>
                <w:sz w:val="21"/>
                <w:szCs w:val="21"/>
                <w:highlight w:val="none"/>
              </w:rPr>
            </w:pPr>
            <w:r>
              <w:rPr>
                <w:rFonts w:hint="eastAsia" w:ascii="宋体" w:hAnsi="宋体" w:cs="宋体"/>
                <w:sz w:val="21"/>
                <w:szCs w:val="21"/>
                <w:highlight w:val="none"/>
              </w:rPr>
              <w:t>不符合要求一票否决</w:t>
            </w:r>
          </w:p>
        </w:tc>
      </w:tr>
      <w:tr w14:paraId="5990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vMerge w:val="restart"/>
            <w:noWrap w:val="0"/>
            <w:vAlign w:val="center"/>
          </w:tcPr>
          <w:p w14:paraId="7C02081A">
            <w:pPr>
              <w:ind w:firstLine="840" w:firstLineChars="400"/>
              <w:rPr>
                <w:rFonts w:hint="eastAsia" w:ascii="宋体" w:hAnsi="宋体" w:cs="宋体"/>
                <w:sz w:val="21"/>
                <w:szCs w:val="21"/>
                <w:highlight w:val="none"/>
              </w:rPr>
            </w:pPr>
            <w:r>
              <w:rPr>
                <w:rFonts w:hint="eastAsia" w:ascii="宋体" w:hAnsi="宋体" w:cs="宋体"/>
                <w:sz w:val="21"/>
                <w:szCs w:val="21"/>
                <w:highlight w:val="none"/>
              </w:rPr>
              <w:t>日常维护</w:t>
            </w:r>
          </w:p>
        </w:tc>
        <w:tc>
          <w:tcPr>
            <w:tcW w:w="3916" w:type="dxa"/>
            <w:noWrap w:val="0"/>
            <w:vAlign w:val="center"/>
          </w:tcPr>
          <w:p w14:paraId="10A968B6">
            <w:pPr>
              <w:rPr>
                <w:rFonts w:hint="eastAsia" w:ascii="宋体" w:hAnsi="宋体" w:cs="宋体"/>
                <w:sz w:val="21"/>
                <w:szCs w:val="21"/>
                <w:highlight w:val="none"/>
              </w:rPr>
            </w:pPr>
            <w:r>
              <w:rPr>
                <w:rFonts w:hint="eastAsia" w:ascii="宋体" w:hAnsi="宋体" w:cs="宋体"/>
                <w:sz w:val="21"/>
                <w:szCs w:val="21"/>
                <w:highlight w:val="none"/>
              </w:rPr>
              <w:t>站房、辅助设备：保持站房清洁，保证监测站房内的温度、湿度满足仪器正常运行的需求，辅助设备工作正常</w:t>
            </w:r>
          </w:p>
        </w:tc>
        <w:tc>
          <w:tcPr>
            <w:tcW w:w="1074" w:type="dxa"/>
            <w:tcBorders>
              <w:right w:val="single" w:color="auto" w:sz="4" w:space="0"/>
            </w:tcBorders>
            <w:noWrap w:val="0"/>
            <w:vAlign w:val="center"/>
          </w:tcPr>
          <w:p w14:paraId="0EB43865">
            <w:pPr>
              <w:ind w:firstLine="420" w:firstLineChars="200"/>
              <w:rPr>
                <w:rFonts w:hint="eastAsia" w:ascii="宋体" w:hAnsi="宋体" w:cs="宋体"/>
                <w:sz w:val="21"/>
                <w:szCs w:val="21"/>
                <w:highlight w:val="none"/>
              </w:rPr>
            </w:pPr>
            <w:r>
              <w:rPr>
                <w:rFonts w:hint="eastAsia" w:ascii="宋体" w:hAnsi="宋体" w:cs="宋体"/>
                <w:sz w:val="21"/>
                <w:szCs w:val="21"/>
                <w:highlight w:val="none"/>
              </w:rPr>
              <w:t>5</w:t>
            </w:r>
          </w:p>
        </w:tc>
        <w:tc>
          <w:tcPr>
            <w:tcW w:w="2184" w:type="dxa"/>
            <w:tcBorders>
              <w:left w:val="single" w:color="auto" w:sz="4" w:space="0"/>
            </w:tcBorders>
            <w:noWrap w:val="0"/>
            <w:vAlign w:val="center"/>
          </w:tcPr>
          <w:p w14:paraId="0E792AA9">
            <w:pPr>
              <w:widowControl/>
              <w:rPr>
                <w:rFonts w:hint="eastAsia" w:ascii="宋体" w:hAnsi="宋体" w:cs="宋体"/>
                <w:sz w:val="21"/>
                <w:szCs w:val="21"/>
                <w:highlight w:val="none"/>
              </w:rPr>
            </w:pPr>
            <w:r>
              <w:rPr>
                <w:rFonts w:hint="eastAsia" w:ascii="宋体" w:hAnsi="宋体" w:cs="宋体"/>
                <w:sz w:val="21"/>
                <w:szCs w:val="21"/>
                <w:highlight w:val="none"/>
              </w:rPr>
              <w:t>以日常（或考核）检查/抽查为准，每发现 1 次/项扣 1 分，扣完 为止</w:t>
            </w:r>
          </w:p>
        </w:tc>
      </w:tr>
      <w:tr w14:paraId="19FE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vMerge w:val="continue"/>
            <w:noWrap w:val="0"/>
            <w:vAlign w:val="center"/>
          </w:tcPr>
          <w:p w14:paraId="2CA0C047">
            <w:pPr>
              <w:rPr>
                <w:rFonts w:hint="eastAsia" w:ascii="宋体" w:hAnsi="宋体" w:cs="宋体"/>
                <w:sz w:val="21"/>
                <w:szCs w:val="21"/>
                <w:highlight w:val="none"/>
              </w:rPr>
            </w:pPr>
          </w:p>
        </w:tc>
        <w:tc>
          <w:tcPr>
            <w:tcW w:w="3916" w:type="dxa"/>
            <w:noWrap w:val="0"/>
            <w:vAlign w:val="center"/>
          </w:tcPr>
          <w:p w14:paraId="4969790D">
            <w:pPr>
              <w:rPr>
                <w:rFonts w:hint="eastAsia" w:ascii="宋体" w:hAnsi="宋体" w:cs="宋体"/>
                <w:sz w:val="21"/>
                <w:szCs w:val="21"/>
                <w:highlight w:val="none"/>
              </w:rPr>
            </w:pPr>
            <w:r>
              <w:rPr>
                <w:rFonts w:hint="eastAsia" w:ascii="宋体" w:hAnsi="宋体" w:cs="宋体"/>
                <w:sz w:val="21"/>
                <w:szCs w:val="21"/>
                <w:highlight w:val="none"/>
              </w:rPr>
              <w:t>采水、排水及内部管路：定期维护和清洁，保证内部管路通畅，防止堵塞和泄漏</w:t>
            </w:r>
          </w:p>
        </w:tc>
        <w:tc>
          <w:tcPr>
            <w:tcW w:w="1074" w:type="dxa"/>
            <w:tcBorders>
              <w:right w:val="single" w:color="auto" w:sz="4" w:space="0"/>
            </w:tcBorders>
            <w:noWrap w:val="0"/>
            <w:vAlign w:val="center"/>
          </w:tcPr>
          <w:p w14:paraId="5A12672F">
            <w:pPr>
              <w:ind w:firstLine="420" w:firstLineChars="200"/>
              <w:rPr>
                <w:rFonts w:hint="eastAsia" w:ascii="宋体" w:hAnsi="宋体" w:cs="宋体"/>
                <w:sz w:val="21"/>
                <w:szCs w:val="21"/>
                <w:highlight w:val="none"/>
              </w:rPr>
            </w:pPr>
            <w:r>
              <w:rPr>
                <w:rFonts w:hint="eastAsia" w:ascii="宋体" w:hAnsi="宋体" w:cs="宋体"/>
                <w:sz w:val="21"/>
                <w:szCs w:val="21"/>
                <w:highlight w:val="none"/>
              </w:rPr>
              <w:t>5</w:t>
            </w:r>
          </w:p>
        </w:tc>
        <w:tc>
          <w:tcPr>
            <w:tcW w:w="2184" w:type="dxa"/>
            <w:tcBorders>
              <w:left w:val="single" w:color="auto" w:sz="4" w:space="0"/>
            </w:tcBorders>
            <w:noWrap w:val="0"/>
            <w:vAlign w:val="center"/>
          </w:tcPr>
          <w:p w14:paraId="6A43398B">
            <w:pPr>
              <w:rPr>
                <w:rFonts w:hint="eastAsia" w:ascii="宋体" w:hAnsi="宋体" w:cs="宋体"/>
                <w:sz w:val="21"/>
                <w:szCs w:val="21"/>
                <w:highlight w:val="none"/>
              </w:rPr>
            </w:pPr>
            <w:r>
              <w:rPr>
                <w:rFonts w:hint="eastAsia" w:ascii="宋体" w:hAnsi="宋体" w:cs="宋体"/>
                <w:sz w:val="21"/>
                <w:szCs w:val="21"/>
                <w:highlight w:val="none"/>
              </w:rPr>
              <w:t>以日常（或考核）检查/抽查为 准，每发现 1 次/项扣 1 分，扣完 为止</w:t>
            </w:r>
          </w:p>
        </w:tc>
      </w:tr>
      <w:tr w14:paraId="3D93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vMerge w:val="continue"/>
            <w:noWrap w:val="0"/>
            <w:vAlign w:val="center"/>
          </w:tcPr>
          <w:p w14:paraId="18575C02">
            <w:pPr>
              <w:rPr>
                <w:rFonts w:hint="eastAsia" w:ascii="宋体" w:hAnsi="宋体" w:cs="宋体"/>
                <w:sz w:val="21"/>
                <w:szCs w:val="21"/>
                <w:highlight w:val="none"/>
              </w:rPr>
            </w:pPr>
          </w:p>
        </w:tc>
        <w:tc>
          <w:tcPr>
            <w:tcW w:w="3916" w:type="dxa"/>
            <w:noWrap w:val="0"/>
            <w:vAlign w:val="center"/>
          </w:tcPr>
          <w:p w14:paraId="1BB82F62">
            <w:pPr>
              <w:rPr>
                <w:rFonts w:hint="eastAsia" w:ascii="宋体" w:hAnsi="宋体" w:cs="宋体"/>
                <w:sz w:val="21"/>
                <w:szCs w:val="21"/>
                <w:highlight w:val="none"/>
              </w:rPr>
            </w:pPr>
            <w:r>
              <w:rPr>
                <w:rFonts w:hint="eastAsia" w:ascii="宋体" w:hAnsi="宋体" w:cs="宋体"/>
                <w:sz w:val="21"/>
                <w:szCs w:val="21"/>
                <w:highlight w:val="none"/>
              </w:rPr>
              <w:t>在线监测仪：定期清洗、定期更换试剂、定期更换易损耗件、定期校准仪器</w:t>
            </w:r>
          </w:p>
        </w:tc>
        <w:tc>
          <w:tcPr>
            <w:tcW w:w="1074" w:type="dxa"/>
            <w:tcBorders>
              <w:right w:val="single" w:color="auto" w:sz="4" w:space="0"/>
            </w:tcBorders>
            <w:noWrap w:val="0"/>
            <w:vAlign w:val="center"/>
          </w:tcPr>
          <w:p w14:paraId="59CA5639">
            <w:pPr>
              <w:ind w:firstLine="420" w:firstLineChars="200"/>
              <w:rPr>
                <w:rFonts w:hint="eastAsia" w:ascii="宋体" w:hAnsi="宋体" w:cs="宋体"/>
                <w:sz w:val="21"/>
                <w:szCs w:val="21"/>
                <w:highlight w:val="none"/>
              </w:rPr>
            </w:pPr>
            <w:r>
              <w:rPr>
                <w:rFonts w:hint="eastAsia" w:ascii="宋体" w:hAnsi="宋体" w:cs="宋体"/>
                <w:sz w:val="21"/>
                <w:szCs w:val="21"/>
                <w:highlight w:val="none"/>
              </w:rPr>
              <w:t>5</w:t>
            </w:r>
          </w:p>
        </w:tc>
        <w:tc>
          <w:tcPr>
            <w:tcW w:w="2184" w:type="dxa"/>
            <w:tcBorders>
              <w:left w:val="single" w:color="auto" w:sz="4" w:space="0"/>
            </w:tcBorders>
            <w:noWrap w:val="0"/>
            <w:vAlign w:val="center"/>
          </w:tcPr>
          <w:p w14:paraId="01A12C58">
            <w:pPr>
              <w:rPr>
                <w:rFonts w:hint="eastAsia" w:ascii="宋体" w:hAnsi="宋体" w:cs="宋体"/>
                <w:sz w:val="21"/>
                <w:szCs w:val="21"/>
                <w:highlight w:val="none"/>
              </w:rPr>
            </w:pPr>
            <w:r>
              <w:rPr>
                <w:rFonts w:hint="eastAsia" w:ascii="宋体" w:hAnsi="宋体" w:cs="宋体"/>
                <w:sz w:val="21"/>
                <w:szCs w:val="21"/>
                <w:highlight w:val="none"/>
              </w:rPr>
              <w:t>以日常（或考核）检查/抽查为 准，每发现 1 次/项扣 1 分，扣完 为止</w:t>
            </w:r>
          </w:p>
        </w:tc>
      </w:tr>
      <w:tr w14:paraId="38ED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vMerge w:val="continue"/>
            <w:noWrap w:val="0"/>
            <w:vAlign w:val="center"/>
          </w:tcPr>
          <w:p w14:paraId="5B44AA62">
            <w:pPr>
              <w:rPr>
                <w:rFonts w:hint="eastAsia" w:ascii="宋体" w:hAnsi="宋体" w:cs="宋体"/>
                <w:sz w:val="21"/>
                <w:szCs w:val="21"/>
                <w:highlight w:val="none"/>
              </w:rPr>
            </w:pPr>
          </w:p>
        </w:tc>
        <w:tc>
          <w:tcPr>
            <w:tcW w:w="3916" w:type="dxa"/>
            <w:noWrap w:val="0"/>
            <w:vAlign w:val="center"/>
          </w:tcPr>
          <w:p w14:paraId="7CC588C3">
            <w:pPr>
              <w:rPr>
                <w:rFonts w:hint="eastAsia" w:ascii="宋体" w:hAnsi="宋体" w:cs="宋体"/>
                <w:sz w:val="21"/>
                <w:szCs w:val="21"/>
                <w:highlight w:val="none"/>
              </w:rPr>
            </w:pPr>
            <w:r>
              <w:rPr>
                <w:rFonts w:hint="eastAsia" w:ascii="宋体" w:hAnsi="宋体" w:cs="宋体"/>
                <w:sz w:val="21"/>
                <w:szCs w:val="21"/>
                <w:highlight w:val="none"/>
              </w:rPr>
              <w:t>电路、通信系统：保持电路、通信系统正常工作</w:t>
            </w:r>
          </w:p>
        </w:tc>
        <w:tc>
          <w:tcPr>
            <w:tcW w:w="1074" w:type="dxa"/>
            <w:tcBorders>
              <w:right w:val="single" w:color="auto" w:sz="4" w:space="0"/>
            </w:tcBorders>
            <w:noWrap w:val="0"/>
            <w:vAlign w:val="center"/>
          </w:tcPr>
          <w:p w14:paraId="3EA66340">
            <w:pPr>
              <w:ind w:firstLine="420" w:firstLineChars="200"/>
              <w:rPr>
                <w:rFonts w:hint="eastAsia" w:ascii="宋体" w:hAnsi="宋体" w:cs="宋体"/>
                <w:sz w:val="21"/>
                <w:szCs w:val="21"/>
                <w:highlight w:val="none"/>
              </w:rPr>
            </w:pPr>
            <w:r>
              <w:rPr>
                <w:rFonts w:hint="eastAsia" w:ascii="宋体" w:hAnsi="宋体" w:cs="宋体"/>
                <w:sz w:val="21"/>
                <w:szCs w:val="21"/>
                <w:highlight w:val="none"/>
              </w:rPr>
              <w:t>5</w:t>
            </w:r>
          </w:p>
        </w:tc>
        <w:tc>
          <w:tcPr>
            <w:tcW w:w="2184" w:type="dxa"/>
            <w:tcBorders>
              <w:left w:val="single" w:color="auto" w:sz="4" w:space="0"/>
            </w:tcBorders>
            <w:noWrap w:val="0"/>
            <w:vAlign w:val="center"/>
          </w:tcPr>
          <w:p w14:paraId="5A21FA97">
            <w:pPr>
              <w:rPr>
                <w:rFonts w:hint="eastAsia" w:ascii="宋体" w:hAnsi="宋体" w:cs="宋体"/>
                <w:sz w:val="21"/>
                <w:szCs w:val="21"/>
                <w:highlight w:val="none"/>
              </w:rPr>
            </w:pPr>
            <w:r>
              <w:rPr>
                <w:rFonts w:hint="eastAsia" w:ascii="宋体" w:hAnsi="宋体" w:cs="宋体"/>
                <w:sz w:val="21"/>
                <w:szCs w:val="21"/>
                <w:highlight w:val="none"/>
              </w:rPr>
              <w:t>以日常（或考核）检查/抽查为 准，每发现 1 次/项扣 1 分，扣完 为止</w:t>
            </w:r>
          </w:p>
        </w:tc>
      </w:tr>
      <w:tr w14:paraId="4688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vMerge w:val="continue"/>
            <w:noWrap w:val="0"/>
            <w:vAlign w:val="center"/>
          </w:tcPr>
          <w:p w14:paraId="1FBAF837">
            <w:pPr>
              <w:rPr>
                <w:rFonts w:hint="eastAsia" w:ascii="宋体" w:hAnsi="宋体" w:cs="宋体"/>
                <w:sz w:val="21"/>
                <w:szCs w:val="21"/>
                <w:highlight w:val="none"/>
              </w:rPr>
            </w:pPr>
          </w:p>
        </w:tc>
        <w:tc>
          <w:tcPr>
            <w:tcW w:w="3916" w:type="dxa"/>
            <w:noWrap w:val="0"/>
            <w:vAlign w:val="center"/>
          </w:tcPr>
          <w:p w14:paraId="4A32E71F">
            <w:pPr>
              <w:rPr>
                <w:rFonts w:hint="eastAsia" w:ascii="宋体" w:hAnsi="宋体" w:cs="宋体"/>
                <w:sz w:val="21"/>
                <w:szCs w:val="21"/>
                <w:highlight w:val="none"/>
              </w:rPr>
            </w:pPr>
            <w:r>
              <w:rPr>
                <w:rFonts w:hint="eastAsia" w:ascii="宋体" w:hAnsi="宋体" w:cs="宋体"/>
                <w:sz w:val="21"/>
                <w:szCs w:val="21"/>
                <w:highlight w:val="none"/>
              </w:rPr>
              <w:t>维护频率</w:t>
            </w:r>
          </w:p>
        </w:tc>
        <w:tc>
          <w:tcPr>
            <w:tcW w:w="1074" w:type="dxa"/>
            <w:tcBorders>
              <w:right w:val="single" w:color="auto" w:sz="4" w:space="0"/>
            </w:tcBorders>
            <w:noWrap w:val="0"/>
            <w:vAlign w:val="center"/>
          </w:tcPr>
          <w:p w14:paraId="52ADB92C">
            <w:pPr>
              <w:ind w:firstLine="420" w:firstLineChars="200"/>
              <w:rPr>
                <w:rFonts w:hint="eastAsia" w:ascii="宋体" w:hAnsi="宋体" w:cs="宋体"/>
                <w:sz w:val="21"/>
                <w:szCs w:val="21"/>
                <w:highlight w:val="none"/>
              </w:rPr>
            </w:pPr>
            <w:r>
              <w:rPr>
                <w:rFonts w:hint="eastAsia" w:ascii="宋体" w:hAnsi="宋体" w:cs="宋体"/>
                <w:sz w:val="21"/>
                <w:szCs w:val="21"/>
                <w:highlight w:val="none"/>
              </w:rPr>
              <w:t>5</w:t>
            </w:r>
          </w:p>
        </w:tc>
        <w:tc>
          <w:tcPr>
            <w:tcW w:w="2184" w:type="dxa"/>
            <w:tcBorders>
              <w:left w:val="single" w:color="auto" w:sz="4" w:space="0"/>
            </w:tcBorders>
            <w:noWrap w:val="0"/>
            <w:vAlign w:val="center"/>
          </w:tcPr>
          <w:p w14:paraId="05198848">
            <w:pPr>
              <w:rPr>
                <w:rFonts w:hint="eastAsia" w:ascii="宋体" w:hAnsi="宋体" w:cs="宋体"/>
                <w:sz w:val="21"/>
                <w:szCs w:val="21"/>
                <w:highlight w:val="none"/>
              </w:rPr>
            </w:pPr>
            <w:r>
              <w:rPr>
                <w:rFonts w:hint="eastAsia" w:ascii="宋体" w:hAnsi="宋体" w:cs="宋体"/>
                <w:sz w:val="21"/>
                <w:szCs w:val="21"/>
                <w:highlight w:val="none"/>
              </w:rPr>
              <w:t>以日常（或考核）检查/抽查为准，每发现 1 次/项扣 1 分，扣完 为止</w:t>
            </w:r>
          </w:p>
        </w:tc>
      </w:tr>
      <w:tr w14:paraId="4CED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vMerge w:val="continue"/>
            <w:noWrap w:val="0"/>
            <w:vAlign w:val="center"/>
          </w:tcPr>
          <w:p w14:paraId="0CD34AA9">
            <w:pPr>
              <w:rPr>
                <w:rFonts w:hint="eastAsia" w:ascii="宋体" w:hAnsi="宋体" w:cs="宋体"/>
                <w:sz w:val="21"/>
                <w:szCs w:val="21"/>
                <w:highlight w:val="none"/>
              </w:rPr>
            </w:pPr>
          </w:p>
        </w:tc>
        <w:tc>
          <w:tcPr>
            <w:tcW w:w="3916" w:type="dxa"/>
            <w:noWrap w:val="0"/>
            <w:vAlign w:val="center"/>
          </w:tcPr>
          <w:p w14:paraId="28B53B79">
            <w:pPr>
              <w:rPr>
                <w:rFonts w:hint="eastAsia" w:ascii="宋体" w:hAnsi="宋体" w:cs="宋体"/>
                <w:sz w:val="21"/>
                <w:szCs w:val="21"/>
                <w:highlight w:val="none"/>
              </w:rPr>
            </w:pPr>
            <w:r>
              <w:rPr>
                <w:rFonts w:hint="eastAsia" w:ascii="宋体" w:hAnsi="宋体" w:cs="宋体"/>
                <w:sz w:val="21"/>
                <w:szCs w:val="21"/>
                <w:highlight w:val="none"/>
              </w:rPr>
              <w:t>维修：按方案进行维修，结果满足要求</w:t>
            </w:r>
          </w:p>
        </w:tc>
        <w:tc>
          <w:tcPr>
            <w:tcW w:w="1074" w:type="dxa"/>
            <w:tcBorders>
              <w:right w:val="single" w:color="auto" w:sz="4" w:space="0"/>
            </w:tcBorders>
            <w:noWrap w:val="0"/>
            <w:vAlign w:val="center"/>
          </w:tcPr>
          <w:p w14:paraId="7DDFD9F6">
            <w:pPr>
              <w:ind w:firstLine="420" w:firstLineChars="200"/>
              <w:rPr>
                <w:rFonts w:hint="eastAsia" w:ascii="宋体" w:hAnsi="宋体" w:cs="宋体"/>
                <w:sz w:val="21"/>
                <w:szCs w:val="21"/>
                <w:highlight w:val="none"/>
              </w:rPr>
            </w:pPr>
            <w:r>
              <w:rPr>
                <w:rFonts w:hint="eastAsia" w:ascii="宋体" w:hAnsi="宋体" w:cs="宋体"/>
                <w:sz w:val="21"/>
                <w:szCs w:val="21"/>
                <w:highlight w:val="none"/>
              </w:rPr>
              <w:t>5</w:t>
            </w:r>
          </w:p>
        </w:tc>
        <w:tc>
          <w:tcPr>
            <w:tcW w:w="2184" w:type="dxa"/>
            <w:tcBorders>
              <w:left w:val="single" w:color="auto" w:sz="4" w:space="0"/>
            </w:tcBorders>
            <w:noWrap w:val="0"/>
            <w:vAlign w:val="center"/>
          </w:tcPr>
          <w:p w14:paraId="41D4C6DC">
            <w:pPr>
              <w:rPr>
                <w:rFonts w:hint="eastAsia" w:ascii="宋体" w:hAnsi="宋体" w:cs="宋体"/>
                <w:sz w:val="21"/>
                <w:szCs w:val="21"/>
                <w:highlight w:val="none"/>
              </w:rPr>
            </w:pPr>
            <w:r>
              <w:rPr>
                <w:rFonts w:hint="eastAsia" w:ascii="宋体" w:hAnsi="宋体" w:cs="宋体"/>
                <w:sz w:val="21"/>
                <w:szCs w:val="21"/>
                <w:highlight w:val="none"/>
              </w:rPr>
              <w:t>以日常（或考核）检查/抽查为 准，每发现 1 次/项扣 1 分，扣完 为止</w:t>
            </w:r>
          </w:p>
        </w:tc>
      </w:tr>
      <w:tr w14:paraId="1097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vMerge w:val="continue"/>
            <w:noWrap w:val="0"/>
            <w:vAlign w:val="center"/>
          </w:tcPr>
          <w:p w14:paraId="024143D8">
            <w:pPr>
              <w:rPr>
                <w:rFonts w:hint="eastAsia" w:ascii="宋体" w:hAnsi="宋体" w:cs="宋体"/>
                <w:sz w:val="21"/>
                <w:szCs w:val="21"/>
                <w:highlight w:val="none"/>
              </w:rPr>
            </w:pPr>
          </w:p>
        </w:tc>
        <w:tc>
          <w:tcPr>
            <w:tcW w:w="3916" w:type="dxa"/>
            <w:noWrap w:val="0"/>
            <w:vAlign w:val="center"/>
          </w:tcPr>
          <w:p w14:paraId="7BCED58F">
            <w:pPr>
              <w:rPr>
                <w:rFonts w:hint="eastAsia" w:ascii="宋体" w:hAnsi="宋体" w:cs="宋体"/>
                <w:sz w:val="21"/>
                <w:szCs w:val="21"/>
                <w:highlight w:val="none"/>
              </w:rPr>
            </w:pPr>
            <w:r>
              <w:rPr>
                <w:rFonts w:hint="eastAsia" w:ascii="宋体" w:hAnsi="宋体" w:cs="宋体"/>
                <w:sz w:val="21"/>
                <w:szCs w:val="21"/>
                <w:highlight w:val="none"/>
              </w:rPr>
              <w:t>操作人员经培训合格后持证上岗，上班时间为24小时值守</w:t>
            </w:r>
          </w:p>
        </w:tc>
        <w:tc>
          <w:tcPr>
            <w:tcW w:w="1074" w:type="dxa"/>
            <w:tcBorders>
              <w:right w:val="single" w:color="auto" w:sz="4" w:space="0"/>
            </w:tcBorders>
            <w:noWrap w:val="0"/>
            <w:vAlign w:val="center"/>
          </w:tcPr>
          <w:p w14:paraId="1433738D">
            <w:pPr>
              <w:ind w:firstLine="420" w:firstLineChars="200"/>
              <w:rPr>
                <w:rFonts w:hint="eastAsia" w:ascii="宋体" w:hAnsi="宋体" w:cs="宋体"/>
                <w:sz w:val="21"/>
                <w:szCs w:val="21"/>
                <w:highlight w:val="none"/>
              </w:rPr>
            </w:pPr>
            <w:r>
              <w:rPr>
                <w:rFonts w:hint="eastAsia" w:ascii="宋体" w:hAnsi="宋体" w:cs="宋体"/>
                <w:sz w:val="21"/>
                <w:szCs w:val="21"/>
                <w:highlight w:val="none"/>
              </w:rPr>
              <w:t>2</w:t>
            </w:r>
          </w:p>
        </w:tc>
        <w:tc>
          <w:tcPr>
            <w:tcW w:w="2184" w:type="dxa"/>
            <w:tcBorders>
              <w:left w:val="single" w:color="auto" w:sz="4" w:space="0"/>
            </w:tcBorders>
            <w:noWrap w:val="0"/>
            <w:vAlign w:val="center"/>
          </w:tcPr>
          <w:p w14:paraId="3C852DC1">
            <w:pPr>
              <w:rPr>
                <w:rFonts w:hint="eastAsia" w:ascii="宋体" w:hAnsi="宋体" w:cs="宋体"/>
                <w:sz w:val="21"/>
                <w:szCs w:val="21"/>
                <w:highlight w:val="none"/>
              </w:rPr>
            </w:pPr>
            <w:r>
              <w:rPr>
                <w:rFonts w:hint="eastAsia" w:ascii="宋体" w:hAnsi="宋体" w:cs="宋体"/>
                <w:sz w:val="21"/>
                <w:szCs w:val="21"/>
                <w:highlight w:val="none"/>
              </w:rPr>
              <w:t>不符合标准要求不得分。</w:t>
            </w:r>
          </w:p>
        </w:tc>
      </w:tr>
      <w:tr w14:paraId="3C4D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660" w:type="dxa"/>
            <w:noWrap w:val="0"/>
            <w:vAlign w:val="center"/>
          </w:tcPr>
          <w:p w14:paraId="53072A58">
            <w:pPr>
              <w:ind w:firstLine="840" w:firstLineChars="400"/>
              <w:rPr>
                <w:rFonts w:hint="eastAsia" w:ascii="宋体" w:hAnsi="宋体" w:cs="宋体"/>
                <w:sz w:val="21"/>
                <w:szCs w:val="21"/>
                <w:highlight w:val="none"/>
              </w:rPr>
            </w:pPr>
            <w:bookmarkStart w:id="15" w:name="_GoBack"/>
            <w:bookmarkEnd w:id="15"/>
            <w:r>
              <w:rPr>
                <w:rFonts w:hint="eastAsia" w:ascii="宋体" w:hAnsi="宋体" w:cs="宋体"/>
                <w:sz w:val="21"/>
                <w:szCs w:val="21"/>
                <w:highlight w:val="none"/>
              </w:rPr>
              <w:t>响应时间</w:t>
            </w:r>
          </w:p>
        </w:tc>
        <w:tc>
          <w:tcPr>
            <w:tcW w:w="3916" w:type="dxa"/>
            <w:noWrap w:val="0"/>
            <w:vAlign w:val="center"/>
          </w:tcPr>
          <w:p w14:paraId="5A01366B">
            <w:pPr>
              <w:rPr>
                <w:rFonts w:hint="eastAsia" w:ascii="宋体" w:hAnsi="宋体" w:cs="宋体"/>
                <w:sz w:val="21"/>
                <w:szCs w:val="21"/>
                <w:highlight w:val="none"/>
              </w:rPr>
            </w:pPr>
            <w:r>
              <w:rPr>
                <w:rFonts w:hint="eastAsia" w:ascii="宋体" w:hAnsi="宋体" w:cs="宋体"/>
                <w:sz w:val="21"/>
                <w:szCs w:val="21"/>
                <w:highlight w:val="none"/>
              </w:rPr>
              <w:t>服务的响应时间、备件供应时间、备机使用方式、人工数据监测等符合标准要求</w:t>
            </w:r>
          </w:p>
        </w:tc>
        <w:tc>
          <w:tcPr>
            <w:tcW w:w="1074" w:type="dxa"/>
            <w:tcBorders>
              <w:right w:val="single" w:color="auto" w:sz="4" w:space="0"/>
            </w:tcBorders>
            <w:noWrap w:val="0"/>
            <w:vAlign w:val="center"/>
          </w:tcPr>
          <w:p w14:paraId="4485289C">
            <w:pPr>
              <w:ind w:firstLine="420" w:firstLineChars="200"/>
              <w:jc w:val="center"/>
              <w:rPr>
                <w:rFonts w:hint="eastAsia" w:ascii="宋体" w:hAnsi="宋体" w:cs="宋体"/>
                <w:sz w:val="21"/>
                <w:szCs w:val="21"/>
                <w:highlight w:val="none"/>
              </w:rPr>
            </w:pPr>
            <w:r>
              <w:rPr>
                <w:rFonts w:hint="eastAsia" w:ascii="宋体" w:hAnsi="宋体" w:cs="宋体"/>
                <w:sz w:val="21"/>
                <w:szCs w:val="21"/>
                <w:highlight w:val="none"/>
              </w:rPr>
              <w:t>10</w:t>
            </w:r>
          </w:p>
        </w:tc>
        <w:tc>
          <w:tcPr>
            <w:tcW w:w="2184" w:type="dxa"/>
            <w:tcBorders>
              <w:left w:val="single" w:color="auto" w:sz="4" w:space="0"/>
            </w:tcBorders>
            <w:noWrap w:val="0"/>
            <w:vAlign w:val="top"/>
          </w:tcPr>
          <w:p w14:paraId="7B44AF87">
            <w:pPr>
              <w:widowControl/>
              <w:rPr>
                <w:rFonts w:hint="eastAsia" w:ascii="宋体" w:hAnsi="宋体" w:cs="宋体"/>
                <w:sz w:val="21"/>
                <w:szCs w:val="21"/>
                <w:highlight w:val="none"/>
              </w:rPr>
            </w:pPr>
            <w:r>
              <w:rPr>
                <w:rFonts w:hint="eastAsia" w:ascii="宋体" w:hAnsi="宋体" w:cs="宋体"/>
                <w:sz w:val="21"/>
                <w:szCs w:val="21"/>
                <w:highlight w:val="none"/>
              </w:rPr>
              <w:t xml:space="preserve">故障响应时间达不到的每次扣 1 分； </w:t>
            </w:r>
          </w:p>
          <w:p w14:paraId="7D44765E">
            <w:pPr>
              <w:widowControl/>
              <w:rPr>
                <w:rFonts w:hint="eastAsia" w:ascii="宋体" w:hAnsi="宋体" w:cs="宋体"/>
                <w:sz w:val="21"/>
                <w:szCs w:val="21"/>
                <w:highlight w:val="none"/>
              </w:rPr>
            </w:pPr>
            <w:r>
              <w:rPr>
                <w:rFonts w:hint="eastAsia" w:ascii="宋体" w:hAnsi="宋体" w:cs="宋体"/>
                <w:sz w:val="21"/>
                <w:szCs w:val="21"/>
                <w:highlight w:val="none"/>
              </w:rPr>
              <w:t xml:space="preserve">因备品备件不全或数量不足造成设 备修复超过规定时限的，每次扣 0.5 分； </w:t>
            </w:r>
          </w:p>
          <w:p w14:paraId="6D4A3B77">
            <w:pPr>
              <w:widowControl/>
              <w:rPr>
                <w:rFonts w:hint="eastAsia" w:ascii="宋体" w:hAnsi="宋体" w:cs="宋体"/>
                <w:sz w:val="21"/>
                <w:szCs w:val="21"/>
                <w:highlight w:val="none"/>
              </w:rPr>
            </w:pPr>
            <w:r>
              <w:rPr>
                <w:rFonts w:hint="eastAsia" w:ascii="宋体" w:hAnsi="宋体" w:cs="宋体"/>
                <w:sz w:val="21"/>
                <w:szCs w:val="21"/>
                <w:highlight w:val="none"/>
              </w:rPr>
              <w:t xml:space="preserve">超过规定修复时间不使用备机进行替代监测的每次扣 1 分； </w:t>
            </w:r>
          </w:p>
          <w:p w14:paraId="219BD669">
            <w:pPr>
              <w:widowControl/>
              <w:rPr>
                <w:rFonts w:hint="eastAsia" w:ascii="宋体" w:hAnsi="宋体" w:cs="宋体"/>
                <w:sz w:val="21"/>
                <w:szCs w:val="21"/>
                <w:highlight w:val="none"/>
              </w:rPr>
            </w:pPr>
            <w:r>
              <w:rPr>
                <w:rFonts w:hint="eastAsia" w:ascii="宋体" w:hAnsi="宋体" w:cs="宋体"/>
                <w:sz w:val="21"/>
                <w:szCs w:val="21"/>
                <w:highlight w:val="none"/>
              </w:rPr>
              <w:t>在仪器设备停运期间未按规定进行手工替代监测的扣 1 分。</w:t>
            </w:r>
          </w:p>
        </w:tc>
      </w:tr>
      <w:tr w14:paraId="1781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vMerge w:val="restart"/>
            <w:noWrap w:val="0"/>
            <w:vAlign w:val="center"/>
          </w:tcPr>
          <w:p w14:paraId="6B197CF8">
            <w:pPr>
              <w:rPr>
                <w:rFonts w:hint="eastAsia" w:ascii="宋体" w:hAnsi="宋体" w:cs="宋体"/>
                <w:sz w:val="21"/>
                <w:szCs w:val="21"/>
                <w:highlight w:val="none"/>
              </w:rPr>
            </w:pPr>
            <w:r>
              <w:rPr>
                <w:rFonts w:hint="eastAsia" w:ascii="宋体" w:hAnsi="宋体" w:cs="宋体"/>
                <w:sz w:val="21"/>
                <w:szCs w:val="21"/>
                <w:highlight w:val="none"/>
              </w:rPr>
              <w:t>数据要求（因现场网络故障，环保平台故障，供电异常造成的除外）</w:t>
            </w:r>
          </w:p>
        </w:tc>
        <w:tc>
          <w:tcPr>
            <w:tcW w:w="3916" w:type="dxa"/>
            <w:noWrap w:val="0"/>
            <w:vAlign w:val="center"/>
          </w:tcPr>
          <w:p w14:paraId="5C784457">
            <w:pPr>
              <w:rPr>
                <w:rFonts w:hint="eastAsia" w:ascii="宋体" w:hAnsi="宋体" w:cs="宋体"/>
                <w:sz w:val="21"/>
                <w:szCs w:val="21"/>
                <w:highlight w:val="none"/>
              </w:rPr>
            </w:pPr>
            <w:r>
              <w:rPr>
                <w:rFonts w:hint="eastAsia" w:ascii="宋体" w:hAnsi="宋体" w:cs="宋体"/>
                <w:sz w:val="21"/>
                <w:szCs w:val="21"/>
                <w:highlight w:val="none"/>
              </w:rPr>
              <w:t>数据数量：满足标准要求（因现场网络故障，环保平台故障，供电异常造成的除外）</w:t>
            </w:r>
          </w:p>
        </w:tc>
        <w:tc>
          <w:tcPr>
            <w:tcW w:w="1074" w:type="dxa"/>
            <w:tcBorders>
              <w:right w:val="single" w:color="auto" w:sz="4" w:space="0"/>
            </w:tcBorders>
            <w:noWrap w:val="0"/>
            <w:vAlign w:val="center"/>
          </w:tcPr>
          <w:p w14:paraId="3EF96337">
            <w:pPr>
              <w:ind w:firstLine="420" w:firstLineChars="200"/>
              <w:jc w:val="center"/>
              <w:rPr>
                <w:rFonts w:hint="eastAsia" w:ascii="宋体" w:hAnsi="宋体" w:cs="宋体"/>
                <w:sz w:val="21"/>
                <w:szCs w:val="21"/>
                <w:highlight w:val="none"/>
              </w:rPr>
            </w:pPr>
            <w:r>
              <w:rPr>
                <w:rFonts w:hint="eastAsia" w:ascii="宋体" w:hAnsi="宋体" w:cs="宋体"/>
                <w:sz w:val="21"/>
                <w:szCs w:val="21"/>
                <w:highlight w:val="none"/>
              </w:rPr>
              <w:t>6</w:t>
            </w:r>
          </w:p>
        </w:tc>
        <w:tc>
          <w:tcPr>
            <w:tcW w:w="2184" w:type="dxa"/>
            <w:tcBorders>
              <w:left w:val="single" w:color="auto" w:sz="4" w:space="0"/>
            </w:tcBorders>
            <w:noWrap w:val="0"/>
            <w:vAlign w:val="top"/>
          </w:tcPr>
          <w:p w14:paraId="3BA51F7B">
            <w:pPr>
              <w:ind w:firstLine="420" w:firstLineChars="200"/>
              <w:rPr>
                <w:rFonts w:hint="eastAsia" w:ascii="宋体" w:hAnsi="宋体" w:cs="宋体"/>
                <w:sz w:val="21"/>
                <w:szCs w:val="21"/>
                <w:highlight w:val="none"/>
              </w:rPr>
            </w:pPr>
          </w:p>
        </w:tc>
      </w:tr>
      <w:tr w14:paraId="5D12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vMerge w:val="continue"/>
            <w:noWrap w:val="0"/>
            <w:vAlign w:val="center"/>
          </w:tcPr>
          <w:p w14:paraId="68F53CD6">
            <w:pPr>
              <w:ind w:firstLine="420" w:firstLineChars="200"/>
              <w:rPr>
                <w:rFonts w:hint="eastAsia" w:ascii="宋体" w:hAnsi="宋体" w:cs="宋体"/>
                <w:sz w:val="21"/>
                <w:szCs w:val="21"/>
                <w:highlight w:val="none"/>
              </w:rPr>
            </w:pPr>
          </w:p>
        </w:tc>
        <w:tc>
          <w:tcPr>
            <w:tcW w:w="3916" w:type="dxa"/>
            <w:noWrap w:val="0"/>
            <w:vAlign w:val="center"/>
          </w:tcPr>
          <w:p w14:paraId="151C0C75">
            <w:pPr>
              <w:rPr>
                <w:rFonts w:hint="eastAsia" w:ascii="宋体" w:hAnsi="宋体" w:cs="宋体"/>
                <w:sz w:val="21"/>
                <w:szCs w:val="21"/>
                <w:highlight w:val="none"/>
              </w:rPr>
            </w:pPr>
            <w:r>
              <w:rPr>
                <w:rFonts w:hint="eastAsia" w:ascii="宋体" w:hAnsi="宋体" w:cs="宋体"/>
                <w:sz w:val="21"/>
                <w:szCs w:val="21"/>
                <w:highlight w:val="none"/>
              </w:rPr>
              <w:t>设备运转率：满足标准要求</w:t>
            </w:r>
          </w:p>
        </w:tc>
        <w:tc>
          <w:tcPr>
            <w:tcW w:w="1074" w:type="dxa"/>
            <w:tcBorders>
              <w:right w:val="single" w:color="auto" w:sz="4" w:space="0"/>
            </w:tcBorders>
            <w:noWrap w:val="0"/>
            <w:vAlign w:val="center"/>
          </w:tcPr>
          <w:p w14:paraId="3EF9DFFD">
            <w:pPr>
              <w:ind w:firstLine="420" w:firstLineChars="200"/>
              <w:jc w:val="center"/>
              <w:rPr>
                <w:rFonts w:hint="eastAsia" w:ascii="宋体" w:hAnsi="宋体" w:cs="宋体"/>
                <w:sz w:val="21"/>
                <w:szCs w:val="21"/>
                <w:highlight w:val="none"/>
              </w:rPr>
            </w:pPr>
            <w:r>
              <w:rPr>
                <w:rFonts w:hint="eastAsia" w:ascii="宋体" w:hAnsi="宋体" w:cs="宋体"/>
                <w:sz w:val="21"/>
                <w:szCs w:val="21"/>
                <w:highlight w:val="none"/>
              </w:rPr>
              <w:t>6</w:t>
            </w:r>
          </w:p>
        </w:tc>
        <w:tc>
          <w:tcPr>
            <w:tcW w:w="2184" w:type="dxa"/>
            <w:tcBorders>
              <w:left w:val="single" w:color="auto" w:sz="4" w:space="0"/>
            </w:tcBorders>
            <w:noWrap w:val="0"/>
            <w:vAlign w:val="top"/>
          </w:tcPr>
          <w:p w14:paraId="31A7DD96">
            <w:pPr>
              <w:ind w:firstLine="420" w:firstLineChars="200"/>
              <w:rPr>
                <w:rFonts w:hint="eastAsia" w:ascii="宋体" w:hAnsi="宋体" w:cs="宋体"/>
                <w:sz w:val="21"/>
                <w:szCs w:val="21"/>
                <w:highlight w:val="none"/>
              </w:rPr>
            </w:pPr>
          </w:p>
        </w:tc>
      </w:tr>
      <w:tr w14:paraId="65E0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vMerge w:val="continue"/>
            <w:noWrap w:val="0"/>
            <w:vAlign w:val="center"/>
          </w:tcPr>
          <w:p w14:paraId="1B9B965A">
            <w:pPr>
              <w:ind w:firstLine="420" w:firstLineChars="200"/>
              <w:rPr>
                <w:rFonts w:hint="eastAsia" w:ascii="宋体" w:hAnsi="宋体" w:cs="宋体"/>
                <w:sz w:val="21"/>
                <w:szCs w:val="21"/>
                <w:highlight w:val="none"/>
              </w:rPr>
            </w:pPr>
          </w:p>
        </w:tc>
        <w:tc>
          <w:tcPr>
            <w:tcW w:w="3916" w:type="dxa"/>
            <w:noWrap w:val="0"/>
            <w:vAlign w:val="center"/>
          </w:tcPr>
          <w:p w14:paraId="1274DE4F">
            <w:pPr>
              <w:rPr>
                <w:rFonts w:hint="eastAsia" w:ascii="宋体" w:hAnsi="宋体" w:cs="宋体"/>
                <w:sz w:val="21"/>
                <w:szCs w:val="21"/>
                <w:highlight w:val="none"/>
              </w:rPr>
            </w:pPr>
            <w:r>
              <w:rPr>
                <w:rFonts w:hint="eastAsia" w:ascii="宋体" w:hAnsi="宋体" w:cs="宋体"/>
                <w:sz w:val="21"/>
                <w:szCs w:val="21"/>
                <w:highlight w:val="none"/>
              </w:rPr>
              <w:t>仪器技术指标：满足标准要求</w:t>
            </w:r>
          </w:p>
        </w:tc>
        <w:tc>
          <w:tcPr>
            <w:tcW w:w="1074" w:type="dxa"/>
            <w:tcBorders>
              <w:right w:val="single" w:color="auto" w:sz="4" w:space="0"/>
            </w:tcBorders>
            <w:noWrap w:val="0"/>
            <w:vAlign w:val="center"/>
          </w:tcPr>
          <w:p w14:paraId="4D36EE68">
            <w:pPr>
              <w:ind w:firstLine="420" w:firstLineChars="200"/>
              <w:jc w:val="center"/>
              <w:rPr>
                <w:rFonts w:hint="eastAsia" w:ascii="宋体" w:hAnsi="宋体" w:cs="宋体"/>
                <w:sz w:val="21"/>
                <w:szCs w:val="21"/>
                <w:highlight w:val="none"/>
              </w:rPr>
            </w:pPr>
            <w:r>
              <w:rPr>
                <w:rFonts w:hint="eastAsia" w:ascii="宋体" w:hAnsi="宋体" w:cs="宋体"/>
                <w:sz w:val="21"/>
                <w:szCs w:val="21"/>
                <w:highlight w:val="none"/>
              </w:rPr>
              <w:t>5</w:t>
            </w:r>
          </w:p>
        </w:tc>
        <w:tc>
          <w:tcPr>
            <w:tcW w:w="2184" w:type="dxa"/>
            <w:tcBorders>
              <w:left w:val="single" w:color="auto" w:sz="4" w:space="0"/>
            </w:tcBorders>
            <w:noWrap w:val="0"/>
            <w:vAlign w:val="top"/>
          </w:tcPr>
          <w:p w14:paraId="2F8C654F">
            <w:pPr>
              <w:ind w:firstLine="420" w:firstLineChars="200"/>
              <w:rPr>
                <w:rFonts w:hint="eastAsia" w:ascii="宋体" w:hAnsi="宋体" w:cs="宋体"/>
                <w:sz w:val="21"/>
                <w:szCs w:val="21"/>
                <w:highlight w:val="none"/>
              </w:rPr>
            </w:pPr>
          </w:p>
        </w:tc>
      </w:tr>
      <w:tr w14:paraId="2424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vMerge w:val="continue"/>
            <w:noWrap w:val="0"/>
            <w:vAlign w:val="center"/>
          </w:tcPr>
          <w:p w14:paraId="0DD44561">
            <w:pPr>
              <w:ind w:firstLine="420" w:firstLineChars="200"/>
              <w:rPr>
                <w:rFonts w:hint="eastAsia" w:ascii="宋体" w:hAnsi="宋体" w:cs="宋体"/>
                <w:sz w:val="21"/>
                <w:szCs w:val="21"/>
                <w:highlight w:val="none"/>
              </w:rPr>
            </w:pPr>
          </w:p>
        </w:tc>
        <w:tc>
          <w:tcPr>
            <w:tcW w:w="3916" w:type="dxa"/>
            <w:noWrap w:val="0"/>
            <w:vAlign w:val="center"/>
          </w:tcPr>
          <w:p w14:paraId="65E32345">
            <w:pPr>
              <w:rPr>
                <w:rFonts w:hint="eastAsia" w:ascii="宋体" w:hAnsi="宋体" w:cs="宋体"/>
                <w:sz w:val="21"/>
                <w:szCs w:val="21"/>
                <w:highlight w:val="none"/>
              </w:rPr>
            </w:pPr>
            <w:r>
              <w:rPr>
                <w:rFonts w:hint="eastAsia" w:ascii="宋体" w:hAnsi="宋体" w:cs="宋体"/>
                <w:sz w:val="21"/>
                <w:szCs w:val="21"/>
                <w:highlight w:val="none"/>
              </w:rPr>
              <w:t>无故障运行时间：满足标准要求</w:t>
            </w:r>
          </w:p>
        </w:tc>
        <w:tc>
          <w:tcPr>
            <w:tcW w:w="1074" w:type="dxa"/>
            <w:tcBorders>
              <w:right w:val="single" w:color="auto" w:sz="4" w:space="0"/>
            </w:tcBorders>
            <w:noWrap w:val="0"/>
            <w:vAlign w:val="center"/>
          </w:tcPr>
          <w:p w14:paraId="72F7AB34">
            <w:pPr>
              <w:ind w:firstLine="420" w:firstLineChars="200"/>
              <w:jc w:val="center"/>
              <w:rPr>
                <w:rFonts w:hint="eastAsia" w:ascii="宋体" w:hAnsi="宋体" w:cs="宋体"/>
                <w:sz w:val="21"/>
                <w:szCs w:val="21"/>
                <w:highlight w:val="none"/>
              </w:rPr>
            </w:pPr>
            <w:r>
              <w:rPr>
                <w:rFonts w:hint="eastAsia" w:ascii="宋体" w:hAnsi="宋体" w:cs="宋体"/>
                <w:sz w:val="21"/>
                <w:szCs w:val="21"/>
                <w:highlight w:val="none"/>
              </w:rPr>
              <w:t>3</w:t>
            </w:r>
          </w:p>
        </w:tc>
        <w:tc>
          <w:tcPr>
            <w:tcW w:w="2184" w:type="dxa"/>
            <w:tcBorders>
              <w:left w:val="single" w:color="auto" w:sz="4" w:space="0"/>
            </w:tcBorders>
            <w:noWrap w:val="0"/>
            <w:vAlign w:val="top"/>
          </w:tcPr>
          <w:p w14:paraId="4AECD8A0">
            <w:pPr>
              <w:ind w:firstLine="420" w:firstLineChars="200"/>
              <w:rPr>
                <w:rFonts w:hint="eastAsia" w:ascii="宋体" w:hAnsi="宋体" w:cs="宋体"/>
                <w:sz w:val="21"/>
                <w:szCs w:val="21"/>
                <w:highlight w:val="none"/>
              </w:rPr>
            </w:pPr>
          </w:p>
        </w:tc>
      </w:tr>
      <w:tr w14:paraId="74BA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vMerge w:val="restart"/>
            <w:noWrap w:val="0"/>
            <w:vAlign w:val="center"/>
          </w:tcPr>
          <w:p w14:paraId="6462206F">
            <w:pPr>
              <w:ind w:firstLine="420" w:firstLineChars="200"/>
              <w:rPr>
                <w:rFonts w:hint="eastAsia" w:ascii="宋体" w:hAnsi="宋体" w:cs="宋体"/>
                <w:sz w:val="21"/>
                <w:szCs w:val="21"/>
                <w:highlight w:val="none"/>
              </w:rPr>
            </w:pPr>
            <w:r>
              <w:rPr>
                <w:rFonts w:hint="eastAsia" w:ascii="宋体" w:hAnsi="宋体" w:cs="宋体"/>
                <w:sz w:val="21"/>
                <w:szCs w:val="21"/>
                <w:highlight w:val="none"/>
              </w:rPr>
              <w:t>运行档案与记录</w:t>
            </w:r>
          </w:p>
          <w:p w14:paraId="6D219437">
            <w:pPr>
              <w:ind w:firstLine="420" w:firstLineChars="200"/>
              <w:rPr>
                <w:rFonts w:hint="eastAsia" w:ascii="宋体" w:hAnsi="宋体" w:cs="宋体"/>
                <w:sz w:val="21"/>
                <w:szCs w:val="21"/>
                <w:highlight w:val="none"/>
              </w:rPr>
            </w:pPr>
          </w:p>
        </w:tc>
        <w:tc>
          <w:tcPr>
            <w:tcW w:w="3916" w:type="dxa"/>
            <w:noWrap w:val="0"/>
            <w:vAlign w:val="center"/>
          </w:tcPr>
          <w:p w14:paraId="2FDD91E6">
            <w:pPr>
              <w:widowControl/>
              <w:rPr>
                <w:rFonts w:hint="eastAsia" w:ascii="宋体" w:hAnsi="宋体" w:cs="宋体"/>
                <w:sz w:val="21"/>
                <w:szCs w:val="21"/>
                <w:highlight w:val="none"/>
              </w:rPr>
            </w:pPr>
            <w:r>
              <w:rPr>
                <w:rFonts w:hint="eastAsia" w:ascii="宋体" w:hAnsi="宋体" w:cs="宋体"/>
                <w:sz w:val="21"/>
                <w:szCs w:val="21"/>
                <w:highlight w:val="none"/>
              </w:rPr>
              <w:t>仪器操作说明或维护技术要求：有仪器操作使用说明及维护规程，记录清晰、完整，符合标准要求。</w:t>
            </w:r>
          </w:p>
        </w:tc>
        <w:tc>
          <w:tcPr>
            <w:tcW w:w="1074" w:type="dxa"/>
            <w:tcBorders>
              <w:right w:val="single" w:color="auto" w:sz="4" w:space="0"/>
            </w:tcBorders>
            <w:noWrap w:val="0"/>
            <w:vAlign w:val="center"/>
          </w:tcPr>
          <w:p w14:paraId="5D61E126">
            <w:pPr>
              <w:ind w:firstLine="420" w:firstLineChars="200"/>
              <w:jc w:val="center"/>
              <w:rPr>
                <w:rFonts w:hint="eastAsia" w:ascii="宋体" w:hAnsi="宋体" w:cs="宋体"/>
                <w:sz w:val="21"/>
                <w:szCs w:val="21"/>
                <w:highlight w:val="none"/>
              </w:rPr>
            </w:pPr>
            <w:r>
              <w:rPr>
                <w:rFonts w:hint="eastAsia" w:ascii="宋体" w:hAnsi="宋体" w:cs="宋体"/>
                <w:sz w:val="21"/>
                <w:szCs w:val="21"/>
                <w:highlight w:val="none"/>
              </w:rPr>
              <w:t>3</w:t>
            </w:r>
          </w:p>
        </w:tc>
        <w:tc>
          <w:tcPr>
            <w:tcW w:w="2184" w:type="dxa"/>
            <w:tcBorders>
              <w:left w:val="single" w:color="auto" w:sz="4" w:space="0"/>
            </w:tcBorders>
            <w:noWrap w:val="0"/>
            <w:vAlign w:val="top"/>
          </w:tcPr>
          <w:p w14:paraId="73A0BB45">
            <w:pPr>
              <w:widowControl/>
              <w:rPr>
                <w:rFonts w:hint="eastAsia" w:ascii="宋体" w:hAnsi="宋体" w:cs="宋体"/>
                <w:sz w:val="21"/>
                <w:szCs w:val="21"/>
                <w:highlight w:val="none"/>
              </w:rPr>
            </w:pPr>
            <w:r>
              <w:rPr>
                <w:rFonts w:hint="eastAsia" w:ascii="宋体" w:hAnsi="宋体" w:cs="宋体"/>
                <w:sz w:val="21"/>
                <w:szCs w:val="21"/>
                <w:highlight w:val="none"/>
              </w:rPr>
              <w:t>完全符合要求的，得满分。无任何技术档案的，一票否决。</w:t>
            </w:r>
          </w:p>
        </w:tc>
      </w:tr>
      <w:tr w14:paraId="4822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vMerge w:val="continue"/>
            <w:noWrap w:val="0"/>
            <w:vAlign w:val="center"/>
          </w:tcPr>
          <w:p w14:paraId="76C358AC">
            <w:pPr>
              <w:ind w:firstLine="420" w:firstLineChars="200"/>
              <w:rPr>
                <w:rFonts w:hint="eastAsia" w:ascii="宋体" w:hAnsi="宋体" w:cs="宋体"/>
                <w:sz w:val="21"/>
                <w:szCs w:val="21"/>
                <w:highlight w:val="none"/>
              </w:rPr>
            </w:pPr>
          </w:p>
        </w:tc>
        <w:tc>
          <w:tcPr>
            <w:tcW w:w="3916" w:type="dxa"/>
            <w:noWrap w:val="0"/>
            <w:vAlign w:val="center"/>
          </w:tcPr>
          <w:p w14:paraId="101059D5">
            <w:pPr>
              <w:widowControl/>
              <w:rPr>
                <w:rFonts w:hint="eastAsia" w:ascii="宋体" w:hAnsi="宋体" w:cs="宋体"/>
                <w:sz w:val="21"/>
                <w:szCs w:val="21"/>
                <w:highlight w:val="none"/>
              </w:rPr>
            </w:pPr>
            <w:r>
              <w:rPr>
                <w:rFonts w:hint="eastAsia" w:ascii="宋体" w:hAnsi="宋体" w:cs="宋体"/>
                <w:sz w:val="21"/>
                <w:szCs w:val="21"/>
                <w:highlight w:val="none"/>
              </w:rPr>
              <w:t>日常维护记录：运行维护、校验、比对、检修、停运、保养等记录清晰、完整，符合标准要求，月度运维报告和台账及时提交。</w:t>
            </w:r>
          </w:p>
        </w:tc>
        <w:tc>
          <w:tcPr>
            <w:tcW w:w="1074" w:type="dxa"/>
            <w:tcBorders>
              <w:right w:val="single" w:color="auto" w:sz="4" w:space="0"/>
            </w:tcBorders>
            <w:noWrap w:val="0"/>
            <w:vAlign w:val="center"/>
          </w:tcPr>
          <w:p w14:paraId="658DB610">
            <w:pPr>
              <w:ind w:firstLine="420" w:firstLineChars="200"/>
              <w:jc w:val="center"/>
              <w:rPr>
                <w:rFonts w:hint="eastAsia" w:ascii="宋体" w:hAnsi="宋体" w:cs="宋体"/>
                <w:sz w:val="21"/>
                <w:szCs w:val="21"/>
                <w:highlight w:val="none"/>
              </w:rPr>
            </w:pPr>
            <w:r>
              <w:rPr>
                <w:rFonts w:hint="eastAsia" w:ascii="宋体" w:hAnsi="宋体" w:cs="宋体"/>
                <w:sz w:val="21"/>
                <w:szCs w:val="21"/>
                <w:highlight w:val="none"/>
              </w:rPr>
              <w:t>12</w:t>
            </w:r>
          </w:p>
        </w:tc>
        <w:tc>
          <w:tcPr>
            <w:tcW w:w="2184" w:type="dxa"/>
            <w:tcBorders>
              <w:left w:val="single" w:color="auto" w:sz="4" w:space="0"/>
            </w:tcBorders>
            <w:noWrap w:val="0"/>
            <w:vAlign w:val="top"/>
          </w:tcPr>
          <w:p w14:paraId="7E2855CF">
            <w:pPr>
              <w:widowControl/>
              <w:rPr>
                <w:rFonts w:hint="eastAsia" w:ascii="宋体" w:hAnsi="宋体" w:cs="宋体"/>
                <w:sz w:val="21"/>
                <w:szCs w:val="21"/>
                <w:highlight w:val="none"/>
              </w:rPr>
            </w:pPr>
            <w:r>
              <w:rPr>
                <w:rFonts w:hint="eastAsia" w:ascii="宋体" w:hAnsi="宋体" w:cs="宋体"/>
                <w:sz w:val="21"/>
                <w:szCs w:val="21"/>
                <w:highlight w:val="none"/>
              </w:rPr>
              <w:t>1 项不符合要求扣 1 分。本项得分低于 2 分，一票否决。</w:t>
            </w:r>
          </w:p>
        </w:tc>
      </w:tr>
      <w:tr w14:paraId="26D6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vMerge w:val="continue"/>
            <w:noWrap w:val="0"/>
            <w:vAlign w:val="center"/>
          </w:tcPr>
          <w:p w14:paraId="51658B16">
            <w:pPr>
              <w:ind w:firstLine="420" w:firstLineChars="200"/>
              <w:rPr>
                <w:rFonts w:hint="eastAsia" w:ascii="宋体" w:hAnsi="宋体" w:cs="宋体"/>
                <w:sz w:val="21"/>
                <w:szCs w:val="21"/>
                <w:highlight w:val="none"/>
              </w:rPr>
            </w:pPr>
          </w:p>
        </w:tc>
        <w:tc>
          <w:tcPr>
            <w:tcW w:w="3916" w:type="dxa"/>
            <w:noWrap w:val="0"/>
            <w:vAlign w:val="center"/>
          </w:tcPr>
          <w:p w14:paraId="415486D6">
            <w:pPr>
              <w:widowControl/>
              <w:rPr>
                <w:rFonts w:hint="eastAsia" w:ascii="宋体" w:hAnsi="宋体" w:cs="宋体"/>
                <w:sz w:val="21"/>
                <w:szCs w:val="21"/>
                <w:highlight w:val="none"/>
              </w:rPr>
            </w:pPr>
            <w:r>
              <w:rPr>
                <w:rFonts w:hint="eastAsia" w:ascii="宋体" w:hAnsi="宋体" w:cs="宋体"/>
                <w:sz w:val="21"/>
                <w:szCs w:val="21"/>
                <w:highlight w:val="none"/>
              </w:rPr>
              <w:t>按要求建立运行维护的操作管理制度。</w:t>
            </w:r>
          </w:p>
        </w:tc>
        <w:tc>
          <w:tcPr>
            <w:tcW w:w="1074" w:type="dxa"/>
            <w:tcBorders>
              <w:right w:val="single" w:color="auto" w:sz="4" w:space="0"/>
            </w:tcBorders>
            <w:noWrap w:val="0"/>
            <w:vAlign w:val="center"/>
          </w:tcPr>
          <w:p w14:paraId="3DD7185E">
            <w:pPr>
              <w:ind w:firstLine="420" w:firstLineChars="200"/>
              <w:jc w:val="center"/>
              <w:rPr>
                <w:rFonts w:hint="eastAsia" w:ascii="宋体" w:hAnsi="宋体" w:cs="宋体"/>
                <w:sz w:val="21"/>
                <w:szCs w:val="21"/>
                <w:highlight w:val="none"/>
              </w:rPr>
            </w:pPr>
            <w:r>
              <w:rPr>
                <w:rFonts w:hint="eastAsia" w:ascii="宋体" w:hAnsi="宋体" w:cs="宋体"/>
                <w:sz w:val="21"/>
                <w:szCs w:val="21"/>
                <w:highlight w:val="none"/>
              </w:rPr>
              <w:t>3</w:t>
            </w:r>
          </w:p>
        </w:tc>
        <w:tc>
          <w:tcPr>
            <w:tcW w:w="2184" w:type="dxa"/>
            <w:tcBorders>
              <w:left w:val="single" w:color="auto" w:sz="4" w:space="0"/>
            </w:tcBorders>
            <w:noWrap w:val="0"/>
            <w:vAlign w:val="top"/>
          </w:tcPr>
          <w:p w14:paraId="618B1B8C">
            <w:pPr>
              <w:widowControl/>
              <w:rPr>
                <w:rFonts w:hint="eastAsia" w:ascii="宋体" w:hAnsi="宋体" w:cs="宋体"/>
                <w:sz w:val="21"/>
                <w:szCs w:val="21"/>
                <w:highlight w:val="none"/>
              </w:rPr>
            </w:pPr>
            <w:r>
              <w:rPr>
                <w:rFonts w:hint="eastAsia" w:ascii="宋体" w:hAnsi="宋体" w:cs="宋体"/>
                <w:sz w:val="21"/>
                <w:szCs w:val="21"/>
                <w:highlight w:val="none"/>
              </w:rPr>
              <w:t>有管理制度但未进行张贴得 2 分， 无管理制度一票否决</w:t>
            </w:r>
          </w:p>
        </w:tc>
      </w:tr>
      <w:tr w14:paraId="440B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noWrap w:val="0"/>
            <w:vAlign w:val="center"/>
          </w:tcPr>
          <w:p w14:paraId="1E5D2F86">
            <w:pPr>
              <w:ind w:firstLine="420" w:firstLineChars="200"/>
              <w:rPr>
                <w:rFonts w:hint="eastAsia" w:ascii="宋体" w:hAnsi="宋体" w:cs="宋体"/>
                <w:sz w:val="21"/>
                <w:szCs w:val="21"/>
                <w:highlight w:val="none"/>
              </w:rPr>
            </w:pPr>
            <w:r>
              <w:rPr>
                <w:rFonts w:hint="eastAsia" w:ascii="宋体" w:hAnsi="宋体" w:cs="宋体"/>
                <w:sz w:val="21"/>
                <w:szCs w:val="21"/>
                <w:highlight w:val="none"/>
              </w:rPr>
              <w:t>▲废液处理</w:t>
            </w:r>
          </w:p>
        </w:tc>
        <w:tc>
          <w:tcPr>
            <w:tcW w:w="3916" w:type="dxa"/>
            <w:noWrap w:val="0"/>
            <w:vAlign w:val="center"/>
          </w:tcPr>
          <w:p w14:paraId="6B7E03BC">
            <w:pPr>
              <w:rPr>
                <w:rFonts w:hint="eastAsia" w:ascii="宋体" w:hAnsi="宋体" w:cs="宋体"/>
                <w:sz w:val="21"/>
                <w:szCs w:val="21"/>
                <w:highlight w:val="none"/>
              </w:rPr>
            </w:pPr>
            <w:r>
              <w:rPr>
                <w:rFonts w:hint="eastAsia" w:ascii="宋体" w:hAnsi="宋体" w:cs="宋体"/>
                <w:sz w:val="21"/>
                <w:szCs w:val="21"/>
                <w:highlight w:val="none"/>
              </w:rPr>
              <w:t>委托有资质的公司对水质分析仪分析所产生的废液进行收集、运输、装卸、过磅、清理，服务期内</w:t>
            </w:r>
            <w:r>
              <w:rPr>
                <w:rFonts w:hint="eastAsia" w:ascii="宋体" w:hAnsi="宋体" w:eastAsia="宋体" w:cs="宋体"/>
                <w:sz w:val="21"/>
                <w:szCs w:val="21"/>
                <w:highlight w:val="none"/>
                <w:lang w:eastAsia="zh-CN"/>
              </w:rPr>
              <w:t>乙方</w:t>
            </w:r>
            <w:r>
              <w:rPr>
                <w:rFonts w:hint="eastAsia" w:ascii="宋体" w:hAnsi="宋体" w:cs="宋体"/>
                <w:sz w:val="21"/>
                <w:szCs w:val="21"/>
                <w:highlight w:val="none"/>
              </w:rPr>
              <w:t>必须提供有效的废物委托处理合同复印件。该单位应依照《危险废物转移管理办法》及地方环保行政主管部门有关要求，完成相关信息平台的危险废物管理计划、危废台账登记、危废申报等工作，依法依规转移、处理、处置危险废物。</w:t>
            </w:r>
          </w:p>
        </w:tc>
        <w:tc>
          <w:tcPr>
            <w:tcW w:w="1074" w:type="dxa"/>
            <w:tcBorders>
              <w:right w:val="single" w:color="auto" w:sz="4" w:space="0"/>
            </w:tcBorders>
            <w:noWrap w:val="0"/>
            <w:vAlign w:val="center"/>
          </w:tcPr>
          <w:p w14:paraId="0F9AFAC0">
            <w:pPr>
              <w:ind w:firstLine="420" w:firstLineChars="200"/>
              <w:jc w:val="center"/>
              <w:rPr>
                <w:rFonts w:hint="eastAsia" w:ascii="宋体" w:hAnsi="宋体" w:cs="宋体"/>
                <w:sz w:val="21"/>
                <w:szCs w:val="21"/>
                <w:highlight w:val="none"/>
              </w:rPr>
            </w:pPr>
            <w:r>
              <w:rPr>
                <w:rFonts w:hint="eastAsia" w:ascii="宋体" w:hAnsi="宋体" w:cs="宋体"/>
                <w:sz w:val="21"/>
                <w:szCs w:val="21"/>
                <w:highlight w:val="none"/>
              </w:rPr>
              <w:t>10</w:t>
            </w:r>
          </w:p>
        </w:tc>
        <w:tc>
          <w:tcPr>
            <w:tcW w:w="2184" w:type="dxa"/>
            <w:tcBorders>
              <w:left w:val="single" w:color="auto" w:sz="4" w:space="0"/>
            </w:tcBorders>
            <w:noWrap w:val="0"/>
            <w:vAlign w:val="top"/>
          </w:tcPr>
          <w:p w14:paraId="19F94574">
            <w:pPr>
              <w:rPr>
                <w:rFonts w:hint="eastAsia" w:ascii="宋体" w:hAnsi="宋体" w:cs="宋体"/>
                <w:sz w:val="21"/>
                <w:szCs w:val="21"/>
                <w:highlight w:val="none"/>
              </w:rPr>
            </w:pPr>
            <w:r>
              <w:rPr>
                <w:rFonts w:hint="eastAsia" w:ascii="宋体" w:hAnsi="宋体" w:cs="宋体"/>
                <w:sz w:val="21"/>
                <w:szCs w:val="21"/>
                <w:highlight w:val="none"/>
              </w:rPr>
              <w:t>不符合要求一票否决</w:t>
            </w:r>
          </w:p>
          <w:p w14:paraId="4A427E35">
            <w:pPr>
              <w:rPr>
                <w:rFonts w:hint="eastAsia" w:ascii="宋体" w:hAnsi="宋体" w:cs="宋体"/>
                <w:sz w:val="21"/>
                <w:szCs w:val="21"/>
                <w:highlight w:val="none"/>
              </w:rPr>
            </w:pPr>
          </w:p>
        </w:tc>
      </w:tr>
      <w:tr w14:paraId="55CA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vMerge w:val="restart"/>
            <w:noWrap w:val="0"/>
            <w:vAlign w:val="center"/>
          </w:tcPr>
          <w:p w14:paraId="76B5859E">
            <w:pPr>
              <w:ind w:firstLine="420" w:firstLineChars="200"/>
              <w:rPr>
                <w:rFonts w:hint="eastAsia" w:ascii="宋体" w:hAnsi="宋体" w:cs="宋体"/>
                <w:sz w:val="21"/>
                <w:szCs w:val="21"/>
                <w:highlight w:val="none"/>
              </w:rPr>
            </w:pPr>
            <w:r>
              <w:rPr>
                <w:rFonts w:hint="eastAsia" w:ascii="宋体" w:hAnsi="宋体" w:cs="宋体"/>
                <w:sz w:val="21"/>
                <w:szCs w:val="21"/>
                <w:highlight w:val="none"/>
              </w:rPr>
              <w:t>其他</w:t>
            </w:r>
          </w:p>
        </w:tc>
        <w:tc>
          <w:tcPr>
            <w:tcW w:w="3916" w:type="dxa"/>
            <w:noWrap w:val="0"/>
            <w:vAlign w:val="center"/>
          </w:tcPr>
          <w:p w14:paraId="3E321AB3">
            <w:pPr>
              <w:rPr>
                <w:rFonts w:hint="eastAsia" w:ascii="宋体" w:hAnsi="宋体" w:cs="宋体"/>
                <w:sz w:val="21"/>
                <w:szCs w:val="21"/>
                <w:highlight w:val="none"/>
              </w:rPr>
            </w:pPr>
            <w:r>
              <w:rPr>
                <w:rFonts w:hint="eastAsia" w:ascii="宋体" w:hAnsi="宋体" w:cs="宋体"/>
                <w:sz w:val="21"/>
                <w:szCs w:val="21"/>
                <w:highlight w:val="none"/>
              </w:rPr>
              <w:t>因</w:t>
            </w:r>
            <w:r>
              <w:rPr>
                <w:rFonts w:hint="eastAsia" w:ascii="宋体" w:hAnsi="宋体" w:eastAsia="宋体" w:cs="宋体"/>
                <w:sz w:val="21"/>
                <w:szCs w:val="21"/>
                <w:highlight w:val="none"/>
                <w:lang w:eastAsia="zh-CN"/>
              </w:rPr>
              <w:t>乙方</w:t>
            </w:r>
            <w:r>
              <w:rPr>
                <w:rFonts w:hint="eastAsia" w:ascii="宋体" w:hAnsi="宋体" w:cs="宋体"/>
                <w:sz w:val="21"/>
                <w:szCs w:val="21"/>
                <w:highlight w:val="none"/>
              </w:rPr>
              <w:t>运维管理不当导致被相关部门通报或上级部门处罚</w:t>
            </w:r>
          </w:p>
        </w:tc>
        <w:tc>
          <w:tcPr>
            <w:tcW w:w="1074" w:type="dxa"/>
            <w:tcBorders>
              <w:right w:val="single" w:color="auto" w:sz="4" w:space="0"/>
            </w:tcBorders>
            <w:noWrap w:val="0"/>
            <w:vAlign w:val="top"/>
          </w:tcPr>
          <w:p w14:paraId="7A7575D4">
            <w:pPr>
              <w:rPr>
                <w:rFonts w:hint="eastAsia" w:ascii="宋体" w:hAnsi="宋体" w:cs="宋体"/>
                <w:sz w:val="21"/>
                <w:szCs w:val="21"/>
                <w:highlight w:val="none"/>
              </w:rPr>
            </w:pPr>
          </w:p>
        </w:tc>
        <w:tc>
          <w:tcPr>
            <w:tcW w:w="2184" w:type="dxa"/>
            <w:tcBorders>
              <w:left w:val="single" w:color="auto" w:sz="4" w:space="0"/>
            </w:tcBorders>
            <w:noWrap w:val="0"/>
            <w:vAlign w:val="top"/>
          </w:tcPr>
          <w:p w14:paraId="3ABE6F6B">
            <w:pPr>
              <w:rPr>
                <w:rFonts w:hint="eastAsia" w:ascii="宋体" w:hAnsi="宋体" w:cs="宋体"/>
                <w:sz w:val="21"/>
                <w:szCs w:val="21"/>
                <w:highlight w:val="none"/>
              </w:rPr>
            </w:pPr>
            <w:r>
              <w:rPr>
                <w:rFonts w:hint="eastAsia" w:ascii="宋体" w:hAnsi="宋体" w:cs="宋体"/>
                <w:sz w:val="21"/>
                <w:szCs w:val="21"/>
                <w:highlight w:val="none"/>
              </w:rPr>
              <w:t>不符合要求一票否决</w:t>
            </w:r>
          </w:p>
        </w:tc>
      </w:tr>
      <w:tr w14:paraId="648E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vMerge w:val="continue"/>
            <w:noWrap w:val="0"/>
            <w:vAlign w:val="center"/>
          </w:tcPr>
          <w:p w14:paraId="638C3BA2">
            <w:pPr>
              <w:ind w:firstLine="420" w:firstLineChars="200"/>
              <w:rPr>
                <w:rFonts w:hint="eastAsia" w:ascii="宋体" w:hAnsi="宋体" w:cs="宋体"/>
                <w:sz w:val="21"/>
                <w:szCs w:val="21"/>
                <w:highlight w:val="none"/>
              </w:rPr>
            </w:pPr>
          </w:p>
        </w:tc>
        <w:tc>
          <w:tcPr>
            <w:tcW w:w="3916" w:type="dxa"/>
            <w:noWrap w:val="0"/>
            <w:vAlign w:val="center"/>
          </w:tcPr>
          <w:p w14:paraId="3D85C09E">
            <w:pPr>
              <w:rPr>
                <w:rFonts w:hint="eastAsia" w:ascii="宋体" w:hAnsi="宋体" w:cs="宋体"/>
                <w:sz w:val="21"/>
                <w:szCs w:val="21"/>
                <w:highlight w:val="none"/>
              </w:rPr>
            </w:pPr>
            <w:r>
              <w:rPr>
                <w:rFonts w:hint="eastAsia" w:ascii="宋体" w:hAnsi="宋体" w:cs="宋体"/>
                <w:sz w:val="21"/>
                <w:szCs w:val="21"/>
                <w:highlight w:val="none"/>
              </w:rPr>
              <w:t>危废处理、处置不当</w:t>
            </w:r>
          </w:p>
        </w:tc>
        <w:tc>
          <w:tcPr>
            <w:tcW w:w="1074" w:type="dxa"/>
            <w:tcBorders>
              <w:right w:val="single" w:color="auto" w:sz="4" w:space="0"/>
            </w:tcBorders>
            <w:noWrap w:val="0"/>
            <w:vAlign w:val="top"/>
          </w:tcPr>
          <w:p w14:paraId="7174C18F">
            <w:pPr>
              <w:rPr>
                <w:rFonts w:hint="eastAsia" w:ascii="宋体" w:hAnsi="宋体" w:cs="宋体"/>
                <w:sz w:val="21"/>
                <w:szCs w:val="21"/>
                <w:highlight w:val="none"/>
              </w:rPr>
            </w:pPr>
            <w:r>
              <w:rPr>
                <w:rFonts w:hint="eastAsia" w:ascii="宋体" w:hAnsi="宋体" w:cs="宋体"/>
                <w:sz w:val="21"/>
                <w:szCs w:val="21"/>
                <w:highlight w:val="none"/>
              </w:rPr>
              <w:t>扣5-10分</w:t>
            </w:r>
          </w:p>
        </w:tc>
        <w:tc>
          <w:tcPr>
            <w:tcW w:w="2184" w:type="dxa"/>
            <w:tcBorders>
              <w:left w:val="single" w:color="auto" w:sz="4" w:space="0"/>
            </w:tcBorders>
            <w:noWrap w:val="0"/>
            <w:vAlign w:val="top"/>
          </w:tcPr>
          <w:p w14:paraId="4DD665A7">
            <w:pPr>
              <w:rPr>
                <w:rFonts w:hint="eastAsia" w:ascii="宋体" w:hAnsi="宋体" w:cs="宋体"/>
                <w:sz w:val="21"/>
                <w:szCs w:val="21"/>
                <w:highlight w:val="none"/>
              </w:rPr>
            </w:pPr>
          </w:p>
        </w:tc>
      </w:tr>
      <w:tr w14:paraId="3876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0" w:type="dxa"/>
            <w:vMerge w:val="continue"/>
            <w:noWrap w:val="0"/>
            <w:vAlign w:val="center"/>
          </w:tcPr>
          <w:p w14:paraId="3534770C">
            <w:pPr>
              <w:ind w:firstLine="420" w:firstLineChars="200"/>
              <w:rPr>
                <w:rFonts w:hint="eastAsia" w:ascii="宋体" w:hAnsi="宋体" w:cs="宋体"/>
                <w:sz w:val="21"/>
                <w:szCs w:val="21"/>
                <w:highlight w:val="none"/>
              </w:rPr>
            </w:pPr>
          </w:p>
        </w:tc>
        <w:tc>
          <w:tcPr>
            <w:tcW w:w="3916" w:type="dxa"/>
            <w:noWrap w:val="0"/>
            <w:vAlign w:val="center"/>
          </w:tcPr>
          <w:p w14:paraId="78E50334">
            <w:pPr>
              <w:rPr>
                <w:rFonts w:hint="eastAsia" w:ascii="宋体" w:hAnsi="宋体" w:cs="宋体"/>
                <w:sz w:val="21"/>
                <w:szCs w:val="21"/>
                <w:highlight w:val="none"/>
              </w:rPr>
            </w:pPr>
            <w:r>
              <w:rPr>
                <w:rFonts w:hint="eastAsia" w:ascii="宋体" w:hAnsi="宋体" w:cs="宋体"/>
                <w:sz w:val="21"/>
                <w:szCs w:val="21"/>
                <w:highlight w:val="none"/>
              </w:rPr>
              <w:t>出现媒体负面报道或公众投诉、信访维稳及相关安全文明环保等工作</w:t>
            </w:r>
          </w:p>
        </w:tc>
        <w:tc>
          <w:tcPr>
            <w:tcW w:w="1074" w:type="dxa"/>
            <w:tcBorders>
              <w:right w:val="single" w:color="auto" w:sz="4" w:space="0"/>
            </w:tcBorders>
            <w:noWrap w:val="0"/>
            <w:vAlign w:val="top"/>
          </w:tcPr>
          <w:p w14:paraId="0A45EC01">
            <w:pPr>
              <w:rPr>
                <w:rFonts w:hint="eastAsia" w:ascii="宋体" w:hAnsi="宋体" w:cs="宋体"/>
                <w:sz w:val="21"/>
                <w:szCs w:val="21"/>
                <w:highlight w:val="none"/>
              </w:rPr>
            </w:pPr>
            <w:r>
              <w:rPr>
                <w:rFonts w:hint="eastAsia" w:ascii="宋体" w:hAnsi="宋体" w:cs="宋体"/>
                <w:sz w:val="21"/>
                <w:szCs w:val="21"/>
                <w:highlight w:val="none"/>
              </w:rPr>
              <w:t>扣5-10分</w:t>
            </w:r>
          </w:p>
        </w:tc>
        <w:tc>
          <w:tcPr>
            <w:tcW w:w="2184" w:type="dxa"/>
            <w:tcBorders>
              <w:left w:val="single" w:color="auto" w:sz="4" w:space="0"/>
            </w:tcBorders>
            <w:noWrap w:val="0"/>
            <w:vAlign w:val="top"/>
          </w:tcPr>
          <w:p w14:paraId="0E64D1DB">
            <w:pPr>
              <w:rPr>
                <w:rFonts w:hint="eastAsia" w:ascii="宋体" w:hAnsi="宋体" w:cs="宋体"/>
                <w:sz w:val="21"/>
                <w:szCs w:val="21"/>
                <w:highlight w:val="none"/>
              </w:rPr>
            </w:pPr>
          </w:p>
        </w:tc>
      </w:tr>
      <w:tr w14:paraId="27F3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4" w:type="dxa"/>
            <w:gridSpan w:val="4"/>
            <w:noWrap w:val="0"/>
            <w:vAlign w:val="center"/>
          </w:tcPr>
          <w:p w14:paraId="141BF0C5">
            <w:pPr>
              <w:rPr>
                <w:rFonts w:hint="eastAsia" w:ascii="宋体" w:hAnsi="宋体" w:cs="宋体"/>
                <w:sz w:val="21"/>
                <w:szCs w:val="21"/>
                <w:highlight w:val="none"/>
              </w:rPr>
            </w:pPr>
            <w:r>
              <w:rPr>
                <w:rFonts w:hint="eastAsia" w:ascii="宋体" w:hAnsi="宋体" w:cs="宋体"/>
                <w:sz w:val="21"/>
                <w:szCs w:val="21"/>
                <w:highlight w:val="none"/>
              </w:rPr>
              <w:t>考核得分在 60 分以下不合格（不含60分）</w:t>
            </w:r>
          </w:p>
        </w:tc>
      </w:tr>
    </w:tbl>
    <w:p w14:paraId="510748CD">
      <w:pPr>
        <w:widowControl/>
        <w:ind w:firstLine="480" w:firstLineChars="200"/>
        <w:rPr>
          <w:rFonts w:ascii="仿宋_GB2312" w:hAnsi="宋体" w:eastAsia="仿宋_GB2312"/>
          <w:szCs w:val="28"/>
          <w:highlight w:val="none"/>
        </w:rPr>
      </w:pPr>
    </w:p>
    <w:p w14:paraId="4D6F2D9E">
      <w:pPr>
        <w:widowControl/>
        <w:ind w:firstLine="480" w:firstLineChars="200"/>
        <w:rPr>
          <w:rFonts w:ascii="仿宋_GB2312" w:hAnsi="宋体" w:eastAsia="仿宋_GB2312"/>
          <w:szCs w:val="28"/>
          <w:highlight w:val="none"/>
        </w:rPr>
      </w:pPr>
    </w:p>
    <w:p w14:paraId="60F5BB19">
      <w:pPr>
        <w:spacing w:line="360" w:lineRule="auto"/>
        <w:ind w:firstLine="560" w:firstLineChars="200"/>
        <w:jc w:val="center"/>
        <w:rPr>
          <w:rFonts w:hint="eastAsia" w:ascii="宋体" w:hAnsi="宋体" w:cs="宋体"/>
          <w:b/>
          <w:bCs/>
          <w:sz w:val="28"/>
          <w:szCs w:val="28"/>
          <w:highlight w:val="none"/>
        </w:rPr>
      </w:pPr>
      <w:r>
        <w:rPr>
          <w:rFonts w:hint="eastAsia" w:ascii="宋体" w:hAnsi="宋体" w:cs="宋体"/>
          <w:b/>
          <w:bCs/>
          <w:sz w:val="28"/>
          <w:szCs w:val="28"/>
          <w:highlight w:val="none"/>
        </w:rPr>
        <w:t>季度考核分数运用</w:t>
      </w:r>
    </w:p>
    <w:p w14:paraId="6498DCCF">
      <w:pPr>
        <w:widowControl/>
        <w:ind w:firstLine="480" w:firstLineChars="200"/>
        <w:rPr>
          <w:rFonts w:ascii="仿宋_GB2312" w:hAnsi="宋体" w:eastAsia="仿宋_GB2312"/>
          <w:szCs w:val="28"/>
          <w:highlight w:val="none"/>
        </w:rPr>
      </w:pPr>
    </w:p>
    <w:tbl>
      <w:tblPr>
        <w:tblStyle w:val="16"/>
        <w:tblW w:w="9878" w:type="dxa"/>
        <w:tblInd w:w="-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8"/>
        <w:gridCol w:w="2130"/>
        <w:gridCol w:w="2131"/>
        <w:gridCol w:w="2799"/>
      </w:tblGrid>
      <w:tr w14:paraId="12BC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818" w:type="dxa"/>
            <w:noWrap w:val="0"/>
            <w:vAlign w:val="top"/>
          </w:tcPr>
          <w:p w14:paraId="32E260C1">
            <w:pPr>
              <w:widowControl/>
              <w:jc w:val="center"/>
              <w:rPr>
                <w:rFonts w:hint="eastAsia" w:ascii="宋体" w:hAnsi="宋体" w:cs="宋体"/>
                <w:sz w:val="21"/>
                <w:szCs w:val="21"/>
                <w:highlight w:val="none"/>
              </w:rPr>
            </w:pPr>
            <w:r>
              <w:rPr>
                <w:rFonts w:hint="eastAsia" w:ascii="宋体" w:hAnsi="宋体" w:cs="宋体"/>
                <w:sz w:val="21"/>
                <w:szCs w:val="21"/>
                <w:highlight w:val="none"/>
              </w:rPr>
              <w:t>序号</w:t>
            </w:r>
          </w:p>
        </w:tc>
        <w:tc>
          <w:tcPr>
            <w:tcW w:w="2130" w:type="dxa"/>
            <w:noWrap w:val="0"/>
            <w:vAlign w:val="top"/>
          </w:tcPr>
          <w:p w14:paraId="5712B3E0">
            <w:pPr>
              <w:widowControl/>
              <w:jc w:val="center"/>
              <w:rPr>
                <w:rFonts w:hint="eastAsia" w:ascii="宋体" w:hAnsi="宋体" w:cs="宋体"/>
                <w:sz w:val="21"/>
                <w:szCs w:val="21"/>
                <w:highlight w:val="none"/>
              </w:rPr>
            </w:pPr>
            <w:r>
              <w:rPr>
                <w:rFonts w:hint="eastAsia" w:ascii="宋体" w:hAnsi="宋体" w:cs="宋体"/>
                <w:sz w:val="21"/>
                <w:szCs w:val="21"/>
                <w:highlight w:val="none"/>
              </w:rPr>
              <w:t>考核结果</w:t>
            </w:r>
          </w:p>
        </w:tc>
        <w:tc>
          <w:tcPr>
            <w:tcW w:w="2131" w:type="dxa"/>
            <w:noWrap w:val="0"/>
            <w:vAlign w:val="top"/>
          </w:tcPr>
          <w:p w14:paraId="7A3D78FE">
            <w:pPr>
              <w:widowControl/>
              <w:jc w:val="center"/>
              <w:rPr>
                <w:rFonts w:hint="eastAsia" w:ascii="宋体" w:hAnsi="宋体" w:cs="宋体"/>
                <w:sz w:val="21"/>
                <w:szCs w:val="21"/>
                <w:highlight w:val="none"/>
              </w:rPr>
            </w:pPr>
            <w:r>
              <w:rPr>
                <w:rFonts w:hint="eastAsia" w:ascii="宋体" w:hAnsi="宋体" w:cs="宋体"/>
                <w:sz w:val="21"/>
                <w:szCs w:val="21"/>
                <w:highlight w:val="none"/>
              </w:rPr>
              <w:t>考核运用</w:t>
            </w:r>
          </w:p>
        </w:tc>
        <w:tc>
          <w:tcPr>
            <w:tcW w:w="2799" w:type="dxa"/>
            <w:noWrap w:val="0"/>
            <w:vAlign w:val="top"/>
          </w:tcPr>
          <w:p w14:paraId="381D3564">
            <w:pPr>
              <w:widowControl/>
              <w:jc w:val="center"/>
              <w:rPr>
                <w:rFonts w:hint="eastAsia" w:ascii="宋体" w:hAnsi="宋体" w:cs="宋体"/>
                <w:sz w:val="21"/>
                <w:szCs w:val="21"/>
                <w:highlight w:val="none"/>
              </w:rPr>
            </w:pPr>
            <w:r>
              <w:rPr>
                <w:rFonts w:hint="eastAsia" w:ascii="宋体" w:hAnsi="宋体" w:cs="宋体"/>
                <w:sz w:val="21"/>
                <w:szCs w:val="21"/>
                <w:highlight w:val="none"/>
              </w:rPr>
              <w:t>备注</w:t>
            </w:r>
          </w:p>
        </w:tc>
      </w:tr>
      <w:tr w14:paraId="677E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noWrap w:val="0"/>
            <w:vAlign w:val="top"/>
          </w:tcPr>
          <w:p w14:paraId="6AB65FB0">
            <w:pPr>
              <w:widowControl/>
              <w:jc w:val="center"/>
              <w:rPr>
                <w:rFonts w:hint="eastAsia" w:ascii="宋体" w:hAnsi="宋体" w:cs="宋体"/>
                <w:sz w:val="21"/>
                <w:szCs w:val="21"/>
                <w:highlight w:val="none"/>
              </w:rPr>
            </w:pPr>
            <w:r>
              <w:rPr>
                <w:rFonts w:hint="eastAsia" w:ascii="宋体" w:hAnsi="宋体" w:cs="宋体"/>
                <w:sz w:val="21"/>
                <w:szCs w:val="21"/>
                <w:highlight w:val="none"/>
              </w:rPr>
              <w:t>1</w:t>
            </w:r>
          </w:p>
        </w:tc>
        <w:tc>
          <w:tcPr>
            <w:tcW w:w="2130" w:type="dxa"/>
            <w:noWrap w:val="0"/>
            <w:vAlign w:val="top"/>
          </w:tcPr>
          <w:p w14:paraId="742A91FC">
            <w:pPr>
              <w:widowControl/>
              <w:jc w:val="center"/>
              <w:rPr>
                <w:rFonts w:hint="eastAsia" w:ascii="宋体" w:hAnsi="宋体" w:cs="宋体"/>
                <w:sz w:val="21"/>
                <w:szCs w:val="21"/>
                <w:highlight w:val="none"/>
              </w:rPr>
            </w:pPr>
            <w:r>
              <w:rPr>
                <w:rFonts w:hint="eastAsia" w:ascii="宋体" w:hAnsi="宋体" w:cs="宋体"/>
                <w:sz w:val="21"/>
                <w:szCs w:val="21"/>
                <w:highlight w:val="none"/>
              </w:rPr>
              <w:t>考核分≥80</w:t>
            </w:r>
          </w:p>
        </w:tc>
        <w:tc>
          <w:tcPr>
            <w:tcW w:w="2131" w:type="dxa"/>
            <w:noWrap w:val="0"/>
            <w:vAlign w:val="top"/>
          </w:tcPr>
          <w:p w14:paraId="31AE0E11">
            <w:pPr>
              <w:widowControl/>
              <w:jc w:val="center"/>
              <w:rPr>
                <w:rFonts w:hint="eastAsia" w:ascii="宋体" w:hAnsi="宋体" w:cs="宋体"/>
                <w:sz w:val="21"/>
                <w:szCs w:val="21"/>
                <w:highlight w:val="none"/>
              </w:rPr>
            </w:pPr>
            <w:r>
              <w:rPr>
                <w:rFonts w:hint="eastAsia" w:ascii="宋体" w:hAnsi="宋体" w:cs="宋体"/>
                <w:sz w:val="21"/>
                <w:szCs w:val="21"/>
                <w:highlight w:val="none"/>
              </w:rPr>
              <w:t>当季运维费计取100%</w:t>
            </w:r>
          </w:p>
        </w:tc>
        <w:tc>
          <w:tcPr>
            <w:tcW w:w="2799" w:type="dxa"/>
            <w:noWrap w:val="0"/>
            <w:vAlign w:val="top"/>
          </w:tcPr>
          <w:p w14:paraId="0B8A3979">
            <w:pPr>
              <w:widowControl/>
              <w:jc w:val="center"/>
              <w:rPr>
                <w:rFonts w:hint="eastAsia" w:ascii="宋体" w:hAnsi="宋体" w:cs="宋体"/>
                <w:sz w:val="21"/>
                <w:szCs w:val="21"/>
                <w:highlight w:val="none"/>
              </w:rPr>
            </w:pPr>
            <w:r>
              <w:rPr>
                <w:rFonts w:hint="eastAsia" w:ascii="宋体" w:hAnsi="宋体" w:cs="宋体"/>
                <w:sz w:val="21"/>
                <w:szCs w:val="21"/>
                <w:highlight w:val="none"/>
              </w:rPr>
              <w:t>支付</w:t>
            </w:r>
            <w:r>
              <w:rPr>
                <w:rFonts w:hint="eastAsia" w:ascii="宋体" w:hAnsi="宋体" w:eastAsia="宋体" w:cs="宋体"/>
                <w:sz w:val="21"/>
                <w:szCs w:val="21"/>
                <w:highlight w:val="none"/>
                <w:lang w:val="en-US" w:eastAsia="zh-CN"/>
              </w:rPr>
              <w:t>8</w:t>
            </w:r>
            <w:r>
              <w:rPr>
                <w:rFonts w:hint="eastAsia" w:ascii="宋体" w:hAnsi="宋体" w:cs="宋体"/>
                <w:sz w:val="21"/>
                <w:szCs w:val="21"/>
                <w:highlight w:val="none"/>
              </w:rPr>
              <w:t>0%，</w:t>
            </w:r>
            <w:r>
              <w:rPr>
                <w:rFonts w:hint="eastAsia" w:ascii="宋体" w:hAnsi="宋体" w:eastAsia="宋体" w:cs="宋体"/>
                <w:sz w:val="21"/>
                <w:szCs w:val="21"/>
                <w:highlight w:val="none"/>
                <w:lang w:eastAsia="zh-CN"/>
              </w:rPr>
              <w:t>甲方</w:t>
            </w:r>
            <w:r>
              <w:rPr>
                <w:rFonts w:hint="eastAsia" w:ascii="宋体" w:hAnsi="宋体" w:cs="宋体"/>
                <w:sz w:val="21"/>
                <w:szCs w:val="21"/>
                <w:highlight w:val="none"/>
              </w:rPr>
              <w:t>在验收完成后支付至当季结算价100%</w:t>
            </w:r>
          </w:p>
        </w:tc>
      </w:tr>
      <w:tr w14:paraId="4FFE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noWrap w:val="0"/>
            <w:vAlign w:val="top"/>
          </w:tcPr>
          <w:p w14:paraId="07ECF682">
            <w:pPr>
              <w:widowControl/>
              <w:jc w:val="center"/>
              <w:rPr>
                <w:rFonts w:hint="eastAsia" w:ascii="宋体" w:hAnsi="宋体" w:cs="宋体"/>
                <w:sz w:val="21"/>
                <w:szCs w:val="21"/>
                <w:highlight w:val="none"/>
              </w:rPr>
            </w:pPr>
            <w:r>
              <w:rPr>
                <w:rFonts w:hint="eastAsia" w:ascii="宋体" w:hAnsi="宋体" w:cs="宋体"/>
                <w:sz w:val="21"/>
                <w:szCs w:val="21"/>
                <w:highlight w:val="none"/>
              </w:rPr>
              <w:t>2</w:t>
            </w:r>
          </w:p>
        </w:tc>
        <w:tc>
          <w:tcPr>
            <w:tcW w:w="2130" w:type="dxa"/>
            <w:noWrap w:val="0"/>
            <w:vAlign w:val="top"/>
          </w:tcPr>
          <w:p w14:paraId="04D7F29F">
            <w:pPr>
              <w:widowControl/>
              <w:jc w:val="center"/>
              <w:rPr>
                <w:rFonts w:hint="eastAsia" w:ascii="宋体" w:hAnsi="宋体" w:cs="宋体"/>
                <w:sz w:val="21"/>
                <w:szCs w:val="21"/>
                <w:highlight w:val="none"/>
              </w:rPr>
            </w:pPr>
            <w:r>
              <w:rPr>
                <w:rFonts w:hint="eastAsia" w:ascii="宋体" w:hAnsi="宋体" w:cs="宋体"/>
                <w:sz w:val="21"/>
                <w:szCs w:val="21"/>
                <w:highlight w:val="none"/>
              </w:rPr>
              <w:t>80＞考核分≥60</w:t>
            </w:r>
          </w:p>
        </w:tc>
        <w:tc>
          <w:tcPr>
            <w:tcW w:w="2131" w:type="dxa"/>
            <w:noWrap w:val="0"/>
            <w:vAlign w:val="top"/>
          </w:tcPr>
          <w:p w14:paraId="1616FBC5">
            <w:pPr>
              <w:widowControl/>
              <w:jc w:val="center"/>
              <w:rPr>
                <w:rFonts w:hint="eastAsia" w:ascii="宋体" w:hAnsi="宋体" w:cs="宋体"/>
                <w:sz w:val="21"/>
                <w:szCs w:val="21"/>
                <w:highlight w:val="none"/>
              </w:rPr>
            </w:pPr>
            <w:r>
              <w:rPr>
                <w:rFonts w:hint="eastAsia" w:ascii="宋体" w:hAnsi="宋体" w:cs="宋体"/>
                <w:sz w:val="21"/>
                <w:szCs w:val="21"/>
                <w:highlight w:val="none"/>
              </w:rPr>
              <w:t>当季运维费计取80%</w:t>
            </w:r>
          </w:p>
        </w:tc>
        <w:tc>
          <w:tcPr>
            <w:tcW w:w="2799" w:type="dxa"/>
            <w:noWrap w:val="0"/>
            <w:vAlign w:val="top"/>
          </w:tcPr>
          <w:p w14:paraId="107FE116">
            <w:pPr>
              <w:widowControl/>
              <w:jc w:val="center"/>
              <w:rPr>
                <w:rFonts w:hint="eastAsia" w:ascii="宋体" w:hAnsi="宋体" w:cs="宋体"/>
                <w:sz w:val="21"/>
                <w:szCs w:val="21"/>
                <w:highlight w:val="none"/>
              </w:rPr>
            </w:pPr>
            <w:r>
              <w:rPr>
                <w:rFonts w:hint="eastAsia" w:ascii="宋体" w:hAnsi="宋体" w:cs="宋体"/>
                <w:sz w:val="21"/>
                <w:szCs w:val="21"/>
                <w:highlight w:val="none"/>
              </w:rPr>
              <w:t>支付</w:t>
            </w:r>
            <w:r>
              <w:rPr>
                <w:rFonts w:hint="eastAsia" w:ascii="宋体" w:hAnsi="宋体" w:eastAsia="宋体" w:cs="宋体"/>
                <w:sz w:val="21"/>
                <w:szCs w:val="21"/>
                <w:highlight w:val="none"/>
                <w:lang w:val="en-US" w:eastAsia="zh-CN"/>
              </w:rPr>
              <w:t>64</w:t>
            </w:r>
            <w:r>
              <w:rPr>
                <w:rFonts w:hint="eastAsia" w:ascii="宋体" w:hAnsi="宋体" w:cs="宋体"/>
                <w:sz w:val="21"/>
                <w:szCs w:val="21"/>
                <w:highlight w:val="none"/>
              </w:rPr>
              <w:t>%，</w:t>
            </w:r>
            <w:r>
              <w:rPr>
                <w:rFonts w:hint="eastAsia" w:ascii="宋体" w:hAnsi="宋体" w:eastAsia="宋体" w:cs="宋体"/>
                <w:sz w:val="21"/>
                <w:szCs w:val="21"/>
                <w:highlight w:val="none"/>
                <w:lang w:eastAsia="zh-CN"/>
              </w:rPr>
              <w:t>甲方</w:t>
            </w:r>
            <w:r>
              <w:rPr>
                <w:rFonts w:hint="eastAsia" w:ascii="宋体" w:hAnsi="宋体" w:cs="宋体"/>
                <w:sz w:val="21"/>
                <w:szCs w:val="21"/>
                <w:highlight w:val="none"/>
              </w:rPr>
              <w:t>在验收完成后支付至当季结算价80%，剩余部分不予支付</w:t>
            </w:r>
          </w:p>
        </w:tc>
      </w:tr>
      <w:tr w14:paraId="2BFE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8" w:type="dxa"/>
            <w:noWrap w:val="0"/>
            <w:vAlign w:val="top"/>
          </w:tcPr>
          <w:p w14:paraId="6257F6DF">
            <w:pPr>
              <w:widowControl/>
              <w:jc w:val="center"/>
              <w:rPr>
                <w:rFonts w:hint="eastAsia" w:ascii="宋体" w:hAnsi="宋体" w:cs="宋体"/>
                <w:sz w:val="21"/>
                <w:szCs w:val="21"/>
                <w:highlight w:val="none"/>
              </w:rPr>
            </w:pPr>
            <w:r>
              <w:rPr>
                <w:rFonts w:hint="eastAsia" w:ascii="宋体" w:hAnsi="宋体" w:cs="宋体"/>
                <w:sz w:val="21"/>
                <w:szCs w:val="21"/>
                <w:highlight w:val="none"/>
              </w:rPr>
              <w:t>3</w:t>
            </w:r>
          </w:p>
        </w:tc>
        <w:tc>
          <w:tcPr>
            <w:tcW w:w="2130" w:type="dxa"/>
            <w:noWrap w:val="0"/>
            <w:vAlign w:val="top"/>
          </w:tcPr>
          <w:p w14:paraId="4A25207E">
            <w:pPr>
              <w:widowControl/>
              <w:jc w:val="center"/>
              <w:rPr>
                <w:rFonts w:hint="eastAsia" w:ascii="宋体" w:hAnsi="宋体" w:cs="宋体"/>
                <w:sz w:val="21"/>
                <w:szCs w:val="21"/>
                <w:highlight w:val="none"/>
              </w:rPr>
            </w:pPr>
            <w:r>
              <w:rPr>
                <w:rFonts w:hint="eastAsia" w:ascii="宋体" w:hAnsi="宋体" w:cs="宋体"/>
                <w:sz w:val="21"/>
                <w:szCs w:val="21"/>
                <w:highlight w:val="none"/>
              </w:rPr>
              <w:t>60＞考核分</w:t>
            </w:r>
          </w:p>
        </w:tc>
        <w:tc>
          <w:tcPr>
            <w:tcW w:w="2131" w:type="dxa"/>
            <w:noWrap w:val="0"/>
            <w:vAlign w:val="top"/>
          </w:tcPr>
          <w:p w14:paraId="4C061974">
            <w:pPr>
              <w:widowControl/>
              <w:jc w:val="center"/>
              <w:rPr>
                <w:rFonts w:hint="eastAsia" w:ascii="宋体" w:hAnsi="宋体" w:cs="宋体"/>
                <w:sz w:val="21"/>
                <w:szCs w:val="21"/>
                <w:highlight w:val="none"/>
              </w:rPr>
            </w:pPr>
            <w:r>
              <w:rPr>
                <w:rFonts w:hint="eastAsia" w:ascii="宋体" w:hAnsi="宋体" w:cs="宋体"/>
                <w:sz w:val="21"/>
                <w:szCs w:val="21"/>
                <w:highlight w:val="none"/>
              </w:rPr>
              <w:t>当季运维费计取0%</w:t>
            </w:r>
          </w:p>
        </w:tc>
        <w:tc>
          <w:tcPr>
            <w:tcW w:w="2799" w:type="dxa"/>
            <w:noWrap w:val="0"/>
            <w:vAlign w:val="top"/>
          </w:tcPr>
          <w:p w14:paraId="17321006">
            <w:pPr>
              <w:widowControl/>
              <w:jc w:val="center"/>
              <w:rPr>
                <w:rFonts w:hint="eastAsia" w:ascii="宋体" w:hAnsi="宋体" w:cs="宋体"/>
                <w:sz w:val="21"/>
                <w:szCs w:val="21"/>
                <w:highlight w:val="none"/>
              </w:rPr>
            </w:pPr>
            <w:r>
              <w:rPr>
                <w:rFonts w:hint="eastAsia" w:ascii="宋体" w:hAnsi="宋体" w:cs="宋体"/>
                <w:sz w:val="21"/>
                <w:szCs w:val="21"/>
                <w:highlight w:val="none"/>
              </w:rPr>
              <w:t>不予支付，</w:t>
            </w:r>
            <w:r>
              <w:rPr>
                <w:rFonts w:hint="eastAsia" w:ascii="宋体" w:hAnsi="宋体" w:eastAsia="宋体" w:cs="宋体"/>
                <w:sz w:val="21"/>
                <w:szCs w:val="21"/>
                <w:highlight w:val="none"/>
                <w:lang w:eastAsia="zh-CN"/>
              </w:rPr>
              <w:t>甲方</w:t>
            </w:r>
            <w:r>
              <w:rPr>
                <w:rFonts w:hint="eastAsia" w:ascii="宋体" w:hAnsi="宋体" w:cs="宋体"/>
                <w:sz w:val="21"/>
                <w:szCs w:val="21"/>
                <w:highlight w:val="none"/>
              </w:rPr>
              <w:t>在验收完成后不予支付当季结算价</w:t>
            </w:r>
          </w:p>
        </w:tc>
      </w:tr>
    </w:tbl>
    <w:p w14:paraId="347B631A">
      <w:pPr>
        <w:spacing w:line="360" w:lineRule="auto"/>
        <w:ind w:firstLine="420" w:firstLineChars="200"/>
        <w:jc w:val="both"/>
        <w:rPr>
          <w:rFonts w:hint="eastAsia" w:ascii="宋体" w:hAnsi="宋体" w:cs="宋体"/>
          <w:sz w:val="21"/>
          <w:szCs w:val="21"/>
          <w:highlight w:val="none"/>
        </w:rPr>
      </w:pPr>
    </w:p>
    <w:p w14:paraId="12A24E92">
      <w:pPr>
        <w:numPr>
          <w:ilvl w:val="255"/>
          <w:numId w:val="0"/>
        </w:numPr>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1.如乙方累计两个季度考核不合格，甲方有权单方解除运营合同，并且最后一个季度的费用不予支付，用于修复在线监测系统。若费用不够，乙方必须增加维修费用直至系统修复为止。同时，甲方将乙方列入甲方合作黑名单，以后再次合作将受到限制。</w:t>
      </w:r>
    </w:p>
    <w:p w14:paraId="6E7264EC">
      <w:pPr>
        <w:numPr>
          <w:ilvl w:val="255"/>
          <w:numId w:val="0"/>
        </w:numPr>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2.考核分数的运用不适用实报实销工作内容。即：乙方按相关规定并且取得甲方认可后，取得实报实销工作的费用不参与季度考核比例扣减。</w:t>
      </w:r>
    </w:p>
    <w:p w14:paraId="104843C9">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八</w:t>
      </w:r>
      <w:r>
        <w:rPr>
          <w:rFonts w:hint="eastAsia" w:ascii="宋体" w:hAnsi="宋体" w:eastAsia="宋体" w:cs="宋体"/>
          <w:highlight w:val="none"/>
          <w:lang w:eastAsia="zh-CN"/>
        </w:rPr>
        <w:t>）乙方收款账户信息</w:t>
      </w:r>
    </w:p>
    <w:p w14:paraId="3F5D357C">
      <w:pPr>
        <w:spacing w:line="360" w:lineRule="auto"/>
        <w:ind w:left="480"/>
        <w:jc w:val="both"/>
        <w:rPr>
          <w:rFonts w:hint="eastAsia" w:ascii="宋体" w:hAnsi="宋体" w:eastAsia="宋体" w:cs="宋体"/>
          <w:highlight w:val="none"/>
          <w:lang w:eastAsia="zh-CN"/>
        </w:rPr>
      </w:pPr>
      <w:r>
        <w:rPr>
          <w:rFonts w:hint="eastAsia" w:ascii="宋体" w:hAnsi="宋体" w:eastAsia="宋体" w:cs="宋体"/>
          <w:highlight w:val="none"/>
          <w:lang w:eastAsia="zh-CN"/>
        </w:rPr>
        <w:t>账户名称</w:t>
      </w:r>
      <w:r>
        <w:rPr>
          <w:rFonts w:ascii="宋体" w:hAnsi="宋体" w:eastAsia="宋体" w:cs="宋体"/>
          <w:highlight w:val="none"/>
          <w:lang w:eastAsia="zh-CN"/>
        </w:rPr>
        <w:t>:</w:t>
      </w:r>
    </w:p>
    <w:p w14:paraId="75D9AA1D">
      <w:pPr>
        <w:spacing w:line="360" w:lineRule="auto"/>
        <w:ind w:left="480"/>
        <w:jc w:val="both"/>
        <w:rPr>
          <w:rFonts w:hint="eastAsia" w:ascii="宋体" w:hAnsi="宋体" w:eastAsia="宋体" w:cs="宋体"/>
          <w:highlight w:val="none"/>
          <w:lang w:eastAsia="zh-CN"/>
        </w:rPr>
      </w:pPr>
      <w:r>
        <w:rPr>
          <w:rFonts w:hint="eastAsia" w:ascii="宋体" w:hAnsi="宋体" w:eastAsia="宋体" w:cs="宋体"/>
          <w:highlight w:val="none"/>
          <w:lang w:eastAsia="zh-CN"/>
        </w:rPr>
        <w:t>收款账号：</w:t>
      </w:r>
      <w:r>
        <w:rPr>
          <w:rFonts w:ascii="宋体" w:hAnsi="宋体" w:eastAsia="宋体" w:cs="宋体"/>
          <w:highlight w:val="none"/>
          <w:lang w:eastAsia="zh-CN"/>
        </w:rPr>
        <w:t xml:space="preserve"> </w:t>
      </w:r>
    </w:p>
    <w:p w14:paraId="3A601318">
      <w:pPr>
        <w:spacing w:line="360" w:lineRule="auto"/>
        <w:ind w:left="480"/>
        <w:jc w:val="both"/>
        <w:rPr>
          <w:rFonts w:hint="eastAsia" w:ascii="宋体" w:hAnsi="宋体" w:eastAsia="宋体" w:cs="宋体"/>
          <w:highlight w:val="none"/>
          <w:lang w:eastAsia="zh-CN"/>
        </w:rPr>
      </w:pPr>
      <w:r>
        <w:rPr>
          <w:rFonts w:hint="eastAsia" w:ascii="宋体" w:hAnsi="宋体" w:eastAsia="宋体" w:cs="宋体"/>
          <w:highlight w:val="none"/>
          <w:lang w:eastAsia="zh-CN"/>
        </w:rPr>
        <w:t>开户行：</w:t>
      </w:r>
    </w:p>
    <w:p w14:paraId="12C9639A">
      <w:pPr>
        <w:spacing w:line="360" w:lineRule="auto"/>
        <w:ind w:left="480"/>
        <w:jc w:val="both"/>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九</w:t>
      </w:r>
      <w:r>
        <w:rPr>
          <w:rFonts w:hint="eastAsia" w:ascii="宋体" w:hAnsi="宋体" w:eastAsia="宋体" w:cs="宋体"/>
          <w:highlight w:val="none"/>
          <w:lang w:eastAsia="zh-CN"/>
        </w:rPr>
        <w:t>）</w:t>
      </w:r>
      <w:r>
        <w:rPr>
          <w:rFonts w:ascii="宋体" w:hAnsi="宋体" w:eastAsia="宋体" w:cs="宋体"/>
          <w:highlight w:val="none"/>
          <w:lang w:eastAsia="zh-CN"/>
        </w:rPr>
        <w:t>甲方开票信息</w:t>
      </w:r>
    </w:p>
    <w:p w14:paraId="52FEC34A">
      <w:pPr>
        <w:pStyle w:val="61"/>
        <w:spacing w:before="57" w:line="360" w:lineRule="auto"/>
        <w:ind w:left="787" w:leftChars="228" w:right="352" w:hanging="240" w:hangingChars="100"/>
        <w:rPr>
          <w:rFonts w:hint="eastAsia" w:ascii="宋体" w:hAnsi="宋体" w:eastAsia="宋体" w:cs="宋体"/>
          <w:sz w:val="24"/>
          <w:szCs w:val="24"/>
          <w:highlight w:val="none"/>
          <w:lang w:eastAsia="zh-CN" w:bidi="en-US"/>
        </w:rPr>
      </w:pPr>
      <w:r>
        <w:rPr>
          <w:rFonts w:ascii="宋体" w:hAnsi="宋体" w:eastAsia="宋体" w:cs="宋体"/>
          <w:sz w:val="24"/>
          <w:szCs w:val="24"/>
          <w:highlight w:val="none"/>
          <w:lang w:eastAsia="zh-CN" w:bidi="en-US"/>
        </w:rPr>
        <w:t>名称：广州南沙城市排水有限公司</w:t>
      </w:r>
    </w:p>
    <w:p w14:paraId="1296DE81">
      <w:pPr>
        <w:pStyle w:val="61"/>
        <w:spacing w:before="57" w:line="360" w:lineRule="auto"/>
        <w:ind w:left="787" w:leftChars="228" w:right="352" w:hanging="240" w:hangingChars="100"/>
        <w:rPr>
          <w:rFonts w:hint="eastAsia" w:ascii="宋体" w:hAnsi="宋体" w:eastAsia="宋体" w:cs="宋体"/>
          <w:sz w:val="24"/>
          <w:szCs w:val="24"/>
          <w:highlight w:val="none"/>
          <w:lang w:eastAsia="zh-CN" w:bidi="en-US"/>
        </w:rPr>
      </w:pPr>
      <w:r>
        <w:rPr>
          <w:rFonts w:ascii="宋体" w:hAnsi="宋体" w:eastAsia="宋体" w:cs="宋体"/>
          <w:sz w:val="24"/>
          <w:szCs w:val="24"/>
          <w:highlight w:val="none"/>
          <w:lang w:eastAsia="zh-CN" w:bidi="en-US"/>
        </w:rPr>
        <w:t>税务登记证号：91440101MA5CRG489K</w:t>
      </w:r>
    </w:p>
    <w:p w14:paraId="40E2AE90">
      <w:pPr>
        <w:pStyle w:val="61"/>
        <w:spacing w:before="57" w:line="360" w:lineRule="auto"/>
        <w:ind w:left="787" w:leftChars="228" w:right="352" w:hanging="240" w:hangingChars="100"/>
        <w:rPr>
          <w:rFonts w:hint="eastAsia" w:ascii="宋体" w:hAnsi="宋体" w:eastAsia="宋体" w:cs="宋体"/>
          <w:sz w:val="24"/>
          <w:szCs w:val="24"/>
          <w:highlight w:val="none"/>
          <w:lang w:eastAsia="zh-CN" w:bidi="en-US"/>
        </w:rPr>
      </w:pPr>
      <w:r>
        <w:rPr>
          <w:rFonts w:ascii="宋体" w:hAnsi="宋体" w:eastAsia="宋体" w:cs="宋体"/>
          <w:sz w:val="24"/>
          <w:szCs w:val="24"/>
          <w:highlight w:val="none"/>
          <w:lang w:eastAsia="zh-CN" w:bidi="en-US"/>
        </w:rPr>
        <w:t>开户行：招商银行南沙支行</w:t>
      </w:r>
    </w:p>
    <w:p w14:paraId="534FB0E3">
      <w:pPr>
        <w:pStyle w:val="61"/>
        <w:spacing w:before="57" w:line="360" w:lineRule="auto"/>
        <w:ind w:left="787" w:leftChars="228" w:right="352" w:hanging="240" w:hangingChars="100"/>
        <w:rPr>
          <w:rFonts w:hint="eastAsia" w:ascii="宋体" w:hAnsi="宋体" w:eastAsia="宋体" w:cs="宋体"/>
          <w:sz w:val="24"/>
          <w:szCs w:val="24"/>
          <w:highlight w:val="none"/>
          <w:lang w:eastAsia="zh-CN" w:bidi="en-US"/>
        </w:rPr>
      </w:pPr>
      <w:r>
        <w:rPr>
          <w:rFonts w:ascii="宋体" w:hAnsi="宋体" w:eastAsia="宋体" w:cs="宋体"/>
          <w:sz w:val="24"/>
          <w:szCs w:val="24"/>
          <w:highlight w:val="none"/>
          <w:lang w:eastAsia="zh-CN" w:bidi="en-US"/>
        </w:rPr>
        <w:t>账号：120915612010501</w:t>
      </w:r>
    </w:p>
    <w:p w14:paraId="3341E7DB">
      <w:pPr>
        <w:pStyle w:val="61"/>
        <w:spacing w:before="57" w:line="360" w:lineRule="auto"/>
        <w:ind w:left="787" w:leftChars="228" w:right="352" w:hanging="240" w:hangingChars="100"/>
        <w:rPr>
          <w:rFonts w:hint="eastAsia" w:ascii="宋体" w:hAnsi="宋体" w:eastAsia="宋体" w:cs="宋体"/>
          <w:sz w:val="24"/>
          <w:szCs w:val="24"/>
          <w:highlight w:val="none"/>
          <w:lang w:eastAsia="zh-CN" w:bidi="en-US"/>
        </w:rPr>
      </w:pPr>
      <w:r>
        <w:rPr>
          <w:rFonts w:ascii="宋体" w:hAnsi="宋体" w:eastAsia="宋体" w:cs="宋体"/>
          <w:sz w:val="24"/>
          <w:szCs w:val="24"/>
          <w:highlight w:val="none"/>
          <w:lang w:eastAsia="zh-CN" w:bidi="en-US"/>
        </w:rPr>
        <w:t>地址：广州市南沙区环市大道南25号（自编1栋研发楼A4）6楼</w:t>
      </w:r>
    </w:p>
    <w:p w14:paraId="02688BE9">
      <w:pPr>
        <w:pStyle w:val="61"/>
        <w:spacing w:before="57" w:line="360" w:lineRule="auto"/>
        <w:ind w:left="787" w:leftChars="228" w:right="352" w:hanging="240" w:hangingChars="100"/>
        <w:rPr>
          <w:rFonts w:hint="eastAsia" w:ascii="宋体" w:hAnsi="宋体" w:eastAsia="宋体" w:cs="宋体"/>
          <w:sz w:val="24"/>
          <w:szCs w:val="24"/>
          <w:highlight w:val="none"/>
          <w:lang w:eastAsia="zh-CN" w:bidi="en-US"/>
        </w:rPr>
      </w:pPr>
      <w:r>
        <w:rPr>
          <w:rFonts w:ascii="宋体" w:hAnsi="宋体" w:eastAsia="宋体" w:cs="宋体"/>
          <w:sz w:val="24"/>
          <w:szCs w:val="24"/>
          <w:highlight w:val="none"/>
          <w:lang w:eastAsia="zh-CN" w:bidi="en-US"/>
        </w:rPr>
        <w:t>联系电话：</w:t>
      </w:r>
      <w:r>
        <w:rPr>
          <w:rFonts w:hint="eastAsia" w:ascii="宋体" w:hAnsi="宋体" w:eastAsia="宋体" w:cs="宋体"/>
          <w:sz w:val="24"/>
          <w:szCs w:val="24"/>
          <w:highlight w:val="none"/>
          <w:lang w:val="en-US" w:eastAsia="zh-CN" w:bidi="en-US"/>
        </w:rPr>
        <w:t>020-</w:t>
      </w:r>
      <w:r>
        <w:rPr>
          <w:rFonts w:ascii="宋体" w:hAnsi="宋体" w:eastAsia="宋体" w:cs="宋体"/>
          <w:sz w:val="24"/>
          <w:szCs w:val="24"/>
          <w:highlight w:val="none"/>
          <w:lang w:eastAsia="zh-CN" w:bidi="en-US"/>
        </w:rPr>
        <w:t>39092931</w:t>
      </w:r>
    </w:p>
    <w:p w14:paraId="7FCC2AD4">
      <w:pPr>
        <w:snapToGrid w:val="0"/>
        <w:spacing w:line="360" w:lineRule="auto"/>
        <w:ind w:firstLine="480" w:firstLineChars="200"/>
        <w:rPr>
          <w:rFonts w:hint="eastAsia" w:ascii="宋体" w:hAnsi="宋体" w:eastAsia="宋体" w:cs="宋体"/>
          <w:b/>
          <w:bCs/>
          <w:highlight w:val="none"/>
          <w:lang w:eastAsia="zh-CN"/>
        </w:rPr>
      </w:pPr>
      <w:r>
        <w:rPr>
          <w:rFonts w:hint="eastAsia" w:ascii="宋体" w:hAnsi="宋体" w:cs="宋体"/>
          <w:b/>
          <w:bCs/>
          <w:highlight w:val="none"/>
          <w:lang w:eastAsia="zh-CN"/>
        </w:rPr>
        <w:t>十三、项目资金监管</w:t>
      </w:r>
    </w:p>
    <w:p w14:paraId="56940845">
      <w:pPr>
        <w:snapToGrid w:val="0"/>
        <w:spacing w:line="360" w:lineRule="auto"/>
        <w:ind w:firstLine="480" w:firstLineChars="200"/>
        <w:rPr>
          <w:rFonts w:hint="default"/>
          <w:b/>
          <w:bCs/>
          <w:highlight w:val="none"/>
          <w:lang w:val="en-US" w:eastAsia="zh-CN"/>
        </w:rPr>
      </w:pPr>
      <w:r>
        <w:rPr>
          <w:rFonts w:hint="eastAsia" w:ascii="宋体" w:hAnsi="宋体" w:cs="宋体"/>
          <w:b/>
          <w:bCs/>
          <w:highlight w:val="none"/>
          <w:lang w:eastAsia="zh-CN"/>
        </w:rPr>
        <w:t>为了加强对项目资金的监管，保证专款专用，乙方应服从甲方对资金账户开立设置的要求，配合甲方对其资金账户进行监管。由乙方开设专用于资金收支的监管账户，甲方、乙方、银行三方签署监管协议，监控资金流向，防止转包和违法分包。</w:t>
      </w:r>
    </w:p>
    <w:p w14:paraId="080E1636">
      <w:pPr>
        <w:pStyle w:val="61"/>
        <w:spacing w:before="57" w:line="360" w:lineRule="auto"/>
        <w:ind w:left="788" w:leftChars="228" w:right="352" w:hanging="241" w:hangingChars="100"/>
        <w:rPr>
          <w:rFonts w:hint="eastAsia" w:ascii="宋体" w:hAnsi="宋体" w:eastAsia="宋体" w:cs="宋体"/>
          <w:b/>
          <w:bCs/>
          <w:sz w:val="24"/>
          <w:szCs w:val="24"/>
          <w:highlight w:val="none"/>
          <w:lang w:eastAsia="zh-CN" w:bidi="en-US"/>
        </w:rPr>
      </w:pPr>
      <w:r>
        <w:rPr>
          <w:rFonts w:hint="eastAsia" w:ascii="宋体" w:hAnsi="宋体" w:eastAsia="宋体" w:cs="宋体"/>
          <w:b/>
          <w:bCs/>
          <w:sz w:val="24"/>
          <w:szCs w:val="24"/>
          <w:highlight w:val="none"/>
          <w:lang w:val="en-US" w:eastAsia="zh-CN" w:bidi="en-US"/>
        </w:rPr>
        <w:t>十四、</w:t>
      </w:r>
      <w:r>
        <w:rPr>
          <w:rFonts w:hint="eastAsia" w:ascii="宋体" w:hAnsi="宋体" w:eastAsia="宋体" w:cs="宋体"/>
          <w:b/>
          <w:bCs/>
          <w:sz w:val="24"/>
          <w:szCs w:val="24"/>
          <w:highlight w:val="none"/>
          <w:lang w:eastAsia="zh-CN" w:bidi="en-US"/>
        </w:rPr>
        <w:t>违约责任</w:t>
      </w:r>
    </w:p>
    <w:p w14:paraId="1F76D29C">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（一）</w:t>
      </w:r>
      <w:r>
        <w:rPr>
          <w:rFonts w:ascii="宋体" w:hAnsi="宋体" w:eastAsia="宋体" w:cs="宋体"/>
          <w:highlight w:val="none"/>
          <w:lang w:eastAsia="zh-CN"/>
        </w:rPr>
        <w:t>未经甲方书面同意，乙方实施以下行为之一的，视乙方根本违约，甲方有权要求乙方退还</w:t>
      </w:r>
      <w:r>
        <w:rPr>
          <w:rFonts w:hint="eastAsia" w:ascii="宋体" w:hAnsi="宋体" w:eastAsia="宋体" w:cs="宋体"/>
          <w:highlight w:val="none"/>
          <w:lang w:eastAsia="zh-CN"/>
        </w:rPr>
        <w:t>已</w:t>
      </w:r>
      <w:r>
        <w:rPr>
          <w:rFonts w:ascii="宋体" w:hAnsi="宋体" w:eastAsia="宋体" w:cs="宋体"/>
          <w:highlight w:val="none"/>
          <w:lang w:eastAsia="zh-CN"/>
        </w:rPr>
        <w:t>支付的款项、拒绝支付剩余款项、并视情况单方解除本合同，</w:t>
      </w:r>
      <w:r>
        <w:rPr>
          <w:rFonts w:hint="eastAsia" w:ascii="宋体" w:hAnsi="宋体" w:eastAsia="宋体" w:cs="宋体"/>
          <w:highlight w:val="none"/>
          <w:lang w:eastAsia="zh-CN"/>
        </w:rPr>
        <w:t>要求乙方按合同暂定价的</w:t>
      </w:r>
      <w:r>
        <w:rPr>
          <w:rFonts w:ascii="宋体" w:hAnsi="宋体" w:eastAsia="宋体" w:cs="宋体"/>
          <w:highlight w:val="none"/>
          <w:lang w:eastAsia="zh-CN"/>
        </w:rPr>
        <w:t>10%支付违约金，违约金仍不足以弥补给甲方造成</w:t>
      </w:r>
      <w:r>
        <w:rPr>
          <w:rFonts w:hint="eastAsia" w:ascii="宋体" w:hAnsi="宋体" w:eastAsia="宋体" w:cs="宋体"/>
          <w:highlight w:val="none"/>
          <w:lang w:eastAsia="zh-CN"/>
        </w:rPr>
        <w:t>的</w:t>
      </w:r>
      <w:r>
        <w:rPr>
          <w:rFonts w:ascii="宋体" w:hAnsi="宋体" w:eastAsia="宋体" w:cs="宋体"/>
          <w:highlight w:val="none"/>
          <w:lang w:eastAsia="zh-CN"/>
        </w:rPr>
        <w:t>损失的，乙方</w:t>
      </w:r>
      <w:r>
        <w:rPr>
          <w:rFonts w:hint="eastAsia" w:ascii="宋体" w:hAnsi="宋体" w:eastAsia="宋体" w:cs="宋体"/>
          <w:highlight w:val="none"/>
          <w:lang w:eastAsia="zh-CN"/>
        </w:rPr>
        <w:t>还</w:t>
      </w:r>
      <w:r>
        <w:rPr>
          <w:rFonts w:ascii="宋体" w:hAnsi="宋体" w:eastAsia="宋体" w:cs="宋体"/>
          <w:highlight w:val="none"/>
          <w:lang w:eastAsia="zh-CN"/>
        </w:rPr>
        <w:t>须承担赔偿责任：</w:t>
      </w:r>
    </w:p>
    <w:p w14:paraId="2C7A7EF8">
      <w:pPr>
        <w:spacing w:line="360" w:lineRule="auto"/>
        <w:ind w:firstLine="480" w:firstLineChars="200"/>
        <w:jc w:val="both"/>
        <w:rPr>
          <w:rFonts w:hint="eastAsia" w:ascii="宋体" w:hAnsi="宋体" w:eastAsia="宋体" w:cs="宋体"/>
          <w:highlight w:val="none"/>
          <w:lang w:eastAsia="zh-CN"/>
        </w:rPr>
      </w:pPr>
      <w:r>
        <w:rPr>
          <w:rFonts w:ascii="宋体" w:hAnsi="宋体" w:eastAsia="宋体" w:cs="宋体"/>
          <w:highlight w:val="none"/>
          <w:lang w:eastAsia="zh-CN"/>
        </w:rPr>
        <w:t>1.</w:t>
      </w:r>
      <w:r>
        <w:rPr>
          <w:rFonts w:hint="eastAsia" w:ascii="宋体" w:hAnsi="宋体" w:eastAsia="宋体" w:cs="宋体"/>
          <w:highlight w:val="none"/>
          <w:lang w:eastAsia="zh-CN"/>
        </w:rPr>
        <w:t>未经甲方同意</w:t>
      </w:r>
      <w:r>
        <w:rPr>
          <w:rFonts w:ascii="宋体" w:hAnsi="宋体" w:eastAsia="宋体" w:cs="宋体"/>
          <w:highlight w:val="none"/>
          <w:lang w:eastAsia="zh-CN"/>
        </w:rPr>
        <w:t>将本合同部分或全部权利义务转让予第三方;</w:t>
      </w:r>
    </w:p>
    <w:p w14:paraId="7265B0D4">
      <w:pPr>
        <w:spacing w:line="360" w:lineRule="auto"/>
        <w:ind w:firstLine="480" w:firstLineChars="200"/>
        <w:jc w:val="both"/>
        <w:rPr>
          <w:rFonts w:hint="eastAsia" w:ascii="宋体" w:hAnsi="宋体" w:eastAsia="宋体" w:cs="宋体"/>
          <w:highlight w:val="none"/>
          <w:lang w:eastAsia="zh-CN"/>
        </w:rPr>
      </w:pPr>
      <w:r>
        <w:rPr>
          <w:rFonts w:ascii="宋体" w:hAnsi="宋体" w:eastAsia="宋体" w:cs="宋体"/>
          <w:highlight w:val="none"/>
          <w:lang w:eastAsia="zh-CN"/>
        </w:rPr>
        <w:t>2.运营</w:t>
      </w:r>
      <w:r>
        <w:rPr>
          <w:rFonts w:hint="eastAsia" w:ascii="宋体" w:hAnsi="宋体" w:eastAsia="宋体" w:cs="宋体"/>
          <w:highlight w:val="none"/>
          <w:lang w:eastAsia="zh-CN"/>
        </w:rPr>
        <w:t>服务</w:t>
      </w:r>
      <w:r>
        <w:rPr>
          <w:rFonts w:ascii="宋体" w:hAnsi="宋体" w:eastAsia="宋体" w:cs="宋体"/>
          <w:highlight w:val="none"/>
          <w:lang w:eastAsia="zh-CN"/>
        </w:rPr>
        <w:t>质量不</w:t>
      </w:r>
      <w:r>
        <w:rPr>
          <w:rFonts w:hint="eastAsia" w:ascii="宋体" w:hAnsi="宋体" w:eastAsia="宋体" w:cs="宋体"/>
          <w:highlight w:val="none"/>
          <w:lang w:eastAsia="zh-CN"/>
        </w:rPr>
        <w:t>符合</w:t>
      </w:r>
      <w:r>
        <w:rPr>
          <w:rFonts w:ascii="宋体" w:hAnsi="宋体" w:eastAsia="宋体" w:cs="宋体"/>
          <w:highlight w:val="none"/>
          <w:lang w:eastAsia="zh-CN"/>
        </w:rPr>
        <w:t>招标文件或本合同</w:t>
      </w:r>
      <w:r>
        <w:rPr>
          <w:rFonts w:hint="eastAsia" w:ascii="宋体" w:hAnsi="宋体" w:eastAsia="宋体" w:cs="宋体"/>
          <w:highlight w:val="none"/>
          <w:lang w:eastAsia="zh-CN"/>
        </w:rPr>
        <w:t>约定</w:t>
      </w:r>
      <w:r>
        <w:rPr>
          <w:rFonts w:ascii="宋体" w:hAnsi="宋体" w:eastAsia="宋体" w:cs="宋体"/>
          <w:highlight w:val="none"/>
          <w:lang w:eastAsia="zh-CN"/>
        </w:rPr>
        <w:t>的</w:t>
      </w:r>
      <w:r>
        <w:rPr>
          <w:rFonts w:hint="eastAsia" w:ascii="宋体" w:hAnsi="宋体" w:eastAsia="宋体" w:cs="宋体"/>
          <w:highlight w:val="none"/>
          <w:lang w:eastAsia="zh-CN"/>
        </w:rPr>
        <w:t>技术要求</w:t>
      </w:r>
      <w:r>
        <w:rPr>
          <w:rFonts w:ascii="宋体" w:hAnsi="宋体" w:eastAsia="宋体" w:cs="宋体"/>
          <w:highlight w:val="none"/>
          <w:lang w:eastAsia="zh-CN"/>
        </w:rPr>
        <w:t>和质量标准</w:t>
      </w:r>
      <w:r>
        <w:rPr>
          <w:rFonts w:hint="eastAsia" w:ascii="宋体" w:hAnsi="宋体" w:eastAsia="宋体" w:cs="宋体"/>
          <w:highlight w:val="none"/>
          <w:lang w:eastAsia="zh-CN"/>
        </w:rPr>
        <w:t>；</w:t>
      </w:r>
    </w:p>
    <w:p w14:paraId="423DB2D2">
      <w:pPr>
        <w:spacing w:line="360" w:lineRule="auto"/>
        <w:ind w:firstLine="480" w:firstLineChars="200"/>
        <w:jc w:val="both"/>
        <w:rPr>
          <w:rFonts w:hint="eastAsia" w:ascii="宋体" w:hAnsi="宋体" w:eastAsia="宋体" w:cs="宋体"/>
          <w:highlight w:val="none"/>
          <w:lang w:eastAsia="zh-CN"/>
        </w:rPr>
      </w:pPr>
      <w:r>
        <w:rPr>
          <w:rFonts w:ascii="宋体" w:hAnsi="宋体" w:eastAsia="宋体" w:cs="宋体"/>
          <w:highlight w:val="none"/>
          <w:lang w:eastAsia="zh-CN"/>
        </w:rPr>
        <w:t>3.未按本合同约定或招标文件规定的时限完成相关义务；</w:t>
      </w:r>
    </w:p>
    <w:p w14:paraId="5401FB3A">
      <w:pPr>
        <w:spacing w:line="360" w:lineRule="auto"/>
        <w:ind w:firstLine="480" w:firstLineChars="200"/>
        <w:jc w:val="both"/>
        <w:rPr>
          <w:rFonts w:hint="eastAsia" w:ascii="宋体" w:hAnsi="宋体" w:eastAsia="宋体" w:cs="宋体"/>
          <w:highlight w:val="none"/>
          <w:lang w:eastAsia="zh-CN"/>
        </w:rPr>
      </w:pPr>
      <w:r>
        <w:rPr>
          <w:rFonts w:ascii="宋体" w:hAnsi="宋体" w:eastAsia="宋体" w:cs="宋体"/>
          <w:highlight w:val="none"/>
          <w:lang w:eastAsia="zh-CN"/>
        </w:rPr>
        <w:t>4.</w:t>
      </w:r>
      <w:r>
        <w:rPr>
          <w:rFonts w:hint="eastAsia" w:ascii="宋体" w:hAnsi="宋体" w:eastAsia="宋体" w:cs="宋体"/>
          <w:highlight w:val="none"/>
          <w:lang w:eastAsia="zh-CN"/>
        </w:rPr>
        <w:t>因乙方运维管理不当导致被相关部门通报或出现媒体负面报道或被群众投诉，经核实属实且影响较大的；</w:t>
      </w:r>
    </w:p>
    <w:p w14:paraId="6B0FD136">
      <w:pPr>
        <w:spacing w:line="360" w:lineRule="auto"/>
        <w:ind w:firstLine="480" w:firstLineChars="200"/>
        <w:jc w:val="both"/>
        <w:rPr>
          <w:rFonts w:hint="eastAsia" w:ascii="宋体" w:hAnsi="宋体" w:eastAsia="宋体" w:cs="宋体"/>
          <w:highlight w:val="none"/>
          <w:lang w:eastAsia="zh-CN"/>
        </w:rPr>
      </w:pPr>
      <w:r>
        <w:rPr>
          <w:rFonts w:ascii="宋体" w:hAnsi="宋体" w:eastAsia="宋体" w:cs="宋体"/>
          <w:highlight w:val="none"/>
          <w:lang w:eastAsia="zh-CN"/>
        </w:rPr>
        <w:t>5.乙方出现</w:t>
      </w:r>
      <w:r>
        <w:rPr>
          <w:rFonts w:hint="eastAsia" w:ascii="宋体" w:hAnsi="宋体" w:eastAsia="宋体" w:cs="宋体"/>
          <w:highlight w:val="none"/>
          <w:lang w:eastAsia="zh-CN"/>
        </w:rPr>
        <w:t>私自处置在线监测仪器分析所产生的废液等行为；</w:t>
      </w:r>
    </w:p>
    <w:p w14:paraId="58D9E918">
      <w:pPr>
        <w:spacing w:line="360" w:lineRule="auto"/>
        <w:ind w:firstLine="480" w:firstLineChars="200"/>
        <w:jc w:val="both"/>
        <w:rPr>
          <w:rFonts w:hint="eastAsia" w:ascii="宋体" w:hAnsi="宋体" w:eastAsia="宋体" w:cs="宋体"/>
          <w:highlight w:val="none"/>
          <w:lang w:eastAsia="zh-CN"/>
        </w:rPr>
      </w:pPr>
      <w:r>
        <w:rPr>
          <w:rFonts w:ascii="宋体" w:hAnsi="宋体" w:eastAsia="宋体" w:cs="宋体"/>
          <w:highlight w:val="none"/>
          <w:lang w:eastAsia="zh-CN"/>
        </w:rPr>
        <w:t>6.任何违法违规行为；</w:t>
      </w:r>
    </w:p>
    <w:p w14:paraId="3AD02DE3">
      <w:pPr>
        <w:spacing w:line="360" w:lineRule="auto"/>
        <w:ind w:firstLine="480" w:firstLineChars="200"/>
        <w:jc w:val="both"/>
        <w:rPr>
          <w:rFonts w:hint="eastAsia" w:ascii="宋体" w:hAnsi="宋体" w:eastAsia="宋体" w:cs="宋体"/>
          <w:highlight w:val="none"/>
          <w:lang w:eastAsia="zh-CN"/>
        </w:rPr>
      </w:pPr>
      <w:r>
        <w:rPr>
          <w:rFonts w:ascii="宋体" w:hAnsi="宋体" w:eastAsia="宋体" w:cs="宋体"/>
          <w:highlight w:val="none"/>
          <w:lang w:eastAsia="zh-CN"/>
        </w:rPr>
        <w:t>7.其他</w:t>
      </w:r>
      <w:r>
        <w:rPr>
          <w:rFonts w:hint="eastAsia" w:ascii="宋体" w:hAnsi="宋体" w:eastAsia="宋体" w:cs="宋体"/>
          <w:highlight w:val="none"/>
          <w:lang w:val="en-US" w:eastAsia="zh-CN"/>
        </w:rPr>
        <w:t>严重</w:t>
      </w:r>
      <w:r>
        <w:rPr>
          <w:rFonts w:ascii="宋体" w:hAnsi="宋体" w:eastAsia="宋体" w:cs="宋体"/>
          <w:highlight w:val="none"/>
          <w:lang w:eastAsia="zh-CN"/>
        </w:rPr>
        <w:t>违反本合同义务的行为。</w:t>
      </w:r>
    </w:p>
    <w:p w14:paraId="5F7D3415">
      <w:pPr>
        <w:numPr>
          <w:ilvl w:val="0"/>
          <w:numId w:val="3"/>
        </w:numPr>
        <w:spacing w:line="360" w:lineRule="auto"/>
        <w:ind w:firstLine="480" w:firstLineChars="0"/>
        <w:jc w:val="both"/>
        <w:rPr>
          <w:rFonts w:hint="eastAsia" w:ascii="宋体" w:hAnsi="宋体" w:eastAsia="宋体" w:cs="宋体"/>
          <w:highlight w:val="none"/>
          <w:lang w:eastAsia="zh-CN"/>
        </w:rPr>
      </w:pPr>
      <w:r>
        <w:rPr>
          <w:rFonts w:hint="eastAsia" w:ascii="宋体" w:hAnsi="宋体" w:eastAsia="宋体" w:cs="宋体"/>
          <w:highlight w:val="none"/>
          <w:lang w:eastAsia="zh-CN"/>
        </w:rPr>
        <w:t>乙方更换运维人员时，应提前</w:t>
      </w:r>
      <w:r>
        <w:rPr>
          <w:rFonts w:ascii="宋体" w:hAnsi="宋体" w:eastAsia="宋体" w:cs="宋体"/>
          <w:highlight w:val="none"/>
          <w:lang w:eastAsia="zh-CN"/>
        </w:rPr>
        <w:t>5个工作日向甲方书面报告，经甲方同意后方可更换。未经甲方同意随意更换项目人员，乙方除限期整改外，视情节严重程度，还须承担违约金1万元/次。</w:t>
      </w:r>
    </w:p>
    <w:p w14:paraId="6143E291">
      <w:pPr>
        <w:numPr>
          <w:ilvl w:val="0"/>
          <w:numId w:val="3"/>
        </w:numPr>
        <w:adjustRightInd w:val="0"/>
        <w:snapToGrid w:val="0"/>
        <w:spacing w:line="360" w:lineRule="auto"/>
        <w:ind w:firstLine="482" w:firstLineChars="0"/>
        <w:jc w:val="both"/>
        <w:rPr>
          <w:rFonts w:hint="eastAsia" w:ascii="宋体" w:hAnsi="宋体" w:eastAsia="宋体" w:cs="宋体"/>
          <w:highlight w:val="none"/>
          <w:lang w:eastAsia="zh-CN"/>
        </w:rPr>
      </w:pPr>
      <w:r>
        <w:rPr>
          <w:rFonts w:hint="eastAsia" w:ascii="宋体" w:hAnsi="宋体" w:eastAsia="宋体" w:cs="宋体"/>
          <w:b/>
          <w:bCs/>
          <w:highlight w:val="none"/>
          <w:lang w:eastAsia="zh-CN"/>
        </w:rPr>
        <w:t>服务期内乙方累计两个季度绩效考核不合格的，甲方有权解除合同且不承担任何违约责任，</w:t>
      </w:r>
      <w:r>
        <w:rPr>
          <w:rFonts w:hint="eastAsia" w:ascii="宋体" w:hAnsi="宋体" w:eastAsia="宋体" w:cs="宋体"/>
          <w:highlight w:val="none"/>
          <w:lang w:eastAsia="zh-CN"/>
        </w:rPr>
        <w:t>并且扣减最后一个季度的费用作为不合格违约金，用于修复在线监测系统。若费用不足以弥补损失的，甲方还有权要求乙方赔偿损失。</w:t>
      </w:r>
      <w:r>
        <w:rPr>
          <w:rFonts w:hint="eastAsia" w:ascii="宋体" w:hAnsi="宋体" w:eastAsia="宋体" w:cs="宋体"/>
          <w:b/>
          <w:bCs/>
          <w:highlight w:val="none"/>
          <w:lang w:eastAsia="zh-CN"/>
        </w:rPr>
        <w:t>本合同于甲方解除通知送达乙方之日解除</w:t>
      </w:r>
      <w:r>
        <w:rPr>
          <w:rFonts w:hint="eastAsia" w:ascii="宋体" w:hAnsi="宋体" w:eastAsia="宋体" w:cs="宋体"/>
          <w:highlight w:val="none"/>
          <w:lang w:eastAsia="zh-CN"/>
        </w:rPr>
        <w:t>。</w:t>
      </w:r>
    </w:p>
    <w:p w14:paraId="0A8C4AB8">
      <w:pPr>
        <w:numPr>
          <w:ilvl w:val="0"/>
          <w:numId w:val="3"/>
        </w:numPr>
        <w:spacing w:line="360" w:lineRule="auto"/>
        <w:ind w:firstLine="480" w:firstLineChars="0"/>
        <w:jc w:val="both"/>
        <w:rPr>
          <w:rFonts w:hint="eastAsia" w:ascii="宋体" w:hAnsi="宋体" w:eastAsia="宋体" w:cs="宋体"/>
          <w:highlight w:val="none"/>
          <w:lang w:eastAsia="zh-CN"/>
        </w:rPr>
      </w:pPr>
      <w:r>
        <w:rPr>
          <w:rFonts w:hint="eastAsia"/>
          <w:b/>
          <w:bCs/>
          <w:highlight w:val="none"/>
          <w:lang w:eastAsia="zh-CN"/>
        </w:rPr>
        <w:t>合同期满或终止（解除）后，乙方须在合同期满或终止（解除）后十五日内办理交接手续并撤场，否则，每延期一天，乙方应向甲方支付5000元/天的违约金。</w:t>
      </w:r>
    </w:p>
    <w:p w14:paraId="1F61A579">
      <w:pPr>
        <w:numPr>
          <w:ilvl w:val="0"/>
          <w:numId w:val="3"/>
        </w:numPr>
        <w:spacing w:line="360" w:lineRule="auto"/>
        <w:ind w:left="-240" w:firstLine="480" w:firstLineChars="0"/>
        <w:rPr>
          <w:rFonts w:hint="eastAsia" w:ascii="宋体" w:hAnsi="宋体" w:eastAsia="宋体" w:cs="宋体"/>
          <w:highlight w:val="none"/>
          <w:lang w:eastAsia="zh-CN"/>
        </w:rPr>
      </w:pPr>
      <w:r>
        <w:rPr>
          <w:rFonts w:ascii="宋体" w:hAnsi="宋体" w:eastAsia="宋体" w:cs="宋体"/>
          <w:highlight w:val="none"/>
          <w:lang w:eastAsia="zh-CN"/>
        </w:rPr>
        <w:t>未按合同要求完成数据上传及信息部署，</w:t>
      </w:r>
      <w:r>
        <w:rPr>
          <w:rFonts w:hint="eastAsia" w:ascii="宋体" w:hAnsi="宋体" w:eastAsia="宋体" w:cs="宋体"/>
          <w:highlight w:val="none"/>
          <w:lang w:val="en-US" w:eastAsia="zh-CN"/>
        </w:rPr>
        <w:t>甲方有权</w:t>
      </w:r>
      <w:r>
        <w:rPr>
          <w:rFonts w:ascii="宋体" w:hAnsi="宋体" w:eastAsia="宋体" w:cs="宋体"/>
          <w:highlight w:val="none"/>
          <w:lang w:eastAsia="zh-CN"/>
        </w:rPr>
        <w:t>扣除</w:t>
      </w:r>
      <w:r>
        <w:rPr>
          <w:rFonts w:hint="eastAsia" w:ascii="宋体" w:hAnsi="宋体" w:eastAsia="宋体" w:cs="宋体"/>
          <w:highlight w:val="none"/>
          <w:lang w:eastAsia="zh-CN"/>
        </w:rPr>
        <w:t>合同暂定价</w:t>
      </w:r>
      <w:r>
        <w:rPr>
          <w:rFonts w:ascii="宋体" w:hAnsi="宋体" w:eastAsia="宋体" w:cs="宋体"/>
          <w:highlight w:val="none"/>
          <w:lang w:eastAsia="zh-CN"/>
        </w:rPr>
        <w:t>的2%（不含实报实销部分）</w:t>
      </w:r>
      <w:r>
        <w:rPr>
          <w:rFonts w:hint="eastAsia" w:ascii="宋体" w:hAnsi="宋体" w:eastAsia="宋体" w:cs="宋体"/>
          <w:highlight w:val="none"/>
          <w:lang w:eastAsia="zh-CN"/>
        </w:rPr>
        <w:t>作为违约金。</w:t>
      </w:r>
    </w:p>
    <w:p w14:paraId="6A0AFAD1">
      <w:pPr>
        <w:numPr>
          <w:ilvl w:val="0"/>
          <w:numId w:val="3"/>
        </w:numPr>
        <w:spacing w:line="360" w:lineRule="auto"/>
        <w:ind w:left="-240" w:firstLine="480" w:firstLineChars="0"/>
        <w:rPr>
          <w:rFonts w:hint="eastAsia" w:ascii="宋体" w:hAnsi="宋体" w:eastAsia="宋体" w:cs="宋体"/>
          <w:highlight w:val="none"/>
          <w:lang w:eastAsia="zh-CN"/>
        </w:rPr>
      </w:pPr>
      <w:r>
        <w:rPr>
          <w:rFonts w:hint="eastAsia" w:ascii="宋体" w:hAnsi="宋体" w:eastAsia="宋体" w:cs="宋体"/>
          <w:highlight w:val="none"/>
          <w:lang w:eastAsia="zh-CN"/>
        </w:rPr>
        <w:t>运维期满，乙方须</w:t>
      </w:r>
      <w:r>
        <w:rPr>
          <w:rFonts w:ascii="宋体" w:hAnsi="宋体" w:eastAsia="宋体" w:cs="宋体"/>
          <w:highlight w:val="none"/>
          <w:lang w:eastAsia="zh-CN"/>
        </w:rPr>
        <w:t>与下一批运维单位做好交接工作</w:t>
      </w:r>
      <w:r>
        <w:rPr>
          <w:rFonts w:hint="eastAsia" w:ascii="宋体" w:hAnsi="宋体" w:eastAsia="宋体" w:cs="宋体"/>
          <w:highlight w:val="none"/>
          <w:lang w:eastAsia="zh-CN"/>
        </w:rPr>
        <w:t>，未经双方核实并签字确认有关移交文件、资料等事项真实无误的，甲方有权要求乙方按合同暂定价的2</w:t>
      </w:r>
      <w:r>
        <w:rPr>
          <w:rFonts w:ascii="宋体" w:hAnsi="宋体" w:eastAsia="宋体" w:cs="宋体"/>
          <w:highlight w:val="none"/>
          <w:lang w:eastAsia="zh-CN"/>
        </w:rPr>
        <w:t>%支付违约金，违约金仍不足以弥补给甲方造成</w:t>
      </w:r>
      <w:r>
        <w:rPr>
          <w:rFonts w:hint="eastAsia" w:ascii="宋体" w:hAnsi="宋体" w:eastAsia="宋体" w:cs="宋体"/>
          <w:highlight w:val="none"/>
          <w:lang w:eastAsia="zh-CN"/>
        </w:rPr>
        <w:t>的</w:t>
      </w:r>
      <w:r>
        <w:rPr>
          <w:rFonts w:ascii="宋体" w:hAnsi="宋体" w:eastAsia="宋体" w:cs="宋体"/>
          <w:highlight w:val="none"/>
          <w:lang w:eastAsia="zh-CN"/>
        </w:rPr>
        <w:t>损失的，乙方</w:t>
      </w:r>
      <w:r>
        <w:rPr>
          <w:rFonts w:hint="eastAsia" w:ascii="宋体" w:hAnsi="宋体" w:eastAsia="宋体" w:cs="宋体"/>
          <w:highlight w:val="none"/>
          <w:lang w:eastAsia="zh-CN"/>
        </w:rPr>
        <w:t>还</w:t>
      </w:r>
      <w:r>
        <w:rPr>
          <w:rFonts w:ascii="宋体" w:hAnsi="宋体" w:eastAsia="宋体" w:cs="宋体"/>
          <w:highlight w:val="none"/>
          <w:lang w:eastAsia="zh-CN"/>
        </w:rPr>
        <w:t>须承担赔偿责任</w:t>
      </w:r>
      <w:r>
        <w:rPr>
          <w:rFonts w:hint="eastAsia" w:ascii="宋体" w:hAnsi="宋体" w:eastAsia="宋体" w:cs="宋体"/>
          <w:highlight w:val="none"/>
          <w:lang w:eastAsia="zh-CN"/>
        </w:rPr>
        <w:t>。</w:t>
      </w:r>
    </w:p>
    <w:p w14:paraId="5254FDF2">
      <w:pPr>
        <w:numPr>
          <w:ilvl w:val="0"/>
          <w:numId w:val="3"/>
        </w:numPr>
        <w:adjustRightInd w:val="0"/>
        <w:snapToGrid w:val="0"/>
        <w:spacing w:line="360" w:lineRule="auto"/>
        <w:ind w:left="-240" w:firstLine="48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乙方未按合同约定提供</w:t>
      </w:r>
      <w:r>
        <w:rPr>
          <w:rFonts w:hint="eastAsia" w:ascii="宋体" w:hAnsi="宋体" w:eastAsia="宋体" w:cs="宋体"/>
          <w:sz w:val="24"/>
          <w:szCs w:val="24"/>
          <w:highlight w:val="none"/>
          <w:lang w:eastAsia="zh-CN"/>
        </w:rPr>
        <w:t>备品备件备机，</w:t>
      </w:r>
      <w:r>
        <w:rPr>
          <w:rFonts w:hint="eastAsia" w:ascii="宋体" w:hAnsi="宋体" w:eastAsia="宋体" w:cs="宋体"/>
          <w:sz w:val="24"/>
          <w:szCs w:val="24"/>
          <w:highlight w:val="none"/>
          <w:lang w:val="en-US" w:eastAsia="zh-CN"/>
        </w:rPr>
        <w:t>甲方有权要求乙方在3个工作日</w:t>
      </w:r>
    </w:p>
    <w:p w14:paraId="7F8DBE88">
      <w:pPr>
        <w:numPr>
          <w:ilvl w:val="-1"/>
          <w:numId w:val="0"/>
        </w:numPr>
        <w:adjustRightInd w:val="0"/>
        <w:snapToGrid w:val="0"/>
        <w:spacing w:line="360" w:lineRule="auto"/>
        <w:ind w:left="0" w:firstLine="0" w:firstLineChars="0"/>
        <w:jc w:val="left"/>
        <w:rPr>
          <w:rFonts w:ascii="宋体" w:hAnsi="宋体" w:cs="宋体"/>
          <w:sz w:val="24"/>
          <w:szCs w:val="24"/>
          <w:highlight w:val="none"/>
          <w:shd w:val="solid" w:color="FFFFFF" w:fill="auto"/>
        </w:rPr>
      </w:pPr>
      <w:r>
        <w:rPr>
          <w:rFonts w:hint="eastAsia" w:ascii="宋体" w:hAnsi="宋体" w:eastAsia="宋体" w:cs="宋体"/>
          <w:sz w:val="24"/>
          <w:szCs w:val="24"/>
          <w:highlight w:val="none"/>
          <w:lang w:val="en-US" w:eastAsia="zh-CN"/>
        </w:rPr>
        <w:t>内补齐，乙方未按时处理的，</w:t>
      </w:r>
      <w:r>
        <w:rPr>
          <w:rFonts w:ascii="宋体" w:hAnsi="宋体"/>
          <w:sz w:val="24"/>
          <w:szCs w:val="24"/>
          <w:highlight w:val="none"/>
          <w:shd w:val="solid" w:color="FFFFFF" w:fill="auto"/>
        </w:rPr>
        <w:t>甲方有权</w:t>
      </w:r>
      <w:r>
        <w:rPr>
          <w:rFonts w:hint="eastAsia" w:ascii="宋体" w:hAnsi="宋体" w:eastAsia="宋体"/>
          <w:sz w:val="24"/>
          <w:szCs w:val="24"/>
          <w:highlight w:val="none"/>
          <w:shd w:val="solid" w:color="FFFFFF" w:fill="auto"/>
          <w:lang w:val="en-US" w:eastAsia="zh-CN"/>
        </w:rPr>
        <w:t>自行采购替代品</w:t>
      </w:r>
      <w:r>
        <w:rPr>
          <w:rFonts w:ascii="宋体" w:hAnsi="宋体"/>
          <w:sz w:val="24"/>
          <w:szCs w:val="24"/>
          <w:highlight w:val="none"/>
          <w:shd w:val="solid" w:color="FFFFFF" w:fill="auto"/>
        </w:rPr>
        <w:t>，由此产生的费用</w:t>
      </w:r>
      <w:r>
        <w:rPr>
          <w:rFonts w:hint="eastAsia" w:ascii="宋体" w:hAnsi="宋体"/>
          <w:sz w:val="24"/>
          <w:szCs w:val="24"/>
          <w:highlight w:val="none"/>
          <w:shd w:val="solid" w:color="FFFFFF" w:fill="auto"/>
        </w:rPr>
        <w:t>与</w:t>
      </w:r>
      <w:r>
        <w:rPr>
          <w:rFonts w:ascii="宋体" w:hAnsi="宋体"/>
          <w:sz w:val="24"/>
          <w:szCs w:val="24"/>
          <w:highlight w:val="none"/>
          <w:shd w:val="solid" w:color="FFFFFF" w:fill="auto"/>
        </w:rPr>
        <w:t>责任由乙方承担</w:t>
      </w:r>
      <w:r>
        <w:rPr>
          <w:rFonts w:hint="eastAsia" w:ascii="宋体" w:hAnsi="宋体" w:eastAsia="宋体"/>
          <w:sz w:val="24"/>
          <w:szCs w:val="24"/>
          <w:highlight w:val="none"/>
          <w:shd w:val="solid" w:color="FFFFFF" w:fill="auto"/>
          <w:lang w:eastAsia="zh-CN"/>
        </w:rPr>
        <w:t>，</w:t>
      </w:r>
      <w:r>
        <w:rPr>
          <w:rFonts w:hint="eastAsia" w:ascii="宋体" w:hAnsi="宋体" w:cs="宋体"/>
          <w:sz w:val="24"/>
          <w:szCs w:val="24"/>
          <w:highlight w:val="none"/>
          <w:shd w:val="solid" w:color="FFFFFF" w:fill="auto"/>
        </w:rPr>
        <w:t>乙方</w:t>
      </w:r>
      <w:r>
        <w:rPr>
          <w:rFonts w:hint="eastAsia" w:ascii="宋体" w:hAnsi="宋体" w:eastAsia="宋体" w:cs="宋体"/>
          <w:sz w:val="24"/>
          <w:szCs w:val="24"/>
          <w:highlight w:val="none"/>
          <w:shd w:val="solid" w:color="FFFFFF" w:fill="auto"/>
          <w:lang w:val="en-US" w:eastAsia="zh-CN"/>
        </w:rPr>
        <w:t>还</w:t>
      </w:r>
      <w:r>
        <w:rPr>
          <w:rFonts w:hint="eastAsia" w:ascii="宋体" w:hAnsi="宋体" w:cs="宋体"/>
          <w:sz w:val="24"/>
          <w:szCs w:val="24"/>
          <w:highlight w:val="none"/>
          <w:shd w:val="solid" w:color="FFFFFF" w:fill="auto"/>
        </w:rPr>
        <w:t>应赔偿甲方因此造成的所有损失（损失包括但不限于甲方的财物损失、甲方向任何第三方支付的补偿或赔偿、律师费、仲裁费或诉讼费、公证费、公告费、评估费、鉴定费、邮寄送达费、印刷费、财产保全费、执行费、拍卖费等）</w:t>
      </w:r>
      <w:r>
        <w:rPr>
          <w:rFonts w:hint="eastAsia" w:ascii="宋体" w:hAnsi="宋体" w:eastAsia="宋体" w:cs="宋体"/>
          <w:sz w:val="24"/>
          <w:szCs w:val="24"/>
          <w:highlight w:val="none"/>
          <w:shd w:val="solid" w:color="FFFFFF" w:fill="auto"/>
          <w:lang w:eastAsia="zh-CN"/>
        </w:rPr>
        <w:t>。</w:t>
      </w:r>
    </w:p>
    <w:p w14:paraId="364CC768">
      <w:pPr>
        <w:spacing w:line="360" w:lineRule="auto"/>
        <w:ind w:firstLine="482" w:firstLineChars="200"/>
        <w:jc w:val="both"/>
        <w:rPr>
          <w:rFonts w:hint="eastAsia" w:ascii="宋体" w:hAnsi="宋体" w:eastAsia="宋体" w:cs="宋体"/>
          <w:b/>
          <w:bCs/>
          <w:highlight w:val="none"/>
          <w:lang w:eastAsia="zh-CN"/>
        </w:rPr>
      </w:pPr>
      <w:r>
        <w:rPr>
          <w:rFonts w:ascii="宋体" w:hAnsi="宋体" w:eastAsia="宋体" w:cs="宋体"/>
          <w:b/>
          <w:bCs/>
          <w:highlight w:val="none"/>
          <w:lang w:eastAsia="zh-CN"/>
        </w:rPr>
        <w:t>十</w:t>
      </w:r>
      <w:r>
        <w:rPr>
          <w:rFonts w:hint="eastAsia" w:ascii="宋体" w:hAnsi="宋体" w:eastAsia="宋体" w:cs="宋体"/>
          <w:b/>
          <w:bCs/>
          <w:highlight w:val="none"/>
          <w:lang w:val="en-US" w:eastAsia="zh-CN"/>
        </w:rPr>
        <w:t>五</w:t>
      </w:r>
      <w:r>
        <w:rPr>
          <w:rFonts w:ascii="宋体" w:hAnsi="宋体" w:eastAsia="宋体" w:cs="宋体"/>
          <w:b/>
          <w:bCs/>
          <w:highlight w:val="none"/>
          <w:lang w:eastAsia="zh-CN"/>
        </w:rPr>
        <w:t>、争端的解决</w:t>
      </w:r>
    </w:p>
    <w:p w14:paraId="3A8AAA83">
      <w:pPr>
        <w:spacing w:line="360" w:lineRule="auto"/>
        <w:ind w:firstLine="480" w:firstLineChars="200"/>
        <w:jc w:val="both"/>
        <w:rPr>
          <w:rFonts w:hint="eastAsia" w:ascii="宋体" w:hAnsi="宋体" w:eastAsia="宋体" w:cs="宋体"/>
          <w:highlight w:val="none"/>
          <w:lang w:eastAsia="zh-CN"/>
        </w:rPr>
      </w:pPr>
      <w:bookmarkStart w:id="7" w:name="bookmark75"/>
      <w:bookmarkEnd w:id="7"/>
      <w:r>
        <w:rPr>
          <w:rFonts w:hint="eastAsia" w:ascii="宋体" w:hAnsi="宋体" w:eastAsia="宋体" w:cs="宋体"/>
          <w:highlight w:val="none"/>
          <w:lang w:eastAsia="zh-CN"/>
        </w:rPr>
        <w:t>（一）</w:t>
      </w:r>
      <w:r>
        <w:rPr>
          <w:rFonts w:ascii="宋体" w:hAnsi="宋体" w:eastAsia="宋体" w:cs="宋体"/>
          <w:highlight w:val="none"/>
          <w:lang w:eastAsia="zh-CN"/>
        </w:rPr>
        <w:t>凡与本合同有关而引起的一切争议，合同双方应首先通过友好协商解决, 如经协商后仍不能达成协议时，可以向甲方所在地的法院提请诉讼。</w:t>
      </w:r>
    </w:p>
    <w:p w14:paraId="74BC333C">
      <w:pPr>
        <w:spacing w:line="360" w:lineRule="auto"/>
        <w:ind w:firstLine="480" w:firstLineChars="200"/>
        <w:jc w:val="both"/>
        <w:rPr>
          <w:rFonts w:hint="eastAsia" w:ascii="宋体" w:hAnsi="宋体" w:eastAsia="宋体" w:cs="宋体"/>
          <w:highlight w:val="none"/>
          <w:lang w:eastAsia="zh-CN"/>
        </w:rPr>
      </w:pPr>
      <w:bookmarkStart w:id="8" w:name="bookmark76"/>
      <w:bookmarkEnd w:id="8"/>
      <w:r>
        <w:rPr>
          <w:rFonts w:hint="eastAsia" w:ascii="宋体" w:hAnsi="宋体" w:eastAsia="宋体" w:cs="宋体"/>
          <w:highlight w:val="none"/>
          <w:lang w:eastAsia="zh-CN"/>
        </w:rPr>
        <w:t>（二）</w:t>
      </w:r>
      <w:r>
        <w:rPr>
          <w:rFonts w:ascii="宋体" w:hAnsi="宋体" w:eastAsia="宋体" w:cs="宋体"/>
          <w:highlight w:val="none"/>
          <w:lang w:eastAsia="zh-CN"/>
        </w:rPr>
        <w:t>在进行法院审理期间，除提交法院审理事项外，合同其他部分仍应当继续履行。</w:t>
      </w:r>
    </w:p>
    <w:p w14:paraId="73068838">
      <w:pPr>
        <w:spacing w:line="360" w:lineRule="auto"/>
        <w:ind w:firstLine="480" w:firstLineChars="200"/>
        <w:jc w:val="both"/>
        <w:rPr>
          <w:rFonts w:hint="eastAsia" w:ascii="宋体" w:hAnsi="宋体" w:eastAsia="宋体" w:cs="宋体"/>
          <w:highlight w:val="none"/>
          <w:lang w:eastAsia="zh-CN"/>
        </w:rPr>
      </w:pPr>
      <w:bookmarkStart w:id="9" w:name="bookmark77"/>
      <w:bookmarkEnd w:id="9"/>
      <w:r>
        <w:rPr>
          <w:rFonts w:hint="eastAsia" w:ascii="宋体" w:hAnsi="宋体" w:eastAsia="宋体" w:cs="宋体"/>
          <w:highlight w:val="none"/>
          <w:lang w:eastAsia="zh-CN"/>
        </w:rPr>
        <w:t>（三）</w:t>
      </w:r>
      <w:r>
        <w:rPr>
          <w:rFonts w:ascii="宋体" w:hAnsi="宋体" w:eastAsia="宋体" w:cs="宋体"/>
          <w:highlight w:val="none"/>
          <w:lang w:eastAsia="zh-CN"/>
        </w:rPr>
        <w:t>本合同按照中华人民共和国法律进行解释。</w:t>
      </w:r>
    </w:p>
    <w:p w14:paraId="5CA4BD42">
      <w:pPr>
        <w:spacing w:line="360" w:lineRule="auto"/>
        <w:ind w:firstLine="482" w:firstLineChars="200"/>
        <w:jc w:val="both"/>
        <w:rPr>
          <w:rFonts w:hint="eastAsia" w:ascii="宋体" w:hAnsi="宋体" w:eastAsia="宋体" w:cs="宋体"/>
          <w:b/>
          <w:bCs/>
          <w:highlight w:val="none"/>
          <w:lang w:eastAsia="zh-CN"/>
        </w:rPr>
      </w:pPr>
      <w:r>
        <w:rPr>
          <w:rFonts w:ascii="宋体" w:hAnsi="宋体" w:eastAsia="宋体" w:cs="宋体"/>
          <w:b/>
          <w:bCs/>
          <w:highlight w:val="none"/>
          <w:lang w:eastAsia="zh-CN"/>
        </w:rPr>
        <w:t>十</w:t>
      </w:r>
      <w:r>
        <w:rPr>
          <w:rFonts w:hint="eastAsia" w:ascii="宋体" w:hAnsi="宋体" w:eastAsia="宋体" w:cs="宋体"/>
          <w:b/>
          <w:bCs/>
          <w:highlight w:val="none"/>
          <w:lang w:val="en-US" w:eastAsia="zh-CN"/>
        </w:rPr>
        <w:t>六</w:t>
      </w:r>
      <w:r>
        <w:rPr>
          <w:rFonts w:ascii="宋体" w:hAnsi="宋体" w:eastAsia="宋体" w:cs="宋体"/>
          <w:b/>
          <w:bCs/>
          <w:highlight w:val="none"/>
          <w:lang w:eastAsia="zh-CN"/>
        </w:rPr>
        <w:t>、</w:t>
      </w:r>
      <w:bookmarkStart w:id="10" w:name="bookmark78"/>
      <w:bookmarkEnd w:id="10"/>
      <w:r>
        <w:rPr>
          <w:rFonts w:hint="eastAsia" w:ascii="宋体" w:hAnsi="宋体" w:eastAsia="宋体" w:cs="宋体"/>
          <w:b/>
          <w:bCs/>
          <w:highlight w:val="none"/>
          <w:lang w:eastAsia="zh-CN"/>
        </w:rPr>
        <w:t>其它</w:t>
      </w:r>
      <w:r>
        <w:rPr>
          <w:rFonts w:ascii="宋体" w:hAnsi="宋体" w:eastAsia="宋体" w:cs="宋体"/>
          <w:b/>
          <w:bCs/>
          <w:highlight w:val="none"/>
          <w:lang w:eastAsia="zh-CN"/>
        </w:rPr>
        <w:t xml:space="preserve"> </w:t>
      </w:r>
    </w:p>
    <w:p w14:paraId="36FD82FD">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（一）</w:t>
      </w:r>
      <w:r>
        <w:rPr>
          <w:rFonts w:ascii="宋体" w:hAnsi="宋体" w:eastAsia="宋体" w:cs="宋体"/>
          <w:highlight w:val="none"/>
          <w:lang w:eastAsia="zh-CN"/>
        </w:rPr>
        <w:t>本项目中标通知书、招标文件、投标文件及附件均是本合同不可分割的部分，解释的优先顺序如下：</w:t>
      </w:r>
    </w:p>
    <w:p w14:paraId="369700F9">
      <w:pPr>
        <w:spacing w:line="360" w:lineRule="auto"/>
        <w:ind w:firstLine="480" w:firstLineChars="200"/>
        <w:jc w:val="both"/>
        <w:rPr>
          <w:rFonts w:hint="eastAsia" w:ascii="宋体" w:hAnsi="宋体" w:eastAsia="宋体" w:cs="宋体"/>
          <w:highlight w:val="none"/>
          <w:lang w:eastAsia="zh-CN"/>
        </w:rPr>
      </w:pPr>
      <w:r>
        <w:rPr>
          <w:rFonts w:ascii="宋体" w:hAnsi="宋体" w:eastAsia="宋体" w:cs="宋体"/>
          <w:highlight w:val="none"/>
          <w:lang w:eastAsia="zh-CN"/>
        </w:rPr>
        <w:t>1.本合同及</w:t>
      </w:r>
      <w:r>
        <w:rPr>
          <w:rFonts w:hint="eastAsia" w:ascii="宋体" w:hAnsi="宋体" w:eastAsia="宋体" w:cs="宋体"/>
          <w:highlight w:val="none"/>
          <w:lang w:eastAsia="zh-CN"/>
        </w:rPr>
        <w:t>相关</w:t>
      </w:r>
      <w:r>
        <w:rPr>
          <w:rFonts w:ascii="宋体" w:hAnsi="宋体" w:eastAsia="宋体" w:cs="宋体"/>
          <w:highlight w:val="none"/>
          <w:lang w:eastAsia="zh-CN"/>
        </w:rPr>
        <w:t>补充协议、变更协议、会议纪要等（文件生成吋间</w:t>
      </w:r>
      <w:r>
        <w:rPr>
          <w:rFonts w:hint="eastAsia" w:ascii="宋体" w:hAnsi="宋体" w:eastAsia="宋体" w:cs="宋体"/>
          <w:highlight w:val="none"/>
          <w:lang w:eastAsia="zh-CN"/>
        </w:rPr>
        <w:t>在后</w:t>
      </w:r>
      <w:r>
        <w:rPr>
          <w:rFonts w:ascii="宋体" w:hAnsi="宋体" w:eastAsia="宋体" w:cs="宋体"/>
          <w:highlight w:val="none"/>
          <w:lang w:eastAsia="zh-CN"/>
        </w:rPr>
        <w:t>的优先）</w:t>
      </w:r>
      <w:r>
        <w:rPr>
          <w:rFonts w:hint="eastAsia" w:ascii="宋体" w:hAnsi="宋体" w:eastAsia="宋体" w:cs="宋体"/>
          <w:highlight w:val="none"/>
          <w:lang w:eastAsia="zh-CN"/>
        </w:rPr>
        <w:t>；</w:t>
      </w:r>
    </w:p>
    <w:p w14:paraId="5A0D1ADC">
      <w:pPr>
        <w:spacing w:line="360" w:lineRule="auto"/>
        <w:ind w:firstLine="480" w:firstLineChars="200"/>
        <w:jc w:val="both"/>
        <w:rPr>
          <w:rFonts w:hint="eastAsia" w:ascii="宋体" w:hAnsi="宋体" w:eastAsia="宋体" w:cs="宋体"/>
          <w:highlight w:val="none"/>
          <w:lang w:eastAsia="zh-CN"/>
        </w:rPr>
      </w:pPr>
      <w:r>
        <w:rPr>
          <w:rFonts w:ascii="宋体" w:hAnsi="宋体" w:eastAsia="宋体" w:cs="宋体"/>
          <w:highlight w:val="none"/>
          <w:lang w:eastAsia="zh-CN"/>
        </w:rPr>
        <w:t>2.中标通知书；</w:t>
      </w:r>
    </w:p>
    <w:p w14:paraId="43CC51EC">
      <w:pPr>
        <w:spacing w:line="360" w:lineRule="auto"/>
        <w:ind w:firstLine="480" w:firstLineChars="200"/>
        <w:jc w:val="both"/>
        <w:rPr>
          <w:rFonts w:hint="eastAsia" w:ascii="宋体" w:hAnsi="宋体" w:eastAsia="宋体" w:cs="宋体"/>
          <w:highlight w:val="none"/>
          <w:lang w:eastAsia="zh-CN"/>
        </w:rPr>
      </w:pPr>
      <w:r>
        <w:rPr>
          <w:rFonts w:ascii="宋体" w:hAnsi="宋体" w:eastAsia="宋体" w:cs="宋体"/>
          <w:highlight w:val="none"/>
          <w:lang w:eastAsia="zh-CN"/>
        </w:rPr>
        <w:t>3.招标文件</w:t>
      </w:r>
      <w:r>
        <w:rPr>
          <w:rFonts w:hint="eastAsia" w:ascii="宋体" w:hAnsi="宋体" w:eastAsia="宋体" w:cs="宋体"/>
          <w:highlight w:val="none"/>
          <w:lang w:eastAsia="zh-CN"/>
        </w:rPr>
        <w:t>；</w:t>
      </w:r>
    </w:p>
    <w:p w14:paraId="106FA913">
      <w:pPr>
        <w:spacing w:line="360" w:lineRule="auto"/>
        <w:ind w:firstLine="480" w:firstLineChars="200"/>
        <w:jc w:val="both"/>
        <w:rPr>
          <w:rFonts w:hint="eastAsia" w:ascii="宋体" w:hAnsi="宋体" w:eastAsia="宋体" w:cs="宋体"/>
          <w:highlight w:val="none"/>
          <w:lang w:eastAsia="zh-CN"/>
        </w:rPr>
      </w:pPr>
      <w:r>
        <w:rPr>
          <w:rFonts w:ascii="宋体" w:hAnsi="宋体" w:eastAsia="宋体" w:cs="宋体"/>
          <w:highlight w:val="none"/>
          <w:lang w:eastAsia="zh-CN"/>
        </w:rPr>
        <w:t>4.投标文件；</w:t>
      </w:r>
    </w:p>
    <w:p w14:paraId="26B5E551">
      <w:pPr>
        <w:spacing w:line="360" w:lineRule="auto"/>
        <w:ind w:firstLine="480" w:firstLineChars="200"/>
        <w:jc w:val="both"/>
        <w:rPr>
          <w:rFonts w:hint="eastAsia" w:ascii="宋体" w:hAnsi="宋体" w:eastAsia="宋体" w:cs="宋体"/>
          <w:highlight w:val="none"/>
          <w:lang w:eastAsia="zh-CN"/>
        </w:rPr>
      </w:pPr>
      <w:r>
        <w:rPr>
          <w:rFonts w:ascii="宋体" w:hAnsi="宋体" w:eastAsia="宋体" w:cs="宋体"/>
          <w:highlight w:val="none"/>
          <w:lang w:eastAsia="zh-CN"/>
        </w:rPr>
        <w:t>5.附件；</w:t>
      </w:r>
    </w:p>
    <w:p w14:paraId="2B2B1CBC">
      <w:pPr>
        <w:spacing w:line="360" w:lineRule="auto"/>
        <w:ind w:firstLine="480" w:firstLineChars="200"/>
        <w:jc w:val="both"/>
        <w:rPr>
          <w:rFonts w:hint="eastAsia" w:ascii="宋体" w:hAnsi="宋体" w:eastAsia="宋体" w:cs="宋体"/>
          <w:highlight w:val="none"/>
          <w:lang w:eastAsia="zh-CN"/>
        </w:rPr>
      </w:pPr>
      <w:r>
        <w:rPr>
          <w:rFonts w:ascii="宋体" w:hAnsi="宋体" w:eastAsia="宋体" w:cs="宋体"/>
          <w:highlight w:val="none"/>
          <w:lang w:eastAsia="zh-CN"/>
        </w:rPr>
        <w:t>6.技术标准等。</w:t>
      </w:r>
    </w:p>
    <w:p w14:paraId="2FFA16A3">
      <w:pPr>
        <w:spacing w:line="360" w:lineRule="auto"/>
        <w:ind w:firstLine="480" w:firstLineChars="200"/>
        <w:jc w:val="both"/>
        <w:rPr>
          <w:rFonts w:hint="eastAsia" w:ascii="宋体" w:hAnsi="宋体" w:eastAsia="宋体" w:cs="宋体"/>
          <w:highlight w:val="none"/>
          <w:lang w:eastAsia="zh-CN"/>
        </w:rPr>
      </w:pPr>
      <w:bookmarkStart w:id="11" w:name="bookmark83"/>
      <w:bookmarkEnd w:id="11"/>
      <w:r>
        <w:rPr>
          <w:rFonts w:hint="eastAsia" w:ascii="宋体" w:hAnsi="宋体" w:eastAsia="宋体" w:cs="宋体"/>
          <w:highlight w:val="none"/>
          <w:lang w:eastAsia="zh-CN"/>
        </w:rPr>
        <w:t>（二）</w:t>
      </w:r>
      <w:r>
        <w:rPr>
          <w:rFonts w:ascii="宋体" w:hAnsi="宋体" w:eastAsia="宋体" w:cs="宋体"/>
          <w:highlight w:val="none"/>
          <w:lang w:eastAsia="zh-CN"/>
        </w:rPr>
        <w:t>在执行合同过程中，所有经甲乙双方签署确认的文件（包括会议纪要、补充协议、往来信函）即成为本合同的有效组成部分，其生效日期为双方签字盖章确认的日期。</w:t>
      </w:r>
    </w:p>
    <w:p w14:paraId="284349DA">
      <w:pPr>
        <w:spacing w:line="360" w:lineRule="auto"/>
        <w:ind w:firstLine="480" w:firstLineChars="200"/>
        <w:jc w:val="both"/>
        <w:rPr>
          <w:rFonts w:hint="eastAsia" w:ascii="宋体" w:hAnsi="宋体" w:eastAsia="宋体" w:cs="宋体"/>
          <w:highlight w:val="none"/>
          <w:lang w:eastAsia="zh-CN"/>
        </w:rPr>
      </w:pPr>
      <w:bookmarkStart w:id="12" w:name="bookmark84"/>
      <w:bookmarkEnd w:id="12"/>
      <w:r>
        <w:rPr>
          <w:rFonts w:hint="eastAsia" w:ascii="宋体" w:hAnsi="宋体" w:eastAsia="宋体" w:cs="宋体"/>
          <w:highlight w:val="none"/>
          <w:lang w:eastAsia="zh-CN"/>
        </w:rPr>
        <w:t>（三）</w:t>
      </w:r>
      <w:r>
        <w:rPr>
          <w:rFonts w:ascii="宋体" w:hAnsi="宋体" w:eastAsia="宋体" w:cs="宋体"/>
          <w:highlight w:val="none"/>
          <w:lang w:eastAsia="zh-CN"/>
        </w:rPr>
        <w:t>除甲方事先书面同意外，乙方不得部分或全部转让其应履行的合同项下的义务。</w:t>
      </w:r>
    </w:p>
    <w:p w14:paraId="3874F37B">
      <w:pPr>
        <w:spacing w:line="360" w:lineRule="auto"/>
        <w:ind w:firstLine="480" w:firstLineChars="200"/>
        <w:jc w:val="both"/>
        <w:rPr>
          <w:rFonts w:hint="eastAsia" w:ascii="宋体" w:hAnsi="宋体" w:eastAsia="宋体" w:cs="宋体"/>
          <w:highlight w:val="none"/>
          <w:lang w:eastAsia="zh-CN"/>
        </w:rPr>
      </w:pPr>
      <w:bookmarkStart w:id="13" w:name="bookmark85"/>
      <w:bookmarkEnd w:id="13"/>
      <w:r>
        <w:rPr>
          <w:rFonts w:hint="eastAsia" w:ascii="宋体" w:hAnsi="宋体" w:eastAsia="宋体" w:cs="宋体"/>
          <w:highlight w:val="none"/>
          <w:lang w:eastAsia="zh-CN"/>
        </w:rPr>
        <w:t>（四）</w:t>
      </w:r>
      <w:r>
        <w:rPr>
          <w:rFonts w:ascii="宋体" w:hAnsi="宋体" w:eastAsia="宋体" w:cs="宋体"/>
          <w:highlight w:val="none"/>
          <w:lang w:eastAsia="zh-CN"/>
        </w:rPr>
        <w:t>本合同未尽事宜，双方应本着友好合作的原则，另行商议并写入补充条款。所有修改或补充条款都视为本合同的组成部分，具有与其它条款同等的法律效力。</w:t>
      </w:r>
    </w:p>
    <w:p w14:paraId="79AD93DE">
      <w:pPr>
        <w:spacing w:line="360" w:lineRule="auto"/>
        <w:ind w:firstLine="480" w:firstLineChars="200"/>
        <w:jc w:val="both"/>
        <w:rPr>
          <w:rFonts w:hint="eastAsia" w:ascii="宋体" w:hAnsi="宋体" w:eastAsia="宋体" w:cs="宋体"/>
          <w:highlight w:val="none"/>
          <w:lang w:eastAsia="zh-CN"/>
        </w:rPr>
      </w:pPr>
      <w:bookmarkStart w:id="14" w:name="bookmark86"/>
      <w:bookmarkEnd w:id="14"/>
      <w:r>
        <w:rPr>
          <w:rFonts w:hint="eastAsia" w:ascii="宋体" w:hAnsi="宋体" w:eastAsia="宋体" w:cs="宋体"/>
          <w:highlight w:val="none"/>
          <w:lang w:eastAsia="zh-CN"/>
        </w:rPr>
        <w:t>（五）甲乙双方确定，双方于本合同约定的文书送达地址真实有效，该地址的适用范围包括非诉阶段和诉讼阶段的一审、二审、再审和执行程序。一旦纠纷进入上述诉讼程序，人民法院即可按约定的文书送达地址以直接送达、邮寄送达方式送达各类法律文书，双方依照合同约定承担有效送达的法律后果。如一方需变更文书送达地址，应在变更后</w:t>
      </w:r>
      <w:r>
        <w:rPr>
          <w:rFonts w:ascii="宋体" w:hAnsi="宋体" w:eastAsia="宋体" w:cs="宋体"/>
          <w:highlight w:val="none"/>
          <w:lang w:eastAsia="zh-CN"/>
        </w:rPr>
        <w:t>7个工作日内书面通知对方，如未按约定方式告知对方的，原文书送达地址仍为有效送达地址。</w:t>
      </w:r>
    </w:p>
    <w:p w14:paraId="130E91DB">
      <w:pPr>
        <w:spacing w:line="360" w:lineRule="auto"/>
        <w:ind w:firstLine="480" w:firstLineChars="200"/>
        <w:jc w:val="both"/>
        <w:rPr>
          <w:rFonts w:hint="eastAsia" w:ascii="宋体" w:hAnsi="宋体" w:eastAsia="宋体" w:cs="宋体"/>
          <w:highlight w:val="none"/>
          <w:lang w:eastAsia="zh-CN"/>
        </w:rPr>
      </w:pPr>
      <w:r>
        <w:rPr>
          <w:rFonts w:ascii="宋体" w:hAnsi="宋体" w:eastAsia="宋体" w:cs="宋体"/>
          <w:highlight w:val="none"/>
          <w:lang w:eastAsia="zh-CN"/>
        </w:rPr>
        <w:t>1.</w:t>
      </w:r>
      <w:r>
        <w:rPr>
          <w:rFonts w:hint="eastAsia" w:ascii="宋体" w:hAnsi="宋体" w:eastAsia="宋体" w:cs="宋体"/>
          <w:highlight w:val="none"/>
          <w:lang w:eastAsia="zh-CN"/>
        </w:rPr>
        <w:t>甲方（或者乙方）按本合同约定的乙方（或者甲方）送达地址以特快专递或者挂号信寄出的文书，在发出</w:t>
      </w:r>
      <w:r>
        <w:rPr>
          <w:rFonts w:ascii="宋体" w:hAnsi="宋体" w:eastAsia="宋体" w:cs="宋体"/>
          <w:highlight w:val="none"/>
          <w:lang w:eastAsia="zh-CN"/>
        </w:rPr>
        <w:t>5个自然日后即视为送达。</w:t>
      </w:r>
    </w:p>
    <w:p w14:paraId="30FE28BF">
      <w:pPr>
        <w:spacing w:line="360" w:lineRule="auto"/>
        <w:ind w:firstLine="480" w:firstLineChars="200"/>
        <w:jc w:val="both"/>
        <w:rPr>
          <w:rFonts w:hint="eastAsia" w:ascii="宋体" w:hAnsi="宋体" w:eastAsia="宋体" w:cs="宋体"/>
          <w:highlight w:val="none"/>
          <w:lang w:eastAsia="zh-CN"/>
        </w:rPr>
      </w:pPr>
      <w:r>
        <w:rPr>
          <w:rFonts w:ascii="宋体" w:hAnsi="宋体" w:eastAsia="宋体" w:cs="宋体"/>
          <w:highlight w:val="none"/>
          <w:lang w:eastAsia="zh-CN"/>
        </w:rPr>
        <w:t>2.</w:t>
      </w:r>
      <w:r>
        <w:rPr>
          <w:rFonts w:hint="eastAsia" w:ascii="宋体" w:hAnsi="宋体" w:eastAsia="宋体" w:cs="宋体"/>
          <w:highlight w:val="none"/>
          <w:lang w:eastAsia="zh-CN"/>
        </w:rPr>
        <w:t>人民法院按当事人约定的地址进行送达，因当事人提供或者确认的送达地址不准确、送达地址变更后未按照程序及时告知地方或人民法院、当事人或其指定的接收人拒绝签收等原因，导致法律文书未能被当事人实际接收的，也视为送达。邮寄送达的，以文书退回之日视为送达之日；直接送达的，送达人当场在送达回证上证明情况之日视为送达之日。</w:t>
      </w:r>
    </w:p>
    <w:p w14:paraId="216DE4FB">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甲、乙双方通讯方式及地址如下：</w:t>
      </w:r>
    </w:p>
    <w:p w14:paraId="0FF63080">
      <w:pPr>
        <w:spacing w:line="360" w:lineRule="auto"/>
        <w:ind w:firstLine="480" w:firstLineChars="200"/>
        <w:jc w:val="both"/>
        <w:rPr>
          <w:rFonts w:hint="default" w:ascii="宋体" w:hAnsi="宋体" w:eastAsia="宋体" w:cs="宋体"/>
          <w:highlight w:val="none"/>
          <w:lang w:eastAsia="zh-CN"/>
        </w:rPr>
      </w:pPr>
      <w:r>
        <w:rPr>
          <w:rFonts w:hint="default" w:ascii="宋体" w:hAnsi="宋体" w:eastAsia="宋体" w:cs="宋体"/>
          <w:highlight w:val="none"/>
          <w:lang w:eastAsia="zh-CN"/>
        </w:rPr>
        <w:t>甲方</w:t>
      </w:r>
      <w:r>
        <w:rPr>
          <w:rFonts w:ascii="宋体" w:hAnsi="宋体" w:eastAsia="宋体" w:cs="宋体"/>
          <w:highlight w:val="none"/>
          <w:lang w:eastAsia="zh-CN"/>
        </w:rPr>
        <w:t xml:space="preserve">: </w:t>
      </w:r>
      <w:r>
        <w:rPr>
          <w:rFonts w:hint="default" w:ascii="宋体" w:hAnsi="宋体" w:eastAsia="宋体" w:cs="宋体"/>
          <w:highlight w:val="none"/>
          <w:lang w:eastAsia="zh-CN"/>
        </w:rPr>
        <w:t>广州南沙城市排水有限公司</w:t>
      </w:r>
      <w:r>
        <w:rPr>
          <w:rFonts w:ascii="宋体" w:hAnsi="宋体" w:eastAsia="宋体" w:cs="宋体"/>
          <w:highlight w:val="none"/>
          <w:lang w:eastAsia="zh-CN"/>
        </w:rPr>
        <w:t xml:space="preserve">  </w:t>
      </w:r>
    </w:p>
    <w:p w14:paraId="555613B5">
      <w:pPr>
        <w:spacing w:after="0"/>
        <w:ind w:firstLine="480" w:firstLineChars="200"/>
        <w:rPr>
          <w:rFonts w:ascii="宋体" w:hAnsi="宋体" w:eastAsia="宋体" w:cs="宋体"/>
          <w:sz w:val="24"/>
          <w:szCs w:val="24"/>
          <w:highlight w:val="none"/>
          <w:lang w:eastAsia="zh-CN"/>
        </w:rPr>
      </w:pPr>
      <w:r>
        <w:rPr>
          <w:rFonts w:hint="default" w:ascii="宋体" w:hAnsi="宋体" w:eastAsia="宋体" w:cs="宋体"/>
          <w:highlight w:val="none"/>
          <w:lang w:eastAsia="zh-CN"/>
        </w:rPr>
        <w:t>地址</w:t>
      </w:r>
      <w:r>
        <w:rPr>
          <w:rFonts w:ascii="宋体" w:hAnsi="宋体" w:eastAsia="宋体" w:cs="宋体"/>
          <w:highlight w:val="none"/>
          <w:lang w:eastAsia="zh-CN"/>
        </w:rPr>
        <w:t>:</w:t>
      </w:r>
      <w:r>
        <w:rPr>
          <w:rFonts w:ascii="宋体" w:hAnsi="宋体" w:eastAsia="宋体" w:cs="宋体"/>
          <w:sz w:val="24"/>
          <w:szCs w:val="24"/>
          <w:highlight w:val="none"/>
          <w:lang w:eastAsia="zh-CN"/>
        </w:rPr>
        <w:t>广东省广州市南沙区横沥镇大岗沥九十亩北，南顺泵站管理楼（南沙排水公司）</w:t>
      </w:r>
    </w:p>
    <w:p w14:paraId="61B7CDC4">
      <w:pPr>
        <w:spacing w:line="360" w:lineRule="auto"/>
        <w:ind w:firstLine="480" w:firstLineChars="200"/>
        <w:jc w:val="both"/>
        <w:rPr>
          <w:rFonts w:ascii="宋体" w:hAnsi="宋体" w:eastAsia="宋体" w:cs="宋体"/>
          <w:highlight w:val="none"/>
          <w:lang w:eastAsia="zh-CN"/>
        </w:rPr>
      </w:pPr>
      <w:r>
        <w:rPr>
          <w:rFonts w:hint="eastAsia" w:ascii="宋体" w:hAnsi="宋体" w:eastAsia="宋体" w:cs="宋体"/>
          <w:highlight w:val="none"/>
          <w:lang w:eastAsia="zh-CN"/>
        </w:rPr>
        <w:t>收件人</w:t>
      </w:r>
      <w:r>
        <w:rPr>
          <w:rFonts w:ascii="宋体" w:hAnsi="宋体" w:eastAsia="宋体" w:cs="宋体"/>
          <w:highlight w:val="none"/>
          <w:lang w:eastAsia="zh-CN"/>
        </w:rPr>
        <w:t xml:space="preserve">: </w:t>
      </w:r>
    </w:p>
    <w:p w14:paraId="3D6AB361">
      <w:pPr>
        <w:spacing w:line="360" w:lineRule="auto"/>
        <w:ind w:firstLine="48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eastAsia="zh-CN"/>
        </w:rPr>
        <w:t>电话：</w:t>
      </w:r>
      <w:r>
        <w:rPr>
          <w:rFonts w:ascii="宋体" w:hAnsi="宋体" w:eastAsia="宋体" w:cs="宋体"/>
          <w:highlight w:val="none"/>
          <w:lang w:eastAsia="zh-CN"/>
        </w:rPr>
        <w:t xml:space="preserve"> </w:t>
      </w:r>
      <w:r>
        <w:rPr>
          <w:rFonts w:hint="eastAsia" w:ascii="宋体" w:hAnsi="宋体" w:eastAsia="宋体" w:cs="宋体"/>
          <w:highlight w:val="none"/>
          <w:lang w:eastAsia="zh-CN"/>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电子邮箱：</w:t>
      </w:r>
      <w:r>
        <w:rPr>
          <w:rFonts w:hint="eastAsia" w:ascii="宋体" w:hAnsi="宋体" w:eastAsia="宋体" w:cs="宋体"/>
          <w:highlight w:val="none"/>
          <w:lang w:val="en-US" w:eastAsia="zh-CN"/>
        </w:rPr>
        <w:t xml:space="preserve">                           </w:t>
      </w:r>
    </w:p>
    <w:p w14:paraId="09F007D9">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乙方</w:t>
      </w:r>
      <w:r>
        <w:rPr>
          <w:rFonts w:ascii="宋体" w:hAnsi="宋体" w:eastAsia="宋体" w:cs="宋体"/>
          <w:highlight w:val="none"/>
          <w:lang w:eastAsia="zh-CN"/>
        </w:rPr>
        <w:t>:</w:t>
      </w:r>
    </w:p>
    <w:p w14:paraId="5869B692">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地址：</w:t>
      </w:r>
      <w:r>
        <w:rPr>
          <w:rFonts w:ascii="宋体" w:hAnsi="宋体" w:eastAsia="宋体" w:cs="宋体"/>
          <w:highlight w:val="none"/>
          <w:lang w:eastAsia="zh-CN"/>
        </w:rPr>
        <w:t xml:space="preserve">                                      </w:t>
      </w:r>
    </w:p>
    <w:p w14:paraId="6A8DD55B">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收件人</w:t>
      </w:r>
      <w:r>
        <w:rPr>
          <w:rFonts w:ascii="宋体" w:hAnsi="宋体" w:eastAsia="宋体" w:cs="宋体"/>
          <w:highlight w:val="none"/>
          <w:lang w:eastAsia="zh-CN"/>
        </w:rPr>
        <w:t>:</w:t>
      </w:r>
    </w:p>
    <w:p w14:paraId="5E3EE77D">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电话：</w:t>
      </w:r>
      <w:r>
        <w:rPr>
          <w:rFonts w:ascii="宋体" w:hAnsi="宋体" w:eastAsia="宋体" w:cs="宋体"/>
          <w:highlight w:val="none"/>
          <w:lang w:eastAsia="zh-CN"/>
        </w:rPr>
        <w:t xml:space="preserve"> </w:t>
      </w:r>
      <w:r>
        <w:rPr>
          <w:rFonts w:hint="eastAsia" w:ascii="宋体" w:hAnsi="宋体" w:eastAsia="宋体" w:cs="宋体"/>
          <w:highlight w:val="none"/>
          <w:u w:val="none"/>
          <w:lang w:eastAsia="zh-CN"/>
        </w:rPr>
        <w:t xml:space="preserve">   </w:t>
      </w:r>
      <w:r>
        <w:rPr>
          <w:rFonts w:hint="eastAsia" w:ascii="宋体" w:hAnsi="宋体" w:eastAsia="宋体" w:cs="宋体"/>
          <w:highlight w:val="none"/>
          <w:u w:val="none"/>
          <w:lang w:val="en-US" w:eastAsia="zh-CN"/>
        </w:rPr>
        <w:t xml:space="preserve">                 </w:t>
      </w:r>
      <w:r>
        <w:rPr>
          <w:rFonts w:hint="eastAsia" w:ascii="宋体" w:hAnsi="宋体" w:eastAsia="宋体" w:cs="宋体"/>
          <w:highlight w:val="none"/>
          <w:lang w:eastAsia="zh-CN"/>
        </w:rPr>
        <w:t>电子邮箱：</w:t>
      </w:r>
    </w:p>
    <w:p w14:paraId="2E4381AD">
      <w:pPr>
        <w:numPr>
          <w:ilvl w:val="255"/>
          <w:numId w:val="0"/>
        </w:num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（六）本合同一式捌份，甲乙双方各执肆份，均具有同等法律效力。本合同由甲乙双方法定代表人或授权代表签名并盖章之日起生效。</w:t>
      </w:r>
    </w:p>
    <w:p w14:paraId="6ED28676">
      <w:pPr>
        <w:spacing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lang w:eastAsia="zh-CN"/>
        </w:rPr>
        <w:t>附件：</w:t>
      </w:r>
      <w:r>
        <w:rPr>
          <w:rFonts w:ascii="宋体" w:hAnsi="宋体" w:eastAsia="宋体" w:cs="宋体"/>
          <w:highlight w:val="none"/>
          <w:lang w:eastAsia="zh-CN"/>
        </w:rPr>
        <w:t>1、安全生产管理协议</w:t>
      </w:r>
    </w:p>
    <w:p w14:paraId="1D7D5B0D">
      <w:pPr>
        <w:spacing w:line="360" w:lineRule="auto"/>
        <w:ind w:firstLine="480" w:firstLineChars="200"/>
        <w:jc w:val="both"/>
        <w:rPr>
          <w:rFonts w:hint="eastAsia" w:ascii="宋体" w:hAnsi="宋体" w:eastAsia="宋体" w:cs="宋体"/>
          <w:highlight w:val="none"/>
          <w:lang w:eastAsia="zh-CN"/>
        </w:rPr>
      </w:pPr>
      <w:r>
        <w:rPr>
          <w:rFonts w:ascii="宋体" w:hAnsi="宋体" w:eastAsia="宋体" w:cs="宋体"/>
          <w:highlight w:val="none"/>
          <w:lang w:eastAsia="zh-CN"/>
        </w:rPr>
        <w:t xml:space="preserve">      2、</w:t>
      </w:r>
      <w:r>
        <w:rPr>
          <w:rFonts w:hint="eastAsia" w:ascii="宋体" w:hAnsi="宋体" w:eastAsia="宋体" w:cs="宋体"/>
          <w:highlight w:val="none"/>
          <w:lang w:eastAsia="zh-CN"/>
        </w:rPr>
        <w:t>廉洁协议书</w:t>
      </w:r>
    </w:p>
    <w:p w14:paraId="1BA4975A">
      <w:pPr>
        <w:spacing w:line="360" w:lineRule="auto"/>
        <w:ind w:firstLine="1200" w:firstLineChars="500"/>
        <w:jc w:val="both"/>
        <w:rPr>
          <w:rFonts w:hint="eastAsia" w:ascii="宋体" w:hAnsi="宋体" w:eastAsia="宋体" w:cs="宋体"/>
          <w:highlight w:val="none"/>
          <w:lang w:eastAsia="zh-CN"/>
        </w:rPr>
      </w:pPr>
      <w:r>
        <w:rPr>
          <w:rFonts w:hint="eastAsia" w:ascii="宋体" w:hAnsi="宋体" w:eastAsia="宋体" w:cs="宋体"/>
          <w:highlight w:val="none"/>
          <w:lang w:eastAsia="zh-CN"/>
        </w:rPr>
        <w:t>3、报价清单</w:t>
      </w:r>
    </w:p>
    <w:p w14:paraId="21061E18">
      <w:pPr>
        <w:spacing w:line="360" w:lineRule="auto"/>
        <w:ind w:firstLine="1200" w:firstLineChars="500"/>
        <w:jc w:val="both"/>
        <w:rPr>
          <w:rFonts w:hint="default" w:ascii="宋体" w:hAnsi="宋体" w:eastAsia="宋体" w:cs="宋体"/>
          <w:highlight w:val="none"/>
          <w:lang w:val="en-US" w:eastAsia="zh-CN"/>
        </w:rPr>
      </w:pPr>
      <w:r>
        <w:rPr>
          <w:rFonts w:hint="eastAsia" w:ascii="宋体" w:hAnsi="宋体" w:eastAsia="宋体" w:cs="宋体"/>
          <w:highlight w:val="none"/>
          <w:lang w:val="en-US" w:eastAsia="zh-CN"/>
        </w:rPr>
        <w:t>4、在线监测设备清单</w:t>
      </w:r>
    </w:p>
    <w:p w14:paraId="33F9BEF6">
      <w:pPr>
        <w:spacing w:line="360" w:lineRule="auto"/>
        <w:ind w:firstLine="1200" w:firstLineChars="500"/>
        <w:jc w:val="both"/>
        <w:rPr>
          <w:rFonts w:hint="eastAsia" w:ascii="宋体" w:hAnsi="宋体" w:eastAsia="宋体" w:cs="宋体"/>
          <w:highlight w:val="none"/>
          <w:lang w:eastAsia="zh-CN"/>
        </w:rPr>
      </w:pPr>
      <w:r>
        <w:rPr>
          <w:rFonts w:hint="eastAsia" w:ascii="宋体" w:hAnsi="宋体" w:eastAsia="宋体" w:cs="宋体"/>
          <w:highlight w:val="none"/>
          <w:lang w:eastAsia="zh-CN"/>
        </w:rPr>
        <w:t>（以下无正文）</w:t>
      </w:r>
    </w:p>
    <w:p w14:paraId="0F1FA7A1">
      <w:pPr>
        <w:spacing w:line="360" w:lineRule="auto"/>
        <w:rPr>
          <w:rFonts w:hint="eastAsia" w:ascii="宋体" w:hAnsi="宋体" w:eastAsia="宋体" w:cs="宋体"/>
          <w:highlight w:val="none"/>
          <w:lang w:eastAsia="zh-CN"/>
        </w:rPr>
      </w:pPr>
      <w:r>
        <w:rPr>
          <w:rFonts w:ascii="宋体" w:hAnsi="宋体" w:eastAsia="宋体" w:cs="宋体"/>
          <w:highlight w:val="none"/>
          <w:lang w:eastAsia="zh-CN"/>
        </w:rPr>
        <w:br w:type="page"/>
      </w:r>
      <w:r>
        <w:rPr>
          <w:rFonts w:ascii="宋体" w:hAnsi="宋体" w:eastAsia="宋体" w:cs="宋体"/>
          <w:highlight w:val="none"/>
          <w:lang w:eastAsia="zh-CN"/>
        </w:rPr>
        <w:t>甲方：广州南沙城市排水有限公司</w:t>
      </w:r>
    </w:p>
    <w:p w14:paraId="4C6E912C">
      <w:pPr>
        <w:spacing w:line="360" w:lineRule="auto"/>
        <w:rPr>
          <w:rFonts w:hint="eastAsia" w:ascii="宋体" w:hAnsi="宋体" w:eastAsia="宋体" w:cs="宋体"/>
          <w:highlight w:val="none"/>
          <w:lang w:eastAsia="zh-CN"/>
        </w:rPr>
      </w:pPr>
      <w:r>
        <w:rPr>
          <w:rFonts w:ascii="宋体" w:hAnsi="宋体" w:eastAsia="宋体" w:cs="宋体"/>
          <w:highlight w:val="none"/>
          <w:lang w:eastAsia="zh-CN"/>
        </w:rPr>
        <w:t>法定代表人：</w:t>
      </w:r>
    </w:p>
    <w:p w14:paraId="48C41BFA">
      <w:pPr>
        <w:spacing w:line="360" w:lineRule="auto"/>
        <w:rPr>
          <w:rFonts w:hint="eastAsia" w:ascii="宋体" w:hAnsi="宋体" w:eastAsia="宋体" w:cs="宋体"/>
          <w:highlight w:val="none"/>
          <w:lang w:eastAsia="zh-CN"/>
        </w:rPr>
      </w:pPr>
      <w:r>
        <w:rPr>
          <w:rFonts w:ascii="宋体" w:hAnsi="宋体" w:eastAsia="宋体" w:cs="宋体"/>
          <w:highlight w:val="none"/>
          <w:lang w:eastAsia="zh-CN"/>
        </w:rPr>
        <w:t>或委托代理人：</w:t>
      </w:r>
    </w:p>
    <w:p w14:paraId="26721B3E">
      <w:pPr>
        <w:pStyle w:val="57"/>
        <w:spacing w:line="360" w:lineRule="auto"/>
        <w:rPr>
          <w:rFonts w:hint="eastAsia" w:ascii="宋体" w:hAnsi="宋体" w:cs="宋体"/>
          <w:sz w:val="24"/>
          <w:szCs w:val="24"/>
          <w:highlight w:val="none"/>
        </w:rPr>
      </w:pPr>
      <w:r>
        <w:rPr>
          <w:rFonts w:hint="eastAsia" w:ascii="宋体" w:hAnsi="宋体" w:cs="宋体"/>
          <w:sz w:val="24"/>
          <w:szCs w:val="24"/>
          <w:highlight w:val="none"/>
        </w:rPr>
        <w:t>联系人：</w:t>
      </w:r>
    </w:p>
    <w:p w14:paraId="028BCFB3">
      <w:pPr>
        <w:pStyle w:val="57"/>
        <w:spacing w:line="360" w:lineRule="auto"/>
        <w:rPr>
          <w:rFonts w:hint="eastAsia" w:ascii="宋体" w:hAnsi="宋体" w:cs="宋体"/>
          <w:sz w:val="24"/>
          <w:szCs w:val="24"/>
          <w:highlight w:val="none"/>
        </w:rPr>
      </w:pPr>
      <w:r>
        <w:rPr>
          <w:rFonts w:hint="eastAsia" w:ascii="宋体" w:hAnsi="宋体" w:cs="宋体"/>
          <w:sz w:val="24"/>
          <w:szCs w:val="24"/>
          <w:highlight w:val="none"/>
        </w:rPr>
        <w:t>联系电话：</w:t>
      </w:r>
    </w:p>
    <w:p w14:paraId="48ABC604">
      <w:pPr>
        <w:spacing w:line="360" w:lineRule="auto"/>
        <w:jc w:val="both"/>
        <w:rPr>
          <w:rFonts w:hint="eastAsia" w:ascii="宋体" w:hAnsi="宋体" w:eastAsia="宋体" w:cs="宋体"/>
          <w:highlight w:val="none"/>
          <w:lang w:eastAsia="zh-CN"/>
        </w:rPr>
      </w:pPr>
      <w:r>
        <w:rPr>
          <w:rFonts w:ascii="宋体" w:hAnsi="宋体" w:eastAsia="宋体" w:cs="宋体"/>
          <w:highlight w:val="none"/>
          <w:lang w:eastAsia="zh-CN"/>
        </w:rPr>
        <w:t>日期：   年  月   日</w:t>
      </w:r>
    </w:p>
    <w:p w14:paraId="00D865F2">
      <w:pPr>
        <w:spacing w:line="360" w:lineRule="auto"/>
        <w:jc w:val="both"/>
        <w:rPr>
          <w:rFonts w:hint="eastAsia" w:ascii="宋体" w:hAnsi="宋体" w:eastAsia="宋体" w:cs="宋体"/>
          <w:highlight w:val="none"/>
          <w:lang w:eastAsia="zh-CN"/>
        </w:rPr>
      </w:pPr>
    </w:p>
    <w:p w14:paraId="08CB9AE8">
      <w:pPr>
        <w:spacing w:line="360" w:lineRule="auto"/>
        <w:jc w:val="both"/>
        <w:rPr>
          <w:rFonts w:hint="eastAsia" w:ascii="宋体" w:hAnsi="宋体" w:eastAsia="宋体" w:cs="宋体"/>
          <w:highlight w:val="none"/>
          <w:lang w:eastAsia="zh-CN"/>
        </w:rPr>
      </w:pPr>
      <w:r>
        <w:rPr>
          <w:rFonts w:ascii="宋体" w:hAnsi="宋体" w:eastAsia="宋体" w:cs="宋体"/>
          <w:highlight w:val="none"/>
          <w:lang w:eastAsia="zh-CN"/>
        </w:rPr>
        <w:t>乙方：</w:t>
      </w:r>
    </w:p>
    <w:p w14:paraId="06026D49">
      <w:pPr>
        <w:spacing w:line="360" w:lineRule="auto"/>
        <w:rPr>
          <w:rFonts w:hint="eastAsia" w:ascii="宋体" w:hAnsi="宋体" w:eastAsia="宋体" w:cs="宋体"/>
          <w:highlight w:val="none"/>
          <w:lang w:eastAsia="zh-CN"/>
        </w:rPr>
      </w:pPr>
      <w:r>
        <w:rPr>
          <w:rFonts w:ascii="宋体" w:hAnsi="宋体" w:eastAsia="宋体" w:cs="宋体"/>
          <w:highlight w:val="none"/>
          <w:lang w:eastAsia="zh-CN"/>
        </w:rPr>
        <w:t>法定代表人：</w:t>
      </w:r>
    </w:p>
    <w:p w14:paraId="26272E93">
      <w:pPr>
        <w:spacing w:line="360" w:lineRule="auto"/>
        <w:rPr>
          <w:rFonts w:hint="eastAsia" w:ascii="宋体" w:hAnsi="宋体" w:eastAsia="宋体" w:cs="宋体"/>
          <w:highlight w:val="none"/>
          <w:lang w:eastAsia="zh-CN"/>
        </w:rPr>
      </w:pPr>
      <w:r>
        <w:rPr>
          <w:rFonts w:ascii="宋体" w:hAnsi="宋体" w:eastAsia="宋体" w:cs="宋体"/>
          <w:highlight w:val="none"/>
          <w:lang w:eastAsia="zh-CN"/>
        </w:rPr>
        <w:t>或委托代理人：</w:t>
      </w:r>
    </w:p>
    <w:p w14:paraId="19FE7330">
      <w:pPr>
        <w:spacing w:line="360" w:lineRule="auto"/>
        <w:rPr>
          <w:rFonts w:ascii="宋体" w:hAnsi="宋体" w:eastAsia="宋体" w:cs="宋体"/>
          <w:highlight w:val="none"/>
          <w:lang w:eastAsia="zh-CN"/>
        </w:rPr>
      </w:pPr>
      <w:r>
        <w:rPr>
          <w:rFonts w:ascii="宋体" w:hAnsi="宋体" w:eastAsia="宋体" w:cs="宋体"/>
          <w:highlight w:val="none"/>
          <w:lang w:eastAsia="zh-CN"/>
        </w:rPr>
        <w:t>联系人：</w:t>
      </w:r>
    </w:p>
    <w:p w14:paraId="3BE35596">
      <w:pPr>
        <w:spacing w:line="360" w:lineRule="auto"/>
        <w:rPr>
          <w:rFonts w:hint="eastAsia" w:ascii="宋体" w:hAnsi="宋体" w:eastAsia="宋体" w:cs="宋体"/>
          <w:highlight w:val="none"/>
          <w:lang w:eastAsia="zh-CN"/>
        </w:rPr>
      </w:pPr>
      <w:r>
        <w:rPr>
          <w:rFonts w:ascii="宋体" w:hAnsi="宋体" w:eastAsia="宋体" w:cs="宋体"/>
          <w:highlight w:val="none"/>
          <w:lang w:eastAsia="zh-CN"/>
        </w:rPr>
        <w:t>联系电话：</w:t>
      </w:r>
    </w:p>
    <w:p w14:paraId="1B57314A">
      <w:pPr>
        <w:rPr>
          <w:rFonts w:hint="eastAsia" w:ascii="宋体" w:hAnsi="宋体" w:eastAsia="宋体" w:cs="宋体"/>
          <w:bCs/>
          <w:highlight w:val="none"/>
          <w:lang w:eastAsia="zh-CN"/>
        </w:rPr>
      </w:pPr>
      <w:r>
        <w:rPr>
          <w:rFonts w:ascii="宋体" w:hAnsi="宋体" w:eastAsia="宋体" w:cs="宋体"/>
          <w:highlight w:val="none"/>
          <w:lang w:eastAsia="zh-CN"/>
        </w:rPr>
        <w:t>日期：   年  月   日</w:t>
      </w:r>
      <w:r>
        <w:rPr>
          <w:rFonts w:ascii="宋体" w:hAnsi="宋体" w:eastAsia="宋体" w:cs="宋体"/>
          <w:b/>
          <w:bCs/>
          <w:highlight w:val="none"/>
          <w:lang w:eastAsia="zh-CN"/>
        </w:rPr>
        <w:br w:type="page"/>
      </w:r>
      <w:r>
        <w:rPr>
          <w:rFonts w:ascii="宋体" w:hAnsi="宋体" w:eastAsia="宋体" w:cs="宋体"/>
          <w:bCs/>
          <w:highlight w:val="none"/>
          <w:lang w:eastAsia="zh-CN"/>
        </w:rPr>
        <w:t>附件1</w:t>
      </w:r>
    </w:p>
    <w:p w14:paraId="7B0A9688">
      <w:pPr>
        <w:jc w:val="center"/>
        <w:rPr>
          <w:rFonts w:hint="eastAsia" w:ascii="方正小标宋简体" w:hAnsi="方正小标宋简体" w:eastAsia="方正小标宋简体"/>
          <w:color w:val="FF0000"/>
          <w:sz w:val="32"/>
          <w:szCs w:val="32"/>
          <w:highlight w:val="none"/>
          <w:lang w:eastAsia="zh-CN"/>
        </w:rPr>
      </w:pPr>
      <w:r>
        <w:rPr>
          <w:rFonts w:hint="eastAsia" w:ascii="黑体" w:hAnsi="黑体" w:eastAsia="黑体" w:cs="黑体"/>
          <w:b/>
          <w:bCs/>
          <w:sz w:val="30"/>
          <w:szCs w:val="30"/>
          <w:highlight w:val="none"/>
          <w:lang w:eastAsia="zh-CN"/>
        </w:rPr>
        <w:t>安全生产管理协议</w:t>
      </w:r>
    </w:p>
    <w:p w14:paraId="603DD784">
      <w:pPr>
        <w:pStyle w:val="13"/>
        <w:ind w:left="0" w:leftChars="0"/>
        <w:rPr>
          <w:highlight w:val="none"/>
          <w:lang w:eastAsia="zh-CN"/>
        </w:rPr>
      </w:pPr>
    </w:p>
    <w:p w14:paraId="3F81C363">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项目名称：在线监测系统2026年度运行维护服务项目</w:t>
      </w:r>
    </w:p>
    <w:p w14:paraId="70317E09">
      <w:pPr>
        <w:spacing w:line="360" w:lineRule="auto"/>
        <w:rPr>
          <w:rFonts w:hint="eastAsia" w:ascii="宋体" w:hAnsi="宋体" w:eastAsia="宋体" w:cs="宋体"/>
          <w:highlight w:val="none"/>
          <w:lang w:eastAsia="zh-CN"/>
        </w:rPr>
      </w:pPr>
      <w:r>
        <w:rPr>
          <w:rFonts w:hint="eastAsia" w:ascii="宋体" w:hAnsi="宋体" w:eastAsia="宋体" w:cs="宋体"/>
          <w:color w:val="auto"/>
          <w:highlight w:val="none"/>
          <w:lang w:eastAsia="zh-CN"/>
        </w:rPr>
        <w:t>项目地点：广州市南沙区</w:t>
      </w:r>
    </w:p>
    <w:p w14:paraId="35BD0DA4">
      <w:pPr>
        <w:spacing w:line="360" w:lineRule="auto"/>
        <w:rPr>
          <w:rFonts w:hint="eastAsia" w:ascii="宋体" w:hAnsi="宋体" w:eastAsia="宋体" w:cs="宋体"/>
          <w:kern w:val="2"/>
          <w:highlight w:val="none"/>
          <w:lang w:eastAsia="zh-CN"/>
        </w:rPr>
      </w:pPr>
      <w:r>
        <w:rPr>
          <w:rFonts w:hint="eastAsia" w:ascii="宋体" w:hAnsi="宋体" w:eastAsia="宋体" w:cs="宋体"/>
          <w:kern w:val="2"/>
          <w:highlight w:val="none"/>
          <w:lang w:eastAsia="zh-CN"/>
        </w:rPr>
        <w:t>甲方：广州南沙城市排水有限公司</w:t>
      </w:r>
    </w:p>
    <w:p w14:paraId="30C1157C">
      <w:pPr>
        <w:spacing w:line="360" w:lineRule="auto"/>
        <w:rPr>
          <w:rFonts w:hint="eastAsia" w:ascii="宋体" w:hAnsi="宋体" w:eastAsia="宋体" w:cs="宋体"/>
          <w:highlight w:val="none"/>
          <w:lang w:eastAsia="zh-CN"/>
        </w:rPr>
      </w:pPr>
      <w:r>
        <w:rPr>
          <w:rFonts w:hint="eastAsia" w:ascii="宋体" w:hAnsi="宋体" w:eastAsia="宋体" w:cs="宋体"/>
          <w:highlight w:val="none"/>
          <w:lang w:eastAsia="zh-CN"/>
        </w:rPr>
        <w:t>乙方：</w:t>
      </w:r>
    </w:p>
    <w:p w14:paraId="7A6205C4">
      <w:pPr>
        <w:pStyle w:val="14"/>
        <w:spacing w:before="0" w:beforeAutospacing="0" w:after="0" w:afterAutospacing="0" w:line="360" w:lineRule="auto"/>
        <w:ind w:firstLine="480" w:firstLineChars="200"/>
        <w:rPr>
          <w:rFonts w:hint="eastAsia"/>
          <w:highlight w:val="none"/>
        </w:rPr>
      </w:pPr>
      <w:r>
        <w:rPr>
          <w:rFonts w:hint="eastAsia"/>
          <w:highlight w:val="none"/>
        </w:rPr>
        <w:t>根据《中华人民共和国安全生产法》《中华人民共和国消防法》《危险化学品安全管理条例》《生产安全事故报告和调查处理条例》《广州市安全生产条例》等有关安全生产法律法规，为切实做好项目的安全生产管理工作，经甲、乙双方协商一致，签订本协议。</w:t>
      </w:r>
    </w:p>
    <w:p w14:paraId="1D843A99">
      <w:pPr>
        <w:numPr>
          <w:ilvl w:val="0"/>
          <w:numId w:val="4"/>
        </w:numPr>
        <w:spacing w:line="360" w:lineRule="auto"/>
        <w:ind w:firstLine="482" w:firstLineChars="200"/>
        <w:rPr>
          <w:rFonts w:hint="eastAsia" w:ascii="宋体" w:hAnsi="宋体" w:eastAsia="宋体" w:cs="宋体"/>
          <w:b/>
          <w:bCs/>
          <w:highlight w:val="none"/>
        </w:rPr>
      </w:pPr>
      <w:r>
        <w:rPr>
          <w:rFonts w:hint="eastAsia" w:ascii="宋体" w:hAnsi="宋体" w:eastAsia="宋体" w:cs="宋体"/>
          <w:b/>
          <w:bCs/>
          <w:highlight w:val="none"/>
        </w:rPr>
        <w:t>协议期限</w:t>
      </w:r>
    </w:p>
    <w:p w14:paraId="74C8C5F0">
      <w:pPr>
        <w:pStyle w:val="14"/>
        <w:spacing w:before="0" w:beforeAutospacing="0" w:after="0" w:afterAutospacing="0" w:line="360" w:lineRule="auto"/>
        <w:ind w:firstLine="562"/>
        <w:rPr>
          <w:rFonts w:hint="eastAsia"/>
          <w:highlight w:val="none"/>
        </w:rPr>
      </w:pPr>
      <w:r>
        <w:rPr>
          <w:rFonts w:hint="eastAsia"/>
          <w:highlight w:val="none"/>
        </w:rPr>
        <w:t>本协议自双方法定代表人或授权代表签字盖章之日起生效，并与项目合同终止日期一致。</w:t>
      </w:r>
    </w:p>
    <w:p w14:paraId="555E7788">
      <w:pPr>
        <w:pStyle w:val="14"/>
        <w:spacing w:before="0" w:beforeAutospacing="0" w:after="0" w:afterAutospacing="0" w:line="360" w:lineRule="auto"/>
        <w:ind w:firstLine="562"/>
        <w:rPr>
          <w:rFonts w:hint="eastAsia"/>
          <w:highlight w:val="none"/>
        </w:rPr>
      </w:pPr>
      <w:r>
        <w:rPr>
          <w:rFonts w:hint="eastAsia"/>
          <w:highlight w:val="none"/>
        </w:rPr>
        <w:t>二、</w:t>
      </w:r>
      <w:r>
        <w:rPr>
          <w:rFonts w:hint="eastAsia"/>
          <w:b/>
          <w:highlight w:val="none"/>
        </w:rPr>
        <w:t>管理架构</w:t>
      </w:r>
    </w:p>
    <w:p w14:paraId="241C7340">
      <w:pPr>
        <w:pStyle w:val="14"/>
        <w:spacing w:before="0" w:beforeAutospacing="0" w:after="0" w:afterAutospacing="0" w:line="360" w:lineRule="auto"/>
        <w:ind w:firstLine="562"/>
        <w:rPr>
          <w:rFonts w:hint="eastAsia"/>
          <w:highlight w:val="none"/>
        </w:rPr>
      </w:pPr>
      <w:r>
        <w:rPr>
          <w:rFonts w:hint="eastAsia"/>
          <w:highlight w:val="none"/>
        </w:rPr>
        <w:t>乙方任命</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（联系电话：</w:t>
      </w:r>
      <w:r>
        <w:rPr>
          <w:rFonts w:hint="eastAsia"/>
          <w:highlight w:val="none"/>
          <w:u w:val="single"/>
          <w:lang w:val="en-US" w:eastAsia="zh-CN"/>
        </w:rPr>
        <w:t xml:space="preserve">     </w:t>
      </w:r>
      <w:r>
        <w:rPr>
          <w:rFonts w:hint="eastAsia"/>
          <w:highlight w:val="none"/>
          <w:u w:val="single"/>
        </w:rPr>
        <w:t>）</w:t>
      </w:r>
      <w:r>
        <w:rPr>
          <w:rFonts w:hint="eastAsia"/>
          <w:highlight w:val="none"/>
          <w:u w:val="single"/>
          <w:lang w:val="en-US" w:eastAsia="zh-CN"/>
        </w:rPr>
        <w:t xml:space="preserve">   </w:t>
      </w:r>
      <w:r>
        <w:rPr>
          <w:rFonts w:hint="eastAsia"/>
          <w:highlight w:val="none"/>
        </w:rPr>
        <w:t>为该项目负责人，全面负责该项目项目管理；任命</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（联系电话：</w:t>
      </w:r>
      <w:r>
        <w:rPr>
          <w:rFonts w:hint="eastAsia"/>
          <w:highlight w:val="none"/>
          <w:u w:val="single"/>
          <w:lang w:val="en-US" w:eastAsia="zh-CN"/>
        </w:rPr>
        <w:t xml:space="preserve">     </w:t>
      </w:r>
      <w:r>
        <w:rPr>
          <w:rFonts w:hint="eastAsia"/>
          <w:highlight w:val="none"/>
          <w:u w:val="single"/>
        </w:rPr>
        <w:t>）</w:t>
      </w:r>
      <w:r>
        <w:rPr>
          <w:rFonts w:hint="eastAsia"/>
          <w:highlight w:val="none"/>
        </w:rPr>
        <w:t>为该项目安全员，负责该项目安全管理。</w:t>
      </w:r>
    </w:p>
    <w:p w14:paraId="727E25BB">
      <w:pPr>
        <w:spacing w:line="360" w:lineRule="auto"/>
        <w:ind w:firstLine="480" w:firstLineChars="200"/>
        <w:rPr>
          <w:rFonts w:hint="eastAsia" w:ascii="宋体" w:hAnsi="宋体" w:eastAsia="宋体" w:cs="宋体"/>
          <w:b/>
          <w:bCs/>
          <w:highlight w:val="none"/>
          <w:lang w:eastAsia="zh-CN"/>
        </w:rPr>
      </w:pPr>
      <w:r>
        <w:rPr>
          <w:rFonts w:hint="eastAsia" w:ascii="宋体" w:hAnsi="宋体" w:cs="宋体"/>
          <w:b/>
          <w:bCs/>
          <w:highlight w:val="none"/>
          <w:lang w:eastAsia="zh-CN"/>
        </w:rPr>
        <w:t>三</w:t>
      </w:r>
      <w:r>
        <w:rPr>
          <w:rFonts w:hint="eastAsia" w:ascii="宋体" w:hAnsi="宋体" w:eastAsia="宋体" w:cs="宋体"/>
          <w:b/>
          <w:bCs/>
          <w:highlight w:val="none"/>
          <w:lang w:eastAsia="zh-CN"/>
        </w:rPr>
        <w:t>、甲方的安全管理责任</w:t>
      </w:r>
    </w:p>
    <w:p w14:paraId="6C7A5BB6">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（一）严格遵守相关安全法律法规，对乙方安全生产、消防安全、用电安全管理进行监督检查，督促乙方遵守相关安全法律、法规。</w:t>
      </w:r>
    </w:p>
    <w:p w14:paraId="2D1D3ACC">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二）发现乙方存在安全生产、消防安全、用电安全等隐患时，及时通知乙方在合理期限内进行整改，乙方无正当理由不能在合理期限内按甲方要求完成整改或者拒不整改的，甲方应及时向所在地的应急、环保、消防、市场监督等相关部门报告</w:t>
      </w:r>
      <w:r>
        <w:rPr>
          <w:rFonts w:hint="eastAsia" w:ascii="宋体" w:hAnsi="宋体" w:cs="宋体"/>
          <w:highlight w:val="none"/>
          <w:lang w:eastAsia="zh-CN"/>
        </w:rPr>
        <w:t>，</w:t>
      </w:r>
      <w:r>
        <w:rPr>
          <w:rFonts w:hint="eastAsia" w:ascii="宋体" w:hAnsi="宋体" w:eastAsia="宋体" w:cs="宋体"/>
          <w:highlight w:val="none"/>
          <w:lang w:eastAsia="zh-CN"/>
        </w:rPr>
        <w:t>且甲方有权责令乙方</w:t>
      </w:r>
      <w:r>
        <w:rPr>
          <w:rFonts w:hint="eastAsia" w:ascii="宋体" w:hAnsi="宋体" w:cs="宋体"/>
          <w:color w:val="auto"/>
          <w:highlight w:val="none"/>
          <w:lang w:eastAsia="zh-CN"/>
        </w:rPr>
        <w:t>停止作业</w:t>
      </w:r>
      <w:r>
        <w:rPr>
          <w:rFonts w:hint="eastAsia" w:ascii="宋体" w:hAnsi="宋体" w:cs="宋体"/>
          <w:highlight w:val="none"/>
          <w:lang w:eastAsia="zh-CN"/>
        </w:rPr>
        <w:t>直至</w:t>
      </w:r>
      <w:r>
        <w:rPr>
          <w:rFonts w:hint="eastAsia" w:ascii="宋体" w:hAnsi="宋体" w:eastAsia="宋体" w:cs="宋体"/>
          <w:highlight w:val="none"/>
          <w:lang w:eastAsia="zh-CN"/>
        </w:rPr>
        <w:t>解除合同</w:t>
      </w:r>
      <w:r>
        <w:rPr>
          <w:rFonts w:hint="eastAsia" w:ascii="宋体" w:hAnsi="宋体" w:cs="宋体"/>
          <w:highlight w:val="none"/>
          <w:lang w:eastAsia="zh-CN"/>
        </w:rPr>
        <w:t>及相关协议</w:t>
      </w:r>
      <w:r>
        <w:rPr>
          <w:rFonts w:hint="eastAsia" w:ascii="宋体" w:hAnsi="宋体" w:eastAsia="宋体" w:cs="宋体"/>
          <w:highlight w:val="none"/>
          <w:lang w:eastAsia="zh-CN"/>
        </w:rPr>
        <w:t>。</w:t>
      </w:r>
    </w:p>
    <w:p w14:paraId="55656A51">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（三）对</w:t>
      </w:r>
      <w:r>
        <w:rPr>
          <w:rFonts w:hint="eastAsia" w:ascii="宋体" w:hAnsi="宋体" w:cs="宋体"/>
          <w:highlight w:val="none"/>
          <w:lang w:eastAsia="zh-CN"/>
        </w:rPr>
        <w:t>上级</w:t>
      </w:r>
      <w:r>
        <w:rPr>
          <w:rFonts w:hint="eastAsia" w:ascii="宋体" w:hAnsi="宋体" w:eastAsia="宋体" w:cs="宋体"/>
          <w:highlight w:val="none"/>
          <w:lang w:eastAsia="zh-CN"/>
        </w:rPr>
        <w:t>管理部门检查发现的因甲方或乙方原因造成的事故隐患或不安全因素，按照安全管理职责落实整改或督促乙方立即或限期整改。</w:t>
      </w:r>
    </w:p>
    <w:p w14:paraId="2EAC86D5">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（四</w:t>
      </w:r>
      <w:r>
        <w:rPr>
          <w:rFonts w:hint="eastAsia" w:ascii="宋体" w:hAnsi="宋体" w:cs="宋体"/>
          <w:highlight w:val="none"/>
          <w:lang w:eastAsia="zh-CN"/>
        </w:rPr>
        <w:t>）</w:t>
      </w:r>
      <w:r>
        <w:rPr>
          <w:rFonts w:hint="eastAsia" w:ascii="宋体" w:hAnsi="宋体" w:eastAsia="宋体" w:cs="宋体"/>
          <w:highlight w:val="none"/>
          <w:lang w:eastAsia="zh-CN"/>
        </w:rPr>
        <w:t>有权制止乙方的违规作业，有权责令安全素质差、不服从安全生产指挥的乙方人员限期退场，乙方应当自接到甲方退场通知之日起1个日历天内进行人员更换。否则，甲方有权责令乙方</w:t>
      </w:r>
      <w:r>
        <w:rPr>
          <w:rFonts w:hint="eastAsia" w:ascii="宋体" w:hAnsi="宋体" w:cs="宋体"/>
          <w:color w:val="auto"/>
          <w:highlight w:val="none"/>
          <w:lang w:eastAsia="zh-CN"/>
        </w:rPr>
        <w:t>停止作业</w:t>
      </w:r>
      <w:r>
        <w:rPr>
          <w:rFonts w:hint="eastAsia" w:ascii="宋体" w:hAnsi="宋体" w:cs="宋体"/>
          <w:highlight w:val="none"/>
          <w:lang w:eastAsia="zh-CN"/>
        </w:rPr>
        <w:t>直至</w:t>
      </w:r>
      <w:r>
        <w:rPr>
          <w:rFonts w:hint="eastAsia" w:ascii="宋体" w:hAnsi="宋体" w:eastAsia="宋体" w:cs="宋体"/>
          <w:highlight w:val="none"/>
          <w:lang w:eastAsia="zh-CN"/>
        </w:rPr>
        <w:t>解除合同</w:t>
      </w:r>
      <w:r>
        <w:rPr>
          <w:rFonts w:hint="eastAsia" w:ascii="宋体" w:hAnsi="宋体" w:cs="宋体"/>
          <w:highlight w:val="none"/>
          <w:lang w:eastAsia="zh-CN"/>
        </w:rPr>
        <w:t>及相关协议</w:t>
      </w:r>
      <w:r>
        <w:rPr>
          <w:rFonts w:hint="eastAsia" w:ascii="宋体" w:hAnsi="宋体" w:eastAsia="宋体" w:cs="宋体"/>
          <w:highlight w:val="none"/>
          <w:lang w:eastAsia="zh-CN"/>
        </w:rPr>
        <w:t>。</w:t>
      </w:r>
    </w:p>
    <w:p w14:paraId="2BBD7851">
      <w:pPr>
        <w:spacing w:line="360" w:lineRule="auto"/>
        <w:ind w:firstLine="480" w:firstLineChars="200"/>
        <w:rPr>
          <w:rFonts w:hint="eastAsia" w:ascii="宋体" w:hAnsi="宋体" w:eastAsia="宋体" w:cs="宋体"/>
          <w:highlight w:val="none"/>
          <w:lang w:eastAsia="zh-CN"/>
        </w:rPr>
      </w:pPr>
      <w:r>
        <w:rPr>
          <w:rFonts w:hint="eastAsia" w:ascii="宋体" w:hAnsi="宋体" w:cs="宋体"/>
          <w:highlight w:val="none"/>
          <w:lang w:eastAsia="zh-CN"/>
        </w:rPr>
        <w:t>（五</w:t>
      </w:r>
      <w:r>
        <w:rPr>
          <w:rFonts w:hint="eastAsia" w:ascii="宋体" w:hAnsi="宋体" w:eastAsia="宋体" w:cs="宋体"/>
          <w:highlight w:val="none"/>
          <w:lang w:eastAsia="zh-CN"/>
        </w:rPr>
        <w:t>）</w:t>
      </w:r>
      <w:r>
        <w:rPr>
          <w:rFonts w:ascii="宋体" w:hAnsi="宋体" w:eastAsia="宋体" w:cs="宋体"/>
          <w:highlight w:val="none"/>
          <w:lang w:eastAsia="zh-CN"/>
        </w:rPr>
        <w:t>若乙方存在违反相关法律法规和本</w:t>
      </w:r>
      <w:r>
        <w:rPr>
          <w:rFonts w:hint="eastAsia" w:ascii="宋体" w:hAnsi="宋体" w:eastAsia="宋体" w:cs="宋体"/>
          <w:highlight w:val="none"/>
          <w:lang w:eastAsia="zh-CN"/>
        </w:rPr>
        <w:t>合同</w:t>
      </w:r>
      <w:r>
        <w:rPr>
          <w:rFonts w:hint="eastAsia" w:ascii="宋体" w:hAnsi="宋体" w:cs="宋体"/>
          <w:highlight w:val="none"/>
          <w:lang w:eastAsia="zh-CN"/>
        </w:rPr>
        <w:t>及相关协议</w:t>
      </w:r>
      <w:r>
        <w:rPr>
          <w:rFonts w:ascii="宋体" w:hAnsi="宋体" w:eastAsia="宋体" w:cs="宋体"/>
          <w:highlight w:val="none"/>
          <w:lang w:eastAsia="zh-CN"/>
        </w:rPr>
        <w:t>约定的行为，造成甲方损失以及给甲方造成不良社会影响的，甲方有权依法依规向乙方追偿全部损失。</w:t>
      </w:r>
    </w:p>
    <w:p w14:paraId="1EBD7439">
      <w:pPr>
        <w:spacing w:line="360" w:lineRule="auto"/>
        <w:ind w:firstLine="480" w:firstLineChars="200"/>
        <w:rPr>
          <w:rFonts w:hint="eastAsia" w:ascii="宋体" w:hAnsi="宋体" w:eastAsia="宋体" w:cs="宋体"/>
          <w:b/>
          <w:bCs/>
          <w:highlight w:val="none"/>
          <w:lang w:eastAsia="zh-CN"/>
        </w:rPr>
      </w:pPr>
      <w:r>
        <w:rPr>
          <w:rFonts w:hint="eastAsia" w:ascii="宋体" w:hAnsi="宋体" w:cs="宋体"/>
          <w:b/>
          <w:bCs/>
          <w:highlight w:val="none"/>
          <w:lang w:eastAsia="zh-CN"/>
        </w:rPr>
        <w:t>四</w:t>
      </w:r>
      <w:r>
        <w:rPr>
          <w:rFonts w:hint="eastAsia" w:ascii="宋体" w:hAnsi="宋体" w:eastAsia="宋体" w:cs="宋体"/>
          <w:b/>
          <w:bCs/>
          <w:highlight w:val="none"/>
          <w:lang w:eastAsia="zh-CN"/>
        </w:rPr>
        <w:t>、乙方的安全管理责任</w:t>
      </w:r>
    </w:p>
    <w:p w14:paraId="65207C68">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（一）严格遵守安全工作的法律、法规和规定，具备相应的安全生产资质和条件，配合甲方对其安全工作的检查和督促。</w:t>
      </w:r>
    </w:p>
    <w:p w14:paraId="2A51897C">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（二）对项目安全工作全面负责和承担责任，进行定期、不定期和专项安全检查，检查中发现隐患或违规作业应及时整改。</w:t>
      </w:r>
    </w:p>
    <w:p w14:paraId="15141C83">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三）应建立健全安全生产责任制度和安全教育培训制度，制定安全生产规章制度和操作规程，保证安全生产条件所需资金的投入，建立安全生产工作责任制为核心的安全管理规章制度，按照有关规定配备安全管理人员，加强对从业人员安全工作的日常宣传教育和培训，并制定安全应急救援、疏散预案，定期组织应急演练。</w:t>
      </w:r>
    </w:p>
    <w:p w14:paraId="3F96857D">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（四）保障公共疏散通道、安全出口、消防车通道畅通。</w:t>
      </w:r>
    </w:p>
    <w:p w14:paraId="0C8BD339">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（五）根据属地消防主管部门的要求，配备必要的消防器材，开展日常的火灾防范和扑救工作。</w:t>
      </w:r>
    </w:p>
    <w:p w14:paraId="6B32D7C5">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（六）对妨碍公共疏散通道、安全出口、消防车通道畅通以及阻挡、破坏公共消防设施、器材的行为，及时制止；制止无效的，及时报告当地公安派出所。</w:t>
      </w:r>
    </w:p>
    <w:p w14:paraId="188C84E6">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（七）乙方有专人负责本单位的有关安全、环保等工作。乙方法定代表为乙方安全责任人。</w:t>
      </w:r>
    </w:p>
    <w:p w14:paraId="61D3276C">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八）必须有保障从业人员安全的防护设施。购置的安全防护用品必须具有生产许可证、产品备案证，各项指标均应达到国家或行业的合格标准。建立劳动防护用品储存、发放台帐，督促、教育从业人员按照使用规则佩戴、使用，并书面告知危险岗位的操作规程和违章操作的危害。</w:t>
      </w:r>
    </w:p>
    <w:p w14:paraId="7C9C3917">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（九）</w:t>
      </w:r>
      <w:r>
        <w:rPr>
          <w:rFonts w:hint="eastAsia" w:ascii="宋体" w:hAnsi="宋体" w:eastAsia="宋体" w:cs="宋体"/>
          <w:color w:val="auto"/>
          <w:highlight w:val="none"/>
          <w:lang w:eastAsia="zh-CN"/>
        </w:rPr>
        <w:t>安排上岗的人员的身体素质、技术水平、安全意识均应符合要求。</w:t>
      </w:r>
      <w:r>
        <w:rPr>
          <w:rFonts w:hint="eastAsia" w:ascii="宋体" w:hAnsi="宋体" w:eastAsia="宋体" w:cs="宋体"/>
          <w:highlight w:val="none"/>
          <w:lang w:eastAsia="zh-CN"/>
        </w:rPr>
        <w:t>凡患作业禁忌症、生理缺陷或者不宜从事实际作业人员，乙方一律不得安排进入项目作业，否则由此引起的后果由乙方负责。</w:t>
      </w:r>
    </w:p>
    <w:p w14:paraId="104725EA">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十）乙方与其从业人员签署劳动合同和安全生产责任书，并负责办理社会保险（包含工伤保险）及人身意外伤害保险。乙方从业人员在工作期间发生工伤事故或造成甲方／第三方人身及财产损害的安全事故，应承担相应的法律责任，按照事故调查组的调查结果赔偿损失。</w:t>
      </w:r>
    </w:p>
    <w:p w14:paraId="14862D8B">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（十</w:t>
      </w:r>
      <w:r>
        <w:rPr>
          <w:rFonts w:hint="eastAsia" w:ascii="宋体" w:hAnsi="宋体" w:cs="宋体"/>
          <w:highlight w:val="none"/>
          <w:lang w:eastAsia="zh-CN"/>
        </w:rPr>
        <w:t>一</w:t>
      </w:r>
      <w:r>
        <w:rPr>
          <w:rFonts w:hint="eastAsia" w:ascii="宋体" w:hAnsi="宋体" w:eastAsia="宋体" w:cs="宋体"/>
          <w:highlight w:val="none"/>
          <w:lang w:eastAsia="zh-CN"/>
        </w:rPr>
        <w:t>）油类、化学物品等易燃、易爆及有毒物品应指定专人管理,且存放应符合规定。</w:t>
      </w:r>
    </w:p>
    <w:p w14:paraId="7A8DF56D">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（十</w:t>
      </w:r>
      <w:r>
        <w:rPr>
          <w:rFonts w:hint="eastAsia" w:ascii="宋体" w:hAnsi="宋体" w:cs="宋体"/>
          <w:highlight w:val="none"/>
          <w:lang w:eastAsia="zh-CN"/>
        </w:rPr>
        <w:t>二</w:t>
      </w:r>
      <w:r>
        <w:rPr>
          <w:rFonts w:hint="eastAsia" w:ascii="宋体" w:hAnsi="宋体" w:eastAsia="宋体" w:cs="宋体"/>
          <w:highlight w:val="none"/>
          <w:lang w:eastAsia="zh-CN"/>
        </w:rPr>
        <w:t>）作业环境温度超过三十五摄氏度的，应当采取防暑降温措施，配备必要的急救药品和器材，并按照规定合理安排作息时间。</w:t>
      </w:r>
    </w:p>
    <w:p w14:paraId="330D3ED3">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（十</w:t>
      </w:r>
      <w:r>
        <w:rPr>
          <w:rFonts w:hint="eastAsia" w:ascii="宋体" w:hAnsi="宋体" w:cs="宋体"/>
          <w:highlight w:val="none"/>
          <w:lang w:eastAsia="zh-CN"/>
        </w:rPr>
        <w:t>三</w:t>
      </w:r>
      <w:r>
        <w:rPr>
          <w:rFonts w:hint="eastAsia" w:ascii="宋体" w:hAnsi="宋体" w:eastAsia="宋体" w:cs="宋体"/>
          <w:highlight w:val="none"/>
          <w:lang w:eastAsia="zh-CN"/>
        </w:rPr>
        <w:t>）所有作业机具设备均应定期检查，保证其处于完好状态，不合格的机具、设备严禁使用。</w:t>
      </w:r>
    </w:p>
    <w:p w14:paraId="1E2FF19B">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（十</w:t>
      </w:r>
      <w:r>
        <w:rPr>
          <w:rFonts w:hint="eastAsia" w:ascii="宋体" w:hAnsi="宋体" w:cs="宋体"/>
          <w:highlight w:val="none"/>
          <w:lang w:eastAsia="zh-CN"/>
        </w:rPr>
        <w:t>四</w:t>
      </w:r>
      <w:r>
        <w:rPr>
          <w:rFonts w:hint="eastAsia" w:ascii="宋体" w:hAnsi="宋体" w:eastAsia="宋体" w:cs="宋体"/>
          <w:highlight w:val="none"/>
          <w:lang w:eastAsia="zh-CN"/>
        </w:rPr>
        <w:t>）建立生产安全事故隐患排查治理制度，定期自查自纠安全隐患及违反安全管理规定的因素，采取技术、管理措施，及时发现并消除事故隐患，保证项目安全顺利进行。事故隐患排查治理情况应当如实记录，并向从业人员通报。</w:t>
      </w:r>
    </w:p>
    <w:p w14:paraId="30548FB1">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（十</w:t>
      </w:r>
      <w:r>
        <w:rPr>
          <w:rFonts w:hint="eastAsia" w:ascii="宋体" w:hAnsi="宋体" w:cs="宋体"/>
          <w:highlight w:val="none"/>
          <w:lang w:eastAsia="zh-CN"/>
        </w:rPr>
        <w:t>五</w:t>
      </w:r>
      <w:r>
        <w:rPr>
          <w:rFonts w:hint="eastAsia" w:ascii="宋体" w:hAnsi="宋体" w:eastAsia="宋体" w:cs="宋体"/>
          <w:highlight w:val="none"/>
          <w:lang w:eastAsia="zh-CN"/>
        </w:rPr>
        <w:t>）事故发生后，主要负责人应当立即组织抢救，保护事故现场，采取有效措施抢救人员和财产；对事故现场进行拍照或录像；在规定时间内向行政主管部门及当地政府报告事故详情，并不得在事故调查处理期间擅离职守。</w:t>
      </w:r>
    </w:p>
    <w:p w14:paraId="37193E9C">
      <w:pPr>
        <w:spacing w:line="360" w:lineRule="auto"/>
        <w:ind w:firstLine="480" w:firstLineChars="200"/>
        <w:rPr>
          <w:highlight w:val="none"/>
          <w:lang w:eastAsia="zh-CN"/>
        </w:rPr>
      </w:pPr>
      <w:r>
        <w:rPr>
          <w:rFonts w:hint="eastAsia" w:ascii="宋体" w:hAnsi="宋体" w:eastAsia="宋体" w:cs="宋体"/>
          <w:highlight w:val="none"/>
          <w:lang w:eastAsia="zh-CN"/>
        </w:rPr>
        <w:t>（十</w:t>
      </w:r>
      <w:r>
        <w:rPr>
          <w:rFonts w:hint="eastAsia" w:ascii="宋体" w:hAnsi="宋体" w:cs="宋体"/>
          <w:highlight w:val="none"/>
          <w:lang w:eastAsia="zh-CN"/>
        </w:rPr>
        <w:t>六</w:t>
      </w:r>
      <w:r>
        <w:rPr>
          <w:rFonts w:hint="eastAsia" w:ascii="宋体" w:hAnsi="宋体" w:eastAsia="宋体" w:cs="宋体"/>
          <w:highlight w:val="none"/>
          <w:lang w:eastAsia="zh-CN"/>
        </w:rPr>
        <w:t>）</w:t>
      </w:r>
      <w:r>
        <w:rPr>
          <w:rFonts w:hint="eastAsia" w:ascii="宋体" w:hAnsi="宋体" w:eastAsia="宋体" w:cs="宋体"/>
          <w:color w:val="auto"/>
          <w:highlight w:val="none"/>
          <w:lang w:eastAsia="zh-CN"/>
        </w:rPr>
        <w:t>项目负责人</w:t>
      </w:r>
      <w:r>
        <w:rPr>
          <w:rFonts w:hint="eastAsia" w:ascii="宋体" w:hAnsi="宋体" w:cs="宋体"/>
          <w:color w:val="auto"/>
          <w:highlight w:val="none"/>
          <w:lang w:eastAsia="zh-CN"/>
        </w:rPr>
        <w:t>等人员</w:t>
      </w:r>
      <w:r>
        <w:rPr>
          <w:rFonts w:hint="eastAsia" w:ascii="宋体" w:hAnsi="宋体" w:eastAsia="宋体" w:cs="宋体"/>
          <w:color w:val="auto"/>
          <w:highlight w:val="none"/>
          <w:lang w:eastAsia="zh-CN"/>
        </w:rPr>
        <w:t>应具备相应资格，持证上岗。</w:t>
      </w:r>
      <w:r>
        <w:rPr>
          <w:rFonts w:hint="eastAsia" w:ascii="宋体" w:hAnsi="宋体" w:eastAsia="宋体" w:cs="宋体"/>
          <w:highlight w:val="none"/>
          <w:lang w:eastAsia="zh-CN"/>
        </w:rPr>
        <w:t>特种作业人员必须按照国家有关规定经专门的安全作业培训，取得相应资格，方可上岗作业，无相应作业证书不得从事相关业务。</w:t>
      </w:r>
    </w:p>
    <w:p w14:paraId="5E83C12F">
      <w:pPr>
        <w:spacing w:line="360" w:lineRule="auto"/>
        <w:ind w:firstLine="480" w:firstLineChars="200"/>
        <w:rPr>
          <w:rFonts w:hint="eastAsia" w:ascii="宋体" w:hAnsi="宋体" w:eastAsia="宋体" w:cs="宋体"/>
          <w:b/>
          <w:bCs/>
          <w:highlight w:val="none"/>
          <w:lang w:eastAsia="zh-CN"/>
        </w:rPr>
      </w:pPr>
      <w:r>
        <w:rPr>
          <w:rFonts w:hint="eastAsia" w:ascii="宋体" w:hAnsi="宋体" w:cs="宋体"/>
          <w:b/>
          <w:bCs/>
          <w:highlight w:val="none"/>
          <w:lang w:eastAsia="zh-CN"/>
        </w:rPr>
        <w:t>五</w:t>
      </w:r>
      <w:r>
        <w:rPr>
          <w:rFonts w:hint="eastAsia" w:ascii="宋体" w:hAnsi="宋体" w:eastAsia="宋体" w:cs="宋体"/>
          <w:b/>
          <w:bCs/>
          <w:highlight w:val="none"/>
          <w:lang w:eastAsia="zh-CN"/>
        </w:rPr>
        <w:t>、违约责任</w:t>
      </w:r>
    </w:p>
    <w:p w14:paraId="7F971218">
      <w:pPr>
        <w:spacing w:line="360" w:lineRule="auto"/>
        <w:ind w:firstLine="480" w:firstLineChars="200"/>
        <w:rPr>
          <w:rFonts w:hint="eastAsia" w:ascii="宋体" w:hAnsi="宋体" w:eastAsia="宋体" w:cs="宋体"/>
          <w:kern w:val="2"/>
          <w:highlight w:val="none"/>
          <w:lang w:eastAsia="zh-CN"/>
        </w:rPr>
      </w:pPr>
      <w:r>
        <w:rPr>
          <w:rFonts w:hint="eastAsia" w:ascii="宋体" w:hAnsi="宋体" w:eastAsia="宋体" w:cs="宋体"/>
          <w:kern w:val="2"/>
          <w:highlight w:val="none"/>
          <w:lang w:eastAsia="zh-CN"/>
        </w:rPr>
        <w:t>为保证本</w:t>
      </w:r>
      <w:r>
        <w:rPr>
          <w:rFonts w:hint="eastAsia" w:ascii="宋体" w:hAnsi="宋体" w:cs="宋体"/>
          <w:kern w:val="2"/>
          <w:highlight w:val="none"/>
          <w:lang w:eastAsia="zh-CN"/>
        </w:rPr>
        <w:t>协议</w:t>
      </w:r>
      <w:r>
        <w:rPr>
          <w:rFonts w:hint="eastAsia" w:ascii="宋体" w:hAnsi="宋体" w:eastAsia="宋体" w:cs="宋体"/>
          <w:kern w:val="2"/>
          <w:highlight w:val="none"/>
          <w:lang w:eastAsia="zh-CN"/>
        </w:rPr>
        <w:t>书的有效执行，乙方有下列行为之一的，甲方有权利责令其限期整改，对于乙方整改不力或拒绝配合实施的，甲方有权要求乙方承担违约责任及赔偿损失，对于情节严重的，甲方有权利立即终止与乙方合同，并且不承担违约责任：</w:t>
      </w:r>
    </w:p>
    <w:p w14:paraId="619E23BE">
      <w:pPr>
        <w:spacing w:line="360" w:lineRule="auto"/>
        <w:ind w:firstLine="480" w:firstLineChars="200"/>
        <w:rPr>
          <w:rFonts w:hint="eastAsia" w:ascii="宋体" w:hAnsi="宋体" w:eastAsia="宋体" w:cs="宋体"/>
          <w:kern w:val="2"/>
          <w:highlight w:val="none"/>
          <w:lang w:eastAsia="zh-CN"/>
        </w:rPr>
      </w:pPr>
      <w:r>
        <w:rPr>
          <w:rFonts w:hint="eastAsia" w:ascii="宋体" w:hAnsi="宋体" w:eastAsia="宋体" w:cs="宋体"/>
          <w:kern w:val="2"/>
          <w:highlight w:val="none"/>
          <w:lang w:eastAsia="zh-CN"/>
        </w:rPr>
        <w:t>（一）不配合甲方对安全生产工作的监督检查，拒绝对发生的安全生产事故进行调查和处理的；</w:t>
      </w:r>
    </w:p>
    <w:p w14:paraId="0ACE2823">
      <w:pPr>
        <w:spacing w:line="360" w:lineRule="auto"/>
        <w:ind w:firstLine="480" w:firstLineChars="200"/>
        <w:rPr>
          <w:rFonts w:hint="eastAsia" w:ascii="宋体" w:hAnsi="宋体" w:eastAsia="宋体" w:cs="宋体"/>
          <w:kern w:val="2"/>
          <w:highlight w:val="none"/>
          <w:lang w:eastAsia="zh-CN"/>
        </w:rPr>
      </w:pPr>
      <w:r>
        <w:rPr>
          <w:rFonts w:hint="eastAsia" w:ascii="宋体" w:hAnsi="宋体" w:eastAsia="宋体" w:cs="宋体"/>
          <w:kern w:val="2"/>
          <w:highlight w:val="none"/>
          <w:lang w:eastAsia="zh-CN"/>
        </w:rPr>
        <w:t>（二）未建立安全生产责任制度，或未制定相应的安全生产规章制度和作业标准的；</w:t>
      </w:r>
    </w:p>
    <w:p w14:paraId="21E680B6">
      <w:pPr>
        <w:spacing w:line="360" w:lineRule="auto"/>
        <w:ind w:firstLine="480" w:firstLineChars="200"/>
        <w:rPr>
          <w:rFonts w:hint="eastAsia" w:ascii="宋体" w:hAnsi="宋体" w:eastAsia="宋体" w:cs="宋体"/>
          <w:kern w:val="2"/>
          <w:highlight w:val="none"/>
          <w:lang w:eastAsia="zh-CN"/>
        </w:rPr>
      </w:pPr>
      <w:r>
        <w:rPr>
          <w:rFonts w:hint="eastAsia" w:ascii="宋体" w:hAnsi="宋体" w:eastAsia="宋体" w:cs="宋体"/>
          <w:kern w:val="2"/>
          <w:highlight w:val="none"/>
          <w:lang w:eastAsia="zh-CN"/>
        </w:rPr>
        <w:t>（三）未建立相应的安全生产管理机构或未按规定配备安全生产管理人员的；</w:t>
      </w:r>
    </w:p>
    <w:p w14:paraId="22E49039">
      <w:pPr>
        <w:spacing w:line="360" w:lineRule="auto"/>
        <w:ind w:firstLine="480" w:firstLineChars="200"/>
        <w:rPr>
          <w:rFonts w:hint="eastAsia" w:ascii="宋体" w:hAnsi="宋体" w:eastAsia="宋体" w:cs="宋体"/>
          <w:kern w:val="2"/>
          <w:highlight w:val="none"/>
          <w:lang w:eastAsia="zh-CN"/>
        </w:rPr>
      </w:pPr>
      <w:r>
        <w:rPr>
          <w:rFonts w:hint="eastAsia" w:ascii="宋体" w:hAnsi="宋体" w:eastAsia="宋体" w:cs="宋体"/>
          <w:kern w:val="2"/>
          <w:highlight w:val="none"/>
          <w:lang w:eastAsia="zh-CN"/>
        </w:rPr>
        <w:t>（四）未按规定对从业人员进行安全生产教育和培训的；</w:t>
      </w:r>
    </w:p>
    <w:p w14:paraId="357DA6D6">
      <w:pPr>
        <w:spacing w:line="360" w:lineRule="auto"/>
        <w:ind w:firstLine="480" w:firstLineChars="200"/>
        <w:rPr>
          <w:rFonts w:hint="eastAsia" w:ascii="宋体" w:hAnsi="宋体" w:eastAsia="宋体" w:cs="宋体"/>
          <w:kern w:val="2"/>
          <w:highlight w:val="none"/>
          <w:lang w:eastAsia="zh-CN"/>
        </w:rPr>
      </w:pPr>
      <w:r>
        <w:rPr>
          <w:rFonts w:hint="eastAsia" w:ascii="宋体" w:hAnsi="宋体" w:eastAsia="宋体" w:cs="宋体"/>
          <w:kern w:val="2"/>
          <w:highlight w:val="none"/>
          <w:lang w:eastAsia="zh-CN"/>
        </w:rPr>
        <w:t>（五）未按规定建立安全生产基础管理台帐的；</w:t>
      </w:r>
    </w:p>
    <w:p w14:paraId="30762833">
      <w:pPr>
        <w:spacing w:line="360" w:lineRule="auto"/>
        <w:ind w:firstLine="480" w:firstLineChars="200"/>
        <w:rPr>
          <w:rFonts w:hint="eastAsia" w:ascii="宋体" w:hAnsi="宋体" w:eastAsia="宋体" w:cs="宋体"/>
          <w:kern w:val="2"/>
          <w:highlight w:val="none"/>
          <w:lang w:eastAsia="zh-CN"/>
        </w:rPr>
      </w:pPr>
      <w:r>
        <w:rPr>
          <w:rFonts w:hint="eastAsia" w:ascii="宋体" w:hAnsi="宋体" w:eastAsia="宋体" w:cs="宋体"/>
          <w:kern w:val="2"/>
          <w:highlight w:val="none"/>
          <w:lang w:eastAsia="zh-CN"/>
        </w:rPr>
        <w:t>（六）有违章指挥、违章操作现象的；</w:t>
      </w:r>
    </w:p>
    <w:p w14:paraId="3FF0F8CE">
      <w:pPr>
        <w:spacing w:line="360" w:lineRule="auto"/>
        <w:ind w:firstLine="480" w:firstLineChars="200"/>
        <w:rPr>
          <w:rFonts w:hint="eastAsia" w:ascii="宋体" w:hAnsi="宋体" w:eastAsia="宋体" w:cs="宋体"/>
          <w:kern w:val="2"/>
          <w:highlight w:val="none"/>
          <w:lang w:eastAsia="zh-CN"/>
        </w:rPr>
      </w:pPr>
      <w:r>
        <w:rPr>
          <w:rFonts w:hint="eastAsia" w:ascii="宋体" w:hAnsi="宋体" w:eastAsia="宋体" w:cs="宋体"/>
          <w:kern w:val="2"/>
          <w:highlight w:val="none"/>
          <w:lang w:eastAsia="zh-CN"/>
        </w:rPr>
        <w:t>（七）未按规定和标准给从业人员配备劳动保护用品的</w:t>
      </w:r>
      <w:r>
        <w:rPr>
          <w:rFonts w:hint="eastAsia" w:ascii="宋体" w:hAnsi="宋体" w:cs="宋体"/>
          <w:kern w:val="2"/>
          <w:highlight w:val="none"/>
          <w:lang w:eastAsia="zh-CN"/>
        </w:rPr>
        <w:t>或</w:t>
      </w:r>
      <w:r>
        <w:rPr>
          <w:rFonts w:hint="eastAsia" w:ascii="宋体" w:hAnsi="宋体" w:eastAsia="宋体" w:cs="宋体"/>
          <w:color w:val="auto"/>
          <w:highlight w:val="none"/>
          <w:lang w:eastAsia="zh-CN"/>
        </w:rPr>
        <w:t>安排未持证人员从事特种作业的</w:t>
      </w:r>
      <w:r>
        <w:rPr>
          <w:rFonts w:hint="eastAsia" w:ascii="宋体" w:hAnsi="宋体" w:eastAsia="宋体" w:cs="宋体"/>
          <w:kern w:val="2"/>
          <w:highlight w:val="none"/>
          <w:lang w:eastAsia="zh-CN"/>
        </w:rPr>
        <w:t>；</w:t>
      </w:r>
    </w:p>
    <w:p w14:paraId="1A85CD3B">
      <w:pPr>
        <w:spacing w:line="360" w:lineRule="auto"/>
        <w:ind w:firstLine="480" w:firstLineChars="200"/>
        <w:rPr>
          <w:rFonts w:hint="eastAsia" w:ascii="宋体" w:hAnsi="宋体" w:eastAsia="宋体" w:cs="宋体"/>
          <w:kern w:val="2"/>
          <w:highlight w:val="none"/>
          <w:lang w:eastAsia="zh-CN"/>
        </w:rPr>
      </w:pPr>
      <w:r>
        <w:rPr>
          <w:rFonts w:hint="eastAsia" w:ascii="宋体" w:hAnsi="宋体" w:eastAsia="宋体" w:cs="宋体"/>
          <w:kern w:val="2"/>
          <w:highlight w:val="none"/>
          <w:lang w:eastAsia="zh-CN"/>
        </w:rPr>
        <w:t>（八）没有安全生产工作计划和总结的；</w:t>
      </w:r>
    </w:p>
    <w:p w14:paraId="1A1F1479">
      <w:pPr>
        <w:spacing w:line="360" w:lineRule="auto"/>
        <w:ind w:firstLine="480" w:firstLineChars="200"/>
        <w:rPr>
          <w:rFonts w:hint="eastAsia" w:ascii="宋体" w:hAnsi="宋体" w:eastAsia="宋体" w:cs="宋体"/>
          <w:kern w:val="2"/>
          <w:highlight w:val="none"/>
          <w:lang w:eastAsia="zh-CN"/>
        </w:rPr>
      </w:pPr>
      <w:r>
        <w:rPr>
          <w:rFonts w:hint="eastAsia" w:ascii="宋体" w:hAnsi="宋体" w:eastAsia="宋体" w:cs="宋体"/>
          <w:kern w:val="2"/>
          <w:highlight w:val="none"/>
          <w:lang w:eastAsia="zh-CN"/>
        </w:rPr>
        <w:t>（九）未制定安全生产事故应急预案的；</w:t>
      </w:r>
    </w:p>
    <w:p w14:paraId="356116BC">
      <w:pPr>
        <w:spacing w:line="360" w:lineRule="auto"/>
        <w:ind w:firstLine="480" w:firstLineChars="200"/>
        <w:rPr>
          <w:rFonts w:hint="eastAsia" w:ascii="宋体" w:hAnsi="宋体" w:eastAsia="宋体" w:cs="宋体"/>
          <w:kern w:val="2"/>
          <w:highlight w:val="none"/>
          <w:lang w:eastAsia="zh-CN"/>
        </w:rPr>
      </w:pPr>
      <w:r>
        <w:rPr>
          <w:rFonts w:hint="eastAsia" w:ascii="宋体" w:hAnsi="宋体" w:eastAsia="宋体" w:cs="宋体"/>
          <w:kern w:val="2"/>
          <w:highlight w:val="none"/>
          <w:lang w:eastAsia="zh-CN"/>
        </w:rPr>
        <w:t>（十）生产现场存在重大安全隐患或对检查出的安全隐患整改不力的；</w:t>
      </w:r>
    </w:p>
    <w:p w14:paraId="68B20DA6">
      <w:pPr>
        <w:spacing w:line="360" w:lineRule="auto"/>
        <w:ind w:firstLine="480" w:firstLineChars="200"/>
        <w:rPr>
          <w:rFonts w:hint="eastAsia" w:ascii="宋体" w:hAnsi="宋体" w:eastAsia="宋体" w:cs="宋体"/>
          <w:kern w:val="2"/>
          <w:highlight w:val="none"/>
          <w:lang w:eastAsia="zh-CN"/>
        </w:rPr>
      </w:pPr>
      <w:r>
        <w:rPr>
          <w:rFonts w:hint="eastAsia" w:ascii="宋体" w:hAnsi="宋体" w:eastAsia="宋体" w:cs="宋体"/>
          <w:kern w:val="2"/>
          <w:highlight w:val="none"/>
          <w:lang w:eastAsia="zh-CN"/>
        </w:rPr>
        <w:t>（十一）发生从业人员伤亡事故不报、迟报、谎报或故意隐瞒不报的；</w:t>
      </w:r>
    </w:p>
    <w:p w14:paraId="11C293F7">
      <w:pPr>
        <w:spacing w:line="360" w:lineRule="auto"/>
        <w:ind w:firstLine="480" w:firstLineChars="200"/>
        <w:rPr>
          <w:rFonts w:hint="eastAsia" w:ascii="宋体" w:hAnsi="宋体" w:eastAsia="宋体" w:cs="宋体"/>
          <w:kern w:val="2"/>
          <w:highlight w:val="none"/>
          <w:lang w:eastAsia="zh-CN"/>
        </w:rPr>
      </w:pPr>
      <w:r>
        <w:rPr>
          <w:rFonts w:hint="eastAsia" w:ascii="宋体" w:hAnsi="宋体" w:eastAsia="宋体" w:cs="宋体"/>
          <w:kern w:val="2"/>
          <w:highlight w:val="none"/>
          <w:lang w:eastAsia="zh-CN"/>
        </w:rPr>
        <w:t>（十二）发生事故影响较大且受到市级新闻媒体曝光的。</w:t>
      </w:r>
    </w:p>
    <w:p w14:paraId="70B32B77">
      <w:pPr>
        <w:spacing w:line="360" w:lineRule="auto"/>
        <w:ind w:firstLine="480" w:firstLineChars="200"/>
        <w:rPr>
          <w:rFonts w:hint="eastAsia" w:ascii="宋体" w:hAnsi="宋体" w:eastAsia="宋体" w:cs="宋体"/>
          <w:kern w:val="2"/>
          <w:highlight w:val="none"/>
          <w:lang w:eastAsia="zh-CN"/>
        </w:rPr>
      </w:pPr>
      <w:r>
        <w:rPr>
          <w:rFonts w:hint="eastAsia" w:ascii="宋体" w:hAnsi="宋体" w:eastAsia="宋体" w:cs="宋体"/>
          <w:kern w:val="2"/>
          <w:highlight w:val="none"/>
          <w:lang w:eastAsia="zh-CN"/>
        </w:rPr>
        <w:t>（十三）乙方在安全管理中造成严重影响或影响甲方绩效考核及评优评先的。</w:t>
      </w:r>
    </w:p>
    <w:p w14:paraId="24977209">
      <w:pPr>
        <w:spacing w:line="360" w:lineRule="auto"/>
        <w:ind w:firstLine="480" w:firstLineChars="200"/>
        <w:rPr>
          <w:rFonts w:hint="eastAsia" w:ascii="宋体" w:hAnsi="宋体" w:eastAsia="宋体" w:cs="宋体"/>
          <w:b/>
          <w:bCs/>
          <w:highlight w:val="none"/>
          <w:lang w:eastAsia="zh-CN"/>
        </w:rPr>
      </w:pPr>
      <w:r>
        <w:rPr>
          <w:rFonts w:hint="eastAsia" w:ascii="宋体" w:hAnsi="宋体" w:cs="宋体"/>
          <w:b/>
          <w:bCs/>
          <w:highlight w:val="none"/>
          <w:lang w:eastAsia="zh-CN"/>
        </w:rPr>
        <w:t>六</w:t>
      </w:r>
      <w:r>
        <w:rPr>
          <w:rFonts w:hint="eastAsia" w:ascii="宋体" w:hAnsi="宋体" w:eastAsia="宋体" w:cs="宋体"/>
          <w:b/>
          <w:bCs/>
          <w:highlight w:val="none"/>
          <w:lang w:eastAsia="zh-CN"/>
        </w:rPr>
        <w:t>、争议的解决</w:t>
      </w:r>
    </w:p>
    <w:p w14:paraId="60FE9C35">
      <w:pPr>
        <w:spacing w:line="360" w:lineRule="auto"/>
        <w:ind w:firstLine="480" w:firstLineChars="200"/>
        <w:rPr>
          <w:rFonts w:hint="eastAsia" w:ascii="宋体" w:hAnsi="宋体" w:eastAsia="宋体" w:cs="宋体"/>
          <w:b/>
          <w:bCs/>
          <w:highlight w:val="none"/>
          <w:lang w:eastAsia="zh-CN"/>
        </w:rPr>
      </w:pPr>
      <w:r>
        <w:rPr>
          <w:rFonts w:hint="eastAsia" w:ascii="宋体" w:hAnsi="宋体" w:eastAsia="宋体" w:cs="宋体"/>
          <w:kern w:val="2"/>
          <w:highlight w:val="none"/>
          <w:lang w:eastAsia="zh-CN"/>
        </w:rPr>
        <w:t>（一）本协议未尽事宜按照《中华人民共和国安全生产法》《生产安全事故报告和调查处理条例》等国家相关法律、法规执行。</w:t>
      </w:r>
    </w:p>
    <w:p w14:paraId="22BB8E66">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（二）本协议履行过程中所发生的争议，甲乙双方应协商解决；协商不成的，可请求项目所在地公安、消防、应急、市监、环保、街道办等政府主管部门处理，或者依法向广州市南沙区人民法院提起诉讼。</w:t>
      </w:r>
    </w:p>
    <w:p w14:paraId="10529D2C">
      <w:pPr>
        <w:spacing w:line="360" w:lineRule="auto"/>
        <w:ind w:firstLine="480" w:firstLineChars="200"/>
        <w:rPr>
          <w:rFonts w:hint="eastAsia" w:ascii="宋体" w:hAnsi="宋体" w:eastAsia="宋体" w:cs="宋体"/>
          <w:b/>
          <w:bCs/>
          <w:highlight w:val="none"/>
          <w:lang w:eastAsia="zh-CN"/>
        </w:rPr>
      </w:pPr>
      <w:r>
        <w:rPr>
          <w:rFonts w:hint="eastAsia" w:ascii="宋体" w:hAnsi="宋体" w:cs="宋体"/>
          <w:b/>
          <w:bCs/>
          <w:highlight w:val="none"/>
          <w:lang w:eastAsia="zh-CN"/>
        </w:rPr>
        <w:t>七</w:t>
      </w:r>
      <w:r>
        <w:rPr>
          <w:rFonts w:hint="eastAsia" w:ascii="宋体" w:hAnsi="宋体" w:eastAsia="宋体" w:cs="宋体"/>
          <w:b/>
          <w:bCs/>
          <w:highlight w:val="none"/>
          <w:lang w:eastAsia="zh-CN"/>
        </w:rPr>
        <w:t>、其他事项</w:t>
      </w:r>
    </w:p>
    <w:p w14:paraId="4C646AB7">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本协议一式</w:t>
      </w:r>
      <w:r>
        <w:rPr>
          <w:rFonts w:hint="eastAsia" w:ascii="宋体" w:hAnsi="宋体" w:cs="宋体"/>
          <w:highlight w:val="none"/>
          <w:u w:val="single"/>
          <w:lang w:eastAsia="zh-CN"/>
        </w:rPr>
        <w:t>捌</w:t>
      </w:r>
      <w:r>
        <w:rPr>
          <w:rFonts w:hint="eastAsia" w:ascii="宋体" w:hAnsi="宋体" w:eastAsia="宋体" w:cs="宋体"/>
          <w:highlight w:val="none"/>
          <w:lang w:eastAsia="zh-CN"/>
        </w:rPr>
        <w:t>份，甲乙双方各执</w:t>
      </w:r>
      <w:r>
        <w:rPr>
          <w:rFonts w:hint="eastAsia" w:ascii="宋体" w:hAnsi="宋体" w:cs="宋体"/>
          <w:highlight w:val="none"/>
          <w:u w:val="single"/>
          <w:lang w:eastAsia="zh-CN"/>
        </w:rPr>
        <w:t>肆</w:t>
      </w:r>
      <w:r>
        <w:rPr>
          <w:rFonts w:hint="eastAsia" w:ascii="宋体" w:hAnsi="宋体" w:eastAsia="宋体" w:cs="宋体"/>
          <w:highlight w:val="none"/>
          <w:lang w:eastAsia="zh-CN"/>
        </w:rPr>
        <w:t>份，均具有同等法律效力。</w:t>
      </w:r>
    </w:p>
    <w:p w14:paraId="435EBE21">
      <w:pPr>
        <w:spacing w:line="360" w:lineRule="auto"/>
        <w:rPr>
          <w:rFonts w:hint="eastAsia" w:ascii="宋体" w:hAnsi="宋体" w:eastAsia="宋体" w:cs="宋体"/>
          <w:b/>
          <w:highlight w:val="none"/>
          <w:lang w:eastAsia="zh-CN"/>
        </w:rPr>
      </w:pPr>
    </w:p>
    <w:p w14:paraId="24B0D50D">
      <w:pPr>
        <w:spacing w:line="360" w:lineRule="auto"/>
        <w:rPr>
          <w:rFonts w:hint="eastAsia" w:ascii="宋体" w:hAnsi="宋体" w:eastAsia="宋体" w:cs="宋体"/>
          <w:b/>
          <w:highlight w:val="none"/>
          <w:lang w:eastAsia="zh-CN"/>
        </w:rPr>
      </w:pPr>
    </w:p>
    <w:p w14:paraId="2EEA1E21">
      <w:pPr>
        <w:spacing w:line="360" w:lineRule="auto"/>
        <w:rPr>
          <w:rFonts w:hint="eastAsia" w:ascii="宋体" w:hAnsi="宋体" w:eastAsia="宋体" w:cs="宋体"/>
          <w:b/>
          <w:highlight w:val="none"/>
          <w:lang w:eastAsia="zh-CN"/>
        </w:rPr>
      </w:pPr>
      <w:r>
        <w:rPr>
          <w:rFonts w:hint="eastAsia" w:ascii="宋体" w:hAnsi="宋体" w:eastAsia="宋体" w:cs="宋体"/>
          <w:b/>
          <w:highlight w:val="none"/>
          <w:lang w:eastAsia="zh-CN"/>
        </w:rPr>
        <w:t>（以下无正文）</w:t>
      </w:r>
    </w:p>
    <w:tbl>
      <w:tblPr>
        <w:tblStyle w:val="16"/>
        <w:tblW w:w="0" w:type="auto"/>
        <w:tblInd w:w="0" w:type="dxa"/>
        <w:tblLayout w:type="fixed"/>
        <w:tblCellMar>
          <w:top w:w="0" w:type="dxa"/>
          <w:left w:w="108" w:type="dxa"/>
          <w:bottom w:w="0" w:type="dxa"/>
          <w:right w:w="108" w:type="dxa"/>
        </w:tblCellMar>
      </w:tblPr>
      <w:tblGrid>
        <w:gridCol w:w="4530"/>
        <w:gridCol w:w="4530"/>
      </w:tblGrid>
      <w:tr w14:paraId="77D58A0D">
        <w:tblPrEx>
          <w:tblCellMar>
            <w:top w:w="0" w:type="dxa"/>
            <w:left w:w="108" w:type="dxa"/>
            <w:bottom w:w="0" w:type="dxa"/>
            <w:right w:w="108" w:type="dxa"/>
          </w:tblCellMar>
        </w:tblPrEx>
        <w:tc>
          <w:tcPr>
            <w:tcW w:w="4530" w:type="dxa"/>
          </w:tcPr>
          <w:p w14:paraId="669299A0">
            <w:pPr>
              <w:spacing w:line="560" w:lineRule="exact"/>
              <w:ind w:left="1680" w:hanging="1680" w:hangingChars="700"/>
              <w:rPr>
                <w:rFonts w:hint="eastAsia" w:ascii="宋体" w:hAnsi="宋体" w:eastAsia="宋体"/>
                <w:highlight w:val="none"/>
                <w:lang w:eastAsia="zh-CN"/>
              </w:rPr>
            </w:pPr>
            <w:r>
              <w:rPr>
                <w:rFonts w:ascii="宋体" w:hAnsi="宋体" w:eastAsia="宋体"/>
                <w:highlight w:val="none"/>
                <w:lang w:eastAsia="zh-CN"/>
              </w:rPr>
              <w:t>甲方（公章）：</w:t>
            </w:r>
            <w:r>
              <w:rPr>
                <w:rFonts w:ascii="宋体" w:hAnsi="宋体" w:eastAsia="宋体" w:cs="宋体"/>
                <w:highlight w:val="none"/>
                <w:lang w:eastAsia="zh-CN"/>
              </w:rPr>
              <w:t>广州南沙城市排水有限公司</w:t>
            </w:r>
          </w:p>
          <w:p w14:paraId="211C6D76">
            <w:pPr>
              <w:spacing w:line="560" w:lineRule="exact"/>
              <w:rPr>
                <w:rFonts w:hint="eastAsia" w:ascii="宋体" w:hAnsi="宋体" w:eastAsia="宋体"/>
                <w:highlight w:val="none"/>
                <w:lang w:eastAsia="zh-CN"/>
              </w:rPr>
            </w:pPr>
            <w:r>
              <w:rPr>
                <w:rFonts w:ascii="宋体" w:hAnsi="宋体" w:eastAsia="宋体"/>
                <w:highlight w:val="none"/>
                <w:lang w:eastAsia="zh-CN"/>
              </w:rPr>
              <w:t>法定代表人/授权代理人</w:t>
            </w:r>
          </w:p>
          <w:p w14:paraId="5AA015A4">
            <w:pPr>
              <w:spacing w:line="560" w:lineRule="exact"/>
              <w:rPr>
                <w:rFonts w:hint="eastAsia" w:ascii="宋体" w:hAnsi="宋体" w:eastAsia="宋体"/>
                <w:highlight w:val="none"/>
                <w:lang w:eastAsia="zh-CN"/>
              </w:rPr>
            </w:pPr>
            <w:r>
              <w:rPr>
                <w:rFonts w:ascii="宋体" w:hAnsi="宋体" w:eastAsia="宋体"/>
                <w:highlight w:val="none"/>
                <w:lang w:eastAsia="zh-CN"/>
              </w:rPr>
              <w:t>（签</w:t>
            </w:r>
            <w:r>
              <w:rPr>
                <w:rFonts w:hint="eastAsia" w:ascii="宋体" w:hAnsi="宋体" w:eastAsia="宋体"/>
                <w:highlight w:val="none"/>
                <w:lang w:eastAsia="zh-CN"/>
              </w:rPr>
              <w:t>章</w:t>
            </w:r>
            <w:r>
              <w:rPr>
                <w:rFonts w:ascii="宋体" w:hAnsi="宋体" w:eastAsia="宋体"/>
                <w:highlight w:val="none"/>
                <w:lang w:eastAsia="zh-CN"/>
              </w:rPr>
              <w:t>）：</w:t>
            </w:r>
          </w:p>
          <w:p w14:paraId="4A6B233F">
            <w:pPr>
              <w:spacing w:line="560" w:lineRule="exact"/>
              <w:rPr>
                <w:rFonts w:hint="eastAsia" w:ascii="宋体" w:hAnsi="宋体" w:eastAsia="宋体"/>
                <w:highlight w:val="none"/>
                <w:lang w:eastAsia="zh-CN"/>
              </w:rPr>
            </w:pPr>
            <w:r>
              <w:rPr>
                <w:rFonts w:hint="eastAsia" w:ascii="宋体" w:hAnsi="宋体" w:eastAsia="宋体"/>
                <w:highlight w:val="none"/>
                <w:lang w:eastAsia="zh-CN"/>
              </w:rPr>
              <w:t>签订时间：   年  月  日</w:t>
            </w:r>
          </w:p>
        </w:tc>
        <w:tc>
          <w:tcPr>
            <w:tcW w:w="4530" w:type="dxa"/>
          </w:tcPr>
          <w:p w14:paraId="0B340C98">
            <w:pPr>
              <w:spacing w:line="560" w:lineRule="exact"/>
              <w:ind w:left="1680" w:hanging="1680" w:hangingChars="700"/>
              <w:rPr>
                <w:rFonts w:hint="eastAsia" w:ascii="宋体" w:hAnsi="宋体" w:eastAsia="宋体"/>
                <w:highlight w:val="none"/>
                <w:lang w:eastAsia="zh-CN"/>
              </w:rPr>
            </w:pPr>
            <w:r>
              <w:rPr>
                <w:rFonts w:ascii="宋体" w:hAnsi="宋体" w:eastAsia="宋体"/>
                <w:highlight w:val="none"/>
                <w:lang w:eastAsia="zh-CN"/>
              </w:rPr>
              <w:t>乙方（公章）：</w:t>
            </w:r>
          </w:p>
          <w:p w14:paraId="1EF4A62D">
            <w:pPr>
              <w:spacing w:line="560" w:lineRule="exact"/>
              <w:rPr>
                <w:rFonts w:ascii="宋体" w:hAnsi="宋体" w:eastAsia="宋体"/>
                <w:highlight w:val="none"/>
                <w:lang w:eastAsia="zh-CN"/>
              </w:rPr>
            </w:pPr>
          </w:p>
          <w:p w14:paraId="66D3DB7D">
            <w:pPr>
              <w:spacing w:line="560" w:lineRule="exact"/>
              <w:rPr>
                <w:rFonts w:hint="eastAsia" w:ascii="宋体" w:hAnsi="宋体" w:eastAsia="宋体"/>
                <w:highlight w:val="none"/>
                <w:lang w:eastAsia="zh-CN"/>
              </w:rPr>
            </w:pPr>
            <w:r>
              <w:rPr>
                <w:rFonts w:ascii="宋体" w:hAnsi="宋体" w:eastAsia="宋体"/>
                <w:highlight w:val="none"/>
                <w:lang w:eastAsia="zh-CN"/>
              </w:rPr>
              <w:t>法定代表人/授权代理人</w:t>
            </w:r>
          </w:p>
          <w:p w14:paraId="6898340F">
            <w:pPr>
              <w:spacing w:line="560" w:lineRule="exact"/>
              <w:rPr>
                <w:rFonts w:hint="eastAsia" w:ascii="宋体" w:hAnsi="宋体" w:eastAsia="宋体"/>
                <w:highlight w:val="none"/>
                <w:lang w:eastAsia="zh-CN"/>
              </w:rPr>
            </w:pPr>
            <w:r>
              <w:rPr>
                <w:rFonts w:ascii="宋体" w:hAnsi="宋体" w:eastAsia="宋体"/>
                <w:highlight w:val="none"/>
                <w:lang w:eastAsia="zh-CN"/>
              </w:rPr>
              <w:t>（签</w:t>
            </w:r>
            <w:r>
              <w:rPr>
                <w:rFonts w:hint="eastAsia" w:ascii="宋体" w:hAnsi="宋体" w:eastAsia="宋体"/>
                <w:highlight w:val="none"/>
                <w:lang w:eastAsia="zh-CN"/>
              </w:rPr>
              <w:t>章</w:t>
            </w:r>
            <w:r>
              <w:rPr>
                <w:rFonts w:ascii="宋体" w:hAnsi="宋体" w:eastAsia="宋体"/>
                <w:highlight w:val="none"/>
                <w:lang w:eastAsia="zh-CN"/>
              </w:rPr>
              <w:t>）：</w:t>
            </w:r>
          </w:p>
          <w:p w14:paraId="321201A3">
            <w:pPr>
              <w:spacing w:line="560" w:lineRule="exact"/>
              <w:rPr>
                <w:rFonts w:hint="eastAsia" w:ascii="宋体" w:hAnsi="宋体" w:eastAsia="宋体"/>
                <w:highlight w:val="none"/>
                <w:lang w:eastAsia="zh-CN"/>
              </w:rPr>
            </w:pPr>
            <w:r>
              <w:rPr>
                <w:rFonts w:hint="eastAsia" w:ascii="宋体" w:hAnsi="宋体" w:eastAsia="宋体"/>
                <w:highlight w:val="none"/>
                <w:lang w:eastAsia="zh-CN"/>
              </w:rPr>
              <w:t>签订时间：    年  月  日</w:t>
            </w:r>
          </w:p>
        </w:tc>
      </w:tr>
    </w:tbl>
    <w:p w14:paraId="561E0BA2">
      <w:pPr>
        <w:spacing w:line="360" w:lineRule="auto"/>
        <w:rPr>
          <w:rFonts w:hint="eastAsia" w:ascii="宋体" w:hAnsi="宋体" w:eastAsia="宋体" w:cs="宋体"/>
          <w:highlight w:val="none"/>
          <w:lang w:eastAsia="zh-CN"/>
        </w:rPr>
      </w:pPr>
    </w:p>
    <w:p w14:paraId="59B129E1">
      <w:pPr>
        <w:rPr>
          <w:rFonts w:hint="eastAsia" w:ascii="宋体" w:hAnsi="宋体" w:cs="仿宋" w:eastAsiaTheme="minorEastAsia"/>
          <w:bCs/>
          <w:sz w:val="28"/>
          <w:szCs w:val="28"/>
          <w:highlight w:val="none"/>
          <w:lang w:eastAsia="zh-CN"/>
        </w:rPr>
      </w:pPr>
      <w:r>
        <w:rPr>
          <w:rFonts w:ascii="宋体" w:hAnsi="宋体" w:cs="仿宋" w:eastAsiaTheme="minorEastAsia"/>
          <w:bCs/>
          <w:sz w:val="28"/>
          <w:szCs w:val="28"/>
          <w:highlight w:val="none"/>
          <w:lang w:eastAsia="zh-CN"/>
        </w:rPr>
        <w:br w:type="page"/>
      </w:r>
    </w:p>
    <w:p w14:paraId="7CA08962">
      <w:pPr>
        <w:adjustRightInd w:val="0"/>
        <w:snapToGrid w:val="0"/>
        <w:spacing w:line="360" w:lineRule="auto"/>
        <w:rPr>
          <w:rFonts w:hint="eastAsia" w:ascii="宋体" w:hAnsi="宋体" w:eastAsia="宋体"/>
          <w:sz w:val="28"/>
          <w:szCs w:val="28"/>
          <w:highlight w:val="none"/>
          <w:lang w:eastAsia="zh-CN"/>
        </w:rPr>
      </w:pPr>
      <w:r>
        <w:rPr>
          <w:rFonts w:ascii="宋体" w:hAnsi="宋体" w:eastAsia="宋体"/>
          <w:sz w:val="28"/>
          <w:szCs w:val="28"/>
          <w:highlight w:val="none"/>
          <w:lang w:eastAsia="zh-CN"/>
        </w:rPr>
        <w:t>附件</w:t>
      </w:r>
      <w:r>
        <w:rPr>
          <w:rFonts w:hint="eastAsia" w:ascii="宋体" w:hAnsi="宋体" w:eastAsia="宋体"/>
          <w:sz w:val="28"/>
          <w:szCs w:val="28"/>
          <w:highlight w:val="none"/>
          <w:lang w:eastAsia="zh-CN"/>
        </w:rPr>
        <w:t>2</w:t>
      </w:r>
    </w:p>
    <w:p w14:paraId="22D2BDB6">
      <w:pPr>
        <w:adjustRightInd w:val="0"/>
        <w:snapToGrid w:val="0"/>
        <w:spacing w:line="360" w:lineRule="auto"/>
        <w:jc w:val="center"/>
        <w:rPr>
          <w:rFonts w:hint="eastAsia" w:ascii="宋体" w:hAnsi="宋体" w:eastAsia="宋体"/>
          <w:b/>
          <w:bCs/>
          <w:sz w:val="30"/>
          <w:szCs w:val="30"/>
          <w:highlight w:val="none"/>
          <w:lang w:eastAsia="zh-CN"/>
        </w:rPr>
      </w:pPr>
      <w:r>
        <w:rPr>
          <w:rFonts w:ascii="宋体" w:hAnsi="宋体" w:eastAsia="宋体"/>
          <w:b/>
          <w:bCs/>
          <w:sz w:val="30"/>
          <w:szCs w:val="30"/>
          <w:highlight w:val="none"/>
          <w:lang w:eastAsia="zh-CN"/>
        </w:rPr>
        <w:t>廉</w:t>
      </w:r>
      <w:r>
        <w:rPr>
          <w:rFonts w:hint="eastAsia" w:ascii="宋体" w:hAnsi="宋体" w:eastAsia="宋体"/>
          <w:b/>
          <w:bCs/>
          <w:sz w:val="30"/>
          <w:szCs w:val="30"/>
          <w:highlight w:val="none"/>
          <w:lang w:eastAsia="zh-CN"/>
        </w:rPr>
        <w:t>洁协议书</w:t>
      </w:r>
    </w:p>
    <w:p w14:paraId="09C4AF42">
      <w:pPr>
        <w:adjustRightInd w:val="0"/>
        <w:snapToGrid w:val="0"/>
        <w:spacing w:line="360" w:lineRule="auto"/>
        <w:rPr>
          <w:rFonts w:hint="eastAsia" w:ascii="宋体" w:hAnsi="宋体" w:eastAsia="宋体"/>
          <w:highlight w:val="none"/>
          <w:lang w:eastAsia="zh-CN"/>
        </w:rPr>
      </w:pPr>
      <w:r>
        <w:rPr>
          <w:rFonts w:hint="eastAsia" w:ascii="宋体" w:hAnsi="宋体" w:eastAsia="宋体"/>
          <w:highlight w:val="none"/>
          <w:lang w:eastAsia="zh-CN"/>
        </w:rPr>
        <w:t>甲方</w:t>
      </w:r>
      <w:r>
        <w:rPr>
          <w:rFonts w:ascii="宋体" w:hAnsi="宋体" w:eastAsia="宋体"/>
          <w:highlight w:val="none"/>
          <w:lang w:eastAsia="zh-CN"/>
        </w:rPr>
        <w:t>：</w:t>
      </w:r>
      <w:r>
        <w:rPr>
          <w:rFonts w:hint="eastAsia" w:ascii="宋体" w:hAnsi="宋体" w:eastAsia="宋体"/>
          <w:highlight w:val="none"/>
          <w:lang w:eastAsia="zh-CN"/>
        </w:rPr>
        <w:t>广州南沙城市排水有限公司</w:t>
      </w:r>
    </w:p>
    <w:p w14:paraId="59843D09">
      <w:pPr>
        <w:adjustRightInd w:val="0"/>
        <w:snapToGrid w:val="0"/>
        <w:spacing w:line="360" w:lineRule="auto"/>
        <w:rPr>
          <w:rFonts w:hint="eastAsia" w:ascii="宋体" w:hAnsi="宋体" w:eastAsia="宋体"/>
          <w:highlight w:val="none"/>
          <w:lang w:eastAsia="zh-CN"/>
        </w:rPr>
      </w:pPr>
      <w:r>
        <w:rPr>
          <w:rFonts w:hint="eastAsia" w:ascii="宋体" w:hAnsi="宋体" w:eastAsia="宋体"/>
          <w:highlight w:val="none"/>
          <w:lang w:eastAsia="zh-CN"/>
        </w:rPr>
        <w:t>乙方</w:t>
      </w:r>
      <w:r>
        <w:rPr>
          <w:rFonts w:ascii="宋体" w:hAnsi="宋体" w:eastAsia="宋体"/>
          <w:highlight w:val="none"/>
          <w:lang w:eastAsia="zh-CN"/>
        </w:rPr>
        <w:t>：</w:t>
      </w:r>
    </w:p>
    <w:p w14:paraId="412655BD">
      <w:pPr>
        <w:adjustRightInd w:val="0"/>
        <w:snapToGrid w:val="0"/>
        <w:spacing w:line="360" w:lineRule="auto"/>
        <w:ind w:firstLine="480" w:firstLineChars="200"/>
        <w:rPr>
          <w:rFonts w:hint="eastAsia" w:ascii="宋体" w:hAnsi="宋体" w:eastAsia="宋体"/>
          <w:highlight w:val="none"/>
          <w:lang w:eastAsia="zh-CN"/>
        </w:rPr>
      </w:pPr>
      <w:r>
        <w:rPr>
          <w:rFonts w:ascii="宋体" w:hAnsi="宋体" w:eastAsia="宋体"/>
          <w:highlight w:val="none"/>
          <w:lang w:eastAsia="zh-CN"/>
        </w:rPr>
        <w:t>为贯彻落实国家、省、市有关</w:t>
      </w:r>
      <w:r>
        <w:rPr>
          <w:rFonts w:hint="eastAsia" w:ascii="宋体" w:hAnsi="宋体" w:eastAsia="宋体"/>
          <w:highlight w:val="none"/>
          <w:lang w:eastAsia="zh-CN"/>
        </w:rPr>
        <w:t>廉洁</w:t>
      </w:r>
      <w:r>
        <w:rPr>
          <w:rFonts w:ascii="宋体" w:hAnsi="宋体" w:eastAsia="宋体"/>
          <w:highlight w:val="none"/>
          <w:lang w:eastAsia="zh-CN"/>
        </w:rPr>
        <w:t>规定，</w:t>
      </w:r>
      <w:r>
        <w:rPr>
          <w:rFonts w:hint="eastAsia" w:ascii="宋体" w:hAnsi="宋体" w:eastAsia="宋体"/>
          <w:highlight w:val="none"/>
          <w:lang w:eastAsia="zh-CN"/>
        </w:rPr>
        <w:t>深化</w:t>
      </w:r>
      <w:r>
        <w:rPr>
          <w:rFonts w:ascii="宋体" w:hAnsi="宋体" w:eastAsia="宋体"/>
          <w:highlight w:val="none"/>
          <w:lang w:eastAsia="zh-CN"/>
        </w:rPr>
        <w:t>廉洁区</w:t>
      </w:r>
      <w:r>
        <w:rPr>
          <w:rFonts w:hint="eastAsia" w:ascii="宋体" w:hAnsi="宋体" w:eastAsia="宋体"/>
          <w:highlight w:val="none"/>
          <w:lang w:eastAsia="zh-CN"/>
        </w:rPr>
        <w:t>域</w:t>
      </w:r>
      <w:r>
        <w:rPr>
          <w:rFonts w:ascii="宋体" w:hAnsi="宋体" w:eastAsia="宋体"/>
          <w:highlight w:val="none"/>
          <w:lang w:eastAsia="zh-CN"/>
        </w:rPr>
        <w:t>建设，加强廉洁风险防控，</w:t>
      </w:r>
      <w:r>
        <w:rPr>
          <w:rFonts w:hint="eastAsia" w:ascii="宋体" w:hAnsi="宋体" w:eastAsia="宋体"/>
          <w:highlight w:val="none"/>
          <w:lang w:eastAsia="zh-CN"/>
        </w:rPr>
        <w:t>遵循诚实守信的原则，建设公平竞争、健康有序的商业环境，</w:t>
      </w:r>
      <w:r>
        <w:rPr>
          <w:rFonts w:ascii="宋体" w:hAnsi="宋体" w:eastAsia="宋体"/>
          <w:highlight w:val="none"/>
          <w:lang w:eastAsia="zh-CN"/>
        </w:rPr>
        <w:t>双方</w:t>
      </w:r>
      <w:r>
        <w:rPr>
          <w:rFonts w:hint="eastAsia" w:ascii="宋体" w:hAnsi="宋体" w:eastAsia="宋体"/>
          <w:highlight w:val="none"/>
          <w:lang w:eastAsia="zh-CN"/>
        </w:rPr>
        <w:t>约定如下：</w:t>
      </w:r>
    </w:p>
    <w:p w14:paraId="76B41AD5">
      <w:pPr>
        <w:adjustRightInd w:val="0"/>
        <w:snapToGrid w:val="0"/>
        <w:spacing w:line="360" w:lineRule="auto"/>
        <w:ind w:firstLine="480" w:firstLineChars="200"/>
        <w:rPr>
          <w:rFonts w:hint="eastAsia" w:ascii="宋体" w:hAnsi="宋体" w:eastAsia="宋体"/>
          <w:bCs/>
          <w:highlight w:val="none"/>
          <w:lang w:eastAsia="zh-CN"/>
        </w:rPr>
      </w:pPr>
      <w:r>
        <w:rPr>
          <w:rFonts w:hint="eastAsia" w:ascii="宋体" w:hAnsi="宋体" w:eastAsia="宋体"/>
          <w:bCs/>
          <w:highlight w:val="none"/>
          <w:lang w:eastAsia="zh-CN"/>
        </w:rPr>
        <w:t>一、严格遵守国家有关法律、法规，保持正当的商业交往。</w:t>
      </w:r>
    </w:p>
    <w:p w14:paraId="76766226">
      <w:pPr>
        <w:adjustRightInd w:val="0"/>
        <w:snapToGrid w:val="0"/>
        <w:spacing w:line="360" w:lineRule="auto"/>
        <w:ind w:firstLine="480" w:firstLineChars="200"/>
        <w:rPr>
          <w:rFonts w:hint="eastAsia" w:ascii="宋体" w:hAnsi="宋体" w:eastAsia="宋体"/>
          <w:bCs/>
          <w:highlight w:val="none"/>
          <w:lang w:eastAsia="zh-CN"/>
        </w:rPr>
      </w:pPr>
      <w:r>
        <w:rPr>
          <w:rFonts w:hint="eastAsia" w:ascii="宋体" w:hAnsi="宋体" w:eastAsia="宋体"/>
          <w:bCs/>
          <w:highlight w:val="none"/>
          <w:lang w:eastAsia="zh-CN"/>
        </w:rPr>
        <w:t>二、在商务活动中应依法办事、廉洁自律，不得有任何涉及商业贿赂或损害对方企业利益的行为，包括但不限于以下情形：</w:t>
      </w:r>
    </w:p>
    <w:p w14:paraId="36A046EA">
      <w:pPr>
        <w:adjustRightInd w:val="0"/>
        <w:snapToGrid w:val="0"/>
        <w:spacing w:line="360" w:lineRule="auto"/>
        <w:ind w:firstLine="480" w:firstLineChars="200"/>
        <w:rPr>
          <w:rFonts w:hint="eastAsia" w:ascii="宋体" w:hAnsi="宋体" w:eastAsia="宋体"/>
          <w:bCs/>
          <w:highlight w:val="none"/>
          <w:lang w:eastAsia="zh-CN"/>
        </w:rPr>
      </w:pPr>
      <w:r>
        <w:rPr>
          <w:rFonts w:hint="eastAsia" w:ascii="宋体" w:hAnsi="宋体" w:eastAsia="宋体"/>
          <w:bCs/>
          <w:highlight w:val="none"/>
          <w:lang w:eastAsia="zh-CN"/>
        </w:rPr>
        <w:t>1、向对方单位及对方工作人员索要或接受对方单位及对方工作人员的回扣、提成、礼金、有价证券、贵重物品或好处等；</w:t>
      </w:r>
    </w:p>
    <w:p w14:paraId="3DCD4345">
      <w:pPr>
        <w:adjustRightInd w:val="0"/>
        <w:snapToGrid w:val="0"/>
        <w:spacing w:line="360" w:lineRule="auto"/>
        <w:ind w:firstLine="480" w:firstLineChars="200"/>
        <w:rPr>
          <w:rFonts w:hint="eastAsia" w:ascii="宋体" w:hAnsi="宋体" w:eastAsia="宋体"/>
          <w:bCs/>
          <w:highlight w:val="none"/>
          <w:lang w:eastAsia="zh-CN"/>
        </w:rPr>
      </w:pPr>
      <w:r>
        <w:rPr>
          <w:rFonts w:hint="eastAsia" w:ascii="宋体" w:hAnsi="宋体" w:eastAsia="宋体"/>
          <w:bCs/>
          <w:highlight w:val="none"/>
          <w:lang w:eastAsia="zh-CN"/>
        </w:rPr>
        <w:t>2、向对方单位及对方工作人员安排宴请、消费娱乐和健身、旅游等活动；</w:t>
      </w:r>
    </w:p>
    <w:p w14:paraId="069A73C1">
      <w:pPr>
        <w:adjustRightInd w:val="0"/>
        <w:snapToGrid w:val="0"/>
        <w:spacing w:line="360" w:lineRule="auto"/>
        <w:ind w:firstLine="480" w:firstLineChars="200"/>
        <w:rPr>
          <w:rFonts w:hint="eastAsia" w:ascii="宋体" w:hAnsi="宋体" w:eastAsia="宋体"/>
          <w:bCs/>
          <w:highlight w:val="none"/>
          <w:lang w:eastAsia="zh-CN"/>
        </w:rPr>
      </w:pPr>
      <w:r>
        <w:rPr>
          <w:rFonts w:hint="eastAsia" w:ascii="宋体" w:hAnsi="宋体" w:eastAsia="宋体"/>
          <w:bCs/>
          <w:highlight w:val="none"/>
          <w:lang w:eastAsia="zh-CN"/>
        </w:rPr>
        <w:t>3、在对方单位报销任何应由本方或本方工作人员个人支付的费用；</w:t>
      </w:r>
    </w:p>
    <w:p w14:paraId="6E5763BD">
      <w:pPr>
        <w:adjustRightInd w:val="0"/>
        <w:snapToGrid w:val="0"/>
        <w:spacing w:line="360" w:lineRule="auto"/>
        <w:ind w:firstLine="480" w:firstLineChars="200"/>
        <w:rPr>
          <w:rFonts w:hint="eastAsia" w:ascii="宋体" w:hAnsi="宋体" w:eastAsia="宋体"/>
          <w:bCs/>
          <w:highlight w:val="none"/>
          <w:lang w:eastAsia="zh-CN"/>
        </w:rPr>
      </w:pPr>
      <w:r>
        <w:rPr>
          <w:rFonts w:hint="eastAsia" w:ascii="宋体" w:hAnsi="宋体" w:eastAsia="宋体"/>
          <w:bCs/>
          <w:highlight w:val="none"/>
          <w:lang w:eastAsia="zh-CN"/>
        </w:rPr>
        <w:t>4、要求对方单位为本方工作人员的配偶、子女及亲属安排工作、提供出国等便利，或要求对方单位为本方工作人员装修住房；</w:t>
      </w:r>
    </w:p>
    <w:p w14:paraId="299A4572">
      <w:pPr>
        <w:adjustRightInd w:val="0"/>
        <w:snapToGrid w:val="0"/>
        <w:spacing w:line="360" w:lineRule="auto"/>
        <w:ind w:firstLine="480" w:firstLineChars="200"/>
        <w:rPr>
          <w:rFonts w:hint="eastAsia" w:ascii="宋体" w:hAnsi="宋体" w:eastAsia="宋体"/>
          <w:bCs/>
          <w:highlight w:val="none"/>
          <w:lang w:eastAsia="zh-CN"/>
        </w:rPr>
      </w:pPr>
      <w:r>
        <w:rPr>
          <w:rFonts w:hint="eastAsia" w:ascii="宋体" w:hAnsi="宋体" w:eastAsia="宋体"/>
          <w:bCs/>
          <w:highlight w:val="none"/>
          <w:lang w:eastAsia="zh-CN"/>
        </w:rPr>
        <w:t>5、向对方单位或对方工作人员强行推销本方工作人员的配偶及亲属经营的产品或提供服务；</w:t>
      </w:r>
    </w:p>
    <w:p w14:paraId="1E66DC97">
      <w:pPr>
        <w:pStyle w:val="7"/>
        <w:adjustRightInd w:val="0"/>
        <w:snapToGrid w:val="0"/>
        <w:spacing w:after="0" w:line="360" w:lineRule="auto"/>
        <w:ind w:firstLine="480" w:firstLineChars="200"/>
        <w:rPr>
          <w:rFonts w:ascii="Times New Roman" w:hAnsi="Times New Roman"/>
          <w:sz w:val="32"/>
          <w:szCs w:val="20"/>
          <w:highlight w:val="none"/>
        </w:rPr>
      </w:pPr>
      <w:r>
        <w:rPr>
          <w:rFonts w:hint="eastAsia" w:ascii="宋体" w:hAnsi="宋体"/>
          <w:bCs/>
          <w:sz w:val="24"/>
          <w:szCs w:val="24"/>
          <w:highlight w:val="none"/>
        </w:rPr>
        <w:t>6、其他通过不正当手段谋取利益的行为。</w:t>
      </w:r>
    </w:p>
    <w:p w14:paraId="6B294CD8">
      <w:pPr>
        <w:adjustRightInd w:val="0"/>
        <w:snapToGrid w:val="0"/>
        <w:spacing w:line="360" w:lineRule="auto"/>
        <w:ind w:firstLine="480" w:firstLineChars="200"/>
        <w:rPr>
          <w:rFonts w:hint="eastAsia" w:ascii="宋体" w:hAnsi="宋体" w:eastAsia="宋体"/>
          <w:bCs/>
          <w:highlight w:val="none"/>
          <w:lang w:eastAsia="zh-CN"/>
        </w:rPr>
      </w:pPr>
      <w:r>
        <w:rPr>
          <w:rFonts w:hint="eastAsia" w:ascii="宋体" w:hAnsi="宋体" w:eastAsia="宋体"/>
          <w:bCs/>
          <w:highlight w:val="none"/>
          <w:lang w:eastAsia="zh-CN"/>
        </w:rPr>
        <w:t>三、违反本协议书的一方给对方造成经济损失的，守约方有权要求违约方承担赔偿责任。</w:t>
      </w:r>
    </w:p>
    <w:p w14:paraId="2A75D8F4">
      <w:pPr>
        <w:adjustRightInd w:val="0"/>
        <w:snapToGrid w:val="0"/>
        <w:spacing w:line="360" w:lineRule="auto"/>
        <w:ind w:firstLine="480" w:firstLineChars="200"/>
        <w:rPr>
          <w:rFonts w:hint="eastAsia" w:ascii="宋体" w:hAnsi="宋体" w:eastAsia="宋体"/>
          <w:bCs/>
          <w:highlight w:val="none"/>
          <w:lang w:eastAsia="zh-CN"/>
        </w:rPr>
      </w:pPr>
      <w:r>
        <w:rPr>
          <w:rFonts w:hint="eastAsia" w:ascii="宋体" w:hAnsi="宋体" w:eastAsia="宋体"/>
          <w:bCs/>
          <w:highlight w:val="none"/>
          <w:lang w:eastAsia="zh-CN"/>
        </w:rPr>
        <w:t>四、乙方或工作人员违反本协议书约定并被查证属实的，甲方有权将其列入甲方合作黑名单并有权解除合同，乙方负责赔偿因此给甲方造成的经济损失，以后再次合作将受到限制。</w:t>
      </w:r>
    </w:p>
    <w:p w14:paraId="0610E46F">
      <w:pPr>
        <w:adjustRightInd w:val="0"/>
        <w:snapToGrid w:val="0"/>
        <w:spacing w:line="360" w:lineRule="auto"/>
        <w:ind w:firstLine="480" w:firstLineChars="200"/>
        <w:rPr>
          <w:rFonts w:hint="eastAsia" w:ascii="宋体" w:hAnsi="宋体" w:eastAsia="宋体"/>
          <w:highlight w:val="none"/>
          <w:lang w:eastAsia="zh-CN"/>
        </w:rPr>
      </w:pPr>
      <w:r>
        <w:rPr>
          <w:rFonts w:hint="eastAsia" w:ascii="宋体" w:hAnsi="宋体" w:eastAsia="宋体"/>
          <w:bCs/>
          <w:highlight w:val="none"/>
          <w:lang w:eastAsia="zh-CN"/>
        </w:rPr>
        <w:t>五、</w:t>
      </w:r>
      <w:r>
        <w:rPr>
          <w:rFonts w:ascii="宋体" w:hAnsi="宋体" w:eastAsia="宋体"/>
          <w:highlight w:val="none"/>
          <w:lang w:eastAsia="zh-CN"/>
        </w:rPr>
        <w:t>甲方、乙方</w:t>
      </w:r>
      <w:r>
        <w:rPr>
          <w:rFonts w:hint="eastAsia" w:ascii="宋体" w:hAnsi="宋体" w:eastAsia="宋体"/>
          <w:highlight w:val="none"/>
          <w:lang w:eastAsia="zh-CN"/>
        </w:rPr>
        <w:t>均有监督举报的权利和义务，</w:t>
      </w:r>
      <w:r>
        <w:rPr>
          <w:rFonts w:ascii="宋体" w:hAnsi="宋体" w:eastAsia="宋体"/>
          <w:highlight w:val="none"/>
          <w:lang w:eastAsia="zh-CN"/>
        </w:rPr>
        <w:t>发现对方有违反本协议的行为，可向</w:t>
      </w:r>
      <w:r>
        <w:rPr>
          <w:rFonts w:hint="eastAsia" w:ascii="宋体" w:hAnsi="宋体" w:eastAsia="宋体"/>
          <w:highlight w:val="none"/>
          <w:lang w:eastAsia="zh-CN"/>
        </w:rPr>
        <w:t>甲方纪检监察</w:t>
      </w:r>
      <w:r>
        <w:rPr>
          <w:rFonts w:ascii="宋体" w:hAnsi="宋体" w:eastAsia="宋体"/>
          <w:highlight w:val="none"/>
          <w:lang w:eastAsia="zh-CN"/>
        </w:rPr>
        <w:t>部门举报</w:t>
      </w:r>
      <w:r>
        <w:rPr>
          <w:rFonts w:hint="eastAsia" w:ascii="宋体" w:hAnsi="宋体" w:eastAsia="宋体"/>
          <w:highlight w:val="none"/>
          <w:lang w:eastAsia="zh-CN"/>
        </w:rPr>
        <w:t>。甲方纪检监察</w:t>
      </w:r>
      <w:r>
        <w:rPr>
          <w:rFonts w:ascii="宋体" w:hAnsi="宋体" w:eastAsia="宋体"/>
          <w:highlight w:val="none"/>
          <w:lang w:eastAsia="zh-CN"/>
        </w:rPr>
        <w:t>部门</w:t>
      </w:r>
      <w:r>
        <w:rPr>
          <w:rFonts w:hint="eastAsia" w:ascii="宋体" w:hAnsi="宋体" w:eastAsia="宋体"/>
          <w:highlight w:val="none"/>
          <w:lang w:eastAsia="zh-CN"/>
        </w:rPr>
        <w:t>将按照相关规定予以受理并按</w:t>
      </w:r>
      <w:r>
        <w:rPr>
          <w:rFonts w:ascii="宋体" w:hAnsi="宋体" w:eastAsia="宋体"/>
          <w:highlight w:val="none"/>
          <w:lang w:eastAsia="zh-CN"/>
        </w:rPr>
        <w:t>事实</w:t>
      </w:r>
      <w:r>
        <w:rPr>
          <w:rFonts w:hint="eastAsia" w:ascii="宋体" w:hAnsi="宋体" w:eastAsia="宋体"/>
          <w:highlight w:val="none"/>
          <w:lang w:eastAsia="zh-CN"/>
        </w:rPr>
        <w:t>严肃</w:t>
      </w:r>
      <w:r>
        <w:rPr>
          <w:rFonts w:ascii="宋体" w:hAnsi="宋体" w:eastAsia="宋体"/>
          <w:highlight w:val="none"/>
          <w:lang w:eastAsia="zh-CN"/>
        </w:rPr>
        <w:t>处理</w:t>
      </w:r>
      <w:r>
        <w:rPr>
          <w:rFonts w:hint="eastAsia" w:ascii="宋体" w:hAnsi="宋体" w:eastAsia="宋体"/>
          <w:highlight w:val="none"/>
          <w:lang w:eastAsia="zh-CN"/>
        </w:rPr>
        <w:t>。</w:t>
      </w:r>
      <w:r>
        <w:rPr>
          <w:rFonts w:hint="eastAsia" w:ascii="宋体" w:hAnsi="宋体" w:eastAsia="宋体"/>
          <w:b/>
          <w:bCs/>
          <w:highlight w:val="none"/>
          <w:lang w:eastAsia="zh-CN"/>
        </w:rPr>
        <w:t>举报方式</w:t>
      </w:r>
      <w:r>
        <w:rPr>
          <w:rFonts w:hint="eastAsia" w:ascii="宋体" w:hAnsi="宋体" w:eastAsia="宋体"/>
          <w:highlight w:val="none"/>
          <w:lang w:eastAsia="zh-CN"/>
        </w:rPr>
        <w:t>：</w:t>
      </w:r>
    </w:p>
    <w:p w14:paraId="511816FE">
      <w:pPr>
        <w:adjustRightInd w:val="0"/>
        <w:snapToGrid w:val="0"/>
        <w:spacing w:line="360" w:lineRule="auto"/>
        <w:ind w:left="360" w:leftChars="150"/>
        <w:rPr>
          <w:rFonts w:hint="eastAsia" w:ascii="宋体" w:hAnsi="宋体" w:eastAsia="宋体"/>
          <w:highlight w:val="none"/>
          <w:lang w:eastAsia="zh-CN"/>
        </w:rPr>
      </w:pPr>
      <w:r>
        <w:rPr>
          <w:rFonts w:hint="eastAsia" w:ascii="宋体" w:hAnsi="宋体" w:eastAsia="宋体"/>
          <w:highlight w:val="none"/>
          <w:lang w:eastAsia="zh-CN"/>
        </w:rPr>
        <w:t>监督投诉电子邮箱：nspsjj@nsdcg.com（24小时接收）；</w:t>
      </w:r>
      <w:r>
        <w:rPr>
          <w:rFonts w:hint="eastAsia" w:ascii="宋体" w:hAnsi="宋体" w:eastAsia="宋体"/>
          <w:highlight w:val="none"/>
          <w:lang w:eastAsia="zh-CN"/>
        </w:rPr>
        <w:br w:type="textWrapping"/>
      </w:r>
      <w:r>
        <w:rPr>
          <w:rFonts w:hint="eastAsia" w:ascii="宋体" w:hAnsi="宋体" w:eastAsia="宋体"/>
          <w:highlight w:val="none"/>
          <w:lang w:eastAsia="zh-CN"/>
        </w:rPr>
        <w:t>监督投诉电话：020-39065605（工作日接听：上午8：45至12：05，下午13：35至17：00）。</w:t>
      </w:r>
    </w:p>
    <w:p w14:paraId="2436EF9B">
      <w:pPr>
        <w:adjustRightInd w:val="0"/>
        <w:snapToGrid w:val="0"/>
        <w:spacing w:line="360" w:lineRule="auto"/>
        <w:ind w:firstLine="480" w:firstLineChars="200"/>
        <w:rPr>
          <w:rFonts w:hint="eastAsia" w:ascii="宋体" w:hAnsi="宋体" w:eastAsia="宋体"/>
          <w:bCs/>
          <w:highlight w:val="none"/>
          <w:lang w:eastAsia="zh-CN"/>
        </w:rPr>
      </w:pPr>
      <w:r>
        <w:rPr>
          <w:rFonts w:hint="eastAsia" w:ascii="宋体" w:hAnsi="宋体" w:eastAsia="宋体"/>
          <w:bCs/>
          <w:highlight w:val="none"/>
          <w:lang w:eastAsia="zh-CN"/>
        </w:rPr>
        <w:t>六、任何一方发现对方工作人员构成犯罪的，在向对方监督部门举报的同时有权向司法机关报案，追究相关人员的刑事责任。</w:t>
      </w:r>
    </w:p>
    <w:p w14:paraId="6A92E546">
      <w:pPr>
        <w:adjustRightInd w:val="0"/>
        <w:snapToGrid w:val="0"/>
        <w:spacing w:line="360" w:lineRule="auto"/>
        <w:ind w:firstLine="480" w:firstLineChars="200"/>
        <w:rPr>
          <w:rFonts w:hint="eastAsia" w:ascii="宋体" w:hAnsi="宋体" w:eastAsia="宋体"/>
          <w:bCs/>
          <w:highlight w:val="none"/>
          <w:lang w:eastAsia="zh-CN"/>
        </w:rPr>
      </w:pPr>
      <w:r>
        <w:rPr>
          <w:rFonts w:hint="eastAsia" w:ascii="宋体" w:hAnsi="宋体" w:eastAsia="宋体"/>
          <w:bCs/>
          <w:highlight w:val="none"/>
          <w:lang w:eastAsia="zh-CN"/>
        </w:rPr>
        <w:t>七、本协议书作为合同附件，与主合同份数相同，经双方签订后生效。</w:t>
      </w:r>
    </w:p>
    <w:p w14:paraId="207291B6">
      <w:pPr>
        <w:pStyle w:val="7"/>
        <w:adjustRightInd w:val="0"/>
        <w:snapToGrid w:val="0"/>
        <w:spacing w:after="0" w:line="360" w:lineRule="auto"/>
        <w:rPr>
          <w:highlight w:val="none"/>
        </w:rPr>
      </w:pPr>
    </w:p>
    <w:tbl>
      <w:tblPr>
        <w:tblStyle w:val="16"/>
        <w:tblW w:w="0" w:type="auto"/>
        <w:tblInd w:w="0" w:type="dxa"/>
        <w:tblLayout w:type="fixed"/>
        <w:tblCellMar>
          <w:top w:w="0" w:type="dxa"/>
          <w:left w:w="108" w:type="dxa"/>
          <w:bottom w:w="0" w:type="dxa"/>
          <w:right w:w="108" w:type="dxa"/>
        </w:tblCellMar>
      </w:tblPr>
      <w:tblGrid>
        <w:gridCol w:w="4530"/>
        <w:gridCol w:w="4530"/>
      </w:tblGrid>
      <w:tr w14:paraId="18D97A59">
        <w:tblPrEx>
          <w:tblCellMar>
            <w:top w:w="0" w:type="dxa"/>
            <w:left w:w="108" w:type="dxa"/>
            <w:bottom w:w="0" w:type="dxa"/>
            <w:right w:w="108" w:type="dxa"/>
          </w:tblCellMar>
        </w:tblPrEx>
        <w:tc>
          <w:tcPr>
            <w:tcW w:w="4530" w:type="dxa"/>
          </w:tcPr>
          <w:p w14:paraId="664CC071">
            <w:pPr>
              <w:adjustRightInd w:val="0"/>
              <w:snapToGrid w:val="0"/>
              <w:spacing w:line="360" w:lineRule="auto"/>
              <w:ind w:left="1680" w:hanging="1680" w:hangingChars="700"/>
              <w:rPr>
                <w:rFonts w:hint="eastAsia" w:ascii="宋体" w:hAnsi="宋体" w:eastAsia="宋体"/>
                <w:highlight w:val="none"/>
                <w:lang w:eastAsia="zh-CN"/>
              </w:rPr>
            </w:pPr>
            <w:r>
              <w:rPr>
                <w:rFonts w:ascii="宋体" w:hAnsi="宋体" w:eastAsia="宋体"/>
                <w:highlight w:val="none"/>
                <w:lang w:eastAsia="zh-CN"/>
              </w:rPr>
              <w:t>甲方（公章）：</w:t>
            </w:r>
            <w:r>
              <w:rPr>
                <w:rFonts w:ascii="宋体" w:hAnsi="宋体" w:eastAsia="宋体" w:cs="宋体"/>
                <w:highlight w:val="none"/>
                <w:lang w:eastAsia="zh-CN"/>
              </w:rPr>
              <w:t>广州南沙城市排水有限公司</w:t>
            </w:r>
          </w:p>
          <w:p w14:paraId="297F9A46">
            <w:pPr>
              <w:adjustRightInd w:val="0"/>
              <w:snapToGrid w:val="0"/>
              <w:spacing w:line="360" w:lineRule="auto"/>
              <w:rPr>
                <w:rFonts w:hint="eastAsia" w:ascii="宋体" w:hAnsi="宋体" w:eastAsia="宋体"/>
                <w:highlight w:val="none"/>
                <w:lang w:eastAsia="zh-CN"/>
              </w:rPr>
            </w:pPr>
            <w:r>
              <w:rPr>
                <w:rFonts w:ascii="宋体" w:hAnsi="宋体" w:eastAsia="宋体"/>
                <w:highlight w:val="none"/>
                <w:lang w:eastAsia="zh-CN"/>
              </w:rPr>
              <w:t>法定代表人/授权代理人</w:t>
            </w:r>
          </w:p>
          <w:p w14:paraId="1F4E4680">
            <w:pPr>
              <w:adjustRightInd w:val="0"/>
              <w:snapToGrid w:val="0"/>
              <w:spacing w:line="360" w:lineRule="auto"/>
              <w:rPr>
                <w:rFonts w:hint="eastAsia" w:ascii="宋体" w:hAnsi="宋体" w:eastAsia="宋体"/>
                <w:highlight w:val="none"/>
                <w:lang w:eastAsia="zh-CN"/>
              </w:rPr>
            </w:pPr>
            <w:r>
              <w:rPr>
                <w:rFonts w:ascii="宋体" w:hAnsi="宋体" w:eastAsia="宋体"/>
                <w:highlight w:val="none"/>
                <w:lang w:eastAsia="zh-CN"/>
              </w:rPr>
              <w:t>（签</w:t>
            </w:r>
            <w:r>
              <w:rPr>
                <w:rFonts w:hint="eastAsia" w:ascii="宋体" w:hAnsi="宋体" w:eastAsia="宋体"/>
                <w:highlight w:val="none"/>
                <w:lang w:eastAsia="zh-CN"/>
              </w:rPr>
              <w:t>章</w:t>
            </w:r>
            <w:r>
              <w:rPr>
                <w:rFonts w:ascii="宋体" w:hAnsi="宋体" w:eastAsia="宋体"/>
                <w:highlight w:val="none"/>
                <w:lang w:eastAsia="zh-CN"/>
              </w:rPr>
              <w:t>）：</w:t>
            </w:r>
          </w:p>
          <w:p w14:paraId="18F35287">
            <w:pPr>
              <w:adjustRightInd w:val="0"/>
              <w:snapToGrid w:val="0"/>
              <w:spacing w:line="360" w:lineRule="auto"/>
              <w:rPr>
                <w:rFonts w:hint="eastAsia" w:ascii="宋体" w:hAnsi="宋体" w:eastAsia="宋体"/>
                <w:highlight w:val="none"/>
                <w:lang w:eastAsia="zh-CN"/>
              </w:rPr>
            </w:pPr>
            <w:r>
              <w:rPr>
                <w:rFonts w:hint="eastAsia" w:ascii="宋体" w:hAnsi="宋体" w:eastAsia="宋体"/>
                <w:highlight w:val="none"/>
                <w:lang w:eastAsia="zh-CN"/>
              </w:rPr>
              <w:t>签订时间：   年  月  日</w:t>
            </w:r>
          </w:p>
        </w:tc>
        <w:tc>
          <w:tcPr>
            <w:tcW w:w="4530" w:type="dxa"/>
          </w:tcPr>
          <w:p w14:paraId="49B1B718">
            <w:pPr>
              <w:adjustRightInd w:val="0"/>
              <w:snapToGrid w:val="0"/>
              <w:spacing w:line="360" w:lineRule="auto"/>
              <w:ind w:left="1680" w:hanging="1680" w:hangingChars="700"/>
              <w:rPr>
                <w:rFonts w:hint="eastAsia" w:ascii="宋体" w:hAnsi="宋体" w:eastAsia="宋体"/>
                <w:highlight w:val="none"/>
                <w:lang w:eastAsia="zh-CN"/>
              </w:rPr>
            </w:pPr>
            <w:r>
              <w:rPr>
                <w:rFonts w:ascii="宋体" w:hAnsi="宋体" w:eastAsia="宋体"/>
                <w:highlight w:val="none"/>
                <w:lang w:eastAsia="zh-CN"/>
              </w:rPr>
              <w:t>乙方（公章）：</w:t>
            </w:r>
          </w:p>
          <w:p w14:paraId="4883BDF3">
            <w:pPr>
              <w:adjustRightInd w:val="0"/>
              <w:snapToGrid w:val="0"/>
              <w:spacing w:line="360" w:lineRule="auto"/>
              <w:rPr>
                <w:rFonts w:ascii="宋体" w:hAnsi="宋体" w:eastAsia="宋体"/>
                <w:highlight w:val="none"/>
                <w:lang w:eastAsia="zh-CN"/>
              </w:rPr>
            </w:pPr>
          </w:p>
          <w:p w14:paraId="41C9FA72">
            <w:pPr>
              <w:adjustRightInd w:val="0"/>
              <w:snapToGrid w:val="0"/>
              <w:spacing w:line="360" w:lineRule="auto"/>
              <w:rPr>
                <w:rFonts w:hint="eastAsia" w:ascii="宋体" w:hAnsi="宋体" w:eastAsia="宋体"/>
                <w:highlight w:val="none"/>
                <w:lang w:eastAsia="zh-CN"/>
              </w:rPr>
            </w:pPr>
            <w:r>
              <w:rPr>
                <w:rFonts w:ascii="宋体" w:hAnsi="宋体" w:eastAsia="宋体"/>
                <w:highlight w:val="none"/>
                <w:lang w:eastAsia="zh-CN"/>
              </w:rPr>
              <w:t>法定代表人/授权代理人</w:t>
            </w:r>
          </w:p>
          <w:p w14:paraId="7C99C260">
            <w:pPr>
              <w:adjustRightInd w:val="0"/>
              <w:snapToGrid w:val="0"/>
              <w:spacing w:line="360" w:lineRule="auto"/>
              <w:rPr>
                <w:rFonts w:hint="eastAsia" w:ascii="宋体" w:hAnsi="宋体" w:eastAsia="宋体"/>
                <w:highlight w:val="none"/>
                <w:lang w:eastAsia="zh-CN"/>
              </w:rPr>
            </w:pPr>
            <w:r>
              <w:rPr>
                <w:rFonts w:ascii="宋体" w:hAnsi="宋体" w:eastAsia="宋体"/>
                <w:highlight w:val="none"/>
                <w:lang w:eastAsia="zh-CN"/>
              </w:rPr>
              <w:t>（签</w:t>
            </w:r>
            <w:r>
              <w:rPr>
                <w:rFonts w:hint="eastAsia" w:ascii="宋体" w:hAnsi="宋体" w:eastAsia="宋体"/>
                <w:highlight w:val="none"/>
                <w:lang w:eastAsia="zh-CN"/>
              </w:rPr>
              <w:t>章</w:t>
            </w:r>
            <w:r>
              <w:rPr>
                <w:rFonts w:ascii="宋体" w:hAnsi="宋体" w:eastAsia="宋体"/>
                <w:highlight w:val="none"/>
                <w:lang w:eastAsia="zh-CN"/>
              </w:rPr>
              <w:t>）：</w:t>
            </w:r>
          </w:p>
          <w:p w14:paraId="31C2CA59">
            <w:pPr>
              <w:adjustRightInd w:val="0"/>
              <w:snapToGrid w:val="0"/>
              <w:spacing w:line="360" w:lineRule="auto"/>
              <w:rPr>
                <w:rFonts w:hint="eastAsia" w:ascii="宋体" w:hAnsi="宋体" w:eastAsia="宋体"/>
                <w:highlight w:val="none"/>
                <w:lang w:eastAsia="zh-CN"/>
              </w:rPr>
            </w:pPr>
            <w:r>
              <w:rPr>
                <w:rFonts w:hint="eastAsia" w:ascii="宋体" w:hAnsi="宋体" w:eastAsia="宋体"/>
                <w:highlight w:val="none"/>
                <w:lang w:eastAsia="zh-CN"/>
              </w:rPr>
              <w:t>签订时间：    年  月  日</w:t>
            </w:r>
          </w:p>
        </w:tc>
      </w:tr>
    </w:tbl>
    <w:p w14:paraId="6A375CC8">
      <w:pPr>
        <w:adjustRightInd w:val="0"/>
        <w:snapToGrid w:val="0"/>
        <w:spacing w:line="360" w:lineRule="auto"/>
        <w:rPr>
          <w:rFonts w:hint="eastAsia" w:ascii="宋体" w:hAnsi="宋体" w:eastAsia="宋体"/>
          <w:highlight w:val="none"/>
          <w:lang w:eastAsia="zh-CN"/>
        </w:rPr>
      </w:pPr>
    </w:p>
    <w:p w14:paraId="68EF4430">
      <w:pPr>
        <w:adjustRightInd w:val="0"/>
        <w:snapToGrid w:val="0"/>
        <w:spacing w:line="360" w:lineRule="auto"/>
        <w:ind w:firstLine="600" w:firstLineChars="250"/>
        <w:rPr>
          <w:rFonts w:hint="eastAsia" w:ascii="宋体" w:hAnsi="宋体" w:eastAsia="宋体"/>
          <w:highlight w:val="none"/>
          <w:lang w:eastAsia="zh-CN"/>
        </w:rPr>
      </w:pPr>
    </w:p>
    <w:p w14:paraId="3E17D5FB">
      <w:pPr>
        <w:adjustRightInd w:val="0"/>
        <w:snapToGrid w:val="0"/>
        <w:spacing w:line="360" w:lineRule="auto"/>
        <w:rPr>
          <w:rFonts w:hint="eastAsia" w:ascii="宋体" w:hAnsi="宋体" w:eastAsia="宋体"/>
          <w:highlight w:val="none"/>
          <w:lang w:eastAsia="zh-CN"/>
        </w:rPr>
      </w:pPr>
    </w:p>
    <w:p w14:paraId="7CEB5D6C">
      <w:pPr>
        <w:widowControl/>
        <w:rPr>
          <w:rFonts w:hint="eastAsia" w:ascii="宋体" w:hAnsi="宋体" w:eastAsia="宋体"/>
          <w:highlight w:val="none"/>
          <w:lang w:eastAsia="zh-CN"/>
        </w:rPr>
      </w:pPr>
      <w:r>
        <w:rPr>
          <w:rFonts w:hint="eastAsia" w:ascii="宋体" w:hAnsi="宋体" w:eastAsia="宋体"/>
          <w:highlight w:val="none"/>
          <w:lang w:eastAsia="zh-CN"/>
        </w:rPr>
        <w:br w:type="page"/>
      </w:r>
    </w:p>
    <w:p w14:paraId="376ECAC2">
      <w:pPr>
        <w:rPr>
          <w:rFonts w:hint="eastAsia" w:ascii="宋体" w:hAnsi="宋体" w:eastAsia="宋体" w:cs="宋体"/>
          <w:bCs/>
          <w:highlight w:val="none"/>
          <w:lang w:eastAsia="zh-CN"/>
        </w:rPr>
      </w:pPr>
      <w:r>
        <w:rPr>
          <w:rFonts w:ascii="宋体" w:hAnsi="宋体" w:eastAsia="宋体" w:cs="宋体"/>
          <w:bCs/>
          <w:highlight w:val="none"/>
          <w:lang w:eastAsia="zh-CN"/>
        </w:rPr>
        <w:t>附件</w:t>
      </w:r>
      <w:r>
        <w:rPr>
          <w:rFonts w:hint="eastAsia" w:ascii="宋体" w:hAnsi="宋体" w:eastAsia="宋体" w:cs="宋体"/>
          <w:bCs/>
          <w:highlight w:val="none"/>
          <w:lang w:eastAsia="zh-CN"/>
        </w:rPr>
        <w:t>3</w:t>
      </w:r>
    </w:p>
    <w:p w14:paraId="6E63E134">
      <w:pPr>
        <w:widowControl/>
        <w:adjustRightInd/>
        <w:snapToGrid/>
        <w:spacing w:line="240" w:lineRule="auto"/>
        <w:jc w:val="left"/>
        <w:rPr>
          <w:rFonts w:hint="eastAsia" w:ascii="宋体" w:hAnsi="宋体" w:eastAsia="宋体"/>
          <w:highlight w:val="none"/>
          <w:lang w:eastAsia="zh-CN"/>
        </w:rPr>
      </w:pPr>
      <w:r>
        <w:rPr>
          <w:rFonts w:hint="eastAsia" w:ascii="宋体" w:hAnsi="宋体" w:eastAsia="宋体"/>
          <w:highlight w:val="none"/>
          <w:lang w:val="en-US" w:eastAsia="zh-CN"/>
        </w:rPr>
        <w:t xml:space="preserve">                               </w:t>
      </w:r>
      <w:r>
        <w:rPr>
          <w:rFonts w:hint="eastAsia" w:ascii="宋体" w:hAnsi="宋体" w:eastAsia="宋体"/>
          <w:highlight w:val="none"/>
          <w:lang w:eastAsia="zh-CN"/>
        </w:rPr>
        <w:t>报价清单</w:t>
      </w:r>
    </w:p>
    <w:p w14:paraId="2DD3C195">
      <w:pPr>
        <w:widowControl/>
        <w:adjustRightInd/>
        <w:snapToGrid/>
        <w:spacing w:line="240" w:lineRule="auto"/>
        <w:jc w:val="left"/>
        <w:rPr>
          <w:rFonts w:hint="eastAsia" w:ascii="宋体" w:hAnsi="宋体" w:eastAsia="宋体"/>
          <w:highlight w:val="none"/>
          <w:lang w:eastAsia="zh-CN"/>
        </w:rPr>
      </w:pPr>
    </w:p>
    <w:p w14:paraId="272A1D02">
      <w:pPr>
        <w:widowControl/>
        <w:adjustRightInd/>
        <w:snapToGrid/>
        <w:spacing w:line="240" w:lineRule="auto"/>
        <w:jc w:val="left"/>
        <w:rPr>
          <w:rFonts w:hint="eastAsia" w:ascii="宋体" w:hAnsi="宋体" w:eastAsia="宋体"/>
          <w:highlight w:val="none"/>
          <w:lang w:val="en-US" w:eastAsia="zh-CN"/>
        </w:rPr>
      </w:pPr>
      <w:r>
        <w:rPr>
          <w:rFonts w:hint="eastAsia" w:ascii="宋体" w:hAnsi="宋体" w:eastAsia="宋体"/>
          <w:highlight w:val="none"/>
          <w:lang w:val="en-US" w:eastAsia="zh-CN"/>
        </w:rPr>
        <w:t xml:space="preserve">附件4  </w:t>
      </w:r>
    </w:p>
    <w:p w14:paraId="35866744">
      <w:pPr>
        <w:widowControl/>
        <w:adjustRightInd/>
        <w:snapToGrid/>
        <w:spacing w:line="240" w:lineRule="auto"/>
        <w:jc w:val="left"/>
        <w:rPr>
          <w:rFonts w:hint="default" w:ascii="宋体" w:hAnsi="宋体" w:eastAsia="宋体"/>
          <w:highlight w:val="none"/>
          <w:lang w:val="en-US" w:eastAsia="zh-CN"/>
        </w:rPr>
      </w:pPr>
      <w:r>
        <w:rPr>
          <w:rFonts w:hint="eastAsia" w:ascii="宋体" w:hAnsi="宋体" w:eastAsia="宋体"/>
          <w:highlight w:val="none"/>
          <w:lang w:val="en-US" w:eastAsia="zh-CN"/>
        </w:rPr>
        <w:t xml:space="preserve">                            在线监测设备清单</w:t>
      </w:r>
    </w:p>
    <w:sectPr>
      <w:footerReference r:id="rId5" w:type="default"/>
      <w:type w:val="continuous"/>
      <w:pgSz w:w="11900" w:h="16840"/>
      <w:pgMar w:top="1247" w:right="1797" w:bottom="1247" w:left="1797" w:header="0" w:footer="1134"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6345149"/>
    </w:sdtPr>
    <w:sdtContent>
      <w:p w14:paraId="26BA2B0A">
        <w:pPr>
          <w:pStyle w:val="10"/>
          <w:jc w:val="center"/>
        </w:pPr>
        <w:r>
          <w:fldChar w:fldCharType="begin"/>
        </w:r>
        <w:r>
          <w:instrText xml:space="preserve">PAGE   \* MERGEFORMAT</w:instrText>
        </w:r>
        <w:r>
          <w:fldChar w:fldCharType="separate"/>
        </w:r>
        <w:r>
          <w:rPr>
            <w:lang w:val="zh-CN" w:eastAsia="zh-CN"/>
          </w:rPr>
          <w:t>2</w:t>
        </w:r>
        <w:r>
          <w:fldChar w:fldCharType="end"/>
        </w:r>
      </w:p>
    </w:sdtContent>
  </w:sdt>
  <w:p w14:paraId="4F11ECDB">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123213"/>
    <w:multiLevelType w:val="singleLevel"/>
    <w:tmpl w:val="E1123213"/>
    <w:lvl w:ilvl="0" w:tentative="0">
      <w:start w:val="9"/>
      <w:numFmt w:val="chineseCounting"/>
      <w:suff w:val="nothing"/>
      <w:lvlText w:val="%1、"/>
      <w:lvlJc w:val="left"/>
      <w:rPr>
        <w:rFonts w:hint="eastAsia"/>
      </w:rPr>
    </w:lvl>
  </w:abstractNum>
  <w:abstractNum w:abstractNumId="1">
    <w:nsid w:val="F8B9A7C7"/>
    <w:multiLevelType w:val="singleLevel"/>
    <w:tmpl w:val="F8B9A7C7"/>
    <w:lvl w:ilvl="0" w:tentative="0">
      <w:start w:val="6"/>
      <w:numFmt w:val="chineseCounting"/>
      <w:suff w:val="nothing"/>
      <w:lvlText w:val="（%1）"/>
      <w:lvlJc w:val="left"/>
      <w:rPr>
        <w:rFonts w:hint="eastAsia"/>
      </w:rPr>
    </w:lvl>
  </w:abstractNum>
  <w:abstractNum w:abstractNumId="2">
    <w:nsid w:val="2BC1F76E"/>
    <w:multiLevelType w:val="singleLevel"/>
    <w:tmpl w:val="2BC1F76E"/>
    <w:lvl w:ilvl="0" w:tentative="0">
      <w:start w:val="2"/>
      <w:numFmt w:val="chineseCounting"/>
      <w:suff w:val="nothing"/>
      <w:lvlText w:val="（%1）"/>
      <w:lvlJc w:val="left"/>
      <w:pPr>
        <w:ind w:left="-240"/>
      </w:pPr>
      <w:rPr>
        <w:rFonts w:hint="eastAsia"/>
      </w:rPr>
    </w:lvl>
  </w:abstractNum>
  <w:abstractNum w:abstractNumId="3">
    <w:nsid w:val="5494B7C1"/>
    <w:multiLevelType w:val="singleLevel"/>
    <w:tmpl w:val="5494B7C1"/>
    <w:lvl w:ilvl="0" w:tentative="0">
      <w:start w:val="1"/>
      <w:numFmt w:val="chineseCounting"/>
      <w:suff w:val="space"/>
      <w:lvlText w:val="%1、"/>
      <w:lvlJc w:val="left"/>
      <w:rPr>
        <w:rFonts w:hint="eastAsia"/>
      </w:rPr>
    </w:lvl>
  </w:abstractNum>
  <w:num w:numId="1">
    <w:abstractNumId w:val="1"/>
  </w:num>
  <w:num w:numId="2">
    <w:abstractNumId w:val="0"/>
  </w:num>
  <w:num w:numId="3">
    <w:abstractNumId w:val="2"/>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20"/>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MTQ4MGJjOTZlNjQzZTNhMzM2MDdjMWJhODk5M2QifQ=="/>
  </w:docVars>
  <w:rsids>
    <w:rsidRoot w:val="00DF50FA"/>
    <w:rsid w:val="00037BBA"/>
    <w:rsid w:val="00084AFF"/>
    <w:rsid w:val="000A09EC"/>
    <w:rsid w:val="000B2BBB"/>
    <w:rsid w:val="000C6C13"/>
    <w:rsid w:val="000E1D6B"/>
    <w:rsid w:val="000E740D"/>
    <w:rsid w:val="00101DDD"/>
    <w:rsid w:val="00104C30"/>
    <w:rsid w:val="00121C13"/>
    <w:rsid w:val="00180682"/>
    <w:rsid w:val="00184C9B"/>
    <w:rsid w:val="001C77EB"/>
    <w:rsid w:val="001D2B51"/>
    <w:rsid w:val="001E5ADA"/>
    <w:rsid w:val="0024734A"/>
    <w:rsid w:val="00265C9D"/>
    <w:rsid w:val="00287255"/>
    <w:rsid w:val="00293D2E"/>
    <w:rsid w:val="002A3665"/>
    <w:rsid w:val="002A7807"/>
    <w:rsid w:val="0030316F"/>
    <w:rsid w:val="003105BD"/>
    <w:rsid w:val="0031183F"/>
    <w:rsid w:val="00317AE3"/>
    <w:rsid w:val="00322A83"/>
    <w:rsid w:val="0038112C"/>
    <w:rsid w:val="003A695A"/>
    <w:rsid w:val="003E6097"/>
    <w:rsid w:val="00402A0A"/>
    <w:rsid w:val="00425308"/>
    <w:rsid w:val="00432323"/>
    <w:rsid w:val="004407AF"/>
    <w:rsid w:val="0045119D"/>
    <w:rsid w:val="00462998"/>
    <w:rsid w:val="004A11C7"/>
    <w:rsid w:val="004B615F"/>
    <w:rsid w:val="004B6817"/>
    <w:rsid w:val="004B79D3"/>
    <w:rsid w:val="004C4BB9"/>
    <w:rsid w:val="0051351E"/>
    <w:rsid w:val="00517B90"/>
    <w:rsid w:val="00544B27"/>
    <w:rsid w:val="00564389"/>
    <w:rsid w:val="005714B5"/>
    <w:rsid w:val="005C79E2"/>
    <w:rsid w:val="005E6C25"/>
    <w:rsid w:val="005F76CB"/>
    <w:rsid w:val="00604186"/>
    <w:rsid w:val="00631027"/>
    <w:rsid w:val="00666DF3"/>
    <w:rsid w:val="00693DCF"/>
    <w:rsid w:val="006A0F23"/>
    <w:rsid w:val="006B13DF"/>
    <w:rsid w:val="006E3FF7"/>
    <w:rsid w:val="00721D8E"/>
    <w:rsid w:val="00743B4F"/>
    <w:rsid w:val="00750B42"/>
    <w:rsid w:val="007664E3"/>
    <w:rsid w:val="00772274"/>
    <w:rsid w:val="007800C7"/>
    <w:rsid w:val="00795F7C"/>
    <w:rsid w:val="007B66AD"/>
    <w:rsid w:val="007C0C99"/>
    <w:rsid w:val="0083464B"/>
    <w:rsid w:val="008416AD"/>
    <w:rsid w:val="00866250"/>
    <w:rsid w:val="00882842"/>
    <w:rsid w:val="008F1767"/>
    <w:rsid w:val="00907787"/>
    <w:rsid w:val="009778DF"/>
    <w:rsid w:val="00987AEB"/>
    <w:rsid w:val="00994255"/>
    <w:rsid w:val="00996393"/>
    <w:rsid w:val="009B03A1"/>
    <w:rsid w:val="009E76BB"/>
    <w:rsid w:val="009F6467"/>
    <w:rsid w:val="00A12060"/>
    <w:rsid w:val="00A21E63"/>
    <w:rsid w:val="00A84BC6"/>
    <w:rsid w:val="00AA03EE"/>
    <w:rsid w:val="00B71B1A"/>
    <w:rsid w:val="00B92FAD"/>
    <w:rsid w:val="00B948B3"/>
    <w:rsid w:val="00BA3F13"/>
    <w:rsid w:val="00BC7A15"/>
    <w:rsid w:val="00BE11ED"/>
    <w:rsid w:val="00C06461"/>
    <w:rsid w:val="00C11BA6"/>
    <w:rsid w:val="00C52CC8"/>
    <w:rsid w:val="00C7648C"/>
    <w:rsid w:val="00CA7F5C"/>
    <w:rsid w:val="00D07CDC"/>
    <w:rsid w:val="00D47718"/>
    <w:rsid w:val="00D82AD3"/>
    <w:rsid w:val="00D84A2E"/>
    <w:rsid w:val="00D90B3A"/>
    <w:rsid w:val="00D91DA6"/>
    <w:rsid w:val="00DC166A"/>
    <w:rsid w:val="00DE1A90"/>
    <w:rsid w:val="00DF50FA"/>
    <w:rsid w:val="00E312F2"/>
    <w:rsid w:val="00E3637C"/>
    <w:rsid w:val="00E551A5"/>
    <w:rsid w:val="00E600E5"/>
    <w:rsid w:val="00E75700"/>
    <w:rsid w:val="00E96D98"/>
    <w:rsid w:val="00EB358B"/>
    <w:rsid w:val="00EC3885"/>
    <w:rsid w:val="00EC524D"/>
    <w:rsid w:val="00ED18DF"/>
    <w:rsid w:val="00EF44AB"/>
    <w:rsid w:val="00EF628B"/>
    <w:rsid w:val="00F07D1C"/>
    <w:rsid w:val="00F210DC"/>
    <w:rsid w:val="00F5576E"/>
    <w:rsid w:val="00F7694D"/>
    <w:rsid w:val="00F77B3B"/>
    <w:rsid w:val="00F93594"/>
    <w:rsid w:val="00FB692D"/>
    <w:rsid w:val="00FD3664"/>
    <w:rsid w:val="00FE7E9E"/>
    <w:rsid w:val="00FF2F3C"/>
    <w:rsid w:val="013E68E1"/>
    <w:rsid w:val="01F8161D"/>
    <w:rsid w:val="02002F30"/>
    <w:rsid w:val="026F1FCA"/>
    <w:rsid w:val="029A38EC"/>
    <w:rsid w:val="02B44D2A"/>
    <w:rsid w:val="02DE5ECF"/>
    <w:rsid w:val="02FA1471"/>
    <w:rsid w:val="033E0799"/>
    <w:rsid w:val="039C056F"/>
    <w:rsid w:val="03D310E3"/>
    <w:rsid w:val="0438160E"/>
    <w:rsid w:val="05544226"/>
    <w:rsid w:val="05597A8E"/>
    <w:rsid w:val="064E3A0E"/>
    <w:rsid w:val="06DF2215"/>
    <w:rsid w:val="07047ECE"/>
    <w:rsid w:val="07797F74"/>
    <w:rsid w:val="07904C67"/>
    <w:rsid w:val="07FB307F"/>
    <w:rsid w:val="081128A2"/>
    <w:rsid w:val="08CC0577"/>
    <w:rsid w:val="08CE6342"/>
    <w:rsid w:val="095A2027"/>
    <w:rsid w:val="09A3634D"/>
    <w:rsid w:val="09A908B8"/>
    <w:rsid w:val="0A3047BF"/>
    <w:rsid w:val="0AB3778B"/>
    <w:rsid w:val="0AE20526"/>
    <w:rsid w:val="0B815649"/>
    <w:rsid w:val="0BD47E6F"/>
    <w:rsid w:val="0C236700"/>
    <w:rsid w:val="0DAC7434"/>
    <w:rsid w:val="0EB21FBD"/>
    <w:rsid w:val="0F2E3D3A"/>
    <w:rsid w:val="111B02EE"/>
    <w:rsid w:val="11A976A8"/>
    <w:rsid w:val="11F0177A"/>
    <w:rsid w:val="122907E8"/>
    <w:rsid w:val="12415B32"/>
    <w:rsid w:val="12483364"/>
    <w:rsid w:val="12502219"/>
    <w:rsid w:val="129C1624"/>
    <w:rsid w:val="13631AD8"/>
    <w:rsid w:val="13756B37"/>
    <w:rsid w:val="13A65926"/>
    <w:rsid w:val="13E11E83"/>
    <w:rsid w:val="14DC5FE6"/>
    <w:rsid w:val="15C01464"/>
    <w:rsid w:val="15DB004C"/>
    <w:rsid w:val="16360E1F"/>
    <w:rsid w:val="169E79F7"/>
    <w:rsid w:val="18004810"/>
    <w:rsid w:val="18C1177B"/>
    <w:rsid w:val="19804997"/>
    <w:rsid w:val="1A654004"/>
    <w:rsid w:val="1A70799A"/>
    <w:rsid w:val="1B261D69"/>
    <w:rsid w:val="1B6D5BEA"/>
    <w:rsid w:val="1C147133"/>
    <w:rsid w:val="1C896A53"/>
    <w:rsid w:val="1D876062"/>
    <w:rsid w:val="1DCE485A"/>
    <w:rsid w:val="1E582EE5"/>
    <w:rsid w:val="1ED05954"/>
    <w:rsid w:val="1F3F5AEF"/>
    <w:rsid w:val="1F427C34"/>
    <w:rsid w:val="1F672950"/>
    <w:rsid w:val="1FD46237"/>
    <w:rsid w:val="20845CE8"/>
    <w:rsid w:val="228F7600"/>
    <w:rsid w:val="229A718A"/>
    <w:rsid w:val="236C14D5"/>
    <w:rsid w:val="243762DD"/>
    <w:rsid w:val="24977478"/>
    <w:rsid w:val="24FB3840"/>
    <w:rsid w:val="251B2535"/>
    <w:rsid w:val="25754AA9"/>
    <w:rsid w:val="25787665"/>
    <w:rsid w:val="25EE5996"/>
    <w:rsid w:val="263E265D"/>
    <w:rsid w:val="26506A01"/>
    <w:rsid w:val="26C30DB4"/>
    <w:rsid w:val="272B452A"/>
    <w:rsid w:val="273477E1"/>
    <w:rsid w:val="2798717C"/>
    <w:rsid w:val="28A6098D"/>
    <w:rsid w:val="29706334"/>
    <w:rsid w:val="2A0828B8"/>
    <w:rsid w:val="2A0D0CC4"/>
    <w:rsid w:val="2A225DF1"/>
    <w:rsid w:val="2A6B59EA"/>
    <w:rsid w:val="2B5D17D7"/>
    <w:rsid w:val="2C6C449D"/>
    <w:rsid w:val="2C8B2374"/>
    <w:rsid w:val="2CA45735"/>
    <w:rsid w:val="2D6A01DB"/>
    <w:rsid w:val="2DF14458"/>
    <w:rsid w:val="2E7806D6"/>
    <w:rsid w:val="2F4022F6"/>
    <w:rsid w:val="2FC4375A"/>
    <w:rsid w:val="2FE00E90"/>
    <w:rsid w:val="2FF63FA8"/>
    <w:rsid w:val="306E1D90"/>
    <w:rsid w:val="30744ECD"/>
    <w:rsid w:val="315B65CE"/>
    <w:rsid w:val="31B37931"/>
    <w:rsid w:val="31D64091"/>
    <w:rsid w:val="31FB094A"/>
    <w:rsid w:val="320E2AF1"/>
    <w:rsid w:val="33631954"/>
    <w:rsid w:val="339935C8"/>
    <w:rsid w:val="33F44378"/>
    <w:rsid w:val="34C71A6F"/>
    <w:rsid w:val="353D458B"/>
    <w:rsid w:val="35814314"/>
    <w:rsid w:val="363761F4"/>
    <w:rsid w:val="36635E67"/>
    <w:rsid w:val="368B0BC2"/>
    <w:rsid w:val="369342FF"/>
    <w:rsid w:val="37105EA3"/>
    <w:rsid w:val="37F80B2A"/>
    <w:rsid w:val="38207E14"/>
    <w:rsid w:val="38775225"/>
    <w:rsid w:val="38C033A5"/>
    <w:rsid w:val="38E76B84"/>
    <w:rsid w:val="38FA4622"/>
    <w:rsid w:val="39E00393"/>
    <w:rsid w:val="39E92488"/>
    <w:rsid w:val="3A3000B7"/>
    <w:rsid w:val="3A856AD1"/>
    <w:rsid w:val="3AD743C4"/>
    <w:rsid w:val="3BA96372"/>
    <w:rsid w:val="3BC66F24"/>
    <w:rsid w:val="3C44609B"/>
    <w:rsid w:val="3C4C7A3C"/>
    <w:rsid w:val="3D4937F0"/>
    <w:rsid w:val="3D5E6CCD"/>
    <w:rsid w:val="3DCB25D0"/>
    <w:rsid w:val="3DEE2762"/>
    <w:rsid w:val="3E1657FA"/>
    <w:rsid w:val="3E7013C9"/>
    <w:rsid w:val="3EC05F3C"/>
    <w:rsid w:val="3F1104B7"/>
    <w:rsid w:val="3F19736B"/>
    <w:rsid w:val="3FE45BCB"/>
    <w:rsid w:val="408F1FDB"/>
    <w:rsid w:val="413D33EF"/>
    <w:rsid w:val="414A5F02"/>
    <w:rsid w:val="414B08D8"/>
    <w:rsid w:val="4186615D"/>
    <w:rsid w:val="41CF426D"/>
    <w:rsid w:val="42755200"/>
    <w:rsid w:val="42EF4FB3"/>
    <w:rsid w:val="42F00D2B"/>
    <w:rsid w:val="43176C21"/>
    <w:rsid w:val="433171A3"/>
    <w:rsid w:val="43A833B4"/>
    <w:rsid w:val="440E20F2"/>
    <w:rsid w:val="451C7BB5"/>
    <w:rsid w:val="454F3AE7"/>
    <w:rsid w:val="4631403D"/>
    <w:rsid w:val="46685E65"/>
    <w:rsid w:val="46A74CE9"/>
    <w:rsid w:val="46B8390E"/>
    <w:rsid w:val="46D149CF"/>
    <w:rsid w:val="47170634"/>
    <w:rsid w:val="47524002"/>
    <w:rsid w:val="481B23A6"/>
    <w:rsid w:val="48E24D8B"/>
    <w:rsid w:val="48E72288"/>
    <w:rsid w:val="48EC653F"/>
    <w:rsid w:val="490108AF"/>
    <w:rsid w:val="49177011"/>
    <w:rsid w:val="49214975"/>
    <w:rsid w:val="49543425"/>
    <w:rsid w:val="4B49722A"/>
    <w:rsid w:val="4B644064"/>
    <w:rsid w:val="4B6E7624"/>
    <w:rsid w:val="4B771FE9"/>
    <w:rsid w:val="4B781896"/>
    <w:rsid w:val="4BAC413C"/>
    <w:rsid w:val="4BAD77B9"/>
    <w:rsid w:val="4BE86A43"/>
    <w:rsid w:val="4C2555A1"/>
    <w:rsid w:val="4C4243A5"/>
    <w:rsid w:val="4E0179D7"/>
    <w:rsid w:val="4E1B3100"/>
    <w:rsid w:val="4E5D332C"/>
    <w:rsid w:val="4E955A09"/>
    <w:rsid w:val="4EFA0F67"/>
    <w:rsid w:val="4F50502B"/>
    <w:rsid w:val="4FCD667C"/>
    <w:rsid w:val="504306EC"/>
    <w:rsid w:val="509251CF"/>
    <w:rsid w:val="50F8383E"/>
    <w:rsid w:val="51114643"/>
    <w:rsid w:val="512D1C8A"/>
    <w:rsid w:val="517F5754"/>
    <w:rsid w:val="52417DE6"/>
    <w:rsid w:val="54F46459"/>
    <w:rsid w:val="55B07AA9"/>
    <w:rsid w:val="55DF4A13"/>
    <w:rsid w:val="55EB18E9"/>
    <w:rsid w:val="55F845CE"/>
    <w:rsid w:val="560D5781"/>
    <w:rsid w:val="571F1377"/>
    <w:rsid w:val="57A04A47"/>
    <w:rsid w:val="582F0CAC"/>
    <w:rsid w:val="592E180D"/>
    <w:rsid w:val="594D6137"/>
    <w:rsid w:val="597638E0"/>
    <w:rsid w:val="59E43D17"/>
    <w:rsid w:val="5A0C4414"/>
    <w:rsid w:val="5A601E9A"/>
    <w:rsid w:val="5A7958AE"/>
    <w:rsid w:val="5B353327"/>
    <w:rsid w:val="5B4348BF"/>
    <w:rsid w:val="5C982BF1"/>
    <w:rsid w:val="5E1C76EA"/>
    <w:rsid w:val="5E9B0B5B"/>
    <w:rsid w:val="5F0664A4"/>
    <w:rsid w:val="5F6261C5"/>
    <w:rsid w:val="5F681DDF"/>
    <w:rsid w:val="5F6B37BB"/>
    <w:rsid w:val="5FE24477"/>
    <w:rsid w:val="607664A4"/>
    <w:rsid w:val="60BF5B6D"/>
    <w:rsid w:val="612160CD"/>
    <w:rsid w:val="6149338E"/>
    <w:rsid w:val="619F774C"/>
    <w:rsid w:val="62343C62"/>
    <w:rsid w:val="62C236F2"/>
    <w:rsid w:val="63D176BD"/>
    <w:rsid w:val="659F706B"/>
    <w:rsid w:val="663761A5"/>
    <w:rsid w:val="666D40A1"/>
    <w:rsid w:val="669B6734"/>
    <w:rsid w:val="66AF249C"/>
    <w:rsid w:val="66C47290"/>
    <w:rsid w:val="66E234EE"/>
    <w:rsid w:val="685C226C"/>
    <w:rsid w:val="68776D2D"/>
    <w:rsid w:val="68926B50"/>
    <w:rsid w:val="68981874"/>
    <w:rsid w:val="68AA7102"/>
    <w:rsid w:val="68E02B24"/>
    <w:rsid w:val="694A61EF"/>
    <w:rsid w:val="694C1F68"/>
    <w:rsid w:val="69917388"/>
    <w:rsid w:val="69A81E0D"/>
    <w:rsid w:val="69E93C5A"/>
    <w:rsid w:val="6A3749C6"/>
    <w:rsid w:val="6B2D4408"/>
    <w:rsid w:val="6B543355"/>
    <w:rsid w:val="6C472EBA"/>
    <w:rsid w:val="6CA4235E"/>
    <w:rsid w:val="6CD628FD"/>
    <w:rsid w:val="6D1C76FB"/>
    <w:rsid w:val="6D792498"/>
    <w:rsid w:val="6DA66D04"/>
    <w:rsid w:val="6DD24A05"/>
    <w:rsid w:val="6E062C48"/>
    <w:rsid w:val="6E5A729A"/>
    <w:rsid w:val="6E8B3532"/>
    <w:rsid w:val="6E9B554C"/>
    <w:rsid w:val="6EBF50ED"/>
    <w:rsid w:val="6EC0204B"/>
    <w:rsid w:val="6F314E0A"/>
    <w:rsid w:val="6FB33C3E"/>
    <w:rsid w:val="6FC12C67"/>
    <w:rsid w:val="70086C09"/>
    <w:rsid w:val="71474417"/>
    <w:rsid w:val="724A436A"/>
    <w:rsid w:val="72EE408F"/>
    <w:rsid w:val="735C2726"/>
    <w:rsid w:val="73DC038C"/>
    <w:rsid w:val="73DD4830"/>
    <w:rsid w:val="740D6797"/>
    <w:rsid w:val="751E3BDD"/>
    <w:rsid w:val="75D91027"/>
    <w:rsid w:val="76767EA5"/>
    <w:rsid w:val="7726029C"/>
    <w:rsid w:val="77552C5B"/>
    <w:rsid w:val="776E1C43"/>
    <w:rsid w:val="77FE762C"/>
    <w:rsid w:val="78104AA8"/>
    <w:rsid w:val="798225FA"/>
    <w:rsid w:val="79C8340F"/>
    <w:rsid w:val="7ACD6C80"/>
    <w:rsid w:val="7C3F374D"/>
    <w:rsid w:val="7C413482"/>
    <w:rsid w:val="7C63164A"/>
    <w:rsid w:val="7C8D2B6B"/>
    <w:rsid w:val="7ED700CE"/>
    <w:rsid w:val="7F082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autoSpaceDE w:val="0"/>
      <w:autoSpaceDN w:val="0"/>
      <w:adjustRightInd w:val="0"/>
      <w:spacing w:line="360" w:lineRule="auto"/>
      <w:jc w:val="center"/>
      <w:outlineLvl w:val="0"/>
    </w:pPr>
    <w:rPr>
      <w:rFonts w:ascii="宋体"/>
      <w:b/>
      <w:sz w:val="32"/>
    </w:rPr>
  </w:style>
  <w:style w:type="paragraph" w:styleId="3">
    <w:name w:val="heading 2"/>
    <w:basedOn w:val="1"/>
    <w:next w:val="1"/>
    <w:link w:val="55"/>
    <w:autoRedefine/>
    <w:qFormat/>
    <w:uiPriority w:val="0"/>
    <w:pPr>
      <w:keepNext/>
      <w:keepLines/>
      <w:spacing w:before="260" w:after="260" w:line="412" w:lineRule="auto"/>
      <w:jc w:val="both"/>
      <w:outlineLvl w:val="1"/>
    </w:pPr>
    <w:rPr>
      <w:rFonts w:ascii="Arial" w:hAnsi="Arial" w:eastAsia="黑体"/>
      <w:b/>
      <w:color w:val="auto"/>
      <w:sz w:val="32"/>
      <w:szCs w:val="20"/>
      <w:lang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jc w:val="both"/>
    </w:pPr>
    <w:rPr>
      <w:rFonts w:eastAsia="宋体"/>
      <w:color w:val="auto"/>
      <w:kern w:val="2"/>
      <w:sz w:val="21"/>
      <w:szCs w:val="20"/>
      <w:lang w:eastAsia="zh-CN" w:bidi="ar-SA"/>
    </w:rPr>
  </w:style>
  <w:style w:type="paragraph" w:styleId="5">
    <w:name w:val="toa heading"/>
    <w:basedOn w:val="1"/>
    <w:next w:val="1"/>
    <w:qFormat/>
    <w:uiPriority w:val="0"/>
    <w:pPr>
      <w:spacing w:before="120"/>
    </w:pPr>
    <w:rPr>
      <w:rFonts w:ascii="Arial" w:hAnsi="Arial"/>
    </w:rPr>
  </w:style>
  <w:style w:type="paragraph" w:styleId="6">
    <w:name w:val="annotation text"/>
    <w:basedOn w:val="1"/>
    <w:autoRedefine/>
    <w:semiHidden/>
    <w:unhideWhenUsed/>
    <w:qFormat/>
    <w:uiPriority w:val="99"/>
  </w:style>
  <w:style w:type="paragraph" w:styleId="7">
    <w:name w:val="Body Text"/>
    <w:basedOn w:val="1"/>
    <w:link w:val="60"/>
    <w:autoRedefine/>
    <w:semiHidden/>
    <w:unhideWhenUsed/>
    <w:qFormat/>
    <w:uiPriority w:val="99"/>
    <w:pPr>
      <w:spacing w:after="120"/>
      <w:jc w:val="both"/>
    </w:pPr>
    <w:rPr>
      <w:rFonts w:ascii="Calibri" w:hAnsi="Calibri" w:eastAsia="宋体"/>
      <w:color w:val="auto"/>
      <w:kern w:val="2"/>
      <w:sz w:val="21"/>
      <w:szCs w:val="22"/>
      <w:lang w:eastAsia="zh-CN" w:bidi="ar-SA"/>
    </w:rPr>
  </w:style>
  <w:style w:type="paragraph" w:styleId="8">
    <w:name w:val="Body Text Indent 2"/>
    <w:basedOn w:val="1"/>
    <w:unhideWhenUsed/>
    <w:qFormat/>
    <w:uiPriority w:val="99"/>
    <w:pPr>
      <w:spacing w:after="120" w:line="480" w:lineRule="auto"/>
      <w:ind w:left="420" w:leftChars="200"/>
    </w:pPr>
  </w:style>
  <w:style w:type="paragraph" w:styleId="9">
    <w:name w:val="Balloon Text"/>
    <w:basedOn w:val="1"/>
    <w:link w:val="58"/>
    <w:autoRedefine/>
    <w:semiHidden/>
    <w:unhideWhenUsed/>
    <w:qFormat/>
    <w:uiPriority w:val="99"/>
    <w:rPr>
      <w:sz w:val="18"/>
      <w:szCs w:val="18"/>
    </w:rPr>
  </w:style>
  <w:style w:type="paragraph" w:styleId="10">
    <w:name w:val="footer"/>
    <w:basedOn w:val="1"/>
    <w:link w:val="51"/>
    <w:autoRedefine/>
    <w:unhideWhenUsed/>
    <w:qFormat/>
    <w:uiPriority w:val="99"/>
    <w:pPr>
      <w:tabs>
        <w:tab w:val="center" w:pos="4153"/>
        <w:tab w:val="right" w:pos="8306"/>
      </w:tabs>
      <w:snapToGrid w:val="0"/>
    </w:pPr>
    <w:rPr>
      <w:sz w:val="18"/>
      <w:szCs w:val="18"/>
    </w:rPr>
  </w:style>
  <w:style w:type="paragraph" w:styleId="11">
    <w:name w:val="header"/>
    <w:basedOn w:val="1"/>
    <w:link w:val="5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semiHidden/>
    <w:unhideWhenUsed/>
    <w:qFormat/>
    <w:uiPriority w:val="99"/>
    <w:pPr>
      <w:snapToGrid w:val="0"/>
    </w:pPr>
    <w:rPr>
      <w:sz w:val="18"/>
      <w:szCs w:val="18"/>
    </w:rPr>
  </w:style>
  <w:style w:type="paragraph" w:styleId="13">
    <w:name w:val="toc 2"/>
    <w:basedOn w:val="1"/>
    <w:next w:val="1"/>
    <w:qFormat/>
    <w:uiPriority w:val="0"/>
    <w:pPr>
      <w:ind w:left="420" w:leftChars="200"/>
    </w:pPr>
  </w:style>
  <w:style w:type="paragraph" w:styleId="14">
    <w:name w:val="Normal (Web)"/>
    <w:basedOn w:val="1"/>
    <w:autoRedefine/>
    <w:qFormat/>
    <w:uiPriority w:val="99"/>
    <w:pPr>
      <w:widowControl/>
      <w:spacing w:before="100" w:beforeAutospacing="1" w:after="100" w:afterAutospacing="1"/>
    </w:pPr>
    <w:rPr>
      <w:rFonts w:ascii="宋体" w:hAnsi="宋体" w:eastAsia="宋体" w:cs="宋体"/>
      <w:color w:val="auto"/>
      <w:lang w:eastAsia="zh-CN" w:bidi="ar-SA"/>
    </w:rPr>
  </w:style>
  <w:style w:type="paragraph" w:styleId="15">
    <w:name w:val="Title"/>
    <w:basedOn w:val="1"/>
    <w:autoRedefine/>
    <w:qFormat/>
    <w:uiPriority w:val="10"/>
    <w:pPr>
      <w:jc w:val="center"/>
      <w:outlineLvl w:val="0"/>
    </w:pPr>
    <w:rPr>
      <w:rFonts w:ascii="Arial" w:hAnsi="Arial"/>
      <w:b/>
      <w:sz w:val="32"/>
    </w:rPr>
  </w:style>
  <w:style w:type="table" w:styleId="17">
    <w:name w:val="Table Grid"/>
    <w:basedOn w:val="16"/>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Hyperlink"/>
    <w:basedOn w:val="18"/>
    <w:unhideWhenUsed/>
    <w:qFormat/>
    <w:uiPriority w:val="99"/>
    <w:rPr>
      <w:color w:val="0000FF"/>
      <w:u w:val="single"/>
    </w:rPr>
  </w:style>
  <w:style w:type="character" w:customStyle="1" w:styleId="20">
    <w:name w:val="Heading #2|1_"/>
    <w:basedOn w:val="18"/>
    <w:link w:val="21"/>
    <w:autoRedefine/>
    <w:qFormat/>
    <w:uiPriority w:val="0"/>
    <w:rPr>
      <w:rFonts w:ascii="宋体" w:hAnsi="宋体" w:eastAsia="宋体" w:cs="宋体"/>
      <w:sz w:val="50"/>
      <w:szCs w:val="50"/>
      <w:u w:val="none"/>
      <w:shd w:val="clear" w:color="auto" w:fill="auto"/>
      <w:lang w:val="zh-TW" w:eastAsia="zh-TW" w:bidi="zh-TW"/>
    </w:rPr>
  </w:style>
  <w:style w:type="paragraph" w:customStyle="1" w:styleId="21">
    <w:name w:val="Heading #2|1"/>
    <w:basedOn w:val="1"/>
    <w:link w:val="20"/>
    <w:autoRedefine/>
    <w:qFormat/>
    <w:uiPriority w:val="0"/>
    <w:pPr>
      <w:spacing w:before="1080" w:after="1300"/>
      <w:jc w:val="center"/>
      <w:outlineLvl w:val="1"/>
    </w:pPr>
    <w:rPr>
      <w:rFonts w:ascii="宋体" w:hAnsi="宋体" w:eastAsia="宋体" w:cs="宋体"/>
      <w:sz w:val="50"/>
      <w:szCs w:val="50"/>
      <w:lang w:val="zh-TW" w:eastAsia="zh-TW" w:bidi="zh-TW"/>
    </w:rPr>
  </w:style>
  <w:style w:type="character" w:customStyle="1" w:styleId="22">
    <w:name w:val="Body text|4_"/>
    <w:basedOn w:val="18"/>
    <w:link w:val="23"/>
    <w:autoRedefine/>
    <w:qFormat/>
    <w:uiPriority w:val="0"/>
    <w:rPr>
      <w:rFonts w:ascii="宋体" w:hAnsi="宋体" w:eastAsia="宋体" w:cs="宋体"/>
      <w:sz w:val="42"/>
      <w:szCs w:val="42"/>
      <w:u w:val="none"/>
      <w:shd w:val="clear" w:color="auto" w:fill="auto"/>
      <w:lang w:val="zh-TW" w:eastAsia="zh-TW" w:bidi="zh-TW"/>
    </w:rPr>
  </w:style>
  <w:style w:type="paragraph" w:customStyle="1" w:styleId="23">
    <w:name w:val="Body text|4"/>
    <w:basedOn w:val="1"/>
    <w:link w:val="22"/>
    <w:autoRedefine/>
    <w:qFormat/>
    <w:uiPriority w:val="0"/>
    <w:pPr>
      <w:spacing w:after="1250"/>
      <w:ind w:firstLine="110"/>
    </w:pPr>
    <w:rPr>
      <w:rFonts w:ascii="宋体" w:hAnsi="宋体" w:eastAsia="宋体" w:cs="宋体"/>
      <w:sz w:val="42"/>
      <w:szCs w:val="42"/>
      <w:lang w:val="zh-TW" w:eastAsia="zh-TW" w:bidi="zh-TW"/>
    </w:rPr>
  </w:style>
  <w:style w:type="character" w:customStyle="1" w:styleId="24">
    <w:name w:val="Heading #1|1_"/>
    <w:basedOn w:val="18"/>
    <w:link w:val="25"/>
    <w:autoRedefine/>
    <w:qFormat/>
    <w:uiPriority w:val="0"/>
    <w:rPr>
      <w:rFonts w:ascii="宋体" w:hAnsi="宋体" w:eastAsia="宋体" w:cs="宋体"/>
      <w:sz w:val="94"/>
      <w:szCs w:val="94"/>
      <w:u w:val="none"/>
      <w:shd w:val="clear" w:color="auto" w:fill="auto"/>
      <w:lang w:val="zh-TW" w:eastAsia="zh-TW" w:bidi="zh-TW"/>
    </w:rPr>
  </w:style>
  <w:style w:type="paragraph" w:customStyle="1" w:styleId="25">
    <w:name w:val="Heading #1|1"/>
    <w:basedOn w:val="1"/>
    <w:link w:val="24"/>
    <w:autoRedefine/>
    <w:qFormat/>
    <w:uiPriority w:val="0"/>
    <w:pPr>
      <w:spacing w:after="2940"/>
      <w:jc w:val="center"/>
      <w:outlineLvl w:val="0"/>
    </w:pPr>
    <w:rPr>
      <w:rFonts w:ascii="宋体" w:hAnsi="宋体" w:eastAsia="宋体" w:cs="宋体"/>
      <w:sz w:val="94"/>
      <w:szCs w:val="94"/>
      <w:lang w:val="zh-TW" w:eastAsia="zh-TW" w:bidi="zh-TW"/>
    </w:rPr>
  </w:style>
  <w:style w:type="character" w:customStyle="1" w:styleId="26">
    <w:name w:val="Body text|2_"/>
    <w:basedOn w:val="18"/>
    <w:link w:val="27"/>
    <w:autoRedefine/>
    <w:qFormat/>
    <w:uiPriority w:val="0"/>
    <w:rPr>
      <w:rFonts w:ascii="宋体" w:hAnsi="宋体" w:eastAsia="宋体" w:cs="宋体"/>
      <w:sz w:val="26"/>
      <w:szCs w:val="26"/>
      <w:u w:val="none"/>
      <w:shd w:val="clear" w:color="auto" w:fill="auto"/>
      <w:lang w:val="zh-TW" w:eastAsia="zh-TW" w:bidi="zh-TW"/>
    </w:rPr>
  </w:style>
  <w:style w:type="paragraph" w:customStyle="1" w:styleId="27">
    <w:name w:val="Body text|2"/>
    <w:basedOn w:val="1"/>
    <w:link w:val="26"/>
    <w:autoRedefine/>
    <w:qFormat/>
    <w:uiPriority w:val="0"/>
    <w:pPr>
      <w:spacing w:line="536" w:lineRule="exact"/>
      <w:ind w:left="570" w:firstLine="10"/>
    </w:pPr>
    <w:rPr>
      <w:rFonts w:ascii="宋体" w:hAnsi="宋体" w:eastAsia="宋体" w:cs="宋体"/>
      <w:sz w:val="26"/>
      <w:szCs w:val="26"/>
      <w:lang w:val="zh-TW" w:eastAsia="zh-TW" w:bidi="zh-TW"/>
    </w:rPr>
  </w:style>
  <w:style w:type="character" w:customStyle="1" w:styleId="28">
    <w:name w:val="Body text|6_"/>
    <w:basedOn w:val="18"/>
    <w:link w:val="29"/>
    <w:autoRedefine/>
    <w:qFormat/>
    <w:uiPriority w:val="0"/>
    <w:rPr>
      <w:sz w:val="28"/>
      <w:szCs w:val="28"/>
      <w:u w:val="single"/>
      <w:shd w:val="clear" w:color="auto" w:fill="auto"/>
      <w:lang w:val="zh-TW" w:eastAsia="zh-TW" w:bidi="zh-TW"/>
    </w:rPr>
  </w:style>
  <w:style w:type="paragraph" w:customStyle="1" w:styleId="29">
    <w:name w:val="Body text|6"/>
    <w:basedOn w:val="1"/>
    <w:link w:val="28"/>
    <w:autoRedefine/>
    <w:qFormat/>
    <w:uiPriority w:val="0"/>
    <w:pPr>
      <w:spacing w:line="536" w:lineRule="exact"/>
      <w:ind w:left="1140" w:firstLine="20"/>
    </w:pPr>
    <w:rPr>
      <w:sz w:val="28"/>
      <w:szCs w:val="28"/>
      <w:u w:val="single"/>
      <w:lang w:val="zh-TW" w:eastAsia="zh-TW" w:bidi="zh-TW"/>
    </w:rPr>
  </w:style>
  <w:style w:type="character" w:customStyle="1" w:styleId="30">
    <w:name w:val="Heading #3|1_"/>
    <w:basedOn w:val="18"/>
    <w:link w:val="31"/>
    <w:autoRedefine/>
    <w:qFormat/>
    <w:uiPriority w:val="0"/>
    <w:rPr>
      <w:rFonts w:ascii="宋体" w:hAnsi="宋体" w:eastAsia="宋体" w:cs="宋体"/>
      <w:sz w:val="34"/>
      <w:szCs w:val="34"/>
      <w:u w:val="none"/>
      <w:shd w:val="clear" w:color="auto" w:fill="auto"/>
      <w:lang w:val="zh-TW" w:eastAsia="zh-TW" w:bidi="zh-TW"/>
    </w:rPr>
  </w:style>
  <w:style w:type="paragraph" w:customStyle="1" w:styleId="31">
    <w:name w:val="Heading #3|1"/>
    <w:basedOn w:val="1"/>
    <w:link w:val="30"/>
    <w:autoRedefine/>
    <w:qFormat/>
    <w:uiPriority w:val="0"/>
    <w:pPr>
      <w:spacing w:after="380"/>
      <w:jc w:val="center"/>
      <w:outlineLvl w:val="2"/>
    </w:pPr>
    <w:rPr>
      <w:rFonts w:ascii="宋体" w:hAnsi="宋体" w:eastAsia="宋体" w:cs="宋体"/>
      <w:sz w:val="34"/>
      <w:szCs w:val="34"/>
      <w:lang w:val="zh-TW" w:eastAsia="zh-TW" w:bidi="zh-TW"/>
    </w:rPr>
  </w:style>
  <w:style w:type="character" w:customStyle="1" w:styleId="32">
    <w:name w:val="Body text|1_"/>
    <w:basedOn w:val="18"/>
    <w:link w:val="33"/>
    <w:autoRedefine/>
    <w:qFormat/>
    <w:uiPriority w:val="0"/>
    <w:rPr>
      <w:rFonts w:ascii="宋体" w:hAnsi="宋体" w:eastAsia="宋体" w:cs="宋体"/>
      <w:sz w:val="22"/>
      <w:szCs w:val="22"/>
      <w:u w:val="none"/>
      <w:shd w:val="clear" w:color="auto" w:fill="auto"/>
      <w:lang w:val="zh-TW" w:eastAsia="zh-TW" w:bidi="zh-TW"/>
    </w:rPr>
  </w:style>
  <w:style w:type="paragraph" w:customStyle="1" w:styleId="33">
    <w:name w:val="Body text|1"/>
    <w:basedOn w:val="1"/>
    <w:link w:val="32"/>
    <w:autoRedefine/>
    <w:qFormat/>
    <w:uiPriority w:val="0"/>
    <w:pPr>
      <w:spacing w:line="451" w:lineRule="auto"/>
      <w:ind w:firstLine="400"/>
    </w:pPr>
    <w:rPr>
      <w:rFonts w:ascii="宋体" w:hAnsi="宋体" w:eastAsia="宋体" w:cs="宋体"/>
      <w:sz w:val="22"/>
      <w:szCs w:val="22"/>
      <w:lang w:val="zh-TW" w:eastAsia="zh-TW" w:bidi="zh-TW"/>
    </w:rPr>
  </w:style>
  <w:style w:type="character" w:customStyle="1" w:styleId="34">
    <w:name w:val="Other|1_"/>
    <w:basedOn w:val="18"/>
    <w:link w:val="35"/>
    <w:autoRedefine/>
    <w:qFormat/>
    <w:uiPriority w:val="0"/>
    <w:rPr>
      <w:rFonts w:ascii="宋体" w:hAnsi="宋体" w:eastAsia="宋体" w:cs="宋体"/>
      <w:sz w:val="22"/>
      <w:szCs w:val="22"/>
      <w:u w:val="none"/>
      <w:shd w:val="clear" w:color="auto" w:fill="auto"/>
      <w:lang w:val="zh-TW" w:eastAsia="zh-TW" w:bidi="zh-TW"/>
    </w:rPr>
  </w:style>
  <w:style w:type="paragraph" w:customStyle="1" w:styleId="35">
    <w:name w:val="Other|1"/>
    <w:basedOn w:val="1"/>
    <w:link w:val="34"/>
    <w:autoRedefine/>
    <w:qFormat/>
    <w:uiPriority w:val="0"/>
    <w:pPr>
      <w:spacing w:line="451" w:lineRule="auto"/>
      <w:ind w:firstLine="400"/>
    </w:pPr>
    <w:rPr>
      <w:rFonts w:ascii="宋体" w:hAnsi="宋体" w:eastAsia="宋体" w:cs="宋体"/>
      <w:sz w:val="22"/>
      <w:szCs w:val="22"/>
      <w:lang w:val="zh-TW" w:eastAsia="zh-TW" w:bidi="zh-TW"/>
    </w:rPr>
  </w:style>
  <w:style w:type="character" w:customStyle="1" w:styleId="36">
    <w:name w:val="Header or footer|2_"/>
    <w:basedOn w:val="18"/>
    <w:link w:val="37"/>
    <w:autoRedefine/>
    <w:qFormat/>
    <w:uiPriority w:val="0"/>
    <w:rPr>
      <w:sz w:val="20"/>
      <w:szCs w:val="20"/>
      <w:u w:val="none"/>
      <w:shd w:val="clear" w:color="auto" w:fill="auto"/>
      <w:lang w:val="zh-CN" w:eastAsia="zh-CN" w:bidi="zh-CN"/>
    </w:rPr>
  </w:style>
  <w:style w:type="paragraph" w:customStyle="1" w:styleId="37">
    <w:name w:val="Header or footer|2"/>
    <w:basedOn w:val="1"/>
    <w:link w:val="36"/>
    <w:autoRedefine/>
    <w:qFormat/>
    <w:uiPriority w:val="0"/>
    <w:rPr>
      <w:sz w:val="20"/>
      <w:szCs w:val="20"/>
      <w:lang w:val="zh-CN" w:eastAsia="zh-CN" w:bidi="zh-CN"/>
    </w:rPr>
  </w:style>
  <w:style w:type="character" w:customStyle="1" w:styleId="38">
    <w:name w:val="Table caption|1_"/>
    <w:basedOn w:val="18"/>
    <w:link w:val="39"/>
    <w:autoRedefine/>
    <w:qFormat/>
    <w:uiPriority w:val="0"/>
    <w:rPr>
      <w:rFonts w:ascii="宋体" w:hAnsi="宋体" w:eastAsia="宋体" w:cs="宋体"/>
      <w:sz w:val="22"/>
      <w:szCs w:val="22"/>
      <w:u w:val="none"/>
      <w:shd w:val="clear" w:color="auto" w:fill="auto"/>
      <w:lang w:val="zh-TW" w:eastAsia="zh-TW" w:bidi="zh-TW"/>
    </w:rPr>
  </w:style>
  <w:style w:type="paragraph" w:customStyle="1" w:styleId="39">
    <w:name w:val="Table caption|1"/>
    <w:basedOn w:val="1"/>
    <w:link w:val="38"/>
    <w:autoRedefine/>
    <w:qFormat/>
    <w:uiPriority w:val="0"/>
    <w:rPr>
      <w:rFonts w:ascii="宋体" w:hAnsi="宋体" w:eastAsia="宋体" w:cs="宋体"/>
      <w:sz w:val="22"/>
      <w:szCs w:val="22"/>
      <w:lang w:val="zh-TW" w:eastAsia="zh-TW" w:bidi="zh-TW"/>
    </w:rPr>
  </w:style>
  <w:style w:type="character" w:customStyle="1" w:styleId="40">
    <w:name w:val="Header or footer|1_"/>
    <w:basedOn w:val="18"/>
    <w:link w:val="41"/>
    <w:autoRedefine/>
    <w:qFormat/>
    <w:uiPriority w:val="0"/>
    <w:rPr>
      <w:sz w:val="18"/>
      <w:szCs w:val="18"/>
      <w:u w:val="none"/>
      <w:shd w:val="clear" w:color="auto" w:fill="auto"/>
      <w:lang w:val="zh-TW" w:eastAsia="zh-TW" w:bidi="zh-TW"/>
    </w:rPr>
  </w:style>
  <w:style w:type="paragraph" w:customStyle="1" w:styleId="41">
    <w:name w:val="Header or footer|1"/>
    <w:basedOn w:val="1"/>
    <w:link w:val="40"/>
    <w:autoRedefine/>
    <w:qFormat/>
    <w:uiPriority w:val="0"/>
    <w:rPr>
      <w:sz w:val="18"/>
      <w:szCs w:val="18"/>
      <w:lang w:val="zh-TW" w:eastAsia="zh-TW" w:bidi="zh-TW"/>
    </w:rPr>
  </w:style>
  <w:style w:type="character" w:customStyle="1" w:styleId="42">
    <w:name w:val="Body text|3_"/>
    <w:basedOn w:val="18"/>
    <w:link w:val="43"/>
    <w:autoRedefine/>
    <w:qFormat/>
    <w:uiPriority w:val="0"/>
    <w:rPr>
      <w:sz w:val="18"/>
      <w:szCs w:val="18"/>
      <w:u w:val="none"/>
      <w:shd w:val="clear" w:color="auto" w:fill="auto"/>
      <w:lang w:val="zh-TW" w:eastAsia="zh-TW" w:bidi="zh-TW"/>
    </w:rPr>
  </w:style>
  <w:style w:type="paragraph" w:customStyle="1" w:styleId="43">
    <w:name w:val="Body text|3"/>
    <w:basedOn w:val="1"/>
    <w:link w:val="42"/>
    <w:autoRedefine/>
    <w:qFormat/>
    <w:uiPriority w:val="0"/>
    <w:pPr>
      <w:ind w:left="1900"/>
    </w:pPr>
    <w:rPr>
      <w:sz w:val="18"/>
      <w:szCs w:val="18"/>
      <w:lang w:val="zh-TW" w:eastAsia="zh-TW" w:bidi="zh-TW"/>
    </w:rPr>
  </w:style>
  <w:style w:type="character" w:customStyle="1" w:styleId="44">
    <w:name w:val="Picture caption|1_"/>
    <w:basedOn w:val="18"/>
    <w:link w:val="45"/>
    <w:autoRedefine/>
    <w:qFormat/>
    <w:uiPriority w:val="0"/>
    <w:rPr>
      <w:rFonts w:ascii="宋体" w:hAnsi="宋体" w:eastAsia="宋体" w:cs="宋体"/>
      <w:sz w:val="22"/>
      <w:szCs w:val="22"/>
      <w:u w:val="none"/>
      <w:shd w:val="clear" w:color="auto" w:fill="auto"/>
      <w:lang w:val="zh-TW" w:eastAsia="zh-TW" w:bidi="zh-TW"/>
    </w:rPr>
  </w:style>
  <w:style w:type="paragraph" w:customStyle="1" w:styleId="45">
    <w:name w:val="Picture caption|1"/>
    <w:basedOn w:val="1"/>
    <w:link w:val="44"/>
    <w:autoRedefine/>
    <w:qFormat/>
    <w:uiPriority w:val="0"/>
    <w:pPr>
      <w:spacing w:after="330"/>
    </w:pPr>
    <w:rPr>
      <w:rFonts w:ascii="宋体" w:hAnsi="宋体" w:eastAsia="宋体" w:cs="宋体"/>
      <w:sz w:val="22"/>
      <w:szCs w:val="22"/>
      <w:lang w:val="zh-TW" w:eastAsia="zh-TW" w:bidi="zh-TW"/>
    </w:rPr>
  </w:style>
  <w:style w:type="character" w:customStyle="1" w:styleId="46">
    <w:name w:val="Heading #4|1_"/>
    <w:basedOn w:val="18"/>
    <w:link w:val="47"/>
    <w:autoRedefine/>
    <w:qFormat/>
    <w:uiPriority w:val="0"/>
    <w:rPr>
      <w:rFonts w:ascii="宋体" w:hAnsi="宋体" w:eastAsia="宋体" w:cs="宋体"/>
      <w:sz w:val="30"/>
      <w:szCs w:val="30"/>
      <w:u w:val="none"/>
      <w:shd w:val="clear" w:color="auto" w:fill="auto"/>
      <w:lang w:val="zh-TW" w:eastAsia="zh-TW" w:bidi="zh-TW"/>
    </w:rPr>
  </w:style>
  <w:style w:type="paragraph" w:customStyle="1" w:styleId="47">
    <w:name w:val="Heading #4|1"/>
    <w:basedOn w:val="1"/>
    <w:link w:val="46"/>
    <w:autoRedefine/>
    <w:qFormat/>
    <w:uiPriority w:val="0"/>
    <w:pPr>
      <w:spacing w:after="540"/>
      <w:jc w:val="center"/>
      <w:outlineLvl w:val="3"/>
    </w:pPr>
    <w:rPr>
      <w:rFonts w:ascii="宋体" w:hAnsi="宋体" w:eastAsia="宋体" w:cs="宋体"/>
      <w:sz w:val="30"/>
      <w:szCs w:val="30"/>
      <w:lang w:val="zh-TW" w:eastAsia="zh-TW" w:bidi="zh-TW"/>
    </w:rPr>
  </w:style>
  <w:style w:type="character" w:customStyle="1" w:styleId="48">
    <w:name w:val="Body text|5_"/>
    <w:basedOn w:val="18"/>
    <w:link w:val="49"/>
    <w:autoRedefine/>
    <w:qFormat/>
    <w:uiPriority w:val="0"/>
    <w:rPr>
      <w:rFonts w:ascii="宋体" w:hAnsi="宋体" w:eastAsia="宋体" w:cs="宋体"/>
      <w:sz w:val="20"/>
      <w:szCs w:val="20"/>
      <w:u w:val="none"/>
      <w:shd w:val="clear" w:color="auto" w:fill="auto"/>
      <w:lang w:val="zh-TW" w:eastAsia="zh-TW" w:bidi="zh-TW"/>
    </w:rPr>
  </w:style>
  <w:style w:type="paragraph" w:customStyle="1" w:styleId="49">
    <w:name w:val="Body text|5"/>
    <w:basedOn w:val="1"/>
    <w:link w:val="48"/>
    <w:autoRedefine/>
    <w:qFormat/>
    <w:uiPriority w:val="0"/>
    <w:pPr>
      <w:spacing w:line="320" w:lineRule="exact"/>
    </w:pPr>
    <w:rPr>
      <w:rFonts w:ascii="宋体" w:hAnsi="宋体" w:eastAsia="宋体" w:cs="宋体"/>
      <w:sz w:val="20"/>
      <w:szCs w:val="20"/>
      <w:lang w:val="zh-TW" w:eastAsia="zh-TW" w:bidi="zh-TW"/>
    </w:rPr>
  </w:style>
  <w:style w:type="character" w:customStyle="1" w:styleId="50">
    <w:name w:val="页眉 字符"/>
    <w:basedOn w:val="18"/>
    <w:link w:val="11"/>
    <w:autoRedefine/>
    <w:qFormat/>
    <w:uiPriority w:val="99"/>
    <w:rPr>
      <w:rFonts w:eastAsia="Times New Roman"/>
      <w:color w:val="000000"/>
      <w:sz w:val="18"/>
      <w:szCs w:val="18"/>
    </w:rPr>
  </w:style>
  <w:style w:type="character" w:customStyle="1" w:styleId="51">
    <w:name w:val="页脚 字符"/>
    <w:basedOn w:val="18"/>
    <w:link w:val="10"/>
    <w:autoRedefine/>
    <w:qFormat/>
    <w:uiPriority w:val="99"/>
    <w:rPr>
      <w:rFonts w:eastAsia="Times New Roman"/>
      <w:color w:val="000000"/>
      <w:sz w:val="18"/>
      <w:szCs w:val="18"/>
    </w:rPr>
  </w:style>
  <w:style w:type="paragraph" w:styleId="52">
    <w:name w:val="No Spacing"/>
    <w:link w:val="53"/>
    <w:autoRedefine/>
    <w:qFormat/>
    <w:uiPriority w:val="1"/>
    <w:rPr>
      <w:rFonts w:asciiTheme="minorHAnsi" w:hAnsiTheme="minorHAnsi" w:eastAsiaTheme="minorEastAsia" w:cstheme="minorBidi"/>
      <w:sz w:val="22"/>
      <w:szCs w:val="22"/>
      <w:lang w:val="en-US" w:eastAsia="zh-CN" w:bidi="ar-SA"/>
    </w:rPr>
  </w:style>
  <w:style w:type="character" w:customStyle="1" w:styleId="53">
    <w:name w:val="无间隔 字符"/>
    <w:basedOn w:val="18"/>
    <w:link w:val="52"/>
    <w:autoRedefine/>
    <w:qFormat/>
    <w:uiPriority w:val="1"/>
    <w:rPr>
      <w:rFonts w:asciiTheme="minorHAnsi" w:hAnsiTheme="minorHAnsi" w:cstheme="minorBidi"/>
      <w:sz w:val="22"/>
      <w:szCs w:val="22"/>
      <w:lang w:eastAsia="zh-CN" w:bidi="ar-SA"/>
    </w:rPr>
  </w:style>
  <w:style w:type="character" w:customStyle="1" w:styleId="54">
    <w:name w:val="标题 2 Char"/>
    <w:basedOn w:val="18"/>
    <w:autoRedefine/>
    <w:semiHidden/>
    <w:qFormat/>
    <w:uiPriority w:val="9"/>
    <w:rPr>
      <w:rFonts w:asciiTheme="majorHAnsi" w:hAnsiTheme="majorHAnsi" w:eastAsiaTheme="majorEastAsia" w:cstheme="majorBidi"/>
      <w:b/>
      <w:bCs/>
      <w:color w:val="000000"/>
      <w:sz w:val="32"/>
      <w:szCs w:val="32"/>
    </w:rPr>
  </w:style>
  <w:style w:type="character" w:customStyle="1" w:styleId="55">
    <w:name w:val="标题 2 字符"/>
    <w:link w:val="3"/>
    <w:autoRedefine/>
    <w:qFormat/>
    <w:uiPriority w:val="0"/>
    <w:rPr>
      <w:rFonts w:ascii="Arial" w:hAnsi="Arial" w:eastAsia="黑体"/>
      <w:b/>
      <w:sz w:val="32"/>
      <w:szCs w:val="20"/>
      <w:lang w:eastAsia="zh-CN" w:bidi="ar-SA"/>
    </w:rPr>
  </w:style>
  <w:style w:type="paragraph" w:customStyle="1" w:styleId="56">
    <w:name w:val="正文 New"/>
    <w:autoRedefine/>
    <w:qFormat/>
    <w:uiPriority w:val="0"/>
    <w:pPr>
      <w:widowControl w:val="0"/>
      <w:jc w:val="both"/>
    </w:pPr>
    <w:rPr>
      <w:rFonts w:ascii="Calibri" w:hAnsi="Calibri" w:eastAsia="宋体" w:cs="Times New Roman"/>
      <w:kern w:val="2"/>
      <w:sz w:val="28"/>
      <w:szCs w:val="24"/>
      <w:lang w:val="en-US" w:eastAsia="zh-CN" w:bidi="ar-SA"/>
    </w:rPr>
  </w:style>
  <w:style w:type="paragraph" w:customStyle="1" w:styleId="57">
    <w:name w:val="正文 New New New New"/>
    <w:autoRedefine/>
    <w:qFormat/>
    <w:uiPriority w:val="0"/>
    <w:pPr>
      <w:widowControl w:val="0"/>
      <w:jc w:val="both"/>
    </w:pPr>
    <w:rPr>
      <w:rFonts w:ascii="Calibri" w:hAnsi="Calibri" w:eastAsia="宋体" w:cs="Times New Roman"/>
      <w:kern w:val="2"/>
      <w:sz w:val="21"/>
      <w:lang w:val="en-US" w:eastAsia="zh-CN" w:bidi="ar-SA"/>
    </w:rPr>
  </w:style>
  <w:style w:type="character" w:customStyle="1" w:styleId="58">
    <w:name w:val="批注框文本 字符"/>
    <w:basedOn w:val="18"/>
    <w:link w:val="9"/>
    <w:autoRedefine/>
    <w:semiHidden/>
    <w:qFormat/>
    <w:uiPriority w:val="99"/>
    <w:rPr>
      <w:rFonts w:eastAsia="Times New Roman"/>
      <w:color w:val="000000"/>
      <w:sz w:val="18"/>
      <w:szCs w:val="18"/>
    </w:rPr>
  </w:style>
  <w:style w:type="paragraph" w:customStyle="1" w:styleId="59">
    <w:name w:val="修订1"/>
    <w:autoRedefine/>
    <w:hidden/>
    <w:semiHidden/>
    <w:qFormat/>
    <w:uiPriority w:val="99"/>
    <w:rPr>
      <w:rFonts w:ascii="Times New Roman" w:hAnsi="Times New Roman" w:eastAsia="Times New Roman" w:cs="Times New Roman"/>
      <w:color w:val="000000"/>
      <w:sz w:val="24"/>
      <w:szCs w:val="24"/>
      <w:lang w:val="en-US" w:eastAsia="en-US" w:bidi="en-US"/>
    </w:rPr>
  </w:style>
  <w:style w:type="character" w:customStyle="1" w:styleId="60">
    <w:name w:val="正文文本 字符"/>
    <w:basedOn w:val="18"/>
    <w:link w:val="7"/>
    <w:autoRedefine/>
    <w:semiHidden/>
    <w:qFormat/>
    <w:uiPriority w:val="99"/>
    <w:rPr>
      <w:rFonts w:ascii="Calibri" w:hAnsi="Calibri" w:eastAsia="宋体"/>
      <w:kern w:val="2"/>
      <w:sz w:val="21"/>
      <w:szCs w:val="22"/>
      <w:lang w:eastAsia="zh-CN" w:bidi="ar-SA"/>
    </w:rPr>
  </w:style>
  <w:style w:type="paragraph" w:customStyle="1" w:styleId="61">
    <w:name w:val="Table Text"/>
    <w:basedOn w:val="1"/>
    <w:semiHidden/>
    <w:qFormat/>
    <w:uiPriority w:val="0"/>
    <w:rPr>
      <w:rFonts w:ascii="微软雅黑" w:hAnsi="微软雅黑" w:eastAsia="微软雅黑" w:cs="微软雅黑"/>
      <w:sz w:val="18"/>
      <w:szCs w:val="18"/>
      <w:lang w:bidi="ar-SA"/>
    </w:rPr>
  </w:style>
  <w:style w:type="paragraph" w:customStyle="1" w:styleId="62">
    <w:name w:val="列表段落1"/>
    <w:basedOn w:val="1"/>
    <w:qFormat/>
    <w:uiPriority w:val="0"/>
    <w:pPr>
      <w:autoSpaceDE w:val="0"/>
      <w:autoSpaceDN w:val="0"/>
      <w:adjustRightInd w:val="0"/>
      <w:ind w:firstLine="420" w:firstLineChars="200"/>
    </w:pPr>
    <w:rPr>
      <w:rFonts w:eastAsia="宋体"/>
    </w:rPr>
  </w:style>
  <w:style w:type="paragraph" w:customStyle="1" w:styleId="63">
    <w:name w:val="列表段落11"/>
    <w:basedOn w:val="1"/>
    <w:qFormat/>
    <w:uiPriority w:val="0"/>
    <w:pPr>
      <w:autoSpaceDE w:val="0"/>
      <w:autoSpaceDN w:val="0"/>
      <w:adjustRightInd w:val="0"/>
      <w:ind w:firstLine="420" w:firstLineChars="200"/>
    </w:pPr>
    <w:rPr>
      <w:rFonts w:eastAsia="宋体"/>
    </w:rPr>
  </w:style>
  <w:style w:type="paragraph" w:customStyle="1" w:styleId="64">
    <w:name w:val="修订2"/>
    <w:hidden/>
    <w:unhideWhenUsed/>
    <w:qFormat/>
    <w:uiPriority w:val="99"/>
    <w:rPr>
      <w:rFonts w:ascii="Times New Roman" w:hAnsi="Times New Roman" w:eastAsia="Times New Roman" w:cs="Times New Roman"/>
      <w:color w:val="000000"/>
      <w:sz w:val="24"/>
      <w:szCs w:val="24"/>
      <w:lang w:val="en-US" w:eastAsia="en-US" w:bidi="en-US"/>
    </w:rPr>
  </w:style>
  <w:style w:type="paragraph" w:customStyle="1" w:styleId="65">
    <w:name w:val="Revision"/>
    <w:hidden/>
    <w:unhideWhenUsed/>
    <w:qFormat/>
    <w:uiPriority w:val="99"/>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A397B-CBB6-4037-99FC-07B33CBA566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4768</Words>
  <Characters>4962</Characters>
  <Lines>144</Lines>
  <Paragraphs>40</Paragraphs>
  <TotalTime>12</TotalTime>
  <ScaleCrop>false</ScaleCrop>
  <LinksUpToDate>false</LinksUpToDate>
  <CharactersWithSpaces>5032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2022-03-31T02:45:00Z</dcterms:created>
  <dc:creator>caiwu</dc:creator>
  <cp:lastModifiedBy>GD</cp:lastModifiedBy>
  <cp:lastPrinted>2024-07-10T09:22:00Z</cp:lastPrinted>
  <dcterms:modified xsi:type="dcterms:W3CDTF">2025-11-27T07:56:55Z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4AD6D380A26842C18B327AE259BC0813_13</vt:lpwstr>
  </property>
  <property fmtid="{D5CDD505-2E9C-101B-9397-08002B2CF9AE}" pid="4" name="KSOTemplateDocerSaveRecord">
    <vt:lpwstr>eyJoZGlkIjoiNTBhZjYwMjEwZWUyOTk1MmVjNDg1N2E3MTZlNDAxOWUiLCJ1c2VySWQiOiI5NTM1MzkxNzQifQ==</vt:lpwstr>
  </property>
</Properties>
</file>