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center"/>
        <w:rPr>
          <w:color w:val="000000" w:themeColor="text1"/>
          <w:sz w:val="48"/>
          <w:szCs w:val="48"/>
          <w:highlight w:val="none"/>
          <w14:textFill>
            <w14:solidFill>
              <w14:schemeClr w14:val="tx1"/>
            </w14:solidFill>
          </w14:textFill>
        </w:rPr>
      </w:pPr>
    </w:p>
    <w:p>
      <w:pPr>
        <w:shd w:val="clear"/>
        <w:jc w:val="center"/>
        <w:rPr>
          <w:color w:val="000000" w:themeColor="text1"/>
          <w:sz w:val="48"/>
          <w:szCs w:val="48"/>
          <w:highlight w:val="none"/>
          <w14:textFill>
            <w14:solidFill>
              <w14:schemeClr w14:val="tx1"/>
            </w14:solidFill>
          </w14:textFill>
        </w:rPr>
      </w:pPr>
    </w:p>
    <w:p>
      <w:pPr>
        <w:shd w:val="clear"/>
        <w:ind w:right="252" w:rightChars="120"/>
        <w:jc w:val="center"/>
        <w:rPr>
          <w:rFonts w:hint="eastAsia"/>
          <w:b/>
          <w:bCs/>
          <w:color w:val="000000" w:themeColor="text1"/>
          <w:sz w:val="56"/>
          <w:szCs w:val="56"/>
          <w:highlight w:val="none"/>
          <w:lang w:eastAsia="zh-CN"/>
          <w14:textFill>
            <w14:solidFill>
              <w14:schemeClr w14:val="tx1"/>
            </w14:solidFill>
          </w14:textFill>
        </w:rPr>
      </w:pPr>
      <w:r>
        <w:rPr>
          <w:rFonts w:hint="eastAsia"/>
          <w:b/>
          <w:bCs/>
          <w:color w:val="000000" w:themeColor="text1"/>
          <w:sz w:val="56"/>
          <w:szCs w:val="56"/>
          <w:highlight w:val="none"/>
          <w:lang w:eastAsia="zh-CN"/>
          <w14:textFill>
            <w14:solidFill>
              <w14:schemeClr w14:val="tx1"/>
            </w14:solidFill>
          </w14:textFill>
        </w:rPr>
        <w:t>广州设计之都嘉禾片区项目三期</w:t>
      </w:r>
    </w:p>
    <w:p>
      <w:pPr>
        <w:shd w:val="clear"/>
        <w:ind w:right="252" w:rightChars="120"/>
        <w:jc w:val="center"/>
        <w:rPr>
          <w:rFonts w:hint="eastAsia" w:eastAsia="宋体"/>
          <w:color w:val="000000" w:themeColor="text1"/>
          <w:sz w:val="36"/>
          <w:szCs w:val="36"/>
          <w:highlight w:val="none"/>
          <w:u w:val="single"/>
          <w:lang w:eastAsia="zh-CN"/>
          <w14:textFill>
            <w14:solidFill>
              <w14:schemeClr w14:val="tx1"/>
            </w14:solidFill>
          </w14:textFill>
        </w:rPr>
      </w:pPr>
      <w:r>
        <w:rPr>
          <w:rFonts w:hint="eastAsia"/>
          <w:b/>
          <w:bCs/>
          <w:color w:val="000000" w:themeColor="text1"/>
          <w:sz w:val="56"/>
          <w:szCs w:val="56"/>
          <w:highlight w:val="none"/>
          <w:lang w:eastAsia="zh-CN"/>
          <w14:textFill>
            <w14:solidFill>
              <w14:schemeClr w14:val="tx1"/>
            </w14:solidFill>
          </w14:textFill>
        </w:rPr>
        <w:t>第三方检测、监测服务</w:t>
      </w:r>
    </w:p>
    <w:p>
      <w:pPr>
        <w:shd w:val="clear"/>
        <w:jc w:val="center"/>
        <w:rPr>
          <w:color w:val="000000" w:themeColor="text1"/>
          <w:sz w:val="32"/>
          <w:szCs w:val="32"/>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jc w:val="center"/>
        <w:rPr>
          <w:b/>
          <w:bCs/>
          <w:color w:val="000000" w:themeColor="text1"/>
          <w:sz w:val="72"/>
          <w:szCs w:val="72"/>
          <w:highlight w:val="none"/>
          <w14:textFill>
            <w14:solidFill>
              <w14:schemeClr w14:val="tx1"/>
            </w14:solidFill>
          </w14:textFill>
        </w:rPr>
      </w:pPr>
      <w:r>
        <w:rPr>
          <w:b/>
          <w:bCs/>
          <w:color w:val="000000" w:themeColor="text1"/>
          <w:sz w:val="72"/>
          <w:szCs w:val="72"/>
          <w:highlight w:val="none"/>
          <w14:textFill>
            <w14:solidFill>
              <w14:schemeClr w14:val="tx1"/>
            </w14:solidFill>
          </w14:textFill>
        </w:rPr>
        <w:t>招标文件</w:t>
      </w: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spacing w:line="480" w:lineRule="auto"/>
        <w:ind w:firstLine="1417" w:firstLineChars="504"/>
        <w:rPr>
          <w:rFonts w:ascii="宋体" w:hAnsi="宋体" w:cs="宋体"/>
          <w:b/>
          <w:color w:val="000000" w:themeColor="text1"/>
          <w:sz w:val="28"/>
          <w:szCs w:val="28"/>
          <w:highlight w:val="none"/>
          <w:u w:val="single"/>
          <w:lang w:val="zh-CN"/>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招   标   人：</w:t>
      </w:r>
      <w:r>
        <w:rPr>
          <w:rFonts w:hint="eastAsia" w:ascii="宋体" w:hAnsi="宋体" w:cs="宋体"/>
          <w:b/>
          <w:color w:val="000000" w:themeColor="text1"/>
          <w:sz w:val="28"/>
          <w:szCs w:val="28"/>
          <w:highlight w:val="none"/>
          <w:u w:val="single"/>
          <w14:textFill>
            <w14:solidFill>
              <w14:schemeClr w14:val="tx1"/>
            </w14:solidFill>
          </w14:textFill>
        </w:rPr>
        <w:t>广州市白云城市建设投资有限公司</w:t>
      </w:r>
    </w:p>
    <w:p>
      <w:pPr>
        <w:shd w:val="clear"/>
        <w:spacing w:line="480" w:lineRule="auto"/>
        <w:ind w:firstLine="1417" w:firstLineChars="504"/>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lang w:val="zh-CN"/>
          <w14:textFill>
            <w14:solidFill>
              <w14:schemeClr w14:val="tx1"/>
            </w14:solidFill>
          </w14:textFill>
        </w:rPr>
        <w:t>招标代理机构：</w:t>
      </w:r>
      <w:r>
        <w:rPr>
          <w:rFonts w:hint="eastAsia" w:ascii="宋体" w:hAnsi="宋体" w:cs="宋体"/>
          <w:b/>
          <w:color w:val="000000" w:themeColor="text1"/>
          <w:sz w:val="28"/>
          <w:szCs w:val="28"/>
          <w:highlight w:val="none"/>
          <w:u w:val="single"/>
          <w:lang w:val="zh-CN"/>
          <w14:textFill>
            <w14:solidFill>
              <w14:schemeClr w14:val="tx1"/>
            </w14:solidFill>
          </w14:textFill>
        </w:rPr>
        <w:t>广州市白云工程咨询管理有限公司</w:t>
      </w:r>
    </w:p>
    <w:p>
      <w:pPr>
        <w:shd w:val="clear"/>
        <w:spacing w:line="480" w:lineRule="auto"/>
        <w:ind w:firstLine="1417" w:firstLineChars="504"/>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日        期：</w:t>
      </w:r>
      <w:r>
        <w:rPr>
          <w:rFonts w:hint="eastAsia" w:ascii="宋体" w:hAnsi="宋体" w:cs="宋体"/>
          <w:color w:val="000000" w:themeColor="text1"/>
          <w:sz w:val="28"/>
          <w:szCs w:val="28"/>
          <w:highlight w:val="none"/>
          <w:u w:val="single"/>
          <w14:textFill>
            <w14:solidFill>
              <w14:schemeClr w14:val="tx1"/>
            </w14:solidFill>
          </w14:textFill>
        </w:rPr>
        <w:t>2025</w:t>
      </w:r>
      <w:r>
        <w:rPr>
          <w:rFonts w:hint="eastAsia" w:ascii="宋体" w:hAnsi="宋体" w:cs="宋体"/>
          <w:b/>
          <w:color w:val="000000" w:themeColor="text1"/>
          <w:sz w:val="28"/>
          <w:szCs w:val="28"/>
          <w:highlight w:val="none"/>
          <w14:textFill>
            <w14:solidFill>
              <w14:schemeClr w14:val="tx1"/>
            </w14:solidFill>
          </w14:textFill>
        </w:rPr>
        <w:t>年</w:t>
      </w:r>
      <w:r>
        <w:rPr>
          <w:rFonts w:hint="eastAsia" w:ascii="宋体" w:hAnsi="宋体" w:cs="宋体"/>
          <w:bCs/>
          <w:color w:val="000000" w:themeColor="text1"/>
          <w:sz w:val="28"/>
          <w:szCs w:val="28"/>
          <w:highlight w:val="none"/>
          <w:u w:val="single"/>
          <w:lang w:val="en-US" w:eastAsia="zh-CN"/>
          <w14:textFill>
            <w14:solidFill>
              <w14:schemeClr w14:val="tx1"/>
            </w14:solidFill>
          </w14:textFill>
        </w:rPr>
        <w:t>1</w:t>
      </w:r>
      <w:r>
        <w:rPr>
          <w:rFonts w:hint="default" w:ascii="宋体" w:hAnsi="宋体" w:cs="宋体"/>
          <w:bCs/>
          <w:color w:val="000000" w:themeColor="text1"/>
          <w:sz w:val="28"/>
          <w:szCs w:val="28"/>
          <w:highlight w:val="none"/>
          <w:u w:val="single"/>
          <w:lang w:val="en-US" w:eastAsia="zh-CN"/>
          <w14:textFill>
            <w14:solidFill>
              <w14:schemeClr w14:val="tx1"/>
            </w14:solidFill>
          </w14:textFill>
        </w:rPr>
        <w:t>1</w:t>
      </w:r>
      <w:r>
        <w:rPr>
          <w:rFonts w:hint="eastAsia" w:ascii="宋体" w:hAnsi="宋体" w:cs="宋体"/>
          <w:color w:val="000000" w:themeColor="text1"/>
          <w:sz w:val="28"/>
          <w:szCs w:val="28"/>
          <w:highlight w:val="none"/>
          <w14:textFill>
            <w14:solidFill>
              <w14:schemeClr w14:val="tx1"/>
            </w14:solidFill>
          </w14:textFill>
        </w:rPr>
        <w:t>月</w:t>
      </w:r>
    </w:p>
    <w:p>
      <w:pPr>
        <w:shd w:val="clear"/>
        <w:spacing w:line="360" w:lineRule="auto"/>
        <w:jc w:val="center"/>
        <w:rPr>
          <w:bCs/>
          <w:color w:val="000000" w:themeColor="text1"/>
          <w:sz w:val="52"/>
          <w:highlight w:val="none"/>
          <w14:textFill>
            <w14:solidFill>
              <w14:schemeClr w14:val="tx1"/>
            </w14:solidFill>
          </w14:textFill>
        </w:rPr>
        <w:sectPr>
          <w:footerReference r:id="rId3" w:type="default"/>
          <w:pgSz w:w="11850" w:h="16783"/>
          <w:pgMar w:top="1588" w:right="1360" w:bottom="1418" w:left="1418" w:header="720" w:footer="720" w:gutter="0"/>
          <w:pgNumType w:start="0"/>
          <w:cols w:space="720" w:num="1"/>
          <w:titlePg/>
          <w:docGrid w:linePitch="286" w:charSpace="0"/>
        </w:sectPr>
      </w:pPr>
      <w:bookmarkStart w:id="0" w:name="_Toc154921241"/>
      <w:bookmarkStart w:id="1" w:name="_Toc154922225"/>
      <w:bookmarkStart w:id="2" w:name="_Toc152045511"/>
      <w:bookmarkStart w:id="3" w:name="_Toc144974479"/>
      <w:bookmarkStart w:id="4" w:name="_Toc152042287"/>
      <w:r>
        <w:rPr>
          <w:bCs/>
          <w:color w:val="000000" w:themeColor="text1"/>
          <w:sz w:val="52"/>
          <w:highlight w:val="none"/>
          <w14:textFill>
            <w14:solidFill>
              <w14:schemeClr w14:val="tx1"/>
            </w14:solidFill>
          </w14:textFill>
        </w:rPr>
        <w:br w:type="page"/>
      </w:r>
    </w:p>
    <w:p>
      <w:pPr>
        <w:shd w:val="clear"/>
        <w:spacing w:line="360" w:lineRule="auto"/>
        <w:jc w:val="center"/>
        <w:rPr>
          <w:bCs/>
          <w:color w:val="000000" w:themeColor="text1"/>
          <w:sz w:val="52"/>
          <w:highlight w:val="none"/>
          <w14:textFill>
            <w14:solidFill>
              <w14:schemeClr w14:val="tx1"/>
            </w14:solidFill>
          </w14:textFill>
        </w:rPr>
      </w:pPr>
      <w:r>
        <w:rPr>
          <w:bCs/>
          <w:color w:val="000000" w:themeColor="text1"/>
          <w:sz w:val="52"/>
          <w:highlight w:val="none"/>
          <w14:textFill>
            <w14:solidFill>
              <w14:schemeClr w14:val="tx1"/>
            </w14:solidFill>
          </w14:textFill>
        </w:rPr>
        <w:t>重要提示</w:t>
      </w:r>
    </w:p>
    <w:p>
      <w:pPr>
        <w:shd w:val="clear"/>
        <w:spacing w:line="360" w:lineRule="auto"/>
        <w:ind w:firstLine="537" w:firstLineChars="224"/>
        <w:jc w:val="center"/>
        <w:rPr>
          <w:bCs/>
          <w:color w:val="000000" w:themeColor="text1"/>
          <w:sz w:val="24"/>
          <w:highlight w:val="none"/>
          <w14:textFill>
            <w14:solidFill>
              <w14:schemeClr w14:val="tx1"/>
            </w14:solidFill>
          </w14:textFill>
        </w:rPr>
      </w:pPr>
    </w:p>
    <w:p>
      <w:pPr>
        <w:shd w:val="clea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本项目实施电子招投标，投标人应先认真阅读</w:t>
      </w:r>
      <w:r>
        <w:rPr>
          <w:rFonts w:hint="eastAsia"/>
          <w:color w:val="000000" w:themeColor="text1"/>
          <w:sz w:val="24"/>
          <w:szCs w:val="24"/>
          <w:highlight w:val="none"/>
          <w14:textFill>
            <w14:solidFill>
              <w14:schemeClr w14:val="tx1"/>
            </w14:solidFill>
          </w14:textFill>
        </w:rPr>
        <w:t>广州公共资源交易中心网站最新发布的建设工程全流程电子化项目操作指南</w:t>
      </w:r>
      <w:r>
        <w:rPr>
          <w:color w:val="000000" w:themeColor="text1"/>
          <w:sz w:val="24"/>
          <w:highlight w:val="none"/>
          <w14:textFill>
            <w14:solidFill>
              <w14:schemeClr w14:val="tx1"/>
            </w14:solidFill>
          </w14:textFill>
        </w:rPr>
        <w:t>。</w:t>
      </w:r>
    </w:p>
    <w:p>
      <w:pPr>
        <w:shd w:val="clear"/>
        <w:spacing w:line="360" w:lineRule="auto"/>
        <w:ind w:firstLine="480" w:firstLineChars="200"/>
        <w:rPr>
          <w:color w:val="000000" w:themeColor="text1"/>
          <w:sz w:val="24"/>
          <w:highlight w:val="none"/>
          <w14:textFill>
            <w14:solidFill>
              <w14:schemeClr w14:val="tx1"/>
            </w14:solidFill>
          </w14:textFill>
        </w:rPr>
      </w:pPr>
    </w:p>
    <w:bookmarkEnd w:id="0"/>
    <w:bookmarkEnd w:id="1"/>
    <w:p>
      <w:pPr>
        <w:pStyle w:val="125"/>
        <w:keepNext w:val="0"/>
        <w:keepLines w:val="0"/>
        <w:widowControl w:val="0"/>
        <w:shd w:val="clear"/>
        <w:jc w:val="center"/>
        <w:rPr>
          <w:rFonts w:ascii="Times New Roman" w:hAnsi="Times New Roman"/>
          <w:b w:val="0"/>
          <w:color w:val="000000" w:themeColor="text1"/>
          <w:highlight w:val="none"/>
          <w:lang w:val="zh-CN"/>
          <w14:textFill>
            <w14:solidFill>
              <w14:schemeClr w14:val="tx1"/>
            </w14:solidFill>
          </w14:textFill>
        </w:rPr>
      </w:pPr>
    </w:p>
    <w:p>
      <w:pPr>
        <w:shd w:val="clear"/>
        <w:jc w:val="center"/>
        <w:rPr>
          <w:b/>
          <w:color w:val="000000" w:themeColor="text1"/>
          <w:sz w:val="36"/>
          <w:szCs w:val="36"/>
          <w:highlight w:val="none"/>
          <w14:textFill>
            <w14:solidFill>
              <w14:schemeClr w14:val="tx1"/>
            </w14:solidFill>
          </w14:textFill>
        </w:rPr>
      </w:pPr>
      <w:r>
        <w:rPr>
          <w:color w:val="000000" w:themeColor="text1"/>
          <w:highlight w:val="none"/>
          <w:lang w:val="zh-CN"/>
          <w14:textFill>
            <w14:solidFill>
              <w14:schemeClr w14:val="tx1"/>
            </w14:solidFill>
          </w14:textFill>
        </w:rPr>
        <w:br w:type="page"/>
      </w:r>
      <w:r>
        <w:rPr>
          <w:b/>
          <w:color w:val="000000" w:themeColor="text1"/>
          <w:sz w:val="36"/>
          <w:szCs w:val="36"/>
          <w:highlight w:val="none"/>
          <w:lang w:val="zh-CN"/>
          <w14:textFill>
            <w14:solidFill>
              <w14:schemeClr w14:val="tx1"/>
            </w14:solidFill>
          </w14:textFill>
        </w:rPr>
        <w:t>目  录</w:t>
      </w:r>
    </w:p>
    <w:p>
      <w:pPr>
        <w:pStyle w:val="27"/>
        <w:shd w:val="clear"/>
        <w:tabs>
          <w:tab w:val="right" w:leader="dot" w:pos="8630"/>
        </w:tabs>
        <w:spacing w:line="480" w:lineRule="auto"/>
        <w:jc w:val="center"/>
        <w:rPr>
          <w:b/>
          <w:color w:val="000000" w:themeColor="text1"/>
          <w:highlight w:val="none"/>
          <w14:textFill>
            <w14:solidFill>
              <w14:schemeClr w14:val="tx1"/>
            </w14:solidFill>
          </w14:textFill>
        </w:rPr>
      </w:pPr>
    </w:p>
    <w:p>
      <w:pPr>
        <w:pStyle w:val="27"/>
        <w:shd w:val="clear"/>
        <w:tabs>
          <w:tab w:val="right" w:leader="dot" w:pos="9072"/>
        </w:tabs>
        <w:spacing w:line="360" w:lineRule="auto"/>
        <w:rPr>
          <w:rFonts w:hint="eastAsia" w:ascii="宋体" w:hAnsi="宋体" w:cs="宋体"/>
          <w:color w:val="000000" w:themeColor="text1"/>
          <w:sz w:val="32"/>
          <w:szCs w:val="32"/>
          <w:highlight w:val="none"/>
          <w14:textFill>
            <w14:solidFill>
              <w14:schemeClr w14:val="tx1"/>
            </w14:solidFill>
          </w14:textFill>
        </w:rPr>
      </w:pPr>
      <w:r>
        <w:rPr>
          <w:b/>
          <w:color w:val="000000" w:themeColor="text1"/>
          <w:sz w:val="24"/>
          <w:szCs w:val="24"/>
          <w:highlight w:val="none"/>
          <w14:textFill>
            <w14:solidFill>
              <w14:schemeClr w14:val="tx1"/>
            </w14:solidFill>
          </w14:textFill>
        </w:rPr>
        <w:fldChar w:fldCharType="begin"/>
      </w:r>
      <w:r>
        <w:rPr>
          <w:b/>
          <w:color w:val="000000" w:themeColor="text1"/>
          <w:sz w:val="24"/>
          <w:szCs w:val="24"/>
          <w:highlight w:val="none"/>
          <w14:textFill>
            <w14:solidFill>
              <w14:schemeClr w14:val="tx1"/>
            </w14:solidFill>
          </w14:textFill>
        </w:rPr>
        <w:instrText xml:space="preserve"> TOC \o "1-3" \h \z \u </w:instrText>
      </w:r>
      <w:r>
        <w:rPr>
          <w:b/>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32"/>
          <w:szCs w:val="32"/>
          <w:highlight w:val="none"/>
          <w14:textFill>
            <w14:solidFill>
              <w14:schemeClr w14:val="tx1"/>
            </w14:solidFill>
          </w14:textFill>
        </w:rPr>
        <w:fldChar w:fldCharType="begin"/>
      </w:r>
      <w:r>
        <w:rPr>
          <w:rFonts w:hint="eastAsia" w:ascii="宋体" w:hAnsi="宋体" w:cs="宋体"/>
          <w:color w:val="000000" w:themeColor="text1"/>
          <w:sz w:val="32"/>
          <w:szCs w:val="32"/>
          <w:highlight w:val="none"/>
          <w14:textFill>
            <w14:solidFill>
              <w14:schemeClr w14:val="tx1"/>
            </w14:solidFill>
          </w14:textFill>
        </w:rPr>
        <w:instrText xml:space="preserve"> HYPERLINK \l _Toc13065 </w:instrText>
      </w:r>
      <w:r>
        <w:rPr>
          <w:rFonts w:hint="eastAsia" w:ascii="宋体" w:hAnsi="宋体" w:cs="宋体"/>
          <w:color w:val="000000" w:themeColor="text1"/>
          <w:sz w:val="32"/>
          <w:szCs w:val="32"/>
          <w:highlight w:val="none"/>
          <w14:textFill>
            <w14:solidFill>
              <w14:schemeClr w14:val="tx1"/>
            </w14:solidFill>
          </w14:textFill>
        </w:rPr>
        <w:fldChar w:fldCharType="separate"/>
      </w:r>
      <w:r>
        <w:rPr>
          <w:rFonts w:hint="eastAsia" w:ascii="宋体" w:hAnsi="宋体" w:cs="宋体"/>
          <w:color w:val="000000" w:themeColor="text1"/>
          <w:sz w:val="32"/>
          <w:szCs w:val="32"/>
          <w:highlight w:val="none"/>
          <w14:textFill>
            <w14:solidFill>
              <w14:schemeClr w14:val="tx1"/>
            </w14:solidFill>
          </w14:textFill>
        </w:rPr>
        <w:t>第一卷</w:t>
      </w:r>
      <w:r>
        <w:rPr>
          <w:rFonts w:hint="eastAsia" w:ascii="宋体" w:hAnsi="宋体" w:cs="宋体"/>
          <w:color w:val="000000" w:themeColor="text1"/>
          <w:sz w:val="32"/>
          <w:szCs w:val="32"/>
          <w:highlight w:val="none"/>
          <w14:textFill>
            <w14:solidFill>
              <w14:schemeClr w14:val="tx1"/>
            </w14:solidFill>
          </w14:textFill>
        </w:rPr>
        <w:tab/>
      </w:r>
      <w:r>
        <w:rPr>
          <w:rFonts w:hint="eastAsia" w:ascii="宋体" w:hAnsi="宋体" w:cs="宋体"/>
          <w:color w:val="000000" w:themeColor="text1"/>
          <w:sz w:val="32"/>
          <w:szCs w:val="32"/>
          <w:highlight w:val="none"/>
          <w14:textFill>
            <w14:solidFill>
              <w14:schemeClr w14:val="tx1"/>
            </w14:solidFill>
          </w14:textFill>
        </w:rPr>
        <w:fldChar w:fldCharType="begin"/>
      </w:r>
      <w:r>
        <w:rPr>
          <w:rFonts w:hint="eastAsia" w:ascii="宋体" w:hAnsi="宋体" w:cs="宋体"/>
          <w:color w:val="000000" w:themeColor="text1"/>
          <w:sz w:val="32"/>
          <w:szCs w:val="32"/>
          <w:highlight w:val="none"/>
          <w14:textFill>
            <w14:solidFill>
              <w14:schemeClr w14:val="tx1"/>
            </w14:solidFill>
          </w14:textFill>
        </w:rPr>
        <w:instrText xml:space="preserve"> PAGEREF _Toc13065 </w:instrText>
      </w:r>
      <w:r>
        <w:rPr>
          <w:rFonts w:hint="eastAsia" w:ascii="宋体" w:hAnsi="宋体" w:cs="宋体"/>
          <w:color w:val="000000" w:themeColor="text1"/>
          <w:sz w:val="32"/>
          <w:szCs w:val="32"/>
          <w:highlight w:val="none"/>
          <w14:textFill>
            <w14:solidFill>
              <w14:schemeClr w14:val="tx1"/>
            </w14:solidFill>
          </w14:textFill>
        </w:rPr>
        <w:fldChar w:fldCharType="separate"/>
      </w:r>
      <w:r>
        <w:rPr>
          <w:rFonts w:hint="eastAsia" w:ascii="宋体" w:hAnsi="宋体" w:cs="宋体"/>
          <w:color w:val="000000" w:themeColor="text1"/>
          <w:sz w:val="32"/>
          <w:szCs w:val="32"/>
          <w:highlight w:val="none"/>
          <w14:textFill>
            <w14:solidFill>
              <w14:schemeClr w14:val="tx1"/>
            </w14:solidFill>
          </w14:textFill>
        </w:rPr>
        <w:t>3</w:t>
      </w:r>
      <w:r>
        <w:rPr>
          <w:rFonts w:hint="eastAsia" w:ascii="宋体" w:hAnsi="宋体" w:cs="宋体"/>
          <w:color w:val="000000" w:themeColor="text1"/>
          <w:sz w:val="32"/>
          <w:szCs w:val="32"/>
          <w:highlight w:val="none"/>
          <w14:textFill>
            <w14:solidFill>
              <w14:schemeClr w14:val="tx1"/>
            </w14:solidFill>
          </w14:textFill>
        </w:rPr>
        <w:fldChar w:fldCharType="end"/>
      </w:r>
      <w:r>
        <w:rPr>
          <w:rFonts w:hint="eastAsia" w:ascii="宋体" w:hAnsi="宋体" w:cs="宋体"/>
          <w:color w:val="000000" w:themeColor="text1"/>
          <w:sz w:val="32"/>
          <w:szCs w:val="32"/>
          <w:highlight w:val="none"/>
          <w14:textFill>
            <w14:solidFill>
              <w14:schemeClr w14:val="tx1"/>
            </w14:solidFill>
          </w14:textFill>
        </w:rPr>
        <w:fldChar w:fldCharType="end"/>
      </w:r>
    </w:p>
    <w:p>
      <w:pPr>
        <w:pStyle w:val="27"/>
        <w:shd w:val="clear"/>
        <w:tabs>
          <w:tab w:val="right" w:leader="dot" w:pos="9072"/>
        </w:tabs>
        <w:spacing w:line="360" w:lineRule="auto"/>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fldChar w:fldCharType="begin"/>
      </w:r>
      <w:r>
        <w:rPr>
          <w:rFonts w:hint="eastAsia" w:ascii="宋体" w:hAnsi="宋体" w:cs="宋体"/>
          <w:color w:val="000000" w:themeColor="text1"/>
          <w:sz w:val="32"/>
          <w:szCs w:val="32"/>
          <w:highlight w:val="none"/>
          <w14:textFill>
            <w14:solidFill>
              <w14:schemeClr w14:val="tx1"/>
            </w14:solidFill>
          </w14:textFill>
        </w:rPr>
        <w:instrText xml:space="preserve"> HYPERLINK \l _Toc3621 </w:instrText>
      </w:r>
      <w:r>
        <w:rPr>
          <w:rFonts w:hint="eastAsia" w:ascii="宋体" w:hAnsi="宋体" w:cs="宋体"/>
          <w:color w:val="000000" w:themeColor="text1"/>
          <w:sz w:val="32"/>
          <w:szCs w:val="32"/>
          <w:highlight w:val="none"/>
          <w14:textFill>
            <w14:solidFill>
              <w14:schemeClr w14:val="tx1"/>
            </w14:solidFill>
          </w14:textFill>
        </w:rPr>
        <w:fldChar w:fldCharType="separate"/>
      </w:r>
      <w:r>
        <w:rPr>
          <w:rFonts w:hint="eastAsia" w:ascii="宋体" w:hAnsi="宋体" w:cs="宋体"/>
          <w:color w:val="000000" w:themeColor="text1"/>
          <w:sz w:val="32"/>
          <w:szCs w:val="32"/>
          <w:highlight w:val="none"/>
          <w14:textFill>
            <w14:solidFill>
              <w14:schemeClr w14:val="tx1"/>
            </w14:solidFill>
          </w14:textFill>
        </w:rPr>
        <w:t>第一章 招标公告</w:t>
      </w:r>
      <w:r>
        <w:rPr>
          <w:rFonts w:hint="eastAsia" w:ascii="宋体" w:hAnsi="宋体" w:cs="宋体"/>
          <w:color w:val="000000" w:themeColor="text1"/>
          <w:sz w:val="32"/>
          <w:szCs w:val="32"/>
          <w:highlight w:val="none"/>
          <w14:textFill>
            <w14:solidFill>
              <w14:schemeClr w14:val="tx1"/>
            </w14:solidFill>
          </w14:textFill>
        </w:rPr>
        <w:tab/>
      </w:r>
      <w:r>
        <w:rPr>
          <w:rFonts w:hint="eastAsia" w:ascii="宋体" w:hAnsi="宋体" w:cs="宋体"/>
          <w:color w:val="000000" w:themeColor="text1"/>
          <w:sz w:val="32"/>
          <w:szCs w:val="32"/>
          <w:highlight w:val="none"/>
          <w14:textFill>
            <w14:solidFill>
              <w14:schemeClr w14:val="tx1"/>
            </w14:solidFill>
          </w14:textFill>
        </w:rPr>
        <w:fldChar w:fldCharType="begin"/>
      </w:r>
      <w:r>
        <w:rPr>
          <w:rFonts w:hint="eastAsia" w:ascii="宋体" w:hAnsi="宋体" w:cs="宋体"/>
          <w:color w:val="000000" w:themeColor="text1"/>
          <w:sz w:val="32"/>
          <w:szCs w:val="32"/>
          <w:highlight w:val="none"/>
          <w14:textFill>
            <w14:solidFill>
              <w14:schemeClr w14:val="tx1"/>
            </w14:solidFill>
          </w14:textFill>
        </w:rPr>
        <w:instrText xml:space="preserve"> PAGEREF _Toc3621 </w:instrText>
      </w:r>
      <w:r>
        <w:rPr>
          <w:rFonts w:hint="eastAsia" w:ascii="宋体" w:hAnsi="宋体" w:cs="宋体"/>
          <w:color w:val="000000" w:themeColor="text1"/>
          <w:sz w:val="32"/>
          <w:szCs w:val="32"/>
          <w:highlight w:val="none"/>
          <w14:textFill>
            <w14:solidFill>
              <w14:schemeClr w14:val="tx1"/>
            </w14:solidFill>
          </w14:textFill>
        </w:rPr>
        <w:fldChar w:fldCharType="separate"/>
      </w:r>
      <w:r>
        <w:rPr>
          <w:rFonts w:hint="eastAsia" w:ascii="宋体" w:hAnsi="宋体" w:cs="宋体"/>
          <w:color w:val="000000" w:themeColor="text1"/>
          <w:sz w:val="32"/>
          <w:szCs w:val="32"/>
          <w:highlight w:val="none"/>
          <w14:textFill>
            <w14:solidFill>
              <w14:schemeClr w14:val="tx1"/>
            </w14:solidFill>
          </w14:textFill>
        </w:rPr>
        <w:t>3</w:t>
      </w:r>
      <w:r>
        <w:rPr>
          <w:rFonts w:hint="eastAsia" w:ascii="宋体" w:hAnsi="宋体" w:cs="宋体"/>
          <w:color w:val="000000" w:themeColor="text1"/>
          <w:sz w:val="32"/>
          <w:szCs w:val="32"/>
          <w:highlight w:val="none"/>
          <w14:textFill>
            <w14:solidFill>
              <w14:schemeClr w14:val="tx1"/>
            </w14:solidFill>
          </w14:textFill>
        </w:rPr>
        <w:fldChar w:fldCharType="end"/>
      </w:r>
      <w:r>
        <w:rPr>
          <w:rFonts w:hint="eastAsia" w:ascii="宋体" w:hAnsi="宋体" w:cs="宋体"/>
          <w:color w:val="000000" w:themeColor="text1"/>
          <w:sz w:val="32"/>
          <w:szCs w:val="32"/>
          <w:highlight w:val="none"/>
          <w14:textFill>
            <w14:solidFill>
              <w14:schemeClr w14:val="tx1"/>
            </w14:solidFill>
          </w14:textFill>
        </w:rPr>
        <w:fldChar w:fldCharType="end"/>
      </w:r>
    </w:p>
    <w:p>
      <w:pPr>
        <w:pStyle w:val="27"/>
        <w:shd w:val="clear"/>
        <w:tabs>
          <w:tab w:val="right" w:leader="dot" w:pos="9072"/>
        </w:tabs>
        <w:spacing w:line="360" w:lineRule="auto"/>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fldChar w:fldCharType="begin"/>
      </w:r>
      <w:r>
        <w:rPr>
          <w:rFonts w:hint="eastAsia" w:ascii="宋体" w:hAnsi="宋体" w:cs="宋体"/>
          <w:color w:val="000000" w:themeColor="text1"/>
          <w:sz w:val="32"/>
          <w:szCs w:val="32"/>
          <w:highlight w:val="none"/>
          <w14:textFill>
            <w14:solidFill>
              <w14:schemeClr w14:val="tx1"/>
            </w14:solidFill>
          </w14:textFill>
        </w:rPr>
        <w:instrText xml:space="preserve"> HYPERLINK \l _Toc14313 </w:instrText>
      </w:r>
      <w:r>
        <w:rPr>
          <w:rFonts w:hint="eastAsia" w:ascii="宋体" w:hAnsi="宋体" w:cs="宋体"/>
          <w:color w:val="000000" w:themeColor="text1"/>
          <w:sz w:val="32"/>
          <w:szCs w:val="32"/>
          <w:highlight w:val="none"/>
          <w14:textFill>
            <w14:solidFill>
              <w14:schemeClr w14:val="tx1"/>
            </w14:solidFill>
          </w14:textFill>
        </w:rPr>
        <w:fldChar w:fldCharType="separate"/>
      </w:r>
      <w:r>
        <w:rPr>
          <w:rFonts w:hint="eastAsia" w:ascii="宋体" w:hAnsi="宋体" w:cs="宋体"/>
          <w:color w:val="000000" w:themeColor="text1"/>
          <w:sz w:val="32"/>
          <w:szCs w:val="32"/>
          <w:highlight w:val="none"/>
          <w14:textFill>
            <w14:solidFill>
              <w14:schemeClr w14:val="tx1"/>
            </w14:solidFill>
          </w14:textFill>
        </w:rPr>
        <w:t>第二章 投标人须知</w:t>
      </w:r>
      <w:r>
        <w:rPr>
          <w:rFonts w:hint="eastAsia" w:ascii="宋体" w:hAnsi="宋体" w:cs="宋体"/>
          <w:color w:val="000000" w:themeColor="text1"/>
          <w:sz w:val="32"/>
          <w:szCs w:val="32"/>
          <w:highlight w:val="none"/>
          <w14:textFill>
            <w14:solidFill>
              <w14:schemeClr w14:val="tx1"/>
            </w14:solidFill>
          </w14:textFill>
        </w:rPr>
        <w:tab/>
      </w:r>
      <w:r>
        <w:rPr>
          <w:rFonts w:hint="eastAsia" w:ascii="宋体" w:hAnsi="宋体" w:cs="宋体"/>
          <w:color w:val="000000" w:themeColor="text1"/>
          <w:sz w:val="32"/>
          <w:szCs w:val="32"/>
          <w:highlight w:val="none"/>
          <w14:textFill>
            <w14:solidFill>
              <w14:schemeClr w14:val="tx1"/>
            </w14:solidFill>
          </w14:textFill>
        </w:rPr>
        <w:fldChar w:fldCharType="begin"/>
      </w:r>
      <w:r>
        <w:rPr>
          <w:rFonts w:hint="eastAsia" w:ascii="宋体" w:hAnsi="宋体" w:cs="宋体"/>
          <w:color w:val="000000" w:themeColor="text1"/>
          <w:sz w:val="32"/>
          <w:szCs w:val="32"/>
          <w:highlight w:val="none"/>
          <w14:textFill>
            <w14:solidFill>
              <w14:schemeClr w14:val="tx1"/>
            </w14:solidFill>
          </w14:textFill>
        </w:rPr>
        <w:instrText xml:space="preserve"> PAGEREF _Toc14313 </w:instrText>
      </w:r>
      <w:r>
        <w:rPr>
          <w:rFonts w:hint="eastAsia" w:ascii="宋体" w:hAnsi="宋体" w:cs="宋体"/>
          <w:color w:val="000000" w:themeColor="text1"/>
          <w:sz w:val="32"/>
          <w:szCs w:val="32"/>
          <w:highlight w:val="none"/>
          <w14:textFill>
            <w14:solidFill>
              <w14:schemeClr w14:val="tx1"/>
            </w14:solidFill>
          </w14:textFill>
        </w:rPr>
        <w:fldChar w:fldCharType="separate"/>
      </w:r>
      <w:r>
        <w:rPr>
          <w:rFonts w:hint="eastAsia" w:ascii="宋体" w:hAnsi="宋体" w:cs="宋体"/>
          <w:color w:val="000000" w:themeColor="text1"/>
          <w:sz w:val="32"/>
          <w:szCs w:val="32"/>
          <w:highlight w:val="none"/>
          <w14:textFill>
            <w14:solidFill>
              <w14:schemeClr w14:val="tx1"/>
            </w14:solidFill>
          </w14:textFill>
        </w:rPr>
        <w:t>4</w:t>
      </w:r>
      <w:r>
        <w:rPr>
          <w:rFonts w:hint="eastAsia" w:ascii="宋体" w:hAnsi="宋体" w:cs="宋体"/>
          <w:color w:val="000000" w:themeColor="text1"/>
          <w:sz w:val="32"/>
          <w:szCs w:val="32"/>
          <w:highlight w:val="none"/>
          <w14:textFill>
            <w14:solidFill>
              <w14:schemeClr w14:val="tx1"/>
            </w14:solidFill>
          </w14:textFill>
        </w:rPr>
        <w:fldChar w:fldCharType="end"/>
      </w:r>
      <w:r>
        <w:rPr>
          <w:rFonts w:hint="eastAsia" w:ascii="宋体" w:hAnsi="宋体" w:cs="宋体"/>
          <w:color w:val="000000" w:themeColor="text1"/>
          <w:sz w:val="32"/>
          <w:szCs w:val="32"/>
          <w:highlight w:val="none"/>
          <w14:textFill>
            <w14:solidFill>
              <w14:schemeClr w14:val="tx1"/>
            </w14:solidFill>
          </w14:textFill>
        </w:rPr>
        <w:fldChar w:fldCharType="end"/>
      </w:r>
    </w:p>
    <w:p>
      <w:pPr>
        <w:pStyle w:val="27"/>
        <w:shd w:val="clear"/>
        <w:tabs>
          <w:tab w:val="right" w:leader="dot" w:pos="9072"/>
        </w:tabs>
        <w:spacing w:line="360" w:lineRule="auto"/>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fldChar w:fldCharType="begin"/>
      </w:r>
      <w:r>
        <w:rPr>
          <w:rFonts w:hint="eastAsia" w:ascii="宋体" w:hAnsi="宋体" w:cs="宋体"/>
          <w:color w:val="000000" w:themeColor="text1"/>
          <w:sz w:val="32"/>
          <w:szCs w:val="32"/>
          <w:highlight w:val="none"/>
          <w14:textFill>
            <w14:solidFill>
              <w14:schemeClr w14:val="tx1"/>
            </w14:solidFill>
          </w14:textFill>
        </w:rPr>
        <w:instrText xml:space="preserve"> HYPERLINK \l _Toc401 </w:instrText>
      </w:r>
      <w:r>
        <w:rPr>
          <w:rFonts w:hint="eastAsia" w:ascii="宋体" w:hAnsi="宋体" w:cs="宋体"/>
          <w:color w:val="000000" w:themeColor="text1"/>
          <w:sz w:val="32"/>
          <w:szCs w:val="32"/>
          <w:highlight w:val="none"/>
          <w14:textFill>
            <w14:solidFill>
              <w14:schemeClr w14:val="tx1"/>
            </w14:solidFill>
          </w14:textFill>
        </w:rPr>
        <w:fldChar w:fldCharType="separate"/>
      </w:r>
      <w:r>
        <w:rPr>
          <w:rFonts w:hint="eastAsia" w:ascii="宋体" w:hAnsi="宋体" w:cs="宋体"/>
          <w:color w:val="000000" w:themeColor="text1"/>
          <w:sz w:val="32"/>
          <w:szCs w:val="32"/>
          <w:highlight w:val="none"/>
          <w14:textFill>
            <w14:solidFill>
              <w14:schemeClr w14:val="tx1"/>
            </w14:solidFill>
          </w14:textFill>
        </w:rPr>
        <w:t>第三章 评标办法（综合评估法）</w:t>
      </w:r>
      <w:r>
        <w:rPr>
          <w:rFonts w:hint="eastAsia" w:ascii="宋体" w:hAnsi="宋体" w:cs="宋体"/>
          <w:color w:val="000000" w:themeColor="text1"/>
          <w:sz w:val="32"/>
          <w:szCs w:val="32"/>
          <w:highlight w:val="none"/>
          <w14:textFill>
            <w14:solidFill>
              <w14:schemeClr w14:val="tx1"/>
            </w14:solidFill>
          </w14:textFill>
        </w:rPr>
        <w:tab/>
      </w:r>
      <w:r>
        <w:rPr>
          <w:rFonts w:hint="eastAsia" w:ascii="宋体" w:hAnsi="宋体" w:cs="宋体"/>
          <w:color w:val="000000" w:themeColor="text1"/>
          <w:sz w:val="32"/>
          <w:szCs w:val="32"/>
          <w:highlight w:val="none"/>
          <w14:textFill>
            <w14:solidFill>
              <w14:schemeClr w14:val="tx1"/>
            </w14:solidFill>
          </w14:textFill>
        </w:rPr>
        <w:fldChar w:fldCharType="begin"/>
      </w:r>
      <w:r>
        <w:rPr>
          <w:rFonts w:hint="eastAsia" w:ascii="宋体" w:hAnsi="宋体" w:cs="宋体"/>
          <w:color w:val="000000" w:themeColor="text1"/>
          <w:sz w:val="32"/>
          <w:szCs w:val="32"/>
          <w:highlight w:val="none"/>
          <w14:textFill>
            <w14:solidFill>
              <w14:schemeClr w14:val="tx1"/>
            </w14:solidFill>
          </w14:textFill>
        </w:rPr>
        <w:instrText xml:space="preserve"> PAGEREF _Toc401 </w:instrText>
      </w:r>
      <w:r>
        <w:rPr>
          <w:rFonts w:hint="eastAsia" w:ascii="宋体" w:hAnsi="宋体" w:cs="宋体"/>
          <w:color w:val="000000" w:themeColor="text1"/>
          <w:sz w:val="32"/>
          <w:szCs w:val="32"/>
          <w:highlight w:val="none"/>
          <w14:textFill>
            <w14:solidFill>
              <w14:schemeClr w14:val="tx1"/>
            </w14:solidFill>
          </w14:textFill>
        </w:rPr>
        <w:fldChar w:fldCharType="separate"/>
      </w:r>
      <w:r>
        <w:rPr>
          <w:rFonts w:hint="eastAsia" w:ascii="宋体" w:hAnsi="宋体" w:cs="宋体"/>
          <w:color w:val="000000" w:themeColor="text1"/>
          <w:sz w:val="32"/>
          <w:szCs w:val="32"/>
          <w:highlight w:val="none"/>
          <w14:textFill>
            <w14:solidFill>
              <w14:schemeClr w14:val="tx1"/>
            </w14:solidFill>
          </w14:textFill>
        </w:rPr>
        <w:t>32</w:t>
      </w:r>
      <w:r>
        <w:rPr>
          <w:rFonts w:hint="eastAsia" w:ascii="宋体" w:hAnsi="宋体" w:cs="宋体"/>
          <w:color w:val="000000" w:themeColor="text1"/>
          <w:sz w:val="32"/>
          <w:szCs w:val="32"/>
          <w:highlight w:val="none"/>
          <w14:textFill>
            <w14:solidFill>
              <w14:schemeClr w14:val="tx1"/>
            </w14:solidFill>
          </w14:textFill>
        </w:rPr>
        <w:fldChar w:fldCharType="end"/>
      </w:r>
      <w:r>
        <w:rPr>
          <w:rFonts w:hint="eastAsia" w:ascii="宋体" w:hAnsi="宋体" w:cs="宋体"/>
          <w:color w:val="000000" w:themeColor="text1"/>
          <w:sz w:val="32"/>
          <w:szCs w:val="32"/>
          <w:highlight w:val="none"/>
          <w14:textFill>
            <w14:solidFill>
              <w14:schemeClr w14:val="tx1"/>
            </w14:solidFill>
          </w14:textFill>
        </w:rPr>
        <w:fldChar w:fldCharType="end"/>
      </w:r>
    </w:p>
    <w:p>
      <w:pPr>
        <w:pStyle w:val="27"/>
        <w:shd w:val="clear"/>
        <w:tabs>
          <w:tab w:val="right" w:leader="dot" w:pos="9072"/>
        </w:tabs>
        <w:spacing w:line="360" w:lineRule="auto"/>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fldChar w:fldCharType="begin"/>
      </w:r>
      <w:r>
        <w:rPr>
          <w:rFonts w:hint="eastAsia" w:ascii="宋体" w:hAnsi="宋体" w:cs="宋体"/>
          <w:color w:val="000000" w:themeColor="text1"/>
          <w:sz w:val="32"/>
          <w:szCs w:val="32"/>
          <w:highlight w:val="none"/>
          <w14:textFill>
            <w14:solidFill>
              <w14:schemeClr w14:val="tx1"/>
            </w14:solidFill>
          </w14:textFill>
        </w:rPr>
        <w:instrText xml:space="preserve"> HYPERLINK \l _Toc11973 </w:instrText>
      </w:r>
      <w:r>
        <w:rPr>
          <w:rFonts w:hint="eastAsia" w:ascii="宋体" w:hAnsi="宋体" w:cs="宋体"/>
          <w:color w:val="000000" w:themeColor="text1"/>
          <w:sz w:val="32"/>
          <w:szCs w:val="32"/>
          <w:highlight w:val="none"/>
          <w14:textFill>
            <w14:solidFill>
              <w14:schemeClr w14:val="tx1"/>
            </w14:solidFill>
          </w14:textFill>
        </w:rPr>
        <w:fldChar w:fldCharType="separate"/>
      </w:r>
      <w:r>
        <w:rPr>
          <w:rFonts w:hint="eastAsia" w:ascii="宋体" w:hAnsi="宋体" w:cs="宋体"/>
          <w:color w:val="000000" w:themeColor="text1"/>
          <w:sz w:val="32"/>
          <w:szCs w:val="32"/>
          <w:highlight w:val="none"/>
          <w14:textFill>
            <w14:solidFill>
              <w14:schemeClr w14:val="tx1"/>
            </w14:solidFill>
          </w14:textFill>
        </w:rPr>
        <w:t>第四章 合同条款及格式</w:t>
      </w:r>
      <w:r>
        <w:rPr>
          <w:rFonts w:hint="eastAsia" w:ascii="宋体" w:hAnsi="宋体" w:cs="宋体"/>
          <w:color w:val="000000" w:themeColor="text1"/>
          <w:sz w:val="32"/>
          <w:szCs w:val="32"/>
          <w:highlight w:val="none"/>
          <w14:textFill>
            <w14:solidFill>
              <w14:schemeClr w14:val="tx1"/>
            </w14:solidFill>
          </w14:textFill>
        </w:rPr>
        <w:tab/>
      </w:r>
      <w:r>
        <w:rPr>
          <w:rFonts w:hint="eastAsia" w:ascii="宋体" w:hAnsi="宋体" w:cs="宋体"/>
          <w:color w:val="000000" w:themeColor="text1"/>
          <w:sz w:val="32"/>
          <w:szCs w:val="32"/>
          <w:highlight w:val="none"/>
          <w14:textFill>
            <w14:solidFill>
              <w14:schemeClr w14:val="tx1"/>
            </w14:solidFill>
          </w14:textFill>
        </w:rPr>
        <w:fldChar w:fldCharType="begin"/>
      </w:r>
      <w:r>
        <w:rPr>
          <w:rFonts w:hint="eastAsia" w:ascii="宋体" w:hAnsi="宋体" w:cs="宋体"/>
          <w:color w:val="000000" w:themeColor="text1"/>
          <w:sz w:val="32"/>
          <w:szCs w:val="32"/>
          <w:highlight w:val="none"/>
          <w14:textFill>
            <w14:solidFill>
              <w14:schemeClr w14:val="tx1"/>
            </w14:solidFill>
          </w14:textFill>
        </w:rPr>
        <w:instrText xml:space="preserve"> PAGEREF _Toc11973 </w:instrText>
      </w:r>
      <w:r>
        <w:rPr>
          <w:rFonts w:hint="eastAsia" w:ascii="宋体" w:hAnsi="宋体" w:cs="宋体"/>
          <w:color w:val="000000" w:themeColor="text1"/>
          <w:sz w:val="32"/>
          <w:szCs w:val="32"/>
          <w:highlight w:val="none"/>
          <w14:textFill>
            <w14:solidFill>
              <w14:schemeClr w14:val="tx1"/>
            </w14:solidFill>
          </w14:textFill>
        </w:rPr>
        <w:fldChar w:fldCharType="separate"/>
      </w:r>
      <w:r>
        <w:rPr>
          <w:rFonts w:hint="eastAsia" w:ascii="宋体" w:hAnsi="宋体" w:cs="宋体"/>
          <w:color w:val="000000" w:themeColor="text1"/>
          <w:sz w:val="32"/>
          <w:szCs w:val="32"/>
          <w:highlight w:val="none"/>
          <w14:textFill>
            <w14:solidFill>
              <w14:schemeClr w14:val="tx1"/>
            </w14:solidFill>
          </w14:textFill>
        </w:rPr>
        <w:t>40</w:t>
      </w:r>
      <w:r>
        <w:rPr>
          <w:rFonts w:hint="eastAsia" w:ascii="宋体" w:hAnsi="宋体" w:cs="宋体"/>
          <w:color w:val="000000" w:themeColor="text1"/>
          <w:sz w:val="32"/>
          <w:szCs w:val="32"/>
          <w:highlight w:val="none"/>
          <w14:textFill>
            <w14:solidFill>
              <w14:schemeClr w14:val="tx1"/>
            </w14:solidFill>
          </w14:textFill>
        </w:rPr>
        <w:fldChar w:fldCharType="end"/>
      </w:r>
      <w:r>
        <w:rPr>
          <w:rFonts w:hint="eastAsia" w:ascii="宋体" w:hAnsi="宋体" w:cs="宋体"/>
          <w:color w:val="000000" w:themeColor="text1"/>
          <w:sz w:val="32"/>
          <w:szCs w:val="32"/>
          <w:highlight w:val="none"/>
          <w14:textFill>
            <w14:solidFill>
              <w14:schemeClr w14:val="tx1"/>
            </w14:solidFill>
          </w14:textFill>
        </w:rPr>
        <w:fldChar w:fldCharType="end"/>
      </w:r>
    </w:p>
    <w:p>
      <w:pPr>
        <w:pStyle w:val="27"/>
        <w:shd w:val="clear"/>
        <w:tabs>
          <w:tab w:val="right" w:leader="dot" w:pos="9072"/>
        </w:tabs>
        <w:spacing w:line="360" w:lineRule="auto"/>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fldChar w:fldCharType="begin"/>
      </w:r>
      <w:r>
        <w:rPr>
          <w:rFonts w:hint="eastAsia" w:ascii="宋体" w:hAnsi="宋体" w:cs="宋体"/>
          <w:color w:val="000000" w:themeColor="text1"/>
          <w:sz w:val="32"/>
          <w:szCs w:val="32"/>
          <w:highlight w:val="none"/>
          <w14:textFill>
            <w14:solidFill>
              <w14:schemeClr w14:val="tx1"/>
            </w14:solidFill>
          </w14:textFill>
        </w:rPr>
        <w:instrText xml:space="preserve"> HYPERLINK \l _Toc8759 </w:instrText>
      </w:r>
      <w:r>
        <w:rPr>
          <w:rFonts w:hint="eastAsia" w:ascii="宋体" w:hAnsi="宋体" w:cs="宋体"/>
          <w:color w:val="000000" w:themeColor="text1"/>
          <w:sz w:val="32"/>
          <w:szCs w:val="32"/>
          <w:highlight w:val="none"/>
          <w14:textFill>
            <w14:solidFill>
              <w14:schemeClr w14:val="tx1"/>
            </w14:solidFill>
          </w14:textFill>
        </w:rPr>
        <w:fldChar w:fldCharType="separate"/>
      </w:r>
      <w:r>
        <w:rPr>
          <w:rFonts w:hint="eastAsia" w:ascii="宋体" w:hAnsi="宋体" w:cs="宋体"/>
          <w:color w:val="000000" w:themeColor="text1"/>
          <w:sz w:val="32"/>
          <w:szCs w:val="32"/>
          <w:highlight w:val="none"/>
          <w14:textFill>
            <w14:solidFill>
              <w14:schemeClr w14:val="tx1"/>
            </w14:solidFill>
          </w14:textFill>
        </w:rPr>
        <w:t>第二卷</w:t>
      </w:r>
      <w:r>
        <w:rPr>
          <w:rFonts w:hint="eastAsia" w:ascii="宋体" w:hAnsi="宋体" w:cs="宋体"/>
          <w:color w:val="000000" w:themeColor="text1"/>
          <w:sz w:val="32"/>
          <w:szCs w:val="32"/>
          <w:highlight w:val="none"/>
          <w14:textFill>
            <w14:solidFill>
              <w14:schemeClr w14:val="tx1"/>
            </w14:solidFill>
          </w14:textFill>
        </w:rPr>
        <w:tab/>
      </w:r>
      <w:r>
        <w:rPr>
          <w:rFonts w:hint="eastAsia" w:ascii="宋体" w:hAnsi="宋体" w:cs="宋体"/>
          <w:color w:val="000000" w:themeColor="text1"/>
          <w:sz w:val="32"/>
          <w:szCs w:val="32"/>
          <w:highlight w:val="none"/>
          <w14:textFill>
            <w14:solidFill>
              <w14:schemeClr w14:val="tx1"/>
            </w14:solidFill>
          </w14:textFill>
        </w:rPr>
        <w:fldChar w:fldCharType="begin"/>
      </w:r>
      <w:r>
        <w:rPr>
          <w:rFonts w:hint="eastAsia" w:ascii="宋体" w:hAnsi="宋体" w:cs="宋体"/>
          <w:color w:val="000000" w:themeColor="text1"/>
          <w:sz w:val="32"/>
          <w:szCs w:val="32"/>
          <w:highlight w:val="none"/>
          <w14:textFill>
            <w14:solidFill>
              <w14:schemeClr w14:val="tx1"/>
            </w14:solidFill>
          </w14:textFill>
        </w:rPr>
        <w:instrText xml:space="preserve"> PAGEREF _Toc8759 </w:instrText>
      </w:r>
      <w:r>
        <w:rPr>
          <w:rFonts w:hint="eastAsia" w:ascii="宋体" w:hAnsi="宋体" w:cs="宋体"/>
          <w:color w:val="000000" w:themeColor="text1"/>
          <w:sz w:val="32"/>
          <w:szCs w:val="32"/>
          <w:highlight w:val="none"/>
          <w14:textFill>
            <w14:solidFill>
              <w14:schemeClr w14:val="tx1"/>
            </w14:solidFill>
          </w14:textFill>
        </w:rPr>
        <w:fldChar w:fldCharType="separate"/>
      </w:r>
      <w:r>
        <w:rPr>
          <w:rFonts w:hint="eastAsia" w:ascii="宋体" w:hAnsi="宋体" w:cs="宋体"/>
          <w:color w:val="000000" w:themeColor="text1"/>
          <w:sz w:val="32"/>
          <w:szCs w:val="32"/>
          <w:highlight w:val="none"/>
          <w14:textFill>
            <w14:solidFill>
              <w14:schemeClr w14:val="tx1"/>
            </w14:solidFill>
          </w14:textFill>
        </w:rPr>
        <w:t>41</w:t>
      </w:r>
      <w:r>
        <w:rPr>
          <w:rFonts w:hint="eastAsia" w:ascii="宋体" w:hAnsi="宋体" w:cs="宋体"/>
          <w:color w:val="000000" w:themeColor="text1"/>
          <w:sz w:val="32"/>
          <w:szCs w:val="32"/>
          <w:highlight w:val="none"/>
          <w14:textFill>
            <w14:solidFill>
              <w14:schemeClr w14:val="tx1"/>
            </w14:solidFill>
          </w14:textFill>
        </w:rPr>
        <w:fldChar w:fldCharType="end"/>
      </w:r>
      <w:r>
        <w:rPr>
          <w:rFonts w:hint="eastAsia" w:ascii="宋体" w:hAnsi="宋体" w:cs="宋体"/>
          <w:color w:val="000000" w:themeColor="text1"/>
          <w:sz w:val="32"/>
          <w:szCs w:val="32"/>
          <w:highlight w:val="none"/>
          <w14:textFill>
            <w14:solidFill>
              <w14:schemeClr w14:val="tx1"/>
            </w14:solidFill>
          </w14:textFill>
        </w:rPr>
        <w:fldChar w:fldCharType="end"/>
      </w:r>
    </w:p>
    <w:p>
      <w:pPr>
        <w:pStyle w:val="27"/>
        <w:shd w:val="clear"/>
        <w:tabs>
          <w:tab w:val="right" w:leader="dot" w:pos="9072"/>
        </w:tabs>
        <w:spacing w:line="360" w:lineRule="auto"/>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fldChar w:fldCharType="begin"/>
      </w:r>
      <w:r>
        <w:rPr>
          <w:rFonts w:hint="eastAsia" w:ascii="宋体" w:hAnsi="宋体" w:cs="宋体"/>
          <w:color w:val="000000" w:themeColor="text1"/>
          <w:sz w:val="32"/>
          <w:szCs w:val="32"/>
          <w:highlight w:val="none"/>
          <w14:textFill>
            <w14:solidFill>
              <w14:schemeClr w14:val="tx1"/>
            </w14:solidFill>
          </w14:textFill>
        </w:rPr>
        <w:instrText xml:space="preserve"> HYPERLINK \l _Toc26893 </w:instrText>
      </w:r>
      <w:r>
        <w:rPr>
          <w:rFonts w:hint="eastAsia" w:ascii="宋体" w:hAnsi="宋体" w:cs="宋体"/>
          <w:color w:val="000000" w:themeColor="text1"/>
          <w:sz w:val="32"/>
          <w:szCs w:val="32"/>
          <w:highlight w:val="none"/>
          <w14:textFill>
            <w14:solidFill>
              <w14:schemeClr w14:val="tx1"/>
            </w14:solidFill>
          </w14:textFill>
        </w:rPr>
        <w:fldChar w:fldCharType="separate"/>
      </w:r>
      <w:r>
        <w:rPr>
          <w:rFonts w:hint="eastAsia" w:ascii="宋体" w:hAnsi="宋体" w:cs="宋体"/>
          <w:color w:val="000000" w:themeColor="text1"/>
          <w:sz w:val="32"/>
          <w:szCs w:val="32"/>
          <w:highlight w:val="none"/>
          <w14:textFill>
            <w14:solidFill>
              <w14:schemeClr w14:val="tx1"/>
            </w14:solidFill>
          </w14:textFill>
        </w:rPr>
        <w:t>第五章 委托人要求</w:t>
      </w:r>
      <w:r>
        <w:rPr>
          <w:rFonts w:hint="eastAsia" w:ascii="宋体" w:hAnsi="宋体" w:cs="宋体"/>
          <w:color w:val="000000" w:themeColor="text1"/>
          <w:sz w:val="32"/>
          <w:szCs w:val="32"/>
          <w:highlight w:val="none"/>
          <w14:textFill>
            <w14:solidFill>
              <w14:schemeClr w14:val="tx1"/>
            </w14:solidFill>
          </w14:textFill>
        </w:rPr>
        <w:tab/>
      </w:r>
      <w:r>
        <w:rPr>
          <w:rFonts w:hint="eastAsia" w:ascii="宋体" w:hAnsi="宋体" w:cs="宋体"/>
          <w:color w:val="000000" w:themeColor="text1"/>
          <w:sz w:val="32"/>
          <w:szCs w:val="32"/>
          <w:highlight w:val="none"/>
          <w14:textFill>
            <w14:solidFill>
              <w14:schemeClr w14:val="tx1"/>
            </w14:solidFill>
          </w14:textFill>
        </w:rPr>
        <w:fldChar w:fldCharType="begin"/>
      </w:r>
      <w:r>
        <w:rPr>
          <w:rFonts w:hint="eastAsia" w:ascii="宋体" w:hAnsi="宋体" w:cs="宋体"/>
          <w:color w:val="000000" w:themeColor="text1"/>
          <w:sz w:val="32"/>
          <w:szCs w:val="32"/>
          <w:highlight w:val="none"/>
          <w14:textFill>
            <w14:solidFill>
              <w14:schemeClr w14:val="tx1"/>
            </w14:solidFill>
          </w14:textFill>
        </w:rPr>
        <w:instrText xml:space="preserve"> PAGEREF _Toc26893 </w:instrText>
      </w:r>
      <w:r>
        <w:rPr>
          <w:rFonts w:hint="eastAsia" w:ascii="宋体" w:hAnsi="宋体" w:cs="宋体"/>
          <w:color w:val="000000" w:themeColor="text1"/>
          <w:sz w:val="32"/>
          <w:szCs w:val="32"/>
          <w:highlight w:val="none"/>
          <w14:textFill>
            <w14:solidFill>
              <w14:schemeClr w14:val="tx1"/>
            </w14:solidFill>
          </w14:textFill>
        </w:rPr>
        <w:fldChar w:fldCharType="separate"/>
      </w:r>
      <w:r>
        <w:rPr>
          <w:rFonts w:hint="eastAsia" w:ascii="宋体" w:hAnsi="宋体" w:cs="宋体"/>
          <w:color w:val="000000" w:themeColor="text1"/>
          <w:sz w:val="32"/>
          <w:szCs w:val="32"/>
          <w:highlight w:val="none"/>
          <w14:textFill>
            <w14:solidFill>
              <w14:schemeClr w14:val="tx1"/>
            </w14:solidFill>
          </w14:textFill>
        </w:rPr>
        <w:t>42</w:t>
      </w:r>
      <w:r>
        <w:rPr>
          <w:rFonts w:hint="eastAsia" w:ascii="宋体" w:hAnsi="宋体" w:cs="宋体"/>
          <w:color w:val="000000" w:themeColor="text1"/>
          <w:sz w:val="32"/>
          <w:szCs w:val="32"/>
          <w:highlight w:val="none"/>
          <w14:textFill>
            <w14:solidFill>
              <w14:schemeClr w14:val="tx1"/>
            </w14:solidFill>
          </w14:textFill>
        </w:rPr>
        <w:fldChar w:fldCharType="end"/>
      </w:r>
      <w:r>
        <w:rPr>
          <w:rFonts w:hint="eastAsia" w:ascii="宋体" w:hAnsi="宋体" w:cs="宋体"/>
          <w:color w:val="000000" w:themeColor="text1"/>
          <w:sz w:val="32"/>
          <w:szCs w:val="32"/>
          <w:highlight w:val="none"/>
          <w14:textFill>
            <w14:solidFill>
              <w14:schemeClr w14:val="tx1"/>
            </w14:solidFill>
          </w14:textFill>
        </w:rPr>
        <w:fldChar w:fldCharType="end"/>
      </w:r>
    </w:p>
    <w:p>
      <w:pPr>
        <w:pStyle w:val="27"/>
        <w:shd w:val="clear"/>
        <w:tabs>
          <w:tab w:val="right" w:leader="dot" w:pos="9072"/>
        </w:tabs>
        <w:spacing w:line="360" w:lineRule="auto"/>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fldChar w:fldCharType="begin"/>
      </w:r>
      <w:r>
        <w:rPr>
          <w:rFonts w:hint="eastAsia" w:ascii="宋体" w:hAnsi="宋体" w:cs="宋体"/>
          <w:color w:val="000000" w:themeColor="text1"/>
          <w:sz w:val="32"/>
          <w:szCs w:val="32"/>
          <w:highlight w:val="none"/>
          <w14:textFill>
            <w14:solidFill>
              <w14:schemeClr w14:val="tx1"/>
            </w14:solidFill>
          </w14:textFill>
        </w:rPr>
        <w:instrText xml:space="preserve"> HYPERLINK \l _Toc10807 </w:instrText>
      </w:r>
      <w:r>
        <w:rPr>
          <w:rFonts w:hint="eastAsia" w:ascii="宋体" w:hAnsi="宋体" w:cs="宋体"/>
          <w:color w:val="000000" w:themeColor="text1"/>
          <w:sz w:val="32"/>
          <w:szCs w:val="32"/>
          <w:highlight w:val="none"/>
          <w14:textFill>
            <w14:solidFill>
              <w14:schemeClr w14:val="tx1"/>
            </w14:solidFill>
          </w14:textFill>
        </w:rPr>
        <w:fldChar w:fldCharType="separate"/>
      </w:r>
      <w:r>
        <w:rPr>
          <w:rFonts w:hint="eastAsia" w:ascii="宋体" w:hAnsi="宋体" w:cs="宋体"/>
          <w:color w:val="000000" w:themeColor="text1"/>
          <w:sz w:val="32"/>
          <w:szCs w:val="32"/>
          <w:highlight w:val="none"/>
          <w14:textFill>
            <w14:solidFill>
              <w14:schemeClr w14:val="tx1"/>
            </w14:solidFill>
          </w14:textFill>
        </w:rPr>
        <w:t>第三卷</w:t>
      </w:r>
      <w:r>
        <w:rPr>
          <w:rFonts w:hint="eastAsia" w:ascii="宋体" w:hAnsi="宋体" w:cs="宋体"/>
          <w:color w:val="000000" w:themeColor="text1"/>
          <w:sz w:val="32"/>
          <w:szCs w:val="32"/>
          <w:highlight w:val="none"/>
          <w14:textFill>
            <w14:solidFill>
              <w14:schemeClr w14:val="tx1"/>
            </w14:solidFill>
          </w14:textFill>
        </w:rPr>
        <w:tab/>
      </w:r>
      <w:r>
        <w:rPr>
          <w:rFonts w:hint="eastAsia" w:ascii="宋体" w:hAnsi="宋体" w:cs="宋体"/>
          <w:color w:val="000000" w:themeColor="text1"/>
          <w:sz w:val="32"/>
          <w:szCs w:val="32"/>
          <w:highlight w:val="none"/>
          <w14:textFill>
            <w14:solidFill>
              <w14:schemeClr w14:val="tx1"/>
            </w14:solidFill>
          </w14:textFill>
        </w:rPr>
        <w:fldChar w:fldCharType="begin"/>
      </w:r>
      <w:r>
        <w:rPr>
          <w:rFonts w:hint="eastAsia" w:ascii="宋体" w:hAnsi="宋体" w:cs="宋体"/>
          <w:color w:val="000000" w:themeColor="text1"/>
          <w:sz w:val="32"/>
          <w:szCs w:val="32"/>
          <w:highlight w:val="none"/>
          <w14:textFill>
            <w14:solidFill>
              <w14:schemeClr w14:val="tx1"/>
            </w14:solidFill>
          </w14:textFill>
        </w:rPr>
        <w:instrText xml:space="preserve"> PAGEREF _Toc10807 </w:instrText>
      </w:r>
      <w:r>
        <w:rPr>
          <w:rFonts w:hint="eastAsia" w:ascii="宋体" w:hAnsi="宋体" w:cs="宋体"/>
          <w:color w:val="000000" w:themeColor="text1"/>
          <w:sz w:val="32"/>
          <w:szCs w:val="32"/>
          <w:highlight w:val="none"/>
          <w14:textFill>
            <w14:solidFill>
              <w14:schemeClr w14:val="tx1"/>
            </w14:solidFill>
          </w14:textFill>
        </w:rPr>
        <w:fldChar w:fldCharType="separate"/>
      </w:r>
      <w:r>
        <w:rPr>
          <w:rFonts w:hint="eastAsia" w:ascii="宋体" w:hAnsi="宋体" w:cs="宋体"/>
          <w:color w:val="000000" w:themeColor="text1"/>
          <w:sz w:val="32"/>
          <w:szCs w:val="32"/>
          <w:highlight w:val="none"/>
          <w14:textFill>
            <w14:solidFill>
              <w14:schemeClr w14:val="tx1"/>
            </w14:solidFill>
          </w14:textFill>
        </w:rPr>
        <w:t>47</w:t>
      </w:r>
      <w:r>
        <w:rPr>
          <w:rFonts w:hint="eastAsia" w:ascii="宋体" w:hAnsi="宋体" w:cs="宋体"/>
          <w:color w:val="000000" w:themeColor="text1"/>
          <w:sz w:val="32"/>
          <w:szCs w:val="32"/>
          <w:highlight w:val="none"/>
          <w14:textFill>
            <w14:solidFill>
              <w14:schemeClr w14:val="tx1"/>
            </w14:solidFill>
          </w14:textFill>
        </w:rPr>
        <w:fldChar w:fldCharType="end"/>
      </w:r>
      <w:r>
        <w:rPr>
          <w:rFonts w:hint="eastAsia" w:ascii="宋体" w:hAnsi="宋体" w:cs="宋体"/>
          <w:color w:val="000000" w:themeColor="text1"/>
          <w:sz w:val="32"/>
          <w:szCs w:val="32"/>
          <w:highlight w:val="none"/>
          <w14:textFill>
            <w14:solidFill>
              <w14:schemeClr w14:val="tx1"/>
            </w14:solidFill>
          </w14:textFill>
        </w:rPr>
        <w:fldChar w:fldCharType="end"/>
      </w:r>
    </w:p>
    <w:p>
      <w:pPr>
        <w:pStyle w:val="27"/>
        <w:shd w:val="clear"/>
        <w:tabs>
          <w:tab w:val="right" w:leader="dot" w:pos="9072"/>
        </w:tabs>
        <w:spacing w:line="360" w:lineRule="auto"/>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fldChar w:fldCharType="begin"/>
      </w:r>
      <w:r>
        <w:rPr>
          <w:rFonts w:hint="eastAsia" w:ascii="宋体" w:hAnsi="宋体" w:cs="宋体"/>
          <w:color w:val="000000" w:themeColor="text1"/>
          <w:sz w:val="32"/>
          <w:szCs w:val="32"/>
          <w:highlight w:val="none"/>
          <w14:textFill>
            <w14:solidFill>
              <w14:schemeClr w14:val="tx1"/>
            </w14:solidFill>
          </w14:textFill>
        </w:rPr>
        <w:instrText xml:space="preserve"> HYPERLINK \l _Toc31273 </w:instrText>
      </w:r>
      <w:r>
        <w:rPr>
          <w:rFonts w:hint="eastAsia" w:ascii="宋体" w:hAnsi="宋体" w:cs="宋体"/>
          <w:color w:val="000000" w:themeColor="text1"/>
          <w:sz w:val="32"/>
          <w:szCs w:val="32"/>
          <w:highlight w:val="none"/>
          <w14:textFill>
            <w14:solidFill>
              <w14:schemeClr w14:val="tx1"/>
            </w14:solidFill>
          </w14:textFill>
        </w:rPr>
        <w:fldChar w:fldCharType="separate"/>
      </w:r>
      <w:r>
        <w:rPr>
          <w:rFonts w:hint="eastAsia" w:ascii="宋体" w:hAnsi="宋体" w:cs="宋体"/>
          <w:color w:val="000000" w:themeColor="text1"/>
          <w:sz w:val="32"/>
          <w:szCs w:val="32"/>
          <w:highlight w:val="none"/>
          <w14:textFill>
            <w14:solidFill>
              <w14:schemeClr w14:val="tx1"/>
            </w14:solidFill>
          </w14:textFill>
        </w:rPr>
        <w:t>第六章 投标文件格式</w:t>
      </w:r>
      <w:r>
        <w:rPr>
          <w:rFonts w:hint="eastAsia" w:ascii="宋体" w:hAnsi="宋体" w:cs="宋体"/>
          <w:color w:val="000000" w:themeColor="text1"/>
          <w:sz w:val="32"/>
          <w:szCs w:val="32"/>
          <w:highlight w:val="none"/>
          <w14:textFill>
            <w14:solidFill>
              <w14:schemeClr w14:val="tx1"/>
            </w14:solidFill>
          </w14:textFill>
        </w:rPr>
        <w:tab/>
      </w:r>
      <w:r>
        <w:rPr>
          <w:rFonts w:hint="eastAsia" w:ascii="宋体" w:hAnsi="宋体" w:cs="宋体"/>
          <w:color w:val="000000" w:themeColor="text1"/>
          <w:sz w:val="32"/>
          <w:szCs w:val="32"/>
          <w:highlight w:val="none"/>
          <w14:textFill>
            <w14:solidFill>
              <w14:schemeClr w14:val="tx1"/>
            </w14:solidFill>
          </w14:textFill>
        </w:rPr>
        <w:fldChar w:fldCharType="begin"/>
      </w:r>
      <w:r>
        <w:rPr>
          <w:rFonts w:hint="eastAsia" w:ascii="宋体" w:hAnsi="宋体" w:cs="宋体"/>
          <w:color w:val="000000" w:themeColor="text1"/>
          <w:sz w:val="32"/>
          <w:szCs w:val="32"/>
          <w:highlight w:val="none"/>
          <w14:textFill>
            <w14:solidFill>
              <w14:schemeClr w14:val="tx1"/>
            </w14:solidFill>
          </w14:textFill>
        </w:rPr>
        <w:instrText xml:space="preserve"> PAGEREF _Toc31273 </w:instrText>
      </w:r>
      <w:r>
        <w:rPr>
          <w:rFonts w:hint="eastAsia" w:ascii="宋体" w:hAnsi="宋体" w:cs="宋体"/>
          <w:color w:val="000000" w:themeColor="text1"/>
          <w:sz w:val="32"/>
          <w:szCs w:val="32"/>
          <w:highlight w:val="none"/>
          <w14:textFill>
            <w14:solidFill>
              <w14:schemeClr w14:val="tx1"/>
            </w14:solidFill>
          </w14:textFill>
        </w:rPr>
        <w:fldChar w:fldCharType="separate"/>
      </w:r>
      <w:r>
        <w:rPr>
          <w:rFonts w:hint="eastAsia" w:ascii="宋体" w:hAnsi="宋体" w:cs="宋体"/>
          <w:color w:val="000000" w:themeColor="text1"/>
          <w:sz w:val="32"/>
          <w:szCs w:val="32"/>
          <w:highlight w:val="none"/>
          <w14:textFill>
            <w14:solidFill>
              <w14:schemeClr w14:val="tx1"/>
            </w14:solidFill>
          </w14:textFill>
        </w:rPr>
        <w:t>48</w:t>
      </w:r>
      <w:r>
        <w:rPr>
          <w:rFonts w:hint="eastAsia" w:ascii="宋体" w:hAnsi="宋体" w:cs="宋体"/>
          <w:color w:val="000000" w:themeColor="text1"/>
          <w:sz w:val="32"/>
          <w:szCs w:val="32"/>
          <w:highlight w:val="none"/>
          <w14:textFill>
            <w14:solidFill>
              <w14:schemeClr w14:val="tx1"/>
            </w14:solidFill>
          </w14:textFill>
        </w:rPr>
        <w:fldChar w:fldCharType="end"/>
      </w:r>
      <w:r>
        <w:rPr>
          <w:rFonts w:hint="eastAsia" w:ascii="宋体" w:hAnsi="宋体" w:cs="宋体"/>
          <w:color w:val="000000" w:themeColor="text1"/>
          <w:sz w:val="32"/>
          <w:szCs w:val="32"/>
          <w:highlight w:val="none"/>
          <w14:textFill>
            <w14:solidFill>
              <w14:schemeClr w14:val="tx1"/>
            </w14:solidFill>
          </w14:textFill>
        </w:rPr>
        <w:fldChar w:fldCharType="end"/>
      </w:r>
    </w:p>
    <w:p>
      <w:pPr>
        <w:pStyle w:val="27"/>
        <w:shd w:val="clear"/>
        <w:tabs>
          <w:tab w:val="right" w:leader="dot" w:pos="9072"/>
        </w:tabs>
        <w:rPr>
          <w:color w:val="000000" w:themeColor="text1"/>
          <w:highlight w:val="none"/>
          <w14:textFill>
            <w14:solidFill>
              <w14:schemeClr w14:val="tx1"/>
            </w14:solidFill>
          </w14:textFill>
        </w:rPr>
      </w:pPr>
    </w:p>
    <w:p>
      <w:pPr>
        <w:shd w:val="clear"/>
        <w:spacing w:line="360" w:lineRule="auto"/>
        <w:jc w:val="center"/>
        <w:rPr>
          <w:color w:val="000000" w:themeColor="text1"/>
          <w:highlight w:val="none"/>
          <w14:textFill>
            <w14:solidFill>
              <w14:schemeClr w14:val="tx1"/>
            </w14:solidFill>
          </w14:textFill>
        </w:rPr>
      </w:pPr>
      <w:r>
        <w:rPr>
          <w:color w:val="000000" w:themeColor="text1"/>
          <w:sz w:val="24"/>
          <w:szCs w:val="24"/>
          <w:highlight w:val="none"/>
          <w14:textFill>
            <w14:solidFill>
              <w14:schemeClr w14:val="tx1"/>
            </w14:solidFill>
          </w14:textFill>
        </w:rPr>
        <w:fldChar w:fldCharType="end"/>
      </w:r>
      <w:bookmarkStart w:id="5" w:name="_Toc511557024"/>
    </w:p>
    <w:p>
      <w:pPr>
        <w:shd w:val="clear"/>
        <w:spacing w:line="340" w:lineRule="atLeast"/>
        <w:jc w:val="center"/>
        <w:rPr>
          <w:color w:val="000000" w:themeColor="text1"/>
          <w:highlight w:val="none"/>
          <w14:textFill>
            <w14:solidFill>
              <w14:schemeClr w14:val="tx1"/>
            </w14:solidFill>
          </w14:textFill>
        </w:rPr>
      </w:pPr>
    </w:p>
    <w:p>
      <w:pPr>
        <w:shd w:val="clear"/>
        <w:spacing w:line="340" w:lineRule="atLeast"/>
        <w:jc w:val="center"/>
        <w:rPr>
          <w:color w:val="000000" w:themeColor="text1"/>
          <w:highlight w:val="none"/>
          <w14:textFill>
            <w14:solidFill>
              <w14:schemeClr w14:val="tx1"/>
            </w14:solidFill>
          </w14:textFill>
        </w:rPr>
        <w:sectPr>
          <w:footerReference r:id="rId5" w:type="first"/>
          <w:footerReference r:id="rId4" w:type="default"/>
          <w:pgSz w:w="11850" w:h="16783"/>
          <w:pgMar w:top="1588" w:right="1360" w:bottom="1418" w:left="1418" w:header="720" w:footer="720" w:gutter="0"/>
          <w:pgNumType w:fmt="decimal" w:start="1"/>
          <w:cols w:space="720" w:num="1"/>
          <w:titlePg/>
          <w:docGrid w:linePitch="286" w:charSpace="0"/>
        </w:sectPr>
      </w:pPr>
    </w:p>
    <w:p>
      <w:pPr>
        <w:pStyle w:val="20"/>
        <w:shd w:val="clear"/>
        <w:rPr>
          <w:rFonts w:ascii="Times New Roman" w:hAnsi="Times New Roman"/>
          <w:color w:val="000000" w:themeColor="text1"/>
          <w:highlight w:val="none"/>
          <w14:textFill>
            <w14:solidFill>
              <w14:schemeClr w14:val="tx1"/>
            </w14:solidFill>
          </w14:textFill>
        </w:rPr>
      </w:pPr>
    </w:p>
    <w:p>
      <w:pPr>
        <w:pStyle w:val="2"/>
        <w:keepNext w:val="0"/>
        <w:keepLines w:val="0"/>
        <w:shd w:val="clear"/>
        <w:spacing w:before="0" w:after="0" w:line="340" w:lineRule="atLeast"/>
        <w:jc w:val="center"/>
        <w:rPr>
          <w:color w:val="000000" w:themeColor="text1"/>
          <w:highlight w:val="none"/>
          <w14:textFill>
            <w14:solidFill>
              <w14:schemeClr w14:val="tx1"/>
            </w14:solidFill>
          </w14:textFill>
        </w:rPr>
      </w:pPr>
      <w:bookmarkStart w:id="6" w:name="_Toc13065"/>
      <w:bookmarkStart w:id="7" w:name="_Toc30888"/>
      <w:r>
        <w:rPr>
          <w:color w:val="000000" w:themeColor="text1"/>
          <w:highlight w:val="none"/>
          <w14:textFill>
            <w14:solidFill>
              <w14:schemeClr w14:val="tx1"/>
            </w14:solidFill>
          </w14:textFill>
        </w:rPr>
        <w:t>第</w:t>
      </w:r>
      <w:bookmarkEnd w:id="2"/>
      <w:bookmarkEnd w:id="3"/>
      <w:bookmarkEnd w:id="4"/>
      <w:bookmarkEnd w:id="5"/>
      <w:r>
        <w:rPr>
          <w:color w:val="000000" w:themeColor="text1"/>
          <w:highlight w:val="none"/>
          <w14:textFill>
            <w14:solidFill>
              <w14:schemeClr w14:val="tx1"/>
            </w14:solidFill>
          </w14:textFill>
        </w:rPr>
        <w:t>一卷</w:t>
      </w:r>
      <w:bookmarkEnd w:id="6"/>
      <w:bookmarkEnd w:id="7"/>
    </w:p>
    <w:p>
      <w:pPr>
        <w:pStyle w:val="2"/>
        <w:keepNext w:val="0"/>
        <w:keepLines w:val="0"/>
        <w:shd w:val="clear"/>
        <w:spacing w:line="240" w:lineRule="auto"/>
        <w:jc w:val="center"/>
        <w:rPr>
          <w:color w:val="000000" w:themeColor="text1"/>
          <w:highlight w:val="none"/>
          <w14:textFill>
            <w14:solidFill>
              <w14:schemeClr w14:val="tx1"/>
            </w14:solidFill>
          </w14:textFill>
        </w:rPr>
      </w:pPr>
      <w:bookmarkStart w:id="8" w:name="_Toc3621"/>
      <w:bookmarkStart w:id="9" w:name="_Toc32365"/>
      <w:r>
        <w:rPr>
          <w:color w:val="000000" w:themeColor="text1"/>
          <w:highlight w:val="none"/>
          <w14:textFill>
            <w14:solidFill>
              <w14:schemeClr w14:val="tx1"/>
            </w14:solidFill>
          </w14:textFill>
        </w:rPr>
        <w:t>第一章 招标公告</w:t>
      </w:r>
      <w:bookmarkEnd w:id="8"/>
      <w:bookmarkEnd w:id="9"/>
    </w:p>
    <w:p>
      <w:pPr>
        <w:shd w:val="clear"/>
        <w:spacing w:line="440" w:lineRule="exact"/>
        <w:jc w:val="center"/>
        <w:rPr>
          <w:color w:val="000000" w:themeColor="text1"/>
          <w:sz w:val="28"/>
          <w:highlight w:val="none"/>
          <w14:textFill>
            <w14:solidFill>
              <w14:schemeClr w14:val="tx1"/>
            </w14:solidFill>
          </w14:textFill>
        </w:rPr>
      </w:pPr>
      <w:r>
        <w:rPr>
          <w:color w:val="000000" w:themeColor="text1"/>
          <w:sz w:val="28"/>
          <w:highlight w:val="none"/>
          <w14:textFill>
            <w14:solidFill>
              <w14:schemeClr w14:val="tx1"/>
            </w14:solidFill>
          </w14:textFill>
        </w:rPr>
        <w:t>（另册）</w:t>
      </w:r>
    </w:p>
    <w:p>
      <w:pPr>
        <w:shd w:val="clear"/>
        <w:spacing w:line="440" w:lineRule="exact"/>
        <w:jc w:val="center"/>
        <w:rPr>
          <w:color w:val="000000" w:themeColor="text1"/>
          <w:sz w:val="20"/>
          <w:highlight w:val="none"/>
          <w14:textFill>
            <w14:solidFill>
              <w14:schemeClr w14:val="tx1"/>
            </w14:solidFill>
          </w14:textFill>
        </w:rPr>
      </w:pPr>
    </w:p>
    <w:p>
      <w:pPr>
        <w:shd w:val="clear"/>
        <w:spacing w:line="440" w:lineRule="exact"/>
        <w:jc w:val="center"/>
        <w:rPr>
          <w:color w:val="000000" w:themeColor="text1"/>
          <w:sz w:val="20"/>
          <w:highlight w:val="none"/>
          <w14:textFill>
            <w14:solidFill>
              <w14:schemeClr w14:val="tx1"/>
            </w14:solidFill>
          </w14:textFill>
        </w:rPr>
      </w:pPr>
    </w:p>
    <w:p>
      <w:pPr>
        <w:shd w:val="clear"/>
        <w:spacing w:line="440" w:lineRule="exact"/>
        <w:jc w:val="center"/>
        <w:rPr>
          <w:color w:val="000000" w:themeColor="text1"/>
          <w:sz w:val="20"/>
          <w:highlight w:val="none"/>
          <w14:textFill>
            <w14:solidFill>
              <w14:schemeClr w14:val="tx1"/>
            </w14:solidFill>
          </w14:textFill>
        </w:rPr>
      </w:pPr>
    </w:p>
    <w:p>
      <w:pPr>
        <w:shd w:val="clear"/>
        <w:spacing w:line="440" w:lineRule="exact"/>
        <w:jc w:val="center"/>
        <w:rPr>
          <w:color w:val="000000" w:themeColor="text1"/>
          <w:sz w:val="20"/>
          <w:highlight w:val="none"/>
          <w14:textFill>
            <w14:solidFill>
              <w14:schemeClr w14:val="tx1"/>
            </w14:solidFill>
          </w14:textFill>
        </w:rPr>
      </w:pPr>
      <w:r>
        <w:rPr>
          <w:color w:val="000000" w:themeColor="text1"/>
          <w:sz w:val="20"/>
          <w:highlight w:val="none"/>
          <w14:textFill>
            <w14:solidFill>
              <w14:schemeClr w14:val="tx1"/>
            </w14:solidFill>
          </w14:textFill>
        </w:rPr>
        <w:br w:type="page"/>
      </w:r>
    </w:p>
    <w:p>
      <w:pPr>
        <w:pStyle w:val="2"/>
        <w:keepNext w:val="0"/>
        <w:keepLines w:val="0"/>
        <w:shd w:val="clear"/>
        <w:spacing w:before="0" w:after="0" w:line="340" w:lineRule="atLeast"/>
        <w:jc w:val="center"/>
        <w:rPr>
          <w:color w:val="000000" w:themeColor="text1"/>
          <w:highlight w:val="none"/>
          <w14:textFill>
            <w14:solidFill>
              <w14:schemeClr w14:val="tx1"/>
            </w14:solidFill>
          </w14:textFill>
        </w:rPr>
      </w:pPr>
      <w:bookmarkStart w:id="10" w:name="_Toc21280"/>
      <w:bookmarkStart w:id="11" w:name="_Toc14313"/>
      <w:r>
        <w:rPr>
          <w:color w:val="000000" w:themeColor="text1"/>
          <w:highlight w:val="none"/>
          <w14:textFill>
            <w14:solidFill>
              <w14:schemeClr w14:val="tx1"/>
            </w14:solidFill>
          </w14:textFill>
        </w:rPr>
        <w:t>第二章 投标人须知</w:t>
      </w:r>
      <w:bookmarkEnd w:id="10"/>
      <w:bookmarkEnd w:id="11"/>
    </w:p>
    <w:p>
      <w:pPr>
        <w:shd w:val="clear"/>
        <w:rPr>
          <w:color w:val="000000" w:themeColor="text1"/>
          <w:highlight w:val="none"/>
          <w14:textFill>
            <w14:solidFill>
              <w14:schemeClr w14:val="tx1"/>
            </w14:solidFill>
          </w14:textFill>
        </w:rPr>
      </w:pPr>
    </w:p>
    <w:p>
      <w:pPr>
        <w:pStyle w:val="3"/>
        <w:keepNext w:val="0"/>
        <w:keepLines w:val="0"/>
        <w:shd w:val="clear"/>
        <w:spacing w:before="0" w:after="0" w:line="340" w:lineRule="atLeast"/>
        <w:jc w:val="center"/>
        <w:rPr>
          <w:rFonts w:ascii="Times New Roman" w:hAnsi="Times New Roman" w:eastAsia="宋体"/>
          <w:color w:val="000000" w:themeColor="text1"/>
          <w:highlight w:val="none"/>
          <w14:textFill>
            <w14:solidFill>
              <w14:schemeClr w14:val="tx1"/>
            </w14:solidFill>
          </w14:textFill>
        </w:rPr>
      </w:pPr>
      <w:bookmarkStart w:id="12" w:name="_Toc10995"/>
      <w:bookmarkStart w:id="13" w:name="_Toc47987323"/>
      <w:bookmarkStart w:id="14" w:name="_Toc20290"/>
      <w:r>
        <w:rPr>
          <w:rFonts w:ascii="Times New Roman" w:hAnsi="Times New Roman" w:eastAsia="宋体"/>
          <w:color w:val="000000" w:themeColor="text1"/>
          <w:highlight w:val="none"/>
          <w14:textFill>
            <w14:solidFill>
              <w14:schemeClr w14:val="tx1"/>
            </w14:solidFill>
          </w14:textFill>
        </w:rPr>
        <w:t>投标人须知前附表</w:t>
      </w:r>
      <w:bookmarkEnd w:id="12"/>
      <w:bookmarkEnd w:id="13"/>
      <w:bookmarkEnd w:id="14"/>
    </w:p>
    <w:tbl>
      <w:tblPr>
        <w:tblStyle w:val="39"/>
        <w:tblW w:w="85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25"/>
        <w:gridCol w:w="1664"/>
        <w:gridCol w:w="581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blHeader/>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b/>
                <w:color w:val="000000" w:themeColor="text1"/>
                <w:sz w:val="24"/>
                <w:szCs w:val="24"/>
                <w:highlight w:val="none"/>
                <w14:textFill>
                  <w14:solidFill>
                    <w14:schemeClr w14:val="tx1"/>
                  </w14:solidFill>
                </w14:textFill>
              </w:rPr>
            </w:pPr>
            <w:r>
              <w:rPr>
                <w:rFonts w:hint="default"/>
                <w:b/>
                <w:color w:val="000000" w:themeColor="text1"/>
                <w:sz w:val="24"/>
                <w:szCs w:val="24"/>
                <w:highlight w:val="none"/>
                <w14:textFill>
                  <w14:solidFill>
                    <w14:schemeClr w14:val="tx1"/>
                  </w14:solidFill>
                </w14:textFill>
              </w:rPr>
              <w:t>条款号</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b/>
                <w:color w:val="000000" w:themeColor="text1"/>
                <w:sz w:val="24"/>
                <w:szCs w:val="24"/>
                <w:highlight w:val="none"/>
                <w14:textFill>
                  <w14:solidFill>
                    <w14:schemeClr w14:val="tx1"/>
                  </w14:solidFill>
                </w14:textFill>
              </w:rPr>
            </w:pPr>
            <w:r>
              <w:rPr>
                <w:rFonts w:hint="default"/>
                <w:b/>
                <w:color w:val="000000" w:themeColor="text1"/>
                <w:sz w:val="24"/>
                <w:szCs w:val="24"/>
                <w:highlight w:val="none"/>
                <w14:textFill>
                  <w14:solidFill>
                    <w14:schemeClr w14:val="tx1"/>
                  </w14:solidFill>
                </w14:textFill>
              </w:rPr>
              <w:t>条款名称</w:t>
            </w:r>
          </w:p>
        </w:tc>
        <w:tc>
          <w:tcPr>
            <w:tcW w:w="5811" w:type="dxa"/>
            <w:vAlign w:val="center"/>
          </w:tcPr>
          <w:p>
            <w:pPr>
              <w:keepNext w:val="0"/>
              <w:keepLines w:val="0"/>
              <w:suppressLineNumbers w:val="0"/>
              <w:shd w:val="clear"/>
              <w:snapToGrid w:val="0"/>
              <w:spacing w:before="0" w:beforeAutospacing="0" w:after="0" w:afterAutospacing="0"/>
              <w:ind w:left="0" w:right="0"/>
              <w:jc w:val="center"/>
              <w:rPr>
                <w:rFonts w:hint="default"/>
                <w:b/>
                <w:color w:val="000000" w:themeColor="text1"/>
                <w:sz w:val="24"/>
                <w:szCs w:val="24"/>
                <w:highlight w:val="none"/>
                <w14:textFill>
                  <w14:solidFill>
                    <w14:schemeClr w14:val="tx1"/>
                  </w14:solidFill>
                </w14:textFill>
              </w:rPr>
            </w:pPr>
            <w:r>
              <w:rPr>
                <w:rFonts w:hint="default"/>
                <w:b/>
                <w:color w:val="000000" w:themeColor="text1"/>
                <w:sz w:val="24"/>
                <w:szCs w:val="24"/>
                <w:highlight w:val="none"/>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1.1.2</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招标人</w:t>
            </w:r>
          </w:p>
        </w:tc>
        <w:tc>
          <w:tcPr>
            <w:tcW w:w="5811" w:type="dxa"/>
            <w:vAlign w:val="center"/>
          </w:tcPr>
          <w:p>
            <w:pPr>
              <w:keepNext w:val="0"/>
              <w:keepLines w:val="0"/>
              <w:suppressLineNumbers w:val="0"/>
              <w:shd w:val="clear"/>
              <w:snapToGrid w:val="0"/>
              <w:spacing w:before="0" w:beforeAutospacing="0" w:after="0" w:afterAutospacing="0"/>
              <w:ind w:left="720" w:right="0" w:hanging="720" w:hangingChars="30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名称：</w:t>
            </w:r>
            <w:r>
              <w:rPr>
                <w:rFonts w:hint="eastAsia" w:ascii="宋体" w:hAnsi="宋体" w:cs="宋体"/>
                <w:color w:val="000000" w:themeColor="text1"/>
                <w:sz w:val="24"/>
                <w:szCs w:val="24"/>
                <w:highlight w:val="none"/>
                <w:u w:val="single"/>
                <w14:textFill>
                  <w14:solidFill>
                    <w14:schemeClr w14:val="tx1"/>
                  </w14:solidFill>
                </w14:textFill>
              </w:rPr>
              <w:t>广州市白云城市建设投资有限公司</w:t>
            </w:r>
          </w:p>
          <w:p>
            <w:pPr>
              <w:keepNext w:val="0"/>
              <w:keepLines w:val="0"/>
              <w:suppressLineNumbers w:val="0"/>
              <w:shd w:val="clear"/>
              <w:snapToGrid w:val="0"/>
              <w:spacing w:before="0" w:beforeAutospacing="0" w:after="0" w:afterAutospacing="0"/>
              <w:ind w:left="720" w:right="0" w:hanging="720" w:hangingChars="300"/>
              <w:jc w:val="left"/>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w:t>
            </w:r>
            <w:r>
              <w:rPr>
                <w:rFonts w:hint="eastAsia" w:ascii="宋体" w:hAnsi="宋体" w:cs="宋体"/>
                <w:color w:val="000000" w:themeColor="text1"/>
                <w:kern w:val="0"/>
                <w:sz w:val="24"/>
                <w:highlight w:val="none"/>
                <w:u w:val="single"/>
                <w14:textFill>
                  <w14:solidFill>
                    <w14:schemeClr w14:val="tx1"/>
                  </w14:solidFill>
                </w14:textFill>
              </w:rPr>
              <w:t>广州市白云区齐富路88号C座8楼</w:t>
            </w:r>
          </w:p>
          <w:p>
            <w:pPr>
              <w:keepNext w:val="0"/>
              <w:keepLines w:val="0"/>
              <w:suppressLineNumbers w:val="0"/>
              <w:shd w:val="clear"/>
              <w:snapToGrid w:val="0"/>
              <w:spacing w:before="0" w:beforeAutospacing="0" w:after="0" w:afterAutospacing="0"/>
              <w:ind w:left="720" w:right="0" w:hanging="720" w:hangingChars="30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w:t>
            </w:r>
            <w:r>
              <w:rPr>
                <w:rFonts w:hint="eastAsia" w:ascii="宋体" w:hAnsi="宋体" w:cs="宋体"/>
                <w:color w:val="000000" w:themeColor="text1"/>
                <w:sz w:val="24"/>
                <w:highlight w:val="none"/>
                <w:u w:val="single"/>
                <w:lang w:val="en-US" w:eastAsia="zh-CN"/>
                <w14:textFill>
                  <w14:solidFill>
                    <w14:schemeClr w14:val="tx1"/>
                  </w14:solidFill>
                </w14:textFill>
              </w:rPr>
              <w:t>邓</w:t>
            </w:r>
            <w:r>
              <w:rPr>
                <w:rFonts w:hint="eastAsia" w:ascii="宋体" w:hAnsi="宋体" w:cs="宋体"/>
                <w:color w:val="000000" w:themeColor="text1"/>
                <w:sz w:val="24"/>
                <w:highlight w:val="none"/>
                <w:u w:val="single"/>
                <w14:textFill>
                  <w14:solidFill>
                    <w14:schemeClr w14:val="tx1"/>
                  </w14:solidFill>
                </w14:textFill>
              </w:rPr>
              <w:t>工</w:t>
            </w:r>
          </w:p>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联系电话：</w:t>
            </w:r>
            <w:r>
              <w:rPr>
                <w:rFonts w:hint="default" w:ascii="宋体" w:hAnsi="宋体" w:cs="宋体"/>
                <w:color w:val="000000" w:themeColor="text1"/>
                <w:sz w:val="24"/>
                <w:highlight w:val="none"/>
                <w:u w:val="single"/>
                <w14:textFill>
                  <w14:solidFill>
                    <w14:schemeClr w14:val="tx1"/>
                  </w14:solidFill>
                </w14:textFill>
              </w:rPr>
              <w:t>020-86350995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78"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1.1.3</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招标代理机构</w:t>
            </w:r>
          </w:p>
        </w:tc>
        <w:tc>
          <w:tcPr>
            <w:tcW w:w="5811" w:type="dxa"/>
            <w:vAlign w:val="center"/>
          </w:tcPr>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名称：</w:t>
            </w:r>
            <w:r>
              <w:rPr>
                <w:rFonts w:hint="eastAsia" w:ascii="宋体" w:hAnsi="宋体" w:cs="宋体"/>
                <w:color w:val="000000" w:themeColor="text1"/>
                <w:sz w:val="24"/>
                <w:szCs w:val="24"/>
                <w:highlight w:val="none"/>
                <w:u w:val="single"/>
                <w14:textFill>
                  <w14:solidFill>
                    <w14:schemeClr w14:val="tx1"/>
                  </w14:solidFill>
                </w14:textFill>
              </w:rPr>
              <w:t>广州市白云工程咨询管理有限公司</w:t>
            </w:r>
          </w:p>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广州市白云区齐富路88号C座5楼</w:t>
            </w:r>
          </w:p>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联系人：张</w:t>
            </w:r>
            <w:r>
              <w:rPr>
                <w:rFonts w:hint="eastAsia" w:ascii="宋体" w:hAnsi="宋体" w:cs="宋体"/>
                <w:color w:val="000000" w:themeColor="text1"/>
                <w:sz w:val="24"/>
                <w:highlight w:val="none"/>
                <w:u w:val="single"/>
                <w14:textFill>
                  <w14:solidFill>
                    <w14:schemeClr w14:val="tx1"/>
                  </w14:solidFill>
                </w14:textFill>
              </w:rPr>
              <w:t>工、肖工</w:t>
            </w:r>
          </w:p>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电话：</w:t>
            </w:r>
            <w:r>
              <w:rPr>
                <w:rFonts w:hint="default" w:ascii="宋体" w:hAnsi="宋体" w:cs="宋体"/>
                <w:color w:val="000000" w:themeColor="text1"/>
                <w:sz w:val="24"/>
                <w:szCs w:val="24"/>
                <w:highlight w:val="none"/>
                <w:u w:val="single"/>
                <w14:textFill>
                  <w14:solidFill>
                    <w14:schemeClr w14:val="tx1"/>
                  </w14:solidFill>
                </w14:textFill>
              </w:rPr>
              <w:t>020-35622940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1.1.4</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招标项目名称</w:t>
            </w:r>
          </w:p>
        </w:tc>
        <w:tc>
          <w:tcPr>
            <w:tcW w:w="5811" w:type="dxa"/>
            <w:vAlign w:val="center"/>
          </w:tcPr>
          <w:p>
            <w:pPr>
              <w:keepNext w:val="0"/>
              <w:keepLines w:val="0"/>
              <w:suppressLineNumbers w:val="0"/>
              <w:shd w:val="clear"/>
              <w:snapToGrid w:val="0"/>
              <w:spacing w:before="0" w:beforeAutospacing="0" w:after="0" w:afterAutospacing="0"/>
              <w:ind w:left="0" w:right="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highlight w:val="none"/>
                <w:u w:val="single"/>
                <w:lang w:eastAsia="zh-CN"/>
                <w14:textFill>
                  <w14:solidFill>
                    <w14:schemeClr w14:val="tx1"/>
                  </w14:solidFill>
                </w14:textFill>
              </w:rPr>
              <w:t>广州设计之都嘉禾片区项目三期第三方检测、监测服务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1.1.5</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项目建设地点</w:t>
            </w:r>
          </w:p>
        </w:tc>
        <w:tc>
          <w:tcPr>
            <w:tcW w:w="5811" w:type="dxa"/>
            <w:vAlign w:val="center"/>
          </w:tcPr>
          <w:p>
            <w:pPr>
              <w:keepNext w:val="0"/>
              <w:keepLines w:val="0"/>
              <w:suppressLineNumbers w:val="0"/>
              <w:shd w:val="clear"/>
              <w:snapToGrid w:val="0"/>
              <w:spacing w:before="0" w:beforeAutospacing="0" w:after="0" w:afterAutospacing="0"/>
              <w:ind w:left="0" w:right="0"/>
              <w:jc w:val="left"/>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1.1.6</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项目建设规模</w:t>
            </w:r>
          </w:p>
        </w:tc>
        <w:tc>
          <w:tcPr>
            <w:tcW w:w="5811" w:type="dxa"/>
          </w:tcPr>
          <w:p>
            <w:pPr>
              <w:keepNext w:val="0"/>
              <w:keepLines w:val="0"/>
              <w:suppressLineNumbers w:val="0"/>
              <w:shd w:val="clear"/>
              <w:snapToGrid w:val="0"/>
              <w:spacing w:before="0" w:beforeAutospacing="0" w:after="0" w:afterAutospacing="0"/>
              <w:ind w:left="0" w:right="106"/>
              <w:jc w:val="left"/>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1.1.7</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工程项目施工预计开工日期和建设周期</w:t>
            </w:r>
          </w:p>
        </w:tc>
        <w:tc>
          <w:tcPr>
            <w:tcW w:w="5811" w:type="dxa"/>
            <w:vAlign w:val="center"/>
          </w:tcPr>
          <w:p>
            <w:pPr>
              <w:keepNext w:val="0"/>
              <w:keepLines w:val="0"/>
              <w:suppressLineNumbers w:val="0"/>
              <w:shd w:val="clear"/>
              <w:snapToGrid w:val="0"/>
              <w:spacing w:before="0" w:beforeAutospacing="0" w:after="0" w:afterAutospacing="0"/>
              <w:ind w:left="0" w:right="-239"/>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1.1.8</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建筑安装工程费/工程概算</w:t>
            </w:r>
          </w:p>
        </w:tc>
        <w:tc>
          <w:tcPr>
            <w:tcW w:w="5811" w:type="dxa"/>
            <w:vAlign w:val="center"/>
          </w:tcPr>
          <w:p>
            <w:pPr>
              <w:keepNext w:val="0"/>
              <w:keepLines w:val="0"/>
              <w:suppressLineNumbers w:val="0"/>
              <w:shd w:val="clear"/>
              <w:snapToGrid w:val="0"/>
              <w:spacing w:before="0" w:beforeAutospacing="0" w:after="0" w:afterAutospacing="0"/>
              <w:ind w:left="0" w:right="0"/>
              <w:jc w:val="left"/>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1.2.1</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资金来源及比例</w:t>
            </w:r>
          </w:p>
        </w:tc>
        <w:tc>
          <w:tcPr>
            <w:tcW w:w="5811" w:type="dxa"/>
            <w:vAlign w:val="center"/>
          </w:tcPr>
          <w:p>
            <w:pPr>
              <w:keepNext w:val="0"/>
              <w:keepLines w:val="0"/>
              <w:suppressLineNumbers w:val="0"/>
              <w:shd w:val="clear"/>
              <w:snapToGrid w:val="0"/>
              <w:spacing w:before="0" w:beforeAutospacing="0" w:after="0" w:afterAutospacing="0"/>
              <w:ind w:left="0" w:right="0"/>
              <w:jc w:val="left"/>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1.2.2</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资金落实情况</w:t>
            </w:r>
          </w:p>
        </w:tc>
        <w:tc>
          <w:tcPr>
            <w:tcW w:w="5811" w:type="dxa"/>
            <w:vAlign w:val="center"/>
          </w:tcPr>
          <w:p>
            <w:pPr>
              <w:keepNext w:val="0"/>
              <w:keepLines w:val="0"/>
              <w:suppressLineNumbers w:val="0"/>
              <w:shd w:val="clear"/>
              <w:snapToGrid w:val="0"/>
              <w:spacing w:before="0" w:beforeAutospacing="0" w:after="0" w:afterAutospacing="0"/>
              <w:ind w:left="0" w:right="0"/>
              <w:jc w:val="left"/>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1.3.1</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招标范围</w:t>
            </w:r>
          </w:p>
        </w:tc>
        <w:tc>
          <w:tcPr>
            <w:tcW w:w="5811" w:type="dxa"/>
          </w:tcPr>
          <w:p>
            <w:pPr>
              <w:keepNext w:val="0"/>
              <w:keepLines w:val="0"/>
              <w:suppressLineNumbers w:val="0"/>
              <w:shd w:val="clear"/>
              <w:snapToGrid w:val="0"/>
              <w:spacing w:before="0" w:beforeAutospacing="0" w:after="0" w:afterAutospacing="0"/>
              <w:ind w:left="0" w:right="106"/>
              <w:jc w:val="left"/>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1.3.2</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服务期</w:t>
            </w:r>
          </w:p>
        </w:tc>
        <w:tc>
          <w:tcPr>
            <w:tcW w:w="5811" w:type="dxa"/>
          </w:tcPr>
          <w:p>
            <w:pPr>
              <w:keepNext w:val="0"/>
              <w:keepLines w:val="0"/>
              <w:suppressLineNumbers w:val="0"/>
              <w:shd w:val="clear"/>
              <w:snapToGrid w:val="0"/>
              <w:spacing w:before="0" w:beforeAutospacing="0" w:after="0" w:afterAutospacing="0"/>
              <w:ind w:left="0" w:right="106"/>
              <w:jc w:val="left"/>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1.3.4</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质量标准</w:t>
            </w:r>
          </w:p>
        </w:tc>
        <w:tc>
          <w:tcPr>
            <w:tcW w:w="5811" w:type="dxa"/>
            <w:vAlign w:val="center"/>
          </w:tcPr>
          <w:p>
            <w:pPr>
              <w:pStyle w:val="37"/>
              <w:keepNext w:val="0"/>
              <w:keepLines w:val="0"/>
              <w:suppressLineNumbers w:val="0"/>
              <w:shd w:val="clear"/>
              <w:snapToGrid w:val="0"/>
              <w:spacing w:before="0" w:beforeAutospacing="0" w:after="0" w:afterAutospacing="0" w:line="240" w:lineRule="auto"/>
              <w:ind w:left="0" w:right="0" w:firstLine="0"/>
              <w:rPr>
                <w:rFonts w:hint="default"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质量控制目标：竣工验收达到合格标准。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1.4.1</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投标人资质条件、能力、信誉</w:t>
            </w:r>
          </w:p>
        </w:tc>
        <w:tc>
          <w:tcPr>
            <w:tcW w:w="5811" w:type="dxa"/>
            <w:vAlign w:val="center"/>
          </w:tcPr>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（1）资质要求：见招标公告投标人资格要求。</w:t>
            </w:r>
          </w:p>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（2）财务要求：/</w:t>
            </w:r>
          </w:p>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（3）业绩要求：/</w:t>
            </w:r>
          </w:p>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（4）信誉要求：/</w:t>
            </w:r>
          </w:p>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（5）项目负责人的资格要求：见招标公告投标人资格要求。</w:t>
            </w:r>
          </w:p>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（6）其他主要人员要求：/</w:t>
            </w:r>
          </w:p>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（7）试验仪器设备要求：/</w:t>
            </w:r>
          </w:p>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（8）CMA计量认证要求：见招标公告投标人资格要求。</w:t>
            </w:r>
          </w:p>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（9）联合体投标要求：见招标公告投标人资格要求。</w:t>
            </w:r>
          </w:p>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（10）其他要求：见招标公告投标人资格要求。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4"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1.4.2</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是否接受联合体投标</w:t>
            </w:r>
          </w:p>
        </w:tc>
        <w:tc>
          <w:tcPr>
            <w:tcW w:w="5811" w:type="dxa"/>
            <w:vAlign w:val="center"/>
          </w:tcPr>
          <w:p>
            <w:pPr>
              <w:keepNext w:val="0"/>
              <w:keepLines w:val="0"/>
              <w:suppressLineNumbers w:val="0"/>
              <w:shd w:val="clear"/>
              <w:snapToGrid w:val="0"/>
              <w:spacing w:before="0" w:beforeAutospacing="0" w:after="0" w:afterAutospacing="0"/>
              <w:ind w:left="0" w:right="-238"/>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position w:val="3"/>
                <w:sz w:val="24"/>
                <w:szCs w:val="24"/>
                <w:highlight w:val="none"/>
                <w14:textFill>
                  <w14:solidFill>
                    <w14:schemeClr w14:val="tx1"/>
                  </w14:solidFill>
                </w14:textFill>
              </w:rPr>
              <w:t>不接受</w:t>
            </w:r>
          </w:p>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■接受，应满足下列要求：见招标公告投标人资格要求。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1.4.3</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投标人不得存在的其他情形</w:t>
            </w:r>
          </w:p>
        </w:tc>
        <w:tc>
          <w:tcPr>
            <w:tcW w:w="5811" w:type="dxa"/>
            <w:vAlign w:val="center"/>
          </w:tcPr>
          <w:p>
            <w:pPr>
              <w:keepNext w:val="0"/>
              <w:keepLines w:val="0"/>
              <w:suppressLineNumbers w:val="0"/>
              <w:shd w:val="clear"/>
              <w:topLinePunct/>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6"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1.9.1</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踏勘现场</w:t>
            </w:r>
          </w:p>
        </w:tc>
        <w:tc>
          <w:tcPr>
            <w:tcW w:w="5811" w:type="dxa"/>
            <w:vAlign w:val="center"/>
          </w:tcPr>
          <w:p>
            <w:pPr>
              <w:pStyle w:val="15"/>
              <w:keepNext w:val="0"/>
              <w:keepLines w:val="0"/>
              <w:suppressLineNumbers w:val="0"/>
              <w:shd w:val="clear"/>
              <w:topLinePunct/>
              <w:snapToGrid w:val="0"/>
              <w:spacing w:before="0" w:beforeAutospacing="0" w:after="0" w:afterAutospacing="0"/>
              <w:ind w:left="0" w:right="0"/>
              <w:rPr>
                <w:rFonts w:hint="default"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■不组织，</w:t>
            </w:r>
            <w:r>
              <w:rPr>
                <w:rFonts w:hint="eastAsia" w:hAnsi="宋体" w:cs="宋体"/>
                <w:color w:val="000000" w:themeColor="text1"/>
                <w:szCs w:val="24"/>
                <w:highlight w:val="none"/>
                <w:u w:val="single"/>
                <w14:textFill>
                  <w14:solidFill>
                    <w14:schemeClr w14:val="tx1"/>
                  </w14:solidFill>
                </w14:textFill>
              </w:rPr>
              <w:t>由投标人自行现场考察。</w:t>
            </w:r>
          </w:p>
          <w:p>
            <w:pPr>
              <w:pStyle w:val="15"/>
              <w:keepNext w:val="0"/>
              <w:keepLines w:val="0"/>
              <w:suppressLineNumbers w:val="0"/>
              <w:shd w:val="clear"/>
              <w:topLinePunct/>
              <w:snapToGrid w:val="0"/>
              <w:spacing w:before="0" w:beforeAutospacing="0" w:after="0" w:afterAutospacing="0"/>
              <w:ind w:left="0" w:right="0"/>
              <w:rPr>
                <w:rFonts w:hint="default"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□组织，踏勘时间：/</w:t>
            </w:r>
          </w:p>
          <w:p>
            <w:pPr>
              <w:pStyle w:val="15"/>
              <w:keepNext w:val="0"/>
              <w:keepLines w:val="0"/>
              <w:suppressLineNumbers w:val="0"/>
              <w:shd w:val="clear"/>
              <w:topLinePunct/>
              <w:snapToGrid w:val="0"/>
              <w:spacing w:before="0" w:beforeAutospacing="0" w:after="0" w:afterAutospacing="0"/>
              <w:ind w:left="0" w:right="0" w:firstLine="960" w:firstLineChars="400"/>
              <w:rPr>
                <w:rFonts w:hint="default"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踏勘集中地点：/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9"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1.10.1</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投标预备会</w:t>
            </w:r>
          </w:p>
        </w:tc>
        <w:tc>
          <w:tcPr>
            <w:tcW w:w="5811" w:type="dxa"/>
            <w:vAlign w:val="center"/>
          </w:tcPr>
          <w:p>
            <w:pPr>
              <w:pStyle w:val="15"/>
              <w:keepNext w:val="0"/>
              <w:keepLines w:val="0"/>
              <w:suppressLineNumbers w:val="0"/>
              <w:shd w:val="clear"/>
              <w:topLinePunct/>
              <w:snapToGrid w:val="0"/>
              <w:spacing w:before="0" w:beforeAutospacing="0" w:after="0" w:afterAutospacing="0"/>
              <w:ind w:left="0" w:right="0"/>
              <w:rPr>
                <w:rFonts w:hint="default"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■不召开</w:t>
            </w:r>
          </w:p>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□召开，召开时间：</w:t>
            </w:r>
            <w:r>
              <w:rPr>
                <w:rFonts w:hint="eastAsia" w:ascii="宋体" w:hAnsi="宋体" w:cs="宋体"/>
                <w:color w:val="000000" w:themeColor="text1"/>
                <w:sz w:val="24"/>
                <w:szCs w:val="24"/>
                <w:highlight w:val="none"/>
                <w:u w:val="single"/>
                <w14:textFill>
                  <w14:solidFill>
                    <w14:schemeClr w14:val="tx1"/>
                  </w14:solidFill>
                </w14:textFill>
              </w:rPr>
              <w:t xml:space="preserve"> / </w:t>
            </w:r>
          </w:p>
          <w:p>
            <w:pPr>
              <w:keepNext w:val="0"/>
              <w:keepLines w:val="0"/>
              <w:suppressLineNumbers w:val="0"/>
              <w:shd w:val="clear"/>
              <w:snapToGrid w:val="0"/>
              <w:spacing w:before="0" w:beforeAutospacing="0" w:after="0" w:afterAutospacing="0"/>
              <w:ind w:left="0" w:right="0" w:firstLine="960" w:firstLineChars="40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召开地点：</w:t>
            </w:r>
            <w:r>
              <w:rPr>
                <w:rFonts w:hint="eastAsia" w:ascii="宋体" w:hAnsi="宋体" w:cs="宋体"/>
                <w:color w:val="000000" w:themeColor="text1"/>
                <w:sz w:val="24"/>
                <w:szCs w:val="24"/>
                <w:highlight w:val="none"/>
                <w:u w:val="single"/>
                <w14:textFill>
                  <w14:solidFill>
                    <w14:schemeClr w14:val="tx1"/>
                  </w14:solidFill>
                </w14:textFill>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1025" w:type="dxa"/>
            <w:vMerge w:val="restart"/>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1.10.2</w:t>
            </w:r>
          </w:p>
        </w:tc>
        <w:tc>
          <w:tcPr>
            <w:tcW w:w="1664" w:type="dxa"/>
            <w:vMerge w:val="restart"/>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投标人在投标预备会前提出问题</w:t>
            </w:r>
          </w:p>
        </w:tc>
        <w:tc>
          <w:tcPr>
            <w:tcW w:w="5811" w:type="dxa"/>
            <w:vAlign w:val="center"/>
          </w:tcPr>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时间：</w:t>
            </w:r>
            <w:r>
              <w:rPr>
                <w:rFonts w:hint="eastAsia" w:ascii="宋体" w:hAnsi="宋体" w:cs="宋体"/>
                <w:color w:val="000000" w:themeColor="text1"/>
                <w:sz w:val="24"/>
                <w:szCs w:val="24"/>
                <w:highlight w:val="none"/>
                <w:u w:val="single"/>
                <w14:textFill>
                  <w14:solidFill>
                    <w14:schemeClr w14:val="tx1"/>
                  </w14:solidFill>
                </w14:textFill>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1025" w:type="dxa"/>
            <w:vMerge w:val="continue"/>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p>
        </w:tc>
        <w:tc>
          <w:tcPr>
            <w:tcW w:w="1664" w:type="dxa"/>
            <w:vMerge w:val="continue"/>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5811" w:type="dxa"/>
            <w:vAlign w:val="center"/>
          </w:tcPr>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形式：</w:t>
            </w:r>
            <w:r>
              <w:rPr>
                <w:rFonts w:hint="eastAsia" w:ascii="宋体" w:hAnsi="宋体" w:cs="宋体"/>
                <w:color w:val="000000" w:themeColor="text1"/>
                <w:sz w:val="24"/>
                <w:szCs w:val="24"/>
                <w:highlight w:val="none"/>
                <w:u w:val="single"/>
                <w14:textFill>
                  <w14:solidFill>
                    <w14:schemeClr w14:val="tx1"/>
                  </w14:solidFill>
                </w14:textFill>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1.10.3</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招标文件澄清发出的形式</w:t>
            </w:r>
          </w:p>
        </w:tc>
        <w:tc>
          <w:tcPr>
            <w:tcW w:w="5811" w:type="dxa"/>
            <w:vAlign w:val="center"/>
          </w:tcPr>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在广州公共资源交易中心网站“招标答疑”专区发布，一经在发布，视作已发放给所有投标人。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6"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1.12.1</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实质性要求和条件</w:t>
            </w:r>
          </w:p>
        </w:tc>
        <w:tc>
          <w:tcPr>
            <w:tcW w:w="5811" w:type="dxa"/>
            <w:vAlign w:val="center"/>
          </w:tcPr>
          <w:p>
            <w:pPr>
              <w:pStyle w:val="15"/>
              <w:keepNext w:val="0"/>
              <w:keepLines w:val="0"/>
              <w:suppressLineNumbers w:val="0"/>
              <w:shd w:val="clear"/>
              <w:topLinePunct/>
              <w:snapToGrid w:val="0"/>
              <w:spacing w:before="0" w:beforeAutospacing="0" w:after="0" w:afterAutospacing="0"/>
              <w:ind w:left="0" w:right="0"/>
              <w:rPr>
                <w:rFonts w:hint="default"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1.12.3</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偏差</w:t>
            </w:r>
          </w:p>
        </w:tc>
        <w:tc>
          <w:tcPr>
            <w:tcW w:w="5811" w:type="dxa"/>
          </w:tcPr>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■不允许</w:t>
            </w:r>
          </w:p>
          <w:p>
            <w:pPr>
              <w:pStyle w:val="15"/>
              <w:keepNext w:val="0"/>
              <w:keepLines w:val="0"/>
              <w:suppressLineNumbers w:val="0"/>
              <w:shd w:val="clear"/>
              <w:topLinePunct/>
              <w:snapToGrid w:val="0"/>
              <w:spacing w:before="0" w:beforeAutospacing="0" w:after="0" w:afterAutospacing="0"/>
              <w:ind w:left="0" w:right="0"/>
              <w:rPr>
                <w:rFonts w:hint="default"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□允许，偏差范围：/</w:t>
            </w:r>
          </w:p>
          <w:p>
            <w:pPr>
              <w:pStyle w:val="15"/>
              <w:keepNext w:val="0"/>
              <w:keepLines w:val="0"/>
              <w:suppressLineNumbers w:val="0"/>
              <w:shd w:val="clear"/>
              <w:topLinePunct/>
              <w:snapToGrid w:val="0"/>
              <w:spacing w:before="0" w:beforeAutospacing="0" w:after="0" w:afterAutospacing="0"/>
              <w:ind w:left="0" w:right="0" w:firstLine="938" w:firstLineChars="391"/>
              <w:rPr>
                <w:rFonts w:hint="default"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偏差幅度：/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2.1</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构成招标文件的其他资料</w:t>
            </w:r>
          </w:p>
        </w:tc>
        <w:tc>
          <w:tcPr>
            <w:tcW w:w="5811" w:type="dxa"/>
            <w:vAlign w:val="center"/>
          </w:tcPr>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025" w:type="dxa"/>
            <w:vMerge w:val="restart"/>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2.2.1</w:t>
            </w:r>
          </w:p>
        </w:tc>
        <w:tc>
          <w:tcPr>
            <w:tcW w:w="1664" w:type="dxa"/>
            <w:vMerge w:val="restart"/>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投标人要求澄清招标文件</w:t>
            </w:r>
          </w:p>
        </w:tc>
        <w:tc>
          <w:tcPr>
            <w:tcW w:w="5811" w:type="dxa"/>
            <w:vAlign w:val="center"/>
          </w:tcPr>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疑问提交时间：投标人在递交投标文件截止时间18天前提出。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trPr>
        <w:tc>
          <w:tcPr>
            <w:tcW w:w="1025" w:type="dxa"/>
            <w:vMerge w:val="continue"/>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p>
        </w:tc>
        <w:tc>
          <w:tcPr>
            <w:tcW w:w="1664" w:type="dxa"/>
            <w:vMerge w:val="continue"/>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5811" w:type="dxa"/>
            <w:vAlign w:val="center"/>
          </w:tcPr>
          <w:p>
            <w:pPr>
              <w:keepNext w:val="0"/>
              <w:keepLines w:val="0"/>
              <w:suppressLineNumbers w:val="0"/>
              <w:shd w:val="clear"/>
              <w:spacing w:before="0" w:beforeAutospacing="0" w:after="0" w:afterAutospacing="0" w:line="276" w:lineRule="auto"/>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形式：投标人疑问通过广州公共资源交易中心网站进入提问区域将问题提交给招标人或招标代理人，提交问题时一律不得署名。</w:t>
            </w:r>
          </w:p>
          <w:p>
            <w:pPr>
              <w:keepNext w:val="0"/>
              <w:keepLines w:val="0"/>
              <w:suppressLineNumbers w:val="0"/>
              <w:shd w:val="clear"/>
              <w:spacing w:before="0" w:beforeAutospacing="0" w:after="0" w:afterAutospacing="0"/>
              <w:ind w:left="-90" w:right="0" w:firstLine="120" w:firstLineChars="50"/>
              <w:rPr>
                <w:rFonts w:hint="default"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具体操作方法详见广州公共资源交易中心网站最新发布的建设工程全流程电子化项目操作指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2.2.2</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招标文件澄清发出的形式</w:t>
            </w:r>
          </w:p>
        </w:tc>
        <w:tc>
          <w:tcPr>
            <w:tcW w:w="5811" w:type="dxa"/>
            <w:vAlign w:val="center"/>
          </w:tcPr>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在递交投标文件截止时间15天前；在广州公共资源交易中心网站通过项目答疑专区网上公开发布。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6" w:hRule="atLeast"/>
        </w:trPr>
        <w:tc>
          <w:tcPr>
            <w:tcW w:w="1025" w:type="dxa"/>
            <w:vMerge w:val="restart"/>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2.2.3</w:t>
            </w:r>
          </w:p>
        </w:tc>
        <w:tc>
          <w:tcPr>
            <w:tcW w:w="1664" w:type="dxa"/>
            <w:vMerge w:val="restart"/>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投标人确认收到招标文件澄清</w:t>
            </w:r>
          </w:p>
        </w:tc>
        <w:tc>
          <w:tcPr>
            <w:tcW w:w="5811" w:type="dxa"/>
            <w:vAlign w:val="center"/>
          </w:tcPr>
          <w:p>
            <w:pPr>
              <w:keepNext w:val="0"/>
              <w:keepLines w:val="0"/>
              <w:suppressLineNumbers w:val="0"/>
              <w:shd w:val="clear"/>
              <w:spacing w:before="0" w:beforeAutospacing="0" w:after="0" w:afterAutospacing="0" w:line="440" w:lineRule="exact"/>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时间：发出即视作收到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38" w:hRule="atLeast"/>
        </w:trPr>
        <w:tc>
          <w:tcPr>
            <w:tcW w:w="1025" w:type="dxa"/>
            <w:vMerge w:val="continue"/>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p>
        </w:tc>
        <w:tc>
          <w:tcPr>
            <w:tcW w:w="1664" w:type="dxa"/>
            <w:vMerge w:val="continue"/>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5811" w:type="dxa"/>
            <w:vAlign w:val="center"/>
          </w:tcPr>
          <w:p>
            <w:pPr>
              <w:keepNext w:val="0"/>
              <w:keepLines w:val="0"/>
              <w:suppressLineNumbers w:val="0"/>
              <w:shd w:val="clear"/>
              <w:spacing w:before="0" w:beforeAutospacing="0" w:after="0" w:afterAutospacing="0" w:line="276" w:lineRule="auto"/>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形式：招标文件澄清（招标答疑纪要）一经在广州公共资源交易中心网站发布，视作已发放给所有投标人。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3"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2.3.1</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招标文件修改发出的形式</w:t>
            </w:r>
          </w:p>
        </w:tc>
        <w:tc>
          <w:tcPr>
            <w:tcW w:w="5811" w:type="dxa"/>
            <w:vAlign w:val="center"/>
          </w:tcPr>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1025" w:type="dxa"/>
            <w:vMerge w:val="restart"/>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2.3.2</w:t>
            </w:r>
          </w:p>
        </w:tc>
        <w:tc>
          <w:tcPr>
            <w:tcW w:w="1664" w:type="dxa"/>
            <w:vMerge w:val="restart"/>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投标人确认收到招标文件修改</w:t>
            </w:r>
          </w:p>
        </w:tc>
        <w:tc>
          <w:tcPr>
            <w:tcW w:w="5811" w:type="dxa"/>
            <w:vAlign w:val="center"/>
          </w:tcPr>
          <w:p>
            <w:pPr>
              <w:keepNext w:val="0"/>
              <w:keepLines w:val="0"/>
              <w:suppressLineNumbers w:val="0"/>
              <w:shd w:val="clear"/>
              <w:spacing w:before="0" w:beforeAutospacing="0" w:after="0" w:afterAutospacing="0" w:line="440" w:lineRule="exact"/>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时间：发出即视作收到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025" w:type="dxa"/>
            <w:vMerge w:val="continue"/>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p>
        </w:tc>
        <w:tc>
          <w:tcPr>
            <w:tcW w:w="1664" w:type="dxa"/>
            <w:vMerge w:val="continue"/>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p>
        </w:tc>
        <w:tc>
          <w:tcPr>
            <w:tcW w:w="5811" w:type="dxa"/>
            <w:vAlign w:val="center"/>
          </w:tcPr>
          <w:p>
            <w:pPr>
              <w:keepNext w:val="0"/>
              <w:keepLines w:val="0"/>
              <w:suppressLineNumbers w:val="0"/>
              <w:shd w:val="clear"/>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3.1.1</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构成投标文件的其他资料</w:t>
            </w:r>
          </w:p>
        </w:tc>
        <w:tc>
          <w:tcPr>
            <w:tcW w:w="5811" w:type="dxa"/>
            <w:vAlign w:val="center"/>
          </w:tcPr>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满足本项目评审要求的其他资料。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3.2.1</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增值税税金的计算方法</w:t>
            </w:r>
          </w:p>
        </w:tc>
        <w:tc>
          <w:tcPr>
            <w:tcW w:w="5811" w:type="dxa"/>
            <w:vAlign w:val="center"/>
          </w:tcPr>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10"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3.2.3</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报价方式</w:t>
            </w:r>
          </w:p>
        </w:tc>
        <w:tc>
          <w:tcPr>
            <w:tcW w:w="5811" w:type="dxa"/>
            <w:vAlign w:val="center"/>
          </w:tcPr>
          <w:p>
            <w:pPr>
              <w:pStyle w:val="20"/>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投标人必须详细审阅全部招标文件及招标相关资料,充分考虑职责和义务,全面地理解招标文件对投标报价的要求,并按招标人提出的条件及内容结合自身条件综合考虑后，</w:t>
            </w:r>
            <w:r>
              <w:rPr>
                <w:rFonts w:hint="eastAsia" w:ascii="宋体" w:hAnsi="宋体"/>
                <w:color w:val="000000" w:themeColor="text1"/>
                <w:sz w:val="24"/>
                <w:szCs w:val="24"/>
                <w:highlight w:val="none"/>
                <w:u w:val="single"/>
                <w14:textFill>
                  <w14:solidFill>
                    <w14:schemeClr w14:val="tx1"/>
                  </w14:solidFill>
                </w14:textFill>
              </w:rPr>
              <w:t>报出</w:t>
            </w:r>
            <w:r>
              <w:rPr>
                <w:rFonts w:hint="eastAsia" w:ascii="宋体" w:hAnsi="宋体" w:cs="宋体"/>
                <w:color w:val="000000" w:themeColor="text1"/>
                <w:sz w:val="24"/>
                <w:szCs w:val="24"/>
                <w:highlight w:val="none"/>
                <w:u w:val="single"/>
                <w14:textFill>
                  <w14:solidFill>
                    <w14:schemeClr w14:val="tx1"/>
                  </w14:solidFill>
                </w14:textFill>
              </w:rPr>
              <w:t>投标报价总价</w:t>
            </w:r>
            <w:r>
              <w:rPr>
                <w:rFonts w:hint="eastAsia" w:ascii="宋体" w:hAnsi="宋体" w:cs="宋体"/>
                <w:b/>
                <w:color w:val="000000" w:themeColor="text1"/>
                <w:sz w:val="24"/>
                <w:szCs w:val="24"/>
                <w:highlight w:val="none"/>
                <w:u w:val="single"/>
                <w14:textFill>
                  <w14:solidFill>
                    <w14:schemeClr w14:val="tx1"/>
                  </w14:solidFill>
                </w14:textFill>
              </w:rPr>
              <w:t>（以</w:t>
            </w:r>
            <w:r>
              <w:rPr>
                <w:rFonts w:hint="eastAsia" w:ascii="宋体" w:hAnsi="宋体" w:cs="宋体"/>
                <w:b/>
                <w:color w:val="000000" w:themeColor="text1"/>
                <w:sz w:val="24"/>
                <w:szCs w:val="24"/>
                <w:highlight w:val="none"/>
                <w:u w:val="single"/>
                <w:lang w:val="en-US" w:eastAsia="zh-CN"/>
                <w14:textFill>
                  <w14:solidFill>
                    <w14:schemeClr w14:val="tx1"/>
                  </w14:solidFill>
                </w14:textFill>
              </w:rPr>
              <w:t>万</w:t>
            </w:r>
            <w:r>
              <w:rPr>
                <w:rFonts w:hint="eastAsia" w:ascii="宋体" w:hAnsi="宋体" w:cs="宋体"/>
                <w:b/>
                <w:color w:val="000000" w:themeColor="text1"/>
                <w:sz w:val="24"/>
                <w:szCs w:val="24"/>
                <w:highlight w:val="none"/>
                <w:u w:val="single"/>
                <w14:textFill>
                  <w14:solidFill>
                    <w14:schemeClr w14:val="tx1"/>
                  </w14:solidFill>
                </w14:textFill>
              </w:rPr>
              <w:t>元为单位，保留两位小数，第三位小数四舍五入）</w:t>
            </w:r>
            <w:r>
              <w:rPr>
                <w:rFonts w:hint="eastAsia" w:ascii="宋体" w:hAnsi="宋体" w:cs="宋体"/>
                <w:bCs/>
                <w:color w:val="000000" w:themeColor="text1"/>
                <w:sz w:val="24"/>
                <w:szCs w:val="24"/>
                <w:highlight w:val="none"/>
                <w:u w:val="single"/>
                <w14:textFill>
                  <w14:solidFill>
                    <w14:schemeClr w14:val="tx1"/>
                  </w14:solidFill>
                </w14:textFill>
              </w:rPr>
              <w:t>和含税综合包干</w:t>
            </w:r>
            <w:r>
              <w:rPr>
                <w:rFonts w:hint="eastAsia" w:ascii="宋体" w:hAnsi="宋体" w:cs="宋体"/>
                <w:color w:val="000000" w:themeColor="text1"/>
                <w:sz w:val="24"/>
                <w:szCs w:val="24"/>
                <w:highlight w:val="none"/>
                <w:u w:val="single"/>
                <w14:textFill>
                  <w14:solidFill>
                    <w14:schemeClr w14:val="tx1"/>
                  </w14:solidFill>
                </w14:textFill>
              </w:rPr>
              <w:t>单价投标报价（</w:t>
            </w:r>
            <w:r>
              <w:rPr>
                <w:rFonts w:hint="eastAsia" w:ascii="宋体" w:hAnsi="宋体" w:cs="宋体"/>
                <w:b/>
                <w:color w:val="000000" w:themeColor="text1"/>
                <w:sz w:val="24"/>
                <w:szCs w:val="24"/>
                <w:highlight w:val="none"/>
                <w:u w:val="single"/>
                <w14:textFill>
                  <w14:solidFill>
                    <w14:schemeClr w14:val="tx1"/>
                  </w14:solidFill>
                </w14:textFill>
              </w:rPr>
              <w:t>以元</w:t>
            </w:r>
            <w:r>
              <w:rPr>
                <w:rFonts w:hint="eastAsia" w:ascii="宋体" w:hAnsi="宋体" w:cs="宋体"/>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m²</w:t>
            </w:r>
            <w:r>
              <w:rPr>
                <w:rFonts w:hint="eastAsia" w:ascii="宋体" w:hAnsi="宋体" w:cs="宋体"/>
                <w:b/>
                <w:color w:val="000000" w:themeColor="text1"/>
                <w:sz w:val="24"/>
                <w:szCs w:val="24"/>
                <w:highlight w:val="none"/>
                <w:u w:val="single"/>
                <w14:textFill>
                  <w14:solidFill>
                    <w14:schemeClr w14:val="tx1"/>
                  </w14:solidFill>
                </w14:textFill>
              </w:rPr>
              <w:t>为单位，保留两位小数，第三位小数四舍五入</w:t>
            </w:r>
            <w:r>
              <w:rPr>
                <w:rFonts w:hint="eastAsia" w:ascii="宋体" w:hAnsi="宋体" w:cs="宋体"/>
                <w:color w:val="000000" w:themeColor="text1"/>
                <w:sz w:val="24"/>
                <w:szCs w:val="24"/>
                <w:highlight w:val="none"/>
                <w:u w:val="single"/>
                <w14:textFill>
                  <w14:solidFill>
                    <w14:schemeClr w14:val="tx1"/>
                  </w14:solidFill>
                </w14:textFill>
              </w:rPr>
              <w:t>），含税综合包干单价报价不得高于</w:t>
            </w:r>
            <w:r>
              <w:rPr>
                <w:rFonts w:hint="eastAsia" w:ascii="宋体" w:hAnsi="宋体" w:cs="宋体"/>
                <w:color w:val="000000" w:themeColor="text1"/>
                <w:sz w:val="24"/>
                <w:szCs w:val="24"/>
                <w:highlight w:val="none"/>
                <w:u w:val="single"/>
                <w:lang w:val="en-US" w:eastAsia="zh-CN"/>
                <w14:textFill>
                  <w14:solidFill>
                    <w14:schemeClr w14:val="tx1"/>
                  </w14:solidFill>
                </w14:textFill>
              </w:rPr>
              <w:t>57</w:t>
            </w:r>
            <w:r>
              <w:rPr>
                <w:rFonts w:hint="eastAsia" w:ascii="宋体" w:hAnsi="宋体" w:cs="宋体"/>
                <w:color w:val="000000" w:themeColor="text1"/>
                <w:sz w:val="24"/>
                <w:szCs w:val="24"/>
                <w:highlight w:val="none"/>
                <w:u w:val="single"/>
                <w14:textFill>
                  <w14:solidFill>
                    <w14:schemeClr w14:val="tx1"/>
                  </w14:solidFill>
                </w14:textFill>
              </w:rPr>
              <w:t>元/</w:t>
            </w:r>
            <w:r>
              <w:rPr>
                <w:rFonts w:hint="eastAsia"/>
                <w:color w:val="000000" w:themeColor="text1"/>
                <w:sz w:val="24"/>
                <w:szCs w:val="24"/>
                <w:highlight w:val="none"/>
                <w:lang w:val="en-US" w:eastAsia="zh-CN"/>
                <w14:textFill>
                  <w14:solidFill>
                    <w14:schemeClr w14:val="tx1"/>
                  </w14:solidFill>
                </w14:textFill>
              </w:rPr>
              <w:t>m²</w:t>
            </w:r>
            <w:r>
              <w:rPr>
                <w:rFonts w:hint="eastAsia" w:ascii="宋体" w:hAnsi="宋体" w:cs="宋体"/>
                <w:color w:val="000000" w:themeColor="text1"/>
                <w:sz w:val="24"/>
                <w:szCs w:val="24"/>
                <w:highlight w:val="none"/>
                <w:u w:val="single"/>
                <w14:textFill>
                  <w14:solidFill>
                    <w14:schemeClr w14:val="tx1"/>
                  </w14:solidFill>
                </w14:textFill>
              </w:rPr>
              <w:t>。最终结算以财政部门或有权审核部门审定结果为准。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3.2.4</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最高投标限价</w:t>
            </w:r>
          </w:p>
        </w:tc>
        <w:tc>
          <w:tcPr>
            <w:tcW w:w="5811" w:type="dxa"/>
            <w:vAlign w:val="center"/>
          </w:tcPr>
          <w:p>
            <w:pPr>
              <w:keepNext w:val="0"/>
              <w:keepLines w:val="0"/>
              <w:suppressLineNumbers w:val="0"/>
              <w:shd w:val="clear"/>
              <w:snapToGrid w:val="0"/>
              <w:spacing w:before="0" w:beforeAutospacing="0" w:after="0" w:afterAutospacing="0"/>
              <w:ind w:left="0" w:right="0"/>
              <w:rPr>
                <w:rFonts w:hint="default"/>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w:t>
            </w:r>
          </w:p>
          <w:p>
            <w:pPr>
              <w:pStyle w:val="16"/>
              <w:keepNext w:val="0"/>
              <w:keepLines w:val="0"/>
              <w:suppressLineNumbers w:val="0"/>
              <w:shd w:val="clear"/>
              <w:spacing w:before="0" w:beforeAutospacing="0" w:afterAutospacing="0"/>
              <w:ind w:left="0" w:right="0"/>
              <w:rPr>
                <w:rFonts w:hint="default"/>
                <w:color w:val="000000" w:themeColor="text1"/>
                <w:sz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w:t>
            </w:r>
            <w:r>
              <w:rPr>
                <w:rFonts w:hint="eastAsia"/>
                <w:color w:val="000000" w:themeColor="text1"/>
                <w:sz w:val="24"/>
                <w:highlight w:val="none"/>
                <w14:textFill>
                  <w14:solidFill>
                    <w14:schemeClr w14:val="tx1"/>
                  </w14:solidFill>
                </w14:textFill>
              </w:rPr>
              <w:t>最高投标限价</w:t>
            </w:r>
            <w:r>
              <w:rPr>
                <w:rFonts w:hint="eastAsia"/>
                <w:color w:val="000000" w:themeColor="text1"/>
                <w:sz w:val="24"/>
                <w:szCs w:val="24"/>
                <w:highlight w:val="none"/>
                <w14:textFill>
                  <w14:solidFill>
                    <w14:schemeClr w14:val="tx1"/>
                  </w14:solidFill>
                </w14:textFill>
              </w:rPr>
              <w:t>人民币</w:t>
            </w:r>
            <w:r>
              <w:rPr>
                <w:rFonts w:hint="eastAsia"/>
                <w:color w:val="000000" w:themeColor="text1"/>
                <w:sz w:val="24"/>
                <w:szCs w:val="24"/>
                <w:highlight w:val="none"/>
                <w:lang w:val="en-US" w:eastAsia="zh-CN"/>
                <w14:textFill>
                  <w14:solidFill>
                    <w14:schemeClr w14:val="tx1"/>
                  </w14:solidFill>
                </w14:textFill>
              </w:rPr>
              <w:t xml:space="preserve">469.46 </w:t>
            </w:r>
            <w:r>
              <w:rPr>
                <w:rFonts w:hint="eastAsia"/>
                <w:color w:val="000000" w:themeColor="text1"/>
                <w:sz w:val="24"/>
                <w:szCs w:val="24"/>
                <w:highlight w:val="none"/>
                <w14:textFill>
                  <w14:solidFill>
                    <w14:schemeClr w14:val="tx1"/>
                  </w14:solidFill>
                </w14:textFill>
              </w:rPr>
              <w:t>万元，含税综合包干单价最高投标限价：</w:t>
            </w:r>
            <w:r>
              <w:rPr>
                <w:rFonts w:hint="eastAsia"/>
                <w:color w:val="000000" w:themeColor="text1"/>
                <w:sz w:val="24"/>
                <w:szCs w:val="24"/>
                <w:highlight w:val="none"/>
                <w:lang w:val="en-US" w:eastAsia="zh-CN"/>
                <w14:textFill>
                  <w14:solidFill>
                    <w14:schemeClr w14:val="tx1"/>
                  </w14:solidFill>
                </w14:textFill>
              </w:rPr>
              <w:t>57</w:t>
            </w:r>
            <w:r>
              <w:rPr>
                <w:rFonts w:hint="eastAsia"/>
                <w:color w:val="000000" w:themeColor="text1"/>
                <w:sz w:val="24"/>
                <w:szCs w:val="24"/>
                <w:highlight w:val="none"/>
                <w14:textFill>
                  <w14:solidFill>
                    <w14:schemeClr w14:val="tx1"/>
                  </w14:solidFill>
                </w14:textFill>
              </w:rPr>
              <w:t>元/</w:t>
            </w:r>
            <w:r>
              <w:rPr>
                <w:rFonts w:hint="eastAsia"/>
                <w:color w:val="000000" w:themeColor="text1"/>
                <w:sz w:val="24"/>
                <w:szCs w:val="24"/>
                <w:highlight w:val="none"/>
                <w:lang w:val="en-US" w:eastAsia="zh-CN"/>
                <w14:textFill>
                  <w14:solidFill>
                    <w14:schemeClr w14:val="tx1"/>
                  </w14:solidFill>
                </w14:textFill>
              </w:rPr>
              <w:t>m²</w:t>
            </w:r>
            <w:r>
              <w:rPr>
                <w:rFonts w:hint="eastAsia"/>
                <w:color w:val="000000" w:themeColor="text1"/>
                <w:sz w:val="24"/>
                <w:szCs w:val="24"/>
                <w:highlight w:val="none"/>
                <w14:textFill>
                  <w14:solidFill>
                    <w14:schemeClr w14:val="tx1"/>
                  </w14:solidFill>
                </w14:textFill>
              </w:rPr>
              <w:t>。投标文件中投标报价总价超过最高投标限价或含税综合包干单价投标报价超过含税综合包干单价最高投标限价的报价均为无效标</w:t>
            </w:r>
            <w:r>
              <w:rPr>
                <w:rFonts w:hint="eastAsia"/>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6"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3.2.5</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投标报价的其他要求</w:t>
            </w:r>
          </w:p>
        </w:tc>
        <w:tc>
          <w:tcPr>
            <w:tcW w:w="5811" w:type="dxa"/>
            <w:vAlign w:val="center"/>
          </w:tcPr>
          <w:p>
            <w:pPr>
              <w:pStyle w:val="15"/>
              <w:keepNext w:val="0"/>
              <w:keepLines w:val="0"/>
              <w:suppressLineNumbers w:val="0"/>
              <w:shd w:val="clear"/>
              <w:topLinePunct/>
              <w:snapToGrid w:val="0"/>
              <w:spacing w:before="0" w:beforeAutospacing="0" w:after="0" w:afterAutospacing="0"/>
              <w:ind w:left="0" w:right="0"/>
              <w:rPr>
                <w:rFonts w:hint="eastAsia" w:hAnsi="宋体" w:cs="宋体"/>
                <w:color w:val="000000" w:themeColor="text1"/>
                <w:szCs w:val="24"/>
                <w:highlight w:val="none"/>
                <w14:textFill>
                  <w14:solidFill>
                    <w14:schemeClr w14:val="tx1"/>
                  </w14:solidFill>
                </w14:textFill>
              </w:rPr>
            </w:pPr>
            <w:r>
              <w:rPr>
                <w:rFonts w:hint="default" w:ascii="宋体" w:hAnsi="宋体" w:cs="宋体"/>
                <w:color w:val="000000" w:themeColor="text1"/>
                <w:sz w:val="24"/>
                <w:szCs w:val="28"/>
                <w:highlight w:val="none"/>
                <w14:textFill>
                  <w14:solidFill>
                    <w14:schemeClr w14:val="tx1"/>
                  </w14:solidFill>
                </w14:textFill>
              </w:rPr>
              <w:t>投标人的报价，应是其完成本项目招标内容的所有费用，包括人工费、材料费、机械设备费、试验费、测点埋设和损坏修复费、各项措施费，包括但不限于安全文明施工、临水临电安装、机械设备进出场、工作面清理及整理、检测配载、</w:t>
            </w:r>
            <w:r>
              <w:rPr>
                <w:rFonts w:hint="default" w:ascii="宋体" w:hAnsi="宋体"/>
                <w:color w:val="000000" w:themeColor="text1"/>
                <w:sz w:val="24"/>
                <w:szCs w:val="28"/>
                <w:highlight w:val="none"/>
                <w14:textFill>
                  <w14:solidFill>
                    <w14:schemeClr w14:val="tx1"/>
                  </w14:solidFill>
                </w14:textFill>
              </w:rPr>
              <w:t>试坑开挖（若有）、</w:t>
            </w:r>
            <w:r>
              <w:rPr>
                <w:rFonts w:hint="default" w:ascii="宋体" w:hAnsi="宋体" w:cs="宋体"/>
                <w:color w:val="000000" w:themeColor="text1"/>
                <w:sz w:val="24"/>
                <w:szCs w:val="28"/>
                <w:highlight w:val="none"/>
                <w14:textFill>
                  <w14:solidFill>
                    <w14:schemeClr w14:val="tx1"/>
                  </w14:solidFill>
                </w14:textFill>
              </w:rPr>
              <w:t>疏干排水、工作搭架、工作棚及焊接等相关费用、报告编写费、配合协调费、工程保险费、风险费、管理费、规费、利润、税金等所有的一切相关费用。不论实际费用有无发生，亦不论各项费用有无涨落，均不再调整</w:t>
            </w:r>
            <w:r>
              <w:rPr>
                <w:rFonts w:hint="default" w:hAnsi="宋体" w:cs="宋体"/>
                <w:color w:val="000000" w:themeColor="text1"/>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3.3.1</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投标有效期</w:t>
            </w:r>
          </w:p>
        </w:tc>
        <w:tc>
          <w:tcPr>
            <w:tcW w:w="5811" w:type="dxa"/>
            <w:vAlign w:val="center"/>
          </w:tcPr>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bookmarkStart w:id="15" w:name="_Toc361508582"/>
            <w:bookmarkStart w:id="16" w:name="_Toc369531512"/>
            <w:bookmarkStart w:id="17" w:name="_Toc384308207"/>
            <w:bookmarkStart w:id="18" w:name="_Toc352691470"/>
            <w:bookmarkStart w:id="19" w:name="_Toc1789"/>
            <w:bookmarkStart w:id="20" w:name="_Toc300834946"/>
            <w:r>
              <w:rPr>
                <w:rFonts w:hint="default" w:ascii="宋体" w:hAnsi="宋体" w:cs="宋体"/>
                <w:color w:val="000000" w:themeColor="text1"/>
                <w:sz w:val="24"/>
                <w:szCs w:val="24"/>
                <w:highlight w:val="none"/>
                <w:u w:val="single"/>
                <w14:textFill>
                  <w14:solidFill>
                    <w14:schemeClr w14:val="tx1"/>
                  </w14:solidFill>
                </w14:textFill>
              </w:rPr>
              <w:t>90</w:t>
            </w:r>
            <w:r>
              <w:rPr>
                <w:rFonts w:hint="eastAsia" w:ascii="宋体" w:hAnsi="宋体" w:cs="宋体"/>
                <w:color w:val="000000" w:themeColor="text1"/>
                <w:sz w:val="24"/>
                <w:szCs w:val="24"/>
                <w:highlight w:val="none"/>
                <w14:textFill>
                  <w14:solidFill>
                    <w14:schemeClr w14:val="tx1"/>
                  </w14:solidFill>
                </w14:textFill>
              </w:rPr>
              <w:t>日历天（从投标截止之日算起）。</w:t>
            </w:r>
          </w:p>
        </w:tc>
      </w:tr>
      <w:bookmarkEnd w:id="15"/>
      <w:bookmarkEnd w:id="16"/>
      <w:bookmarkEnd w:id="17"/>
      <w:bookmarkEnd w:id="18"/>
      <w:bookmarkEnd w:id="19"/>
      <w:bookmarkEnd w:id="20"/>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6"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3.4.1</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投标保证金</w:t>
            </w:r>
          </w:p>
        </w:tc>
        <w:tc>
          <w:tcPr>
            <w:tcW w:w="5811" w:type="dxa"/>
            <w:vAlign w:val="center"/>
          </w:tcPr>
          <w:p>
            <w:pPr>
              <w:pStyle w:val="15"/>
              <w:keepNext w:val="0"/>
              <w:keepLines w:val="0"/>
              <w:suppressLineNumbers w:val="0"/>
              <w:shd w:val="clear"/>
              <w:topLinePunct/>
              <w:spacing w:before="0" w:beforeAutospacing="0" w:after="0" w:afterAutospacing="0" w:line="276" w:lineRule="auto"/>
              <w:ind w:left="0" w:right="0"/>
              <w:rPr>
                <w:rFonts w:hint="default"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是否要求投标人递交投标保证金：</w:t>
            </w:r>
          </w:p>
          <w:p>
            <w:pPr>
              <w:pStyle w:val="15"/>
              <w:keepNext w:val="0"/>
              <w:keepLines w:val="0"/>
              <w:suppressLineNumbers w:val="0"/>
              <w:shd w:val="clear"/>
              <w:topLinePunct/>
              <w:spacing w:before="0" w:beforeAutospacing="0" w:after="0" w:afterAutospacing="0" w:line="276" w:lineRule="auto"/>
              <w:ind w:left="0" w:right="0"/>
              <w:rPr>
                <w:rFonts w:hint="default"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■不要求递交投标保证金。</w:t>
            </w:r>
          </w:p>
          <w:p>
            <w:pPr>
              <w:pStyle w:val="15"/>
              <w:keepNext w:val="0"/>
              <w:keepLines w:val="0"/>
              <w:suppressLineNumbers w:val="0"/>
              <w:shd w:val="clear"/>
              <w:topLinePunct/>
              <w:spacing w:before="0" w:beforeAutospacing="0" w:after="0" w:afterAutospacing="0" w:line="276" w:lineRule="auto"/>
              <w:ind w:left="0" w:right="0"/>
              <w:rPr>
                <w:rFonts w:hint="default"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□要求递交投标保证金。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1"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3.4.4</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strike/>
                <w:color w:val="000000" w:themeColor="text1"/>
                <w:sz w:val="24"/>
                <w:szCs w:val="24"/>
                <w:highlight w:val="none"/>
                <w14:textFill>
                  <w14:solidFill>
                    <w14:schemeClr w14:val="tx1"/>
                  </w14:solidFill>
                </w14:textFill>
              </w:rPr>
            </w:pPr>
            <w:r>
              <w:rPr>
                <w:rFonts w:hint="eastAsia" w:ascii="宋体" w:hAnsi="宋体" w:cs="宋体"/>
                <w:strike/>
                <w:color w:val="000000" w:themeColor="text1"/>
                <w:sz w:val="24"/>
                <w:szCs w:val="24"/>
                <w:highlight w:val="none"/>
                <w14:textFill>
                  <w14:solidFill>
                    <w14:schemeClr w14:val="tx1"/>
                  </w14:solidFill>
                </w14:textFill>
              </w:rPr>
              <w:t>其他不予退还投标保证金的情形</w:t>
            </w:r>
          </w:p>
        </w:tc>
        <w:tc>
          <w:tcPr>
            <w:tcW w:w="5811" w:type="dxa"/>
            <w:vAlign w:val="center"/>
          </w:tcPr>
          <w:p>
            <w:pPr>
              <w:pStyle w:val="15"/>
              <w:keepNext w:val="0"/>
              <w:keepLines w:val="0"/>
              <w:suppressLineNumbers w:val="0"/>
              <w:shd w:val="clear"/>
              <w:topLinePunct/>
              <w:spacing w:before="0" w:beforeAutospacing="0" w:after="0" w:afterAutospacing="0" w:line="400" w:lineRule="exact"/>
              <w:ind w:left="0" w:right="0"/>
              <w:rPr>
                <w:rFonts w:hint="default" w:hAnsi="宋体" w:cs="宋体"/>
                <w:strike/>
                <w:color w:val="000000" w:themeColor="text1"/>
                <w:szCs w:val="24"/>
                <w:highlight w:val="none"/>
                <w14:textFill>
                  <w14:solidFill>
                    <w14:schemeClr w14:val="tx1"/>
                  </w14:solidFill>
                </w14:textFill>
              </w:rPr>
            </w:pPr>
            <w:r>
              <w:rPr>
                <w:rFonts w:hint="eastAsia" w:hAnsi="宋体" w:cs="宋体"/>
                <w:strike/>
                <w:color w:val="000000" w:themeColor="text1"/>
                <w:szCs w:val="24"/>
                <w:highlight w:val="none"/>
                <w14:textFill>
                  <w14:solidFill>
                    <w14:schemeClr w14:val="tx1"/>
                  </w14:solidFill>
                </w14:textFill>
              </w:rPr>
              <w:t>投标人采用不正当的手段骗取中标经查实的。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3.5</w:t>
            </w:r>
          </w:p>
        </w:tc>
        <w:tc>
          <w:tcPr>
            <w:tcW w:w="1664" w:type="dxa"/>
            <w:vAlign w:val="center"/>
          </w:tcPr>
          <w:p>
            <w:pPr>
              <w:keepNext w:val="0"/>
              <w:keepLines w:val="0"/>
              <w:suppressLineNumbers w:val="0"/>
              <w:shd w:val="clear"/>
              <w:snapToGrid w:val="0"/>
              <w:spacing w:before="0" w:beforeAutospacing="0" w:after="0" w:afterAutospacing="0"/>
              <w:ind w:left="0" w:right="0" w:firstLine="240" w:firstLineChars="10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资格审查资料的特殊要求</w:t>
            </w:r>
          </w:p>
        </w:tc>
        <w:tc>
          <w:tcPr>
            <w:tcW w:w="5811" w:type="dxa"/>
            <w:vAlign w:val="center"/>
          </w:tcPr>
          <w:p>
            <w:pPr>
              <w:pStyle w:val="15"/>
              <w:keepNext w:val="0"/>
              <w:keepLines w:val="0"/>
              <w:suppressLineNumbers w:val="0"/>
              <w:shd w:val="clear"/>
              <w:spacing w:before="0" w:beforeAutospacing="0" w:after="0" w:afterAutospacing="0" w:line="276" w:lineRule="auto"/>
              <w:ind w:left="0" w:right="0"/>
              <w:rPr>
                <w:rFonts w:hint="default" w:hAnsi="宋体" w:cs="宋体"/>
                <w:color w:val="000000" w:themeColor="text1"/>
                <w:spacing w:val="-1"/>
                <w:szCs w:val="24"/>
                <w:highlight w:val="none"/>
                <w14:textFill>
                  <w14:solidFill>
                    <w14:schemeClr w14:val="tx1"/>
                  </w14:solidFill>
                </w14:textFill>
              </w:rPr>
            </w:pPr>
            <w:r>
              <w:rPr>
                <w:rFonts w:hint="eastAsia" w:hAnsi="宋体" w:cs="宋体"/>
                <w:color w:val="000000" w:themeColor="text1"/>
                <w:spacing w:val="-1"/>
                <w:szCs w:val="24"/>
                <w:highlight w:val="none"/>
                <w14:textFill>
                  <w14:solidFill>
                    <w14:schemeClr w14:val="tx1"/>
                  </w14:solidFill>
                </w14:textFill>
              </w:rPr>
              <w:t>■无</w:t>
            </w:r>
          </w:p>
          <w:p>
            <w:pPr>
              <w:pStyle w:val="15"/>
              <w:keepNext w:val="0"/>
              <w:keepLines w:val="0"/>
              <w:suppressLineNumbers w:val="0"/>
              <w:shd w:val="clear"/>
              <w:spacing w:before="0" w:beforeAutospacing="0" w:after="0" w:afterAutospacing="0" w:line="276" w:lineRule="auto"/>
              <w:ind w:left="0" w:right="0"/>
              <w:rPr>
                <w:rFonts w:hint="default" w:hAnsi="宋体" w:cs="宋体"/>
                <w:color w:val="000000" w:themeColor="text1"/>
                <w:spacing w:val="-1"/>
                <w:szCs w:val="24"/>
                <w:highlight w:val="none"/>
                <w14:textFill>
                  <w14:solidFill>
                    <w14:schemeClr w14:val="tx1"/>
                  </w14:solidFill>
                </w14:textFill>
              </w:rPr>
            </w:pPr>
            <w:r>
              <w:rPr>
                <w:rFonts w:hint="eastAsia" w:hAnsi="宋体" w:cs="宋体"/>
                <w:color w:val="000000" w:themeColor="text1"/>
                <w:spacing w:val="-1"/>
                <w:szCs w:val="24"/>
                <w:highlight w:val="none"/>
                <w14:textFill>
                  <w14:solidFill>
                    <w14:schemeClr w14:val="tx1"/>
                  </w14:solidFill>
                </w14:textFill>
              </w:rPr>
              <w:t>□有，具体要求：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3.6.1</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是否允许递交备选投标方案</w:t>
            </w:r>
          </w:p>
        </w:tc>
        <w:tc>
          <w:tcPr>
            <w:tcW w:w="5811" w:type="dxa"/>
            <w:vAlign w:val="center"/>
          </w:tcPr>
          <w:p>
            <w:pPr>
              <w:pStyle w:val="15"/>
              <w:keepNext w:val="0"/>
              <w:keepLines w:val="0"/>
              <w:suppressLineNumbers w:val="0"/>
              <w:shd w:val="clear"/>
              <w:topLinePunct/>
              <w:snapToGrid w:val="0"/>
              <w:spacing w:before="0" w:beforeAutospacing="0" w:after="0" w:afterAutospacing="0"/>
              <w:ind w:left="0" w:right="0"/>
              <w:rPr>
                <w:rFonts w:hint="default" w:hAnsi="宋体" w:cs="宋体"/>
                <w:color w:val="000000" w:themeColor="text1"/>
                <w:szCs w:val="24"/>
                <w:highlight w:val="none"/>
                <w14:textFill>
                  <w14:solidFill>
                    <w14:schemeClr w14:val="tx1"/>
                  </w14:solidFill>
                </w14:textFill>
              </w:rPr>
            </w:pPr>
            <w:r>
              <w:rPr>
                <w:rFonts w:hint="eastAsia" w:hAnsi="宋体" w:cs="宋体"/>
                <w:color w:val="000000" w:themeColor="text1"/>
                <w:spacing w:val="-1"/>
                <w:szCs w:val="24"/>
                <w:highlight w:val="none"/>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不允许</w:t>
            </w:r>
          </w:p>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5"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3.7.3</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投标文件所附证书证件要求</w:t>
            </w:r>
          </w:p>
        </w:tc>
        <w:tc>
          <w:tcPr>
            <w:tcW w:w="5811" w:type="dxa"/>
            <w:vAlign w:val="center"/>
          </w:tcPr>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投标文件所附证书证件需为原件清晰扫描件，并采用单位数字证书加盖投标单位电子印章。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3.7.3</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投标文件盖章或签字要求</w:t>
            </w:r>
          </w:p>
        </w:tc>
        <w:tc>
          <w:tcPr>
            <w:tcW w:w="5811" w:type="dxa"/>
            <w:vAlign w:val="center"/>
          </w:tcPr>
          <w:p>
            <w:pPr>
              <w:pStyle w:val="15"/>
              <w:keepNext w:val="0"/>
              <w:keepLines w:val="0"/>
              <w:suppressLineNumbers w:val="0"/>
              <w:shd w:val="clear"/>
              <w:topLinePunct/>
              <w:snapToGrid w:val="0"/>
              <w:spacing w:before="0" w:beforeAutospacing="0" w:after="0" w:afterAutospacing="0"/>
              <w:ind w:left="0" w:right="0"/>
              <w:rPr>
                <w:rFonts w:hint="default" w:hAnsi="宋体" w:cs="宋体"/>
                <w:color w:val="000000" w:themeColor="text1"/>
                <w:szCs w:val="24"/>
                <w:highlight w:val="none"/>
                <w:u w:val="single"/>
                <w14:textFill>
                  <w14:solidFill>
                    <w14:schemeClr w14:val="tx1"/>
                  </w14:solidFill>
                </w14:textFill>
              </w:rPr>
            </w:pPr>
            <w:r>
              <w:rPr>
                <w:rFonts w:hint="eastAsia" w:hAnsi="宋体" w:cs="宋体"/>
                <w:color w:val="000000" w:themeColor="text1"/>
                <w:highlight w:val="none"/>
                <w:u w:val="single"/>
                <w14:textFill>
                  <w14:solidFill>
                    <w14:schemeClr w14:val="tx1"/>
                  </w14:solidFill>
                </w14:textFill>
              </w:rPr>
              <w:t>取消在招标文件中采用个人数字证书和加盖个人电子印章要求，投标文件中需法定代表人、代理人签字或加盖电子印章的，</w:t>
            </w:r>
            <w:r>
              <w:rPr>
                <w:rFonts w:hint="eastAsia" w:hAnsi="宋体" w:cs="宋体"/>
                <w:color w:val="000000" w:themeColor="text1"/>
                <w:szCs w:val="21"/>
                <w:highlight w:val="none"/>
                <w:u w:val="single"/>
                <w14:textFill>
                  <w14:solidFill>
                    <w14:schemeClr w14:val="tx1"/>
                  </w14:solidFill>
                </w14:textFill>
              </w:rPr>
              <w:t>应加盖个人电子印章或在线下完成后扫描上传。投标文件按招标文件要求加盖</w:t>
            </w:r>
            <w:bookmarkStart w:id="21" w:name="_Hlk64988330"/>
            <w:r>
              <w:rPr>
                <w:rFonts w:hint="eastAsia" w:hAnsi="宋体" w:cs="宋体"/>
                <w:color w:val="000000" w:themeColor="text1"/>
                <w:szCs w:val="21"/>
                <w:highlight w:val="none"/>
                <w:u w:val="single"/>
                <w14:textFill>
                  <w14:solidFill>
                    <w14:schemeClr w14:val="tx1"/>
                  </w14:solidFill>
                </w14:textFill>
              </w:rPr>
              <w:t>单位电子印章</w:t>
            </w:r>
            <w:bookmarkEnd w:id="21"/>
            <w:r>
              <w:rPr>
                <w:rFonts w:hint="eastAsia" w:hAnsi="宋体" w:cs="宋体"/>
                <w:color w:val="000000" w:themeColor="text1"/>
                <w:szCs w:val="21"/>
                <w:highlight w:val="none"/>
                <w:u w:val="single"/>
                <w14:textFill>
                  <w14:solidFill>
                    <w14:schemeClr w14:val="tx1"/>
                  </w14:solidFill>
                </w14:textFill>
              </w:rPr>
              <w:t>。</w:t>
            </w:r>
            <w:r>
              <w:rPr>
                <w:rFonts w:hint="eastAsia" w:hAnsi="宋体" w:cs="宋体"/>
                <w:color w:val="000000" w:themeColor="text1"/>
                <w:highlight w:val="none"/>
                <w:u w:val="single"/>
                <w14:textFill>
                  <w14:solidFill>
                    <w14:schemeClr w14:val="tx1"/>
                  </w14:solidFill>
                </w14:textFill>
              </w:rPr>
              <w:t>相关操作详见广州公共资源交易中心网站最新发布的建设工程全流程电子化项目操作指南。</w:t>
            </w:r>
            <w:r>
              <w:rPr>
                <w:rFonts w:hint="eastAsia" w:hAnsi="宋体" w:cs="宋体"/>
                <w:b/>
                <w:color w:val="000000" w:themeColor="text1"/>
                <w:highlight w:val="none"/>
                <w:u w:val="single"/>
                <w14:textFill>
                  <w14:solidFill>
                    <w14:schemeClr w14:val="tx1"/>
                  </w14:solidFill>
                </w14:textFill>
              </w:rPr>
              <w:t>联合体投标时，除《联合体共同投标协议书》必须联合体各方分别按要求进行签字、盖章外，投标文件封面及其他内容落款中的“投标人”应填写联合体各方的单位全称【格式为：（主）XXXX公司（成）XXXX公司（成）……】，由联合体牵头方签字、盖章即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4.1.1</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投标文件加密要求</w:t>
            </w:r>
          </w:p>
        </w:tc>
        <w:tc>
          <w:tcPr>
            <w:tcW w:w="5811" w:type="dxa"/>
            <w:vAlign w:val="center"/>
          </w:tcPr>
          <w:p>
            <w:pPr>
              <w:pStyle w:val="15"/>
              <w:keepNext w:val="0"/>
              <w:keepLines w:val="0"/>
              <w:numPr>
                <w:ilvl w:val="0"/>
                <w:numId w:val="1"/>
              </w:numPr>
              <w:suppressLineNumbers w:val="0"/>
              <w:shd w:val="clear"/>
              <w:topLinePunct/>
              <w:snapToGrid w:val="0"/>
              <w:spacing w:before="0" w:beforeAutospacing="0" w:after="0" w:afterAutospacing="0"/>
              <w:ind w:right="0"/>
              <w:rPr>
                <w:rFonts w:hint="default"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网上递交的电子投标文件须进行加密。具体操作详见广州公共资源交易中心网站最新发布的建设工程全流程电子化项目操作指南。</w:t>
            </w:r>
          </w:p>
          <w:p>
            <w:pPr>
              <w:pStyle w:val="15"/>
              <w:keepNext w:val="0"/>
              <w:keepLines w:val="0"/>
              <w:numPr>
                <w:ilvl w:val="0"/>
                <w:numId w:val="1"/>
              </w:numPr>
              <w:suppressLineNumbers w:val="0"/>
              <w:shd w:val="clear"/>
              <w:topLinePunct/>
              <w:snapToGrid w:val="0"/>
              <w:spacing w:before="0" w:beforeAutospacing="0" w:after="0" w:afterAutospacing="0"/>
              <w:ind w:right="0"/>
              <w:rPr>
                <w:rFonts w:hint="default"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如有提交备用投标文件电子光盘或U盘，备用投标文件电子光盘或U盘应密封包装，并在封套的封口处加盖投标人单位公章。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4.1.2</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封套上应载明的信息</w:t>
            </w:r>
          </w:p>
        </w:tc>
        <w:tc>
          <w:tcPr>
            <w:tcW w:w="5811" w:type="dxa"/>
            <w:vAlign w:val="center"/>
          </w:tcPr>
          <w:p>
            <w:pPr>
              <w:pStyle w:val="15"/>
              <w:keepNext w:val="0"/>
              <w:keepLines w:val="0"/>
              <w:suppressLineNumbers w:val="0"/>
              <w:shd w:val="clear"/>
              <w:topLinePunct/>
              <w:snapToGrid w:val="0"/>
              <w:spacing w:before="0" w:beforeAutospacing="0" w:after="0" w:afterAutospacing="0" w:line="276" w:lineRule="auto"/>
              <w:ind w:left="0" w:right="0"/>
              <w:rPr>
                <w:rFonts w:hint="default"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如有提交投标文件光盘或U盘备用，封套上应注明如下信息：</w:t>
            </w:r>
          </w:p>
          <w:p>
            <w:pPr>
              <w:pStyle w:val="15"/>
              <w:keepNext w:val="0"/>
              <w:keepLines w:val="0"/>
              <w:suppressLineNumbers w:val="0"/>
              <w:shd w:val="clear"/>
              <w:topLinePunct/>
              <w:spacing w:before="0" w:beforeAutospacing="0" w:after="0" w:afterAutospacing="0" w:line="276" w:lineRule="auto"/>
              <w:ind w:left="0" w:right="0"/>
              <w:rPr>
                <w:rFonts w:hint="default" w:hAnsi="宋体" w:cs="宋体"/>
                <w:color w:val="000000" w:themeColor="text1"/>
                <w:szCs w:val="24"/>
                <w:highlight w:val="none"/>
                <w:u w:val="singl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招标人名称：</w:t>
            </w:r>
          </w:p>
          <w:p>
            <w:pPr>
              <w:pStyle w:val="15"/>
              <w:keepNext w:val="0"/>
              <w:keepLines w:val="0"/>
              <w:suppressLineNumbers w:val="0"/>
              <w:shd w:val="clear"/>
              <w:topLinePunct/>
              <w:spacing w:before="0" w:beforeAutospacing="0" w:after="0" w:afterAutospacing="0" w:line="276" w:lineRule="auto"/>
              <w:ind w:left="0" w:right="0"/>
              <w:rPr>
                <w:rFonts w:hint="default"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u w:val="singl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（项目名称）招标项目投标文件</w:t>
            </w:r>
          </w:p>
          <w:p>
            <w:pPr>
              <w:pStyle w:val="15"/>
              <w:keepNext w:val="0"/>
              <w:keepLines w:val="0"/>
              <w:suppressLineNumbers w:val="0"/>
              <w:shd w:val="clear"/>
              <w:topLinePunct/>
              <w:spacing w:before="0" w:beforeAutospacing="0" w:after="0" w:afterAutospacing="0" w:line="276" w:lineRule="auto"/>
              <w:ind w:left="0" w:right="0"/>
              <w:rPr>
                <w:rFonts w:hint="default"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招标人地址：</w:t>
            </w:r>
          </w:p>
          <w:p>
            <w:pPr>
              <w:pStyle w:val="15"/>
              <w:keepNext w:val="0"/>
              <w:keepLines w:val="0"/>
              <w:suppressLineNumbers w:val="0"/>
              <w:shd w:val="clear"/>
              <w:topLinePunct/>
              <w:spacing w:before="0" w:beforeAutospacing="0" w:after="0" w:afterAutospacing="0" w:line="276" w:lineRule="auto"/>
              <w:ind w:left="0" w:right="0"/>
              <w:rPr>
                <w:rFonts w:hint="default"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招标项目编号：</w:t>
            </w:r>
          </w:p>
          <w:p>
            <w:pPr>
              <w:pStyle w:val="15"/>
              <w:keepNext w:val="0"/>
              <w:keepLines w:val="0"/>
              <w:suppressLineNumbers w:val="0"/>
              <w:shd w:val="clear"/>
              <w:topLinePunct/>
              <w:spacing w:before="0" w:beforeAutospacing="0" w:after="0" w:afterAutospacing="0" w:line="276" w:lineRule="auto"/>
              <w:ind w:left="0" w:right="0"/>
              <w:rPr>
                <w:rFonts w:hint="default"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投标人名称：</w:t>
            </w:r>
          </w:p>
          <w:p>
            <w:pPr>
              <w:pStyle w:val="15"/>
              <w:keepNext w:val="0"/>
              <w:keepLines w:val="0"/>
              <w:suppressLineNumbers w:val="0"/>
              <w:shd w:val="clear"/>
              <w:topLinePunct/>
              <w:spacing w:before="0" w:beforeAutospacing="0" w:after="0" w:afterAutospacing="0" w:line="276" w:lineRule="auto"/>
              <w:ind w:left="0" w:right="0"/>
              <w:rPr>
                <w:rFonts w:hint="default"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投标人地址：</w:t>
            </w:r>
          </w:p>
          <w:p>
            <w:pPr>
              <w:pStyle w:val="15"/>
              <w:keepNext w:val="0"/>
              <w:keepLines w:val="0"/>
              <w:suppressLineNumbers w:val="0"/>
              <w:shd w:val="clear"/>
              <w:topLinePunct/>
              <w:snapToGrid w:val="0"/>
              <w:spacing w:before="0" w:beforeAutospacing="0" w:after="0" w:afterAutospacing="0" w:line="276" w:lineRule="auto"/>
              <w:ind w:left="0" w:right="0"/>
              <w:rPr>
                <w:rFonts w:hint="default"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在</w:t>
            </w:r>
            <w:r>
              <w:rPr>
                <w:rFonts w:hint="eastAsia" w:hAnsi="宋体" w:cs="宋体"/>
                <w:color w:val="000000" w:themeColor="text1"/>
                <w:szCs w:val="24"/>
                <w:highlight w:val="none"/>
                <w:u w:val="singl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年</w:t>
            </w:r>
            <w:r>
              <w:rPr>
                <w:rFonts w:hint="eastAsia" w:hAnsi="宋体" w:cs="宋体"/>
                <w:color w:val="000000" w:themeColor="text1"/>
                <w:szCs w:val="24"/>
                <w:highlight w:val="none"/>
                <w:u w:val="singl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月</w:t>
            </w:r>
            <w:r>
              <w:rPr>
                <w:rFonts w:hint="eastAsia" w:hAnsi="宋体" w:cs="宋体"/>
                <w:color w:val="000000" w:themeColor="text1"/>
                <w:szCs w:val="24"/>
                <w:highlight w:val="none"/>
                <w:u w:val="singl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日</w:t>
            </w:r>
            <w:r>
              <w:rPr>
                <w:rFonts w:hint="eastAsia" w:hAnsi="宋体" w:cs="宋体"/>
                <w:color w:val="000000" w:themeColor="text1"/>
                <w:szCs w:val="24"/>
                <w:highlight w:val="none"/>
                <w:u w:val="singl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时前不得开启</w:t>
            </w:r>
            <w:r>
              <w:rPr>
                <w:rFonts w:hint="eastAsia" w:hAnsi="宋体" w:cs="宋体"/>
                <w:color w:val="000000" w:themeColor="text1"/>
                <w:szCs w:val="21"/>
                <w:highlight w:val="none"/>
                <w14:textFill>
                  <w14:solidFill>
                    <w14:schemeClr w14:val="tx1"/>
                  </w14:solidFill>
                </w14:textFill>
              </w:rPr>
              <w:t>（填入开标时间）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4.2.1</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投标截止时间</w:t>
            </w:r>
          </w:p>
        </w:tc>
        <w:tc>
          <w:tcPr>
            <w:tcW w:w="5811" w:type="dxa"/>
            <w:vAlign w:val="center"/>
          </w:tcPr>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u w:val="single"/>
                <w14:textFill>
                  <w14:solidFill>
                    <w14:schemeClr w14:val="tx1"/>
                  </w14:solidFill>
                </w14:textFill>
              </w:rPr>
              <w:t xml:space="preserve">  时  分 （北京时间）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6"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4.2.2</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递交电子投标文件交易平台</w:t>
            </w:r>
          </w:p>
        </w:tc>
        <w:tc>
          <w:tcPr>
            <w:tcW w:w="5811" w:type="dxa"/>
            <w:vAlign w:val="center"/>
          </w:tcPr>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1.递交方式：网上递交投标文件 </w:t>
            </w:r>
          </w:p>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2.交易平台：广州公共资源交易中心网站。</w:t>
            </w:r>
          </w:p>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3.上述时间是否有改变，请密切留意招标答疑纪要的相关信息。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4.2.3</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投标文件是否退还</w:t>
            </w:r>
          </w:p>
        </w:tc>
        <w:tc>
          <w:tcPr>
            <w:tcW w:w="5811" w:type="dxa"/>
            <w:vAlign w:val="center"/>
          </w:tcPr>
          <w:p>
            <w:pPr>
              <w:pStyle w:val="15"/>
              <w:keepNext w:val="0"/>
              <w:keepLines w:val="0"/>
              <w:suppressLineNumbers w:val="0"/>
              <w:shd w:val="clear"/>
              <w:topLinePunct/>
              <w:snapToGrid w:val="0"/>
              <w:spacing w:before="0" w:beforeAutospacing="0" w:after="0" w:afterAutospacing="0"/>
              <w:ind w:left="0" w:right="0"/>
              <w:rPr>
                <w:rFonts w:hint="default" w:hAnsi="宋体" w:cs="宋体"/>
                <w:color w:val="000000" w:themeColor="text1"/>
                <w:szCs w:val="24"/>
                <w:highlight w:val="none"/>
                <w14:textFill>
                  <w14:solidFill>
                    <w14:schemeClr w14:val="tx1"/>
                  </w14:solidFill>
                </w14:textFill>
              </w:rPr>
            </w:pPr>
            <w:r>
              <w:rPr>
                <w:rFonts w:hint="eastAsia" w:hAnsi="宋体" w:cs="宋体"/>
                <w:color w:val="000000" w:themeColor="text1"/>
                <w:spacing w:val="-1"/>
                <w:szCs w:val="24"/>
                <w:highlight w:val="none"/>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否</w:t>
            </w:r>
          </w:p>
          <w:p>
            <w:pPr>
              <w:pStyle w:val="15"/>
              <w:keepNext w:val="0"/>
              <w:keepLines w:val="0"/>
              <w:suppressLineNumbers w:val="0"/>
              <w:shd w:val="clear"/>
              <w:topLinePunct/>
              <w:snapToGrid w:val="0"/>
              <w:spacing w:before="0" w:beforeAutospacing="0" w:after="0" w:afterAutospacing="0"/>
              <w:ind w:left="0" w:right="0"/>
              <w:rPr>
                <w:rFonts w:hint="default"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□是，退还时间：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3"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5.1</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开标时间和地点</w:t>
            </w:r>
          </w:p>
        </w:tc>
        <w:tc>
          <w:tcPr>
            <w:tcW w:w="5811" w:type="dxa"/>
            <w:vAlign w:val="center"/>
          </w:tcPr>
          <w:p>
            <w:pPr>
              <w:keepNext w:val="0"/>
              <w:keepLines w:val="0"/>
              <w:suppressLineNumbers w:val="0"/>
              <w:shd w:val="clear"/>
              <w:spacing w:before="0" w:beforeAutospacing="0" w:after="0" w:afterAutospacing="0" w:line="276" w:lineRule="auto"/>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开标时间：同投标截止时间</w:t>
            </w:r>
          </w:p>
          <w:p>
            <w:pPr>
              <w:keepNext w:val="0"/>
              <w:keepLines w:val="0"/>
              <w:suppressLineNumbers w:val="0"/>
              <w:shd w:val="clear"/>
              <w:spacing w:before="0" w:beforeAutospacing="0" w:after="0" w:afterAutospacing="0" w:line="276" w:lineRule="auto"/>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开标地点：广州公共资源交易中心</w:t>
            </w:r>
          </w:p>
          <w:p>
            <w:pPr>
              <w:keepNext w:val="0"/>
              <w:keepLines w:val="0"/>
              <w:suppressLineNumbers w:val="0"/>
              <w:shd w:val="clear"/>
              <w:snapToGrid w:val="0"/>
              <w:spacing w:before="0" w:beforeAutospacing="0" w:after="0" w:afterAutospacing="0" w:line="276" w:lineRule="auto"/>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本电子招投标项目在广州公共资源交易中心公开开标，并邀请所有投标人的法定代表人（单位负责人）或其委托代理人准时参加。开标时，投标人代表有权出席开标会，也可以自主决定不参加开标会，</w:t>
            </w:r>
            <w:bookmarkStart w:id="22" w:name="_Hlk117268545"/>
            <w:r>
              <w:rPr>
                <w:rFonts w:hint="eastAsia" w:ascii="宋体" w:hAnsi="宋体" w:cs="宋体"/>
                <w:color w:val="000000" w:themeColor="text1"/>
                <w:sz w:val="24"/>
                <w:szCs w:val="24"/>
                <w:highlight w:val="none"/>
                <w14:textFill>
                  <w14:solidFill>
                    <w14:schemeClr w14:val="tx1"/>
                  </w14:solidFill>
                </w14:textFill>
              </w:rPr>
              <w:t>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bookmarkEnd w:id="22"/>
            <w:r>
              <w:rPr>
                <w:rFonts w:hint="eastAsia" w:ascii="宋体" w:hAnsi="宋体" w:cs="宋体"/>
                <w:b/>
                <w:color w:val="000000" w:themeColor="text1"/>
                <w:sz w:val="24"/>
                <w:highlight w:val="none"/>
                <w:u w:val="single"/>
                <w14:textFill>
                  <w14:solidFill>
                    <w14:schemeClr w14:val="tx1"/>
                  </w14:solidFill>
                </w14:textFill>
              </w:rPr>
              <w:t>上述时间及地点是否有改变，请密切留意补充公告（如有）和招标答疑纪要（如有）的相关信息。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76"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5.2</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开标程序</w:t>
            </w:r>
          </w:p>
        </w:tc>
        <w:tc>
          <w:tcPr>
            <w:tcW w:w="5811" w:type="dxa"/>
            <w:vAlign w:val="center"/>
          </w:tcPr>
          <w:p>
            <w:pPr>
              <w:keepNext w:val="0"/>
              <w:keepLines w:val="0"/>
              <w:suppressLineNumbers w:val="0"/>
              <w:shd w:val="clear"/>
              <w:spacing w:before="0" w:beforeAutospacing="0" w:after="0" w:afterAutospacing="0"/>
              <w:ind w:left="0" w:right="0"/>
              <w:rPr>
                <w:rFonts w:hint="default"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电子招投标项目开标按下列程序进行：</w:t>
            </w:r>
          </w:p>
          <w:p>
            <w:pPr>
              <w:keepNext w:val="0"/>
              <w:keepLines w:val="0"/>
              <w:suppressLineNumbers w:val="0"/>
              <w:shd w:val="clear"/>
              <w:spacing w:before="0" w:beforeAutospacing="0" w:after="0" w:afterAutospacing="0"/>
              <w:ind w:left="0" w:right="0"/>
              <w:rPr>
                <w:rFonts w:hint="default"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5.2.1主持人按下列程序进行开标：</w:t>
            </w:r>
          </w:p>
          <w:p>
            <w:pPr>
              <w:keepNext w:val="0"/>
              <w:keepLines w:val="0"/>
              <w:suppressLineNumbers w:val="0"/>
              <w:shd w:val="clear"/>
              <w:spacing w:before="0" w:beforeAutospacing="0" w:after="0" w:afterAutospacing="0"/>
              <w:ind w:left="0" w:right="0"/>
              <w:rPr>
                <w:rFonts w:hint="default"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（1）宣布开标纪律；</w:t>
            </w:r>
          </w:p>
          <w:p>
            <w:pPr>
              <w:keepNext w:val="0"/>
              <w:keepLines w:val="0"/>
              <w:pageBreakBefore w:val="0"/>
              <w:suppressLineNumbers w:val="0"/>
              <w:shd w:val="clear"/>
              <w:kinsoku/>
              <w:wordWrap/>
              <w:overflowPunct/>
              <w:autoSpaceDE/>
              <w:autoSpaceDN/>
              <w:bidi w:val="0"/>
              <w:spacing w:before="0" w:beforeAutospacing="0" w:after="0" w:afterAutospacing="0" w:line="300" w:lineRule="auto"/>
              <w:ind w:left="0" w:right="0" w:firstLine="480" w:firstLineChars="200"/>
              <w:textAlignment w:val="auto"/>
              <w:rPr>
                <w:rFonts w:hint="eastAsia"/>
                <w:color w:val="000000" w:themeColor="text1"/>
                <w:sz w:val="24"/>
                <w:szCs w:val="24"/>
                <w:highlight w:val="none"/>
                <w:u w:val="single"/>
                <w:lang w:bidi="ar"/>
                <w14:textFill>
                  <w14:solidFill>
                    <w14:schemeClr w14:val="tx1"/>
                  </w14:solidFill>
                </w14:textFill>
              </w:rPr>
            </w:pPr>
            <w:r>
              <w:rPr>
                <w:rFonts w:hint="eastAsia"/>
                <w:color w:val="000000" w:themeColor="text1"/>
                <w:sz w:val="24"/>
                <w:szCs w:val="24"/>
                <w:highlight w:val="none"/>
                <w:u w:val="single"/>
                <w:lang w:bidi="ar"/>
                <w14:textFill>
                  <w14:solidFill>
                    <w14:schemeClr w14:val="tx1"/>
                  </w14:solidFill>
                </w14:textFill>
              </w:rPr>
              <w:t>（2）在投标截止时间后</w:t>
            </w:r>
            <w:r>
              <w:rPr>
                <w:rFonts w:hint="eastAsia"/>
                <w:color w:val="000000" w:themeColor="text1"/>
                <w:sz w:val="24"/>
                <w:szCs w:val="24"/>
                <w:highlight w:val="none"/>
                <w:u w:val="single"/>
                <w:lang w:val="en-US" w:eastAsia="zh-CN" w:bidi="ar"/>
                <w14:textFill>
                  <w14:solidFill>
                    <w14:schemeClr w14:val="tx1"/>
                  </w14:solidFill>
                </w14:textFill>
              </w:rPr>
              <w:t>一个小时</w:t>
            </w:r>
            <w:r>
              <w:rPr>
                <w:rFonts w:hint="eastAsia"/>
                <w:color w:val="000000" w:themeColor="text1"/>
                <w:sz w:val="24"/>
                <w:szCs w:val="24"/>
                <w:highlight w:val="none"/>
                <w:u w:val="single"/>
                <w:lang w:bidi="ar"/>
                <w14:textFill>
                  <w14:solidFill>
                    <w14:schemeClr w14:val="tx1"/>
                  </w14:solidFill>
                </w14:textFill>
              </w:rPr>
              <w:t>内，投标人通过递交投标文件的广州公共资源交易中心交易平台对已递交的电子投标文件进行解密。投标人完成解密后，再由招标人进行解密（投标人只用执行一次解密，招标人执行解密次数根据招标文件开标次数确定）。</w:t>
            </w:r>
          </w:p>
          <w:p>
            <w:pPr>
              <w:keepNext w:val="0"/>
              <w:keepLines w:val="0"/>
              <w:pageBreakBefore w:val="0"/>
              <w:suppressLineNumbers w:val="0"/>
              <w:shd w:val="clear"/>
              <w:kinsoku/>
              <w:wordWrap/>
              <w:overflowPunct/>
              <w:autoSpaceDE/>
              <w:autoSpaceDN/>
              <w:bidi w:val="0"/>
              <w:spacing w:before="0" w:beforeAutospacing="0" w:after="0" w:afterAutospacing="0" w:line="300" w:lineRule="auto"/>
              <w:ind w:left="0" w:right="0" w:firstLine="480" w:firstLineChars="200"/>
              <w:textAlignment w:val="auto"/>
              <w:rPr>
                <w:rFonts w:hint="eastAsia"/>
                <w:color w:val="000000" w:themeColor="text1"/>
                <w:sz w:val="24"/>
                <w:szCs w:val="24"/>
                <w:highlight w:val="none"/>
                <w:u w:val="single"/>
                <w:lang w:bidi="ar"/>
                <w14:textFill>
                  <w14:solidFill>
                    <w14:schemeClr w14:val="tx1"/>
                  </w14:solidFill>
                </w14:textFill>
              </w:rPr>
            </w:pPr>
            <w:r>
              <w:rPr>
                <w:rFonts w:hint="eastAsia"/>
                <w:color w:val="000000" w:themeColor="text1"/>
                <w:sz w:val="24"/>
                <w:szCs w:val="24"/>
                <w:highlight w:val="none"/>
                <w:u w:val="single"/>
                <w:lang w:bidi="ar"/>
                <w14:textFill>
                  <w14:solidFill>
                    <w14:schemeClr w14:val="tx1"/>
                  </w14:solidFill>
                </w14:textFill>
              </w:rPr>
              <w:t>（3）公布在投标截止时间前递交投标文件的投标人名称；</w:t>
            </w:r>
          </w:p>
          <w:p>
            <w:pPr>
              <w:keepNext w:val="0"/>
              <w:keepLines w:val="0"/>
              <w:pageBreakBefore w:val="0"/>
              <w:suppressLineNumbers w:val="0"/>
              <w:shd w:val="clear"/>
              <w:kinsoku/>
              <w:wordWrap/>
              <w:overflowPunct/>
              <w:autoSpaceDE/>
              <w:autoSpaceDN/>
              <w:bidi w:val="0"/>
              <w:spacing w:before="0" w:beforeAutospacing="0" w:after="0" w:afterAutospacing="0" w:line="300" w:lineRule="auto"/>
              <w:ind w:left="0" w:right="0" w:firstLine="480" w:firstLineChars="200"/>
              <w:textAlignment w:val="auto"/>
              <w:rPr>
                <w:rFonts w:hint="eastAsia"/>
                <w:color w:val="000000" w:themeColor="text1"/>
                <w:sz w:val="24"/>
                <w:szCs w:val="24"/>
                <w:highlight w:val="none"/>
                <w:u w:val="single"/>
                <w:lang w:bidi="ar"/>
                <w14:textFill>
                  <w14:solidFill>
                    <w14:schemeClr w14:val="tx1"/>
                  </w14:solidFill>
                </w14:textFill>
              </w:rPr>
            </w:pPr>
            <w:r>
              <w:rPr>
                <w:rFonts w:hint="eastAsia"/>
                <w:color w:val="000000" w:themeColor="text1"/>
                <w:sz w:val="24"/>
                <w:szCs w:val="24"/>
                <w:highlight w:val="none"/>
                <w:u w:val="single"/>
                <w:lang w:bidi="ar"/>
                <w14:textFill>
                  <w14:solidFill>
                    <w14:schemeClr w14:val="tx1"/>
                  </w14:solidFill>
                </w14:textFill>
              </w:rPr>
              <w:t>（4）解密完成后，公布：a投标人名称；b投标报价总价；c含税综合包干单价投标报价；d服务期及其他内容，并记录在案。未在规定时间内解密的投标文件不参与开标、评标。</w:t>
            </w:r>
          </w:p>
          <w:p>
            <w:pPr>
              <w:keepNext w:val="0"/>
              <w:keepLines w:val="0"/>
              <w:pageBreakBefore w:val="0"/>
              <w:suppressLineNumbers w:val="0"/>
              <w:shd w:val="clear"/>
              <w:kinsoku/>
              <w:wordWrap/>
              <w:overflowPunct/>
              <w:autoSpaceDE/>
              <w:autoSpaceDN/>
              <w:bidi w:val="0"/>
              <w:spacing w:before="0" w:beforeAutospacing="0" w:after="0" w:afterAutospacing="0" w:line="300" w:lineRule="auto"/>
              <w:ind w:left="0" w:right="0" w:firstLine="480" w:firstLineChars="200"/>
              <w:textAlignment w:val="auto"/>
              <w:rPr>
                <w:rFonts w:hint="eastAsia"/>
                <w:color w:val="000000" w:themeColor="text1"/>
                <w:sz w:val="24"/>
                <w:szCs w:val="24"/>
                <w:highlight w:val="none"/>
                <w:u w:val="single"/>
                <w:lang w:bidi="ar"/>
                <w14:textFill>
                  <w14:solidFill>
                    <w14:schemeClr w14:val="tx1"/>
                  </w14:solidFill>
                </w14:textFill>
              </w:rPr>
            </w:pPr>
            <w:r>
              <w:rPr>
                <w:rFonts w:hint="eastAsia"/>
                <w:color w:val="000000" w:themeColor="text1"/>
                <w:sz w:val="24"/>
                <w:szCs w:val="24"/>
                <w:highlight w:val="none"/>
                <w:u w:val="single"/>
                <w:lang w:bidi="ar"/>
                <w14:textFill>
                  <w14:solidFill>
                    <w14:schemeClr w14:val="tx1"/>
                  </w14:solidFill>
                </w14:textFill>
              </w:rPr>
              <w:t>（5）截标后，开标开始时间因故推迟的，相关评标信息仍以原定的开标开始时间的信息为准。</w:t>
            </w:r>
          </w:p>
          <w:p>
            <w:pPr>
              <w:keepNext w:val="0"/>
              <w:keepLines w:val="0"/>
              <w:pageBreakBefore w:val="0"/>
              <w:suppressLineNumbers w:val="0"/>
              <w:shd w:val="clear"/>
              <w:kinsoku/>
              <w:wordWrap/>
              <w:overflowPunct/>
              <w:autoSpaceDE/>
              <w:autoSpaceDN/>
              <w:bidi w:val="0"/>
              <w:spacing w:before="0" w:beforeAutospacing="0" w:after="0" w:afterAutospacing="0" w:line="300" w:lineRule="auto"/>
              <w:ind w:left="0" w:right="0" w:firstLine="480" w:firstLineChars="200"/>
              <w:textAlignment w:val="auto"/>
              <w:rPr>
                <w:rFonts w:hint="eastAsia"/>
                <w:color w:val="000000" w:themeColor="text1"/>
                <w:sz w:val="24"/>
                <w:szCs w:val="24"/>
                <w:highlight w:val="none"/>
                <w:u w:val="single"/>
                <w:lang w:bidi="ar"/>
                <w14:textFill>
                  <w14:solidFill>
                    <w14:schemeClr w14:val="tx1"/>
                  </w14:solidFill>
                </w14:textFill>
              </w:rPr>
            </w:pPr>
            <w:r>
              <w:rPr>
                <w:rFonts w:hint="eastAsia"/>
                <w:color w:val="000000" w:themeColor="text1"/>
                <w:sz w:val="24"/>
                <w:szCs w:val="24"/>
                <w:highlight w:val="none"/>
                <w:u w:val="single"/>
                <w:lang w:bidi="ar"/>
                <w14:textFill>
                  <w14:solidFill>
                    <w14:schemeClr w14:val="tx1"/>
                  </w14:solidFill>
                </w14:textFill>
              </w:rPr>
              <w:t>（6）备用光盘或U盘的读取按投标人须知前附表“</w:t>
            </w:r>
            <w:r>
              <w:rPr>
                <w:rFonts w:hint="eastAsia"/>
                <w:color w:val="000000" w:themeColor="text1"/>
                <w:sz w:val="24"/>
                <w:szCs w:val="24"/>
                <w:highlight w:val="none"/>
                <w:u w:val="single"/>
                <w:lang w:val="en-US" w:eastAsia="zh-CN" w:bidi="ar"/>
                <w14:textFill>
                  <w14:solidFill>
                    <w14:schemeClr w14:val="tx1"/>
                  </w14:solidFill>
                </w14:textFill>
              </w:rPr>
              <w:t xml:space="preserve">9 </w:t>
            </w:r>
            <w:r>
              <w:rPr>
                <w:rFonts w:hint="eastAsia" w:ascii="宋体" w:hAnsi="宋体" w:cs="宋体"/>
                <w:color w:val="000000" w:themeColor="text1"/>
                <w:sz w:val="24"/>
                <w:szCs w:val="24"/>
                <w:highlight w:val="none"/>
                <w:u w:val="single"/>
                <w14:textFill>
                  <w14:solidFill>
                    <w14:schemeClr w14:val="tx1"/>
                  </w14:solidFill>
                </w14:textFill>
              </w:rPr>
              <w:t>是否采用电子招标投标</w:t>
            </w:r>
            <w:r>
              <w:rPr>
                <w:rFonts w:hint="eastAsia"/>
                <w:color w:val="000000" w:themeColor="text1"/>
                <w:sz w:val="24"/>
                <w:szCs w:val="24"/>
                <w:highlight w:val="none"/>
                <w:u w:val="single"/>
                <w:lang w:bidi="ar"/>
                <w14:textFill>
                  <w14:solidFill>
                    <w14:schemeClr w14:val="tx1"/>
                  </w14:solidFill>
                </w14:textFill>
              </w:rPr>
              <w:t>”的规定执行。</w:t>
            </w:r>
          </w:p>
          <w:p>
            <w:pPr>
              <w:keepNext w:val="0"/>
              <w:keepLines w:val="0"/>
              <w:pageBreakBefore w:val="0"/>
              <w:suppressLineNumbers w:val="0"/>
              <w:shd w:val="clear"/>
              <w:kinsoku/>
              <w:wordWrap/>
              <w:overflowPunct/>
              <w:autoSpaceDE/>
              <w:autoSpaceDN/>
              <w:bidi w:val="0"/>
              <w:spacing w:before="0" w:beforeAutospacing="0" w:after="0" w:afterAutospacing="0" w:line="300" w:lineRule="auto"/>
              <w:ind w:left="0" w:right="0" w:firstLine="480" w:firstLineChars="200"/>
              <w:textAlignment w:val="auto"/>
              <w:rPr>
                <w:rFonts w:hint="eastAsia"/>
                <w:color w:val="000000" w:themeColor="text1"/>
                <w:sz w:val="24"/>
                <w:szCs w:val="24"/>
                <w:highlight w:val="none"/>
                <w:u w:val="single"/>
                <w:lang w:bidi="ar"/>
                <w14:textFill>
                  <w14:solidFill>
                    <w14:schemeClr w14:val="tx1"/>
                  </w14:solidFill>
                </w14:textFill>
              </w:rPr>
            </w:pPr>
            <w:r>
              <w:rPr>
                <w:rFonts w:hint="eastAsia"/>
                <w:color w:val="000000" w:themeColor="text1"/>
                <w:sz w:val="24"/>
                <w:szCs w:val="24"/>
                <w:highlight w:val="none"/>
                <w:u w:val="single"/>
                <w:lang w:bidi="ar"/>
                <w14:textFill>
                  <w14:solidFill>
                    <w14:schemeClr w14:val="tx1"/>
                  </w14:solidFill>
                </w14:textFill>
              </w:rPr>
              <w:t>（7）开标方式采用电子开标和现场开标两种模式，投标人可选择在开标室参与开标或准时在线参加电子开标，也可不参加开标。参加电子开标的投标人登录广州公共资源交易中心交易平台实时查看开标、唱标情况。广州公共资源交易中心交易平台生成开标记录并向社会公众公布。</w:t>
            </w:r>
          </w:p>
          <w:p>
            <w:pPr>
              <w:keepNext w:val="0"/>
              <w:keepLines w:val="0"/>
              <w:pageBreakBefore w:val="0"/>
              <w:suppressLineNumbers w:val="0"/>
              <w:shd w:val="clear"/>
              <w:kinsoku/>
              <w:wordWrap/>
              <w:overflowPunct/>
              <w:autoSpaceDE/>
              <w:autoSpaceDN/>
              <w:bidi w:val="0"/>
              <w:spacing w:before="0" w:beforeAutospacing="0" w:after="0" w:afterAutospacing="0" w:line="300" w:lineRule="auto"/>
              <w:ind w:left="0" w:right="0" w:firstLine="480" w:firstLineChars="200"/>
              <w:textAlignment w:val="auto"/>
              <w:rPr>
                <w:rFonts w:hint="eastAsia"/>
                <w:color w:val="000000" w:themeColor="text1"/>
                <w:sz w:val="24"/>
                <w:szCs w:val="24"/>
                <w:highlight w:val="none"/>
                <w:u w:val="single"/>
                <w:lang w:bidi="ar"/>
                <w14:textFill>
                  <w14:solidFill>
                    <w14:schemeClr w14:val="tx1"/>
                  </w14:solidFill>
                </w14:textFill>
              </w:rPr>
            </w:pPr>
            <w:r>
              <w:rPr>
                <w:rFonts w:hint="eastAsia"/>
                <w:color w:val="000000" w:themeColor="text1"/>
                <w:sz w:val="24"/>
                <w:szCs w:val="24"/>
                <w:highlight w:val="none"/>
                <w:u w:val="single"/>
                <w:lang w:bidi="ar"/>
                <w14:textFill>
                  <w14:solidFill>
                    <w14:schemeClr w14:val="tx1"/>
                  </w14:solidFill>
                </w14:textFill>
              </w:rPr>
              <w:t>（8）参加现场开标的投标人对开标结果有异议的，应当在开标现场提出，招标人应当当场作出答复，并制作记录。参加电子开标的投标人对开标结果有异议的，应当在唱标结束后的规定时间内、使用单位数字证书登录广州公共资源交易中心交易平台后通过广州公共资源交易中心交易平台提出。招标人授权招标代理机构工作人员使用招标代理机构数字证书登录广州公共资源交易中心交易平台答复异议，异议答复是招标人真实意思表示。未答复的，开标程序不得结束。</w:t>
            </w:r>
          </w:p>
          <w:p>
            <w:pPr>
              <w:keepNext w:val="0"/>
              <w:keepLines w:val="0"/>
              <w:pageBreakBefore w:val="0"/>
              <w:suppressLineNumbers w:val="0"/>
              <w:shd w:val="clear"/>
              <w:kinsoku/>
              <w:wordWrap/>
              <w:overflowPunct/>
              <w:autoSpaceDE/>
              <w:autoSpaceDN/>
              <w:bidi w:val="0"/>
              <w:spacing w:before="0" w:beforeAutospacing="0" w:after="0" w:afterAutospacing="0" w:line="300" w:lineRule="auto"/>
              <w:ind w:left="0" w:right="0" w:firstLine="480" w:firstLineChars="200"/>
              <w:textAlignment w:val="auto"/>
              <w:rPr>
                <w:rFonts w:hint="eastAsia"/>
                <w:color w:val="000000" w:themeColor="text1"/>
                <w:sz w:val="24"/>
                <w:szCs w:val="24"/>
                <w:highlight w:val="none"/>
                <w:u w:val="single"/>
                <w:lang w:bidi="ar"/>
                <w14:textFill>
                  <w14:solidFill>
                    <w14:schemeClr w14:val="tx1"/>
                  </w14:solidFill>
                </w14:textFill>
              </w:rPr>
            </w:pPr>
            <w:r>
              <w:rPr>
                <w:rFonts w:hint="eastAsia"/>
                <w:color w:val="000000" w:themeColor="text1"/>
                <w:sz w:val="24"/>
                <w:szCs w:val="24"/>
                <w:highlight w:val="none"/>
                <w:u w:val="single"/>
                <w:lang w:bidi="ar"/>
                <w14:textFill>
                  <w14:solidFill>
                    <w14:schemeClr w14:val="tx1"/>
                  </w14:solidFill>
                </w14:textFill>
              </w:rPr>
              <w:t>（9）投标人未参加开标或在规定的时间内未提出异议的，视为对开标无异议。</w:t>
            </w:r>
          </w:p>
          <w:p>
            <w:pPr>
              <w:keepNext w:val="0"/>
              <w:keepLines w:val="0"/>
              <w:pageBreakBefore w:val="0"/>
              <w:suppressLineNumbers w:val="0"/>
              <w:shd w:val="clear"/>
              <w:kinsoku/>
              <w:wordWrap/>
              <w:overflowPunct/>
              <w:autoSpaceDE/>
              <w:autoSpaceDN/>
              <w:bidi w:val="0"/>
              <w:spacing w:before="0" w:beforeAutospacing="0" w:after="0" w:afterAutospacing="0" w:line="300" w:lineRule="auto"/>
              <w:ind w:left="0" w:right="0" w:firstLine="480" w:firstLineChars="200"/>
              <w:textAlignment w:val="auto"/>
              <w:rPr>
                <w:rFonts w:hint="eastAsia"/>
                <w:color w:val="000000" w:themeColor="text1"/>
                <w:sz w:val="24"/>
                <w:szCs w:val="24"/>
                <w:highlight w:val="none"/>
                <w:u w:val="single"/>
                <w:lang w:bidi="ar"/>
                <w14:textFill>
                  <w14:solidFill>
                    <w14:schemeClr w14:val="tx1"/>
                  </w14:solidFill>
                </w14:textFill>
              </w:rPr>
            </w:pPr>
            <w:r>
              <w:rPr>
                <w:rFonts w:hint="eastAsia"/>
                <w:color w:val="000000" w:themeColor="text1"/>
                <w:sz w:val="24"/>
                <w:szCs w:val="24"/>
                <w:highlight w:val="none"/>
                <w:u w:val="single"/>
                <w:lang w:bidi="ar"/>
                <w14:textFill>
                  <w14:solidFill>
                    <w14:schemeClr w14:val="tx1"/>
                  </w14:solidFill>
                </w14:textFill>
              </w:rPr>
              <w:t>（10）开标时，两个（含两个）以上的投标人加密打包投标文件电脑机器特征码一致的，不参与下一程序，并由评标委员会否决其投标。</w:t>
            </w:r>
          </w:p>
          <w:p>
            <w:pPr>
              <w:keepNext w:val="0"/>
              <w:keepLines w:val="0"/>
              <w:pageBreakBefore w:val="0"/>
              <w:suppressLineNumbers w:val="0"/>
              <w:shd w:val="clear"/>
              <w:kinsoku/>
              <w:wordWrap/>
              <w:overflowPunct/>
              <w:autoSpaceDE/>
              <w:autoSpaceDN/>
              <w:bidi w:val="0"/>
              <w:spacing w:before="0" w:beforeAutospacing="0" w:after="0" w:afterAutospacing="0" w:line="300" w:lineRule="auto"/>
              <w:ind w:left="0" w:right="0" w:firstLine="480" w:firstLineChars="200"/>
              <w:textAlignment w:val="auto"/>
              <w:rPr>
                <w:rFonts w:hint="eastAsia"/>
                <w:color w:val="000000" w:themeColor="text1"/>
                <w:sz w:val="24"/>
                <w:szCs w:val="24"/>
                <w:highlight w:val="none"/>
                <w:u w:val="single"/>
                <w:lang w:bidi="ar"/>
                <w14:textFill>
                  <w14:solidFill>
                    <w14:schemeClr w14:val="tx1"/>
                  </w14:solidFill>
                </w14:textFill>
              </w:rPr>
            </w:pPr>
            <w:r>
              <w:rPr>
                <w:rFonts w:hint="eastAsia"/>
                <w:color w:val="000000" w:themeColor="text1"/>
                <w:sz w:val="24"/>
                <w:szCs w:val="24"/>
                <w:highlight w:val="none"/>
                <w:u w:val="single"/>
                <w:lang w:bidi="ar"/>
                <w14:textFill>
                  <w14:solidFill>
                    <w14:schemeClr w14:val="tx1"/>
                  </w14:solidFill>
                </w14:textFill>
              </w:rPr>
              <w:t>（11）投标人代表、招标人代表、监标人、记录人等有关人员在开标记录上签字确认；若有关人员不签字的，不影响开标程序；</w:t>
            </w:r>
          </w:p>
          <w:p>
            <w:pPr>
              <w:keepNext w:val="0"/>
              <w:keepLines w:val="0"/>
              <w:suppressLineNumbers w:val="0"/>
              <w:shd w:val="clear"/>
              <w:spacing w:before="0" w:beforeAutospacing="0" w:after="0" w:afterAutospacing="0" w:line="300" w:lineRule="auto"/>
              <w:ind w:left="0" w:right="0" w:firstLine="480" w:firstLineChars="200"/>
              <w:rPr>
                <w:rFonts w:hint="default" w:ascii="宋体" w:hAnsi="宋体" w:cs="宋体"/>
                <w:color w:val="000000" w:themeColor="text1"/>
                <w:kern w:val="0"/>
                <w:sz w:val="24"/>
                <w:highlight w:val="none"/>
                <w14:textFill>
                  <w14:solidFill>
                    <w14:schemeClr w14:val="tx1"/>
                  </w14:solidFill>
                </w14:textFill>
              </w:rPr>
            </w:pPr>
            <w:r>
              <w:rPr>
                <w:rFonts w:hint="eastAsia"/>
                <w:color w:val="000000" w:themeColor="text1"/>
                <w:sz w:val="24"/>
                <w:szCs w:val="24"/>
                <w:highlight w:val="none"/>
                <w:u w:val="single"/>
                <w:lang w:bidi="ar"/>
                <w14:textFill>
                  <w14:solidFill>
                    <w14:schemeClr w14:val="tx1"/>
                  </w14:solidFill>
                </w14:textFill>
              </w:rPr>
              <w:t>（12）开标结束</w:t>
            </w:r>
            <w:r>
              <w:rPr>
                <w:rFonts w:hint="eastAsia" w:ascii="宋体" w:hAnsi="宋体" w:cs="宋体"/>
                <w:color w:val="000000" w:themeColor="text1"/>
                <w:kern w:val="0"/>
                <w:sz w:val="24"/>
                <w:highlight w:val="none"/>
                <w14:textFill>
                  <w14:solidFill>
                    <w14:schemeClr w14:val="tx1"/>
                  </w14:solidFill>
                </w14:textFill>
              </w:rPr>
              <w:t>。</w:t>
            </w:r>
          </w:p>
          <w:p>
            <w:pPr>
              <w:keepNext w:val="0"/>
              <w:keepLines w:val="0"/>
              <w:suppressLineNumbers w:val="0"/>
              <w:shd w:val="clear"/>
              <w:spacing w:before="0" w:beforeAutospacing="0" w:after="0" w:afterAutospacing="0"/>
              <w:ind w:left="0" w:right="0"/>
              <w:rPr>
                <w:rFonts w:hint="default" w:ascii="宋体" w:hAnsi="宋体" w:cs="宋体"/>
                <w:color w:val="000000" w:themeColor="text1"/>
                <w:kern w:val="0"/>
                <w:sz w:val="24"/>
                <w:highlight w:val="none"/>
                <w14:textFill>
                  <w14:solidFill>
                    <w14:schemeClr w14:val="tx1"/>
                  </w14:solidFill>
                </w14:textFill>
              </w:rPr>
            </w:pPr>
            <w:bookmarkStart w:id="23" w:name="_Hlk66785081"/>
            <w:r>
              <w:rPr>
                <w:rFonts w:hint="eastAsia" w:ascii="宋体" w:hAnsi="宋体" w:cs="宋体"/>
                <w:color w:val="000000" w:themeColor="text1"/>
                <w:kern w:val="0"/>
                <w:sz w:val="24"/>
                <w:highlight w:val="none"/>
                <w14:textFill>
                  <w14:solidFill>
                    <w14:schemeClr w14:val="tx1"/>
                  </w14:solidFill>
                </w14:textFill>
              </w:rPr>
              <w:t>5.2.2投标截止时间前未完成投标文件传输的或因投标人之外的原因造成投标文件未解密且未递交备用投标文件备用电子光盘或U盘的，视为投标人撤回其投标文件。因投标人原因造成投标文件未解密的，或未在投标截止时间后一个小时内解密的，视为撤销其投标文件。</w:t>
            </w:r>
            <w:bookmarkEnd w:id="23"/>
          </w:p>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5.2.3开标时，两个（含两个）以上的投标人加密打包投标文件的电脑机器特征码一致的，不参与下一程序，并由评标委员会否决其投标。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41"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5.3</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开标异议</w:t>
            </w:r>
          </w:p>
        </w:tc>
        <w:tc>
          <w:tcPr>
            <w:tcW w:w="5811" w:type="dxa"/>
            <w:vAlign w:val="center"/>
          </w:tcPr>
          <w:p>
            <w:pPr>
              <w:keepNext w:val="0"/>
              <w:keepLines w:val="0"/>
              <w:suppressLineNumbers w:val="0"/>
              <w:shd w:val="clear"/>
              <w:spacing w:before="0" w:beforeAutospacing="0" w:after="0" w:afterAutospacing="0"/>
              <w:ind w:left="0" w:right="0"/>
              <w:rPr>
                <w:rFonts w:hint="default"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标时，投标人代表有权出席开标会，也可以自主决定不参加开标会，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6.1.1</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评标委员会的组建</w:t>
            </w:r>
          </w:p>
        </w:tc>
        <w:tc>
          <w:tcPr>
            <w:tcW w:w="5811" w:type="dxa"/>
            <w:vAlign w:val="center"/>
          </w:tcPr>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评标由招标人在开标前依法组建的评标委员会负责。</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6.3.2</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评标委员会推荐中标候选人的人数</w:t>
            </w:r>
          </w:p>
        </w:tc>
        <w:tc>
          <w:tcPr>
            <w:tcW w:w="5811" w:type="dxa"/>
            <w:vAlign w:val="center"/>
          </w:tcPr>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推荐中标候选人</w:t>
            </w:r>
            <w:r>
              <w:rPr>
                <w:rFonts w:hint="eastAsia" w:ascii="宋体" w:hAnsi="宋体" w:cs="宋体"/>
                <w:color w:val="000000" w:themeColor="text1"/>
                <w:sz w:val="24"/>
                <w:szCs w:val="24"/>
                <w:highlight w:val="none"/>
                <w:u w:val="single"/>
                <w14:textFill>
                  <w14:solidFill>
                    <w14:schemeClr w14:val="tx1"/>
                  </w14:solidFill>
                </w14:textFill>
              </w:rPr>
              <w:t>3人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59"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7.1</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中标候选人公示媒介及期限</w:t>
            </w:r>
          </w:p>
        </w:tc>
        <w:tc>
          <w:tcPr>
            <w:tcW w:w="5811" w:type="dxa"/>
            <w:vAlign w:val="center"/>
          </w:tcPr>
          <w:p>
            <w:pPr>
              <w:keepNext w:val="0"/>
              <w:keepLines w:val="0"/>
              <w:suppressLineNumbers w:val="0"/>
              <w:shd w:val="clear"/>
              <w:spacing w:before="0" w:beforeAutospacing="0" w:after="0" w:afterAutospacing="0" w:line="276" w:lineRule="auto"/>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公示媒介：</w:t>
            </w:r>
            <w:r>
              <w:rPr>
                <w:rFonts w:hint="eastAsia" w:ascii="宋体" w:hAnsi="宋体" w:cs="宋体"/>
                <w:color w:val="000000" w:themeColor="text1"/>
                <w:sz w:val="24"/>
                <w:szCs w:val="24"/>
                <w:highlight w:val="none"/>
                <w:u w:val="single"/>
                <w14:textFill>
                  <w14:solidFill>
                    <w14:schemeClr w14:val="tx1"/>
                  </w14:solidFill>
                </w14:textFill>
              </w:rPr>
              <w:t>广州公共资源交易网、中国招标投标公共服务平台、广东省招标投标监管网</w:t>
            </w:r>
          </w:p>
          <w:p>
            <w:pPr>
              <w:keepNext w:val="0"/>
              <w:keepLines w:val="0"/>
              <w:suppressLineNumbers w:val="0"/>
              <w:shd w:val="clear"/>
              <w:snapToGrid w:val="0"/>
              <w:spacing w:before="0" w:beforeAutospacing="0" w:after="0" w:afterAutospacing="0" w:line="276" w:lineRule="auto"/>
              <w:ind w:left="0" w:right="106"/>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公示期限：</w:t>
            </w:r>
            <w:r>
              <w:rPr>
                <w:rFonts w:hint="eastAsia" w:ascii="宋体" w:hAnsi="宋体" w:cs="宋体"/>
                <w:color w:val="000000" w:themeColor="text1"/>
                <w:sz w:val="24"/>
                <w:szCs w:val="24"/>
                <w:highlight w:val="none"/>
                <w:u w:val="single"/>
                <w14:textFill>
                  <w14:solidFill>
                    <w14:schemeClr w14:val="tx1"/>
                  </w14:solidFill>
                </w14:textFill>
              </w:rPr>
              <w:t xml:space="preserve"> 3 </w:t>
            </w:r>
            <w:r>
              <w:rPr>
                <w:rFonts w:hint="eastAsia" w:ascii="宋体" w:hAnsi="宋体" w:cs="宋体"/>
                <w:color w:val="000000" w:themeColor="text1"/>
                <w:sz w:val="24"/>
                <w:szCs w:val="24"/>
                <w:highlight w:val="none"/>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7.4</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是否授权评标委员会确定中标人</w:t>
            </w:r>
          </w:p>
        </w:tc>
        <w:tc>
          <w:tcPr>
            <w:tcW w:w="5811" w:type="dxa"/>
            <w:vAlign w:val="center"/>
          </w:tcPr>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□是</w:t>
            </w:r>
          </w:p>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76"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7.6.1</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履约保证金</w:t>
            </w:r>
          </w:p>
        </w:tc>
        <w:tc>
          <w:tcPr>
            <w:tcW w:w="5811" w:type="dxa"/>
            <w:vAlign w:val="center"/>
          </w:tcPr>
          <w:p>
            <w:pPr>
              <w:pStyle w:val="33"/>
              <w:keepNext w:val="0"/>
              <w:keepLines w:val="0"/>
              <w:widowControl w:val="0"/>
              <w:suppressLineNumbers w:val="0"/>
              <w:shd w:val="clear"/>
              <w:topLinePunct/>
              <w:spacing w:before="0" w:beforeAutospacing="0" w:after="0" w:afterAutospacing="0"/>
              <w:ind w:left="0" w:right="0"/>
              <w:jc w:val="both"/>
              <w:rPr>
                <w:rFonts w:hint="default"/>
                <w:color w:val="000000" w:themeColor="text1"/>
                <w:szCs w:val="24"/>
                <w:highlight w:val="none"/>
                <w14:textFill>
                  <w14:solidFill>
                    <w14:schemeClr w14:val="tx1"/>
                  </w14:solidFill>
                </w14:textFill>
              </w:rPr>
            </w:pPr>
            <w:r>
              <w:rPr>
                <w:rFonts w:hint="eastAsia"/>
                <w:color w:val="000000" w:themeColor="text1"/>
                <w:kern w:val="2"/>
                <w:szCs w:val="24"/>
                <w:highlight w:val="none"/>
                <w:lang w:bidi="ar"/>
                <w14:textFill>
                  <w14:solidFill>
                    <w14:schemeClr w14:val="tx1"/>
                  </w14:solidFill>
                </w14:textFill>
              </w:rPr>
              <w:t>是否要求中标人提交履约保证金：</w:t>
            </w:r>
          </w:p>
          <w:p>
            <w:pPr>
              <w:pStyle w:val="33"/>
              <w:keepNext w:val="0"/>
              <w:keepLines w:val="0"/>
              <w:widowControl w:val="0"/>
              <w:suppressLineNumbers w:val="0"/>
              <w:shd w:val="clear"/>
              <w:topLinePunct/>
              <w:spacing w:before="0" w:beforeAutospacing="0" w:after="0" w:afterAutospacing="0"/>
              <w:ind w:left="0" w:right="0"/>
              <w:jc w:val="both"/>
              <w:rPr>
                <w:rFonts w:hint="default"/>
                <w:color w:val="000000" w:themeColor="text1"/>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w:t>
            </w:r>
            <w:r>
              <w:rPr>
                <w:rFonts w:hint="eastAsia"/>
                <w:color w:val="000000" w:themeColor="text1"/>
                <w:kern w:val="2"/>
                <w:szCs w:val="24"/>
                <w:highlight w:val="none"/>
                <w:lang w:bidi="ar"/>
                <w14:textFill>
                  <w14:solidFill>
                    <w14:schemeClr w14:val="tx1"/>
                  </w14:solidFill>
                </w14:textFill>
              </w:rPr>
              <w:t>要求，履约保证金的形式：</w:t>
            </w:r>
            <w:r>
              <w:rPr>
                <w:rFonts w:hint="eastAsia"/>
                <w:color w:val="000000" w:themeColor="text1"/>
                <w:szCs w:val="24"/>
                <w:highlight w:val="none"/>
                <w:u w:val="single"/>
                <w14:textFill>
                  <w14:solidFill>
                    <w14:schemeClr w14:val="tx1"/>
                  </w14:solidFill>
                </w14:textFill>
              </w:rPr>
              <w:t>以合同约定为准。</w:t>
            </w:r>
          </w:p>
          <w:p>
            <w:pPr>
              <w:keepNext w:val="0"/>
              <w:keepLines w:val="0"/>
              <w:suppressLineNumbers w:val="0"/>
              <w:shd w:val="clear"/>
              <w:spacing w:before="0" w:beforeAutospacing="0" w:after="0" w:afterAutospacing="0"/>
              <w:ind w:left="0" w:right="0"/>
              <w:rPr>
                <w:rFonts w:hint="default"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履约保证金的金额：</w:t>
            </w:r>
            <w:r>
              <w:rPr>
                <w:rFonts w:hint="eastAsia" w:ascii="宋体" w:hAnsi="宋体"/>
                <w:color w:val="000000" w:themeColor="text1"/>
                <w:sz w:val="24"/>
                <w:szCs w:val="24"/>
                <w:highlight w:val="none"/>
                <w:u w:val="single"/>
                <w14:textFill>
                  <w14:solidFill>
                    <w14:schemeClr w14:val="tx1"/>
                  </w14:solidFill>
                </w14:textFill>
              </w:rPr>
              <w:t>中标价款的10%。</w:t>
            </w:r>
          </w:p>
          <w:p>
            <w:pPr>
              <w:keepNext w:val="0"/>
              <w:keepLines w:val="0"/>
              <w:widowControl/>
              <w:suppressLineNumbers w:val="0"/>
              <w:shd w:val="clear"/>
              <w:spacing w:before="0" w:beforeAutospacing="0" w:after="0" w:afterAutospacing="0"/>
              <w:ind w:left="0" w:right="0"/>
              <w:jc w:val="left"/>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bidi="ar"/>
                <w14:textFill>
                  <w14:solidFill>
                    <w14:schemeClr w14:val="tx1"/>
                  </w14:solidFill>
                </w14:textFill>
              </w:rPr>
              <w:t>不要求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9</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是否采用电子招标投标</w:t>
            </w:r>
          </w:p>
        </w:tc>
        <w:tc>
          <w:tcPr>
            <w:tcW w:w="5811" w:type="dxa"/>
            <w:vAlign w:val="center"/>
          </w:tcPr>
          <w:p>
            <w:pPr>
              <w:keepNext w:val="0"/>
              <w:keepLines w:val="0"/>
              <w:suppressLineNumbers w:val="0"/>
              <w:shd w:val="clear"/>
              <w:spacing w:before="0" w:beforeAutospacing="0" w:after="0" w:afterAutospacing="0" w:line="276" w:lineRule="auto"/>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□否</w:t>
            </w:r>
          </w:p>
          <w:p>
            <w:pPr>
              <w:keepNext w:val="0"/>
              <w:keepLines w:val="0"/>
              <w:suppressLineNumbers w:val="0"/>
              <w:shd w:val="clear"/>
              <w:spacing w:before="0" w:beforeAutospacing="0" w:after="0" w:afterAutospacing="0" w:line="276" w:lineRule="auto"/>
              <w:ind w:left="2378" w:leftChars="3" w:right="0" w:hanging="2372" w:hangingChars="997"/>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是，具体要求：</w:t>
            </w:r>
          </w:p>
          <w:p>
            <w:pPr>
              <w:keepNext w:val="0"/>
              <w:keepLines w:val="0"/>
              <w:suppressLineNumbers w:val="0"/>
              <w:shd w:val="clear"/>
              <w:spacing w:before="0" w:beforeAutospacing="0" w:after="0" w:afterAutospacing="0" w:line="276" w:lineRule="auto"/>
              <w:ind w:left="0" w:right="0"/>
              <w:rPr>
                <w:rFonts w:hint="default"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1、见</w:t>
            </w:r>
            <w:r>
              <w:rPr>
                <w:rFonts w:hint="eastAsia" w:ascii="宋体" w:hAnsi="宋体" w:cs="宋体"/>
                <w:color w:val="000000" w:themeColor="text1"/>
                <w:sz w:val="24"/>
                <w:szCs w:val="24"/>
                <w:highlight w:val="none"/>
                <w14:textFill>
                  <w14:solidFill>
                    <w14:schemeClr w14:val="tx1"/>
                  </w14:solidFill>
                </w14:textFill>
              </w:rPr>
              <w:t>广州公共资源交易中心网站最新发布的建设工程全流程电子化项目操作指南</w:t>
            </w:r>
            <w:r>
              <w:rPr>
                <w:rFonts w:hint="eastAsia" w:ascii="宋体" w:hAnsi="宋体" w:cs="宋体"/>
                <w:color w:val="000000" w:themeColor="text1"/>
                <w:kern w:val="0"/>
                <w:sz w:val="24"/>
                <w:szCs w:val="24"/>
                <w:highlight w:val="none"/>
                <w14:textFill>
                  <w14:solidFill>
                    <w14:schemeClr w14:val="tx1"/>
                  </w14:solidFill>
                </w14:textFill>
              </w:rPr>
              <w:t>。</w:t>
            </w:r>
          </w:p>
          <w:p>
            <w:pPr>
              <w:keepNext w:val="0"/>
              <w:keepLines w:val="0"/>
              <w:suppressLineNumbers w:val="0"/>
              <w:shd w:val="clear"/>
              <w:spacing w:before="0" w:beforeAutospacing="0" w:after="0" w:afterAutospacing="0" w:line="276" w:lineRule="auto"/>
              <w:ind w:left="0" w:right="0"/>
              <w:rPr>
                <w:rFonts w:hint="default"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2、递交投标文件光盘或U盘备用</w:t>
            </w:r>
          </w:p>
          <w:p>
            <w:pPr>
              <w:keepNext w:val="0"/>
              <w:keepLines w:val="0"/>
              <w:suppressLineNumbers w:val="0"/>
              <w:shd w:val="clear"/>
              <w:spacing w:before="0" w:beforeAutospacing="0" w:after="0" w:afterAutospacing="0" w:line="276" w:lineRule="auto"/>
              <w:ind w:left="0" w:right="0" w:firstLine="240" w:firstLineChars="100"/>
              <w:rPr>
                <w:rFonts w:hint="default"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投标人可制作非加密的电子投标文件（PDF格式）刻入光盘或U盘（1份），在规定的时间、地点提交备用光盘或U盘。（刻录好的投标文件光盘或U盘密封在密封袋中，并在封口处加盖投标人单位公章。密封袋上应写明项目名称和招标人名称。</w:t>
            </w:r>
          </w:p>
          <w:p>
            <w:pPr>
              <w:keepNext w:val="0"/>
              <w:keepLines w:val="0"/>
              <w:suppressLineNumbers w:val="0"/>
              <w:shd w:val="clear"/>
              <w:spacing w:before="0" w:beforeAutospacing="0" w:after="0" w:afterAutospacing="0" w:line="276" w:lineRule="auto"/>
              <w:ind w:left="0" w:right="0" w:firstLine="240" w:firstLineChars="100"/>
              <w:rPr>
                <w:rFonts w:hint="default"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递交的投标文件（光盘或U盘）不得加密。光盘或U盘（投标文件）无法读取或导入的，则视为未提交备用投标文件光盘或U盘。如果投标人没有按规定通过交易平台网上递交电子投标文件的，不再读取提交的光盘或U盘。</w:t>
            </w:r>
          </w:p>
          <w:p>
            <w:pPr>
              <w:keepNext w:val="0"/>
              <w:keepLines w:val="0"/>
              <w:suppressLineNumbers w:val="0"/>
              <w:shd w:val="clear"/>
              <w:spacing w:before="0" w:beforeAutospacing="0" w:after="0" w:afterAutospacing="0" w:line="276" w:lineRule="auto"/>
              <w:ind w:left="0" w:right="0" w:firstLine="240" w:firstLineChars="100"/>
              <w:rPr>
                <w:rFonts w:hint="default"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（3）投标人可选择不提交光盘或U盘备用。</w:t>
            </w:r>
          </w:p>
          <w:p>
            <w:pPr>
              <w:keepNext w:val="0"/>
              <w:keepLines w:val="0"/>
              <w:suppressLineNumbers w:val="0"/>
              <w:shd w:val="clear"/>
              <w:spacing w:before="0" w:beforeAutospacing="0" w:after="0" w:afterAutospacing="0" w:line="276" w:lineRule="auto"/>
              <w:ind w:left="0" w:right="0"/>
              <w:rPr>
                <w:rFonts w:hint="default"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3、补救方案</w:t>
            </w:r>
          </w:p>
          <w:p>
            <w:pPr>
              <w:keepNext w:val="0"/>
              <w:keepLines w:val="0"/>
              <w:suppressLineNumbers w:val="0"/>
              <w:shd w:val="clear"/>
              <w:spacing w:before="0" w:beforeAutospacing="0" w:after="0" w:afterAutospacing="0" w:line="276" w:lineRule="auto"/>
              <w:ind w:left="0" w:right="0"/>
              <w:rPr>
                <w:rFonts w:hint="default"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（1）投标文件解密失败的补救方案：</w:t>
            </w:r>
          </w:p>
          <w:p>
            <w:pPr>
              <w:keepNext w:val="0"/>
              <w:keepLines w:val="0"/>
              <w:suppressLineNumbers w:val="0"/>
              <w:shd w:val="clear"/>
              <w:spacing w:before="0" w:beforeAutospacing="0" w:after="0" w:afterAutospacing="0" w:line="276" w:lineRule="auto"/>
              <w:ind w:left="0" w:right="0" w:firstLine="480" w:firstLineChars="200"/>
              <w:rPr>
                <w:rFonts w:hint="default"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在规定时间内，因投标人之外原因（指网络瘫痪、服务器损坏、交易系统故障短期无法恢复）导致的电子投标文件解密失败，在开标现场读取光盘或U盘内容，继续开标程序。评标委员会对其投标文件的评审以光盘或U盘内容为准。因投标人之外原因解密失败且未递交电子光盘或U盘的，视为撤回投标文件。</w:t>
            </w:r>
          </w:p>
          <w:p>
            <w:pPr>
              <w:keepNext w:val="0"/>
              <w:keepLines w:val="0"/>
              <w:suppressLineNumbers w:val="0"/>
              <w:shd w:val="clear"/>
              <w:spacing w:before="0" w:beforeAutospacing="0" w:after="0" w:afterAutospacing="0" w:line="276" w:lineRule="auto"/>
              <w:ind w:left="0" w:right="0"/>
              <w:rPr>
                <w:rFonts w:hint="default"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（2）评标时突发情况的补救方案</w:t>
            </w:r>
          </w:p>
          <w:p>
            <w:pPr>
              <w:keepNext w:val="0"/>
              <w:keepLines w:val="0"/>
              <w:suppressLineNumbers w:val="0"/>
              <w:shd w:val="clear"/>
              <w:spacing w:before="0" w:beforeAutospacing="0" w:after="0" w:afterAutospacing="0" w:line="276" w:lineRule="auto"/>
              <w:ind w:left="0" w:right="0" w:firstLine="480" w:firstLineChars="200"/>
              <w:rPr>
                <w:rFonts w:hint="default"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若遇不可抗力发生（指：网络瘫痪、服务器损坏、交易系统故障短期无法恢复），由评标委员会开启现场递交的全部投标文件光盘或U盘，并按光盘或U盘内容进行评审。若因不可抗力发生（指：网络瘫痪、服务器损坏、交易系统故障短期无法恢复）且投标人未递交电子光盘或U盘的，视为撤销其投标文件。</w:t>
            </w:r>
          </w:p>
          <w:p>
            <w:pPr>
              <w:keepNext w:val="0"/>
              <w:keepLines w:val="0"/>
              <w:suppressLineNumbers w:val="0"/>
              <w:shd w:val="clear"/>
              <w:spacing w:before="0" w:beforeAutospacing="0" w:after="0" w:afterAutospacing="0" w:line="276" w:lineRule="auto"/>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10</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需要补充的其他内容</w:t>
            </w:r>
          </w:p>
        </w:tc>
        <w:tc>
          <w:tcPr>
            <w:tcW w:w="5811" w:type="dxa"/>
            <w:vAlign w:val="center"/>
          </w:tcPr>
          <w:p>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10.1</w:t>
            </w:r>
          </w:p>
        </w:tc>
        <w:tc>
          <w:tcPr>
            <w:tcW w:w="1664" w:type="dxa"/>
            <w:vAlign w:val="center"/>
          </w:tcPr>
          <w:p>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特别提示</w:t>
            </w:r>
          </w:p>
        </w:tc>
        <w:tc>
          <w:tcPr>
            <w:tcW w:w="5811" w:type="dxa"/>
            <w:vAlign w:val="center"/>
          </w:tcPr>
          <w:p>
            <w:pPr>
              <w:keepNext w:val="0"/>
              <w:keepLines w:val="0"/>
              <w:widowControl/>
              <w:suppressLineNumbers w:val="0"/>
              <w:shd w:val="clear"/>
              <w:spacing w:before="0" w:beforeAutospacing="0" w:after="0" w:afterAutospacing="0" w:line="276" w:lineRule="auto"/>
              <w:ind w:left="0" w:right="0"/>
              <w:jc w:val="left"/>
              <w:rPr>
                <w:rFonts w:hint="default"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投标人在本项目招标人的工程项目中存在下列行为的，将被拒绝一年内参与我单位后续工程投标。（注：拒绝投标时限由招标人视严重程度确定，最低三个月起，自招标人发出通知之日起计）：</w:t>
            </w:r>
          </w:p>
          <w:p>
            <w:pPr>
              <w:keepNext w:val="0"/>
              <w:keepLines w:val="0"/>
              <w:widowControl/>
              <w:suppressLineNumbers w:val="0"/>
              <w:shd w:val="clear"/>
              <w:spacing w:before="0" w:beforeAutospacing="0" w:after="0" w:afterAutospacing="0" w:line="276" w:lineRule="auto"/>
              <w:ind w:left="0" w:right="0"/>
              <w:jc w:val="left"/>
              <w:rPr>
                <w:rFonts w:hint="default"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（1）将中标工程转包或者违法分包的；</w:t>
            </w:r>
          </w:p>
          <w:p>
            <w:pPr>
              <w:keepNext w:val="0"/>
              <w:keepLines w:val="0"/>
              <w:widowControl/>
              <w:suppressLineNumbers w:val="0"/>
              <w:shd w:val="clear"/>
              <w:spacing w:before="0" w:beforeAutospacing="0" w:after="0" w:afterAutospacing="0" w:line="276" w:lineRule="auto"/>
              <w:ind w:left="0" w:right="0"/>
              <w:jc w:val="left"/>
              <w:rPr>
                <w:rFonts w:hint="default"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（2）在中标工程中不执行质量、安全生产相关规定的，造成质量或安全事故的；</w:t>
            </w:r>
          </w:p>
          <w:p>
            <w:pPr>
              <w:keepNext w:val="0"/>
              <w:keepLines w:val="0"/>
              <w:widowControl/>
              <w:suppressLineNumbers w:val="0"/>
              <w:shd w:val="clear"/>
              <w:spacing w:before="0" w:beforeAutospacing="0" w:after="0" w:afterAutospacing="0" w:line="276" w:lineRule="auto"/>
              <w:ind w:left="0" w:right="0"/>
              <w:jc w:val="left"/>
              <w:rPr>
                <w:rFonts w:hint="default"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（3）存在围标或串标情形的；</w:t>
            </w:r>
          </w:p>
          <w:p>
            <w:pPr>
              <w:keepNext w:val="0"/>
              <w:keepLines w:val="0"/>
              <w:widowControl/>
              <w:suppressLineNumbers w:val="0"/>
              <w:shd w:val="clear"/>
              <w:spacing w:before="0" w:beforeAutospacing="0" w:after="0" w:afterAutospacing="0" w:line="276" w:lineRule="auto"/>
              <w:ind w:left="0" w:right="0"/>
              <w:jc w:val="left"/>
              <w:rPr>
                <w:rFonts w:hint="default"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（4）在投标文件中提供虚假材料的；</w:t>
            </w:r>
          </w:p>
          <w:p>
            <w:pPr>
              <w:keepNext w:val="0"/>
              <w:keepLines w:val="0"/>
              <w:suppressLineNumbers w:val="0"/>
              <w:shd w:val="clear"/>
              <w:snapToGrid w:val="0"/>
              <w:spacing w:before="0" w:beforeAutospacing="0" w:after="0" w:afterAutospacing="0" w:line="276" w:lineRule="auto"/>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（5）存在行贿情形的；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10.2</w:t>
            </w:r>
          </w:p>
        </w:tc>
        <w:tc>
          <w:tcPr>
            <w:tcW w:w="1664" w:type="dxa"/>
            <w:vAlign w:val="center"/>
          </w:tcPr>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招标失败情形</w:t>
            </w:r>
          </w:p>
        </w:tc>
        <w:tc>
          <w:tcPr>
            <w:tcW w:w="5811" w:type="dxa"/>
            <w:vAlign w:val="center"/>
          </w:tcPr>
          <w:p>
            <w:pPr>
              <w:keepNext w:val="0"/>
              <w:keepLines w:val="0"/>
              <w:suppressLineNumbers w:val="0"/>
              <w:shd w:val="clear"/>
              <w:spacing w:before="0" w:beforeAutospacing="0" w:after="0" w:afterAutospacing="0" w:line="276" w:lineRule="auto"/>
              <w:ind w:left="1"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本项目采用资格后审方式，满足资格审查合格条件或通过初步评审的投标申请人不足3名视为招标失败。招标人分析招标失败原因，修正招标方案，报有关管理部门后，重新组织招标。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10.3</w:t>
            </w:r>
          </w:p>
        </w:tc>
        <w:tc>
          <w:tcPr>
            <w:tcW w:w="1664" w:type="dxa"/>
            <w:vAlign w:val="center"/>
          </w:tcPr>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中标候选人公示要求</w:t>
            </w:r>
          </w:p>
        </w:tc>
        <w:tc>
          <w:tcPr>
            <w:tcW w:w="5811" w:type="dxa"/>
            <w:vAlign w:val="center"/>
          </w:tcPr>
          <w:p>
            <w:pPr>
              <w:keepNext w:val="0"/>
              <w:keepLines w:val="0"/>
              <w:widowControl/>
              <w:suppressLineNumbers w:val="0"/>
              <w:shd w:val="clear"/>
              <w:spacing w:before="0" w:beforeAutospacing="0" w:after="0" w:afterAutospacing="0" w:line="276" w:lineRule="auto"/>
              <w:ind w:left="0" w:right="0"/>
              <w:jc w:val="left"/>
              <w:rPr>
                <w:rFonts w:hint="default"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在产生中标候选人后，招标人将中标候选人的投标文件商务部分的人员、业绩、奖项等资料在广州公共资源交易中心网站、广东省招标投标监管网站公开。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025" w:type="dxa"/>
            <w:vAlign w:val="center"/>
          </w:tcPr>
          <w:p>
            <w:pPr>
              <w:keepNext w:val="0"/>
              <w:keepLines w:val="0"/>
              <w:suppressLineNumbers w:val="0"/>
              <w:shd w:val="clear"/>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10.4</w:t>
            </w:r>
          </w:p>
        </w:tc>
        <w:tc>
          <w:tcPr>
            <w:tcW w:w="1664" w:type="dxa"/>
            <w:vAlign w:val="center"/>
          </w:tcPr>
          <w:p>
            <w:pPr>
              <w:keepNext w:val="0"/>
              <w:keepLines w:val="0"/>
              <w:widowControl/>
              <w:suppressLineNumbers w:val="0"/>
              <w:shd w:val="clear"/>
              <w:adjustRightInd w:val="0"/>
              <w:spacing w:before="0" w:beforeAutospacing="0" w:after="0" w:afterAutospacing="0"/>
              <w:ind w:left="0" w:right="0"/>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检测、监测服务要求</w:t>
            </w:r>
          </w:p>
        </w:tc>
        <w:tc>
          <w:tcPr>
            <w:tcW w:w="5811" w:type="dxa"/>
            <w:vAlign w:val="center"/>
          </w:tcPr>
          <w:p>
            <w:pPr>
              <w:keepNext w:val="0"/>
              <w:keepLines w:val="0"/>
              <w:suppressLineNumbers w:val="0"/>
              <w:shd w:val="clear"/>
              <w:snapToGrid w:val="0"/>
              <w:spacing w:before="0" w:beforeAutospacing="0" w:after="0" w:afterAutospacing="0" w:line="276" w:lineRule="auto"/>
              <w:ind w:left="0" w:right="0"/>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本项目的技术要求、质量控制要求等见“委托人要求”相关内容。</w:t>
            </w:r>
          </w:p>
        </w:tc>
      </w:tr>
    </w:tbl>
    <w:p>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4"/>
        <w:shd w:val="clear"/>
        <w:spacing w:before="0" w:after="0" w:line="360" w:lineRule="auto"/>
        <w:ind w:firstLine="138" w:firstLineChars="0"/>
        <w:jc w:val="center"/>
        <w:rPr>
          <w:rFonts w:ascii="Times New Roman" w:hAnsi="Times New Roman" w:eastAsia="宋体"/>
          <w:b/>
          <w:bCs/>
          <w:color w:val="000000" w:themeColor="text1"/>
          <w:sz w:val="36"/>
          <w:szCs w:val="32"/>
          <w:highlight w:val="none"/>
          <w14:textFill>
            <w14:solidFill>
              <w14:schemeClr w14:val="tx1"/>
            </w14:solidFill>
          </w14:textFill>
        </w:rPr>
      </w:pPr>
      <w:bookmarkStart w:id="24" w:name="_Toc14711"/>
      <w:bookmarkStart w:id="25" w:name="_Toc47987324"/>
      <w:bookmarkStart w:id="26" w:name="_Toc18917"/>
      <w:bookmarkStart w:id="27" w:name="_Toc47376765"/>
      <w:r>
        <w:rPr>
          <w:rFonts w:hint="eastAsia" w:ascii="Times New Roman" w:hAnsi="Times New Roman" w:eastAsia="宋体"/>
          <w:b/>
          <w:bCs/>
          <w:color w:val="000000" w:themeColor="text1"/>
          <w:sz w:val="36"/>
          <w:szCs w:val="32"/>
          <w:highlight w:val="none"/>
          <w14:textFill>
            <w14:solidFill>
              <w14:schemeClr w14:val="tx1"/>
            </w14:solidFill>
          </w14:textFill>
        </w:rPr>
        <w:t>否决性条款汇总</w:t>
      </w:r>
      <w:bookmarkEnd w:id="24"/>
    </w:p>
    <w:p>
      <w:pPr>
        <w:shd w:val="clear"/>
        <w:spacing w:line="336" w:lineRule="auto"/>
        <w:ind w:firstLine="484" w:firstLineChars="202"/>
        <w:rPr>
          <w:rFonts w:ascii="宋体" w:hAnsi="宋体"/>
          <w:color w:val="000000" w:themeColor="text1"/>
          <w:kern w:val="2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招标人应当在招标文件中将否决性条款集中载明，未集中载明的否决投标条款，评标时不予认可。如招标文件澄清或修改的内容中增加、删除、修改否决性条款的，招标人应当集中载明调整后完整的否决性条款，并依法发给所有潜在投标人或投标人。</w:t>
      </w:r>
      <w:r>
        <w:rPr>
          <w:rFonts w:hint="eastAsia" w:ascii="宋体" w:hAnsi="宋体"/>
          <w:color w:val="000000" w:themeColor="text1"/>
          <w:kern w:val="21"/>
          <w:sz w:val="24"/>
          <w:highlight w:val="none"/>
          <w14:textFill>
            <w14:solidFill>
              <w14:schemeClr w14:val="tx1"/>
            </w14:solidFill>
          </w14:textFill>
        </w:rPr>
        <w:t>否决性条款指招标文件中规定的拒绝受理或者作无效标以及不合格标处理等否定投标文件效力的条款。</w:t>
      </w:r>
    </w:p>
    <w:tbl>
      <w:tblPr>
        <w:tblStyle w:val="39"/>
        <w:tblW w:w="8916"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8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66" w:type="dxa"/>
            <w:noWrap/>
            <w:vAlign w:val="center"/>
          </w:tcPr>
          <w:p>
            <w:pPr>
              <w:keepNext w:val="0"/>
              <w:keepLines w:val="0"/>
              <w:suppressLineNumbers w:val="0"/>
              <w:shd w:val="clear"/>
              <w:adjustRightInd w:val="0"/>
              <w:snapToGrid w:val="0"/>
              <w:spacing w:before="0" w:beforeAutospacing="0" w:after="0" w:afterAutospacing="0"/>
              <w:ind w:left="0" w:right="0" w:firstLine="52"/>
              <w:jc w:val="center"/>
              <w:rPr>
                <w:rFonts w:hint="default"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序号</w:t>
            </w:r>
          </w:p>
        </w:tc>
        <w:tc>
          <w:tcPr>
            <w:tcW w:w="8050" w:type="dxa"/>
            <w:noWrap/>
            <w:vAlign w:val="center"/>
          </w:tcPr>
          <w:p>
            <w:pPr>
              <w:keepNext w:val="0"/>
              <w:keepLines w:val="0"/>
              <w:suppressLineNumbers w:val="0"/>
              <w:shd w:val="clear"/>
              <w:adjustRightInd w:val="0"/>
              <w:snapToGrid w:val="0"/>
              <w:spacing w:before="0" w:beforeAutospacing="0" w:after="0" w:afterAutospacing="0"/>
              <w:ind w:left="0" w:right="0" w:firstLine="426"/>
              <w:jc w:val="center"/>
              <w:rPr>
                <w:rFonts w:hint="default"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16" w:type="dxa"/>
            <w:gridSpan w:val="2"/>
            <w:noWrap/>
            <w:vAlign w:val="center"/>
          </w:tcPr>
          <w:p>
            <w:pPr>
              <w:keepNext w:val="0"/>
              <w:keepLines w:val="0"/>
              <w:suppressLineNumbers w:val="0"/>
              <w:shd w:val="clear"/>
              <w:adjustRightInd w:val="0"/>
              <w:snapToGrid w:val="0"/>
              <w:spacing w:before="0" w:beforeAutospacing="0" w:after="0" w:afterAutospacing="0"/>
              <w:ind w:left="0" w:right="0"/>
              <w:rPr>
                <w:rFonts w:hint="default"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投标文件有下列情形之一的，由评标委员会否决其投标：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6"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8050" w:type="dxa"/>
            <w:vAlign w:val="center"/>
          </w:tcPr>
          <w:p>
            <w:pPr>
              <w:keepNext w:val="0"/>
              <w:keepLines w:val="0"/>
              <w:suppressLineNumbers w:val="0"/>
              <w:shd w:val="clear"/>
              <w:adjustRightInd w:val="0"/>
              <w:snapToGrid w:val="0"/>
              <w:spacing w:before="0" w:beforeAutospacing="0" w:after="0" w:afterAutospacing="0"/>
              <w:ind w:left="0" w:right="0"/>
              <w:rPr>
                <w:rFonts w:hint="default" w:ascii="宋体" w:hAnsi="宋体" w:cs="宋体"/>
                <w:color w:val="000000" w:themeColor="text1"/>
                <w:sz w:val="24"/>
                <w:highlight w:val="none"/>
                <w14:textFill>
                  <w14:solidFill>
                    <w14:schemeClr w14:val="tx1"/>
                  </w14:solidFill>
                </w14:textFill>
              </w:rPr>
            </w:pPr>
            <w:r>
              <w:rPr>
                <w:rFonts w:hint="default" w:ascii="宋体" w:hAnsi="宋体" w:cs="宋体"/>
                <w:color w:val="000000" w:themeColor="text1"/>
                <w:sz w:val="24"/>
                <w:highlight w:val="none"/>
                <w14:textFill>
                  <w14:solidFill>
                    <w14:schemeClr w14:val="tx1"/>
                  </w14:solidFill>
                </w14:textFill>
              </w:rPr>
              <w:t>投标文件应当对招标文件的实质性要求和条件作出满足性或更有利于招标人的响应，否则，投标人的投标将被否决。实质性要求和条件见投标人须知前附表。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6"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8050" w:type="dxa"/>
            <w:vAlign w:val="center"/>
          </w:tcPr>
          <w:p>
            <w:pPr>
              <w:keepNext w:val="0"/>
              <w:keepLines w:val="0"/>
              <w:suppressLineNumbers w:val="0"/>
              <w:shd w:val="clear"/>
              <w:adjustRightInd w:val="0"/>
              <w:snapToGrid w:val="0"/>
              <w:spacing w:before="0" w:beforeAutospacing="0" w:after="0" w:afterAutospacing="0"/>
              <w:ind w:left="0" w:right="0"/>
              <w:rPr>
                <w:rFonts w:hint="default"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投标文件有不符合招标文件评标办法前附表《</w:t>
            </w:r>
            <w:r>
              <w:rPr>
                <w:rFonts w:hint="default" w:ascii="宋体" w:hAnsi="宋体" w:cs="宋体"/>
                <w:color w:val="000000" w:themeColor="text1"/>
                <w:sz w:val="24"/>
                <w:highlight w:val="none"/>
                <w14:textFill>
                  <w14:solidFill>
                    <w14:schemeClr w14:val="tx1"/>
                  </w14:solidFill>
                </w14:textFill>
              </w:rPr>
              <w:t>形式评审标准</w:t>
            </w:r>
            <w:r>
              <w:rPr>
                <w:rFonts w:hint="eastAsia" w:ascii="宋体" w:hAnsi="宋体" w:cs="宋体"/>
                <w:color w:val="000000" w:themeColor="text1"/>
                <w:sz w:val="24"/>
                <w:highlight w:val="none"/>
                <w14:textFill>
                  <w14:solidFill>
                    <w14:schemeClr w14:val="tx1"/>
                  </w14:solidFill>
                </w14:textFill>
              </w:rPr>
              <w:t>》中任何一项情形的。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66"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8050" w:type="dxa"/>
            <w:vAlign w:val="center"/>
          </w:tcPr>
          <w:p>
            <w:pPr>
              <w:keepNext w:val="0"/>
              <w:keepLines w:val="0"/>
              <w:suppressLineNumbers w:val="0"/>
              <w:shd w:val="clear"/>
              <w:adjustRightInd w:val="0"/>
              <w:snapToGrid w:val="0"/>
              <w:spacing w:before="0" w:beforeAutospacing="0" w:after="0" w:afterAutospacing="0"/>
              <w:ind w:left="0" w:right="0"/>
              <w:rPr>
                <w:rFonts w:hint="default"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投标文件有不符合招标文件评标办法前附表《资格评审标准》中任何一项情形的。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66"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8050" w:type="dxa"/>
            <w:vAlign w:val="center"/>
          </w:tcPr>
          <w:p>
            <w:pPr>
              <w:keepNext w:val="0"/>
              <w:keepLines w:val="0"/>
              <w:suppressLineNumbers w:val="0"/>
              <w:shd w:val="clear"/>
              <w:adjustRightInd w:val="0"/>
              <w:snapToGrid w:val="0"/>
              <w:spacing w:before="0" w:beforeAutospacing="0" w:after="0" w:afterAutospacing="0"/>
              <w:ind w:left="0" w:right="0"/>
              <w:rPr>
                <w:rFonts w:hint="default"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投标文件有不符合招标文件评标办法前附表《响应性评审标准》中任何一项情形的。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66"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8050" w:type="dxa"/>
            <w:vAlign w:val="center"/>
          </w:tcPr>
          <w:p>
            <w:pPr>
              <w:pStyle w:val="33"/>
              <w:keepNext w:val="0"/>
              <w:keepLines w:val="0"/>
              <w:widowControl w:val="0"/>
              <w:suppressLineNumbers w:val="0"/>
              <w:shd w:val="clear"/>
              <w:kinsoku w:val="0"/>
              <w:overflowPunct w:val="0"/>
              <w:adjustRightInd w:val="0"/>
              <w:snapToGrid w:val="0"/>
              <w:spacing w:before="0" w:beforeAutospacing="0" w:after="0" w:afterAutospacing="0"/>
              <w:ind w:left="0" w:right="0"/>
              <w:jc w:val="both"/>
              <w:rPr>
                <w:rFonts w:hint="default" w:ascii="Times New Roman" w:hAnsi="Times New Roman" w:cs="Times New Roman"/>
                <w:color w:val="000000" w:themeColor="text1"/>
                <w:szCs w:val="24"/>
                <w:highlight w:val="none"/>
                <w14:textFill>
                  <w14:solidFill>
                    <w14:schemeClr w14:val="tx1"/>
                  </w14:solidFill>
                </w14:textFill>
              </w:rPr>
            </w:pPr>
            <w:r>
              <w:rPr>
                <w:rFonts w:hint="default"/>
                <w:color w:val="000000" w:themeColor="text1"/>
                <w:szCs w:val="24"/>
                <w:highlight w:val="none"/>
                <w:lang w:bidi="ar"/>
                <w14:textFill>
                  <w14:solidFill>
                    <w14:schemeClr w14:val="tx1"/>
                  </w14:solidFill>
                </w14:textFill>
              </w:rPr>
              <w:t>投标文件没有对招标文件的实质性要求和条件作出响应，或者对招标文件的偏差超出招标文件规定的偏差范围或最高项数；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66"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8050" w:type="dxa"/>
            <w:vAlign w:val="center"/>
          </w:tcPr>
          <w:p>
            <w:pPr>
              <w:pStyle w:val="33"/>
              <w:keepNext w:val="0"/>
              <w:keepLines w:val="0"/>
              <w:widowControl w:val="0"/>
              <w:suppressLineNumbers w:val="0"/>
              <w:shd w:val="clear"/>
              <w:kinsoku w:val="0"/>
              <w:overflowPunct w:val="0"/>
              <w:adjustRightInd w:val="0"/>
              <w:snapToGrid w:val="0"/>
              <w:spacing w:before="0" w:beforeAutospacing="0" w:after="0" w:afterAutospacing="0"/>
              <w:ind w:left="0" w:right="0"/>
              <w:jc w:val="both"/>
              <w:rPr>
                <w:rFonts w:hint="default" w:ascii="Times New Roman" w:hAnsi="Times New Roman" w:cs="Times New Roman"/>
                <w:color w:val="000000" w:themeColor="text1"/>
                <w:kern w:val="2"/>
                <w:szCs w:val="24"/>
                <w:highlight w:val="none"/>
                <w:lang w:bidi="ar"/>
                <w14:textFill>
                  <w14:solidFill>
                    <w14:schemeClr w14:val="tx1"/>
                  </w14:solidFill>
                </w14:textFill>
              </w:rPr>
            </w:pPr>
            <w:r>
              <w:rPr>
                <w:rFonts w:hint="default"/>
                <w:color w:val="000000" w:themeColor="text1"/>
                <w:szCs w:val="24"/>
                <w:highlight w:val="none"/>
                <w:lang w:bidi="ar"/>
                <w14:textFill>
                  <w14:solidFill>
                    <w14:schemeClr w14:val="tx1"/>
                  </w14:solidFill>
                </w14:textFill>
              </w:rPr>
              <w:t>有串通投标、弄虚作假、行贿等违法行为。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2" w:hRule="atLeast"/>
        </w:trPr>
        <w:tc>
          <w:tcPr>
            <w:tcW w:w="866"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8050" w:type="dxa"/>
            <w:vAlign w:val="center"/>
          </w:tcPr>
          <w:p>
            <w:pPr>
              <w:keepNext w:val="0"/>
              <w:keepLines w:val="0"/>
              <w:suppressLineNumbers w:val="0"/>
              <w:shd w:val="clear"/>
              <w:adjustRightInd w:val="0"/>
              <w:snapToGrid w:val="0"/>
              <w:spacing w:before="0" w:beforeAutospacing="0" w:after="0" w:afterAutospacing="0"/>
              <w:ind w:left="0" w:right="0"/>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lang w:bidi="ar"/>
                <w14:textFill>
                  <w14:solidFill>
                    <w14:schemeClr w14:val="tx1"/>
                  </w14:solidFill>
                </w14:textFill>
              </w:rPr>
              <w:t>投标报价有算术错误及其他错误的，评标委员会按以下原则要求投标人对投标报价进行修正，并要求投标人书面澄清确认。投标人拒不澄清确认的，评标委员会应当否决其投标：</w:t>
            </w:r>
          </w:p>
          <w:p>
            <w:pPr>
              <w:keepNext w:val="0"/>
              <w:keepLines w:val="0"/>
              <w:suppressLineNumbers w:val="0"/>
              <w:shd w:val="clear"/>
              <w:adjustRightInd w:val="0"/>
              <w:snapToGrid w:val="0"/>
              <w:spacing w:before="0" w:beforeAutospacing="0" w:after="0" w:afterAutospacing="0"/>
              <w:ind w:left="0" w:right="0"/>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lang w:bidi="ar"/>
                <w14:textFill>
                  <w14:solidFill>
                    <w14:schemeClr w14:val="tx1"/>
                  </w14:solidFill>
                </w14:textFill>
              </w:rPr>
              <w:t>（1）投标文件中的大写金额与小写金额不一致的，以大写金额为准；</w:t>
            </w:r>
          </w:p>
          <w:p>
            <w:pPr>
              <w:pStyle w:val="33"/>
              <w:keepNext w:val="0"/>
              <w:keepLines w:val="0"/>
              <w:widowControl w:val="0"/>
              <w:suppressLineNumbers w:val="0"/>
              <w:shd w:val="clear"/>
              <w:kinsoku w:val="0"/>
              <w:overflowPunct w:val="0"/>
              <w:adjustRightInd w:val="0"/>
              <w:snapToGrid w:val="0"/>
              <w:spacing w:before="0" w:beforeAutospacing="0" w:after="0" w:afterAutospacing="0"/>
              <w:ind w:left="0" w:right="0"/>
              <w:jc w:val="both"/>
              <w:rPr>
                <w:rFonts w:hint="default"/>
                <w:color w:val="000000" w:themeColor="text1"/>
                <w:szCs w:val="24"/>
                <w:highlight w:val="none"/>
                <w:lang w:bidi="ar"/>
                <w14:textFill>
                  <w14:solidFill>
                    <w14:schemeClr w14:val="tx1"/>
                  </w14:solidFill>
                </w14:textFill>
              </w:rPr>
            </w:pPr>
            <w:r>
              <w:rPr>
                <w:rFonts w:hint="default"/>
                <w:color w:val="000000" w:themeColor="text1"/>
                <w:szCs w:val="24"/>
                <w:highlight w:val="none"/>
                <w:lang w:bidi="ar"/>
                <w14:textFill>
                  <w14:solidFill>
                    <w14:schemeClr w14:val="tx1"/>
                  </w14:solidFill>
                </w14:textFill>
              </w:rPr>
              <w:t>（2）总价金额与单价金额不一致的，以单价金额为准，但单价金额小数点有明显错误的除外。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866"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8050" w:type="dxa"/>
            <w:vAlign w:val="center"/>
          </w:tcPr>
          <w:p>
            <w:pPr>
              <w:pStyle w:val="33"/>
              <w:keepNext w:val="0"/>
              <w:keepLines w:val="0"/>
              <w:widowControl w:val="0"/>
              <w:suppressLineNumbers w:val="0"/>
              <w:shd w:val="clear"/>
              <w:kinsoku w:val="0"/>
              <w:overflowPunct w:val="0"/>
              <w:adjustRightInd w:val="0"/>
              <w:snapToGrid w:val="0"/>
              <w:spacing w:before="0" w:beforeAutospacing="0" w:after="0" w:afterAutospacing="0"/>
              <w:ind w:left="0" w:right="0"/>
              <w:jc w:val="both"/>
              <w:rPr>
                <w:rFonts w:hint="default"/>
                <w:color w:val="000000" w:themeColor="text1"/>
                <w:szCs w:val="24"/>
                <w:highlight w:val="none"/>
                <w:lang w:bidi="ar"/>
                <w14:textFill>
                  <w14:solidFill>
                    <w14:schemeClr w14:val="tx1"/>
                  </w14:solidFill>
                </w14:textFill>
              </w:rPr>
            </w:pPr>
            <w:r>
              <w:rPr>
                <w:rFonts w:hint="default"/>
                <w:color w:val="000000" w:themeColor="text1"/>
                <w:szCs w:val="24"/>
                <w:highlight w:val="none"/>
                <w:lang w:bidi="ar"/>
                <w14:textFill>
                  <w14:solidFill>
                    <w14:schemeClr w14:val="tx1"/>
                  </w14:solidFill>
                </w14:textFill>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tc>
      </w:tr>
    </w:tbl>
    <w:p>
      <w:pPr>
        <w:pStyle w:val="20"/>
        <w:shd w:val="clear"/>
        <w:rPr>
          <w:color w:val="000000" w:themeColor="text1"/>
          <w:sz w:val="24"/>
          <w:highlight w:val="none"/>
          <w:lang w:bidi="ar"/>
          <w14:textFill>
            <w14:solidFill>
              <w14:schemeClr w14:val="tx1"/>
            </w14:solidFill>
          </w14:textFill>
        </w:rPr>
      </w:pPr>
      <w:r>
        <w:rPr>
          <w:color w:val="000000" w:themeColor="text1"/>
          <w:highlight w:val="none"/>
          <w:lang w:bidi="ar"/>
          <w14:textFill>
            <w14:solidFill>
              <w14:schemeClr w14:val="tx1"/>
            </w14:solidFill>
          </w14:textFill>
        </w:rPr>
        <w:br w:type="page"/>
      </w:r>
    </w:p>
    <w:p>
      <w:pPr>
        <w:pStyle w:val="3"/>
        <w:keepNext w:val="0"/>
        <w:keepLines w:val="0"/>
        <w:shd w:val="clear"/>
        <w:spacing w:before="0" w:after="0" w:line="360" w:lineRule="auto"/>
        <w:jc w:val="left"/>
        <w:rPr>
          <w:rFonts w:ascii="Times New Roman" w:hAnsi="Times New Roman" w:eastAsia="宋体"/>
          <w:color w:val="000000" w:themeColor="text1"/>
          <w:highlight w:val="none"/>
          <w14:textFill>
            <w14:solidFill>
              <w14:schemeClr w14:val="tx1"/>
            </w14:solidFill>
          </w14:textFill>
        </w:rPr>
      </w:pPr>
      <w:bookmarkStart w:id="28" w:name="_Toc24459"/>
      <w:r>
        <w:rPr>
          <w:rFonts w:ascii="Times New Roman" w:hAnsi="Times New Roman" w:eastAsia="宋体"/>
          <w:color w:val="000000" w:themeColor="text1"/>
          <w:highlight w:val="none"/>
          <w14:textFill>
            <w14:solidFill>
              <w14:schemeClr w14:val="tx1"/>
            </w14:solidFill>
          </w14:textFill>
        </w:rPr>
        <w:t>1.总则</w:t>
      </w:r>
      <w:bookmarkEnd w:id="25"/>
      <w:bookmarkEnd w:id="26"/>
      <w:bookmarkEnd w:id="27"/>
      <w:bookmarkEnd w:id="28"/>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 招标项目概况</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1.1.1</w:t>
      </w:r>
      <w:r>
        <w:rPr>
          <w:rFonts w:ascii="Times New Roman" w:hAnsi="Times New Roman" w:cs="Times New Roman"/>
          <w:color w:val="000000" w:themeColor="text1"/>
          <w:spacing w:val="-8"/>
          <w:kern w:val="2"/>
          <w:szCs w:val="24"/>
          <w:highlight w:val="none"/>
          <w:lang w:bidi="ar"/>
          <w14:textFill>
            <w14:solidFill>
              <w14:schemeClr w14:val="tx1"/>
            </w14:solidFill>
          </w14:textFill>
        </w:rPr>
        <w:t>根据《中华人民共和国招标投标法》、《中华人民共和国招标投标法实施条例》等有关</w:t>
      </w:r>
      <w:r>
        <w:rPr>
          <w:rFonts w:ascii="Times New Roman" w:hAnsi="Times New Roman" w:cs="Times New Roman"/>
          <w:color w:val="000000" w:themeColor="text1"/>
          <w:kern w:val="2"/>
          <w:szCs w:val="24"/>
          <w:highlight w:val="none"/>
          <w:lang w:bidi="ar"/>
          <w14:textFill>
            <w14:solidFill>
              <w14:schemeClr w14:val="tx1"/>
            </w14:solidFill>
          </w14:textFill>
        </w:rPr>
        <w:t>法律、法规和规章的规定，本招标项目已具备招标条件，现对</w:t>
      </w:r>
      <w:r>
        <w:rPr>
          <w:rFonts w:hint="eastAsia" w:ascii="Times New Roman" w:hAnsi="Times New Roman" w:cs="Times New Roman"/>
          <w:color w:val="000000" w:themeColor="text1"/>
          <w:kern w:val="2"/>
          <w:szCs w:val="24"/>
          <w:highlight w:val="none"/>
          <w:lang w:bidi="ar"/>
          <w14:textFill>
            <w14:solidFill>
              <w14:schemeClr w14:val="tx1"/>
            </w14:solidFill>
          </w14:textFill>
        </w:rPr>
        <w:t>本项目</w:t>
      </w:r>
      <w:r>
        <w:rPr>
          <w:rFonts w:ascii="Times New Roman" w:hAnsi="Times New Roman" w:cs="Times New Roman"/>
          <w:color w:val="000000" w:themeColor="text1"/>
          <w:kern w:val="2"/>
          <w:szCs w:val="24"/>
          <w:highlight w:val="none"/>
          <w:lang w:bidi="ar"/>
          <w14:textFill>
            <w14:solidFill>
              <w14:schemeClr w14:val="tx1"/>
            </w14:solidFill>
          </w14:textFill>
        </w:rPr>
        <w:t>进行招标。</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1.1.2招标人：见投标人须知前附表。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1.1.3招标代理机构：见投标人须知前附表。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1.1.4招标项目名称：见投标人须知前附表。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1.1.5项目建设地点：见投标人须知前附表。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1.1.6项目建设规模：见投标人须知前附表。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1.1.7工程项目施工预计开工日期和建设周期：见投标人须知前附表。</w:t>
      </w:r>
    </w:p>
    <w:p>
      <w:pPr>
        <w:pStyle w:val="33"/>
        <w:widowControl w:val="0"/>
        <w:shd w:val="clear"/>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1.1.8建筑安装工程费/工程概算：见投标人须知前附表。</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 招标项目的资金来源和落实情况</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1.2.1资金来源及比例：见投标人须知前附表。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1.2.2资金落实情况：见投标人须知前附表。</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 招标内容、服务期限和最高投标限价</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1.3.1招标内容：见投标人须知前附表。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1.3.2服务期：见投标人须知前附表。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kern w:val="2"/>
          <w:szCs w:val="24"/>
          <w:highlight w:val="none"/>
          <w:lang w:bidi="ar"/>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1.3.3最高投标限价：见投标人须知前附表。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highlight w:val="none"/>
          <w:lang w:bidi="ar"/>
          <w14:textFill>
            <w14:solidFill>
              <w14:schemeClr w14:val="tx1"/>
            </w14:solidFill>
          </w14:textFill>
        </w:rPr>
        <w:t>1.3.4质量标准：见投标人须知前附表。</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1.4 投标人资格要求</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1.4.1投标人应具备承担本招标项目资质条件、能力和信誉：</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（1）资质要求：见投标人须知前附表；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（2）财务要求：见投标人须知前附表；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（3）业绩要求：见投标人须知前附表；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（4）信誉要求：见投标人须知前附表；</w:t>
      </w:r>
    </w:p>
    <w:p>
      <w:pPr>
        <w:pStyle w:val="33"/>
        <w:widowControl w:val="0"/>
        <w:shd w:val="clear"/>
        <w:kinsoku w:val="0"/>
        <w:overflowPunct w:val="0"/>
        <w:spacing w:before="0" w:beforeAutospacing="0" w:after="0" w:afterAutospacing="0" w:line="360" w:lineRule="auto"/>
        <w:ind w:firstLine="456"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spacing w:val="-6"/>
          <w:kern w:val="2"/>
          <w:szCs w:val="24"/>
          <w:highlight w:val="none"/>
          <w:lang w:bidi="ar"/>
          <w14:textFill>
            <w14:solidFill>
              <w14:schemeClr w14:val="tx1"/>
            </w14:solidFill>
          </w14:textFill>
        </w:rPr>
        <w:t>（5）项目负责人</w:t>
      </w:r>
      <w:r>
        <w:rPr>
          <w:rFonts w:ascii="Times New Roman" w:hAnsi="Times New Roman" w:cs="Times New Roman"/>
          <w:color w:val="000000" w:themeColor="text1"/>
          <w:kern w:val="2"/>
          <w:szCs w:val="24"/>
          <w:highlight w:val="none"/>
          <w:lang w:bidi="ar"/>
          <w14:textFill>
            <w14:solidFill>
              <w14:schemeClr w14:val="tx1"/>
            </w14:solidFill>
          </w14:textFill>
        </w:rPr>
        <w:t>的资格要求：见投标人须知前附表；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（6）其他主要人员要求：见投标人须知前附表。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（7）试验仪器设备要求：见投标人须知前附表。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（8）联合体投标要求：见投标人须知前附表。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（9）其他要求：见投标人须知前附表。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需要提交的相关证明材料见本章第3.1款的规定。</w:t>
      </w:r>
    </w:p>
    <w:p>
      <w:pPr>
        <w:pStyle w:val="33"/>
        <w:widowControl w:val="0"/>
        <w:shd w:val="clear"/>
        <w:kinsoku w:val="0"/>
        <w:overflowPunct w:val="0"/>
        <w:spacing w:before="0" w:beforeAutospacing="0" w:after="12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1.4.2投标人须知前附表规定接受联合体投标的，联合体除应符合本章第1.4.1项和投标人须知前附表的要求外，还应遵守以下规定：</w:t>
      </w:r>
    </w:p>
    <w:p>
      <w:pPr>
        <w:pStyle w:val="33"/>
        <w:widowControl w:val="0"/>
        <w:shd w:val="clear"/>
        <w:kinsoku w:val="0"/>
        <w:overflowPunct w:val="0"/>
        <w:spacing w:before="0" w:beforeAutospacing="0" w:after="12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（1）联合体各方应按招标文件提供的格式签订</w:t>
      </w:r>
      <w:r>
        <w:rPr>
          <w:rFonts w:hint="eastAsia" w:ascii="Times New Roman" w:hAnsi="Times New Roman" w:cs="Times New Roman"/>
          <w:color w:val="000000" w:themeColor="text1"/>
          <w:kern w:val="2"/>
          <w:szCs w:val="24"/>
          <w:highlight w:val="none"/>
          <w:u w:val="single"/>
          <w:lang w:bidi="ar"/>
          <w14:textFill>
            <w14:solidFill>
              <w14:schemeClr w14:val="tx1"/>
            </w14:solidFill>
          </w14:textFill>
        </w:rPr>
        <w:t>联合体共同投标协议书</w:t>
      </w:r>
      <w:r>
        <w:rPr>
          <w:rFonts w:ascii="Times New Roman" w:hAnsi="Times New Roman" w:cs="Times New Roman"/>
          <w:color w:val="000000" w:themeColor="text1"/>
          <w:kern w:val="2"/>
          <w:szCs w:val="24"/>
          <w:highlight w:val="none"/>
          <w:lang w:bidi="ar"/>
          <w14:textFill>
            <w14:solidFill>
              <w14:schemeClr w14:val="tx1"/>
            </w14:solidFill>
          </w14:textFill>
        </w:rPr>
        <w:t>，明确联合体牵头人和各方权利义务，并承诺就中标项目向招标人承担连带责任；</w:t>
      </w:r>
    </w:p>
    <w:p>
      <w:pPr>
        <w:pStyle w:val="33"/>
        <w:widowControl w:val="0"/>
        <w:shd w:val="clear"/>
        <w:kinsoku w:val="0"/>
        <w:overflowPunct w:val="0"/>
        <w:spacing w:before="0" w:beforeAutospacing="0" w:after="0" w:afterAutospacing="0" w:line="360" w:lineRule="auto"/>
        <w:ind w:right="-149" w:rightChars="-71" w:firstLine="476" w:firstLineChars="200"/>
        <w:jc w:val="both"/>
        <w:rPr>
          <w:rFonts w:ascii="Times New Roman" w:hAnsi="Times New Roman" w:cs="Times New Roman"/>
          <w:color w:val="000000" w:themeColor="text1"/>
          <w:spacing w:val="-1"/>
          <w:kern w:val="2"/>
          <w:szCs w:val="24"/>
          <w:highlight w:val="none"/>
          <w:lang w:bidi="ar"/>
          <w14:textFill>
            <w14:solidFill>
              <w14:schemeClr w14:val="tx1"/>
            </w14:solidFill>
          </w14:textFill>
        </w:rPr>
      </w:pPr>
      <w:r>
        <w:rPr>
          <w:rFonts w:ascii="Times New Roman" w:hAnsi="Times New Roman" w:cs="Times New Roman"/>
          <w:color w:val="000000" w:themeColor="text1"/>
          <w:spacing w:val="-1"/>
          <w:kern w:val="2"/>
          <w:szCs w:val="24"/>
          <w:highlight w:val="none"/>
          <w:lang w:bidi="ar"/>
          <w14:textFill>
            <w14:solidFill>
              <w14:schemeClr w14:val="tx1"/>
            </w14:solidFill>
          </w14:textFill>
        </w:rPr>
        <w:t>（2）由同一专业的单位组成的联合体，</w:t>
      </w:r>
      <w:bookmarkStart w:id="29" w:name="_Hlk66979497"/>
      <w:r>
        <w:rPr>
          <w:rFonts w:ascii="Times New Roman" w:hAnsi="Times New Roman" w:cs="Times New Roman"/>
          <w:color w:val="000000" w:themeColor="text1"/>
          <w:spacing w:val="-1"/>
          <w:kern w:val="2"/>
          <w:szCs w:val="24"/>
          <w:highlight w:val="none"/>
          <w:lang w:bidi="ar"/>
          <w14:textFill>
            <w14:solidFill>
              <w14:schemeClr w14:val="tx1"/>
            </w14:solidFill>
          </w14:textFill>
        </w:rPr>
        <w:t>按照资质等级较低的单位确定资质等级；</w:t>
      </w:r>
      <w:bookmarkEnd w:id="29"/>
    </w:p>
    <w:p>
      <w:pPr>
        <w:pStyle w:val="33"/>
        <w:widowControl w:val="0"/>
        <w:shd w:val="clear"/>
        <w:kinsoku w:val="0"/>
        <w:overflowPunct w:val="0"/>
        <w:spacing w:before="0" w:beforeAutospacing="0" w:after="0" w:afterAutospacing="0" w:line="360" w:lineRule="auto"/>
        <w:ind w:right="-149" w:rightChars="-71"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（3）联合体各方不得再以自己名义单独或参加其他联合体在本招标项目中投标，否则各相关投标均无效。</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1.4.3投标人不得存在下列情形之一：</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lang w:bidi="ar"/>
          <w14:textFill>
            <w14:solidFill>
              <w14:schemeClr w14:val="tx1"/>
            </w14:solidFill>
          </w14:textFill>
        </w:rPr>
      </w:pPr>
      <w:r>
        <w:rPr>
          <w:color w:val="000000" w:themeColor="text1"/>
          <w:spacing w:val="-1"/>
          <w:szCs w:val="24"/>
          <w:highlight w:val="none"/>
          <w:lang w:bidi="ar"/>
          <w14:textFill>
            <w14:solidFill>
              <w14:schemeClr w14:val="tx1"/>
            </w14:solidFill>
          </w14:textFill>
        </w:rPr>
        <w:t>（1）为招标人不具有独立法人资格的附属机构（单位）；</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lang w:bidi="ar"/>
          <w14:textFill>
            <w14:solidFill>
              <w14:schemeClr w14:val="tx1"/>
            </w14:solidFill>
          </w14:textFill>
        </w:rPr>
      </w:pPr>
      <w:r>
        <w:rPr>
          <w:color w:val="000000" w:themeColor="text1"/>
          <w:spacing w:val="-1"/>
          <w:szCs w:val="24"/>
          <w:highlight w:val="none"/>
          <w:lang w:bidi="ar"/>
          <w14:textFill>
            <w14:solidFill>
              <w14:schemeClr w14:val="tx1"/>
            </w14:solidFill>
          </w14:textFill>
        </w:rPr>
        <w:t>（2）与招标人存在利害关系且可能影响招标公正性；</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lang w:bidi="ar"/>
          <w14:textFill>
            <w14:solidFill>
              <w14:schemeClr w14:val="tx1"/>
            </w14:solidFill>
          </w14:textFill>
        </w:rPr>
      </w:pPr>
      <w:r>
        <w:rPr>
          <w:color w:val="000000" w:themeColor="text1"/>
          <w:spacing w:val="-1"/>
          <w:szCs w:val="24"/>
          <w:highlight w:val="none"/>
          <w:lang w:bidi="ar"/>
          <w14:textFill>
            <w14:solidFill>
              <w14:schemeClr w14:val="tx1"/>
            </w14:solidFill>
          </w14:textFill>
        </w:rPr>
        <w:t>（3）与</w:t>
      </w:r>
      <w:r>
        <w:rPr>
          <w:rFonts w:hint="eastAsia"/>
          <w:color w:val="000000" w:themeColor="text1"/>
          <w:spacing w:val="-1"/>
          <w:szCs w:val="24"/>
          <w:highlight w:val="none"/>
          <w:lang w:bidi="ar"/>
          <w14:textFill>
            <w14:solidFill>
              <w14:schemeClr w14:val="tx1"/>
            </w14:solidFill>
          </w14:textFill>
        </w:rPr>
        <w:t>本标段</w:t>
      </w:r>
      <w:r>
        <w:rPr>
          <w:color w:val="000000" w:themeColor="text1"/>
          <w:spacing w:val="-1"/>
          <w:szCs w:val="24"/>
          <w:highlight w:val="none"/>
          <w:lang w:bidi="ar"/>
          <w14:textFill>
            <w14:solidFill>
              <w14:schemeClr w14:val="tx1"/>
            </w14:solidFill>
          </w14:textFill>
        </w:rPr>
        <w:t>的其他投标人为同一个单位负责人；</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lang w:bidi="ar"/>
          <w14:textFill>
            <w14:solidFill>
              <w14:schemeClr w14:val="tx1"/>
            </w14:solidFill>
          </w14:textFill>
        </w:rPr>
      </w:pPr>
      <w:r>
        <w:rPr>
          <w:color w:val="000000" w:themeColor="text1"/>
          <w:spacing w:val="-1"/>
          <w:szCs w:val="24"/>
          <w:highlight w:val="none"/>
          <w:lang w:bidi="ar"/>
          <w14:textFill>
            <w14:solidFill>
              <w14:schemeClr w14:val="tx1"/>
            </w14:solidFill>
          </w14:textFill>
        </w:rPr>
        <w:t>（4）与</w:t>
      </w:r>
      <w:r>
        <w:rPr>
          <w:rFonts w:hint="eastAsia"/>
          <w:color w:val="000000" w:themeColor="text1"/>
          <w:spacing w:val="-1"/>
          <w:szCs w:val="24"/>
          <w:highlight w:val="none"/>
          <w:lang w:bidi="ar"/>
          <w14:textFill>
            <w14:solidFill>
              <w14:schemeClr w14:val="tx1"/>
            </w14:solidFill>
          </w14:textFill>
        </w:rPr>
        <w:t>本标段</w:t>
      </w:r>
      <w:r>
        <w:rPr>
          <w:color w:val="000000" w:themeColor="text1"/>
          <w:spacing w:val="-1"/>
          <w:szCs w:val="24"/>
          <w:highlight w:val="none"/>
          <w:lang w:bidi="ar"/>
          <w14:textFill>
            <w14:solidFill>
              <w14:schemeClr w14:val="tx1"/>
            </w14:solidFill>
          </w14:textFill>
        </w:rPr>
        <w:t>的其他投标人存在控股、管理关系；</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lang w:bidi="ar"/>
          <w14:textFill>
            <w14:solidFill>
              <w14:schemeClr w14:val="tx1"/>
            </w14:solidFill>
          </w14:textFill>
        </w:rPr>
      </w:pPr>
      <w:r>
        <w:rPr>
          <w:color w:val="000000" w:themeColor="text1"/>
          <w:spacing w:val="-1"/>
          <w:szCs w:val="24"/>
          <w:highlight w:val="none"/>
          <w:lang w:bidi="ar"/>
          <w14:textFill>
            <w14:solidFill>
              <w14:schemeClr w14:val="tx1"/>
            </w14:solidFill>
          </w14:textFill>
        </w:rPr>
        <w:t>（5）为</w:t>
      </w:r>
      <w:r>
        <w:rPr>
          <w:rFonts w:hint="eastAsia"/>
          <w:color w:val="000000" w:themeColor="text1"/>
          <w:spacing w:val="-1"/>
          <w:szCs w:val="24"/>
          <w:highlight w:val="none"/>
          <w:lang w:bidi="ar"/>
          <w14:textFill>
            <w14:solidFill>
              <w14:schemeClr w14:val="tx1"/>
            </w14:solidFill>
          </w14:textFill>
        </w:rPr>
        <w:t>本标段</w:t>
      </w:r>
      <w:r>
        <w:rPr>
          <w:color w:val="000000" w:themeColor="text1"/>
          <w:spacing w:val="-1"/>
          <w:szCs w:val="24"/>
          <w:highlight w:val="none"/>
          <w:lang w:bidi="ar"/>
          <w14:textFill>
            <w14:solidFill>
              <w14:schemeClr w14:val="tx1"/>
            </w14:solidFill>
          </w14:textFill>
        </w:rPr>
        <w:t>的代建人；</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lang w:bidi="ar"/>
          <w14:textFill>
            <w14:solidFill>
              <w14:schemeClr w14:val="tx1"/>
            </w14:solidFill>
          </w14:textFill>
        </w:rPr>
      </w:pPr>
      <w:r>
        <w:rPr>
          <w:color w:val="000000" w:themeColor="text1"/>
          <w:spacing w:val="-1"/>
          <w:szCs w:val="24"/>
          <w:highlight w:val="none"/>
          <w:lang w:bidi="ar"/>
          <w14:textFill>
            <w14:solidFill>
              <w14:schemeClr w14:val="tx1"/>
            </w14:solidFill>
          </w14:textFill>
        </w:rPr>
        <w:t>（6）为</w:t>
      </w:r>
      <w:r>
        <w:rPr>
          <w:rFonts w:hint="eastAsia"/>
          <w:color w:val="000000" w:themeColor="text1"/>
          <w:spacing w:val="-1"/>
          <w:szCs w:val="24"/>
          <w:highlight w:val="none"/>
          <w:lang w:bidi="ar"/>
          <w14:textFill>
            <w14:solidFill>
              <w14:schemeClr w14:val="tx1"/>
            </w14:solidFill>
          </w14:textFill>
        </w:rPr>
        <w:t>本标段</w:t>
      </w:r>
      <w:r>
        <w:rPr>
          <w:color w:val="000000" w:themeColor="text1"/>
          <w:spacing w:val="-1"/>
          <w:szCs w:val="24"/>
          <w:highlight w:val="none"/>
          <w:lang w:bidi="ar"/>
          <w14:textFill>
            <w14:solidFill>
              <w14:schemeClr w14:val="tx1"/>
            </w14:solidFill>
          </w14:textFill>
        </w:rPr>
        <w:t>的招标代理机构；</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lang w:bidi="ar"/>
          <w14:textFill>
            <w14:solidFill>
              <w14:schemeClr w14:val="tx1"/>
            </w14:solidFill>
          </w14:textFill>
        </w:rPr>
      </w:pPr>
      <w:r>
        <w:rPr>
          <w:color w:val="000000" w:themeColor="text1"/>
          <w:spacing w:val="-1"/>
          <w:szCs w:val="24"/>
          <w:highlight w:val="none"/>
          <w:lang w:bidi="ar"/>
          <w14:textFill>
            <w14:solidFill>
              <w14:schemeClr w14:val="tx1"/>
            </w14:solidFill>
          </w14:textFill>
        </w:rPr>
        <w:t>（7）与</w:t>
      </w:r>
      <w:r>
        <w:rPr>
          <w:rFonts w:hint="eastAsia"/>
          <w:color w:val="000000" w:themeColor="text1"/>
          <w:spacing w:val="-1"/>
          <w:szCs w:val="24"/>
          <w:highlight w:val="none"/>
          <w:lang w:bidi="ar"/>
          <w14:textFill>
            <w14:solidFill>
              <w14:schemeClr w14:val="tx1"/>
            </w14:solidFill>
          </w14:textFill>
        </w:rPr>
        <w:t>本标段</w:t>
      </w:r>
      <w:r>
        <w:rPr>
          <w:color w:val="000000" w:themeColor="text1"/>
          <w:spacing w:val="-1"/>
          <w:szCs w:val="24"/>
          <w:highlight w:val="none"/>
          <w:lang w:bidi="ar"/>
          <w14:textFill>
            <w14:solidFill>
              <w14:schemeClr w14:val="tx1"/>
            </w14:solidFill>
          </w14:textFill>
        </w:rPr>
        <w:t>的</w:t>
      </w:r>
      <w:r>
        <w:rPr>
          <w:rFonts w:hint="eastAsia"/>
          <w:color w:val="000000" w:themeColor="text1"/>
          <w:spacing w:val="-1"/>
          <w:szCs w:val="24"/>
          <w:highlight w:val="none"/>
          <w:lang w:bidi="ar"/>
          <w14:textFill>
            <w14:solidFill>
              <w14:schemeClr w14:val="tx1"/>
            </w14:solidFill>
          </w14:textFill>
        </w:rPr>
        <w:t>监理人或</w:t>
      </w:r>
      <w:r>
        <w:rPr>
          <w:color w:val="000000" w:themeColor="text1"/>
          <w:spacing w:val="-1"/>
          <w:szCs w:val="24"/>
          <w:highlight w:val="none"/>
          <w:lang w:bidi="ar"/>
          <w14:textFill>
            <w14:solidFill>
              <w14:schemeClr w14:val="tx1"/>
            </w14:solidFill>
          </w14:textFill>
        </w:rPr>
        <w:t>代建人或招标代理机构同为一个法定代表人；</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lang w:bidi="ar"/>
          <w14:textFill>
            <w14:solidFill>
              <w14:schemeClr w14:val="tx1"/>
            </w14:solidFill>
          </w14:textFill>
        </w:rPr>
      </w:pPr>
      <w:r>
        <w:rPr>
          <w:color w:val="000000" w:themeColor="text1"/>
          <w:spacing w:val="-1"/>
          <w:szCs w:val="24"/>
          <w:highlight w:val="none"/>
          <w:lang w:bidi="ar"/>
          <w14:textFill>
            <w14:solidFill>
              <w14:schemeClr w14:val="tx1"/>
            </w14:solidFill>
          </w14:textFill>
        </w:rPr>
        <w:t>（8）与</w:t>
      </w:r>
      <w:r>
        <w:rPr>
          <w:rFonts w:hint="eastAsia"/>
          <w:color w:val="000000" w:themeColor="text1"/>
          <w:spacing w:val="-1"/>
          <w:szCs w:val="24"/>
          <w:highlight w:val="none"/>
          <w:lang w:bidi="ar"/>
          <w14:textFill>
            <w14:solidFill>
              <w14:schemeClr w14:val="tx1"/>
            </w14:solidFill>
          </w14:textFill>
        </w:rPr>
        <w:t>本标段</w:t>
      </w:r>
      <w:r>
        <w:rPr>
          <w:color w:val="000000" w:themeColor="text1"/>
          <w:spacing w:val="-1"/>
          <w:szCs w:val="24"/>
          <w:highlight w:val="none"/>
          <w:lang w:bidi="ar"/>
          <w14:textFill>
            <w14:solidFill>
              <w14:schemeClr w14:val="tx1"/>
            </w14:solidFill>
          </w14:textFill>
        </w:rPr>
        <w:t>的</w:t>
      </w:r>
      <w:r>
        <w:rPr>
          <w:rFonts w:hint="eastAsia"/>
          <w:color w:val="000000" w:themeColor="text1"/>
          <w:spacing w:val="-1"/>
          <w:szCs w:val="24"/>
          <w:highlight w:val="none"/>
          <w:lang w:bidi="ar"/>
          <w14:textFill>
            <w14:solidFill>
              <w14:schemeClr w14:val="tx1"/>
            </w14:solidFill>
          </w14:textFill>
        </w:rPr>
        <w:t>监理人或</w:t>
      </w:r>
      <w:r>
        <w:rPr>
          <w:color w:val="000000" w:themeColor="text1"/>
          <w:spacing w:val="-1"/>
          <w:szCs w:val="24"/>
          <w:highlight w:val="none"/>
          <w:lang w:bidi="ar"/>
          <w14:textFill>
            <w14:solidFill>
              <w14:schemeClr w14:val="tx1"/>
            </w14:solidFill>
          </w14:textFill>
        </w:rPr>
        <w:t>代建人或招标代理机构存在控股或参股关系；</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lang w:bidi="ar"/>
          <w14:textFill>
            <w14:solidFill>
              <w14:schemeClr w14:val="tx1"/>
            </w14:solidFill>
          </w14:textFill>
        </w:rPr>
      </w:pPr>
      <w:r>
        <w:rPr>
          <w:color w:val="000000" w:themeColor="text1"/>
          <w:spacing w:val="-1"/>
          <w:szCs w:val="24"/>
          <w:highlight w:val="none"/>
          <w:lang w:bidi="ar"/>
          <w14:textFill>
            <w14:solidFill>
              <w14:schemeClr w14:val="tx1"/>
            </w14:solidFill>
          </w14:textFill>
        </w:rPr>
        <w:t>（9）与</w:t>
      </w:r>
      <w:r>
        <w:rPr>
          <w:rFonts w:hint="eastAsia"/>
          <w:color w:val="000000" w:themeColor="text1"/>
          <w:spacing w:val="-1"/>
          <w:szCs w:val="24"/>
          <w:highlight w:val="none"/>
          <w:lang w:bidi="ar"/>
          <w14:textFill>
            <w14:solidFill>
              <w14:schemeClr w14:val="tx1"/>
            </w14:solidFill>
          </w14:textFill>
        </w:rPr>
        <w:t>本标段</w:t>
      </w:r>
      <w:r>
        <w:rPr>
          <w:color w:val="000000" w:themeColor="text1"/>
          <w:spacing w:val="-1"/>
          <w:szCs w:val="24"/>
          <w:highlight w:val="none"/>
          <w:lang w:bidi="ar"/>
          <w14:textFill>
            <w14:solidFill>
              <w14:schemeClr w14:val="tx1"/>
            </w14:solidFill>
          </w14:textFill>
        </w:rPr>
        <w:t>的施工承包人以及建筑材料、建筑构配件和设备供应商有隶属关系或者其他利害关系；</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lang w:bidi="ar"/>
          <w14:textFill>
            <w14:solidFill>
              <w14:schemeClr w14:val="tx1"/>
            </w14:solidFill>
          </w14:textFill>
        </w:rPr>
      </w:pPr>
      <w:r>
        <w:rPr>
          <w:color w:val="000000" w:themeColor="text1"/>
          <w:spacing w:val="-1"/>
          <w:szCs w:val="24"/>
          <w:highlight w:val="none"/>
          <w:lang w:bidi="ar"/>
          <w14:textFill>
            <w14:solidFill>
              <w14:schemeClr w14:val="tx1"/>
            </w14:solidFill>
          </w14:textFill>
        </w:rPr>
        <w:t>（10）被依法暂停或者取消投标资格</w:t>
      </w:r>
      <w:r>
        <w:rPr>
          <w:rFonts w:hint="eastAsia"/>
          <w:color w:val="000000" w:themeColor="text1"/>
          <w:spacing w:val="-1"/>
          <w:szCs w:val="24"/>
          <w:highlight w:val="none"/>
          <w:lang w:bidi="ar"/>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lang w:bidi="ar"/>
          <w14:textFill>
            <w14:solidFill>
              <w14:schemeClr w14:val="tx1"/>
            </w14:solidFill>
          </w14:textFill>
        </w:rPr>
      </w:pPr>
      <w:r>
        <w:rPr>
          <w:color w:val="000000" w:themeColor="text1"/>
          <w:spacing w:val="-1"/>
          <w:szCs w:val="24"/>
          <w:highlight w:val="none"/>
          <w:lang w:bidi="ar"/>
          <w14:textFill>
            <w14:solidFill>
              <w14:schemeClr w14:val="tx1"/>
            </w14:solidFill>
          </w14:textFill>
        </w:rPr>
        <w:t>（11）被责令停产停业、暂扣或者吊销许可证、暂扣或者吊销执照</w:t>
      </w:r>
      <w:r>
        <w:rPr>
          <w:rFonts w:hint="eastAsia"/>
          <w:color w:val="000000" w:themeColor="text1"/>
          <w:spacing w:val="-1"/>
          <w:szCs w:val="24"/>
          <w:highlight w:val="none"/>
          <w:lang w:bidi="ar"/>
          <w14:textFill>
            <w14:solidFill>
              <w14:schemeClr w14:val="tx1"/>
            </w14:solidFill>
          </w14:textFill>
        </w:rPr>
        <w:t>（本项事实应当以根据《中华人民共和国行政处罚法》依法作出并已经生效的行政处罚决定为认定依据。）</w:t>
      </w:r>
      <w:r>
        <w:rPr>
          <w:color w:val="000000" w:themeColor="text1"/>
          <w:spacing w:val="-1"/>
          <w:szCs w:val="24"/>
          <w:highlight w:val="none"/>
          <w:lang w:bidi="ar"/>
          <w14:textFill>
            <w14:solidFill>
              <w14:schemeClr w14:val="tx1"/>
            </w14:solidFill>
          </w14:textFill>
        </w:rPr>
        <w:t>；</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lang w:bidi="ar"/>
          <w14:textFill>
            <w14:solidFill>
              <w14:schemeClr w14:val="tx1"/>
            </w14:solidFill>
          </w14:textFill>
        </w:rPr>
      </w:pPr>
      <w:r>
        <w:rPr>
          <w:color w:val="000000" w:themeColor="text1"/>
          <w:spacing w:val="-1"/>
          <w:szCs w:val="24"/>
          <w:highlight w:val="none"/>
          <w:lang w:bidi="ar"/>
          <w14:textFill>
            <w14:solidFill>
              <w14:schemeClr w14:val="tx1"/>
            </w14:solidFill>
          </w14:textFill>
        </w:rPr>
        <w:t>（12）进入清算程序，或被宣告破产，或其他丧失履约能力的情形；</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lang w:bidi="ar"/>
          <w14:textFill>
            <w14:solidFill>
              <w14:schemeClr w14:val="tx1"/>
            </w14:solidFill>
          </w14:textFill>
        </w:rPr>
      </w:pPr>
      <w:r>
        <w:rPr>
          <w:color w:val="000000" w:themeColor="text1"/>
          <w:spacing w:val="-1"/>
          <w:szCs w:val="24"/>
          <w:highlight w:val="none"/>
          <w:lang w:bidi="ar"/>
          <w14:textFill>
            <w14:solidFill>
              <w14:schemeClr w14:val="tx1"/>
            </w14:solidFill>
          </w14:textFill>
        </w:rPr>
        <w:t>（13）</w:t>
      </w:r>
      <w:r>
        <w:rPr>
          <w:rFonts w:hint="eastAsia"/>
          <w:color w:val="000000" w:themeColor="text1"/>
          <w:spacing w:val="-1"/>
          <w:szCs w:val="24"/>
          <w:highlight w:val="none"/>
          <w:lang w:bidi="ar"/>
          <w14:textFill>
            <w14:solidFill>
              <w14:schemeClr w14:val="tx1"/>
            </w14:solidFill>
          </w14:textFill>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color w:val="000000" w:themeColor="text1"/>
          <w:spacing w:val="-1"/>
          <w:szCs w:val="24"/>
          <w:highlight w:val="none"/>
          <w:lang w:bidi="ar"/>
          <w14:textFill>
            <w14:solidFill>
              <w14:schemeClr w14:val="tx1"/>
            </w14:solidFill>
          </w14:textFill>
        </w:rPr>
        <w:t>；</w:t>
      </w:r>
    </w:p>
    <w:p>
      <w:pPr>
        <w:pStyle w:val="33"/>
        <w:shd w:val="clear"/>
        <w:adjustRightInd w:val="0"/>
        <w:snapToGrid w:val="0"/>
        <w:spacing w:before="0" w:beforeAutospacing="0" w:after="0" w:afterAutospacing="0" w:line="360" w:lineRule="auto"/>
        <w:ind w:firstLine="476" w:firstLineChars="200"/>
        <w:rPr>
          <w:strike/>
          <w:color w:val="000000" w:themeColor="text1"/>
          <w:spacing w:val="-1"/>
          <w:szCs w:val="24"/>
          <w:highlight w:val="none"/>
          <w:lang w:bidi="ar"/>
          <w14:textFill>
            <w14:solidFill>
              <w14:schemeClr w14:val="tx1"/>
            </w14:solidFill>
          </w14:textFill>
        </w:rPr>
      </w:pPr>
      <w:r>
        <w:rPr>
          <w:strike/>
          <w:color w:val="000000" w:themeColor="text1"/>
          <w:spacing w:val="-1"/>
          <w:szCs w:val="24"/>
          <w:highlight w:val="none"/>
          <w:lang w:bidi="ar"/>
          <w14:textFill>
            <w14:solidFill>
              <w14:schemeClr w14:val="tx1"/>
            </w14:solidFill>
          </w14:textFill>
        </w:rPr>
        <w:t>（14）被工商行政管理机关在全国企业信用信息公示系统中列入严重违法失信企业名单；</w:t>
      </w:r>
    </w:p>
    <w:p>
      <w:pPr>
        <w:pStyle w:val="33"/>
        <w:shd w:val="clear"/>
        <w:adjustRightInd w:val="0"/>
        <w:snapToGrid w:val="0"/>
        <w:spacing w:before="0" w:beforeAutospacing="0" w:after="0" w:afterAutospacing="0" w:line="360" w:lineRule="auto"/>
        <w:ind w:firstLine="476" w:firstLineChars="200"/>
        <w:rPr>
          <w:strike/>
          <w:color w:val="000000" w:themeColor="text1"/>
          <w:spacing w:val="-1"/>
          <w:szCs w:val="24"/>
          <w:highlight w:val="none"/>
          <w:lang w:bidi="ar"/>
          <w14:textFill>
            <w14:solidFill>
              <w14:schemeClr w14:val="tx1"/>
            </w14:solidFill>
          </w14:textFill>
        </w:rPr>
      </w:pPr>
      <w:r>
        <w:rPr>
          <w:strike/>
          <w:color w:val="000000" w:themeColor="text1"/>
          <w:spacing w:val="-1"/>
          <w:szCs w:val="24"/>
          <w:highlight w:val="none"/>
          <w:lang w:bidi="ar"/>
          <w14:textFill>
            <w14:solidFill>
              <w14:schemeClr w14:val="tx1"/>
            </w14:solidFill>
          </w14:textFill>
        </w:rPr>
        <w:t>（15）被最高人民法院在“信用中国”网站（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strike/>
          <w:color w:val="000000" w:themeColor="text1"/>
          <w:highlight w:val="none"/>
          <w14:textFill>
            <w14:solidFill>
              <w14:schemeClr w14:val="tx1"/>
            </w14:solidFill>
          </w14:textFill>
        </w:rPr>
        <w:t>www.creditchina.gov.cn</w:t>
      </w:r>
      <w:r>
        <w:rPr>
          <w:strike/>
          <w:color w:val="000000" w:themeColor="text1"/>
          <w:highlight w:val="none"/>
          <w14:textFill>
            <w14:solidFill>
              <w14:schemeClr w14:val="tx1"/>
            </w14:solidFill>
          </w14:textFill>
        </w:rPr>
        <w:fldChar w:fldCharType="end"/>
      </w:r>
      <w:r>
        <w:rPr>
          <w:strike/>
          <w:color w:val="000000" w:themeColor="text1"/>
          <w:spacing w:val="-1"/>
          <w:szCs w:val="24"/>
          <w:highlight w:val="none"/>
          <w:lang w:bidi="ar"/>
          <w14:textFill>
            <w14:solidFill>
              <w14:schemeClr w14:val="tx1"/>
            </w14:solidFill>
          </w14:textFill>
        </w:rPr>
        <w:t>）或各级信用信息共享平台中列入失信被执行人名单；</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lang w:bidi="ar"/>
          <w14:textFill>
            <w14:solidFill>
              <w14:schemeClr w14:val="tx1"/>
            </w14:solidFill>
          </w14:textFill>
        </w:rPr>
      </w:pPr>
      <w:r>
        <w:rPr>
          <w:color w:val="000000" w:themeColor="text1"/>
          <w:spacing w:val="-1"/>
          <w:szCs w:val="24"/>
          <w:highlight w:val="none"/>
          <w:lang w:bidi="ar"/>
          <w14:textFill>
            <w14:solidFill>
              <w14:schemeClr w14:val="tx1"/>
            </w14:solidFill>
          </w14:textFill>
        </w:rPr>
        <w:t>（1</w:t>
      </w:r>
      <w:r>
        <w:rPr>
          <w:rFonts w:hint="eastAsia"/>
          <w:color w:val="000000" w:themeColor="text1"/>
          <w:spacing w:val="-1"/>
          <w:szCs w:val="24"/>
          <w:highlight w:val="none"/>
          <w:lang w:bidi="ar"/>
          <w14:textFill>
            <w14:solidFill>
              <w14:schemeClr w14:val="tx1"/>
            </w14:solidFill>
          </w14:textFill>
        </w:rPr>
        <w:t>4</w:t>
      </w:r>
      <w:r>
        <w:rPr>
          <w:color w:val="000000" w:themeColor="text1"/>
          <w:spacing w:val="-1"/>
          <w:szCs w:val="24"/>
          <w:highlight w:val="none"/>
          <w:lang w:bidi="ar"/>
          <w14:textFill>
            <w14:solidFill>
              <w14:schemeClr w14:val="tx1"/>
            </w14:solidFill>
          </w14:textFill>
        </w:rPr>
        <w:t>）在近三年内投标人或其法定代表人、拟委任的项目负责人有行贿犯罪行为的</w:t>
      </w:r>
      <w:r>
        <w:rPr>
          <w:strike/>
          <w:color w:val="000000" w:themeColor="text1"/>
          <w:spacing w:val="-1"/>
          <w:szCs w:val="24"/>
          <w:highlight w:val="none"/>
          <w:lang w:bidi="ar"/>
          <w14:textFill>
            <w14:solidFill>
              <w14:schemeClr w14:val="tx1"/>
            </w14:solidFill>
          </w14:textFill>
        </w:rPr>
        <w:t>（以检察机关职务犯罪预防部门出具的查询结果为准）</w:t>
      </w:r>
      <w:r>
        <w:rPr>
          <w:color w:val="000000" w:themeColor="text1"/>
          <w:spacing w:val="-1"/>
          <w:szCs w:val="24"/>
          <w:highlight w:val="none"/>
          <w:lang w:bidi="ar"/>
          <w14:textFill>
            <w14:solidFill>
              <w14:schemeClr w14:val="tx1"/>
            </w14:solidFill>
          </w14:textFill>
        </w:rPr>
        <w:t>；</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u w:val="single"/>
          <w:lang w:bidi="ar"/>
          <w14:textFill>
            <w14:solidFill>
              <w14:schemeClr w14:val="tx1"/>
            </w14:solidFill>
          </w14:textFill>
        </w:rPr>
      </w:pPr>
      <w:r>
        <w:rPr>
          <w:color w:val="000000" w:themeColor="text1"/>
          <w:spacing w:val="-1"/>
          <w:szCs w:val="24"/>
          <w:highlight w:val="none"/>
          <w:u w:val="single"/>
          <w:lang w:bidi="ar"/>
          <w14:textFill>
            <w14:solidFill>
              <w14:schemeClr w14:val="tx1"/>
            </w14:solidFill>
          </w14:textFill>
        </w:rPr>
        <w:t>（1</w:t>
      </w:r>
      <w:r>
        <w:rPr>
          <w:rFonts w:hint="eastAsia"/>
          <w:color w:val="000000" w:themeColor="text1"/>
          <w:spacing w:val="-1"/>
          <w:szCs w:val="24"/>
          <w:highlight w:val="none"/>
          <w:u w:val="single"/>
          <w:lang w:bidi="ar"/>
          <w14:textFill>
            <w14:solidFill>
              <w14:schemeClr w14:val="tx1"/>
            </w14:solidFill>
          </w14:textFill>
        </w:rPr>
        <w:t>5</w:t>
      </w:r>
      <w:r>
        <w:rPr>
          <w:color w:val="000000" w:themeColor="text1"/>
          <w:spacing w:val="-1"/>
          <w:szCs w:val="24"/>
          <w:highlight w:val="none"/>
          <w:u w:val="single"/>
          <w:lang w:bidi="ar"/>
          <w14:textFill>
            <w14:solidFill>
              <w14:schemeClr w14:val="tx1"/>
            </w14:solidFill>
          </w14:textFill>
        </w:rPr>
        <w:t>）本公司近二年（从招标公告发布年度起逆推2年的1月1日起至投标截止时间止）未因以往检测工作中存在伪造检测数据、出具虚假检测报告的行为被各级建设行政主管部门或市场监督管理部门行政处罚或通报的；</w:t>
      </w:r>
    </w:p>
    <w:p>
      <w:pPr>
        <w:pStyle w:val="33"/>
        <w:shd w:val="clear"/>
        <w:adjustRightInd w:val="0"/>
        <w:snapToGrid w:val="0"/>
        <w:spacing w:before="0" w:beforeAutospacing="0" w:after="0" w:afterAutospacing="0" w:line="360" w:lineRule="auto"/>
        <w:ind w:firstLine="476" w:firstLineChars="200"/>
        <w:rPr>
          <w:strike/>
          <w:color w:val="000000" w:themeColor="text1"/>
          <w:spacing w:val="-1"/>
          <w:szCs w:val="24"/>
          <w:highlight w:val="none"/>
          <w:u w:val="single"/>
          <w:lang w:bidi="ar"/>
          <w14:textFill>
            <w14:solidFill>
              <w14:schemeClr w14:val="tx1"/>
            </w14:solidFill>
          </w14:textFill>
        </w:rPr>
      </w:pPr>
      <w:r>
        <w:rPr>
          <w:strike/>
          <w:color w:val="000000" w:themeColor="text1"/>
          <w:spacing w:val="-1"/>
          <w:szCs w:val="24"/>
          <w:highlight w:val="none"/>
          <w:u w:val="single"/>
          <w:lang w:bidi="ar"/>
          <w14:textFill>
            <w14:solidFill>
              <w14:schemeClr w14:val="tx1"/>
            </w14:solidFill>
          </w14:textFill>
        </w:rPr>
        <w:t>（15）被列入失信联合惩戒名单且被限制参加建设工程投标的；</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u w:val="single"/>
          <w:lang w:bidi="ar"/>
          <w14:textFill>
            <w14:solidFill>
              <w14:schemeClr w14:val="tx1"/>
            </w14:solidFill>
          </w14:textFill>
        </w:rPr>
      </w:pPr>
      <w:r>
        <w:rPr>
          <w:rFonts w:hint="eastAsia"/>
          <w:color w:val="000000" w:themeColor="text1"/>
          <w:spacing w:val="-1"/>
          <w:szCs w:val="24"/>
          <w:highlight w:val="none"/>
          <w:u w:val="single"/>
          <w:lang w:bidi="ar"/>
          <w14:textFill>
            <w14:solidFill>
              <w14:schemeClr w14:val="tx1"/>
            </w14:solidFill>
          </w14:textFill>
        </w:rPr>
        <w:t>（16）未被列入拖欠农民工工资失信联合惩戒对象名单和失信被执行人（投标人无需提供资料，按投标截止时间广州交易集团有限公司（广州公共资源交易中心）交易系统比对的结果进行评审）。</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lang w:bidi="ar"/>
          <w14:textFill>
            <w14:solidFill>
              <w14:schemeClr w14:val="tx1"/>
            </w14:solidFill>
          </w14:textFill>
        </w:rPr>
      </w:pPr>
      <w:r>
        <w:rPr>
          <w:rFonts w:hint="eastAsia"/>
          <w:color w:val="000000" w:themeColor="text1"/>
          <w:spacing w:val="-1"/>
          <w:szCs w:val="24"/>
          <w:highlight w:val="none"/>
          <w:u w:val="single"/>
          <w:lang w:bidi="ar"/>
          <w14:textFill>
            <w14:solidFill>
              <w14:schemeClr w14:val="tx1"/>
            </w14:solidFill>
          </w14:textFill>
        </w:rPr>
        <w:t>（17）</w:t>
      </w:r>
      <w:r>
        <w:rPr>
          <w:color w:val="000000" w:themeColor="text1"/>
          <w:spacing w:val="-1"/>
          <w:szCs w:val="24"/>
          <w:highlight w:val="none"/>
          <w:u w:val="single"/>
          <w:lang w:bidi="ar"/>
          <w14:textFill>
            <w14:solidFill>
              <w14:schemeClr w14:val="tx1"/>
            </w14:solidFill>
          </w14:textFill>
        </w:rPr>
        <w:t>法律法规或投标人须知前附表规定的其他情形。</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 费用承担</w:t>
      </w:r>
    </w:p>
    <w:p>
      <w:pPr>
        <w:pStyle w:val="33"/>
        <w:widowControl w:val="0"/>
        <w:shd w:val="clear"/>
        <w:kinsoku w:val="0"/>
        <w:overflowPunct w:val="0"/>
        <w:spacing w:before="0" w:beforeAutospacing="0" w:after="0" w:afterAutospacing="0" w:line="360" w:lineRule="auto"/>
        <w:ind w:firstLine="476" w:firstLineChars="200"/>
        <w:jc w:val="both"/>
        <w:rPr>
          <w:rFonts w:ascii="Times New Roman" w:hAnsi="Times New Roman" w:cs="Times New Roman"/>
          <w:color w:val="000000" w:themeColor="text1"/>
          <w:spacing w:val="-1"/>
          <w:szCs w:val="24"/>
          <w:highlight w:val="none"/>
          <w14:textFill>
            <w14:solidFill>
              <w14:schemeClr w14:val="tx1"/>
            </w14:solidFill>
          </w14:textFill>
        </w:rPr>
      </w:pPr>
      <w:r>
        <w:rPr>
          <w:rFonts w:ascii="Times New Roman" w:hAnsi="Times New Roman" w:cs="Times New Roman"/>
          <w:color w:val="000000" w:themeColor="text1"/>
          <w:spacing w:val="-1"/>
          <w:kern w:val="2"/>
          <w:szCs w:val="24"/>
          <w:highlight w:val="none"/>
          <w:lang w:bidi="ar"/>
          <w14:textFill>
            <w14:solidFill>
              <w14:schemeClr w14:val="tx1"/>
            </w14:solidFill>
          </w14:textFill>
        </w:rPr>
        <w:t>投标人准备和参加投标活动发生的费用自理。</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30" w:name="bookmark26"/>
      <w:bookmarkEnd w:id="30"/>
      <w:r>
        <w:rPr>
          <w:color w:val="000000" w:themeColor="text1"/>
          <w:highlight w:val="none"/>
          <w14:textFill>
            <w14:solidFill>
              <w14:schemeClr w14:val="tx1"/>
            </w14:solidFill>
          </w14:textFill>
        </w:rPr>
        <w:t>1.6 保密</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参与招标投标活动的各方应对招标文件和投标文件中的商业和技术等秘密保密，否则应承担相应的法律责任。</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31" w:name="bookmark27"/>
      <w:bookmarkEnd w:id="31"/>
      <w:r>
        <w:rPr>
          <w:color w:val="000000" w:themeColor="text1"/>
          <w:highlight w:val="none"/>
          <w14:textFill>
            <w14:solidFill>
              <w14:schemeClr w14:val="tx1"/>
            </w14:solidFill>
          </w14:textFill>
        </w:rPr>
        <w:t>1.7 语言文字</w:t>
      </w:r>
    </w:p>
    <w:p>
      <w:pPr>
        <w:pStyle w:val="33"/>
        <w:widowControl w:val="0"/>
        <w:shd w:val="clear"/>
        <w:kinsoku w:val="0"/>
        <w:overflowPunct w:val="0"/>
        <w:spacing w:before="0" w:beforeAutospacing="0" w:after="0" w:afterAutospacing="0" w:line="360" w:lineRule="auto"/>
        <w:ind w:firstLine="360" w:firstLineChars="15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招标投标文件使用的语言文字为中文。专用术语使用外文的，应附有中文注释。</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32" w:name="bookmark28"/>
      <w:bookmarkEnd w:id="32"/>
      <w:r>
        <w:rPr>
          <w:color w:val="000000" w:themeColor="text1"/>
          <w:highlight w:val="none"/>
          <w14:textFill>
            <w14:solidFill>
              <w14:schemeClr w14:val="tx1"/>
            </w14:solidFill>
          </w14:textFill>
        </w:rPr>
        <w:t>1.8 计量单位</w:t>
      </w:r>
    </w:p>
    <w:p>
      <w:pPr>
        <w:pStyle w:val="33"/>
        <w:widowControl w:val="0"/>
        <w:shd w:val="clear"/>
        <w:kinsoku w:val="0"/>
        <w:overflowPunct w:val="0"/>
        <w:spacing w:before="0" w:beforeAutospacing="0" w:after="0" w:afterAutospacing="0" w:line="360" w:lineRule="auto"/>
        <w:ind w:firstLine="476" w:firstLineChars="200"/>
        <w:jc w:val="both"/>
        <w:rPr>
          <w:rFonts w:ascii="Times New Roman" w:hAnsi="Times New Roman" w:cs="Times New Roman"/>
          <w:color w:val="000000" w:themeColor="text1"/>
          <w:spacing w:val="-1"/>
          <w:szCs w:val="24"/>
          <w:highlight w:val="none"/>
          <w14:textFill>
            <w14:solidFill>
              <w14:schemeClr w14:val="tx1"/>
            </w14:solidFill>
          </w14:textFill>
        </w:rPr>
      </w:pPr>
      <w:r>
        <w:rPr>
          <w:rFonts w:ascii="Times New Roman" w:hAnsi="Times New Roman" w:cs="Times New Roman"/>
          <w:color w:val="000000" w:themeColor="text1"/>
          <w:spacing w:val="-1"/>
          <w:kern w:val="2"/>
          <w:szCs w:val="24"/>
          <w:highlight w:val="none"/>
          <w:lang w:bidi="ar"/>
          <w14:textFill>
            <w14:solidFill>
              <w14:schemeClr w14:val="tx1"/>
            </w14:solidFill>
          </w14:textFill>
        </w:rPr>
        <w:t>所有计量均采用中华人民共和国法定计量单位。</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33" w:name="bookmark29"/>
      <w:bookmarkEnd w:id="33"/>
      <w:r>
        <w:rPr>
          <w:color w:val="000000" w:themeColor="text1"/>
          <w:highlight w:val="none"/>
          <w14:textFill>
            <w14:solidFill>
              <w14:schemeClr w14:val="tx1"/>
            </w14:solidFill>
          </w14:textFill>
        </w:rPr>
        <w:t>1.9 踏勘现场</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1.9.1投标人须知前附表规定组织踏勘现场的，招标人按投标人须知前附表规定的时间、地点组织投标人踏勘项目现场。部分投标人未按时参加踏勘现场的，不影响踏勘现场的正常进行。</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1.9.2投标人踏勘现场发生的费用自理。</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1.9.3除招标人的原因外，投标人自行负责在踏勘现场中所发生的人员伤亡和财产损失。</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1.9.4招标人在踏勘现场中介绍的工程场地和相关的周边环境情况，供投标人在编制投标文件时参考，招标人不对投标人据此作出的判断和决策负责。</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34" w:name="bookmark30"/>
      <w:bookmarkEnd w:id="34"/>
      <w:r>
        <w:rPr>
          <w:color w:val="000000" w:themeColor="text1"/>
          <w:highlight w:val="none"/>
          <w14:textFill>
            <w14:solidFill>
              <w14:schemeClr w14:val="tx1"/>
            </w14:solidFill>
          </w14:textFill>
        </w:rPr>
        <w:t>1.10 投标预备会</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1.10.1投标人须知前附表规定召开投标预备会的，招标人按投标人须知前附表规定的时间和地点召开投标预备会，澄清投标人提出的问题。</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1.10.2投标人应按投标人须知前附表规定的时间和形式将提出的问题送达招标人，以便招标人在会议期间澄清。</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1.10.3投标预备会后，招标人将对投标人所提问题的澄清，以投标人须知前附表规定的形式通知所有潜在投标人。该澄清内容为招标文件的组成部分。</w:t>
      </w:r>
      <w:bookmarkStart w:id="35" w:name="bookmark31"/>
      <w:bookmarkEnd w:id="35"/>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1.11 分包</w:t>
      </w:r>
    </w:p>
    <w:p>
      <w:pPr>
        <w:pStyle w:val="33"/>
        <w:widowControl w:val="0"/>
        <w:shd w:val="clear"/>
        <w:kinsoku w:val="0"/>
        <w:overflowPunct w:val="0"/>
        <w:spacing w:before="0" w:beforeAutospacing="0" w:after="0" w:afterAutospacing="0" w:line="360" w:lineRule="auto"/>
        <w:ind w:firstLine="480" w:firstLineChars="200"/>
        <w:jc w:val="both"/>
        <w:rPr>
          <w:color w:val="000000" w:themeColor="text1"/>
          <w:szCs w:val="24"/>
          <w:highlight w:val="none"/>
          <w14:textFill>
            <w14:solidFill>
              <w14:schemeClr w14:val="tx1"/>
            </w14:solidFill>
          </w14:textFill>
        </w:rPr>
      </w:pPr>
      <w:r>
        <w:rPr>
          <w:rFonts w:hint="eastAsia"/>
          <w:color w:val="000000" w:themeColor="text1"/>
          <w:kern w:val="2"/>
          <w:szCs w:val="24"/>
          <w:highlight w:val="none"/>
          <w:lang w:bidi="ar"/>
          <w14:textFill>
            <w14:solidFill>
              <w14:schemeClr w14:val="tx1"/>
            </w14:solidFill>
          </w14:textFill>
        </w:rPr>
        <w:t>允许，具体按合同约定执行。</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36" w:name="bookmark32"/>
      <w:bookmarkEnd w:id="36"/>
      <w:r>
        <w:rPr>
          <w:color w:val="000000" w:themeColor="text1"/>
          <w:highlight w:val="none"/>
          <w14:textFill>
            <w14:solidFill>
              <w14:schemeClr w14:val="tx1"/>
            </w14:solidFill>
          </w14:textFill>
        </w:rPr>
        <w:t>1.12 响应和偏差</w:t>
      </w:r>
    </w:p>
    <w:p>
      <w:pPr>
        <w:pStyle w:val="33"/>
        <w:widowControl w:val="0"/>
        <w:shd w:val="clear"/>
        <w:kinsoku w:val="0"/>
        <w:overflowPunct w:val="0"/>
        <w:spacing w:before="0" w:beforeAutospacing="0" w:after="0" w:afterAutospacing="0" w:line="360" w:lineRule="auto"/>
        <w:ind w:right="-149" w:rightChars="-71"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1.12.1投标文件应当对招标文件的实质性要求和条件作出满足性或更有利于招标人的响应，否则，投标人的投标将被否决。实质性要求和条件见投标人须知前附表。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1.12.2投标人应根据招标文件的要求提供技术方案等内容以对招标文件作出响应。</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1.12.3投标人须知前附表允许投标文件偏离招标文件某些要求的，偏差应当符合招标文件规定的偏差范围和幅度。</w:t>
      </w:r>
    </w:p>
    <w:p>
      <w:pPr>
        <w:pStyle w:val="3"/>
        <w:keepNext w:val="0"/>
        <w:keepLines w:val="0"/>
        <w:shd w:val="clear"/>
        <w:spacing w:before="0" w:after="0" w:line="360" w:lineRule="auto"/>
        <w:jc w:val="left"/>
        <w:rPr>
          <w:rFonts w:ascii="Times New Roman" w:hAnsi="Times New Roman" w:eastAsia="宋体"/>
          <w:color w:val="000000" w:themeColor="text1"/>
          <w:highlight w:val="none"/>
          <w14:textFill>
            <w14:solidFill>
              <w14:schemeClr w14:val="tx1"/>
            </w14:solidFill>
          </w14:textFill>
        </w:rPr>
      </w:pPr>
      <w:bookmarkStart w:id="37" w:name="_Toc16702"/>
      <w:bookmarkStart w:id="38" w:name="_Toc47987325"/>
      <w:bookmarkStart w:id="39" w:name="_Toc47376766"/>
      <w:bookmarkStart w:id="40" w:name="_Toc7907"/>
      <w:r>
        <w:rPr>
          <w:rFonts w:ascii="Times New Roman" w:hAnsi="Times New Roman" w:eastAsia="宋体"/>
          <w:color w:val="000000" w:themeColor="text1"/>
          <w:highlight w:val="none"/>
          <w14:textFill>
            <w14:solidFill>
              <w14:schemeClr w14:val="tx1"/>
            </w14:solidFill>
          </w14:textFill>
        </w:rPr>
        <w:t>2.招标文件</w:t>
      </w:r>
      <w:bookmarkEnd w:id="37"/>
      <w:bookmarkEnd w:id="38"/>
      <w:bookmarkEnd w:id="39"/>
      <w:bookmarkEnd w:id="40"/>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41" w:name="bookmark34"/>
      <w:bookmarkEnd w:id="41"/>
      <w:bookmarkStart w:id="42" w:name="bookmark35"/>
      <w:bookmarkEnd w:id="42"/>
      <w:r>
        <w:rPr>
          <w:color w:val="000000" w:themeColor="text1"/>
          <w:highlight w:val="none"/>
          <w14:textFill>
            <w14:solidFill>
              <w14:schemeClr w14:val="tx1"/>
            </w14:solidFill>
          </w14:textFill>
        </w:rPr>
        <w:t>2.1 招标文件的组成</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本招标文件包括：</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（1）招标公告；</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（2）投标人须知；</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（3）评标办法；</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（4）合同条款及格式；</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（5）委托人要求；</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（6）投标文件格式；</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（7）投标人须知前附表规定的其他资料。</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根据本章第1.10款、第2.2款和第2.3款对招标文件所作的澄清、修改，构成招标文件的组成部分。</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2.2 招标文件的澄清</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2.2.2招标文件的澄清以投标人须知前附表规定的形式发给所有潜在投标人，但不指明澄清问题的来源。澄清发出的时间距本章第4.2.1项规定的投标截止时间不足15日的，并且澄清内容可能影响投标文件编制的，将相应延长投标截止时间。</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2.2.3 投标人在收到澄清后，应按投标人须知前附表规定的时间和形式通知招标人，确认已收到该澄清。</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2.2.4除非招标人认为确有必要答复，否则，招标人有权拒绝回复投标人在本章第2.2.1项规定的时间后的任何澄清要求。</w:t>
      </w:r>
    </w:p>
    <w:p>
      <w:pPr>
        <w:shd w:val="clear"/>
        <w:spacing w:line="360" w:lineRule="auto"/>
        <w:rPr>
          <w:color w:val="000000" w:themeColor="text1"/>
          <w:highlight w:val="none"/>
          <w14:textFill>
            <w14:solidFill>
              <w14:schemeClr w14:val="tx1"/>
            </w14:solidFill>
          </w14:textFill>
        </w:rPr>
      </w:pP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43" w:name="bookmark36"/>
      <w:bookmarkEnd w:id="43"/>
      <w:r>
        <w:rPr>
          <w:color w:val="000000" w:themeColor="text1"/>
          <w:highlight w:val="none"/>
          <w14:textFill>
            <w14:solidFill>
              <w14:schemeClr w14:val="tx1"/>
            </w14:solidFill>
          </w14:textFill>
        </w:rPr>
        <w:t>2.3 招标文件的修改</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2.3.1招标人以投标人须知前附表规定的形式修改招标文件，并通知所有潜在投标人。修改招标文件的时间距本章第4.2.1项规定的投标截止时间不足15日的，并且修改内容可能影响投标文件编制的，将相应延长投标截止时间。</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2.3.2投标人收到修改内容后，应按投标人须知前附表规定的时间和形式通知招标人，确认已收到该修改。</w:t>
      </w:r>
    </w:p>
    <w:p>
      <w:pPr>
        <w:shd w:val="clear"/>
        <w:spacing w:line="360" w:lineRule="auto"/>
        <w:rPr>
          <w:color w:val="000000" w:themeColor="text1"/>
          <w:highlight w:val="none"/>
          <w14:textFill>
            <w14:solidFill>
              <w14:schemeClr w14:val="tx1"/>
            </w14:solidFill>
          </w14:textFill>
        </w:rPr>
      </w:pP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44" w:name="bookmark37"/>
      <w:bookmarkEnd w:id="44"/>
      <w:r>
        <w:rPr>
          <w:color w:val="000000" w:themeColor="text1"/>
          <w:highlight w:val="none"/>
          <w14:textFill>
            <w14:solidFill>
              <w14:schemeClr w14:val="tx1"/>
            </w14:solidFill>
          </w14:textFill>
        </w:rPr>
        <w:t>2.4 招标文件的异议</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投标人或者其他利害关系人对招标文件有异议的，应当在投标截止时间10日前以书面形式提出。招标人将在收到异议之日起3日内作出答复；作出答复前，将暂停招标投标活动。</w:t>
      </w:r>
    </w:p>
    <w:p>
      <w:pPr>
        <w:pStyle w:val="3"/>
        <w:keepNext w:val="0"/>
        <w:keepLines w:val="0"/>
        <w:shd w:val="clear"/>
        <w:spacing w:before="0" w:after="0" w:line="360" w:lineRule="auto"/>
        <w:jc w:val="left"/>
        <w:rPr>
          <w:rFonts w:ascii="Times New Roman" w:hAnsi="Times New Roman" w:eastAsia="宋体"/>
          <w:color w:val="000000" w:themeColor="text1"/>
          <w:highlight w:val="none"/>
          <w14:textFill>
            <w14:solidFill>
              <w14:schemeClr w14:val="tx1"/>
            </w14:solidFill>
          </w14:textFill>
        </w:rPr>
      </w:pPr>
      <w:bookmarkStart w:id="45" w:name="_Toc47376767"/>
      <w:bookmarkStart w:id="46" w:name="_Toc47987326"/>
      <w:bookmarkStart w:id="47" w:name="_Toc18520"/>
      <w:bookmarkStart w:id="48" w:name="_Toc27922"/>
      <w:r>
        <w:rPr>
          <w:rFonts w:ascii="Times New Roman" w:hAnsi="Times New Roman" w:eastAsia="宋体"/>
          <w:color w:val="000000" w:themeColor="text1"/>
          <w:highlight w:val="none"/>
          <w14:textFill>
            <w14:solidFill>
              <w14:schemeClr w14:val="tx1"/>
            </w14:solidFill>
          </w14:textFill>
        </w:rPr>
        <w:t>3. 投标文件</w:t>
      </w:r>
      <w:bookmarkEnd w:id="45"/>
      <w:bookmarkEnd w:id="46"/>
      <w:bookmarkEnd w:id="47"/>
      <w:bookmarkEnd w:id="48"/>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49" w:name="bookmark39"/>
      <w:bookmarkEnd w:id="49"/>
      <w:r>
        <w:rPr>
          <w:color w:val="000000" w:themeColor="text1"/>
          <w:highlight w:val="none"/>
          <w14:textFill>
            <w14:solidFill>
              <w14:schemeClr w14:val="tx1"/>
            </w14:solidFill>
          </w14:textFill>
        </w:rPr>
        <w:t>3.1 投标文件的组成</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3.1.1投标文件应包括下列内容：</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（1）投标函及其附表；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w:t>
      </w:r>
      <w:bookmarkStart w:id="50" w:name="_Hlk66785893"/>
      <w:r>
        <w:rPr>
          <w:color w:val="000000" w:themeColor="text1"/>
          <w:sz w:val="24"/>
          <w:szCs w:val="24"/>
          <w:highlight w:val="none"/>
          <w:lang w:bidi="ar"/>
          <w14:textFill>
            <w14:solidFill>
              <w14:schemeClr w14:val="tx1"/>
            </w14:solidFill>
          </w14:textFill>
        </w:rPr>
        <w:t>法定代表人证明书及授权委托书；</w:t>
      </w:r>
      <w:bookmarkEnd w:id="50"/>
    </w:p>
    <w:p>
      <w:pPr>
        <w:shd w:val="clear"/>
        <w:spacing w:line="360" w:lineRule="auto"/>
        <w:ind w:firstLine="480" w:firstLineChars="200"/>
        <w:rPr>
          <w:strike/>
          <w:color w:val="000000" w:themeColor="text1"/>
          <w:sz w:val="24"/>
          <w:szCs w:val="24"/>
          <w:highlight w:val="none"/>
          <w14:textFill>
            <w14:solidFill>
              <w14:schemeClr w14:val="tx1"/>
            </w14:solidFill>
          </w14:textFill>
        </w:rPr>
      </w:pPr>
      <w:r>
        <w:rPr>
          <w:strike/>
          <w:color w:val="000000" w:themeColor="text1"/>
          <w:sz w:val="24"/>
          <w:szCs w:val="24"/>
          <w:highlight w:val="none"/>
          <w:lang w:bidi="ar"/>
          <w14:textFill>
            <w14:solidFill>
              <w14:schemeClr w14:val="tx1"/>
            </w14:solidFill>
          </w14:textFill>
        </w:rPr>
        <w:t>（3）投标保证金；</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（4）投标报价书；</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（5）资格审查资料；</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（6）近年承接的类似项目情况表；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（7）拟投入本项目的</w:t>
      </w:r>
      <w:bookmarkStart w:id="51" w:name="_Hlk55473652"/>
      <w:r>
        <w:rPr>
          <w:color w:val="000000" w:themeColor="text1"/>
          <w:sz w:val="24"/>
          <w:szCs w:val="24"/>
          <w:highlight w:val="none"/>
          <w:lang w:bidi="ar"/>
          <w14:textFill>
            <w14:solidFill>
              <w14:schemeClr w14:val="tx1"/>
            </w14:solidFill>
          </w14:textFill>
        </w:rPr>
        <w:t>人员</w:t>
      </w:r>
      <w:bookmarkEnd w:id="51"/>
      <w:r>
        <w:rPr>
          <w:color w:val="000000" w:themeColor="text1"/>
          <w:sz w:val="24"/>
          <w:szCs w:val="24"/>
          <w:highlight w:val="none"/>
          <w:lang w:bidi="ar"/>
          <w14:textFill>
            <w14:solidFill>
              <w14:schemeClr w14:val="tx1"/>
            </w14:solidFill>
          </w14:textFill>
        </w:rPr>
        <w:t>一览表；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（8）拟投入本项目的项目负责人简历表；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（9）拟投入本项目的主要仪器设备一览表；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（10）检测、监测方案：根据招标人提供的技术要求及资料，编制有针对性的检测、监测服务方案；</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（11）工期承诺书；</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color w:val="000000" w:themeColor="text1"/>
          <w:sz w:val="24"/>
          <w:szCs w:val="24"/>
          <w:highlight w:val="none"/>
          <w:lang w:bidi="ar"/>
          <w14:textFill>
            <w14:solidFill>
              <w14:schemeClr w14:val="tx1"/>
            </w14:solidFill>
          </w14:textFill>
        </w:rPr>
        <w:t>（12）其他资料。投标人须知前附表规定的其他资料和投标人根据招标文件第三章《</w:t>
      </w:r>
      <w:bookmarkStart w:id="52" w:name="_Hlk117269363"/>
      <w:r>
        <w:rPr>
          <w:color w:val="000000" w:themeColor="text1"/>
          <w:sz w:val="24"/>
          <w:szCs w:val="24"/>
          <w:highlight w:val="none"/>
          <w:lang w:bidi="ar"/>
          <w14:textFill>
            <w14:solidFill>
              <w14:schemeClr w14:val="tx1"/>
            </w14:solidFill>
          </w14:textFill>
        </w:rPr>
        <w:t>评</w:t>
      </w:r>
      <w:r>
        <w:rPr>
          <w:rFonts w:hint="eastAsia"/>
          <w:color w:val="000000" w:themeColor="text1"/>
          <w:sz w:val="24"/>
          <w:szCs w:val="24"/>
          <w:highlight w:val="none"/>
          <w:lang w:bidi="ar"/>
          <w14:textFill>
            <w14:solidFill>
              <w14:schemeClr w14:val="tx1"/>
            </w14:solidFill>
          </w14:textFill>
        </w:rPr>
        <w:t>标</w:t>
      </w:r>
      <w:r>
        <w:rPr>
          <w:color w:val="000000" w:themeColor="text1"/>
          <w:sz w:val="24"/>
          <w:szCs w:val="24"/>
          <w:highlight w:val="none"/>
          <w:lang w:bidi="ar"/>
          <w14:textFill>
            <w14:solidFill>
              <w14:schemeClr w14:val="tx1"/>
            </w14:solidFill>
          </w14:textFill>
        </w:rPr>
        <w:t>办法</w:t>
      </w:r>
      <w:bookmarkEnd w:id="52"/>
      <w:r>
        <w:rPr>
          <w:color w:val="000000" w:themeColor="text1"/>
          <w:sz w:val="24"/>
          <w:szCs w:val="24"/>
          <w:highlight w:val="none"/>
          <w:lang w:bidi="ar"/>
          <w14:textFill>
            <w14:solidFill>
              <w14:schemeClr w14:val="tx1"/>
            </w14:solidFill>
          </w14:textFill>
        </w:rPr>
        <w:t>》中“企业综合实力”评审内容提供的其他相关资料，投标人认为有必要提交的其他资料。</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投标人在评标过程中作出的符合法律法规和招标文件规定的澄清确认，构成投标文件的组成部分。</w:t>
      </w:r>
    </w:p>
    <w:p>
      <w:pPr>
        <w:shd w:val="clear"/>
        <w:spacing w:line="360" w:lineRule="auto"/>
        <w:ind w:firstLine="480" w:firstLineChars="200"/>
        <w:rPr>
          <w:strike/>
          <w:color w:val="000000" w:themeColor="text1"/>
          <w:sz w:val="24"/>
          <w:szCs w:val="24"/>
          <w:highlight w:val="none"/>
          <w14:textFill>
            <w14:solidFill>
              <w14:schemeClr w14:val="tx1"/>
            </w14:solidFill>
          </w14:textFill>
        </w:rPr>
      </w:pPr>
      <w:r>
        <w:rPr>
          <w:strike/>
          <w:color w:val="000000" w:themeColor="text1"/>
          <w:sz w:val="24"/>
          <w:szCs w:val="24"/>
          <w:highlight w:val="none"/>
          <w:lang w:bidi="ar"/>
          <w14:textFill>
            <w14:solidFill>
              <w14:schemeClr w14:val="tx1"/>
            </w14:solidFill>
          </w14:textFill>
        </w:rPr>
        <w:t>3.1.2投标人须知前附表未要求提交投标保证金的，投标文件不包括本章第3.1.1（3）所指的投标保证金。</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53" w:name="bookmark40"/>
      <w:bookmarkEnd w:id="53"/>
      <w:r>
        <w:rPr>
          <w:color w:val="000000" w:themeColor="text1"/>
          <w:highlight w:val="none"/>
          <w14:textFill>
            <w14:solidFill>
              <w14:schemeClr w14:val="tx1"/>
            </w14:solidFill>
          </w14:textFill>
        </w:rPr>
        <w:t>3.2 投标报价</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3.2.1投标报价应包括国家规定的增值税税金，除投标人须知前附表另有规定外，增值税税金按一般计税方法计算。投标人应按第六章“投标文件格式”的要求在投标函中进行报价并填写报价书。</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3.2.2投标人应充分了解该项目的总体情况以及影响投标报价的其他要素。</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3.2.3本项目的报价方式见投标人须知前附表。投标人在投标截止时间前修改投标函中的投标报价总额，应同时修改投标文件“投标报价书”中的相应报价。此修改须符合本章第4.3款的有关要求。</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3.2.4招标人设有最高投标限价的，投标人的投标报价不得超过最高投标限价，最高投标限价在投标人须知前附表中载明。</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3.2.5投标报价的其他要求见投标人须知前附表。</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54" w:name="bookmark41"/>
      <w:bookmarkEnd w:id="54"/>
      <w:r>
        <w:rPr>
          <w:color w:val="000000" w:themeColor="text1"/>
          <w:highlight w:val="none"/>
          <w14:textFill>
            <w14:solidFill>
              <w14:schemeClr w14:val="tx1"/>
            </w14:solidFill>
          </w14:textFill>
        </w:rPr>
        <w:t>3.3 投标有效期</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3.3.1除投标人须知前附表另有规定外，投标有效期为90天。</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3.3.2在投标有效期内，投标人撤销投标文件的，应承担招标文件和法律规定的责任。</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3.3.3出现特殊情况需要延长投标有效期的，招标人以书面形式通知所有投标人延长投标有效期。投标人应予以书面答复，同意延长的，</w:t>
      </w:r>
      <w:r>
        <w:rPr>
          <w:strike/>
          <w:color w:val="000000" w:themeColor="text1"/>
          <w:sz w:val="24"/>
          <w:szCs w:val="24"/>
          <w:highlight w:val="none"/>
          <w:lang w:bidi="ar"/>
          <w14:textFill>
            <w14:solidFill>
              <w14:schemeClr w14:val="tx1"/>
            </w14:solidFill>
          </w14:textFill>
        </w:rPr>
        <w:t>应相应延长其投标保证金的有效期，但</w:t>
      </w:r>
      <w:r>
        <w:rPr>
          <w:color w:val="000000" w:themeColor="text1"/>
          <w:sz w:val="24"/>
          <w:szCs w:val="24"/>
          <w:highlight w:val="none"/>
          <w:lang w:bidi="ar"/>
          <w14:textFill>
            <w14:solidFill>
              <w14:schemeClr w14:val="tx1"/>
            </w14:solidFill>
          </w14:textFill>
        </w:rPr>
        <w:t>不得要求或被允许修改其投标文件；投标人拒绝延长的，其投标失效，</w:t>
      </w:r>
      <w:r>
        <w:rPr>
          <w:strike/>
          <w:color w:val="000000" w:themeColor="text1"/>
          <w:sz w:val="24"/>
          <w:szCs w:val="24"/>
          <w:highlight w:val="none"/>
          <w:lang w:bidi="ar"/>
          <w14:textFill>
            <w14:solidFill>
              <w14:schemeClr w14:val="tx1"/>
            </w14:solidFill>
          </w14:textFill>
        </w:rPr>
        <w:t>但投标人有权收回其投标保证金及以现金或者支票形式递交的投标保证金的银行同期存款利息</w:t>
      </w:r>
      <w:r>
        <w:rPr>
          <w:color w:val="000000" w:themeColor="text1"/>
          <w:sz w:val="24"/>
          <w:szCs w:val="24"/>
          <w:highlight w:val="none"/>
          <w:lang w:bidi="ar"/>
          <w14:textFill>
            <w14:solidFill>
              <w14:schemeClr w14:val="tx1"/>
            </w14:solidFill>
          </w14:textFill>
        </w:rPr>
        <w:t>。</w:t>
      </w:r>
    </w:p>
    <w:p>
      <w:pPr>
        <w:pStyle w:val="6"/>
        <w:widowControl/>
        <w:shd w:val="clear"/>
        <w:kinsoku w:val="0"/>
        <w:overflowPunct w:val="0"/>
        <w:spacing w:before="0" w:after="0" w:line="360" w:lineRule="auto"/>
        <w:rPr>
          <w:strike/>
          <w:color w:val="000000" w:themeColor="text1"/>
          <w:highlight w:val="none"/>
          <w14:textFill>
            <w14:solidFill>
              <w14:schemeClr w14:val="tx1"/>
            </w14:solidFill>
          </w14:textFill>
        </w:rPr>
      </w:pPr>
      <w:bookmarkStart w:id="55" w:name="bookmark42"/>
      <w:bookmarkEnd w:id="55"/>
      <w:r>
        <w:rPr>
          <w:strike/>
          <w:color w:val="000000" w:themeColor="text1"/>
          <w:highlight w:val="none"/>
          <w14:textFill>
            <w14:solidFill>
              <w14:schemeClr w14:val="tx1"/>
            </w14:solidFill>
          </w14:textFill>
        </w:rPr>
        <w:t>3.4 投标保证金</w:t>
      </w:r>
    </w:p>
    <w:p>
      <w:pPr>
        <w:shd w:val="clear"/>
        <w:spacing w:line="360" w:lineRule="auto"/>
        <w:ind w:firstLine="480" w:firstLineChars="200"/>
        <w:rPr>
          <w:strike/>
          <w:color w:val="000000" w:themeColor="text1"/>
          <w:sz w:val="24"/>
          <w:szCs w:val="24"/>
          <w:highlight w:val="none"/>
          <w14:textFill>
            <w14:solidFill>
              <w14:schemeClr w14:val="tx1"/>
            </w14:solidFill>
          </w14:textFill>
        </w:rPr>
      </w:pPr>
      <w:r>
        <w:rPr>
          <w:strike/>
          <w:color w:val="000000" w:themeColor="text1"/>
          <w:sz w:val="24"/>
          <w:szCs w:val="24"/>
          <w:highlight w:val="none"/>
          <w:lang w:bidi="ar"/>
          <w14:textFill>
            <w14:solidFill>
              <w14:schemeClr w14:val="tx1"/>
            </w14:solidFill>
          </w14:textFill>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w:t>
      </w:r>
    </w:p>
    <w:p>
      <w:pPr>
        <w:shd w:val="clear"/>
        <w:spacing w:line="360" w:lineRule="auto"/>
        <w:ind w:firstLine="480" w:firstLineChars="200"/>
        <w:rPr>
          <w:strike/>
          <w:color w:val="000000" w:themeColor="text1"/>
          <w:sz w:val="24"/>
          <w:szCs w:val="24"/>
          <w:highlight w:val="none"/>
          <w14:textFill>
            <w14:solidFill>
              <w14:schemeClr w14:val="tx1"/>
            </w14:solidFill>
          </w14:textFill>
        </w:rPr>
      </w:pPr>
      <w:r>
        <w:rPr>
          <w:strike/>
          <w:color w:val="000000" w:themeColor="text1"/>
          <w:sz w:val="24"/>
          <w:szCs w:val="24"/>
          <w:highlight w:val="none"/>
          <w:lang w:bidi="ar"/>
          <w14:textFill>
            <w14:solidFill>
              <w14:schemeClr w14:val="tx1"/>
            </w14:solidFill>
          </w14:textFill>
        </w:rPr>
        <w:t>3.4.2投标人不按本章第3.4.1项要求提交投标保证金的，评标委员会将否决其投标。</w:t>
      </w:r>
    </w:p>
    <w:p>
      <w:pPr>
        <w:shd w:val="clear"/>
        <w:spacing w:line="360" w:lineRule="auto"/>
        <w:ind w:firstLine="480" w:firstLineChars="200"/>
        <w:rPr>
          <w:strike/>
          <w:color w:val="000000" w:themeColor="text1"/>
          <w:sz w:val="24"/>
          <w:szCs w:val="24"/>
          <w:highlight w:val="none"/>
          <w:lang w:bidi="ar"/>
          <w14:textFill>
            <w14:solidFill>
              <w14:schemeClr w14:val="tx1"/>
            </w14:solidFill>
          </w14:textFill>
        </w:rPr>
      </w:pPr>
      <w:r>
        <w:rPr>
          <w:strike/>
          <w:color w:val="000000" w:themeColor="text1"/>
          <w:sz w:val="24"/>
          <w:szCs w:val="24"/>
          <w:highlight w:val="none"/>
          <w:lang w:bidi="ar"/>
          <w14:textFill>
            <w14:solidFill>
              <w14:schemeClr w14:val="tx1"/>
            </w14:solidFill>
          </w14:textFill>
        </w:rPr>
        <w:t>3.4.3招标人最迟将在与中标人签订合同后5日内，向未中标的投标人和中标人退还投标保证金。投标保证金以现金或者支票形式递交的，还应退还银行同期存款利息。</w:t>
      </w:r>
    </w:p>
    <w:p>
      <w:pPr>
        <w:shd w:val="clear"/>
        <w:spacing w:line="360" w:lineRule="auto"/>
        <w:ind w:firstLine="480" w:firstLineChars="200"/>
        <w:rPr>
          <w:strike/>
          <w:color w:val="000000" w:themeColor="text1"/>
          <w:sz w:val="24"/>
          <w:szCs w:val="24"/>
          <w:highlight w:val="none"/>
          <w14:textFill>
            <w14:solidFill>
              <w14:schemeClr w14:val="tx1"/>
            </w14:solidFill>
          </w14:textFill>
        </w:rPr>
      </w:pPr>
      <w:r>
        <w:rPr>
          <w:strike/>
          <w:color w:val="000000" w:themeColor="text1"/>
          <w:sz w:val="24"/>
          <w:szCs w:val="24"/>
          <w:highlight w:val="none"/>
          <w:lang w:bidi="ar"/>
          <w14:textFill>
            <w14:solidFill>
              <w14:schemeClr w14:val="tx1"/>
            </w14:solidFill>
          </w14:textFill>
        </w:rPr>
        <w:t>3.4.4有下列情形之一的，投标保证金将不予退还：</w:t>
      </w:r>
    </w:p>
    <w:p>
      <w:pPr>
        <w:shd w:val="clear"/>
        <w:spacing w:line="360" w:lineRule="auto"/>
        <w:ind w:firstLine="480" w:firstLineChars="200"/>
        <w:rPr>
          <w:strike/>
          <w:color w:val="000000" w:themeColor="text1"/>
          <w:sz w:val="24"/>
          <w:szCs w:val="24"/>
          <w:highlight w:val="none"/>
          <w14:textFill>
            <w14:solidFill>
              <w14:schemeClr w14:val="tx1"/>
            </w14:solidFill>
          </w14:textFill>
        </w:rPr>
      </w:pPr>
      <w:r>
        <w:rPr>
          <w:strike/>
          <w:color w:val="000000" w:themeColor="text1"/>
          <w:sz w:val="24"/>
          <w:szCs w:val="24"/>
          <w:highlight w:val="none"/>
          <w:lang w:bidi="ar"/>
          <w14:textFill>
            <w14:solidFill>
              <w14:schemeClr w14:val="tx1"/>
            </w14:solidFill>
          </w14:textFill>
        </w:rPr>
        <w:t>（1）投标人在投标有效期内撤销投标标书；</w:t>
      </w:r>
    </w:p>
    <w:p>
      <w:pPr>
        <w:shd w:val="clear"/>
        <w:spacing w:line="360" w:lineRule="auto"/>
        <w:ind w:firstLine="480" w:firstLineChars="200"/>
        <w:rPr>
          <w:b/>
          <w:strike/>
          <w:color w:val="000000" w:themeColor="text1"/>
          <w:sz w:val="24"/>
          <w:szCs w:val="24"/>
          <w:highlight w:val="none"/>
          <w14:textFill>
            <w14:solidFill>
              <w14:schemeClr w14:val="tx1"/>
            </w14:solidFill>
          </w14:textFill>
        </w:rPr>
      </w:pPr>
      <w:r>
        <w:rPr>
          <w:strike/>
          <w:color w:val="000000" w:themeColor="text1"/>
          <w:sz w:val="24"/>
          <w:szCs w:val="24"/>
          <w:highlight w:val="none"/>
          <w:lang w:bidi="ar"/>
          <w14:textFill>
            <w14:solidFill>
              <w14:schemeClr w14:val="tx1"/>
            </w14:solidFill>
          </w14:textFill>
        </w:rPr>
        <w:t>（2）中标人未能在规定期限内按要求提交履约担保；</w:t>
      </w:r>
    </w:p>
    <w:p>
      <w:pPr>
        <w:shd w:val="clear"/>
        <w:spacing w:line="360" w:lineRule="auto"/>
        <w:ind w:firstLine="480" w:firstLineChars="200"/>
        <w:rPr>
          <w:strike/>
          <w:color w:val="000000" w:themeColor="text1"/>
          <w:sz w:val="24"/>
          <w:szCs w:val="24"/>
          <w:highlight w:val="none"/>
          <w14:textFill>
            <w14:solidFill>
              <w14:schemeClr w14:val="tx1"/>
            </w14:solidFill>
          </w14:textFill>
        </w:rPr>
      </w:pPr>
      <w:r>
        <w:rPr>
          <w:strike/>
          <w:color w:val="000000" w:themeColor="text1"/>
          <w:sz w:val="24"/>
          <w:szCs w:val="24"/>
          <w:highlight w:val="none"/>
          <w:lang w:bidi="ar"/>
          <w14:textFill>
            <w14:solidFill>
              <w14:schemeClr w14:val="tx1"/>
            </w14:solidFill>
          </w14:textFill>
        </w:rPr>
        <w:t>（3）中标人未能在规定期限内签署合同协议；</w:t>
      </w:r>
    </w:p>
    <w:p>
      <w:pPr>
        <w:shd w:val="clear"/>
        <w:spacing w:line="360" w:lineRule="auto"/>
        <w:ind w:firstLine="480" w:firstLineChars="200"/>
        <w:rPr>
          <w:strike/>
          <w:color w:val="000000" w:themeColor="text1"/>
          <w:highlight w:val="none"/>
          <w14:textFill>
            <w14:solidFill>
              <w14:schemeClr w14:val="tx1"/>
            </w14:solidFill>
          </w14:textFill>
        </w:rPr>
      </w:pPr>
      <w:r>
        <w:rPr>
          <w:strike/>
          <w:color w:val="000000" w:themeColor="text1"/>
          <w:sz w:val="24"/>
          <w:szCs w:val="24"/>
          <w:highlight w:val="none"/>
          <w:lang w:bidi="ar"/>
          <w14:textFill>
            <w14:solidFill>
              <w14:schemeClr w14:val="tx1"/>
            </w14:solidFill>
          </w14:textFill>
        </w:rPr>
        <w:t>（4）发生投标人须知前附表规定的其他可以不予退还投标保证金的情形。</w:t>
      </w:r>
    </w:p>
    <w:p>
      <w:pPr>
        <w:pStyle w:val="6"/>
        <w:widowControl/>
        <w:shd w:val="clear"/>
        <w:kinsoku w:val="0"/>
        <w:overflowPunct w:val="0"/>
        <w:spacing w:before="0" w:after="0" w:line="360" w:lineRule="auto"/>
        <w:rPr>
          <w:strike/>
          <w:color w:val="000000" w:themeColor="text1"/>
          <w:highlight w:val="none"/>
          <w14:textFill>
            <w14:solidFill>
              <w14:schemeClr w14:val="tx1"/>
            </w14:solidFill>
          </w14:textFill>
        </w:rPr>
      </w:pPr>
      <w:bookmarkStart w:id="56" w:name="bookmark43"/>
      <w:bookmarkEnd w:id="56"/>
      <w:r>
        <w:rPr>
          <w:strike/>
          <w:color w:val="000000" w:themeColor="text1"/>
          <w:highlight w:val="none"/>
          <w14:textFill>
            <w14:solidFill>
              <w14:schemeClr w14:val="tx1"/>
            </w14:solidFill>
          </w14:textFill>
        </w:rPr>
        <w:t>3.5 资格审查资料（适用于已进行资格预审的）</w:t>
      </w:r>
    </w:p>
    <w:p>
      <w:pPr>
        <w:shd w:val="clear"/>
        <w:spacing w:line="360" w:lineRule="auto"/>
        <w:rPr>
          <w:color w:val="000000" w:themeColor="text1"/>
          <w:highlight w:val="none"/>
          <w14:textFill>
            <w14:solidFill>
              <w14:schemeClr w14:val="tx1"/>
            </w14:solidFill>
          </w14:textFill>
        </w:rPr>
      </w:pPr>
      <w:r>
        <w:rPr>
          <w:strike/>
          <w:color w:val="000000" w:themeColor="text1"/>
          <w:sz w:val="24"/>
          <w:szCs w:val="24"/>
          <w:highlight w:val="none"/>
          <w:lang w:bidi="ar"/>
          <w14:textFill>
            <w14:solidFill>
              <w14:schemeClr w14:val="tx1"/>
            </w14:solidFill>
          </w14:textFill>
        </w:rPr>
        <w:t>投标人在递交投标文件前，发生可能影响其投标资格的新情况的，应更新或补充其在申请资格预审时提供的资料，以证实其各项资格条件仍能继续满足资格预审文件的要求，且没有实质性降低。</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57" w:name="bookmark44"/>
      <w:bookmarkEnd w:id="57"/>
      <w:r>
        <w:rPr>
          <w:color w:val="000000" w:themeColor="text1"/>
          <w:highlight w:val="none"/>
          <w14:textFill>
            <w14:solidFill>
              <w14:schemeClr w14:val="tx1"/>
            </w14:solidFill>
          </w14:textFill>
        </w:rPr>
        <w:t>3.5 资格审查资料（适用于未进行资格预审的）</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 xml:space="preserve">除投标人须知前附表另有规定外，投标人应按下列规定提供资格审查资料，以证明其满足本章第1.4款规定的资质、财务、业绩、信誉等要求。 </w:t>
      </w:r>
    </w:p>
    <w:p>
      <w:pPr>
        <w:shd w:val="clear"/>
        <w:spacing w:line="360" w:lineRule="auto"/>
        <w:ind w:firstLine="480" w:firstLineChars="200"/>
        <w:rPr>
          <w:color w:val="000000" w:themeColor="text1"/>
          <w:sz w:val="24"/>
          <w:szCs w:val="24"/>
          <w:highlight w:val="none"/>
          <w:u w:val="single"/>
          <w14:textFill>
            <w14:solidFill>
              <w14:schemeClr w14:val="tx1"/>
            </w14:solidFill>
          </w14:textFill>
        </w:rPr>
      </w:pPr>
      <w:r>
        <w:rPr>
          <w:color w:val="000000" w:themeColor="text1"/>
          <w:sz w:val="24"/>
          <w:szCs w:val="24"/>
          <w:highlight w:val="none"/>
          <w:u w:val="single"/>
          <w:lang w:bidi="ar"/>
          <w14:textFill>
            <w14:solidFill>
              <w14:schemeClr w14:val="tx1"/>
            </w14:solidFill>
          </w14:textFill>
        </w:rPr>
        <w:t>3.5.1“投标人基本情况表”应附投标人营业执照或事业单位法人证书、建设行政主管部门颁发的建设工程质量检测机构资质证书、质量技术监督部门颁发的CMA计量认证合格证书、工程勘察资质证书以及其他相关证明材料的</w:t>
      </w:r>
      <w:bookmarkStart w:id="58" w:name="_Hlk66956957"/>
      <w:r>
        <w:rPr>
          <w:color w:val="000000" w:themeColor="text1"/>
          <w:sz w:val="24"/>
          <w:szCs w:val="24"/>
          <w:highlight w:val="none"/>
          <w:u w:val="single"/>
          <w:lang w:bidi="ar"/>
          <w14:textFill>
            <w14:solidFill>
              <w14:schemeClr w14:val="tx1"/>
            </w14:solidFill>
          </w14:textFill>
        </w:rPr>
        <w:t>原件扫描件。</w:t>
      </w:r>
      <w:bookmarkEnd w:id="58"/>
    </w:p>
    <w:p>
      <w:pPr>
        <w:shd w:val="clear"/>
        <w:spacing w:line="360" w:lineRule="auto"/>
        <w:ind w:firstLine="480" w:firstLineChars="200"/>
        <w:rPr>
          <w:strike/>
          <w:color w:val="000000" w:themeColor="text1"/>
          <w:sz w:val="24"/>
          <w:szCs w:val="24"/>
          <w:highlight w:val="none"/>
          <w14:textFill>
            <w14:solidFill>
              <w14:schemeClr w14:val="tx1"/>
            </w14:solidFill>
          </w14:textFill>
        </w:rPr>
      </w:pPr>
      <w:r>
        <w:rPr>
          <w:strike/>
          <w:color w:val="000000" w:themeColor="text1"/>
          <w:sz w:val="24"/>
          <w:szCs w:val="24"/>
          <w:highlight w:val="none"/>
          <w:lang w:bidi="ar"/>
          <w14:textFill>
            <w14:solidFill>
              <w14:schemeClr w14:val="tx1"/>
            </w14:solidFill>
          </w14:textFill>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shd w:val="clear"/>
        <w:spacing w:line="360" w:lineRule="auto"/>
        <w:ind w:firstLine="480" w:firstLineChars="200"/>
        <w:rPr>
          <w:strike/>
          <w:color w:val="000000" w:themeColor="text1"/>
          <w:sz w:val="24"/>
          <w:szCs w:val="24"/>
          <w:highlight w:val="none"/>
          <w14:textFill>
            <w14:solidFill>
              <w14:schemeClr w14:val="tx1"/>
            </w14:solidFill>
          </w14:textFill>
        </w:rPr>
      </w:pPr>
      <w:r>
        <w:rPr>
          <w:strike/>
          <w:color w:val="000000" w:themeColor="text1"/>
          <w:sz w:val="24"/>
          <w:szCs w:val="24"/>
          <w:highlight w:val="none"/>
          <w:lang w:bidi="ar"/>
          <w14:textFill>
            <w14:solidFill>
              <w14:schemeClr w14:val="tx1"/>
            </w14:solidFill>
          </w14:textFill>
        </w:rPr>
        <w:t>3.5.3“近年承接的类似项目情况表”应附中标通知书和（或）合同协议书、委托人出具的证明文件；具体时间要求见投标人须知前附表，每张表格只填写一个项目，并标明序号。</w:t>
      </w:r>
    </w:p>
    <w:p>
      <w:pPr>
        <w:shd w:val="clear"/>
        <w:spacing w:line="360" w:lineRule="auto"/>
        <w:ind w:firstLine="480" w:firstLineChars="200"/>
        <w:rPr>
          <w:strike/>
          <w:color w:val="000000" w:themeColor="text1"/>
          <w:sz w:val="24"/>
          <w:szCs w:val="24"/>
          <w:highlight w:val="none"/>
          <w14:textFill>
            <w14:solidFill>
              <w14:schemeClr w14:val="tx1"/>
            </w14:solidFill>
          </w14:textFill>
        </w:rPr>
      </w:pPr>
      <w:r>
        <w:rPr>
          <w:strike/>
          <w:color w:val="000000" w:themeColor="text1"/>
          <w:sz w:val="24"/>
          <w:szCs w:val="24"/>
          <w:highlight w:val="none"/>
          <w:lang w:bidi="ar"/>
          <w14:textFill>
            <w14:solidFill>
              <w14:schemeClr w14:val="tx1"/>
            </w14:solidFill>
          </w14:textFill>
        </w:rPr>
        <w:t>3.5.4 “正在承接的类似项目情况表”应附中标通知书和（或）合同协议书复印件。每张表格只填写一个项目，并标明序号。</w:t>
      </w:r>
    </w:p>
    <w:p>
      <w:pPr>
        <w:shd w:val="clear"/>
        <w:spacing w:line="360" w:lineRule="auto"/>
        <w:ind w:firstLine="480" w:firstLineChars="200"/>
        <w:rPr>
          <w:strike/>
          <w:color w:val="000000" w:themeColor="text1"/>
          <w:sz w:val="24"/>
          <w:szCs w:val="24"/>
          <w:highlight w:val="none"/>
          <w14:textFill>
            <w14:solidFill>
              <w14:schemeClr w14:val="tx1"/>
            </w14:solidFill>
          </w14:textFill>
        </w:rPr>
      </w:pPr>
      <w:r>
        <w:rPr>
          <w:strike/>
          <w:color w:val="000000" w:themeColor="text1"/>
          <w:sz w:val="24"/>
          <w:szCs w:val="24"/>
          <w:highlight w:val="none"/>
          <w:lang w:bidi="ar"/>
          <w14:textFill>
            <w14:solidFill>
              <w14:schemeClr w14:val="tx1"/>
            </w14:solidFill>
          </w14:textFill>
        </w:rPr>
        <w:t>3.5.5“近年发生的诉讼及仲裁情况”应说明投标人败诉的服务合同的相关情况，并附法院或仲裁机构作出的判决、裁决等有关法律文书复印件，具体时间要求见投标人须知前附表。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strike/>
          <w:color w:val="000000" w:themeColor="text1"/>
          <w:sz w:val="24"/>
          <w:szCs w:val="24"/>
          <w:highlight w:val="none"/>
          <w:lang w:bidi="ar"/>
          <w14:textFill>
            <w14:solidFill>
              <w14:schemeClr w14:val="tx1"/>
            </w14:solidFill>
          </w14:textFill>
        </w:rPr>
        <w:t>3.5.6“拟投入本项目的人员一览表”应填报满足本章第1.4.1项规定的项目负责人和其他主要人员的相关信息。“主要人员简历表”中项目负责人应附</w:t>
      </w:r>
      <w:r>
        <w:rPr>
          <w:strike/>
          <w:color w:val="000000" w:themeColor="text1"/>
          <w:sz w:val="24"/>
          <w:highlight w:val="none"/>
          <w:lang w:bidi="ar"/>
          <w14:textFill>
            <w14:solidFill>
              <w14:schemeClr w14:val="tx1"/>
            </w14:solidFill>
          </w14:textFill>
        </w:rPr>
        <w:t>身份证、学历证、职称证、执业资格证</w:t>
      </w:r>
      <w:r>
        <w:rPr>
          <w:strike/>
          <w:color w:val="000000" w:themeColor="text1"/>
          <w:sz w:val="24"/>
          <w:szCs w:val="24"/>
          <w:highlight w:val="none"/>
          <w:lang w:bidi="ar"/>
          <w14:textFill>
            <w14:solidFill>
              <w14:schemeClr w14:val="tx1"/>
            </w14:solidFill>
          </w14:textFill>
        </w:rPr>
        <w:t>和社保缴费证明，</w:t>
      </w:r>
      <w:r>
        <w:rPr>
          <w:strike/>
          <w:color w:val="000000" w:themeColor="text1"/>
          <w:sz w:val="24"/>
          <w:highlight w:val="none"/>
          <w:lang w:bidi="ar"/>
          <w14:textFill>
            <w14:solidFill>
              <w14:schemeClr w14:val="tx1"/>
            </w14:solidFill>
          </w14:textFill>
        </w:rPr>
        <w:t>主持过的项目业绩须附合同协议书复印件</w:t>
      </w:r>
      <w:r>
        <w:rPr>
          <w:strike/>
          <w:color w:val="000000" w:themeColor="text1"/>
          <w:sz w:val="24"/>
          <w:szCs w:val="24"/>
          <w:highlight w:val="none"/>
          <w:lang w:bidi="ar"/>
          <w14:textFill>
            <w14:solidFill>
              <w14:schemeClr w14:val="tx1"/>
            </w14:solidFill>
          </w14:textFill>
        </w:rPr>
        <w:t>；其他主要人员应附身份证、学历证、职称证、有关证书和社保缴费证明复印件</w:t>
      </w:r>
      <w:r>
        <w:rPr>
          <w:color w:val="000000" w:themeColor="text1"/>
          <w:sz w:val="24"/>
          <w:szCs w:val="24"/>
          <w:highlight w:val="none"/>
          <w:lang w:bidi="ar"/>
          <w14:textFill>
            <w14:solidFill>
              <w14:schemeClr w14:val="tx1"/>
            </w14:solidFill>
          </w14:textFill>
        </w:rPr>
        <w:t>。</w:t>
      </w:r>
    </w:p>
    <w:p>
      <w:pPr>
        <w:shd w:val="clear"/>
        <w:spacing w:line="360" w:lineRule="auto"/>
        <w:ind w:firstLine="480" w:firstLineChars="200"/>
        <w:rPr>
          <w:strike/>
          <w:color w:val="000000" w:themeColor="text1"/>
          <w:sz w:val="24"/>
          <w:szCs w:val="24"/>
          <w:highlight w:val="none"/>
          <w14:textFill>
            <w14:solidFill>
              <w14:schemeClr w14:val="tx1"/>
            </w14:solidFill>
          </w14:textFill>
        </w:rPr>
      </w:pPr>
      <w:r>
        <w:rPr>
          <w:strike/>
          <w:color w:val="000000" w:themeColor="text1"/>
          <w:sz w:val="24"/>
          <w:szCs w:val="24"/>
          <w:highlight w:val="none"/>
          <w:lang w:bidi="ar"/>
          <w14:textFill>
            <w14:solidFill>
              <w14:schemeClr w14:val="tx1"/>
            </w14:solidFill>
          </w14:textFill>
        </w:rPr>
        <w:t>3.5.7“拟投入本项目的主要试验检验仪器设备表”应填报满足本章第1.4.1项规定的试验检测仪器设备。</w:t>
      </w:r>
    </w:p>
    <w:p>
      <w:pPr>
        <w:shd w:val="clear"/>
        <w:spacing w:line="360" w:lineRule="auto"/>
        <w:ind w:firstLine="480" w:firstLineChars="200"/>
        <w:rPr>
          <w:strike/>
          <w:color w:val="000000" w:themeColor="text1"/>
          <w:sz w:val="24"/>
          <w:szCs w:val="24"/>
          <w:highlight w:val="none"/>
          <w:u w:val="single"/>
          <w:lang w:bidi="ar"/>
          <w14:textFill>
            <w14:solidFill>
              <w14:schemeClr w14:val="tx1"/>
            </w14:solidFill>
          </w14:textFill>
        </w:rPr>
      </w:pPr>
      <w:r>
        <w:rPr>
          <w:strike/>
          <w:color w:val="000000" w:themeColor="text1"/>
          <w:sz w:val="24"/>
          <w:szCs w:val="24"/>
          <w:highlight w:val="none"/>
          <w:u w:val="single"/>
          <w:lang w:bidi="ar"/>
          <w14:textFill>
            <w14:solidFill>
              <w14:schemeClr w14:val="tx1"/>
            </w14:solidFill>
          </w14:textFill>
        </w:rPr>
        <w:t>3.5.8投标人须知前附表规定接受联合体投标的，本章第3.5.1项至第3.5.7项规定的资料应包括联合体各方相关情况。</w:t>
      </w:r>
    </w:p>
    <w:p>
      <w:pPr>
        <w:shd w:val="clear"/>
        <w:spacing w:line="360" w:lineRule="auto"/>
        <w:ind w:firstLine="480" w:firstLineChars="200"/>
        <w:rPr>
          <w:color w:val="000000" w:themeColor="text1"/>
          <w:sz w:val="24"/>
          <w:szCs w:val="24"/>
          <w:highlight w:val="none"/>
          <w:u w:val="single"/>
          <w:lang w:bidi="ar"/>
          <w14:textFill>
            <w14:solidFill>
              <w14:schemeClr w14:val="tx1"/>
            </w14:solidFill>
          </w14:textFill>
        </w:rPr>
      </w:pPr>
      <w:r>
        <w:rPr>
          <w:color w:val="000000" w:themeColor="text1"/>
          <w:sz w:val="24"/>
          <w:szCs w:val="24"/>
          <w:highlight w:val="none"/>
          <w:u w:val="single"/>
          <w:lang w:bidi="ar"/>
          <w14:textFill>
            <w14:solidFill>
              <w14:schemeClr w14:val="tx1"/>
            </w14:solidFill>
          </w14:textFill>
        </w:rPr>
        <w:t>3.5.2</w:t>
      </w:r>
      <w:bookmarkStart w:id="59" w:name="_Hlk66956943"/>
      <w:r>
        <w:rPr>
          <w:color w:val="000000" w:themeColor="text1"/>
          <w:sz w:val="24"/>
          <w:szCs w:val="24"/>
          <w:highlight w:val="none"/>
          <w:u w:val="single"/>
          <w:lang w:bidi="ar"/>
          <w14:textFill>
            <w14:solidFill>
              <w14:schemeClr w14:val="tx1"/>
            </w14:solidFill>
          </w14:textFill>
        </w:rPr>
        <w:t>投标人（联合体各成员）在投标登记前已在广州市住建行业信用管理平台登记企业信息的网页截图。</w:t>
      </w:r>
      <w:bookmarkEnd w:id="59"/>
    </w:p>
    <w:p>
      <w:pPr>
        <w:shd w:val="clear"/>
        <w:spacing w:line="360" w:lineRule="auto"/>
        <w:ind w:firstLine="480" w:firstLineChars="200"/>
        <w:rPr>
          <w:color w:val="000000" w:themeColor="text1"/>
          <w:sz w:val="24"/>
          <w:szCs w:val="24"/>
          <w:highlight w:val="none"/>
          <w:u w:val="single"/>
          <w14:textFill>
            <w14:solidFill>
              <w14:schemeClr w14:val="tx1"/>
            </w14:solidFill>
          </w14:textFill>
        </w:rPr>
      </w:pPr>
      <w:r>
        <w:rPr>
          <w:color w:val="000000" w:themeColor="text1"/>
          <w:sz w:val="24"/>
          <w:szCs w:val="24"/>
          <w:highlight w:val="none"/>
          <w:u w:val="single"/>
          <w:lang w:bidi="ar"/>
          <w14:textFill>
            <w14:solidFill>
              <w14:schemeClr w14:val="tx1"/>
            </w14:solidFill>
          </w14:textFill>
        </w:rPr>
        <w:t>3.5.</w:t>
      </w:r>
      <w:bookmarkStart w:id="60" w:name="_Hlk55474455"/>
      <w:r>
        <w:rPr>
          <w:color w:val="000000" w:themeColor="text1"/>
          <w:sz w:val="24"/>
          <w:szCs w:val="24"/>
          <w:highlight w:val="none"/>
          <w:u w:val="single"/>
          <w:lang w:bidi="ar"/>
          <w14:textFill>
            <w14:solidFill>
              <w14:schemeClr w14:val="tx1"/>
            </w14:solidFill>
          </w14:textFill>
        </w:rPr>
        <w:t>3</w:t>
      </w:r>
      <w:bookmarkEnd w:id="60"/>
      <w:bookmarkStart w:id="61" w:name="_Hlk66957194"/>
      <w:r>
        <w:rPr>
          <w:color w:val="000000" w:themeColor="text1"/>
          <w:sz w:val="24"/>
          <w:szCs w:val="24"/>
          <w:highlight w:val="none"/>
          <w:u w:val="single"/>
          <w:lang w:bidi="ar"/>
          <w14:textFill>
            <w14:solidFill>
              <w14:schemeClr w14:val="tx1"/>
            </w14:solidFill>
          </w14:textFill>
        </w:rPr>
        <w:t>拟投入本项目的项目负责人的身份证、技术职称证书、社保证明材料等相关资料。</w:t>
      </w:r>
      <w:bookmarkEnd w:id="61"/>
    </w:p>
    <w:p>
      <w:pPr>
        <w:shd w:val="clear"/>
        <w:spacing w:line="360" w:lineRule="auto"/>
        <w:ind w:firstLine="480" w:firstLineChars="200"/>
        <w:rPr>
          <w:color w:val="000000" w:themeColor="text1"/>
          <w:sz w:val="24"/>
          <w:szCs w:val="24"/>
          <w:highlight w:val="none"/>
          <w:u w:val="single"/>
          <w14:textFill>
            <w14:solidFill>
              <w14:schemeClr w14:val="tx1"/>
            </w14:solidFill>
          </w14:textFill>
        </w:rPr>
      </w:pPr>
      <w:r>
        <w:rPr>
          <w:color w:val="000000" w:themeColor="text1"/>
          <w:sz w:val="24"/>
          <w:szCs w:val="24"/>
          <w:highlight w:val="none"/>
          <w:u w:val="single"/>
          <w:lang w:bidi="ar"/>
          <w14:textFill>
            <w14:solidFill>
              <w14:schemeClr w14:val="tx1"/>
            </w14:solidFill>
          </w14:textFill>
        </w:rPr>
        <w:t>3.5.4投标人已按照招标文件提供的格式和内容签署盖章的《投标人声明》。</w:t>
      </w:r>
    </w:p>
    <w:p>
      <w:pPr>
        <w:shd w:val="clear"/>
        <w:spacing w:line="360" w:lineRule="auto"/>
        <w:ind w:firstLine="480" w:firstLineChars="200"/>
        <w:rPr>
          <w:color w:val="000000" w:themeColor="text1"/>
          <w:sz w:val="24"/>
          <w:szCs w:val="24"/>
          <w:highlight w:val="none"/>
          <w:u w:val="single"/>
          <w:lang w:bidi="ar"/>
          <w14:textFill>
            <w14:solidFill>
              <w14:schemeClr w14:val="tx1"/>
            </w14:solidFill>
          </w14:textFill>
        </w:rPr>
      </w:pPr>
      <w:r>
        <w:rPr>
          <w:color w:val="000000" w:themeColor="text1"/>
          <w:sz w:val="24"/>
          <w:szCs w:val="24"/>
          <w:highlight w:val="none"/>
          <w:u w:val="single"/>
          <w:lang w:bidi="ar"/>
          <w14:textFill>
            <w14:solidFill>
              <w14:schemeClr w14:val="tx1"/>
            </w14:solidFill>
          </w14:textFill>
        </w:rPr>
        <w:t>3.5.5</w:t>
      </w:r>
      <w:r>
        <w:rPr>
          <w:rFonts w:hint="eastAsia"/>
          <w:color w:val="000000" w:themeColor="text1"/>
          <w:sz w:val="24"/>
          <w:szCs w:val="24"/>
          <w:highlight w:val="none"/>
          <w:u w:val="single"/>
          <w:lang w:bidi="ar"/>
          <w14:textFill>
            <w14:solidFill>
              <w14:schemeClr w14:val="tx1"/>
            </w14:solidFill>
          </w14:textFill>
        </w:rPr>
        <w:t>联合体共同投标协议书</w:t>
      </w:r>
      <w:r>
        <w:rPr>
          <w:color w:val="000000" w:themeColor="text1"/>
          <w:sz w:val="24"/>
          <w:szCs w:val="24"/>
          <w:highlight w:val="none"/>
          <w:u w:val="single"/>
          <w:lang w:bidi="ar"/>
          <w14:textFill>
            <w14:solidFill>
              <w14:schemeClr w14:val="tx1"/>
            </w14:solidFill>
          </w14:textFill>
        </w:rPr>
        <w:t>（</w:t>
      </w:r>
      <w:bookmarkStart w:id="62" w:name="_Hlk67663181"/>
      <w:r>
        <w:rPr>
          <w:color w:val="000000" w:themeColor="text1"/>
          <w:sz w:val="24"/>
          <w:szCs w:val="24"/>
          <w:highlight w:val="none"/>
          <w:u w:val="single"/>
          <w:lang w:bidi="ar"/>
          <w14:textFill>
            <w14:solidFill>
              <w14:schemeClr w14:val="tx1"/>
            </w14:solidFill>
          </w14:textFill>
        </w:rPr>
        <w:t>投标人以联合体投标的需提供</w:t>
      </w:r>
      <w:bookmarkEnd w:id="62"/>
      <w:r>
        <w:rPr>
          <w:color w:val="000000" w:themeColor="text1"/>
          <w:sz w:val="24"/>
          <w:szCs w:val="24"/>
          <w:highlight w:val="none"/>
          <w:u w:val="single"/>
          <w:lang w:bidi="ar"/>
          <w14:textFill>
            <w14:solidFill>
              <w14:schemeClr w14:val="tx1"/>
            </w14:solidFill>
          </w14:textFill>
        </w:rPr>
        <w:t>）。</w:t>
      </w:r>
    </w:p>
    <w:p>
      <w:pPr>
        <w:shd w:val="clear"/>
        <w:spacing w:line="360" w:lineRule="auto"/>
        <w:ind w:firstLine="480" w:firstLineChars="200"/>
        <w:rPr>
          <w:color w:val="000000" w:themeColor="text1"/>
          <w:sz w:val="24"/>
          <w:szCs w:val="24"/>
          <w:highlight w:val="none"/>
          <w:u w:val="single"/>
          <w14:textFill>
            <w14:solidFill>
              <w14:schemeClr w14:val="tx1"/>
            </w14:solidFill>
          </w14:textFill>
        </w:rPr>
      </w:pPr>
      <w:r>
        <w:rPr>
          <w:color w:val="000000" w:themeColor="text1"/>
          <w:sz w:val="24"/>
          <w:szCs w:val="24"/>
          <w:highlight w:val="none"/>
          <w:u w:val="single"/>
          <w:lang w:bidi="ar"/>
          <w14:textFill>
            <w14:solidFill>
              <w14:schemeClr w14:val="tx1"/>
            </w14:solidFill>
          </w14:textFill>
        </w:rPr>
        <w:t>3.5.</w:t>
      </w:r>
      <w:bookmarkStart w:id="63" w:name="_Hlk55475238"/>
      <w:r>
        <w:rPr>
          <w:color w:val="000000" w:themeColor="text1"/>
          <w:sz w:val="24"/>
          <w:szCs w:val="24"/>
          <w:highlight w:val="none"/>
          <w:u w:val="single"/>
          <w:lang w:bidi="ar"/>
          <w14:textFill>
            <w14:solidFill>
              <w14:schemeClr w14:val="tx1"/>
            </w14:solidFill>
          </w14:textFill>
        </w:rPr>
        <w:t>6投标人须知前附表规定接受联合体投标的，本章第3.5.1项至第3.5.2项规定的资料应包括联合体各方相关情况。</w:t>
      </w:r>
      <w:bookmarkEnd w:id="63"/>
    </w:p>
    <w:p>
      <w:pPr>
        <w:shd w:val="clear"/>
        <w:spacing w:line="360" w:lineRule="auto"/>
        <w:ind w:firstLine="480" w:firstLineChars="200"/>
        <w:rPr>
          <w:color w:val="000000" w:themeColor="text1"/>
          <w:sz w:val="24"/>
          <w:szCs w:val="24"/>
          <w:highlight w:val="none"/>
          <w14:textFill>
            <w14:solidFill>
              <w14:schemeClr w14:val="tx1"/>
            </w14:solidFill>
          </w14:textFill>
        </w:rPr>
      </w:pP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64" w:name="bookmark45"/>
      <w:bookmarkEnd w:id="64"/>
      <w:r>
        <w:rPr>
          <w:color w:val="000000" w:themeColor="text1"/>
          <w:highlight w:val="none"/>
          <w14:textFill>
            <w14:solidFill>
              <w14:schemeClr w14:val="tx1"/>
            </w14:solidFill>
          </w14:textFill>
        </w:rPr>
        <w:t>3.6 备选投标方案</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3.6.1除投标人须知前附表规定允许外，投标人不得递交备选投标方案，否则其投标将被否决。</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3.6.3投标人提供两个或两个以上投标报价，或者在投标文件中提供一个报价，但同时提供两个或两个以上服务方案的，视为提供备选方案。</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65" w:name="bookmark46"/>
      <w:bookmarkEnd w:id="65"/>
      <w:r>
        <w:rPr>
          <w:color w:val="000000" w:themeColor="text1"/>
          <w:highlight w:val="none"/>
          <w14:textFill>
            <w14:solidFill>
              <w14:schemeClr w14:val="tx1"/>
            </w14:solidFill>
          </w14:textFill>
        </w:rPr>
        <w:t>3.7 投标文件的编制</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3.7.1投标文件应按第六章“投标文件格式”进行编写，如有必要，可以增加附页，作为投标文件的组成部分。</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3.7.2投标文件应当对招标文件有关服务期限、投标有效期、委托人要求、招标范围等实质性内容作出响应。</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3.7.3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证明书，由代理人签字或加盖电子印章的，应附由法定代表人签署的授权委托书。签字或盖章的具体要求见投标人须知前附表。</w:t>
      </w:r>
    </w:p>
    <w:p>
      <w:pPr>
        <w:pStyle w:val="3"/>
        <w:keepNext w:val="0"/>
        <w:keepLines w:val="0"/>
        <w:shd w:val="clear"/>
        <w:spacing w:before="0" w:after="0" w:line="360" w:lineRule="auto"/>
        <w:jc w:val="left"/>
        <w:rPr>
          <w:rFonts w:ascii="Times New Roman" w:hAnsi="Times New Roman" w:eastAsia="宋体"/>
          <w:color w:val="000000" w:themeColor="text1"/>
          <w:highlight w:val="none"/>
          <w14:textFill>
            <w14:solidFill>
              <w14:schemeClr w14:val="tx1"/>
            </w14:solidFill>
          </w14:textFill>
        </w:rPr>
      </w:pPr>
      <w:bookmarkStart w:id="66" w:name="_Toc15125"/>
      <w:bookmarkStart w:id="67" w:name="_Toc47376768"/>
      <w:bookmarkStart w:id="68" w:name="_Toc28302"/>
      <w:bookmarkStart w:id="69" w:name="_Toc47987327"/>
      <w:r>
        <w:rPr>
          <w:rFonts w:ascii="Times New Roman" w:hAnsi="Times New Roman" w:eastAsia="宋体"/>
          <w:color w:val="000000" w:themeColor="text1"/>
          <w:highlight w:val="none"/>
          <w14:textFill>
            <w14:solidFill>
              <w14:schemeClr w14:val="tx1"/>
            </w14:solidFill>
          </w14:textFill>
        </w:rPr>
        <w:t>4. 投标</w:t>
      </w:r>
      <w:bookmarkEnd w:id="66"/>
      <w:bookmarkEnd w:id="67"/>
      <w:bookmarkEnd w:id="68"/>
      <w:bookmarkEnd w:id="69"/>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70" w:name="bookmark48"/>
      <w:bookmarkEnd w:id="70"/>
      <w:r>
        <w:rPr>
          <w:color w:val="000000" w:themeColor="text1"/>
          <w:highlight w:val="none"/>
          <w14:textFill>
            <w14:solidFill>
              <w14:schemeClr w14:val="tx1"/>
            </w14:solidFill>
          </w14:textFill>
        </w:rPr>
        <w:t>4.1 投标文件的密封和标记</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4.1.1投标人应当按照招标文件和电子招标投标交易平台的要求加密投标文件，具体要求见投标人须知前附表。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4.1.2</w:t>
      </w:r>
      <w:bookmarkStart w:id="71" w:name="_Hlk66894149"/>
      <w:r>
        <w:rPr>
          <w:color w:val="000000" w:themeColor="text1"/>
          <w:sz w:val="24"/>
          <w:szCs w:val="24"/>
          <w:highlight w:val="none"/>
          <w:u w:val="single"/>
          <w:lang w:bidi="ar"/>
          <w14:textFill>
            <w14:solidFill>
              <w14:schemeClr w14:val="tx1"/>
            </w14:solidFill>
          </w14:textFill>
        </w:rPr>
        <w:t>如有提交投标文件光盘或U盘备用，封套上应写明的内容见投标人须知前附表。</w:t>
      </w:r>
      <w:bookmarkEnd w:id="71"/>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4.1.3</w:t>
      </w:r>
      <w:bookmarkStart w:id="72" w:name="_Hlk66894543"/>
      <w:r>
        <w:rPr>
          <w:color w:val="000000" w:themeColor="text1"/>
          <w:sz w:val="24"/>
          <w:szCs w:val="24"/>
          <w:highlight w:val="none"/>
          <w:u w:val="single"/>
          <w:lang w:bidi="ar"/>
          <w14:textFill>
            <w14:solidFill>
              <w14:schemeClr w14:val="tx1"/>
            </w14:solidFill>
          </w14:textFill>
        </w:rPr>
        <w:t>投标人在投标截止期后逾期或未在指定地点递交备用投标文件电子光盘或U盘的，或投标人递交的备用投标文件电子光盘或U盘未按招标文件要求密封或未在密封处盖章的，或投标人代表未凭法定代表人证明书原件、授权委托书原件（仅限于非法定代表人）、本人身份证原件按要求递交备用投标文件电子光盘或U盘的，招标人将予以拒收。</w:t>
      </w:r>
      <w:bookmarkEnd w:id="72"/>
    </w:p>
    <w:p>
      <w:pPr>
        <w:shd w:val="clear"/>
        <w:spacing w:line="360" w:lineRule="auto"/>
        <w:rPr>
          <w:color w:val="000000" w:themeColor="text1"/>
          <w:highlight w:val="none"/>
          <w14:textFill>
            <w14:solidFill>
              <w14:schemeClr w14:val="tx1"/>
            </w14:solidFill>
          </w14:textFill>
        </w:rPr>
      </w:pP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73" w:name="bookmark49"/>
      <w:bookmarkEnd w:id="73"/>
      <w:r>
        <w:rPr>
          <w:color w:val="000000" w:themeColor="text1"/>
          <w:highlight w:val="none"/>
          <w14:textFill>
            <w14:solidFill>
              <w14:schemeClr w14:val="tx1"/>
            </w14:solidFill>
          </w14:textFill>
        </w:rPr>
        <w:t>4.2 投标文件的递交</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4.2.1投标人应在投标人须知前附表规定的投标截止时间前递交电子投标文件。</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4.2.2投标人通过下载招标文件的电子招标投标交易平台递交电子投标文件。</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4.2.3除投标人须知前附表另有规定外，投标人所递交的投标文件不予退还。</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4.2.4投标人完成电子投标文件上传后，电子招标投标交易平台即时向投标人发出递交回执通知。递交时间以递交回执通知载明的传输完成时间为准。</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4.2.5逾期送达的投标文件，电子招标投标交易平台将予以拒收。</w:t>
      </w:r>
      <w:bookmarkStart w:id="74" w:name="bookmark50"/>
      <w:bookmarkEnd w:id="74"/>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4.3 投标文件的修改与撤回</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4.3.1在本章第4.2.1项规定的投标截止时间前，投标人可以修改或撤回已递交的投标文件，</w:t>
      </w:r>
      <w:bookmarkStart w:id="75" w:name="_Hlk66895263"/>
      <w:r>
        <w:rPr>
          <w:color w:val="000000" w:themeColor="text1"/>
          <w:sz w:val="24"/>
          <w:szCs w:val="24"/>
          <w:highlight w:val="none"/>
          <w:u w:val="single"/>
          <w:lang w:bidi="ar"/>
          <w14:textFill>
            <w14:solidFill>
              <w14:schemeClr w14:val="tx1"/>
            </w14:solidFill>
          </w14:textFill>
        </w:rPr>
        <w:t>但需在交易平台发出撤回通知</w:t>
      </w:r>
      <w:bookmarkEnd w:id="75"/>
      <w:r>
        <w:rPr>
          <w:color w:val="000000" w:themeColor="text1"/>
          <w:sz w:val="24"/>
          <w:szCs w:val="24"/>
          <w:highlight w:val="none"/>
          <w:lang w:bidi="ar"/>
          <w14:textFill>
            <w14:solidFill>
              <w14:schemeClr w14:val="tx1"/>
            </w14:solidFill>
          </w14:textFill>
        </w:rPr>
        <w:t>。</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4.3.2投标人修改或撤回已递交投标文件的通知，应按照本章第3.7.3项的要求加盖电子印章。电子招标投标交易平台收到通知后，即时向投标人发出确认回执通知。</w:t>
      </w:r>
    </w:p>
    <w:p>
      <w:pPr>
        <w:shd w:val="clear"/>
        <w:spacing w:line="360" w:lineRule="auto"/>
        <w:ind w:firstLine="480" w:firstLineChars="200"/>
        <w:rPr>
          <w:strike/>
          <w:color w:val="000000" w:themeColor="text1"/>
          <w:sz w:val="24"/>
          <w:szCs w:val="24"/>
          <w:highlight w:val="none"/>
          <w14:textFill>
            <w14:solidFill>
              <w14:schemeClr w14:val="tx1"/>
            </w14:solidFill>
          </w14:textFill>
        </w:rPr>
      </w:pPr>
      <w:r>
        <w:rPr>
          <w:strike/>
          <w:color w:val="000000" w:themeColor="text1"/>
          <w:sz w:val="24"/>
          <w:szCs w:val="24"/>
          <w:highlight w:val="none"/>
          <w:lang w:bidi="ar"/>
          <w14:textFill>
            <w14:solidFill>
              <w14:schemeClr w14:val="tx1"/>
            </w14:solidFill>
          </w14:textFill>
        </w:rPr>
        <w:t>4.3.3投标人撤回投标文件的，招标人自收到投标人书面撤回通知之日起5日内退还已收取的投标保证金。</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4.3.4修改的内容为投标文件的组成部分。修改的投标文件应按照本章第3条、第4条的规定进行编制</w:t>
      </w:r>
      <w:r>
        <w:rPr>
          <w:strike/>
          <w:color w:val="000000" w:themeColor="text1"/>
          <w:sz w:val="24"/>
          <w:szCs w:val="24"/>
          <w:highlight w:val="none"/>
          <w:lang w:bidi="ar"/>
          <w14:textFill>
            <w14:solidFill>
              <w14:schemeClr w14:val="tx1"/>
            </w14:solidFill>
          </w14:textFill>
        </w:rPr>
        <w:t>、密封、标记</w:t>
      </w:r>
      <w:r>
        <w:rPr>
          <w:color w:val="000000" w:themeColor="text1"/>
          <w:sz w:val="24"/>
          <w:szCs w:val="24"/>
          <w:highlight w:val="none"/>
          <w:lang w:bidi="ar"/>
          <w14:textFill>
            <w14:solidFill>
              <w14:schemeClr w14:val="tx1"/>
            </w14:solidFill>
          </w14:textFill>
        </w:rPr>
        <w:t>和递交</w:t>
      </w:r>
      <w:r>
        <w:rPr>
          <w:strike/>
          <w:color w:val="000000" w:themeColor="text1"/>
          <w:sz w:val="24"/>
          <w:szCs w:val="24"/>
          <w:highlight w:val="none"/>
          <w:lang w:bidi="ar"/>
          <w14:textFill>
            <w14:solidFill>
              <w14:schemeClr w14:val="tx1"/>
            </w14:solidFill>
          </w14:textFill>
        </w:rPr>
        <w:t>，并标明“修改”字样</w:t>
      </w:r>
      <w:r>
        <w:rPr>
          <w:color w:val="000000" w:themeColor="text1"/>
          <w:sz w:val="24"/>
          <w:szCs w:val="24"/>
          <w:highlight w:val="none"/>
          <w:lang w:bidi="ar"/>
          <w14:textFill>
            <w14:solidFill>
              <w14:schemeClr w14:val="tx1"/>
            </w14:solidFill>
          </w14:textFill>
        </w:rPr>
        <w:t>。</w:t>
      </w:r>
    </w:p>
    <w:p>
      <w:pPr>
        <w:pStyle w:val="3"/>
        <w:keepNext w:val="0"/>
        <w:keepLines w:val="0"/>
        <w:shd w:val="clear"/>
        <w:spacing w:before="0" w:after="0" w:line="360" w:lineRule="auto"/>
        <w:jc w:val="left"/>
        <w:rPr>
          <w:rFonts w:ascii="Times New Roman" w:hAnsi="Times New Roman" w:eastAsia="宋体"/>
          <w:color w:val="000000" w:themeColor="text1"/>
          <w:highlight w:val="none"/>
          <w14:textFill>
            <w14:solidFill>
              <w14:schemeClr w14:val="tx1"/>
            </w14:solidFill>
          </w14:textFill>
        </w:rPr>
      </w:pPr>
      <w:bookmarkStart w:id="76" w:name="_Toc47987328"/>
      <w:bookmarkStart w:id="77" w:name="_Toc144"/>
      <w:bookmarkStart w:id="78" w:name="_Toc47376769"/>
      <w:bookmarkStart w:id="79" w:name="_Toc20429"/>
      <w:r>
        <w:rPr>
          <w:rFonts w:ascii="Times New Roman" w:hAnsi="Times New Roman" w:eastAsia="宋体"/>
          <w:color w:val="000000" w:themeColor="text1"/>
          <w:highlight w:val="none"/>
          <w14:textFill>
            <w14:solidFill>
              <w14:schemeClr w14:val="tx1"/>
            </w14:solidFill>
          </w14:textFill>
        </w:rPr>
        <w:t>5. 开标</w:t>
      </w:r>
      <w:bookmarkEnd w:id="76"/>
      <w:bookmarkEnd w:id="77"/>
      <w:bookmarkEnd w:id="78"/>
      <w:bookmarkEnd w:id="79"/>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80" w:name="bookmark52"/>
      <w:bookmarkEnd w:id="80"/>
      <w:bookmarkStart w:id="81" w:name="bookmark53"/>
      <w:bookmarkEnd w:id="81"/>
      <w:r>
        <w:rPr>
          <w:color w:val="000000" w:themeColor="text1"/>
          <w:highlight w:val="none"/>
          <w14:textFill>
            <w14:solidFill>
              <w14:schemeClr w14:val="tx1"/>
            </w14:solidFill>
          </w14:textFill>
        </w:rPr>
        <w:t>5.1 开标时间和地点</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招标人在本章第4.2.1项规定的投标截止时间（开标时间），</w:t>
      </w:r>
      <w:r>
        <w:rPr>
          <w:rFonts w:hint="eastAsia"/>
          <w:color w:val="000000" w:themeColor="text1"/>
          <w:sz w:val="24"/>
          <w:szCs w:val="24"/>
          <w:highlight w:val="none"/>
          <w:u w:val="single"/>
          <w:lang w:bidi="ar"/>
          <w14:textFill>
            <w14:solidFill>
              <w14:schemeClr w14:val="tx1"/>
            </w14:solidFill>
          </w14:textFill>
        </w:rPr>
        <w:t xml:space="preserve"> 在广州交易集团有限公司（广州公共资源交易中心）公开开标，并邀请所有投标人的法定代表人（单位负责人）或其委托代理人准时参加。开标时，投标人代表有权出席开标会，也可以自主决定不参加开标会。也可选择参加在线开标，在线开标具体按照交易平台相关指南进行操作</w:t>
      </w:r>
      <w:r>
        <w:rPr>
          <w:color w:val="000000" w:themeColor="text1"/>
          <w:sz w:val="24"/>
          <w:highlight w:val="none"/>
          <w:lang w:bidi="ar"/>
          <w14:textFill>
            <w14:solidFill>
              <w14:schemeClr w14:val="tx1"/>
            </w14:solidFill>
          </w14:textFill>
        </w:rPr>
        <w:t>。</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82" w:name="bookmark54"/>
      <w:bookmarkEnd w:id="82"/>
      <w:r>
        <w:rPr>
          <w:color w:val="000000" w:themeColor="text1"/>
          <w:highlight w:val="none"/>
          <w14:textFill>
            <w14:solidFill>
              <w14:schemeClr w14:val="tx1"/>
            </w14:solidFill>
          </w14:textFill>
        </w:rPr>
        <w:t>5.2 开标程序</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5.2.1主持人按下列程序进行开标：</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（1）宣布开标纪律；</w:t>
      </w:r>
    </w:p>
    <w:p>
      <w:pPr>
        <w:shd w:val="clear"/>
        <w:spacing w:line="360" w:lineRule="auto"/>
        <w:ind w:firstLine="480" w:firstLineChars="200"/>
        <w:rPr>
          <w:rFonts w:hint="eastAsia"/>
          <w:color w:val="000000" w:themeColor="text1"/>
          <w:sz w:val="24"/>
          <w:szCs w:val="24"/>
          <w:highlight w:val="none"/>
          <w:u w:val="single"/>
          <w:lang w:bidi="ar"/>
          <w14:textFill>
            <w14:solidFill>
              <w14:schemeClr w14:val="tx1"/>
            </w14:solidFill>
          </w14:textFill>
        </w:rPr>
      </w:pPr>
      <w:r>
        <w:rPr>
          <w:rFonts w:hint="eastAsia"/>
          <w:color w:val="000000" w:themeColor="text1"/>
          <w:sz w:val="24"/>
          <w:szCs w:val="24"/>
          <w:highlight w:val="none"/>
          <w:u w:val="single"/>
          <w:lang w:bidi="ar"/>
          <w14:textFill>
            <w14:solidFill>
              <w14:schemeClr w14:val="tx1"/>
            </w14:solidFill>
          </w14:textFill>
        </w:rPr>
        <w:t>（2）在投标截止时间后</w:t>
      </w:r>
      <w:r>
        <w:rPr>
          <w:rFonts w:hint="eastAsia"/>
          <w:color w:val="000000" w:themeColor="text1"/>
          <w:sz w:val="24"/>
          <w:szCs w:val="24"/>
          <w:highlight w:val="none"/>
          <w:u w:val="single"/>
          <w:lang w:val="en-US" w:eastAsia="zh-CN" w:bidi="ar"/>
          <w14:textFill>
            <w14:solidFill>
              <w14:schemeClr w14:val="tx1"/>
            </w14:solidFill>
          </w14:textFill>
        </w:rPr>
        <w:t>一个小时</w:t>
      </w:r>
      <w:r>
        <w:rPr>
          <w:rFonts w:hint="eastAsia"/>
          <w:color w:val="000000" w:themeColor="text1"/>
          <w:sz w:val="24"/>
          <w:szCs w:val="24"/>
          <w:highlight w:val="none"/>
          <w:u w:val="single"/>
          <w:lang w:bidi="ar"/>
          <w14:textFill>
            <w14:solidFill>
              <w14:schemeClr w14:val="tx1"/>
            </w14:solidFill>
          </w14:textFill>
        </w:rPr>
        <w:t>内，投标人通过递交投标文件的广州公共资源交易中心交易平台对已递交的电子投标文件进行解密。投标人完成解密后，再由招标人进行解密（投标人只用执行一次解密，招标人执行解密次数根据招标文件开标次数确定）。</w:t>
      </w:r>
    </w:p>
    <w:p>
      <w:pPr>
        <w:shd w:val="clear"/>
        <w:spacing w:line="360" w:lineRule="auto"/>
        <w:ind w:firstLine="480" w:firstLineChars="200"/>
        <w:rPr>
          <w:rFonts w:hint="eastAsia"/>
          <w:color w:val="000000" w:themeColor="text1"/>
          <w:sz w:val="24"/>
          <w:szCs w:val="24"/>
          <w:highlight w:val="none"/>
          <w:u w:val="single"/>
          <w:lang w:bidi="ar"/>
          <w14:textFill>
            <w14:solidFill>
              <w14:schemeClr w14:val="tx1"/>
            </w14:solidFill>
          </w14:textFill>
        </w:rPr>
      </w:pPr>
      <w:r>
        <w:rPr>
          <w:rFonts w:hint="eastAsia"/>
          <w:color w:val="000000" w:themeColor="text1"/>
          <w:sz w:val="24"/>
          <w:szCs w:val="24"/>
          <w:highlight w:val="none"/>
          <w:u w:val="single"/>
          <w:lang w:bidi="ar"/>
          <w14:textFill>
            <w14:solidFill>
              <w14:schemeClr w14:val="tx1"/>
            </w14:solidFill>
          </w14:textFill>
        </w:rPr>
        <w:t>（3）公布在投标截止时间前递交投标文件的投标人名称；</w:t>
      </w:r>
    </w:p>
    <w:p>
      <w:pPr>
        <w:shd w:val="clear"/>
        <w:spacing w:line="360" w:lineRule="auto"/>
        <w:ind w:firstLine="480" w:firstLineChars="200"/>
        <w:rPr>
          <w:rFonts w:hint="eastAsia"/>
          <w:color w:val="000000" w:themeColor="text1"/>
          <w:sz w:val="24"/>
          <w:szCs w:val="24"/>
          <w:highlight w:val="none"/>
          <w:u w:val="single"/>
          <w:lang w:bidi="ar"/>
          <w14:textFill>
            <w14:solidFill>
              <w14:schemeClr w14:val="tx1"/>
            </w14:solidFill>
          </w14:textFill>
        </w:rPr>
      </w:pPr>
      <w:r>
        <w:rPr>
          <w:rFonts w:hint="eastAsia"/>
          <w:color w:val="000000" w:themeColor="text1"/>
          <w:sz w:val="24"/>
          <w:szCs w:val="24"/>
          <w:highlight w:val="none"/>
          <w:u w:val="single"/>
          <w:lang w:bidi="ar"/>
          <w14:textFill>
            <w14:solidFill>
              <w14:schemeClr w14:val="tx1"/>
            </w14:solidFill>
          </w14:textFill>
        </w:rPr>
        <w:t>（4）解密完成后，公布：a投标人名称；b投标报价总价；c含税综合包干单价投标报价；d服务期及其他内容，并记录在案。未在规定时间内解密的投标文件不参与开标、评标。</w:t>
      </w:r>
    </w:p>
    <w:p>
      <w:pPr>
        <w:shd w:val="clear"/>
        <w:spacing w:line="360" w:lineRule="auto"/>
        <w:ind w:firstLine="480" w:firstLineChars="200"/>
        <w:rPr>
          <w:rFonts w:hint="eastAsia"/>
          <w:color w:val="000000" w:themeColor="text1"/>
          <w:sz w:val="24"/>
          <w:szCs w:val="24"/>
          <w:highlight w:val="none"/>
          <w:u w:val="single"/>
          <w:lang w:bidi="ar"/>
          <w14:textFill>
            <w14:solidFill>
              <w14:schemeClr w14:val="tx1"/>
            </w14:solidFill>
          </w14:textFill>
        </w:rPr>
      </w:pPr>
      <w:r>
        <w:rPr>
          <w:rFonts w:hint="eastAsia"/>
          <w:color w:val="000000" w:themeColor="text1"/>
          <w:sz w:val="24"/>
          <w:szCs w:val="24"/>
          <w:highlight w:val="none"/>
          <w:u w:val="single"/>
          <w:lang w:bidi="ar"/>
          <w14:textFill>
            <w14:solidFill>
              <w14:schemeClr w14:val="tx1"/>
            </w14:solidFill>
          </w14:textFill>
        </w:rPr>
        <w:t>（5）截标后，开标开始时间因故推迟的，相关评标信息仍以原定的开标开始时间的信息为准。</w:t>
      </w:r>
    </w:p>
    <w:p>
      <w:pPr>
        <w:shd w:val="clear"/>
        <w:spacing w:line="360" w:lineRule="auto"/>
        <w:ind w:firstLine="480" w:firstLineChars="200"/>
        <w:rPr>
          <w:rFonts w:hint="eastAsia"/>
          <w:color w:val="000000" w:themeColor="text1"/>
          <w:sz w:val="24"/>
          <w:szCs w:val="24"/>
          <w:highlight w:val="none"/>
          <w:u w:val="single"/>
          <w:lang w:bidi="ar"/>
          <w14:textFill>
            <w14:solidFill>
              <w14:schemeClr w14:val="tx1"/>
            </w14:solidFill>
          </w14:textFill>
        </w:rPr>
      </w:pPr>
      <w:r>
        <w:rPr>
          <w:rFonts w:hint="eastAsia"/>
          <w:color w:val="000000" w:themeColor="text1"/>
          <w:sz w:val="24"/>
          <w:szCs w:val="24"/>
          <w:highlight w:val="none"/>
          <w:u w:val="single"/>
          <w:lang w:bidi="ar"/>
          <w14:textFill>
            <w14:solidFill>
              <w14:schemeClr w14:val="tx1"/>
            </w14:solidFill>
          </w14:textFill>
        </w:rPr>
        <w:t>（6）备用光盘或U盘的读取按投标人须知前附表“</w:t>
      </w:r>
      <w:r>
        <w:rPr>
          <w:rFonts w:hint="eastAsia"/>
          <w:color w:val="000000" w:themeColor="text1"/>
          <w:sz w:val="24"/>
          <w:szCs w:val="24"/>
          <w:highlight w:val="none"/>
          <w:u w:val="single"/>
          <w:lang w:val="en-US" w:eastAsia="zh-CN" w:bidi="ar"/>
          <w14:textFill>
            <w14:solidFill>
              <w14:schemeClr w14:val="tx1"/>
            </w14:solidFill>
          </w14:textFill>
        </w:rPr>
        <w:t xml:space="preserve">9 </w:t>
      </w:r>
      <w:r>
        <w:rPr>
          <w:rFonts w:hint="eastAsia" w:ascii="宋体" w:hAnsi="宋体" w:cs="宋体"/>
          <w:color w:val="000000" w:themeColor="text1"/>
          <w:sz w:val="24"/>
          <w:szCs w:val="24"/>
          <w:highlight w:val="none"/>
          <w:u w:val="single"/>
          <w14:textFill>
            <w14:solidFill>
              <w14:schemeClr w14:val="tx1"/>
            </w14:solidFill>
          </w14:textFill>
        </w:rPr>
        <w:t>是否采用电子招标投标</w:t>
      </w:r>
      <w:r>
        <w:rPr>
          <w:rFonts w:hint="eastAsia"/>
          <w:color w:val="000000" w:themeColor="text1"/>
          <w:sz w:val="24"/>
          <w:szCs w:val="24"/>
          <w:highlight w:val="none"/>
          <w:u w:val="single"/>
          <w:lang w:bidi="ar"/>
          <w14:textFill>
            <w14:solidFill>
              <w14:schemeClr w14:val="tx1"/>
            </w14:solidFill>
          </w14:textFill>
        </w:rPr>
        <w:t>”的规定执行。</w:t>
      </w:r>
    </w:p>
    <w:p>
      <w:pPr>
        <w:shd w:val="clear"/>
        <w:spacing w:line="360" w:lineRule="auto"/>
        <w:ind w:firstLine="480" w:firstLineChars="200"/>
        <w:rPr>
          <w:rFonts w:hint="eastAsia"/>
          <w:color w:val="000000" w:themeColor="text1"/>
          <w:sz w:val="24"/>
          <w:szCs w:val="24"/>
          <w:highlight w:val="none"/>
          <w:u w:val="single"/>
          <w:lang w:bidi="ar"/>
          <w14:textFill>
            <w14:solidFill>
              <w14:schemeClr w14:val="tx1"/>
            </w14:solidFill>
          </w14:textFill>
        </w:rPr>
      </w:pPr>
      <w:r>
        <w:rPr>
          <w:rFonts w:hint="eastAsia"/>
          <w:color w:val="000000" w:themeColor="text1"/>
          <w:sz w:val="24"/>
          <w:szCs w:val="24"/>
          <w:highlight w:val="none"/>
          <w:u w:val="single"/>
          <w:lang w:bidi="ar"/>
          <w14:textFill>
            <w14:solidFill>
              <w14:schemeClr w14:val="tx1"/>
            </w14:solidFill>
          </w14:textFill>
        </w:rPr>
        <w:t>（7）开标方式采用电子开标和现场开标两种模式，投标人可选择在开标室参与开标或准时在线参加电子开标，也可不参加开标。参加电子开标的投标人登录广州公共资源交易中心交易平台实时查看开标、唱标情况。广州公共资源交易中心交易平台生成开标记录并向社会公众公布。</w:t>
      </w:r>
    </w:p>
    <w:p>
      <w:pPr>
        <w:shd w:val="clear"/>
        <w:spacing w:line="360" w:lineRule="auto"/>
        <w:ind w:firstLine="480" w:firstLineChars="200"/>
        <w:rPr>
          <w:rFonts w:hint="eastAsia"/>
          <w:color w:val="000000" w:themeColor="text1"/>
          <w:sz w:val="24"/>
          <w:szCs w:val="24"/>
          <w:highlight w:val="none"/>
          <w:u w:val="single"/>
          <w:lang w:bidi="ar"/>
          <w14:textFill>
            <w14:solidFill>
              <w14:schemeClr w14:val="tx1"/>
            </w14:solidFill>
          </w14:textFill>
        </w:rPr>
      </w:pPr>
      <w:r>
        <w:rPr>
          <w:rFonts w:hint="eastAsia"/>
          <w:color w:val="000000" w:themeColor="text1"/>
          <w:sz w:val="24"/>
          <w:szCs w:val="24"/>
          <w:highlight w:val="none"/>
          <w:u w:val="single"/>
          <w:lang w:bidi="ar"/>
          <w14:textFill>
            <w14:solidFill>
              <w14:schemeClr w14:val="tx1"/>
            </w14:solidFill>
          </w14:textFill>
        </w:rPr>
        <w:t>（8）参加现场开标的投标人对开标结果有异议的，应当在开标现场提出，招标人应当当场作出答复，并制作记录。参加电子开标的投标人对开标结果有异议的，应当在唱标结束后的规定时间内、使用单位数字证书登录广州公共资源交易中心交易平台后通过广州公共资源交易中心交易平台提出。招标人授权招标代理机构工作人员使用招标代理机构数字证书登录广州公共资源交易中心交易平台答复异议，异议答复是招标人真实意思表示。未答复的，开标程序不得结束。</w:t>
      </w:r>
    </w:p>
    <w:p>
      <w:pPr>
        <w:shd w:val="clear"/>
        <w:spacing w:line="360" w:lineRule="auto"/>
        <w:ind w:firstLine="480" w:firstLineChars="200"/>
        <w:rPr>
          <w:rFonts w:hint="eastAsia"/>
          <w:color w:val="000000" w:themeColor="text1"/>
          <w:sz w:val="24"/>
          <w:szCs w:val="24"/>
          <w:highlight w:val="none"/>
          <w:u w:val="single"/>
          <w:lang w:bidi="ar"/>
          <w14:textFill>
            <w14:solidFill>
              <w14:schemeClr w14:val="tx1"/>
            </w14:solidFill>
          </w14:textFill>
        </w:rPr>
      </w:pPr>
      <w:r>
        <w:rPr>
          <w:rFonts w:hint="eastAsia"/>
          <w:color w:val="000000" w:themeColor="text1"/>
          <w:sz w:val="24"/>
          <w:szCs w:val="24"/>
          <w:highlight w:val="none"/>
          <w:u w:val="single"/>
          <w:lang w:bidi="ar"/>
          <w14:textFill>
            <w14:solidFill>
              <w14:schemeClr w14:val="tx1"/>
            </w14:solidFill>
          </w14:textFill>
        </w:rPr>
        <w:t>（9）投标人未参加开标或在规定的时间内未提出异议的，视为对开标无异议。</w:t>
      </w:r>
    </w:p>
    <w:p>
      <w:pPr>
        <w:shd w:val="clear"/>
        <w:spacing w:line="360" w:lineRule="auto"/>
        <w:ind w:firstLine="480" w:firstLineChars="200"/>
        <w:rPr>
          <w:rFonts w:hint="eastAsia"/>
          <w:color w:val="000000" w:themeColor="text1"/>
          <w:sz w:val="24"/>
          <w:szCs w:val="24"/>
          <w:highlight w:val="none"/>
          <w:u w:val="single"/>
          <w:lang w:bidi="ar"/>
          <w14:textFill>
            <w14:solidFill>
              <w14:schemeClr w14:val="tx1"/>
            </w14:solidFill>
          </w14:textFill>
        </w:rPr>
      </w:pPr>
      <w:r>
        <w:rPr>
          <w:rFonts w:hint="eastAsia"/>
          <w:color w:val="000000" w:themeColor="text1"/>
          <w:sz w:val="24"/>
          <w:szCs w:val="24"/>
          <w:highlight w:val="none"/>
          <w:u w:val="single"/>
          <w:lang w:bidi="ar"/>
          <w14:textFill>
            <w14:solidFill>
              <w14:schemeClr w14:val="tx1"/>
            </w14:solidFill>
          </w14:textFill>
        </w:rPr>
        <w:t>（10）开标时，两个（含两个）以上的投标人加密打包投标文件电脑机器特征码一致的，不参与下一程序，并由评标委员会否决其投标。</w:t>
      </w:r>
    </w:p>
    <w:p>
      <w:pPr>
        <w:shd w:val="clear"/>
        <w:spacing w:line="360" w:lineRule="auto"/>
        <w:ind w:firstLine="480" w:firstLineChars="200"/>
        <w:rPr>
          <w:rFonts w:hint="eastAsia"/>
          <w:color w:val="000000" w:themeColor="text1"/>
          <w:sz w:val="24"/>
          <w:szCs w:val="24"/>
          <w:highlight w:val="none"/>
          <w:u w:val="single"/>
          <w:lang w:bidi="ar"/>
          <w14:textFill>
            <w14:solidFill>
              <w14:schemeClr w14:val="tx1"/>
            </w14:solidFill>
          </w14:textFill>
        </w:rPr>
      </w:pPr>
      <w:r>
        <w:rPr>
          <w:rFonts w:hint="eastAsia"/>
          <w:color w:val="000000" w:themeColor="text1"/>
          <w:sz w:val="24"/>
          <w:szCs w:val="24"/>
          <w:highlight w:val="none"/>
          <w:u w:val="single"/>
          <w:lang w:bidi="ar"/>
          <w14:textFill>
            <w14:solidFill>
              <w14:schemeClr w14:val="tx1"/>
            </w14:solidFill>
          </w14:textFill>
        </w:rPr>
        <w:t>（11）投标人代表、招标人代表、监标人、记录人等有关人员在开标记录上签字确认；若有关人员不签字的，不影响开标程序；</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u w:val="single"/>
          <w:lang w:bidi="ar"/>
          <w14:textFill>
            <w14:solidFill>
              <w14:schemeClr w14:val="tx1"/>
            </w14:solidFill>
          </w14:textFill>
        </w:rPr>
        <w:t>（12）开标结束。</w:t>
      </w:r>
    </w:p>
    <w:p>
      <w:pPr>
        <w:shd w:val="clear"/>
        <w:spacing w:line="360" w:lineRule="auto"/>
        <w:ind w:firstLine="480" w:firstLineChars="200"/>
        <w:rPr>
          <w:color w:val="000000" w:themeColor="text1"/>
          <w:sz w:val="24"/>
          <w:szCs w:val="24"/>
          <w:highlight w:val="none"/>
          <w:u w:val="single"/>
          <w14:textFill>
            <w14:solidFill>
              <w14:schemeClr w14:val="tx1"/>
            </w14:solidFill>
          </w14:textFill>
        </w:rPr>
      </w:pPr>
      <w:r>
        <w:rPr>
          <w:color w:val="000000" w:themeColor="text1"/>
          <w:sz w:val="24"/>
          <w:szCs w:val="24"/>
          <w:highlight w:val="none"/>
          <w:u w:val="single"/>
          <w:lang w:bidi="ar"/>
          <w14:textFill>
            <w14:solidFill>
              <w14:schemeClr w14:val="tx1"/>
            </w14:solidFill>
          </w14:textFill>
        </w:rPr>
        <w:t>5.2.2投标截止时间前未完成投标文件传输的或因投标人之外的原因造成投标文件未解密且未递交备用投标文件备用电子光盘或U盘的，视为投标人撤回其投标文件。因投标人原因造成投标文件未解密的，或未在投标截止时间后一个小时内解密的，视为撤销其投标文件。</w:t>
      </w:r>
    </w:p>
    <w:p>
      <w:pPr>
        <w:shd w:val="clear"/>
        <w:spacing w:line="360" w:lineRule="auto"/>
        <w:ind w:firstLine="480" w:firstLineChars="200"/>
        <w:rPr>
          <w:color w:val="000000" w:themeColor="text1"/>
          <w:sz w:val="24"/>
          <w:szCs w:val="24"/>
          <w:highlight w:val="none"/>
          <w:u w:val="single"/>
          <w14:textFill>
            <w14:solidFill>
              <w14:schemeClr w14:val="tx1"/>
            </w14:solidFill>
          </w14:textFill>
        </w:rPr>
      </w:pPr>
      <w:r>
        <w:rPr>
          <w:color w:val="000000" w:themeColor="text1"/>
          <w:sz w:val="24"/>
          <w:szCs w:val="24"/>
          <w:highlight w:val="none"/>
          <w:u w:val="single"/>
          <w:lang w:bidi="ar"/>
          <w14:textFill>
            <w14:solidFill>
              <w14:schemeClr w14:val="tx1"/>
            </w14:solidFill>
          </w14:textFill>
        </w:rPr>
        <w:t>5.2.3开标时，两个（含两个）以上的投标人加密打包投标文件电脑机器特征码一致的，不参与下一程序，并由评标委员会否决其投标。</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83" w:name="bookmark55"/>
      <w:bookmarkEnd w:id="83"/>
      <w:r>
        <w:rPr>
          <w:color w:val="000000" w:themeColor="text1"/>
          <w:highlight w:val="none"/>
          <w14:textFill>
            <w14:solidFill>
              <w14:schemeClr w14:val="tx1"/>
            </w14:solidFill>
          </w14:textFill>
        </w:rPr>
        <w:t>5.3 开标异议</w:t>
      </w:r>
    </w:p>
    <w:p>
      <w:pPr>
        <w:shd w:val="clear"/>
        <w:spacing w:line="360" w:lineRule="auto"/>
        <w:ind w:firstLine="480" w:firstLineChars="200"/>
        <w:rPr>
          <w:color w:val="000000" w:themeColor="text1"/>
          <w:sz w:val="24"/>
          <w:szCs w:val="24"/>
          <w:highlight w:val="none"/>
          <w:u w:val="single"/>
          <w14:textFill>
            <w14:solidFill>
              <w14:schemeClr w14:val="tx1"/>
            </w14:solidFill>
          </w14:textFill>
        </w:rPr>
      </w:pPr>
      <w:bookmarkStart w:id="84" w:name="_Hlk66801346"/>
      <w:r>
        <w:rPr>
          <w:color w:val="000000" w:themeColor="text1"/>
          <w:sz w:val="24"/>
          <w:highlight w:val="none"/>
          <w:u w:val="single"/>
          <w:lang w:bidi="ar"/>
          <w14:textFill>
            <w14:solidFill>
              <w14:schemeClr w14:val="tx1"/>
            </w14:solidFill>
          </w14:textFill>
        </w:rPr>
        <w:t>开标时，投标人代表有权出席开标会，也可以自主决定不参加开标会，</w:t>
      </w:r>
      <w:r>
        <w:rPr>
          <w:rFonts w:hint="eastAsia"/>
          <w:color w:val="000000" w:themeColor="text1"/>
          <w:sz w:val="24"/>
          <w:highlight w:val="none"/>
          <w:u w:val="single"/>
          <w:lang w:bidi="ar"/>
          <w14:textFill>
            <w14:solidFill>
              <w14:schemeClr w14:val="tx1"/>
            </w14:solidFill>
          </w14:textFill>
        </w:rPr>
        <w:t>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bookmarkEnd w:id="84"/>
    </w:p>
    <w:p>
      <w:pPr>
        <w:pStyle w:val="3"/>
        <w:keepNext w:val="0"/>
        <w:keepLines w:val="0"/>
        <w:shd w:val="clear"/>
        <w:spacing w:before="0" w:after="0" w:line="360" w:lineRule="auto"/>
        <w:jc w:val="left"/>
        <w:rPr>
          <w:rFonts w:ascii="Times New Roman" w:hAnsi="Times New Roman" w:eastAsia="宋体"/>
          <w:color w:val="000000" w:themeColor="text1"/>
          <w:highlight w:val="none"/>
          <w14:textFill>
            <w14:solidFill>
              <w14:schemeClr w14:val="tx1"/>
            </w14:solidFill>
          </w14:textFill>
        </w:rPr>
      </w:pPr>
      <w:bookmarkStart w:id="85" w:name="_Toc23565"/>
      <w:bookmarkStart w:id="86" w:name="_Toc47987329"/>
      <w:bookmarkStart w:id="87" w:name="_Toc22285"/>
      <w:bookmarkStart w:id="88" w:name="_Toc47376770"/>
      <w:r>
        <w:rPr>
          <w:rFonts w:ascii="Times New Roman" w:hAnsi="Times New Roman" w:eastAsia="宋体"/>
          <w:color w:val="000000" w:themeColor="text1"/>
          <w:highlight w:val="none"/>
          <w14:textFill>
            <w14:solidFill>
              <w14:schemeClr w14:val="tx1"/>
            </w14:solidFill>
          </w14:textFill>
        </w:rPr>
        <w:t>6. 评标</w:t>
      </w:r>
      <w:bookmarkEnd w:id="85"/>
      <w:bookmarkEnd w:id="86"/>
      <w:bookmarkEnd w:id="87"/>
      <w:bookmarkEnd w:id="88"/>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89" w:name="bookmark57"/>
      <w:bookmarkEnd w:id="89"/>
      <w:r>
        <w:rPr>
          <w:color w:val="000000" w:themeColor="text1"/>
          <w:highlight w:val="none"/>
          <w14:textFill>
            <w14:solidFill>
              <w14:schemeClr w14:val="tx1"/>
            </w14:solidFill>
          </w14:textFill>
        </w:rPr>
        <w:t>6.1 评标委员会</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6.1.1评标由招标人依法组建的评标委员会负责。</w:t>
      </w:r>
      <w:bookmarkStart w:id="90" w:name="_Hlk66801223"/>
      <w:r>
        <w:rPr>
          <w:color w:val="000000" w:themeColor="text1"/>
          <w:sz w:val="24"/>
          <w:szCs w:val="24"/>
          <w:highlight w:val="none"/>
          <w:lang w:bidi="ar"/>
          <w14:textFill>
            <w14:solidFill>
              <w14:schemeClr w14:val="tx1"/>
            </w14:solidFill>
          </w14:textFill>
        </w:rPr>
        <w:t>评标委员会由招标人或其委托的招标代理机构熟悉相关业务的代表，以及有关技术、经济等方面的专家组成。评标委员会成员人数以及技术、经济等方面专家的确定方式见投标人须知前附表。</w:t>
      </w:r>
      <w:bookmarkEnd w:id="90"/>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6.1.2评标委员会成员有下列情形之一的，应当回避：</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（1）投标人或投标人主要负责人的近亲属；</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（2）项目主管部门或者行政监督部门的人员；</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（3）与投标人有经济利益关系，可能影响对投标公正评审的；</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（4）曾因在招标、评标以及其他与招标投标有关活动中从事违法行为而受过行政处罚或刑事处罚的；</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（5）与投标人有其他利害关系。</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6.1.3评标过程中，评标委员会成员有回避事由、擅离职守或者因健康等原因不能继续评标的，招标人有权更换。被更换的评标委员会成员作出的评审结论无效，由更换后的评标委员会成员重新进行评审。</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91" w:name="bookmark58"/>
      <w:bookmarkEnd w:id="91"/>
      <w:r>
        <w:rPr>
          <w:color w:val="000000" w:themeColor="text1"/>
          <w:highlight w:val="none"/>
          <w14:textFill>
            <w14:solidFill>
              <w14:schemeClr w14:val="tx1"/>
            </w14:solidFill>
          </w14:textFill>
        </w:rPr>
        <w:t>6.2 评标原则</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color w:val="000000" w:themeColor="text1"/>
          <w:sz w:val="24"/>
          <w:szCs w:val="24"/>
          <w:highlight w:val="none"/>
          <w:lang w:bidi="ar"/>
          <w14:textFill>
            <w14:solidFill>
              <w14:schemeClr w14:val="tx1"/>
            </w14:solidFill>
          </w14:textFill>
        </w:rPr>
        <w:t>评标活动遵循公平、公正、科学和择优的原则。</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评标委员会在开始评标前，应了解评标专家的职责及守则，认真阅读附件二《评标委员会成员声明》的内容并签名，签字后方可进行评标。</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92" w:name="bookmark59"/>
      <w:bookmarkEnd w:id="92"/>
      <w:r>
        <w:rPr>
          <w:color w:val="000000" w:themeColor="text1"/>
          <w:highlight w:val="none"/>
          <w14:textFill>
            <w14:solidFill>
              <w14:schemeClr w14:val="tx1"/>
            </w14:solidFill>
          </w14:textFill>
        </w:rPr>
        <w:t>6.3 评标</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6.3.1评标委员会按照第三章“评标办法”规定的方法、评审因素、标准和程序对投标文件进行评审。第三章“评标办法”没有规定的方法、评审因素和标准，不作为评标依据。</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6.3.2评标完成后，评标委员会应当向招标人提交书面评标报告和中标候选人名单。评标委员会推荐中标候选人的人数见投标人须知前附表。</w:t>
      </w:r>
    </w:p>
    <w:p>
      <w:pPr>
        <w:pStyle w:val="3"/>
        <w:keepNext w:val="0"/>
        <w:keepLines w:val="0"/>
        <w:shd w:val="clear"/>
        <w:spacing w:before="0" w:after="0" w:line="360" w:lineRule="auto"/>
        <w:jc w:val="left"/>
        <w:rPr>
          <w:rFonts w:ascii="Times New Roman" w:hAnsi="Times New Roman" w:eastAsia="宋体"/>
          <w:color w:val="000000" w:themeColor="text1"/>
          <w:highlight w:val="none"/>
          <w14:textFill>
            <w14:solidFill>
              <w14:schemeClr w14:val="tx1"/>
            </w14:solidFill>
          </w14:textFill>
        </w:rPr>
      </w:pPr>
      <w:bookmarkStart w:id="93" w:name="bookmark60"/>
      <w:bookmarkEnd w:id="93"/>
      <w:bookmarkStart w:id="94" w:name="_Toc47987330"/>
      <w:bookmarkStart w:id="95" w:name="_Toc7866"/>
      <w:bookmarkStart w:id="96" w:name="_Toc17407"/>
      <w:bookmarkStart w:id="97" w:name="_Toc47376771"/>
      <w:r>
        <w:rPr>
          <w:rFonts w:ascii="Times New Roman" w:hAnsi="Times New Roman" w:eastAsia="宋体"/>
          <w:color w:val="000000" w:themeColor="text1"/>
          <w:highlight w:val="none"/>
          <w14:textFill>
            <w14:solidFill>
              <w14:schemeClr w14:val="tx1"/>
            </w14:solidFill>
          </w14:textFill>
        </w:rPr>
        <w:t>7. 合同授予</w:t>
      </w:r>
      <w:bookmarkEnd w:id="94"/>
      <w:bookmarkEnd w:id="95"/>
      <w:bookmarkEnd w:id="96"/>
      <w:bookmarkEnd w:id="97"/>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98" w:name="bookmark61"/>
      <w:bookmarkEnd w:id="98"/>
      <w:r>
        <w:rPr>
          <w:color w:val="000000" w:themeColor="text1"/>
          <w:highlight w:val="none"/>
          <w14:textFill>
            <w14:solidFill>
              <w14:schemeClr w14:val="tx1"/>
            </w14:solidFill>
          </w14:textFill>
        </w:rPr>
        <w:t>7.1 中标候选人公示</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招标人在收到评标报告之日起3日内，按照投标人须知前附表规定的公示媒介和期限公示中标候选人，公示期不得少于3天。</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99" w:name="bookmark62"/>
      <w:bookmarkEnd w:id="99"/>
      <w:r>
        <w:rPr>
          <w:color w:val="000000" w:themeColor="text1"/>
          <w:highlight w:val="none"/>
          <w14:textFill>
            <w14:solidFill>
              <w14:schemeClr w14:val="tx1"/>
            </w14:solidFill>
          </w14:textFill>
        </w:rPr>
        <w:t>7.2 评标结果异议</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投标人或者其他利害关系人对评标结果有异议的，应当在中标候选人公示期间提出。招标人将在收到异议之日起3日内作出答复；作出答复前，将暂停招标投标活动。</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100" w:name="bookmark63"/>
      <w:bookmarkEnd w:id="100"/>
      <w:r>
        <w:rPr>
          <w:color w:val="000000" w:themeColor="text1"/>
          <w:highlight w:val="none"/>
          <w14:textFill>
            <w14:solidFill>
              <w14:schemeClr w14:val="tx1"/>
            </w14:solidFill>
          </w14:textFill>
        </w:rPr>
        <w:t>7.3 中标候选人履约能力审查</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中标候选人的经营、财务状况发生较大变化或存在违法行为，招标人认为可能影响其履约能力的，将在发出中标通知书前提请原评标委员会按照招标文件规定的标准和方法进行审查确认。</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101" w:name="bookmark64"/>
      <w:bookmarkEnd w:id="101"/>
      <w:r>
        <w:rPr>
          <w:color w:val="000000" w:themeColor="text1"/>
          <w:highlight w:val="none"/>
          <w14:textFill>
            <w14:solidFill>
              <w14:schemeClr w14:val="tx1"/>
            </w14:solidFill>
          </w14:textFill>
        </w:rPr>
        <w:t>7.4 定标</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按照投标人须知前附表的规定，招标人或招标人授权的评标委员会依法确定中标人。</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102" w:name="bookmark65"/>
      <w:bookmarkEnd w:id="102"/>
      <w:r>
        <w:rPr>
          <w:color w:val="000000" w:themeColor="text1"/>
          <w:highlight w:val="none"/>
          <w14:textFill>
            <w14:solidFill>
              <w14:schemeClr w14:val="tx1"/>
            </w14:solidFill>
          </w14:textFill>
        </w:rPr>
        <w:t>7.5 中标通知</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在本章第3.3款规定的投标有效期内，</w:t>
      </w:r>
      <w:r>
        <w:rPr>
          <w:color w:val="000000" w:themeColor="text1"/>
          <w:sz w:val="24"/>
          <w:szCs w:val="24"/>
          <w:highlight w:val="none"/>
          <w:u w:val="single"/>
          <w:lang w:bidi="ar"/>
          <w14:textFill>
            <w14:solidFill>
              <w14:schemeClr w14:val="tx1"/>
            </w14:solidFill>
          </w14:textFill>
        </w:rPr>
        <w:t>中标人自行于广州公共资源交易中心交易平台下载中标通知书，同时招标人将中标结果通过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103" w:name="bookmark66"/>
      <w:bookmarkEnd w:id="103"/>
      <w:r>
        <w:rPr>
          <w:color w:val="000000" w:themeColor="text1"/>
          <w:highlight w:val="none"/>
          <w14:textFill>
            <w14:solidFill>
              <w14:schemeClr w14:val="tx1"/>
            </w14:solidFill>
          </w14:textFill>
        </w:rPr>
        <w:t>7.6 履约保证金</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7.6.2中标人不能按本章第7.6.1项要求提交履约保证金的，视为放弃中标，</w:t>
      </w:r>
      <w:r>
        <w:rPr>
          <w:strike/>
          <w:color w:val="000000" w:themeColor="text1"/>
          <w:sz w:val="24"/>
          <w:szCs w:val="24"/>
          <w:highlight w:val="none"/>
          <w:lang w:bidi="ar"/>
          <w14:textFill>
            <w14:solidFill>
              <w14:schemeClr w14:val="tx1"/>
            </w14:solidFill>
          </w14:textFill>
        </w:rPr>
        <w:t>其投标保证金不予退还，</w:t>
      </w:r>
      <w:r>
        <w:rPr>
          <w:color w:val="000000" w:themeColor="text1"/>
          <w:sz w:val="24"/>
          <w:szCs w:val="24"/>
          <w:highlight w:val="none"/>
          <w:lang w:bidi="ar"/>
          <w14:textFill>
            <w14:solidFill>
              <w14:schemeClr w14:val="tx1"/>
            </w14:solidFill>
          </w14:textFill>
        </w:rPr>
        <w:t>给招标人造成</w:t>
      </w:r>
      <w:r>
        <w:rPr>
          <w:strike/>
          <w:color w:val="000000" w:themeColor="text1"/>
          <w:sz w:val="24"/>
          <w:szCs w:val="24"/>
          <w:highlight w:val="none"/>
          <w:lang w:bidi="ar"/>
          <w14:textFill>
            <w14:solidFill>
              <w14:schemeClr w14:val="tx1"/>
            </w14:solidFill>
          </w14:textFill>
        </w:rPr>
        <w:t>的</w:t>
      </w:r>
      <w:r>
        <w:rPr>
          <w:color w:val="000000" w:themeColor="text1"/>
          <w:sz w:val="24"/>
          <w:szCs w:val="24"/>
          <w:highlight w:val="none"/>
          <w:lang w:bidi="ar"/>
          <w14:textFill>
            <w14:solidFill>
              <w14:schemeClr w14:val="tx1"/>
            </w14:solidFill>
          </w14:textFill>
        </w:rPr>
        <w:t>损失</w:t>
      </w:r>
      <w:r>
        <w:rPr>
          <w:strike/>
          <w:color w:val="000000" w:themeColor="text1"/>
          <w:sz w:val="24"/>
          <w:szCs w:val="24"/>
          <w:highlight w:val="none"/>
          <w:lang w:bidi="ar"/>
          <w14:textFill>
            <w14:solidFill>
              <w14:schemeClr w14:val="tx1"/>
            </w14:solidFill>
          </w14:textFill>
        </w:rPr>
        <w:t>超过投标保证金数额</w:t>
      </w:r>
      <w:r>
        <w:rPr>
          <w:color w:val="000000" w:themeColor="text1"/>
          <w:sz w:val="24"/>
          <w:szCs w:val="24"/>
          <w:highlight w:val="none"/>
          <w:lang w:bidi="ar"/>
          <w14:textFill>
            <w14:solidFill>
              <w14:schemeClr w14:val="tx1"/>
            </w14:solidFill>
          </w14:textFill>
        </w:rPr>
        <w:t>的，中标人</w:t>
      </w:r>
      <w:r>
        <w:rPr>
          <w:strike/>
          <w:color w:val="000000" w:themeColor="text1"/>
          <w:sz w:val="24"/>
          <w:szCs w:val="24"/>
          <w:highlight w:val="none"/>
          <w:lang w:bidi="ar"/>
          <w14:textFill>
            <w14:solidFill>
              <w14:schemeClr w14:val="tx1"/>
            </w14:solidFill>
          </w14:textFill>
        </w:rPr>
        <w:t>还</w:t>
      </w:r>
      <w:r>
        <w:rPr>
          <w:color w:val="000000" w:themeColor="text1"/>
          <w:sz w:val="24"/>
          <w:szCs w:val="24"/>
          <w:highlight w:val="none"/>
          <w:lang w:bidi="ar"/>
          <w14:textFill>
            <w14:solidFill>
              <w14:schemeClr w14:val="tx1"/>
            </w14:solidFill>
          </w14:textFill>
        </w:rPr>
        <w:t>应当</w:t>
      </w:r>
      <w:r>
        <w:rPr>
          <w:strike/>
          <w:color w:val="000000" w:themeColor="text1"/>
          <w:sz w:val="24"/>
          <w:szCs w:val="24"/>
          <w:highlight w:val="none"/>
          <w:lang w:bidi="ar"/>
          <w14:textFill>
            <w14:solidFill>
              <w14:schemeClr w14:val="tx1"/>
            </w14:solidFill>
          </w14:textFill>
        </w:rPr>
        <w:t>对超过部分</w:t>
      </w:r>
      <w:r>
        <w:rPr>
          <w:color w:val="000000" w:themeColor="text1"/>
          <w:sz w:val="24"/>
          <w:szCs w:val="24"/>
          <w:highlight w:val="none"/>
          <w:lang w:bidi="ar"/>
          <w14:textFill>
            <w14:solidFill>
              <w14:schemeClr w14:val="tx1"/>
            </w14:solidFill>
          </w14:textFill>
        </w:rPr>
        <w:t>予以赔偿。</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104" w:name="bookmark67"/>
      <w:bookmarkEnd w:id="104"/>
      <w:r>
        <w:rPr>
          <w:color w:val="000000" w:themeColor="text1"/>
          <w:highlight w:val="none"/>
          <w14:textFill>
            <w14:solidFill>
              <w14:schemeClr w14:val="tx1"/>
            </w14:solidFill>
          </w14:textFill>
        </w:rPr>
        <w:t>7.7 签订合同</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7.7.1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w:t>
      </w:r>
      <w:r>
        <w:rPr>
          <w:strike/>
          <w:color w:val="000000" w:themeColor="text1"/>
          <w:sz w:val="24"/>
          <w:szCs w:val="24"/>
          <w:highlight w:val="none"/>
          <w:lang w:bidi="ar"/>
          <w14:textFill>
            <w14:solidFill>
              <w14:schemeClr w14:val="tx1"/>
            </w14:solidFill>
          </w14:textFill>
        </w:rPr>
        <w:t>，其投标保证金不予退还</w:t>
      </w:r>
      <w:r>
        <w:rPr>
          <w:color w:val="000000" w:themeColor="text1"/>
          <w:sz w:val="24"/>
          <w:szCs w:val="24"/>
          <w:highlight w:val="none"/>
          <w:lang w:bidi="ar"/>
          <w14:textFill>
            <w14:solidFill>
              <w14:schemeClr w14:val="tx1"/>
            </w14:solidFill>
          </w14:textFill>
        </w:rPr>
        <w:t>；给招标人造成</w:t>
      </w:r>
      <w:r>
        <w:rPr>
          <w:strike/>
          <w:color w:val="000000" w:themeColor="text1"/>
          <w:sz w:val="24"/>
          <w:szCs w:val="24"/>
          <w:highlight w:val="none"/>
          <w:lang w:bidi="ar"/>
          <w14:textFill>
            <w14:solidFill>
              <w14:schemeClr w14:val="tx1"/>
            </w14:solidFill>
          </w14:textFill>
        </w:rPr>
        <w:t>的</w:t>
      </w:r>
      <w:r>
        <w:rPr>
          <w:color w:val="000000" w:themeColor="text1"/>
          <w:sz w:val="24"/>
          <w:szCs w:val="24"/>
          <w:highlight w:val="none"/>
          <w:lang w:bidi="ar"/>
          <w14:textFill>
            <w14:solidFill>
              <w14:schemeClr w14:val="tx1"/>
            </w14:solidFill>
          </w14:textFill>
        </w:rPr>
        <w:t>损失</w:t>
      </w:r>
      <w:r>
        <w:rPr>
          <w:strike/>
          <w:color w:val="000000" w:themeColor="text1"/>
          <w:sz w:val="24"/>
          <w:szCs w:val="24"/>
          <w:highlight w:val="none"/>
          <w:lang w:bidi="ar"/>
          <w14:textFill>
            <w14:solidFill>
              <w14:schemeClr w14:val="tx1"/>
            </w14:solidFill>
          </w14:textFill>
        </w:rPr>
        <w:t>超过投标保证金数额</w:t>
      </w:r>
      <w:r>
        <w:rPr>
          <w:color w:val="000000" w:themeColor="text1"/>
          <w:sz w:val="24"/>
          <w:szCs w:val="24"/>
          <w:highlight w:val="none"/>
          <w:lang w:bidi="ar"/>
          <w14:textFill>
            <w14:solidFill>
              <w14:schemeClr w14:val="tx1"/>
            </w14:solidFill>
          </w14:textFill>
        </w:rPr>
        <w:t>的，中标人</w:t>
      </w:r>
      <w:r>
        <w:rPr>
          <w:strike/>
          <w:color w:val="000000" w:themeColor="text1"/>
          <w:sz w:val="24"/>
          <w:szCs w:val="24"/>
          <w:highlight w:val="none"/>
          <w:lang w:bidi="ar"/>
          <w14:textFill>
            <w14:solidFill>
              <w14:schemeClr w14:val="tx1"/>
            </w14:solidFill>
          </w14:textFill>
        </w:rPr>
        <w:t>还</w:t>
      </w:r>
      <w:r>
        <w:rPr>
          <w:color w:val="000000" w:themeColor="text1"/>
          <w:sz w:val="24"/>
          <w:szCs w:val="24"/>
          <w:highlight w:val="none"/>
          <w:lang w:bidi="ar"/>
          <w14:textFill>
            <w14:solidFill>
              <w14:schemeClr w14:val="tx1"/>
            </w14:solidFill>
          </w14:textFill>
        </w:rPr>
        <w:t>应当</w:t>
      </w:r>
      <w:r>
        <w:rPr>
          <w:strike/>
          <w:color w:val="000000" w:themeColor="text1"/>
          <w:sz w:val="24"/>
          <w:szCs w:val="24"/>
          <w:highlight w:val="none"/>
          <w:lang w:bidi="ar"/>
          <w14:textFill>
            <w14:solidFill>
              <w14:schemeClr w14:val="tx1"/>
            </w14:solidFill>
          </w14:textFill>
        </w:rPr>
        <w:t>对超过部分</w:t>
      </w:r>
      <w:r>
        <w:rPr>
          <w:color w:val="000000" w:themeColor="text1"/>
          <w:sz w:val="24"/>
          <w:szCs w:val="24"/>
          <w:highlight w:val="none"/>
          <w:lang w:bidi="ar"/>
          <w14:textFill>
            <w14:solidFill>
              <w14:schemeClr w14:val="tx1"/>
            </w14:solidFill>
          </w14:textFill>
        </w:rPr>
        <w:t>予以赔偿。</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7.7.2发出中标通知书后，招标人无正当理由拒签合同，或者在签订合同时向中标人提出附加条件的</w:t>
      </w:r>
      <w:r>
        <w:rPr>
          <w:strike/>
          <w:color w:val="000000" w:themeColor="text1"/>
          <w:sz w:val="24"/>
          <w:szCs w:val="24"/>
          <w:highlight w:val="none"/>
          <w:lang w:bidi="ar"/>
          <w14:textFill>
            <w14:solidFill>
              <w14:schemeClr w14:val="tx1"/>
            </w14:solidFill>
          </w14:textFill>
        </w:rPr>
        <w:t>，招标人向中标人退还投标保证金</w:t>
      </w:r>
      <w:r>
        <w:rPr>
          <w:color w:val="000000" w:themeColor="text1"/>
          <w:sz w:val="24"/>
          <w:szCs w:val="24"/>
          <w:highlight w:val="none"/>
          <w:lang w:bidi="ar"/>
          <w14:textFill>
            <w14:solidFill>
              <w14:schemeClr w14:val="tx1"/>
            </w14:solidFill>
          </w14:textFill>
        </w:rPr>
        <w:t>；给中标人造成损失的，</w:t>
      </w:r>
      <w:r>
        <w:rPr>
          <w:strike/>
          <w:color w:val="000000" w:themeColor="text1"/>
          <w:sz w:val="24"/>
          <w:szCs w:val="24"/>
          <w:highlight w:val="none"/>
          <w:lang w:bidi="ar"/>
          <w14:textFill>
            <w14:solidFill>
              <w14:schemeClr w14:val="tx1"/>
            </w14:solidFill>
          </w14:textFill>
        </w:rPr>
        <w:t>还</w:t>
      </w:r>
      <w:r>
        <w:rPr>
          <w:color w:val="000000" w:themeColor="text1"/>
          <w:sz w:val="24"/>
          <w:szCs w:val="24"/>
          <w:highlight w:val="none"/>
          <w:lang w:bidi="ar"/>
          <w14:textFill>
            <w14:solidFill>
              <w14:schemeClr w14:val="tx1"/>
            </w14:solidFill>
          </w14:textFill>
        </w:rPr>
        <w:t>应当赔偿损失。</w:t>
      </w:r>
    </w:p>
    <w:p>
      <w:pPr>
        <w:shd w:val="clear"/>
        <w:spacing w:line="360" w:lineRule="auto"/>
        <w:ind w:firstLine="480" w:firstLineChars="200"/>
        <w:rPr>
          <w:color w:val="000000" w:themeColor="text1"/>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7.7.3联合体中标的，联合体各方应当共同与招标人签订合同，就中标项目向招标人承担连带责任。</w:t>
      </w:r>
    </w:p>
    <w:p>
      <w:pPr>
        <w:pStyle w:val="3"/>
        <w:keepNext w:val="0"/>
        <w:keepLines w:val="0"/>
        <w:shd w:val="clear"/>
        <w:spacing w:before="0" w:after="0" w:line="360" w:lineRule="auto"/>
        <w:jc w:val="left"/>
        <w:rPr>
          <w:rFonts w:ascii="Times New Roman" w:hAnsi="Times New Roman" w:eastAsia="宋体"/>
          <w:color w:val="000000" w:themeColor="text1"/>
          <w:highlight w:val="none"/>
          <w14:textFill>
            <w14:solidFill>
              <w14:schemeClr w14:val="tx1"/>
            </w14:solidFill>
          </w14:textFill>
        </w:rPr>
      </w:pPr>
      <w:bookmarkStart w:id="105" w:name="bookmark68"/>
      <w:bookmarkEnd w:id="105"/>
      <w:bookmarkStart w:id="106" w:name="_Toc21562"/>
      <w:bookmarkStart w:id="107" w:name="_Toc47987331"/>
      <w:bookmarkStart w:id="108" w:name="_Toc25159"/>
      <w:bookmarkStart w:id="109" w:name="_Toc47376772"/>
      <w:r>
        <w:rPr>
          <w:rFonts w:ascii="Times New Roman" w:hAnsi="Times New Roman" w:eastAsia="宋体"/>
          <w:color w:val="000000" w:themeColor="text1"/>
          <w:highlight w:val="none"/>
          <w14:textFill>
            <w14:solidFill>
              <w14:schemeClr w14:val="tx1"/>
            </w14:solidFill>
          </w14:textFill>
        </w:rPr>
        <w:t>8.纪律和监督</w:t>
      </w:r>
      <w:bookmarkEnd w:id="106"/>
      <w:bookmarkEnd w:id="107"/>
      <w:bookmarkEnd w:id="108"/>
      <w:bookmarkEnd w:id="109"/>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110" w:name="bookmark69"/>
      <w:bookmarkEnd w:id="110"/>
      <w:r>
        <w:rPr>
          <w:color w:val="000000" w:themeColor="text1"/>
          <w:highlight w:val="none"/>
          <w14:textFill>
            <w14:solidFill>
              <w14:schemeClr w14:val="tx1"/>
            </w14:solidFill>
          </w14:textFill>
        </w:rPr>
        <w:t>8.1 对招标人的纪律要求</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招标人不得泄露招标投标活动中应当保密的情况和资料，不得与投标人串通损害国家利益、社会公共利益或者他人合法权益。</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111" w:name="bookmark70"/>
      <w:bookmarkEnd w:id="111"/>
      <w:r>
        <w:rPr>
          <w:color w:val="000000" w:themeColor="text1"/>
          <w:highlight w:val="none"/>
          <w14:textFill>
            <w14:solidFill>
              <w14:schemeClr w14:val="tx1"/>
            </w14:solidFill>
          </w14:textFill>
        </w:rPr>
        <w:t>8.2 对投标人的纪律要求</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112" w:name="bookmark71"/>
      <w:bookmarkEnd w:id="112"/>
      <w:r>
        <w:rPr>
          <w:color w:val="000000" w:themeColor="text1"/>
          <w:highlight w:val="none"/>
          <w14:textFill>
            <w14:solidFill>
              <w14:schemeClr w14:val="tx1"/>
            </w14:solidFill>
          </w14:textFill>
        </w:rPr>
        <w:t>8.3 对评标委员会成员的纪律要求</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113" w:name="bookmark72"/>
      <w:bookmarkEnd w:id="113"/>
      <w:r>
        <w:rPr>
          <w:color w:val="000000" w:themeColor="text1"/>
          <w:highlight w:val="none"/>
          <w14:textFill>
            <w14:solidFill>
              <w14:schemeClr w14:val="tx1"/>
            </w14:solidFill>
          </w14:textFill>
        </w:rPr>
        <w:t>8.4 对与评标活动有关的工作人员的纪律要求</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114" w:name="bookmark73"/>
      <w:bookmarkEnd w:id="114"/>
      <w:r>
        <w:rPr>
          <w:color w:val="000000" w:themeColor="text1"/>
          <w:highlight w:val="none"/>
          <w14:textFill>
            <w14:solidFill>
              <w14:schemeClr w14:val="tx1"/>
            </w14:solidFill>
          </w14:textFill>
        </w:rPr>
        <w:t>8.5 投诉</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8.5.1投标人或者其他利害关系人认为招标投标活动不符合法律、行政法规规定的，可以自知道或者应当知道之日起10日内向有关行政监督部门投诉。投诉应当有明确的请求和必要的证明材料。</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8.5.2投标人或者其他利害关系人对招标文件、开标和评标结果提出投诉的，应当按照投标人须知第2.4款、第5.3款和第7.2款的规定先向招标人提出异议。异议答复期间不计算在第8.5.1项规定的期限内。</w:t>
      </w:r>
    </w:p>
    <w:p>
      <w:pPr>
        <w:pStyle w:val="3"/>
        <w:keepNext w:val="0"/>
        <w:keepLines w:val="0"/>
        <w:shd w:val="clear"/>
        <w:spacing w:before="0" w:after="0" w:line="360" w:lineRule="auto"/>
        <w:jc w:val="left"/>
        <w:rPr>
          <w:rFonts w:ascii="Times New Roman" w:hAnsi="Times New Roman" w:eastAsia="宋体"/>
          <w:color w:val="000000" w:themeColor="text1"/>
          <w:highlight w:val="none"/>
          <w14:textFill>
            <w14:solidFill>
              <w14:schemeClr w14:val="tx1"/>
            </w14:solidFill>
          </w14:textFill>
        </w:rPr>
      </w:pPr>
      <w:bookmarkStart w:id="115" w:name="bookmark74"/>
      <w:bookmarkEnd w:id="115"/>
      <w:bookmarkStart w:id="116" w:name="_Toc20618"/>
      <w:bookmarkStart w:id="117" w:name="_Toc1105"/>
      <w:r>
        <w:rPr>
          <w:rFonts w:ascii="Times New Roman" w:hAnsi="Times New Roman" w:eastAsia="宋体"/>
          <w:color w:val="000000" w:themeColor="text1"/>
          <w:highlight w:val="none"/>
          <w14:textFill>
            <w14:solidFill>
              <w14:schemeClr w14:val="tx1"/>
            </w14:solidFill>
          </w14:textFill>
        </w:rPr>
        <w:t>9. 是否采用电子招标投标</w:t>
      </w:r>
      <w:bookmarkEnd w:id="116"/>
      <w:bookmarkEnd w:id="117"/>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本招标项目采用电子招标投标方式，具体要求见投标人须知前附表。</w:t>
      </w:r>
    </w:p>
    <w:p>
      <w:pPr>
        <w:pStyle w:val="6"/>
        <w:widowControl/>
        <w:shd w:val="clear"/>
        <w:kinsoku w:val="0"/>
        <w:overflowPunct w:val="0"/>
        <w:spacing w:before="0" w:after="0" w:line="360" w:lineRule="auto"/>
        <w:jc w:val="left"/>
        <w:rPr>
          <w:bCs w:val="0"/>
          <w:color w:val="000000" w:themeColor="text1"/>
          <w:sz w:val="32"/>
          <w:szCs w:val="22"/>
          <w:highlight w:val="none"/>
          <w14:textFill>
            <w14:solidFill>
              <w14:schemeClr w14:val="tx1"/>
            </w14:solidFill>
          </w14:textFill>
        </w:rPr>
      </w:pPr>
      <w:bookmarkStart w:id="118" w:name="bookmark75"/>
      <w:bookmarkEnd w:id="118"/>
      <w:r>
        <w:rPr>
          <w:bCs w:val="0"/>
          <w:color w:val="000000" w:themeColor="text1"/>
          <w:sz w:val="32"/>
          <w:szCs w:val="22"/>
          <w:highlight w:val="none"/>
          <w14:textFill>
            <w14:solidFill>
              <w14:schemeClr w14:val="tx1"/>
            </w14:solidFill>
          </w14:textFill>
        </w:rPr>
        <w:t>10. 需要补充的其他内容</w:t>
      </w:r>
    </w:p>
    <w:p>
      <w:pPr>
        <w:widowControl/>
        <w:shd w:val="clear"/>
        <w:ind w:firstLine="480" w:firstLineChars="200"/>
        <w:jc w:val="left"/>
        <w:rPr>
          <w:color w:val="000000" w:themeColor="text1"/>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需要补充的其他内容：见投标人须知前附表。</w:t>
      </w:r>
    </w:p>
    <w:p>
      <w:pPr>
        <w:shd w:val="clear"/>
        <w:spacing w:line="360" w:lineRule="auto"/>
        <w:ind w:firstLine="480" w:firstLineChars="200"/>
        <w:rPr>
          <w:color w:val="000000" w:themeColor="text1"/>
          <w:sz w:val="24"/>
          <w:szCs w:val="24"/>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
        <w:keepNext w:val="0"/>
        <w:keepLines w:val="0"/>
        <w:shd w:val="clear"/>
        <w:ind w:firstLine="137"/>
        <w:rPr>
          <w:rFonts w:ascii="Times New Roman" w:hAnsi="Times New Roman" w:eastAsia="宋体"/>
          <w:color w:val="000000" w:themeColor="text1"/>
          <w:highlight w:val="none"/>
          <w14:textFill>
            <w14:solidFill>
              <w14:schemeClr w14:val="tx1"/>
            </w14:solidFill>
          </w14:textFill>
        </w:rPr>
      </w:pPr>
      <w:bookmarkStart w:id="119" w:name="_Toc15242"/>
      <w:bookmarkEnd w:id="119"/>
      <w:bookmarkStart w:id="120" w:name="_Toc369531530"/>
      <w:bookmarkEnd w:id="120"/>
      <w:bookmarkStart w:id="121" w:name="_Toc144974511"/>
      <w:bookmarkEnd w:id="121"/>
      <w:bookmarkStart w:id="122" w:name="_Toc384308224"/>
      <w:bookmarkEnd w:id="122"/>
      <w:bookmarkStart w:id="123" w:name="_Toc247513967"/>
      <w:bookmarkEnd w:id="123"/>
      <w:bookmarkStart w:id="124" w:name="_Toc152045543"/>
      <w:bookmarkEnd w:id="124"/>
      <w:bookmarkStart w:id="125" w:name="_Toc152042319"/>
      <w:bookmarkEnd w:id="125"/>
      <w:bookmarkStart w:id="126" w:name="_Toc352691487"/>
      <w:bookmarkEnd w:id="126"/>
      <w:bookmarkStart w:id="127" w:name="_Toc247527568"/>
      <w:bookmarkEnd w:id="127"/>
      <w:bookmarkStart w:id="128" w:name="_Toc361508599"/>
      <w:bookmarkEnd w:id="128"/>
      <w:bookmarkStart w:id="129" w:name="_Toc300834964"/>
      <w:bookmarkEnd w:id="129"/>
      <w:bookmarkStart w:id="130" w:name="_Toc47987332"/>
      <w:bookmarkStart w:id="131" w:name="_Toc536044190"/>
      <w:bookmarkStart w:id="132" w:name="_Toc24500"/>
      <w:bookmarkStart w:id="133" w:name="_Toc2079"/>
      <w:r>
        <w:rPr>
          <w:rFonts w:ascii="Times New Roman" w:hAnsi="Times New Roman" w:eastAsia="宋体"/>
          <w:color w:val="000000" w:themeColor="text1"/>
          <w:highlight w:val="none"/>
          <w14:textFill>
            <w14:solidFill>
              <w14:schemeClr w14:val="tx1"/>
            </w14:solidFill>
          </w14:textFill>
        </w:rPr>
        <w:t>附件一：开标记录表</w:t>
      </w:r>
      <w:bookmarkEnd w:id="130"/>
      <w:bookmarkEnd w:id="131"/>
      <w:r>
        <w:rPr>
          <w:rFonts w:ascii="Times New Roman" w:hAnsi="Times New Roman" w:eastAsia="宋体"/>
          <w:color w:val="000000" w:themeColor="text1"/>
          <w:highlight w:val="none"/>
          <w14:textFill>
            <w14:solidFill>
              <w14:schemeClr w14:val="tx1"/>
            </w14:solidFill>
          </w14:textFill>
        </w:rPr>
        <w:t>（最终以交易中心开标系统导出的开标记录表为准）</w:t>
      </w:r>
      <w:bookmarkEnd w:id="132"/>
      <w:bookmarkEnd w:id="133"/>
    </w:p>
    <w:p>
      <w:pPr>
        <w:shd w:val="clear"/>
        <w:spacing w:line="440" w:lineRule="exact"/>
        <w:jc w:val="center"/>
        <w:rPr>
          <w:color w:val="000000" w:themeColor="text1"/>
          <w:sz w:val="28"/>
          <w:highlight w:val="none"/>
          <w14:textFill>
            <w14:solidFill>
              <w14:schemeClr w14:val="tx1"/>
            </w14:solidFill>
          </w14:textFill>
        </w:rPr>
      </w:pPr>
      <w:r>
        <w:rPr>
          <w:color w:val="000000" w:themeColor="text1"/>
          <w:sz w:val="28"/>
          <w:highlight w:val="none"/>
          <w14:textFill>
            <w14:solidFill>
              <w14:schemeClr w14:val="tx1"/>
            </w14:solidFill>
          </w14:textFill>
        </w:rPr>
        <w:t>开标记录表</w:t>
      </w:r>
    </w:p>
    <w:p>
      <w:pPr>
        <w:shd w:val="clear"/>
        <w:spacing w:before="120" w:beforeLines="50" w:after="120" w:afterLines="50" w:line="400" w:lineRule="exact"/>
        <w:ind w:right="42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开标时间：</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日</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时</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分</w:t>
      </w:r>
    </w:p>
    <w:tbl>
      <w:tblPr>
        <w:tblStyle w:val="39"/>
        <w:tblW w:w="9165" w:type="dxa"/>
        <w:jc w:val="center"/>
        <w:tblLayout w:type="fixed"/>
        <w:tblCellMar>
          <w:top w:w="0" w:type="dxa"/>
          <w:left w:w="108" w:type="dxa"/>
          <w:bottom w:w="0" w:type="dxa"/>
          <w:right w:w="108" w:type="dxa"/>
        </w:tblCellMar>
      </w:tblPr>
      <w:tblGrid>
        <w:gridCol w:w="635"/>
        <w:gridCol w:w="997"/>
        <w:gridCol w:w="977"/>
        <w:gridCol w:w="971"/>
        <w:gridCol w:w="834"/>
        <w:gridCol w:w="971"/>
        <w:gridCol w:w="971"/>
        <w:gridCol w:w="834"/>
        <w:gridCol w:w="971"/>
        <w:gridCol w:w="968"/>
        <w:gridCol w:w="36"/>
      </w:tblGrid>
      <w:tr>
        <w:tblPrEx>
          <w:tblCellMar>
            <w:top w:w="0" w:type="dxa"/>
            <w:left w:w="108" w:type="dxa"/>
            <w:bottom w:w="0" w:type="dxa"/>
            <w:right w:w="108" w:type="dxa"/>
          </w:tblCellMar>
        </w:tblPrEx>
        <w:trPr>
          <w:gridAfter w:val="1"/>
          <w:wAfter w:w="36" w:type="dxa"/>
          <w:trHeight w:val="1480"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500" w:lineRule="exact"/>
              <w:ind w:left="0" w:right="0"/>
              <w:jc w:val="center"/>
              <w:rPr>
                <w:rFonts w:hint="default"/>
                <w:color w:val="000000" w:themeColor="text1"/>
                <w:sz w:val="18"/>
                <w:highlight w:val="none"/>
                <w14:textFill>
                  <w14:solidFill>
                    <w14:schemeClr w14:val="tx1"/>
                  </w14:solidFill>
                </w14:textFill>
              </w:rPr>
            </w:pPr>
            <w:r>
              <w:rPr>
                <w:rFonts w:hint="default"/>
                <w:color w:val="000000" w:themeColor="text1"/>
                <w:sz w:val="18"/>
                <w:highlight w:val="none"/>
                <w14:textFill>
                  <w14:solidFill>
                    <w14:schemeClr w14:val="tx1"/>
                  </w14:solidFill>
                </w14:textFill>
              </w:rPr>
              <w:t>序号</w:t>
            </w:r>
          </w:p>
        </w:tc>
        <w:tc>
          <w:tcPr>
            <w:tcW w:w="9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500" w:lineRule="exact"/>
              <w:ind w:left="0" w:right="0"/>
              <w:jc w:val="center"/>
              <w:rPr>
                <w:rFonts w:hint="default"/>
                <w:color w:val="000000" w:themeColor="text1"/>
                <w:sz w:val="18"/>
                <w:highlight w:val="none"/>
                <w14:textFill>
                  <w14:solidFill>
                    <w14:schemeClr w14:val="tx1"/>
                  </w14:solidFill>
                </w14:textFill>
              </w:rPr>
            </w:pPr>
            <w:r>
              <w:rPr>
                <w:rFonts w:hint="default"/>
                <w:color w:val="000000" w:themeColor="text1"/>
                <w:sz w:val="18"/>
                <w:highlight w:val="none"/>
                <w14:textFill>
                  <w14:solidFill>
                    <w14:schemeClr w14:val="tx1"/>
                  </w14:solidFill>
                </w14:textFill>
              </w:rPr>
              <w:t>投标人</w:t>
            </w:r>
          </w:p>
        </w:tc>
        <w:tc>
          <w:tcPr>
            <w:tcW w:w="9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500" w:lineRule="exact"/>
              <w:ind w:left="0" w:right="0"/>
              <w:rPr>
                <w:rFonts w:hint="default"/>
                <w:color w:val="000000" w:themeColor="text1"/>
                <w:sz w:val="18"/>
                <w:highlight w:val="none"/>
                <w14:textFill>
                  <w14:solidFill>
                    <w14:schemeClr w14:val="tx1"/>
                  </w14:solidFill>
                </w14:textFill>
              </w:rPr>
            </w:pPr>
            <w:r>
              <w:rPr>
                <w:rFonts w:hint="default"/>
                <w:color w:val="000000" w:themeColor="text1"/>
                <w:sz w:val="18"/>
                <w:szCs w:val="18"/>
                <w:highlight w:val="none"/>
                <w14:textFill>
                  <w14:solidFill>
                    <w14:schemeClr w14:val="tx1"/>
                  </w14:solidFill>
                </w14:textFill>
              </w:rPr>
              <w:t>投标文件递交情况</w:t>
            </w:r>
          </w:p>
        </w:tc>
        <w:tc>
          <w:tcPr>
            <w:tcW w:w="9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500" w:lineRule="exact"/>
              <w:ind w:left="0" w:right="0"/>
              <w:jc w:val="center"/>
              <w:rPr>
                <w:rFonts w:hint="default"/>
                <w:color w:val="000000" w:themeColor="text1"/>
                <w:sz w:val="18"/>
                <w:highlight w:val="none"/>
                <w14:textFill>
                  <w14:solidFill>
                    <w14:schemeClr w14:val="tx1"/>
                  </w14:solidFill>
                </w14:textFill>
              </w:rPr>
            </w:pPr>
            <w:r>
              <w:rPr>
                <w:rFonts w:hint="default"/>
                <w:color w:val="000000" w:themeColor="text1"/>
                <w:sz w:val="18"/>
                <w:highlight w:val="none"/>
                <w14:textFill>
                  <w14:solidFill>
                    <w14:schemeClr w14:val="tx1"/>
                  </w14:solidFill>
                </w14:textFill>
              </w:rPr>
              <w:t>投标文件解密情况</w:t>
            </w:r>
          </w:p>
        </w:tc>
        <w:tc>
          <w:tcPr>
            <w:tcW w:w="8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jc w:val="center"/>
              <w:rPr>
                <w:rFonts w:hint="default"/>
                <w:color w:val="000000" w:themeColor="text1"/>
                <w:sz w:val="18"/>
                <w:highlight w:val="none"/>
                <w14:textFill>
                  <w14:solidFill>
                    <w14:schemeClr w14:val="tx1"/>
                  </w14:solidFill>
                </w14:textFill>
              </w:rPr>
            </w:pPr>
            <w:r>
              <w:rPr>
                <w:rFonts w:hint="default"/>
                <w:color w:val="000000" w:themeColor="text1"/>
                <w:sz w:val="18"/>
                <w:highlight w:val="none"/>
                <w14:textFill>
                  <w14:solidFill>
                    <w14:schemeClr w14:val="tx1"/>
                  </w14:solidFill>
                </w14:textFill>
              </w:rPr>
              <w:t>投标报价</w:t>
            </w:r>
            <w:r>
              <w:rPr>
                <w:rFonts w:hint="eastAsia"/>
                <w:color w:val="000000" w:themeColor="text1"/>
                <w:sz w:val="18"/>
                <w:highlight w:val="none"/>
                <w14:textFill>
                  <w14:solidFill>
                    <w14:schemeClr w14:val="tx1"/>
                  </w14:solidFill>
                </w14:textFill>
              </w:rPr>
              <w:t>总价</w:t>
            </w:r>
            <w:r>
              <w:rPr>
                <w:rFonts w:hint="default"/>
                <w:color w:val="000000" w:themeColor="text1"/>
                <w:sz w:val="18"/>
                <w:highlight w:val="none"/>
                <w14:textFill>
                  <w14:solidFill>
                    <w14:schemeClr w14:val="tx1"/>
                  </w14:solidFill>
                </w14:textFill>
              </w:rPr>
              <w:t>（</w:t>
            </w:r>
            <w:r>
              <w:rPr>
                <w:rFonts w:hint="eastAsia"/>
                <w:color w:val="000000" w:themeColor="text1"/>
                <w:sz w:val="18"/>
                <w:highlight w:val="none"/>
                <w:lang w:val="en-US" w:eastAsia="zh-CN"/>
                <w14:textFill>
                  <w14:solidFill>
                    <w14:schemeClr w14:val="tx1"/>
                  </w14:solidFill>
                </w14:textFill>
              </w:rPr>
              <w:t>万</w:t>
            </w:r>
            <w:r>
              <w:rPr>
                <w:rFonts w:hint="default"/>
                <w:color w:val="000000" w:themeColor="text1"/>
                <w:sz w:val="18"/>
                <w:highlight w:val="none"/>
                <w14:textFill>
                  <w14:solidFill>
                    <w14:schemeClr w14:val="tx1"/>
                  </w14:solidFill>
                </w14:textFill>
              </w:rPr>
              <w:t>元）</w:t>
            </w:r>
          </w:p>
        </w:tc>
        <w:tc>
          <w:tcPr>
            <w:tcW w:w="9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jc w:val="center"/>
              <w:rPr>
                <w:rFonts w:hint="default"/>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含税综合包干单价投标报价（元</w:t>
            </w:r>
            <w:r>
              <w:rPr>
                <w:rFonts w:hint="eastAsia" w:ascii="宋体" w:hAnsi="宋体" w:cs="宋体"/>
                <w:color w:val="000000" w:themeColor="text1"/>
                <w:sz w:val="24"/>
                <w:szCs w:val="24"/>
                <w:highlight w:val="none"/>
                <w:u w:val="single"/>
                <w14:textFill>
                  <w14:solidFill>
                    <w14:schemeClr w14:val="tx1"/>
                  </w14:solidFill>
                </w14:textFill>
              </w:rPr>
              <w:t>/m</w:t>
            </w:r>
            <w:r>
              <w:rPr>
                <w:rFonts w:hint="eastAsia" w:ascii="宋体" w:hAnsi="宋体" w:cs="宋体"/>
                <w:color w:val="000000" w:themeColor="text1"/>
                <w:sz w:val="24"/>
                <w:szCs w:val="24"/>
                <w:highlight w:val="none"/>
                <w:u w:val="single"/>
                <w:vertAlign w:val="superscript"/>
                <w14:textFill>
                  <w14:solidFill>
                    <w14:schemeClr w14:val="tx1"/>
                  </w14:solidFill>
                </w14:textFill>
              </w:rPr>
              <w:t>2</w:t>
            </w:r>
            <w:r>
              <w:rPr>
                <w:rFonts w:hint="eastAsia"/>
                <w:color w:val="000000" w:themeColor="text1"/>
                <w:sz w:val="18"/>
                <w:highlight w:val="none"/>
                <w14:textFill>
                  <w14:solidFill>
                    <w14:schemeClr w14:val="tx1"/>
                  </w14:solidFill>
                </w14:textFill>
              </w:rPr>
              <w:t>）</w:t>
            </w:r>
          </w:p>
        </w:tc>
        <w:tc>
          <w:tcPr>
            <w:tcW w:w="9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500" w:lineRule="exact"/>
              <w:ind w:left="0" w:right="0"/>
              <w:jc w:val="center"/>
              <w:rPr>
                <w:rFonts w:hint="default"/>
                <w:color w:val="000000" w:themeColor="text1"/>
                <w:sz w:val="18"/>
                <w:highlight w:val="none"/>
                <w14:textFill>
                  <w14:solidFill>
                    <w14:schemeClr w14:val="tx1"/>
                  </w14:solidFill>
                </w14:textFill>
              </w:rPr>
            </w:pPr>
            <w:r>
              <w:rPr>
                <w:rFonts w:hint="default"/>
                <w:color w:val="000000" w:themeColor="text1"/>
                <w:sz w:val="18"/>
                <w:highlight w:val="none"/>
                <w14:textFill>
                  <w14:solidFill>
                    <w14:schemeClr w14:val="tx1"/>
                  </w14:solidFill>
                </w14:textFill>
              </w:rPr>
              <w:t>项目负责人</w:t>
            </w:r>
          </w:p>
        </w:tc>
        <w:tc>
          <w:tcPr>
            <w:tcW w:w="8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500" w:lineRule="exact"/>
              <w:ind w:left="0" w:right="0"/>
              <w:jc w:val="center"/>
              <w:rPr>
                <w:rFonts w:hint="default"/>
                <w:color w:val="000000" w:themeColor="text1"/>
                <w:sz w:val="18"/>
                <w:highlight w:val="none"/>
                <w14:textFill>
                  <w14:solidFill>
                    <w14:schemeClr w14:val="tx1"/>
                  </w14:solidFill>
                </w14:textFill>
              </w:rPr>
            </w:pPr>
            <w:r>
              <w:rPr>
                <w:rFonts w:hint="default"/>
                <w:color w:val="000000" w:themeColor="text1"/>
                <w:sz w:val="18"/>
                <w:highlight w:val="none"/>
                <w14:textFill>
                  <w14:solidFill>
                    <w14:schemeClr w14:val="tx1"/>
                  </w14:solidFill>
                </w14:textFill>
              </w:rPr>
              <w:t>服务期</w:t>
            </w:r>
          </w:p>
        </w:tc>
        <w:tc>
          <w:tcPr>
            <w:tcW w:w="9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500" w:lineRule="exact"/>
              <w:ind w:left="0" w:right="0"/>
              <w:jc w:val="center"/>
              <w:rPr>
                <w:rFonts w:hint="default"/>
                <w:color w:val="000000" w:themeColor="text1"/>
                <w:sz w:val="18"/>
                <w:highlight w:val="none"/>
                <w14:textFill>
                  <w14:solidFill>
                    <w14:schemeClr w14:val="tx1"/>
                  </w14:solidFill>
                </w14:textFill>
              </w:rPr>
            </w:pPr>
            <w:r>
              <w:rPr>
                <w:rFonts w:hint="default"/>
                <w:color w:val="000000" w:themeColor="text1"/>
                <w:sz w:val="18"/>
                <w:highlight w:val="none"/>
                <w14:textFill>
                  <w14:solidFill>
                    <w14:schemeClr w14:val="tx1"/>
                  </w14:solidFill>
                </w14:textFill>
              </w:rPr>
              <w:t>质量标准</w:t>
            </w:r>
          </w:p>
        </w:tc>
        <w:tc>
          <w:tcPr>
            <w:tcW w:w="9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500" w:lineRule="exact"/>
              <w:ind w:left="0" w:right="0"/>
              <w:jc w:val="center"/>
              <w:rPr>
                <w:rFonts w:hint="default"/>
                <w:color w:val="000000" w:themeColor="text1"/>
                <w:sz w:val="18"/>
                <w:highlight w:val="none"/>
                <w14:textFill>
                  <w14:solidFill>
                    <w14:schemeClr w14:val="tx1"/>
                  </w14:solidFill>
                </w14:textFill>
              </w:rPr>
            </w:pPr>
            <w:r>
              <w:rPr>
                <w:rFonts w:hint="default"/>
                <w:color w:val="000000" w:themeColor="text1"/>
                <w:sz w:val="18"/>
                <w:highlight w:val="none"/>
                <w14:textFill>
                  <w14:solidFill>
                    <w14:schemeClr w14:val="tx1"/>
                  </w14:solidFill>
                </w14:textFill>
              </w:rPr>
              <w:t>投标人代表签名</w:t>
            </w:r>
          </w:p>
        </w:tc>
      </w:tr>
      <w:tr>
        <w:tblPrEx>
          <w:tblCellMar>
            <w:top w:w="0" w:type="dxa"/>
            <w:left w:w="108" w:type="dxa"/>
            <w:bottom w:w="0" w:type="dxa"/>
            <w:right w:w="108" w:type="dxa"/>
          </w:tblCellMar>
        </w:tblPrEx>
        <w:trPr>
          <w:gridAfter w:val="1"/>
          <w:wAfter w:w="36" w:type="dxa"/>
          <w:trHeight w:val="488" w:hRule="atLeast"/>
          <w:jc w:val="center"/>
        </w:trPr>
        <w:tc>
          <w:tcPr>
            <w:tcW w:w="635"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gridAfter w:val="1"/>
          <w:wAfter w:w="36" w:type="dxa"/>
          <w:trHeight w:val="488" w:hRule="atLeast"/>
          <w:jc w:val="center"/>
        </w:trPr>
        <w:tc>
          <w:tcPr>
            <w:tcW w:w="635"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gridAfter w:val="1"/>
          <w:wAfter w:w="36" w:type="dxa"/>
          <w:trHeight w:val="488" w:hRule="atLeast"/>
          <w:jc w:val="center"/>
        </w:trPr>
        <w:tc>
          <w:tcPr>
            <w:tcW w:w="635"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gridAfter w:val="1"/>
          <w:wAfter w:w="36" w:type="dxa"/>
          <w:trHeight w:val="488" w:hRule="atLeast"/>
          <w:jc w:val="center"/>
        </w:trPr>
        <w:tc>
          <w:tcPr>
            <w:tcW w:w="635"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gridAfter w:val="1"/>
          <w:wAfter w:w="36" w:type="dxa"/>
          <w:trHeight w:val="488" w:hRule="atLeast"/>
          <w:jc w:val="center"/>
        </w:trPr>
        <w:tc>
          <w:tcPr>
            <w:tcW w:w="635"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gridAfter w:val="1"/>
          <w:wAfter w:w="36" w:type="dxa"/>
          <w:trHeight w:val="488" w:hRule="atLeast"/>
          <w:jc w:val="center"/>
        </w:trPr>
        <w:tc>
          <w:tcPr>
            <w:tcW w:w="635"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gridAfter w:val="1"/>
          <w:wAfter w:w="36" w:type="dxa"/>
          <w:trHeight w:val="488" w:hRule="atLeast"/>
          <w:jc w:val="center"/>
        </w:trPr>
        <w:tc>
          <w:tcPr>
            <w:tcW w:w="635"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gridAfter w:val="1"/>
          <w:wAfter w:w="36" w:type="dxa"/>
          <w:trHeight w:val="488" w:hRule="atLeast"/>
          <w:jc w:val="center"/>
        </w:trPr>
        <w:tc>
          <w:tcPr>
            <w:tcW w:w="635"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gridAfter w:val="1"/>
          <w:wAfter w:w="36" w:type="dxa"/>
          <w:trHeight w:val="495" w:hRule="atLeast"/>
          <w:jc w:val="center"/>
        </w:trPr>
        <w:tc>
          <w:tcPr>
            <w:tcW w:w="635"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gridAfter w:val="1"/>
          <w:wAfter w:w="36" w:type="dxa"/>
          <w:trHeight w:val="488" w:hRule="atLeast"/>
          <w:jc w:val="center"/>
        </w:trPr>
        <w:tc>
          <w:tcPr>
            <w:tcW w:w="635"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bookmarkStart w:id="134" w:name="_Toc17638"/>
          </w:p>
        </w:tc>
      </w:tr>
      <w:tr>
        <w:tblPrEx>
          <w:tblCellMar>
            <w:top w:w="0" w:type="dxa"/>
            <w:left w:w="108" w:type="dxa"/>
            <w:bottom w:w="0" w:type="dxa"/>
            <w:right w:w="108" w:type="dxa"/>
          </w:tblCellMar>
        </w:tblPrEx>
        <w:trPr>
          <w:gridAfter w:val="1"/>
          <w:wAfter w:w="36" w:type="dxa"/>
          <w:trHeight w:val="488" w:hRule="atLeast"/>
          <w:jc w:val="center"/>
        </w:trPr>
        <w:tc>
          <w:tcPr>
            <w:tcW w:w="635"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500" w:lineRule="exact"/>
              <w:ind w:left="0" w:right="0"/>
              <w:jc w:val="left"/>
              <w:rPr>
                <w:rFonts w:hint="default"/>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54"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jc w:val="left"/>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最高投标限价：</w:t>
            </w:r>
          </w:p>
        </w:tc>
        <w:tc>
          <w:tcPr>
            <w:tcW w:w="7533"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jc w:val="left"/>
              <w:rPr>
                <w:rFonts w:hint="default"/>
                <w:color w:val="000000" w:themeColor="text1"/>
                <w:highlight w:val="none"/>
                <w14:textFill>
                  <w14:solidFill>
                    <w14:schemeClr w14:val="tx1"/>
                  </w14:solidFill>
                </w14:textFill>
              </w:rPr>
            </w:pPr>
          </w:p>
        </w:tc>
      </w:tr>
      <w:bookmarkEnd w:id="134"/>
    </w:tbl>
    <w:p>
      <w:pPr>
        <w:shd w:val="clear"/>
        <w:spacing w:line="44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p>
    <w:p>
      <w:pPr>
        <w:shd w:val="clear"/>
        <w:spacing w:line="6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招标人代表：</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记录人：</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监标人：</w:t>
      </w:r>
      <w:r>
        <w:rPr>
          <w:color w:val="000000" w:themeColor="text1"/>
          <w:highlight w:val="none"/>
          <w:u w:val="single"/>
          <w14:textFill>
            <w14:solidFill>
              <w14:schemeClr w14:val="tx1"/>
            </w14:solidFill>
          </w14:textFill>
        </w:rPr>
        <w:t xml:space="preserve">       </w:t>
      </w:r>
    </w:p>
    <w:p>
      <w:pPr>
        <w:shd w:val="clear"/>
        <w:spacing w:line="620" w:lineRule="exact"/>
        <w:jc w:val="right"/>
        <w:rPr>
          <w:color w:val="000000" w:themeColor="text1"/>
          <w:sz w:val="20"/>
          <w:highlight w:val="none"/>
          <w14:textFill>
            <w14:solidFill>
              <w14:schemeClr w14:val="tx1"/>
            </w14:solidFill>
          </w14:textFill>
        </w:rPr>
      </w:pP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日</w:t>
      </w:r>
    </w:p>
    <w:p>
      <w:pPr>
        <w:widowControl/>
        <w:shd w:val="clear"/>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
        <w:keepNext w:val="0"/>
        <w:keepLines w:val="0"/>
        <w:shd w:val="clear"/>
        <w:adjustRightInd w:val="0"/>
        <w:snapToGrid w:val="0"/>
        <w:spacing w:before="0" w:after="0" w:line="240" w:lineRule="auto"/>
        <w:rPr>
          <w:color w:val="000000" w:themeColor="text1"/>
          <w:highlight w:val="none"/>
          <w14:textFill>
            <w14:solidFill>
              <w14:schemeClr w14:val="tx1"/>
            </w14:solidFill>
          </w14:textFill>
        </w:rPr>
      </w:pPr>
      <w:bookmarkStart w:id="135" w:name="_Toc312"/>
      <w:r>
        <w:rPr>
          <w:rFonts w:hint="eastAsia" w:ascii="Times New Roman" w:hAnsi="Times New Roman" w:eastAsia="宋体"/>
          <w:color w:val="000000" w:themeColor="text1"/>
          <w:highlight w:val="none"/>
          <w14:textFill>
            <w14:solidFill>
              <w14:schemeClr w14:val="tx1"/>
            </w14:solidFill>
          </w14:textFill>
        </w:rPr>
        <w:t>附件二：</w:t>
      </w:r>
      <w:bookmarkEnd w:id="135"/>
    </w:p>
    <w:p>
      <w:pPr>
        <w:shd w:val="clear"/>
        <w:spacing w:line="440" w:lineRule="exact"/>
        <w:jc w:val="center"/>
        <w:rPr>
          <w:b/>
          <w:color w:val="000000" w:themeColor="text1"/>
          <w:sz w:val="36"/>
          <w:highlight w:val="none"/>
          <w14:textFill>
            <w14:solidFill>
              <w14:schemeClr w14:val="tx1"/>
            </w14:solidFill>
          </w14:textFill>
        </w:rPr>
      </w:pPr>
      <w:r>
        <w:rPr>
          <w:rFonts w:hint="eastAsia"/>
          <w:b/>
          <w:color w:val="000000" w:themeColor="text1"/>
          <w:sz w:val="36"/>
          <w:highlight w:val="none"/>
          <w14:textFill>
            <w14:solidFill>
              <w14:schemeClr w14:val="tx1"/>
            </w14:solidFill>
          </w14:textFill>
        </w:rPr>
        <w:t>评标委员会成员声明</w:t>
      </w:r>
    </w:p>
    <w:p>
      <w:pPr>
        <w:shd w:val="clear"/>
        <w:adjustRightInd w:val="0"/>
        <w:snapToGrid w:val="0"/>
        <w:spacing w:line="360" w:lineRule="auto"/>
        <w:ind w:firstLine="420" w:firstLineChars="200"/>
        <w:rPr>
          <w:color w:val="000000" w:themeColor="text1"/>
          <w:highlight w:val="none"/>
          <w:u w:val="single"/>
          <w14:textFill>
            <w14:solidFill>
              <w14:schemeClr w14:val="tx1"/>
            </w14:solidFill>
          </w14:textFill>
        </w:rPr>
      </w:pPr>
    </w:p>
    <w:p>
      <w:pPr>
        <w:shd w:val="clear"/>
        <w:adjustRightInd w:val="0"/>
        <w:snapToGrid w:val="0"/>
        <w:spacing w:line="300" w:lineRule="auto"/>
        <w:rPr>
          <w:color w:val="000000" w:themeColor="text1"/>
          <w:sz w:val="24"/>
          <w:highlight w:val="none"/>
          <w14:textFill>
            <w14:solidFill>
              <w14:schemeClr w14:val="tx1"/>
            </w14:solidFill>
          </w14:textFill>
        </w:rPr>
      </w:pP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14:textFill>
            <w14:solidFill>
              <w14:schemeClr w14:val="tx1"/>
            </w14:solidFill>
          </w14:textFill>
        </w:rPr>
        <w:t>广州市白云城市建设投资有限公司（招标人）</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w:t>
      </w:r>
    </w:p>
    <w:p>
      <w:pPr>
        <w:shd w:val="clear"/>
        <w:adjustRightInd w:val="0"/>
        <w:snapToGrid w:val="0"/>
        <w:spacing w:line="30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本人就参与</w:t>
      </w:r>
      <w:r>
        <w:rPr>
          <w:color w:val="000000" w:themeColor="text1"/>
          <w:sz w:val="24"/>
          <w:highlight w:val="none"/>
          <w:u w:val="single"/>
          <w14:textFill>
            <w14:solidFill>
              <w14:schemeClr w14:val="tx1"/>
            </w14:solidFill>
          </w14:textFill>
        </w:rPr>
        <w:t xml:space="preserve"> </w:t>
      </w:r>
      <w:r>
        <w:rPr>
          <w:rFonts w:hint="eastAsia"/>
          <w:b/>
          <w:color w:val="000000" w:themeColor="text1"/>
          <w:sz w:val="24"/>
          <w:highlight w:val="none"/>
          <w:u w:val="single"/>
          <w:lang w:eastAsia="zh-CN"/>
          <w14:textFill>
            <w14:solidFill>
              <w14:schemeClr w14:val="tx1"/>
            </w14:solidFill>
          </w14:textFill>
        </w:rPr>
        <w:t>广州设计之都嘉禾片区项目三期第三方检测、监测服务</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项目的评标工作，作出郑重声明：</w:t>
      </w:r>
    </w:p>
    <w:p>
      <w:pPr>
        <w:shd w:val="clear"/>
        <w:adjustRightInd w:val="0"/>
        <w:snapToGrid w:val="0"/>
        <w:spacing w:line="30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shd w:val="clear"/>
        <w:adjustRightInd w:val="0"/>
        <w:snapToGrid w:val="0"/>
        <w:spacing w:line="30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shd w:val="clear"/>
        <w:adjustRightInd w:val="0"/>
        <w:snapToGrid w:val="0"/>
        <w:spacing w:line="30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shd w:val="clear"/>
        <w:adjustRightInd w:val="0"/>
        <w:snapToGrid w:val="0"/>
        <w:spacing w:line="30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shd w:val="clear"/>
        <w:adjustRightInd w:val="0"/>
        <w:snapToGrid w:val="0"/>
        <w:spacing w:line="30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shd w:val="clear"/>
        <w:adjustRightInd w:val="0"/>
        <w:snapToGrid w:val="0"/>
        <w:spacing w:line="30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如果本人违反上述声明内容，造成的后果由本人自行承担。</w:t>
      </w:r>
    </w:p>
    <w:p>
      <w:pPr>
        <w:pStyle w:val="20"/>
        <w:shd w:val="clear"/>
        <w:rPr>
          <w:color w:val="000000" w:themeColor="text1"/>
          <w:highlight w:val="none"/>
          <w14:textFill>
            <w14:solidFill>
              <w14:schemeClr w14:val="tx1"/>
            </w14:solidFill>
          </w14:textFill>
        </w:rPr>
      </w:pPr>
    </w:p>
    <w:p>
      <w:pPr>
        <w:shd w:val="clear"/>
        <w:wordWrap w:val="0"/>
        <w:adjustRightInd w:val="0"/>
        <w:snapToGrid w:val="0"/>
        <w:spacing w:line="300" w:lineRule="auto"/>
        <w:jc w:val="right"/>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声明人：</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14:textFill>
            <w14:solidFill>
              <w14:schemeClr w14:val="tx1"/>
            </w14:solidFill>
          </w14:textFill>
        </w:rPr>
        <w:t>（签名）</w:t>
      </w:r>
    </w:p>
    <w:p>
      <w:pPr>
        <w:shd w:val="clear"/>
        <w:adjustRightInd w:val="0"/>
        <w:snapToGrid w:val="0"/>
        <w:spacing w:line="300" w:lineRule="auto"/>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2"/>
        <w:keepNext w:val="0"/>
        <w:keepLines w:val="0"/>
        <w:shd w:val="clear"/>
        <w:spacing w:before="0" w:after="0" w:line="400" w:lineRule="atLeast"/>
        <w:jc w:val="center"/>
        <w:rPr>
          <w:color w:val="000000" w:themeColor="text1"/>
          <w:highlight w:val="none"/>
          <w14:textFill>
            <w14:solidFill>
              <w14:schemeClr w14:val="tx1"/>
            </w14:solidFill>
          </w14:textFill>
        </w:rPr>
      </w:pPr>
      <w:bookmarkStart w:id="136" w:name="_Toc401"/>
      <w:bookmarkStart w:id="137" w:name="_Toc12873"/>
      <w:r>
        <w:rPr>
          <w:color w:val="000000" w:themeColor="text1"/>
          <w:highlight w:val="none"/>
          <w14:textFill>
            <w14:solidFill>
              <w14:schemeClr w14:val="tx1"/>
            </w14:solidFill>
          </w14:textFill>
        </w:rPr>
        <w:t>第三章 评标办法（综合评估法）</w:t>
      </w:r>
      <w:bookmarkEnd w:id="136"/>
      <w:bookmarkEnd w:id="137"/>
    </w:p>
    <w:p>
      <w:pPr>
        <w:shd w:val="clear"/>
        <w:rPr>
          <w:color w:val="000000" w:themeColor="text1"/>
          <w:highlight w:val="none"/>
          <w14:textFill>
            <w14:solidFill>
              <w14:schemeClr w14:val="tx1"/>
            </w14:solidFill>
          </w14:textFill>
        </w:rPr>
      </w:pPr>
    </w:p>
    <w:p>
      <w:pPr>
        <w:pStyle w:val="3"/>
        <w:keepNext w:val="0"/>
        <w:keepLines w:val="0"/>
        <w:shd w:val="clear"/>
        <w:spacing w:before="0" w:after="0" w:line="340" w:lineRule="atLeast"/>
        <w:jc w:val="center"/>
        <w:rPr>
          <w:rFonts w:ascii="Times New Roman" w:hAnsi="Times New Roman" w:eastAsia="宋体"/>
          <w:color w:val="000000" w:themeColor="text1"/>
          <w:highlight w:val="none"/>
          <w14:textFill>
            <w14:solidFill>
              <w14:schemeClr w14:val="tx1"/>
            </w14:solidFill>
          </w14:textFill>
        </w:rPr>
      </w:pPr>
      <w:bookmarkStart w:id="138" w:name="_Toc7177"/>
      <w:bookmarkStart w:id="139" w:name="_Toc47987334"/>
      <w:bookmarkStart w:id="140" w:name="_Toc21825"/>
      <w:r>
        <w:rPr>
          <w:rFonts w:ascii="Times New Roman" w:hAnsi="Times New Roman" w:eastAsia="宋体"/>
          <w:color w:val="000000" w:themeColor="text1"/>
          <w:highlight w:val="none"/>
          <w14:textFill>
            <w14:solidFill>
              <w14:schemeClr w14:val="tx1"/>
            </w14:solidFill>
          </w14:textFill>
        </w:rPr>
        <w:t>评标办法前附表</w:t>
      </w:r>
      <w:bookmarkEnd w:id="138"/>
      <w:bookmarkEnd w:id="139"/>
      <w:bookmarkEnd w:id="140"/>
    </w:p>
    <w:p>
      <w:pPr>
        <w:shd w:val="clear"/>
        <w:rPr>
          <w:color w:val="000000" w:themeColor="text1"/>
          <w:szCs w:val="21"/>
          <w:highlight w:val="none"/>
          <w14:textFill>
            <w14:solidFill>
              <w14:schemeClr w14:val="tx1"/>
            </w14:solidFill>
          </w14:textFill>
        </w:rPr>
      </w:pPr>
    </w:p>
    <w:tbl>
      <w:tblPr>
        <w:tblStyle w:val="39"/>
        <w:tblW w:w="98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58"/>
        <w:gridCol w:w="2327"/>
        <w:gridCol w:w="56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904" w:type="dxa"/>
            <w:gridSpan w:val="2"/>
            <w:vAlign w:val="center"/>
          </w:tcPr>
          <w:p>
            <w:pPr>
              <w:keepNext w:val="0"/>
              <w:keepLines w:val="0"/>
              <w:suppressLineNumbers w:val="0"/>
              <w:shd w:val="clear"/>
              <w:spacing w:before="0" w:beforeAutospacing="0" w:after="0" w:afterAutospacing="0"/>
              <w:ind w:left="0" w:right="0"/>
              <w:jc w:val="center"/>
              <w:rPr>
                <w:rFonts w:hint="default"/>
                <w:b/>
                <w:color w:val="000000" w:themeColor="text1"/>
                <w:szCs w:val="21"/>
                <w:highlight w:val="none"/>
                <w14:textFill>
                  <w14:solidFill>
                    <w14:schemeClr w14:val="tx1"/>
                  </w14:solidFill>
                </w14:textFill>
              </w:rPr>
            </w:pPr>
            <w:r>
              <w:rPr>
                <w:rFonts w:hint="default"/>
                <w:b/>
                <w:color w:val="000000" w:themeColor="text1"/>
                <w:szCs w:val="21"/>
                <w:highlight w:val="none"/>
                <w14:textFill>
                  <w14:solidFill>
                    <w14:schemeClr w14:val="tx1"/>
                  </w14:solidFill>
                </w14:textFill>
              </w:rPr>
              <w:t>条款号</w:t>
            </w:r>
          </w:p>
        </w:tc>
        <w:tc>
          <w:tcPr>
            <w:tcW w:w="2327" w:type="dxa"/>
            <w:vAlign w:val="center"/>
          </w:tcPr>
          <w:p>
            <w:pPr>
              <w:keepNext w:val="0"/>
              <w:keepLines w:val="0"/>
              <w:suppressLineNumbers w:val="0"/>
              <w:shd w:val="clear"/>
              <w:spacing w:before="0" w:beforeAutospacing="0" w:after="0" w:afterAutospacing="0"/>
              <w:ind w:left="0" w:right="0"/>
              <w:jc w:val="center"/>
              <w:rPr>
                <w:rFonts w:hint="default"/>
                <w:b/>
                <w:color w:val="000000" w:themeColor="text1"/>
                <w:szCs w:val="21"/>
                <w:highlight w:val="none"/>
                <w14:textFill>
                  <w14:solidFill>
                    <w14:schemeClr w14:val="tx1"/>
                  </w14:solidFill>
                </w14:textFill>
              </w:rPr>
            </w:pPr>
            <w:r>
              <w:rPr>
                <w:rFonts w:hint="default"/>
                <w:b/>
                <w:color w:val="000000" w:themeColor="text1"/>
                <w:szCs w:val="21"/>
                <w:highlight w:val="none"/>
                <w14:textFill>
                  <w14:solidFill>
                    <w14:schemeClr w14:val="tx1"/>
                  </w14:solidFill>
                </w14:textFill>
              </w:rPr>
              <w:t>评审因素</w:t>
            </w:r>
          </w:p>
        </w:tc>
        <w:tc>
          <w:tcPr>
            <w:tcW w:w="5658" w:type="dxa"/>
            <w:vAlign w:val="center"/>
          </w:tcPr>
          <w:p>
            <w:pPr>
              <w:keepNext w:val="0"/>
              <w:keepLines w:val="0"/>
              <w:suppressLineNumbers w:val="0"/>
              <w:shd w:val="clear"/>
              <w:spacing w:before="0" w:beforeAutospacing="0" w:after="0" w:afterAutospacing="0"/>
              <w:ind w:left="0" w:right="0"/>
              <w:jc w:val="center"/>
              <w:rPr>
                <w:rFonts w:hint="default"/>
                <w:b/>
                <w:color w:val="000000" w:themeColor="text1"/>
                <w:szCs w:val="21"/>
                <w:highlight w:val="none"/>
                <w14:textFill>
                  <w14:solidFill>
                    <w14:schemeClr w14:val="tx1"/>
                  </w14:solidFill>
                </w14:textFill>
              </w:rPr>
            </w:pPr>
            <w:r>
              <w:rPr>
                <w:rFonts w:hint="default"/>
                <w:b/>
                <w:color w:val="000000" w:themeColor="text1"/>
                <w:szCs w:val="21"/>
                <w:highlight w:val="none"/>
                <w14:textFill>
                  <w14:solidFill>
                    <w14:schemeClr w14:val="tx1"/>
                  </w14:solidFill>
                </w14:textFill>
              </w:rPr>
              <w:t>评审标准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46" w:type="dxa"/>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1</w:t>
            </w:r>
          </w:p>
        </w:tc>
        <w:tc>
          <w:tcPr>
            <w:tcW w:w="1058" w:type="dxa"/>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评标方法</w:t>
            </w:r>
          </w:p>
        </w:tc>
        <w:tc>
          <w:tcPr>
            <w:tcW w:w="2327" w:type="dxa"/>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中标候选人排序方法</w:t>
            </w:r>
          </w:p>
        </w:tc>
        <w:tc>
          <w:tcPr>
            <w:tcW w:w="5658" w:type="dxa"/>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投标人综合评分由高到低排序前3名作为第一、第二、第三中标候选人，综合评分相等时，以投标报价低的优先；投标报价也相等的，以方案得分高的优先；如果方案得分也相等，则由评标委员会投票表决推荐排名优先的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846" w:type="dxa"/>
            <w:vMerge w:val="restart"/>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2.1.1</w:t>
            </w:r>
          </w:p>
        </w:tc>
        <w:tc>
          <w:tcPr>
            <w:tcW w:w="1058" w:type="dxa"/>
            <w:vMerge w:val="restart"/>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形式评审标准</w:t>
            </w:r>
          </w:p>
        </w:tc>
        <w:tc>
          <w:tcPr>
            <w:tcW w:w="2327" w:type="dxa"/>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投标人名称</w:t>
            </w:r>
          </w:p>
        </w:tc>
        <w:tc>
          <w:tcPr>
            <w:tcW w:w="5658" w:type="dxa"/>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与营业执照（或事业单位法人证书）、资质证书一致。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1058"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2327" w:type="dxa"/>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投标函及投标函附录签字盖章</w:t>
            </w:r>
          </w:p>
        </w:tc>
        <w:tc>
          <w:tcPr>
            <w:tcW w:w="5658" w:type="dxa"/>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有法定代表人或其委托代理人签字</w:t>
            </w:r>
            <w:r>
              <w:rPr>
                <w:rFonts w:hint="eastAsia"/>
                <w:color w:val="000000" w:themeColor="text1"/>
                <w:szCs w:val="21"/>
                <w:highlight w:val="none"/>
                <w14:textFill>
                  <w14:solidFill>
                    <w14:schemeClr w14:val="tx1"/>
                  </w14:solidFill>
                </w14:textFill>
              </w:rPr>
              <w:t>并</w:t>
            </w:r>
            <w:r>
              <w:rPr>
                <w:rFonts w:hint="default"/>
                <w:color w:val="000000" w:themeColor="text1"/>
                <w:szCs w:val="21"/>
                <w:highlight w:val="none"/>
                <w14:textFill>
                  <w14:solidFill>
                    <w14:schemeClr w14:val="tx1"/>
                  </w14:solidFill>
                </w14:textFill>
              </w:rPr>
              <w:t>加盖单位章。由法定代表人签字的，应附法定代表人身份证明，由代理人签字的，应附授权委托书，身份证明或授权委托书应符合第六章“投标文件格式”的规定。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846"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1058"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2327" w:type="dxa"/>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投标文件格式</w:t>
            </w:r>
          </w:p>
        </w:tc>
        <w:tc>
          <w:tcPr>
            <w:tcW w:w="5658" w:type="dxa"/>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符合第六章“投标文件格式”的规定。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846"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1058"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2327" w:type="dxa"/>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联合体投标人</w:t>
            </w:r>
          </w:p>
        </w:tc>
        <w:tc>
          <w:tcPr>
            <w:tcW w:w="5658" w:type="dxa"/>
            <w:vAlign w:val="center"/>
          </w:tcPr>
          <w:p>
            <w:pPr>
              <w:keepNext w:val="0"/>
              <w:keepLines w:val="0"/>
              <w:suppressLineNumbers w:val="0"/>
              <w:shd w:val="clear"/>
              <w:adjustRightInd w:val="0"/>
              <w:snapToGrid w:val="0"/>
              <w:spacing w:before="0" w:beforeAutospacing="0" w:after="0" w:afterAutospacing="0" w:line="300" w:lineRule="auto"/>
              <w:ind w:left="42" w:leftChars="20" w:right="42" w:rightChars="20"/>
              <w:rPr>
                <w:rFonts w:hint="default"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若为联合体投标，则需提交符合招标文件要求的联合体共同投标协议书，明确各方承担连带责任，并明确联合体牵头人。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846"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1058"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2327" w:type="dxa"/>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备选投标方案</w:t>
            </w:r>
          </w:p>
        </w:tc>
        <w:tc>
          <w:tcPr>
            <w:tcW w:w="5658" w:type="dxa"/>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1058"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2327" w:type="dxa"/>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投标人机器码</w:t>
            </w:r>
          </w:p>
        </w:tc>
        <w:tc>
          <w:tcPr>
            <w:tcW w:w="5658" w:type="dxa"/>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投标人与</w:t>
            </w:r>
            <w:r>
              <w:rPr>
                <w:rFonts w:hint="eastAsia"/>
                <w:color w:val="000000" w:themeColor="text1"/>
                <w:szCs w:val="21"/>
                <w:highlight w:val="none"/>
                <w:u w:val="single"/>
                <w14:textFill>
                  <w14:solidFill>
                    <w14:schemeClr w14:val="tx1"/>
                  </w14:solidFill>
                </w14:textFill>
              </w:rPr>
              <w:t>本项目</w:t>
            </w:r>
            <w:r>
              <w:rPr>
                <w:rFonts w:hint="default"/>
                <w:color w:val="000000" w:themeColor="text1"/>
                <w:szCs w:val="21"/>
                <w:highlight w:val="none"/>
                <w14:textFill>
                  <w14:solidFill>
                    <w14:schemeClr w14:val="tx1"/>
                  </w14:solidFill>
                </w14:textFill>
              </w:rPr>
              <w:t>其他投标人加密打包投标文件电脑机器特征码一致的（以广州公共资源交易中心评标系统的检索信息为准）将被否决。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Merge w:val="restart"/>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2.1.2</w:t>
            </w:r>
          </w:p>
        </w:tc>
        <w:tc>
          <w:tcPr>
            <w:tcW w:w="1058" w:type="dxa"/>
            <w:vMerge w:val="restart"/>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资格评审标准</w:t>
            </w:r>
          </w:p>
        </w:tc>
        <w:tc>
          <w:tcPr>
            <w:tcW w:w="2327" w:type="dxa"/>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营业执照（或事业单位法人证书）</w:t>
            </w:r>
          </w:p>
        </w:tc>
        <w:tc>
          <w:tcPr>
            <w:tcW w:w="5658" w:type="dxa"/>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符合第二章“投标人须知”第3.5.1项规定。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46"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1058"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2327" w:type="dxa"/>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资质要求</w:t>
            </w:r>
          </w:p>
        </w:tc>
        <w:tc>
          <w:tcPr>
            <w:tcW w:w="5658" w:type="dxa"/>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符合第二章“投标人须知”第1.4.1项规定。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846"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1058"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2327" w:type="dxa"/>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业绩要求</w:t>
            </w:r>
          </w:p>
        </w:tc>
        <w:tc>
          <w:tcPr>
            <w:tcW w:w="5658" w:type="dxa"/>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846"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1058"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2327" w:type="dxa"/>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项目负责人</w:t>
            </w:r>
          </w:p>
        </w:tc>
        <w:tc>
          <w:tcPr>
            <w:tcW w:w="5658" w:type="dxa"/>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符合第二章“投标人须知”第1.4.1项规定。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846"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1058"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2327" w:type="dxa"/>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其他主要人员</w:t>
            </w:r>
          </w:p>
        </w:tc>
        <w:tc>
          <w:tcPr>
            <w:tcW w:w="5658" w:type="dxa"/>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846"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1058"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2327" w:type="dxa"/>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试验仪器设备</w:t>
            </w:r>
          </w:p>
        </w:tc>
        <w:tc>
          <w:tcPr>
            <w:tcW w:w="5658" w:type="dxa"/>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846"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1058"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2327" w:type="dxa"/>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CMA计量认证要求</w:t>
            </w:r>
          </w:p>
        </w:tc>
        <w:tc>
          <w:tcPr>
            <w:tcW w:w="5658" w:type="dxa"/>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符合第二章“投标人须知”第1.4.1项规定。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846"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1058"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2327" w:type="dxa"/>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其他要求</w:t>
            </w:r>
          </w:p>
        </w:tc>
        <w:tc>
          <w:tcPr>
            <w:tcW w:w="5658" w:type="dxa"/>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符合第二章“投标人须知”第1.4.1项规定。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846"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1058"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2327" w:type="dxa"/>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联合体投标人（如有）</w:t>
            </w:r>
          </w:p>
        </w:tc>
        <w:tc>
          <w:tcPr>
            <w:tcW w:w="5658" w:type="dxa"/>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符合第二章“投标人须知”第1.4.</w:t>
            </w:r>
            <w:r>
              <w:rPr>
                <w:rFonts w:hint="eastAsia"/>
                <w:color w:val="000000" w:themeColor="text1"/>
                <w:szCs w:val="21"/>
                <w:highlight w:val="none"/>
                <w14:textFill>
                  <w14:solidFill>
                    <w14:schemeClr w14:val="tx1"/>
                  </w14:solidFill>
                </w14:textFill>
              </w:rPr>
              <w:t>2</w:t>
            </w:r>
            <w:r>
              <w:rPr>
                <w:rFonts w:hint="default"/>
                <w:color w:val="000000" w:themeColor="text1"/>
                <w:szCs w:val="21"/>
                <w:highlight w:val="none"/>
                <w14:textFill>
                  <w14:solidFill>
                    <w14:schemeClr w14:val="tx1"/>
                  </w14:solidFill>
                </w14:textFill>
              </w:rPr>
              <w:t>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846"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1058"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2327" w:type="dxa"/>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不存在禁止投标的情形</w:t>
            </w:r>
          </w:p>
        </w:tc>
        <w:tc>
          <w:tcPr>
            <w:tcW w:w="5658" w:type="dxa"/>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不存在第二章“投标人须知”第1.4.3项规定的任何一种情形（以投标人声明为评审依据）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846" w:type="dxa"/>
            <w:vMerge w:val="restart"/>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2.1.3</w:t>
            </w:r>
          </w:p>
        </w:tc>
        <w:tc>
          <w:tcPr>
            <w:tcW w:w="1058" w:type="dxa"/>
            <w:vMerge w:val="restart"/>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响应性评审标准</w:t>
            </w:r>
          </w:p>
        </w:tc>
        <w:tc>
          <w:tcPr>
            <w:tcW w:w="2327" w:type="dxa"/>
            <w:vAlign w:val="center"/>
          </w:tcPr>
          <w:p>
            <w:pPr>
              <w:keepNext w:val="0"/>
              <w:keepLines w:val="0"/>
              <w:suppressLineNumbers w:val="0"/>
              <w:shd w:val="clear"/>
              <w:spacing w:before="0" w:beforeAutospacing="0" w:after="0" w:afterAutospacing="0"/>
              <w:ind w:left="0" w:right="0"/>
              <w:jc w:val="center"/>
              <w:rPr>
                <w:rFonts w:hint="default"/>
                <w:strike/>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投标报价</w:t>
            </w:r>
          </w:p>
        </w:tc>
        <w:tc>
          <w:tcPr>
            <w:tcW w:w="5658" w:type="dxa"/>
            <w:vAlign w:val="center"/>
          </w:tcPr>
          <w:p>
            <w:pPr>
              <w:keepNext w:val="0"/>
              <w:keepLines w:val="0"/>
              <w:suppressLineNumbers w:val="0"/>
              <w:shd w:val="clear"/>
              <w:spacing w:before="0" w:beforeAutospacing="0" w:after="0" w:afterAutospacing="0"/>
              <w:ind w:left="0" w:right="0"/>
              <w:rPr>
                <w:rFonts w:hint="default"/>
                <w:strike/>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符合第二章“投标人须知”第3.2款规定进行投标报价的；对同一招标项目没有出现两个或以上的投标报价，且修正无依据。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Merge w:val="continue"/>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1058" w:type="dxa"/>
            <w:vMerge w:val="continue"/>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2327" w:type="dxa"/>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投标内容</w:t>
            </w:r>
          </w:p>
        </w:tc>
        <w:tc>
          <w:tcPr>
            <w:tcW w:w="5658" w:type="dxa"/>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符合第二章“投标人须知”第 1.3.1 项规定；投标文件按规定的格式填写，内容齐全或关键字迹清晰、容易辩认。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846" w:type="dxa"/>
            <w:vMerge w:val="continue"/>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1058" w:type="dxa"/>
            <w:vMerge w:val="continue"/>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2327" w:type="dxa"/>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服务期</w:t>
            </w:r>
          </w:p>
        </w:tc>
        <w:tc>
          <w:tcPr>
            <w:tcW w:w="5658" w:type="dxa"/>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符合第二章“投标人须知”第1.3.2项规定。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846" w:type="dxa"/>
            <w:vMerge w:val="continue"/>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1058" w:type="dxa"/>
            <w:vMerge w:val="continue"/>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2327" w:type="dxa"/>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质量标准</w:t>
            </w:r>
          </w:p>
        </w:tc>
        <w:tc>
          <w:tcPr>
            <w:tcW w:w="5658" w:type="dxa"/>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符合第二章“投标人须知”第 1.3.4项规定。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846"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1058"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2327" w:type="dxa"/>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投标有效期</w:t>
            </w:r>
          </w:p>
        </w:tc>
        <w:tc>
          <w:tcPr>
            <w:tcW w:w="5658" w:type="dxa"/>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符合第二章“投标人须知”第 3.3.1 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846"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1058" w:type="dxa"/>
            <w:vMerge w:val="continue"/>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p>
        </w:tc>
        <w:tc>
          <w:tcPr>
            <w:tcW w:w="2327" w:type="dxa"/>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串通投标情形</w:t>
            </w:r>
          </w:p>
        </w:tc>
        <w:tc>
          <w:tcPr>
            <w:tcW w:w="5658" w:type="dxa"/>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不存在串通投标情形（串通投标情形以《中华人民共和国招标投标法实施条例》的规定为准）。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04" w:type="dxa"/>
            <w:gridSpan w:val="2"/>
            <w:vAlign w:val="center"/>
          </w:tcPr>
          <w:p>
            <w:pPr>
              <w:keepNext w:val="0"/>
              <w:keepLines w:val="0"/>
              <w:suppressLineNumbers w:val="0"/>
              <w:shd w:val="clear"/>
              <w:spacing w:before="0" w:beforeAutospacing="0" w:after="0" w:afterAutospacing="0"/>
              <w:ind w:left="0" w:right="0"/>
              <w:jc w:val="center"/>
              <w:rPr>
                <w:rFonts w:hint="default"/>
                <w:b/>
                <w:color w:val="000000" w:themeColor="text1"/>
                <w:szCs w:val="21"/>
                <w:highlight w:val="none"/>
                <w14:textFill>
                  <w14:solidFill>
                    <w14:schemeClr w14:val="tx1"/>
                  </w14:solidFill>
                </w14:textFill>
              </w:rPr>
            </w:pPr>
            <w:r>
              <w:rPr>
                <w:rFonts w:hint="default"/>
                <w:b/>
                <w:color w:val="000000" w:themeColor="text1"/>
                <w:szCs w:val="21"/>
                <w:highlight w:val="none"/>
                <w14:textFill>
                  <w14:solidFill>
                    <w14:schemeClr w14:val="tx1"/>
                  </w14:solidFill>
                </w14:textFill>
              </w:rPr>
              <w:t>条款号</w:t>
            </w:r>
          </w:p>
        </w:tc>
        <w:tc>
          <w:tcPr>
            <w:tcW w:w="2327" w:type="dxa"/>
            <w:vAlign w:val="center"/>
          </w:tcPr>
          <w:p>
            <w:pPr>
              <w:keepNext w:val="0"/>
              <w:keepLines w:val="0"/>
              <w:suppressLineNumbers w:val="0"/>
              <w:shd w:val="clear"/>
              <w:spacing w:before="0" w:beforeAutospacing="0" w:after="0" w:afterAutospacing="0"/>
              <w:ind w:left="0" w:right="0"/>
              <w:jc w:val="center"/>
              <w:rPr>
                <w:rFonts w:hint="default"/>
                <w:b/>
                <w:color w:val="000000" w:themeColor="text1"/>
                <w:szCs w:val="21"/>
                <w:highlight w:val="none"/>
                <w14:textFill>
                  <w14:solidFill>
                    <w14:schemeClr w14:val="tx1"/>
                  </w14:solidFill>
                </w14:textFill>
              </w:rPr>
            </w:pPr>
            <w:r>
              <w:rPr>
                <w:rFonts w:hint="default"/>
                <w:b/>
                <w:color w:val="000000" w:themeColor="text1"/>
                <w:szCs w:val="21"/>
                <w:highlight w:val="none"/>
                <w14:textFill>
                  <w14:solidFill>
                    <w14:schemeClr w14:val="tx1"/>
                  </w14:solidFill>
                </w14:textFill>
              </w:rPr>
              <w:t>条款内容</w:t>
            </w:r>
          </w:p>
        </w:tc>
        <w:tc>
          <w:tcPr>
            <w:tcW w:w="5658" w:type="dxa"/>
            <w:vAlign w:val="center"/>
          </w:tcPr>
          <w:p>
            <w:pPr>
              <w:keepNext w:val="0"/>
              <w:keepLines w:val="0"/>
              <w:suppressLineNumbers w:val="0"/>
              <w:shd w:val="clear"/>
              <w:spacing w:before="0" w:beforeAutospacing="0" w:after="0" w:afterAutospacing="0"/>
              <w:ind w:left="0" w:right="0"/>
              <w:jc w:val="center"/>
              <w:rPr>
                <w:rFonts w:hint="default"/>
                <w:b/>
                <w:color w:val="000000" w:themeColor="text1"/>
                <w:szCs w:val="21"/>
                <w:highlight w:val="none"/>
                <w14:textFill>
                  <w14:solidFill>
                    <w14:schemeClr w14:val="tx1"/>
                  </w14:solidFill>
                </w14:textFill>
              </w:rPr>
            </w:pPr>
            <w:r>
              <w:rPr>
                <w:rFonts w:hint="default"/>
                <w:b/>
                <w:color w:val="000000" w:themeColor="text1"/>
                <w:szCs w:val="21"/>
                <w:highlight w:val="none"/>
                <w14:textFill>
                  <w14:solidFill>
                    <w14:schemeClr w14:val="tx1"/>
                  </w14:solidFill>
                </w14:textFill>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904" w:type="dxa"/>
            <w:gridSpan w:val="2"/>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2.2.1</w:t>
            </w:r>
          </w:p>
        </w:tc>
        <w:tc>
          <w:tcPr>
            <w:tcW w:w="2327" w:type="dxa"/>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lang w:bidi="ar"/>
                <w14:textFill>
                  <w14:solidFill>
                    <w14:schemeClr w14:val="tx1"/>
                  </w14:solidFill>
                </w14:textFill>
              </w:rPr>
              <w:t>分值构成</w:t>
            </w:r>
          </w:p>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lang w:bidi="ar"/>
                <w14:textFill>
                  <w14:solidFill>
                    <w14:schemeClr w14:val="tx1"/>
                  </w14:solidFill>
                </w14:textFill>
              </w:rPr>
              <w:t>（总分100分）</w:t>
            </w:r>
          </w:p>
        </w:tc>
        <w:tc>
          <w:tcPr>
            <w:tcW w:w="5658" w:type="dxa"/>
            <w:vAlign w:val="center"/>
          </w:tcPr>
          <w:p>
            <w:pPr>
              <w:pStyle w:val="133"/>
              <w:keepNext w:val="0"/>
              <w:keepLines w:val="0"/>
              <w:widowControl w:val="0"/>
              <w:suppressLineNumbers w:val="0"/>
              <w:shd w:val="clear"/>
              <w:wordWrap w:val="0"/>
              <w:adjustRightInd w:val="0"/>
              <w:snapToGrid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b/>
                <w:color w:val="000000" w:themeColor="text1"/>
                <w:highlight w:val="none"/>
                <w:lang w:bidi="ar"/>
                <w14:textFill>
                  <w14:solidFill>
                    <w14:schemeClr w14:val="tx1"/>
                  </w14:solidFill>
                </w14:textFill>
              </w:rPr>
              <w:t>资信业绩部分：</w:t>
            </w:r>
            <w:r>
              <w:rPr>
                <w:rFonts w:hint="eastAsia"/>
                <w:b/>
                <w:color w:val="000000" w:themeColor="text1"/>
                <w:highlight w:val="none"/>
                <w:u w:val="single"/>
                <w:lang w:val="en-US" w:eastAsia="zh-CN" w:bidi="ar"/>
                <w14:textFill>
                  <w14:solidFill>
                    <w14:schemeClr w14:val="tx1"/>
                  </w14:solidFill>
                </w14:textFill>
              </w:rPr>
              <w:t>7</w:t>
            </w:r>
            <w:r>
              <w:rPr>
                <w:rFonts w:hint="default"/>
                <w:b/>
                <w:color w:val="000000" w:themeColor="text1"/>
                <w:highlight w:val="none"/>
                <w:u w:val="single"/>
                <w:lang w:bidi="ar"/>
                <w14:textFill>
                  <w14:solidFill>
                    <w14:schemeClr w14:val="tx1"/>
                  </w14:solidFill>
                </w14:textFill>
              </w:rPr>
              <w:t>0</w:t>
            </w:r>
            <w:r>
              <w:rPr>
                <w:rFonts w:hint="eastAsia"/>
                <w:b/>
                <w:color w:val="000000" w:themeColor="text1"/>
                <w:highlight w:val="none"/>
                <w:lang w:bidi="ar"/>
                <w14:textFill>
                  <w14:solidFill>
                    <w14:schemeClr w14:val="tx1"/>
                  </w14:solidFill>
                </w14:textFill>
              </w:rPr>
              <w:t>分</w:t>
            </w:r>
          </w:p>
          <w:p>
            <w:pPr>
              <w:pStyle w:val="133"/>
              <w:keepNext w:val="0"/>
              <w:keepLines w:val="0"/>
              <w:widowControl w:val="0"/>
              <w:suppressLineNumbers w:val="0"/>
              <w:shd w:val="clear"/>
              <w:wordWrap w:val="0"/>
              <w:adjustRightInd w:val="0"/>
              <w:snapToGrid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b/>
                <w:color w:val="000000" w:themeColor="text1"/>
                <w:highlight w:val="none"/>
                <w:lang w:bidi="ar"/>
                <w14:textFill>
                  <w14:solidFill>
                    <w14:schemeClr w14:val="tx1"/>
                  </w14:solidFill>
                </w14:textFill>
              </w:rPr>
              <w:t>方案部分：</w:t>
            </w:r>
            <w:r>
              <w:rPr>
                <w:rFonts w:hint="eastAsia"/>
                <w:b/>
                <w:color w:val="000000" w:themeColor="text1"/>
                <w:highlight w:val="none"/>
                <w:lang w:val="en-US" w:eastAsia="zh-CN" w:bidi="ar"/>
                <w14:textFill>
                  <w14:solidFill>
                    <w14:schemeClr w14:val="tx1"/>
                  </w14:solidFill>
                </w14:textFill>
              </w:rPr>
              <w:t>2</w:t>
            </w:r>
            <w:r>
              <w:rPr>
                <w:rFonts w:hint="default"/>
                <w:b/>
                <w:color w:val="000000" w:themeColor="text1"/>
                <w:highlight w:val="none"/>
                <w:u w:val="single"/>
                <w:lang w:bidi="ar"/>
                <w14:textFill>
                  <w14:solidFill>
                    <w14:schemeClr w14:val="tx1"/>
                  </w14:solidFill>
                </w14:textFill>
              </w:rPr>
              <w:t>0</w:t>
            </w:r>
            <w:r>
              <w:rPr>
                <w:rFonts w:hint="eastAsia"/>
                <w:b/>
                <w:color w:val="000000" w:themeColor="text1"/>
                <w:highlight w:val="none"/>
                <w:lang w:bidi="ar"/>
                <w14:textFill>
                  <w14:solidFill>
                    <w14:schemeClr w14:val="tx1"/>
                  </w14:solidFill>
                </w14:textFill>
              </w:rPr>
              <w:t>分</w:t>
            </w:r>
          </w:p>
          <w:p>
            <w:pPr>
              <w:pStyle w:val="133"/>
              <w:keepNext w:val="0"/>
              <w:keepLines w:val="0"/>
              <w:widowControl w:val="0"/>
              <w:suppressLineNumbers w:val="0"/>
              <w:shd w:val="clear"/>
              <w:wordWrap w:val="0"/>
              <w:adjustRightInd w:val="0"/>
              <w:snapToGrid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b/>
                <w:color w:val="000000" w:themeColor="text1"/>
                <w:highlight w:val="none"/>
                <w:lang w:bidi="ar"/>
                <w14:textFill>
                  <w14:solidFill>
                    <w14:schemeClr w14:val="tx1"/>
                  </w14:solidFill>
                </w14:textFill>
              </w:rPr>
              <w:t>投标报价：</w:t>
            </w:r>
            <w:r>
              <w:rPr>
                <w:rFonts w:hint="default"/>
                <w:b/>
                <w:color w:val="000000" w:themeColor="text1"/>
                <w:highlight w:val="none"/>
                <w:u w:val="single"/>
                <w:lang w:bidi="ar"/>
                <w14:textFill>
                  <w14:solidFill>
                    <w14:schemeClr w14:val="tx1"/>
                  </w14:solidFill>
                </w14:textFill>
              </w:rPr>
              <w:t>10</w:t>
            </w:r>
            <w:r>
              <w:rPr>
                <w:rFonts w:hint="eastAsia"/>
                <w:b/>
                <w:color w:val="000000" w:themeColor="text1"/>
                <w:highlight w:val="none"/>
                <w:lang w:bidi="ar"/>
                <w14:textFill>
                  <w14:solidFill>
                    <w14:schemeClr w14:val="tx1"/>
                  </w14:solidFill>
                </w14:textFill>
              </w:rPr>
              <w:t>分</w:t>
            </w:r>
          </w:p>
          <w:p>
            <w:pPr>
              <w:keepNext w:val="0"/>
              <w:keepLines w:val="0"/>
              <w:suppressLineNumbers w:val="0"/>
              <w:shd w:val="clear"/>
              <w:spacing w:before="0" w:beforeAutospacing="0" w:after="0" w:afterAutospacing="0"/>
              <w:ind w:left="0" w:right="0"/>
              <w:rPr>
                <w:rFonts w:hint="default"/>
                <w:b/>
                <w:color w:val="000000" w:themeColor="text1"/>
                <w:highlight w:val="none"/>
                <w:lang w:bidi="ar"/>
                <w14:textFill>
                  <w14:solidFill>
                    <w14:schemeClr w14:val="tx1"/>
                  </w14:solidFill>
                </w14:textFill>
              </w:rPr>
            </w:pPr>
            <w:r>
              <w:rPr>
                <w:rFonts w:hint="eastAsia"/>
                <w:b/>
                <w:color w:val="000000" w:themeColor="text1"/>
                <w:highlight w:val="none"/>
                <w:lang w:bidi="ar"/>
                <w14:textFill>
                  <w14:solidFill>
                    <w14:schemeClr w14:val="tx1"/>
                  </w14:solidFill>
                </w14:textFill>
              </w:rPr>
              <w:t>投标人总得分</w:t>
            </w:r>
            <w:r>
              <w:rPr>
                <w:rFonts w:hint="default"/>
                <w:b/>
                <w:color w:val="000000" w:themeColor="text1"/>
                <w:highlight w:val="none"/>
                <w:lang w:bidi="ar"/>
                <w14:textFill>
                  <w14:solidFill>
                    <w14:schemeClr w14:val="tx1"/>
                  </w14:solidFill>
                </w14:textFill>
              </w:rPr>
              <w:t>=</w:t>
            </w:r>
            <w:r>
              <w:rPr>
                <w:rFonts w:hint="eastAsia"/>
                <w:b/>
                <w:color w:val="000000" w:themeColor="text1"/>
                <w:highlight w:val="none"/>
                <w:lang w:bidi="ar"/>
                <w14:textFill>
                  <w14:solidFill>
                    <w14:schemeClr w14:val="tx1"/>
                  </w14:solidFill>
                </w14:textFill>
              </w:rPr>
              <w:t>资信业绩部分得分</w:t>
            </w:r>
            <w:r>
              <w:rPr>
                <w:rFonts w:hint="default"/>
                <w:b/>
                <w:color w:val="000000" w:themeColor="text1"/>
                <w:highlight w:val="none"/>
                <w:lang w:bidi="ar"/>
                <w14:textFill>
                  <w14:solidFill>
                    <w14:schemeClr w14:val="tx1"/>
                  </w14:solidFill>
                </w14:textFill>
              </w:rPr>
              <w:t>+</w:t>
            </w:r>
            <w:r>
              <w:rPr>
                <w:rFonts w:hint="eastAsia"/>
                <w:b/>
                <w:color w:val="000000" w:themeColor="text1"/>
                <w:highlight w:val="none"/>
                <w:lang w:bidi="ar"/>
                <w14:textFill>
                  <w14:solidFill>
                    <w14:schemeClr w14:val="tx1"/>
                  </w14:solidFill>
                </w14:textFill>
              </w:rPr>
              <w:t>方案部分得分</w:t>
            </w:r>
            <w:r>
              <w:rPr>
                <w:rFonts w:hint="default"/>
                <w:b/>
                <w:color w:val="000000" w:themeColor="text1"/>
                <w:highlight w:val="none"/>
                <w:lang w:bidi="ar"/>
                <w14:textFill>
                  <w14:solidFill>
                    <w14:schemeClr w14:val="tx1"/>
                  </w14:solidFill>
                </w14:textFill>
              </w:rPr>
              <w:t>+</w:t>
            </w:r>
            <w:r>
              <w:rPr>
                <w:rFonts w:hint="eastAsia"/>
                <w:b/>
                <w:color w:val="000000" w:themeColor="text1"/>
                <w:highlight w:val="none"/>
                <w:lang w:bidi="ar"/>
                <w14:textFill>
                  <w14:solidFill>
                    <w14:schemeClr w14:val="tx1"/>
                  </w14:solidFill>
                </w14:textFill>
              </w:rPr>
              <w:t>投标报价得分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41" w:hRule="atLeast"/>
          <w:jc w:val="center"/>
        </w:trPr>
        <w:tc>
          <w:tcPr>
            <w:tcW w:w="1904" w:type="dxa"/>
            <w:gridSpan w:val="2"/>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2.2.2</w:t>
            </w:r>
          </w:p>
        </w:tc>
        <w:tc>
          <w:tcPr>
            <w:tcW w:w="2327" w:type="dxa"/>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lang w:bidi="ar"/>
                <w14:textFill>
                  <w14:solidFill>
                    <w14:schemeClr w14:val="tx1"/>
                  </w14:solidFill>
                </w14:textFill>
              </w:rPr>
              <w:t>评标基准价计算方法</w:t>
            </w:r>
          </w:p>
        </w:tc>
        <w:tc>
          <w:tcPr>
            <w:tcW w:w="5658" w:type="dxa"/>
            <w:vAlign w:val="center"/>
          </w:tcPr>
          <w:p>
            <w:pPr>
              <w:keepNext w:val="0"/>
              <w:keepLines w:val="0"/>
              <w:suppressLineNumbers w:val="0"/>
              <w:shd w:val="clear"/>
              <w:spacing w:before="0" w:beforeAutospacing="0" w:after="0" w:afterAutospacing="0"/>
              <w:ind w:left="0" w:right="0"/>
              <w:jc w:val="left"/>
              <w:rPr>
                <w:rFonts w:hint="default"/>
                <w:bCs/>
                <w:color w:val="000000" w:themeColor="text1"/>
                <w:szCs w:val="21"/>
                <w:highlight w:val="none"/>
                <w:lang w:bidi="ar"/>
                <w14:textFill>
                  <w14:solidFill>
                    <w14:schemeClr w14:val="tx1"/>
                  </w14:solidFill>
                </w14:textFill>
              </w:rPr>
            </w:pPr>
            <w:r>
              <w:rPr>
                <w:rFonts w:hint="default"/>
                <w:bCs/>
                <w:color w:val="000000" w:themeColor="text1"/>
                <w:szCs w:val="21"/>
                <w:highlight w:val="none"/>
                <w:lang w:bidi="ar"/>
                <w14:textFill>
                  <w14:solidFill>
                    <w14:schemeClr w14:val="tx1"/>
                  </w14:solidFill>
                </w14:textFill>
              </w:rPr>
              <w:t>当通过初步评审在位于[最高投标限价总价×</w:t>
            </w:r>
            <w:r>
              <w:rPr>
                <w:rFonts w:hint="eastAsia"/>
                <w:bCs/>
                <w:color w:val="000000" w:themeColor="text1"/>
                <w:szCs w:val="21"/>
                <w:highlight w:val="none"/>
                <w:lang w:bidi="ar"/>
                <w14:textFill>
                  <w14:solidFill>
                    <w14:schemeClr w14:val="tx1"/>
                  </w14:solidFill>
                </w14:textFill>
              </w:rPr>
              <w:t>90%</w:t>
            </w:r>
            <w:r>
              <w:rPr>
                <w:rFonts w:hint="default"/>
                <w:bCs/>
                <w:color w:val="000000" w:themeColor="text1"/>
                <w:szCs w:val="21"/>
                <w:highlight w:val="none"/>
                <w:lang w:bidi="ar"/>
                <w14:textFill>
                  <w14:solidFill>
                    <w14:schemeClr w14:val="tx1"/>
                  </w14:solidFill>
                </w14:textFill>
              </w:rPr>
              <w:t>，最高投标限价总价]区间的投标价中的有效投标人大于或等于5名时，所有入围的有效投标价中去掉一个最高价和一个最低价，取余下有效投标价的算术平均值的作为评标基准价。</w:t>
            </w:r>
          </w:p>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14:textFill>
                  <w14:solidFill>
                    <w14:schemeClr w14:val="tx1"/>
                  </w14:solidFill>
                </w14:textFill>
              </w:rPr>
            </w:pPr>
            <w:r>
              <w:rPr>
                <w:rFonts w:hint="default"/>
                <w:bCs/>
                <w:color w:val="000000" w:themeColor="text1"/>
                <w:szCs w:val="21"/>
                <w:highlight w:val="none"/>
                <w:lang w:bidi="ar"/>
                <w14:textFill>
                  <w14:solidFill>
                    <w14:schemeClr w14:val="tx1"/>
                  </w14:solidFill>
                </w14:textFill>
              </w:rPr>
              <w:t>当通过初步评审在位于[最高投标限价总价×</w:t>
            </w:r>
            <w:r>
              <w:rPr>
                <w:rFonts w:hint="eastAsia"/>
                <w:bCs/>
                <w:color w:val="000000" w:themeColor="text1"/>
                <w:szCs w:val="21"/>
                <w:highlight w:val="none"/>
                <w:lang w:bidi="ar"/>
                <w14:textFill>
                  <w14:solidFill>
                    <w14:schemeClr w14:val="tx1"/>
                  </w14:solidFill>
                </w14:textFill>
              </w:rPr>
              <w:t>90%</w:t>
            </w:r>
            <w:r>
              <w:rPr>
                <w:rFonts w:hint="default"/>
                <w:bCs/>
                <w:color w:val="000000" w:themeColor="text1"/>
                <w:szCs w:val="21"/>
                <w:highlight w:val="none"/>
                <w:lang w:bidi="ar"/>
                <w14:textFill>
                  <w14:solidFill>
                    <w14:schemeClr w14:val="tx1"/>
                  </w14:solidFill>
                </w14:textFill>
              </w:rPr>
              <w:t>，最高投标限价总价]区间的投标价中的有效投标人小于5名时，</w:t>
            </w:r>
            <w:r>
              <w:rPr>
                <w:rFonts w:hint="eastAsia" w:ascii="宋体" w:hAnsi="宋体" w:cs="宋体"/>
                <w:color w:val="000000" w:themeColor="text1"/>
                <w:szCs w:val="21"/>
                <w:highlight w:val="none"/>
                <w14:textFill>
                  <w14:solidFill>
                    <w14:schemeClr w14:val="tx1"/>
                  </w14:solidFill>
                </w14:textFill>
              </w:rPr>
              <w:t>取所有入围的有效投标报价的算术平均值的作为</w:t>
            </w:r>
            <w:r>
              <w:rPr>
                <w:rFonts w:hint="default"/>
                <w:bCs/>
                <w:color w:val="000000" w:themeColor="text1"/>
                <w:szCs w:val="21"/>
                <w:highlight w:val="none"/>
                <w:lang w:bidi="ar"/>
                <w14:textFill>
                  <w14:solidFill>
                    <w14:schemeClr w14:val="tx1"/>
                  </w14:solidFill>
                </w14:textFill>
              </w:rPr>
              <w:t>评标基准价</w:t>
            </w:r>
            <w:r>
              <w:rPr>
                <w:rFonts w:hint="eastAsia" w:ascii="宋体" w:hAnsi="宋体" w:cs="宋体"/>
                <w:color w:val="000000" w:themeColor="text1"/>
                <w:szCs w:val="21"/>
                <w:highlight w:val="none"/>
                <w14:textFill>
                  <w14:solidFill>
                    <w14:schemeClr w14:val="tx1"/>
                  </w14:solidFill>
                </w14:textFill>
              </w:rPr>
              <w:t>。</w:t>
            </w:r>
          </w:p>
          <w:p>
            <w:pPr>
              <w:keepNext w:val="0"/>
              <w:keepLines w:val="0"/>
              <w:suppressLineNumbers w:val="0"/>
              <w:shd w:val="clear"/>
              <w:spacing w:before="0" w:beforeAutospacing="0" w:after="0" w:afterAutospacing="0"/>
              <w:ind w:left="0" w:right="0"/>
              <w:jc w:val="left"/>
              <w:rPr>
                <w:rFonts w:hint="default"/>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当通过初步评审没有投标价位于[最高投标限价</w:t>
            </w:r>
            <w:r>
              <w:rPr>
                <w:rFonts w:hint="default"/>
                <w:bCs/>
                <w:color w:val="000000" w:themeColor="text1"/>
                <w:szCs w:val="21"/>
                <w:highlight w:val="none"/>
                <w:lang w:bidi="ar"/>
                <w14:textFill>
                  <w14:solidFill>
                    <w14:schemeClr w14:val="tx1"/>
                  </w14:solidFill>
                </w14:textFill>
              </w:rPr>
              <w:t>总价</w:t>
            </w:r>
            <w:r>
              <w:rPr>
                <w:rFonts w:hint="eastAsia"/>
                <w:color w:val="000000" w:themeColor="text1"/>
                <w:highlight w:val="none"/>
                <w14:textFill>
                  <w14:solidFill>
                    <w14:schemeClr w14:val="tx1"/>
                  </w14:solidFill>
                </w14:textFill>
              </w:rPr>
              <w:t>×90%，最高投标限价</w:t>
            </w:r>
            <w:r>
              <w:rPr>
                <w:rFonts w:hint="default"/>
                <w:bCs/>
                <w:color w:val="000000" w:themeColor="text1"/>
                <w:szCs w:val="21"/>
                <w:highlight w:val="none"/>
                <w:lang w:bidi="ar"/>
                <w14:textFill>
                  <w14:solidFill>
                    <w14:schemeClr w14:val="tx1"/>
                  </w14:solidFill>
                </w14:textFill>
              </w:rPr>
              <w:t>总价</w:t>
            </w:r>
            <w:r>
              <w:rPr>
                <w:rFonts w:hint="eastAsia"/>
                <w:color w:val="000000" w:themeColor="text1"/>
                <w:highlight w:val="none"/>
                <w14:textFill>
                  <w14:solidFill>
                    <w14:schemeClr w14:val="tx1"/>
                  </w14:solidFill>
                </w14:textFill>
              </w:rPr>
              <w:t>]区间的有效投标人，所有投标人的报价得分为0分。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1904" w:type="dxa"/>
            <w:gridSpan w:val="2"/>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2.2.3</w:t>
            </w:r>
          </w:p>
        </w:tc>
        <w:tc>
          <w:tcPr>
            <w:tcW w:w="2327" w:type="dxa"/>
            <w:vAlign w:val="center"/>
          </w:tcPr>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lang w:bidi="ar"/>
                <w14:textFill>
                  <w14:solidFill>
                    <w14:schemeClr w14:val="tx1"/>
                  </w14:solidFill>
                </w14:textFill>
              </w:rPr>
              <w:t>投标报价的偏差率</w:t>
            </w:r>
          </w:p>
          <w:p>
            <w:pPr>
              <w:keepNext w:val="0"/>
              <w:keepLines w:val="0"/>
              <w:suppressLineNumbers w:val="0"/>
              <w:shd w:val="clear"/>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lang w:bidi="ar"/>
                <w14:textFill>
                  <w14:solidFill>
                    <w14:schemeClr w14:val="tx1"/>
                  </w14:solidFill>
                </w14:textFill>
              </w:rPr>
              <w:t>计算公式</w:t>
            </w:r>
          </w:p>
        </w:tc>
        <w:tc>
          <w:tcPr>
            <w:tcW w:w="5658" w:type="dxa"/>
            <w:vAlign w:val="center"/>
          </w:tcPr>
          <w:p>
            <w:pPr>
              <w:keepNext w:val="0"/>
              <w:keepLines w:val="0"/>
              <w:suppressLineNumbers w:val="0"/>
              <w:shd w:val="clear"/>
              <w:spacing w:before="0" w:beforeAutospacing="0" w:after="0" w:afterAutospacing="0"/>
              <w:ind w:left="0" w:right="0"/>
              <w:rPr>
                <w:rFonts w:hint="default"/>
                <w:color w:val="000000" w:themeColor="text1"/>
                <w:szCs w:val="21"/>
                <w:highlight w:val="none"/>
                <w14:textFill>
                  <w14:solidFill>
                    <w14:schemeClr w14:val="tx1"/>
                  </w14:solidFill>
                </w14:textFill>
              </w:rPr>
            </w:pPr>
            <w:r>
              <w:rPr>
                <w:rFonts w:hint="default"/>
                <w:color w:val="000000" w:themeColor="text1"/>
                <w:szCs w:val="21"/>
                <w:highlight w:val="none"/>
                <w:lang w:bidi="ar"/>
                <w14:textFill>
                  <w14:solidFill>
                    <w14:schemeClr w14:val="tx1"/>
                  </w14:solidFill>
                </w14:textFill>
              </w:rPr>
              <w:t>偏差率=∣投标报价—评标基准价∣/评标基准价*100%</w:t>
            </w:r>
          </w:p>
          <w:p>
            <w:pPr>
              <w:keepNext w:val="0"/>
              <w:keepLines w:val="0"/>
              <w:suppressLineNumbers w:val="0"/>
              <w:shd w:val="clear"/>
              <w:spacing w:before="0" w:beforeAutospacing="0" w:after="0" w:afterAutospacing="0"/>
              <w:ind w:left="0" w:right="76" w:rightChars="36"/>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注：1.有效投标报价为通过初步评审经算术错误修正后的核准报价（投标总报价）。</w:t>
            </w:r>
          </w:p>
          <w:p>
            <w:pPr>
              <w:keepNext w:val="0"/>
              <w:keepLines w:val="0"/>
              <w:suppressLineNumbers w:val="0"/>
              <w:shd w:val="clear"/>
              <w:spacing w:before="0" w:beforeAutospacing="0" w:after="0" w:afterAutospacing="0"/>
              <w:ind w:left="0" w:right="0"/>
              <w:jc w:val="left"/>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2.偏差率四舍五入保留2位小数，报价偏差率不足1%的，按直线内插法计算投标报价得分。</w:t>
            </w:r>
          </w:p>
        </w:tc>
      </w:tr>
    </w:tbl>
    <w:p>
      <w:pPr>
        <w:shd w:val="clear"/>
        <w:spacing w:line="360" w:lineRule="auto"/>
        <w:rPr>
          <w:b/>
          <w:color w:val="000000" w:themeColor="text1"/>
          <w:sz w:val="28"/>
          <w:szCs w:val="28"/>
          <w:highlight w:val="none"/>
          <w:lang w:bidi="ar"/>
          <w14:textFill>
            <w14:solidFill>
              <w14:schemeClr w14:val="tx1"/>
            </w14:solidFill>
          </w14:textFill>
        </w:rPr>
      </w:pPr>
    </w:p>
    <w:p>
      <w:pPr>
        <w:shd w:val="clear"/>
        <w:spacing w:line="360" w:lineRule="auto"/>
        <w:jc w:val="center"/>
        <w:rPr>
          <w:rFonts w:cs="宋体"/>
          <w:b/>
          <w:color w:val="000000" w:themeColor="text1"/>
          <w:sz w:val="28"/>
          <w:szCs w:val="28"/>
          <w:highlight w:val="none"/>
          <w14:textFill>
            <w14:solidFill>
              <w14:schemeClr w14:val="tx1"/>
            </w14:solidFill>
          </w14:textFill>
        </w:rPr>
      </w:pPr>
      <w:r>
        <w:rPr>
          <w:color w:val="000000" w:themeColor="text1"/>
          <w:highlight w:val="none"/>
          <w:lang w:bidi="ar"/>
          <w14:textFill>
            <w14:solidFill>
              <w14:schemeClr w14:val="tx1"/>
            </w14:solidFill>
          </w14:textFill>
        </w:rPr>
        <w:br w:type="page"/>
      </w:r>
      <w:r>
        <w:rPr>
          <w:rFonts w:hint="eastAsia" w:cs="宋体"/>
          <w:b/>
          <w:color w:val="000000" w:themeColor="text1"/>
          <w:sz w:val="28"/>
          <w:szCs w:val="28"/>
          <w:highlight w:val="none"/>
          <w:lang w:bidi="ar"/>
          <w14:textFill>
            <w14:solidFill>
              <w14:schemeClr w14:val="tx1"/>
            </w14:solidFill>
          </w14:textFill>
        </w:rPr>
        <w:t>综合评分表</w:t>
      </w:r>
    </w:p>
    <w:tbl>
      <w:tblPr>
        <w:tblStyle w:val="39"/>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84"/>
        <w:gridCol w:w="1200"/>
        <w:gridCol w:w="6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41"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b/>
                <w:color w:val="000000" w:themeColor="text1"/>
                <w:szCs w:val="21"/>
                <w:highlight w:val="none"/>
                <w:lang w:bidi="ar"/>
                <w14:textFill>
                  <w14:solidFill>
                    <w14:schemeClr w14:val="tx1"/>
                  </w14:solidFill>
                </w14:textFill>
              </w:rPr>
            </w:pPr>
            <w:r>
              <w:rPr>
                <w:rFonts w:hint="eastAsia" w:ascii="宋体" w:hAnsi="宋体" w:cs="宋体"/>
                <w:b/>
                <w:color w:val="000000" w:themeColor="text1"/>
                <w:szCs w:val="21"/>
                <w:highlight w:val="none"/>
                <w:lang w:bidi="ar"/>
                <w14:textFill>
                  <w14:solidFill>
                    <w14:schemeClr w14:val="tx1"/>
                  </w14:solidFill>
                </w14:textFill>
              </w:rPr>
              <w:t>条款号</w:t>
            </w:r>
          </w:p>
        </w:tc>
        <w:tc>
          <w:tcPr>
            <w:tcW w:w="2284" w:type="dxa"/>
            <w:gridSpan w:val="2"/>
            <w:vAlign w:val="center"/>
          </w:tcPr>
          <w:p>
            <w:pPr>
              <w:keepNext w:val="0"/>
              <w:keepLines w:val="0"/>
              <w:suppressLineNumbers w:val="0"/>
              <w:shd w:val="clear"/>
              <w:spacing w:before="0" w:beforeAutospacing="0" w:after="0" w:afterAutospacing="0"/>
              <w:ind w:left="0" w:right="0"/>
              <w:jc w:val="center"/>
              <w:rPr>
                <w:rFonts w:hint="default" w:ascii="宋体" w:hAnsi="宋体" w:cs="宋体"/>
                <w:b/>
                <w:color w:val="000000" w:themeColor="text1"/>
                <w:szCs w:val="21"/>
                <w:highlight w:val="none"/>
                <w:lang w:bidi="ar"/>
                <w14:textFill>
                  <w14:solidFill>
                    <w14:schemeClr w14:val="tx1"/>
                  </w14:solidFill>
                </w14:textFill>
              </w:rPr>
            </w:pPr>
            <w:r>
              <w:rPr>
                <w:rFonts w:hint="eastAsia" w:ascii="宋体" w:hAnsi="宋体" w:cs="宋体"/>
                <w:b/>
                <w:color w:val="000000" w:themeColor="text1"/>
                <w:szCs w:val="21"/>
                <w:highlight w:val="none"/>
                <w:lang w:bidi="ar"/>
                <w14:textFill>
                  <w14:solidFill>
                    <w14:schemeClr w14:val="tx1"/>
                  </w14:solidFill>
                </w14:textFill>
              </w:rPr>
              <w:t>评分因素</w:t>
            </w:r>
          </w:p>
        </w:tc>
        <w:tc>
          <w:tcPr>
            <w:tcW w:w="6100"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b/>
                <w:color w:val="000000" w:themeColor="text1"/>
                <w:szCs w:val="21"/>
                <w:highlight w:val="none"/>
                <w:lang w:bidi="ar"/>
                <w14:textFill>
                  <w14:solidFill>
                    <w14:schemeClr w14:val="tx1"/>
                  </w14:solidFill>
                </w14:textFill>
              </w:rPr>
            </w:pPr>
            <w:r>
              <w:rPr>
                <w:rFonts w:hint="eastAsia" w:ascii="宋体" w:hAnsi="宋体" w:cs="宋体"/>
                <w:b/>
                <w:color w:val="000000" w:themeColor="text1"/>
                <w:szCs w:val="21"/>
                <w:highlight w:val="none"/>
                <w:lang w:bidi="ar"/>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41" w:type="dxa"/>
            <w:vMerge w:val="restart"/>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r>
              <w:rPr>
                <w:rFonts w:hint="default" w:ascii="宋体" w:hAnsi="宋体" w:cs="宋体"/>
                <w:color w:val="000000" w:themeColor="text1"/>
                <w:szCs w:val="21"/>
                <w:highlight w:val="none"/>
                <w:lang w:bidi="ar"/>
                <w14:textFill>
                  <w14:solidFill>
                    <w14:schemeClr w14:val="tx1"/>
                  </w14:solidFill>
                </w14:textFill>
              </w:rPr>
              <w:t>2.2.4</w:t>
            </w:r>
          </w:p>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w:t>
            </w:r>
            <w:r>
              <w:rPr>
                <w:rFonts w:hint="default" w:ascii="宋体" w:hAnsi="宋体" w:cs="宋体"/>
                <w:color w:val="000000" w:themeColor="text1"/>
                <w:szCs w:val="21"/>
                <w:highlight w:val="none"/>
                <w:lang w:bidi="ar"/>
                <w14:textFill>
                  <w14:solidFill>
                    <w14:schemeClr w14:val="tx1"/>
                  </w14:solidFill>
                </w14:textFill>
              </w:rPr>
              <w:t>1）</w:t>
            </w:r>
          </w:p>
        </w:tc>
        <w:tc>
          <w:tcPr>
            <w:tcW w:w="1084" w:type="dxa"/>
            <w:vMerge w:val="restart"/>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资信业绩部分评分标准（</w:t>
            </w:r>
            <w:r>
              <w:rPr>
                <w:rFonts w:hint="eastAsia" w:ascii="宋体" w:hAnsi="宋体" w:cs="宋体"/>
                <w:color w:val="000000" w:themeColor="text1"/>
                <w:szCs w:val="21"/>
                <w:highlight w:val="none"/>
                <w:lang w:val="en-US" w:eastAsia="zh-CN" w:bidi="ar"/>
                <w14:textFill>
                  <w14:solidFill>
                    <w14:schemeClr w14:val="tx1"/>
                  </w14:solidFill>
                </w14:textFill>
              </w:rPr>
              <w:t>7</w:t>
            </w:r>
            <w:r>
              <w:rPr>
                <w:rFonts w:hint="default" w:ascii="宋体" w:hAnsi="宋体" w:cs="宋体"/>
                <w:color w:val="000000" w:themeColor="text1"/>
                <w:szCs w:val="21"/>
                <w:highlight w:val="none"/>
                <w:lang w:bidi="ar"/>
                <w14:textFill>
                  <w14:solidFill>
                    <w14:schemeClr w14:val="tx1"/>
                  </w14:solidFill>
                </w14:textFill>
              </w:rPr>
              <w:t>0分）</w:t>
            </w:r>
          </w:p>
        </w:tc>
        <w:tc>
          <w:tcPr>
            <w:tcW w:w="1200" w:type="dxa"/>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r>
              <w:rPr>
                <w:rFonts w:hint="eastAsia" w:ascii="宋体" w:hAnsi="宋体" w:eastAsia="宋体" w:cs="Times New Roman"/>
                <w:color w:val="000000" w:themeColor="text1"/>
                <w:sz w:val="24"/>
                <w:szCs w:val="22"/>
                <w:highlight w:val="none"/>
                <w:lang w:val="en-US" w:eastAsia="zh-CN" w:bidi="ar"/>
                <w14:textFill>
                  <w14:solidFill>
                    <w14:schemeClr w14:val="tx1"/>
                  </w14:solidFill>
                </w14:textFill>
              </w:rPr>
              <w:t>类似项目业绩（10分）</w:t>
            </w:r>
          </w:p>
        </w:tc>
        <w:tc>
          <w:tcPr>
            <w:tcW w:w="6100" w:type="dxa"/>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r>
              <w:rPr>
                <w:rFonts w:hint="eastAsia" w:ascii="宋体" w:hAnsi="宋体" w:eastAsia="宋体" w:cs="Times New Roman"/>
                <w:color w:val="000000" w:themeColor="text1"/>
                <w:kern w:val="2"/>
                <w:sz w:val="24"/>
                <w:szCs w:val="22"/>
                <w:highlight w:val="none"/>
                <w:lang w:val="en-US" w:eastAsia="zh-CN" w:bidi="ar"/>
                <w14:textFill>
                  <w14:solidFill>
                    <w14:schemeClr w14:val="tx1"/>
                  </w14:solidFill>
                </w14:textFill>
              </w:rPr>
              <w:t>自2022年1月1日至投标截止时间止，投标人承接过的合同金额300万元或以上类似检测或监测项目业绩，每项得2分，最高得10分。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741" w:type="dxa"/>
            <w:vMerge w:val="continue"/>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p>
        </w:tc>
        <w:tc>
          <w:tcPr>
            <w:tcW w:w="1084" w:type="dxa"/>
            <w:vMerge w:val="continue"/>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p>
        </w:tc>
        <w:tc>
          <w:tcPr>
            <w:tcW w:w="1200" w:type="dxa"/>
            <w:vMerge w:val="restart"/>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000000" w:themeColor="text1"/>
                <w:szCs w:val="21"/>
                <w:highlight w:val="none"/>
                <w:lang w:bidi="ar"/>
                <w14:textFill>
                  <w14:solidFill>
                    <w14:schemeClr w14:val="tx1"/>
                  </w14:solidFill>
                </w14:textFill>
              </w:rPr>
            </w:pPr>
            <w:r>
              <w:rPr>
                <w:rFonts w:hint="eastAsia" w:ascii="宋体" w:hAnsi="宋体" w:eastAsia="宋体" w:cs="Times New Roman"/>
                <w:color w:val="000000" w:themeColor="text1"/>
                <w:sz w:val="24"/>
                <w:szCs w:val="22"/>
                <w:highlight w:val="none"/>
                <w:lang w:val="en-US" w:eastAsia="zh-CN" w:bidi="ar"/>
                <w14:textFill>
                  <w14:solidFill>
                    <w14:schemeClr w14:val="tx1"/>
                  </w14:solidFill>
                </w14:textFill>
              </w:rPr>
              <w:t>企业综合实力（40分）</w:t>
            </w:r>
          </w:p>
        </w:tc>
        <w:tc>
          <w:tcPr>
            <w:tcW w:w="6100" w:type="dxa"/>
            <w:vAlign w:val="center"/>
          </w:tcPr>
          <w:p>
            <w:pPr>
              <w:pStyle w:val="33"/>
              <w:keepNext w:val="0"/>
              <w:keepLines w:val="0"/>
              <w:widowControl w:val="0"/>
              <w:suppressLineNumbers w:val="0"/>
              <w:shd w:val="clear"/>
              <w:wordWrap w:val="0"/>
              <w:adjustRightInd w:val="0"/>
              <w:snapToGrid w:val="0"/>
              <w:spacing w:before="0" w:beforeAutospacing="0" w:after="0" w:afterAutospacing="0" w:line="240" w:lineRule="auto"/>
              <w:ind w:left="0" w:leftChars="0" w:right="0" w:rightChars="0" w:firstLine="0" w:firstLineChars="0"/>
              <w:jc w:val="left"/>
              <w:rPr>
                <w:rFonts w:hint="default"/>
                <w:color w:val="000000" w:themeColor="text1"/>
                <w:sz w:val="22"/>
                <w:highlight w:val="none"/>
                <w:lang w:bidi="ar"/>
                <w14:textFill>
                  <w14:solidFill>
                    <w14:schemeClr w14:val="tx1"/>
                  </w14:solidFill>
                </w14:textFill>
              </w:rPr>
            </w:pP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1.</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投标人（若为联合体投标，指联合体牵头方）具有有效期内的中国合格评定国家认可委员会检验机构证书（</w:t>
            </w: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CNAS</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），得</w:t>
            </w: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4</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分；具有效期内的中国合格评定国家认可委员会实验室认可证书（</w:t>
            </w: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CNAS</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），得</w:t>
            </w: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4</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分。本项最高得</w:t>
            </w: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8</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741" w:type="dxa"/>
            <w:vMerge w:val="continue"/>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p>
        </w:tc>
        <w:tc>
          <w:tcPr>
            <w:tcW w:w="1084" w:type="dxa"/>
            <w:vMerge w:val="continue"/>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p>
        </w:tc>
        <w:tc>
          <w:tcPr>
            <w:tcW w:w="1200" w:type="dxa"/>
            <w:vMerge w:val="continue"/>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p>
        </w:tc>
        <w:tc>
          <w:tcPr>
            <w:tcW w:w="6100" w:type="dxa"/>
            <w:vAlign w:val="center"/>
          </w:tcPr>
          <w:p>
            <w:pPr>
              <w:pStyle w:val="33"/>
              <w:keepNext w:val="0"/>
              <w:keepLines w:val="0"/>
              <w:widowControl w:val="0"/>
              <w:suppressLineNumbers w:val="0"/>
              <w:shd w:val="clear"/>
              <w:wordWrap w:val="0"/>
              <w:adjustRightInd w:val="0"/>
              <w:snapToGrid w:val="0"/>
              <w:spacing w:before="0" w:beforeAutospacing="0" w:after="0" w:afterAutospacing="0" w:line="240" w:lineRule="auto"/>
              <w:ind w:left="0" w:leftChars="0" w:right="0" w:rightChars="0" w:firstLine="0" w:firstLineChars="0"/>
              <w:jc w:val="left"/>
              <w:rPr>
                <w:rFonts w:hint="default" w:ascii="宋体" w:hAnsi="宋体" w:cs="宋体"/>
                <w:color w:val="000000" w:themeColor="text1"/>
                <w:szCs w:val="21"/>
                <w:highlight w:val="none"/>
                <w:lang w:bidi="ar"/>
                <w14:textFill>
                  <w14:solidFill>
                    <w14:schemeClr w14:val="tx1"/>
                  </w14:solidFill>
                </w14:textFill>
              </w:rPr>
            </w:pP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2.</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投标人（若为联合体投标，指联合体牵头方）具有有效期内的 “环境管理体系、职业健康安全管理体系、质量管理体系”认证证书的，每个证书得</w:t>
            </w: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2</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分，最高得</w:t>
            </w: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6</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741" w:type="dxa"/>
            <w:vMerge w:val="continue"/>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p>
        </w:tc>
        <w:tc>
          <w:tcPr>
            <w:tcW w:w="1084" w:type="dxa"/>
            <w:vMerge w:val="continue"/>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p>
        </w:tc>
        <w:tc>
          <w:tcPr>
            <w:tcW w:w="1200" w:type="dxa"/>
            <w:vMerge w:val="continue"/>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p>
        </w:tc>
        <w:tc>
          <w:tcPr>
            <w:tcW w:w="6100" w:type="dxa"/>
            <w:vAlign w:val="center"/>
          </w:tcPr>
          <w:p>
            <w:pPr>
              <w:pStyle w:val="33"/>
              <w:keepNext w:val="0"/>
              <w:keepLines w:val="0"/>
              <w:widowControl w:val="0"/>
              <w:suppressLineNumbers w:val="0"/>
              <w:shd w:val="clear"/>
              <w:wordWrap w:val="0"/>
              <w:adjustRightInd w:val="0"/>
              <w:snapToGrid w:val="0"/>
              <w:spacing w:before="0" w:beforeAutospacing="0" w:after="0" w:afterAutospacing="0" w:line="240" w:lineRule="auto"/>
              <w:ind w:left="0" w:right="0" w:firstLine="0" w:firstLineChars="0"/>
              <w:jc w:val="left"/>
              <w:rPr>
                <w:rFonts w:hint="default"/>
                <w:color w:val="000000" w:themeColor="text1"/>
                <w:highlight w:val="none"/>
                <w:lang w:val="en-US"/>
                <w14:textFill>
                  <w14:solidFill>
                    <w14:schemeClr w14:val="tx1"/>
                  </w14:solidFill>
                </w14:textFill>
              </w:rPr>
            </w:pP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3.</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投标人（若为联合体投标，指联合体牵头方）获得省级（或以上）协会授予“（检测单位）”信用等级评价：</w:t>
            </w:r>
          </w:p>
          <w:p>
            <w:pPr>
              <w:pStyle w:val="33"/>
              <w:keepNext w:val="0"/>
              <w:keepLines w:val="0"/>
              <w:widowControl w:val="0"/>
              <w:suppressLineNumbers w:val="0"/>
              <w:shd w:val="clear"/>
              <w:wordWrap w:val="0"/>
              <w:adjustRightInd w:val="0"/>
              <w:snapToGrid w:val="0"/>
              <w:spacing w:before="0" w:beforeAutospacing="0" w:after="0" w:afterAutospacing="0" w:line="240" w:lineRule="auto"/>
              <w:ind w:left="0" w:right="0" w:firstLine="0" w:firstLineChars="0"/>
              <w:jc w:val="left"/>
              <w:rPr>
                <w:rFonts w:hint="default"/>
                <w:color w:val="000000" w:themeColor="text1"/>
                <w:highlight w:val="none"/>
                <w:lang w:val="en-US"/>
                <w14:textFill>
                  <w14:solidFill>
                    <w14:schemeClr w14:val="tx1"/>
                  </w14:solidFill>
                </w14:textFill>
              </w:rPr>
            </w:pP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w:t>
            </w: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1</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）获评最高等级的，得</w:t>
            </w: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6</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分；</w:t>
            </w:r>
          </w:p>
          <w:p>
            <w:pPr>
              <w:pStyle w:val="33"/>
              <w:keepNext w:val="0"/>
              <w:keepLines w:val="0"/>
              <w:widowControl w:val="0"/>
              <w:suppressLineNumbers w:val="0"/>
              <w:shd w:val="clear"/>
              <w:wordWrap w:val="0"/>
              <w:adjustRightInd w:val="0"/>
              <w:snapToGrid w:val="0"/>
              <w:spacing w:before="0" w:beforeAutospacing="0" w:after="0" w:afterAutospacing="0" w:line="240" w:lineRule="auto"/>
              <w:ind w:left="0" w:right="0" w:firstLine="0" w:firstLineChars="0"/>
              <w:jc w:val="left"/>
              <w:rPr>
                <w:rFonts w:hint="default"/>
                <w:color w:val="000000" w:themeColor="text1"/>
                <w:highlight w:val="none"/>
                <w:lang w:val="en-US"/>
                <w14:textFill>
                  <w14:solidFill>
                    <w14:schemeClr w14:val="tx1"/>
                  </w14:solidFill>
                </w14:textFill>
              </w:rPr>
            </w:pP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w:t>
            </w: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2</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）获评次高等级的，得</w:t>
            </w: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4</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分；</w:t>
            </w:r>
          </w:p>
          <w:p>
            <w:pPr>
              <w:pStyle w:val="33"/>
              <w:keepNext w:val="0"/>
              <w:keepLines w:val="0"/>
              <w:widowControl w:val="0"/>
              <w:suppressLineNumbers w:val="0"/>
              <w:shd w:val="clear"/>
              <w:wordWrap w:val="0"/>
              <w:adjustRightInd w:val="0"/>
              <w:snapToGrid w:val="0"/>
              <w:spacing w:before="0" w:beforeAutospacing="0" w:after="0" w:afterAutospacing="0" w:line="240" w:lineRule="auto"/>
              <w:ind w:left="0" w:right="0" w:firstLine="0" w:firstLineChars="0"/>
              <w:jc w:val="left"/>
              <w:rPr>
                <w:rFonts w:hint="default"/>
                <w:color w:val="000000" w:themeColor="text1"/>
                <w:highlight w:val="none"/>
                <w:lang w:val="en-US"/>
                <w14:textFill>
                  <w14:solidFill>
                    <w14:schemeClr w14:val="tx1"/>
                  </w14:solidFill>
                </w14:textFill>
              </w:rPr>
            </w:pP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w:t>
            </w: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3</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）获评第三等级或以下的，得</w:t>
            </w: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2</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分。</w:t>
            </w:r>
          </w:p>
          <w:p>
            <w:pPr>
              <w:pStyle w:val="33"/>
              <w:keepNext w:val="0"/>
              <w:keepLines w:val="0"/>
              <w:widowControl w:val="0"/>
              <w:suppressLineNumbers w:val="0"/>
              <w:shd w:val="clear"/>
              <w:wordWrap w:val="0"/>
              <w:adjustRightInd w:val="0"/>
              <w:snapToGrid w:val="0"/>
              <w:spacing w:before="0" w:beforeAutospacing="0" w:after="0" w:afterAutospacing="0" w:line="240" w:lineRule="auto"/>
              <w:ind w:left="0" w:leftChars="0" w:right="0" w:rightChars="0" w:firstLine="0" w:firstLineChars="0"/>
              <w:jc w:val="left"/>
              <w:rPr>
                <w:rFonts w:hint="default" w:ascii="宋体" w:hAnsi="宋体" w:cs="宋体"/>
                <w:color w:val="000000" w:themeColor="text1"/>
                <w:szCs w:val="21"/>
                <w:highlight w:val="none"/>
                <w:lang w:bidi="ar"/>
                <w14:textFill>
                  <w14:solidFill>
                    <w14:schemeClr w14:val="tx1"/>
                  </w14:solidFill>
                </w14:textFill>
              </w:rPr>
            </w:pP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未提供的不予得分。本项最高得</w:t>
            </w: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6</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741" w:type="dxa"/>
            <w:vMerge w:val="continue"/>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p>
        </w:tc>
        <w:tc>
          <w:tcPr>
            <w:tcW w:w="1084" w:type="dxa"/>
            <w:vMerge w:val="continue"/>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p>
        </w:tc>
        <w:tc>
          <w:tcPr>
            <w:tcW w:w="1200" w:type="dxa"/>
            <w:vMerge w:val="continue"/>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p>
        </w:tc>
        <w:tc>
          <w:tcPr>
            <w:tcW w:w="6100" w:type="dxa"/>
            <w:vAlign w:val="center"/>
          </w:tcPr>
          <w:p>
            <w:pPr>
              <w:pStyle w:val="33"/>
              <w:keepNext w:val="0"/>
              <w:keepLines w:val="0"/>
              <w:widowControl w:val="0"/>
              <w:suppressLineNumbers w:val="0"/>
              <w:shd w:val="clear"/>
              <w:wordWrap w:val="0"/>
              <w:adjustRightInd w:val="0"/>
              <w:snapToGrid w:val="0"/>
              <w:spacing w:before="0" w:beforeAutospacing="0" w:after="0" w:afterAutospacing="0" w:line="240" w:lineRule="auto"/>
              <w:ind w:left="0" w:leftChars="0" w:right="0" w:rightChars="0" w:firstLine="0" w:firstLineChars="0"/>
              <w:jc w:val="left"/>
              <w:rPr>
                <w:rFonts w:hint="default" w:ascii="宋体" w:hAnsi="宋体" w:cs="宋体"/>
                <w:color w:val="000000" w:themeColor="text1"/>
                <w:szCs w:val="21"/>
                <w:highlight w:val="none"/>
                <w:lang w:bidi="ar"/>
                <w14:textFill>
                  <w14:solidFill>
                    <w14:schemeClr w14:val="tx1"/>
                  </w14:solidFill>
                </w14:textFill>
              </w:rPr>
            </w:pP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4.</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投标人（如为联合体，指联合体牵头方）被认定为省级或以上行政主管部门颁发的工程技术研究中心或实验室称号的，得</w:t>
            </w:r>
            <w:r>
              <w:rPr>
                <w:rFonts w:hint="eastAsia" w:cs="Times New Roman"/>
                <w:snapToGrid/>
                <w:color w:val="000000" w:themeColor="text1"/>
                <w:kern w:val="2"/>
                <w:sz w:val="22"/>
                <w:szCs w:val="22"/>
                <w:highlight w:val="none"/>
                <w:lang w:val="en-US" w:eastAsia="zh-CN" w:bidi="ar"/>
                <w14:textFill>
                  <w14:solidFill>
                    <w14:schemeClr w14:val="tx1"/>
                  </w14:solidFill>
                </w14:textFill>
              </w:rPr>
              <w:t>6</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分</w:t>
            </w:r>
            <w:r>
              <w:rPr>
                <w:rFonts w:hint="eastAsia" w:cs="Times New Roman"/>
                <w:snapToGrid w:val="0"/>
                <w:color w:val="000000" w:themeColor="text1"/>
                <w:kern w:val="2"/>
                <w:sz w:val="22"/>
                <w:szCs w:val="22"/>
                <w:highlight w:val="none"/>
                <w:lang w:val="en-US" w:eastAsia="zh-CN" w:bidi="ar"/>
                <w14:textFill>
                  <w14:solidFill>
                    <w14:schemeClr w14:val="tx1"/>
                  </w14:solidFill>
                </w14:textFill>
              </w:rPr>
              <w:t>，</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无则不得分。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741" w:type="dxa"/>
            <w:vMerge w:val="continue"/>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p>
        </w:tc>
        <w:tc>
          <w:tcPr>
            <w:tcW w:w="1084" w:type="dxa"/>
            <w:vMerge w:val="continue"/>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p>
        </w:tc>
        <w:tc>
          <w:tcPr>
            <w:tcW w:w="1200" w:type="dxa"/>
            <w:vMerge w:val="continue"/>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p>
        </w:tc>
        <w:tc>
          <w:tcPr>
            <w:tcW w:w="6100" w:type="dxa"/>
            <w:vAlign w:val="center"/>
          </w:tcPr>
          <w:p>
            <w:pPr>
              <w:pStyle w:val="33"/>
              <w:keepNext w:val="0"/>
              <w:keepLines w:val="0"/>
              <w:widowControl w:val="0"/>
              <w:suppressLineNumbers w:val="0"/>
              <w:shd w:val="clear"/>
              <w:wordWrap w:val="0"/>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pP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5.</w:t>
            </w:r>
            <w:r>
              <w:rPr>
                <w:rFonts w:hint="default" w:cs="Times New Roman"/>
                <w:snapToGrid w:val="0"/>
                <w:color w:val="000000" w:themeColor="text1"/>
                <w:kern w:val="2"/>
                <w:sz w:val="22"/>
                <w:szCs w:val="22"/>
                <w:highlight w:val="none"/>
                <w:lang w:bidi="ar"/>
                <w14:textFill>
                  <w14:solidFill>
                    <w14:schemeClr w14:val="tx1"/>
                  </w14:solidFill>
                </w14:textFill>
              </w:rPr>
              <w:t>自2022年1月1日至投标截止时间止，投标人（若为联合体投标，指联合体牵头方）获得</w:t>
            </w:r>
            <w:r>
              <w:rPr>
                <w:rFonts w:hint="eastAsia" w:cs="Times New Roman"/>
                <w:snapToGrid w:val="0"/>
                <w:color w:val="000000" w:themeColor="text1"/>
                <w:kern w:val="2"/>
                <w:sz w:val="22"/>
                <w:szCs w:val="22"/>
                <w:highlight w:val="none"/>
                <w:lang w:val="en-US" w:eastAsia="zh-CN" w:bidi="ar"/>
                <w14:textFill>
                  <w14:solidFill>
                    <w14:schemeClr w14:val="tx1"/>
                  </w14:solidFill>
                </w14:textFill>
              </w:rPr>
              <w:t>过</w:t>
            </w:r>
            <w:r>
              <w:rPr>
                <w:rFonts w:hint="default" w:cs="Times New Roman"/>
                <w:snapToGrid w:val="0"/>
                <w:color w:val="000000" w:themeColor="text1"/>
                <w:kern w:val="2"/>
                <w:sz w:val="22"/>
                <w:szCs w:val="22"/>
                <w:highlight w:val="none"/>
                <w:lang w:bidi="ar"/>
                <w14:textFill>
                  <w14:solidFill>
                    <w14:schemeClr w14:val="tx1"/>
                  </w14:solidFill>
                </w14:textFill>
              </w:rPr>
              <w:t>工程类“科学技术</w:t>
            </w:r>
            <w:r>
              <w:rPr>
                <w:rFonts w:hint="eastAsia" w:cs="Times New Roman"/>
                <w:snapToGrid w:val="0"/>
                <w:color w:val="000000" w:themeColor="text1"/>
                <w:kern w:val="2"/>
                <w:sz w:val="22"/>
                <w:szCs w:val="22"/>
                <w:highlight w:val="none"/>
                <w:lang w:val="en-US" w:eastAsia="zh-CN" w:bidi="ar"/>
                <w14:textFill>
                  <w14:solidFill>
                    <w14:schemeClr w14:val="tx1"/>
                  </w14:solidFill>
                </w14:textFill>
              </w:rPr>
              <w:t>奖励证书</w:t>
            </w:r>
            <w:r>
              <w:rPr>
                <w:rFonts w:hint="default" w:cs="Times New Roman"/>
                <w:snapToGrid w:val="0"/>
                <w:color w:val="000000" w:themeColor="text1"/>
                <w:kern w:val="2"/>
                <w:sz w:val="22"/>
                <w:szCs w:val="22"/>
                <w:highlight w:val="none"/>
                <w:lang w:bidi="ar"/>
                <w14:textFill>
                  <w14:solidFill>
                    <w14:schemeClr w14:val="tx1"/>
                  </w14:solidFill>
                </w14:textFill>
              </w:rPr>
              <w:t>”省级或以上</w:t>
            </w:r>
            <w:r>
              <w:rPr>
                <w:rFonts w:hint="eastAsia" w:cs="Times New Roman"/>
                <w:snapToGrid w:val="0"/>
                <w:color w:val="000000" w:themeColor="text1"/>
                <w:kern w:val="2"/>
                <w:sz w:val="22"/>
                <w:szCs w:val="22"/>
                <w:highlight w:val="none"/>
                <w:lang w:val="en-US" w:eastAsia="zh-CN" w:bidi="ar"/>
                <w14:textFill>
                  <w14:solidFill>
                    <w14:schemeClr w14:val="tx1"/>
                  </w14:solidFill>
                </w14:textFill>
              </w:rPr>
              <w:t>的奖项，</w:t>
            </w:r>
            <w:r>
              <w:rPr>
                <w:rFonts w:hint="default" w:cs="Times New Roman"/>
                <w:snapToGrid w:val="0"/>
                <w:color w:val="000000" w:themeColor="text1"/>
                <w:kern w:val="2"/>
                <w:sz w:val="22"/>
                <w:szCs w:val="22"/>
                <w:highlight w:val="none"/>
                <w:lang w:bidi="ar"/>
                <w14:textFill>
                  <w14:solidFill>
                    <w14:schemeClr w14:val="tx1"/>
                  </w14:solidFill>
                </w14:textFill>
              </w:rPr>
              <w:t>每项得</w:t>
            </w:r>
            <w:r>
              <w:rPr>
                <w:rFonts w:hint="eastAsia" w:cs="Times New Roman"/>
                <w:snapToGrid w:val="0"/>
                <w:color w:val="000000" w:themeColor="text1"/>
                <w:kern w:val="2"/>
                <w:sz w:val="22"/>
                <w:szCs w:val="22"/>
                <w:highlight w:val="none"/>
                <w:lang w:val="en-US" w:eastAsia="zh-CN" w:bidi="ar"/>
                <w14:textFill>
                  <w14:solidFill>
                    <w14:schemeClr w14:val="tx1"/>
                  </w14:solidFill>
                </w14:textFill>
              </w:rPr>
              <w:t>7</w:t>
            </w:r>
            <w:r>
              <w:rPr>
                <w:rFonts w:hint="default" w:cs="Times New Roman"/>
                <w:snapToGrid w:val="0"/>
                <w:color w:val="000000" w:themeColor="text1"/>
                <w:kern w:val="2"/>
                <w:sz w:val="22"/>
                <w:szCs w:val="22"/>
                <w:highlight w:val="none"/>
                <w:lang w:bidi="ar"/>
                <w14:textFill>
                  <w14:solidFill>
                    <w14:schemeClr w14:val="tx1"/>
                  </w14:solidFill>
                </w14:textFill>
              </w:rPr>
              <w:t>分，最高得</w:t>
            </w:r>
            <w:r>
              <w:rPr>
                <w:rFonts w:hint="eastAsia" w:cs="Times New Roman"/>
                <w:snapToGrid w:val="0"/>
                <w:color w:val="000000" w:themeColor="text1"/>
                <w:kern w:val="2"/>
                <w:sz w:val="22"/>
                <w:szCs w:val="22"/>
                <w:highlight w:val="none"/>
                <w:lang w:val="en-US" w:eastAsia="zh-CN" w:bidi="ar"/>
                <w14:textFill>
                  <w14:solidFill>
                    <w14:schemeClr w14:val="tx1"/>
                  </w14:solidFill>
                </w14:textFill>
              </w:rPr>
              <w:t>1</w:t>
            </w:r>
            <w:r>
              <w:rPr>
                <w:rFonts w:hint="default" w:cs="Times New Roman"/>
                <w:snapToGrid w:val="0"/>
                <w:color w:val="000000" w:themeColor="text1"/>
                <w:kern w:val="2"/>
                <w:sz w:val="22"/>
                <w:szCs w:val="22"/>
                <w:highlight w:val="none"/>
                <w:lang w:bidi="ar"/>
                <w14:textFill>
                  <w14:solidFill>
                    <w14:schemeClr w14:val="tx1"/>
                  </w14:solidFill>
                </w14:textFill>
              </w:rPr>
              <w:t>4分</w:t>
            </w:r>
            <w:r>
              <w:rPr>
                <w:rFonts w:hint="eastAsia" w:cs="Times New Roman"/>
                <w:snapToGrid w:val="0"/>
                <w:color w:val="000000" w:themeColor="text1"/>
                <w:kern w:val="2"/>
                <w:sz w:val="22"/>
                <w:szCs w:val="22"/>
                <w:highlight w:val="none"/>
                <w:lang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741" w:type="dxa"/>
            <w:vMerge w:val="continue"/>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p>
        </w:tc>
        <w:tc>
          <w:tcPr>
            <w:tcW w:w="1084" w:type="dxa"/>
            <w:vMerge w:val="continue"/>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p>
        </w:tc>
        <w:tc>
          <w:tcPr>
            <w:tcW w:w="1200" w:type="dxa"/>
            <w:vMerge w:val="restart"/>
            <w:vAlign w:val="center"/>
          </w:tcPr>
          <w:p>
            <w:pPr>
              <w:keepNext w:val="0"/>
              <w:keepLines w:val="0"/>
              <w:suppressLineNumbers w:val="0"/>
              <w:shd w:val="clear"/>
              <w:spacing w:before="0" w:beforeAutospacing="0" w:after="0" w:afterAutospacing="0"/>
              <w:ind w:left="0" w:right="0"/>
              <w:jc w:val="left"/>
              <w:rPr>
                <w:rFonts w:hint="eastAsia"/>
                <w:color w:val="000000" w:themeColor="text1"/>
                <w:sz w:val="22"/>
                <w:highlight w:val="none"/>
                <w:lang w:bidi="ar"/>
                <w14:textFill>
                  <w14:solidFill>
                    <w14:schemeClr w14:val="tx1"/>
                  </w14:solidFill>
                </w14:textFill>
              </w:rPr>
            </w:pPr>
          </w:p>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r>
              <w:rPr>
                <w:rFonts w:hint="eastAsia"/>
                <w:color w:val="000000" w:themeColor="text1"/>
                <w:sz w:val="22"/>
                <w:highlight w:val="none"/>
                <w:lang w:bidi="ar"/>
                <w14:textFill>
                  <w14:solidFill>
                    <w14:schemeClr w14:val="tx1"/>
                  </w14:solidFill>
                </w14:textFill>
              </w:rPr>
              <w:t>拟投入本项目人员（20分）</w:t>
            </w:r>
          </w:p>
        </w:tc>
        <w:tc>
          <w:tcPr>
            <w:tcW w:w="6100" w:type="dxa"/>
            <w:vAlign w:val="center"/>
          </w:tcPr>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204" w:hRule="atLeast"/>
                <w:jc w:val="center"/>
              </w:trPr>
              <w:tc>
                <w:tcPr>
                  <w:tcW w:w="6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wordWrap w:val="0"/>
                    <w:adjustRightInd w:val="0"/>
                    <w:snapToGrid w:val="0"/>
                    <w:spacing w:before="0" w:beforeAutospacing="0" w:after="0" w:afterAutospacing="0" w:line="240" w:lineRule="auto"/>
                    <w:ind w:left="0" w:right="0" w:firstLine="0" w:firstLineChars="0"/>
                    <w:jc w:val="left"/>
                    <w:rPr>
                      <w:rFonts w:hint="default"/>
                      <w:color w:val="000000" w:themeColor="text1"/>
                      <w:highlight w:val="none"/>
                      <w:lang w:val="en-US"/>
                      <w14:textFill>
                        <w14:solidFill>
                          <w14:schemeClr w14:val="tx1"/>
                        </w14:solidFill>
                      </w14:textFill>
                    </w:rPr>
                  </w:pP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1.</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项目负责人（若为联合体投标，指联合体牵头方）：</w:t>
                  </w:r>
                </w:p>
                <w:p>
                  <w:pPr>
                    <w:keepNext w:val="0"/>
                    <w:keepLines w:val="0"/>
                    <w:widowControl/>
                    <w:suppressLineNumbers w:val="0"/>
                    <w:shd w:val="clear"/>
                    <w:wordWrap w:val="0"/>
                    <w:adjustRightInd w:val="0"/>
                    <w:snapToGrid w:val="0"/>
                    <w:spacing w:before="0" w:beforeAutospacing="0" w:after="0" w:afterAutospacing="0" w:line="240" w:lineRule="auto"/>
                    <w:ind w:left="0" w:right="0" w:firstLine="0" w:firstLineChars="0"/>
                    <w:jc w:val="left"/>
                    <w:rPr>
                      <w:rFonts w:hint="default"/>
                      <w:color w:val="000000" w:themeColor="text1"/>
                      <w:highlight w:val="none"/>
                      <w:lang w:val="en-US"/>
                      <w14:textFill>
                        <w14:solidFill>
                          <w14:schemeClr w14:val="tx1"/>
                        </w14:solidFill>
                      </w14:textFill>
                    </w:rPr>
                  </w:pP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w:t>
                  </w: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1</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）具有工程类高级（或以上）工程师职称的，得</w:t>
                  </w: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3</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分；</w:t>
                  </w:r>
                </w:p>
                <w:p>
                  <w:pPr>
                    <w:keepNext w:val="0"/>
                    <w:keepLines w:val="0"/>
                    <w:widowControl/>
                    <w:suppressLineNumbers w:val="0"/>
                    <w:shd w:val="clear"/>
                    <w:wordWrap w:val="0"/>
                    <w:adjustRightInd w:val="0"/>
                    <w:snapToGrid w:val="0"/>
                    <w:spacing w:before="0" w:beforeAutospacing="0" w:after="0" w:afterAutospacing="0" w:line="240" w:lineRule="auto"/>
                    <w:ind w:left="0" w:right="0" w:firstLine="0" w:firstLineChars="0"/>
                    <w:jc w:val="left"/>
                    <w:rPr>
                      <w:rFonts w:hint="default"/>
                      <w:color w:val="000000" w:themeColor="text1"/>
                      <w:highlight w:val="none"/>
                      <w:lang w:val="en-US"/>
                      <w14:textFill>
                        <w14:solidFill>
                          <w14:schemeClr w14:val="tx1"/>
                        </w14:solidFill>
                      </w14:textFill>
                    </w:rPr>
                  </w:pP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w:t>
                  </w: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2</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）具有检测员岗位证或检测鉴定培训合格证的，得</w:t>
                  </w: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2</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分；</w:t>
                  </w:r>
                </w:p>
                <w:p>
                  <w:pPr>
                    <w:keepNext w:val="0"/>
                    <w:keepLines w:val="0"/>
                    <w:widowControl/>
                    <w:suppressLineNumbers w:val="0"/>
                    <w:shd w:val="clear"/>
                    <w:wordWrap w:val="0"/>
                    <w:adjustRightInd w:val="0"/>
                    <w:snapToGrid w:val="0"/>
                    <w:spacing w:before="0" w:beforeAutospacing="0" w:after="0" w:afterAutospacing="0" w:line="240" w:lineRule="auto"/>
                    <w:ind w:left="0" w:right="0" w:firstLine="0" w:firstLineChars="0"/>
                    <w:jc w:val="left"/>
                    <w:rPr>
                      <w:rFonts w:hint="default"/>
                      <w:color w:val="000000" w:themeColor="text1"/>
                      <w:highlight w:val="none"/>
                      <w:lang w:val="en-US" w:bidi="ar"/>
                      <w14:textFill>
                        <w14:solidFill>
                          <w14:schemeClr w14:val="tx1"/>
                        </w14:solidFill>
                      </w14:textFill>
                    </w:rPr>
                  </w:pP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其余不得分，本项最高得</w:t>
                  </w: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5</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分。</w:t>
                  </w:r>
                </w:p>
              </w:tc>
            </w:tr>
          </w:tbl>
          <w:p>
            <w:pPr>
              <w:keepNext w:val="0"/>
              <w:keepLines w:val="0"/>
              <w:widowControl/>
              <w:suppressLineNumbers w:val="0"/>
              <w:shd w:val="clear"/>
              <w:wordWrap w:val="0"/>
              <w:adjustRightInd w:val="0"/>
              <w:snapToGrid w:val="0"/>
              <w:spacing w:before="0" w:beforeAutospacing="0" w:after="0" w:afterAutospacing="0" w:line="240" w:lineRule="auto"/>
              <w:ind w:left="0" w:right="0" w:firstLine="0" w:firstLineChars="0"/>
              <w:jc w:val="left"/>
              <w:rPr>
                <w:rFonts w:hint="default"/>
                <w:color w:val="000000" w:themeColor="text1"/>
                <w:highlight w:val="none"/>
                <w:lang w:val="en-US"/>
                <w14:textFill>
                  <w14:solidFill>
                    <w14:schemeClr w14:val="tx1"/>
                  </w14:solidFill>
                </w14:textFill>
              </w:rPr>
            </w:pP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2.</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技术负责人（若为联合体投标，指联合体牵头方）：</w:t>
            </w:r>
          </w:p>
          <w:p>
            <w:pPr>
              <w:keepNext w:val="0"/>
              <w:keepLines w:val="0"/>
              <w:widowControl/>
              <w:suppressLineNumbers w:val="0"/>
              <w:shd w:val="clear"/>
              <w:wordWrap w:val="0"/>
              <w:adjustRightInd w:val="0"/>
              <w:snapToGrid w:val="0"/>
              <w:spacing w:before="0" w:beforeAutospacing="0" w:after="0" w:afterAutospacing="0" w:line="240" w:lineRule="auto"/>
              <w:ind w:left="0" w:right="0" w:firstLine="0" w:firstLineChars="0"/>
              <w:jc w:val="left"/>
              <w:rPr>
                <w:rFonts w:hint="default"/>
                <w:color w:val="000000" w:themeColor="text1"/>
                <w:highlight w:val="none"/>
                <w:lang w:val="en-US"/>
                <w14:textFill>
                  <w14:solidFill>
                    <w14:schemeClr w14:val="tx1"/>
                  </w14:solidFill>
                </w14:textFill>
              </w:rPr>
            </w:pP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w:t>
            </w: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1</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）具有工程类高级（或以上）工程师职称的得</w:t>
            </w: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3</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分；具有工程类中级工程师职称的得</w:t>
            </w: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2</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分。</w:t>
            </w:r>
          </w:p>
          <w:p>
            <w:pPr>
              <w:keepNext w:val="0"/>
              <w:keepLines w:val="0"/>
              <w:widowControl/>
              <w:suppressLineNumbers w:val="0"/>
              <w:shd w:val="clear"/>
              <w:wordWrap w:val="0"/>
              <w:adjustRightInd w:val="0"/>
              <w:snapToGrid w:val="0"/>
              <w:spacing w:before="0" w:beforeAutospacing="0" w:after="0" w:afterAutospacing="0" w:line="240" w:lineRule="auto"/>
              <w:ind w:left="0" w:right="0" w:firstLine="0" w:firstLineChars="0"/>
              <w:jc w:val="left"/>
              <w:rPr>
                <w:rFonts w:hint="default"/>
                <w:color w:val="000000" w:themeColor="text1"/>
                <w:highlight w:val="none"/>
                <w:lang w:val="en-US"/>
                <w14:textFill>
                  <w14:solidFill>
                    <w14:schemeClr w14:val="tx1"/>
                  </w14:solidFill>
                </w14:textFill>
              </w:rPr>
            </w:pP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w:t>
            </w: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2</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）具有检测员岗位证或检测鉴定培训合格证的，得</w:t>
            </w: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2</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分。</w:t>
            </w:r>
          </w:p>
          <w:p>
            <w:pPr>
              <w:keepNext w:val="0"/>
              <w:keepLines w:val="0"/>
              <w:widowControl/>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r>
              <w:rPr>
                <w:rFonts w:hint="eastAsia" w:ascii="宋体" w:hAnsi="宋体" w:eastAsia="宋体" w:cs="Times New Roman"/>
                <w:snapToGrid/>
                <w:color w:val="000000" w:themeColor="text1"/>
                <w:kern w:val="2"/>
                <w:sz w:val="22"/>
                <w:szCs w:val="21"/>
                <w:highlight w:val="none"/>
                <w:lang w:val="en-US" w:eastAsia="zh-CN" w:bidi="ar"/>
                <w14:textFill>
                  <w14:solidFill>
                    <w14:schemeClr w14:val="tx1"/>
                  </w14:solidFill>
                </w14:textFill>
              </w:rPr>
              <w:t>其余不得分，本项最高得5分。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741" w:type="dxa"/>
            <w:vMerge w:val="continue"/>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p>
        </w:tc>
        <w:tc>
          <w:tcPr>
            <w:tcW w:w="1084" w:type="dxa"/>
            <w:vMerge w:val="continue"/>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p>
        </w:tc>
        <w:tc>
          <w:tcPr>
            <w:tcW w:w="1200" w:type="dxa"/>
            <w:vMerge w:val="continue"/>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p>
        </w:tc>
        <w:tc>
          <w:tcPr>
            <w:tcW w:w="6100" w:type="dxa"/>
            <w:vAlign w:val="center"/>
          </w:tcPr>
          <w:p>
            <w:pPr>
              <w:pStyle w:val="33"/>
              <w:keepNext w:val="0"/>
              <w:keepLines w:val="0"/>
              <w:widowControl w:val="0"/>
              <w:suppressLineNumbers w:val="0"/>
              <w:shd w:val="clear"/>
              <w:wordWrap w:val="0"/>
              <w:adjustRightInd w:val="0"/>
              <w:snapToGrid w:val="0"/>
              <w:spacing w:before="0" w:beforeAutospacing="0" w:after="0" w:afterAutospacing="0" w:line="240" w:lineRule="auto"/>
              <w:ind w:left="0" w:right="0" w:firstLine="0" w:firstLineChars="0"/>
              <w:jc w:val="left"/>
              <w:rPr>
                <w:rFonts w:hint="default"/>
                <w:color w:val="000000" w:themeColor="text1"/>
                <w:highlight w:val="none"/>
                <w:lang w:val="en-US"/>
                <w14:textFill>
                  <w14:solidFill>
                    <w14:schemeClr w14:val="tx1"/>
                  </w14:solidFill>
                </w14:textFill>
              </w:rPr>
            </w:pP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3.</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主要技术人员（不含项目负责人及技术负责人）：</w:t>
            </w:r>
          </w:p>
          <w:p>
            <w:pPr>
              <w:pStyle w:val="33"/>
              <w:keepNext w:val="0"/>
              <w:keepLines w:val="0"/>
              <w:widowControl w:val="0"/>
              <w:suppressLineNumbers w:val="0"/>
              <w:shd w:val="clear"/>
              <w:wordWrap w:val="0"/>
              <w:adjustRightInd w:val="0"/>
              <w:snapToGrid w:val="0"/>
              <w:spacing w:before="0" w:beforeAutospacing="0" w:after="0" w:afterAutospacing="0" w:line="240" w:lineRule="auto"/>
              <w:ind w:left="0" w:right="0" w:firstLine="0" w:firstLineChars="0"/>
              <w:jc w:val="left"/>
              <w:rPr>
                <w:rFonts w:hint="default"/>
                <w:color w:val="000000" w:themeColor="text1"/>
                <w:highlight w:val="none"/>
                <w:lang w:val="en-US"/>
                <w14:textFill>
                  <w14:solidFill>
                    <w14:schemeClr w14:val="tx1"/>
                  </w14:solidFill>
                </w14:textFill>
              </w:rPr>
            </w:pP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w:t>
            </w: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1</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）具有工程类高级（或以上）工程师职称，每人得</w:t>
            </w:r>
            <w:r>
              <w:rPr>
                <w:rFonts w:hint="eastAsia" w:cs="Times New Roman"/>
                <w:snapToGrid/>
                <w:color w:val="000000" w:themeColor="text1"/>
                <w:kern w:val="2"/>
                <w:sz w:val="22"/>
                <w:szCs w:val="22"/>
                <w:highlight w:val="none"/>
                <w:lang w:val="en-US" w:eastAsia="zh-CN" w:bidi="ar"/>
                <w14:textFill>
                  <w14:solidFill>
                    <w14:schemeClr w14:val="tx1"/>
                  </w14:solidFill>
                </w14:textFill>
              </w:rPr>
              <w:t>2</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分，具有工程类中级工程师职称的，每人得</w:t>
            </w: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1</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分，本小项最多得</w:t>
            </w:r>
            <w:r>
              <w:rPr>
                <w:rFonts w:hint="eastAsia" w:cs="Times New Roman"/>
                <w:snapToGrid/>
                <w:color w:val="000000" w:themeColor="text1"/>
                <w:kern w:val="2"/>
                <w:sz w:val="22"/>
                <w:szCs w:val="22"/>
                <w:highlight w:val="none"/>
                <w:lang w:val="en-US" w:eastAsia="zh-CN" w:bidi="ar"/>
                <w14:textFill>
                  <w14:solidFill>
                    <w14:schemeClr w14:val="tx1"/>
                  </w14:solidFill>
                </w14:textFill>
              </w:rPr>
              <w:t>6</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分；</w:t>
            </w:r>
          </w:p>
          <w:p>
            <w:pPr>
              <w:pStyle w:val="33"/>
              <w:keepNext w:val="0"/>
              <w:keepLines w:val="0"/>
              <w:widowControl w:val="0"/>
              <w:suppressLineNumbers w:val="0"/>
              <w:shd w:val="clear"/>
              <w:wordWrap w:val="0"/>
              <w:adjustRightInd w:val="0"/>
              <w:snapToGrid w:val="0"/>
              <w:spacing w:before="0" w:beforeAutospacing="0" w:after="0" w:afterAutospacing="0" w:line="240" w:lineRule="auto"/>
              <w:ind w:left="0" w:right="0" w:firstLine="0" w:firstLineChars="0"/>
              <w:jc w:val="left"/>
              <w:rPr>
                <w:rFonts w:hint="default"/>
                <w:color w:val="000000" w:themeColor="text1"/>
                <w:highlight w:val="none"/>
                <w:lang w:val="en-US"/>
                <w14:textFill>
                  <w14:solidFill>
                    <w14:schemeClr w14:val="tx1"/>
                  </w14:solidFill>
                </w14:textFill>
              </w:rPr>
            </w:pP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w:t>
            </w: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2</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）具有检测员岗位证或检测鉴定培训合格证的，每人得</w:t>
            </w: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0.5</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分，本小项最多得</w:t>
            </w:r>
            <w:r>
              <w:rPr>
                <w:rFonts w:hint="eastAsia" w:cs="Times New Roman"/>
                <w:snapToGrid/>
                <w:color w:val="000000" w:themeColor="text1"/>
                <w:kern w:val="2"/>
                <w:sz w:val="22"/>
                <w:szCs w:val="22"/>
                <w:highlight w:val="none"/>
                <w:lang w:val="en-US" w:eastAsia="zh-CN" w:bidi="ar"/>
                <w14:textFill>
                  <w14:solidFill>
                    <w14:schemeClr w14:val="tx1"/>
                  </w14:solidFill>
                </w14:textFill>
              </w:rPr>
              <w:t>4</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分；</w:t>
            </w:r>
          </w:p>
          <w:p>
            <w:pPr>
              <w:keepNext w:val="0"/>
              <w:keepLines w:val="0"/>
              <w:widowControl/>
              <w:suppressLineNumbers w:val="0"/>
              <w:shd w:val="clear"/>
              <w:spacing w:before="0" w:beforeAutospacing="0" w:after="0" w:afterAutospacing="0"/>
              <w:ind w:left="0" w:right="0"/>
              <w:jc w:val="left"/>
              <w:rPr>
                <w:rFonts w:hint="default"/>
                <w:color w:val="000000" w:themeColor="text1"/>
                <w:highlight w:val="none"/>
                <w14:textFill>
                  <w14:solidFill>
                    <w14:schemeClr w14:val="tx1"/>
                  </w14:solidFill>
                </w14:textFill>
              </w:rPr>
            </w:pP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本项最高得10分。（每个人员只按最高级别职称计分）</w:t>
            </w:r>
          </w:p>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741" w:type="dxa"/>
            <w:vMerge w:val="restart"/>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r>
              <w:rPr>
                <w:rFonts w:hint="default" w:ascii="宋体" w:hAnsi="宋体" w:cs="宋体"/>
                <w:color w:val="000000" w:themeColor="text1"/>
                <w:szCs w:val="21"/>
                <w:highlight w:val="none"/>
                <w:lang w:bidi="ar"/>
                <w14:textFill>
                  <w14:solidFill>
                    <w14:schemeClr w14:val="tx1"/>
                  </w14:solidFill>
                </w14:textFill>
              </w:rPr>
              <w:t>2.2.4</w:t>
            </w:r>
          </w:p>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w:t>
            </w:r>
            <w:r>
              <w:rPr>
                <w:rFonts w:hint="default" w:ascii="宋体" w:hAnsi="宋体" w:cs="宋体"/>
                <w:color w:val="000000" w:themeColor="text1"/>
                <w:szCs w:val="21"/>
                <w:highlight w:val="none"/>
                <w:lang w:bidi="ar"/>
                <w14:textFill>
                  <w14:solidFill>
                    <w14:schemeClr w14:val="tx1"/>
                  </w14:solidFill>
                </w14:textFill>
              </w:rPr>
              <w:t>2）</w:t>
            </w:r>
          </w:p>
        </w:tc>
        <w:tc>
          <w:tcPr>
            <w:tcW w:w="1084" w:type="dxa"/>
            <w:vMerge w:val="restart"/>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方案部分评分标准</w:t>
            </w:r>
          </w:p>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w:t>
            </w:r>
            <w:r>
              <w:rPr>
                <w:rFonts w:hint="eastAsia" w:ascii="宋体" w:hAnsi="宋体" w:cs="宋体"/>
                <w:color w:val="000000" w:themeColor="text1"/>
                <w:szCs w:val="21"/>
                <w:highlight w:val="none"/>
                <w:lang w:val="en-US" w:eastAsia="zh-CN" w:bidi="ar"/>
                <w14:textFill>
                  <w14:solidFill>
                    <w14:schemeClr w14:val="tx1"/>
                  </w14:solidFill>
                </w14:textFill>
              </w:rPr>
              <w:t>2</w:t>
            </w:r>
            <w:r>
              <w:rPr>
                <w:rFonts w:hint="default" w:ascii="宋体" w:hAnsi="宋体" w:cs="宋体"/>
                <w:color w:val="000000" w:themeColor="text1"/>
                <w:szCs w:val="21"/>
                <w:highlight w:val="none"/>
                <w:lang w:bidi="ar"/>
                <w14:textFill>
                  <w14:solidFill>
                    <w14:schemeClr w14:val="tx1"/>
                  </w14:solidFill>
                </w14:textFill>
              </w:rPr>
              <w:t>0分）</w:t>
            </w:r>
          </w:p>
        </w:tc>
        <w:tc>
          <w:tcPr>
            <w:tcW w:w="1200" w:type="dxa"/>
            <w:vAlign w:val="center"/>
          </w:tcPr>
          <w:p>
            <w:pPr>
              <w:pStyle w:val="33"/>
              <w:keepNext w:val="0"/>
              <w:keepLines w:val="0"/>
              <w:widowControl w:val="0"/>
              <w:suppressLineNumbers w:val="0"/>
              <w:shd w:val="clear"/>
              <w:wordWrap w:val="0"/>
              <w:adjustRightInd w:val="0"/>
              <w:snapToGrid w:val="0"/>
              <w:spacing w:before="0" w:beforeAutospacing="0" w:after="0" w:afterAutospacing="0" w:line="240" w:lineRule="auto"/>
              <w:ind w:left="0" w:leftChars="0" w:right="0" w:rightChars="0" w:firstLine="0" w:firstLineChars="0"/>
              <w:jc w:val="left"/>
              <w:rPr>
                <w:rFonts w:hint="default" w:ascii="宋体" w:hAnsi="宋体" w:cs="宋体"/>
                <w:color w:val="000000" w:themeColor="text1"/>
                <w:szCs w:val="21"/>
                <w:highlight w:val="none"/>
                <w:lang w:bidi="ar"/>
                <w14:textFill>
                  <w14:solidFill>
                    <w14:schemeClr w14:val="tx1"/>
                  </w14:solidFill>
                </w14:textFill>
              </w:rPr>
            </w:pPr>
            <w:r>
              <w:rPr>
                <w:rFonts w:hint="eastAsia" w:ascii="宋体" w:hAnsi="宋体" w:eastAsia="宋体" w:cs="Times New Roman"/>
                <w:snapToGrid/>
                <w:color w:val="000000" w:themeColor="text1"/>
                <w:kern w:val="0"/>
                <w:sz w:val="22"/>
                <w:szCs w:val="22"/>
                <w:highlight w:val="none"/>
                <w:lang w:val="en-US" w:eastAsia="zh-CN" w:bidi="ar"/>
                <w14:textFill>
                  <w14:solidFill>
                    <w14:schemeClr w14:val="tx1"/>
                  </w14:solidFill>
                </w14:textFill>
              </w:rPr>
              <w:t>拟投入的检测设备（5分）</w:t>
            </w:r>
          </w:p>
        </w:tc>
        <w:tc>
          <w:tcPr>
            <w:tcW w:w="6100" w:type="dxa"/>
            <w:vAlign w:val="center"/>
          </w:tcPr>
          <w:p>
            <w:pPr>
              <w:pStyle w:val="33"/>
              <w:keepNext w:val="0"/>
              <w:keepLines w:val="0"/>
              <w:widowControl w:val="0"/>
              <w:suppressLineNumbers w:val="0"/>
              <w:shd w:val="clear"/>
              <w:wordWrap w:val="0"/>
              <w:adjustRightInd w:val="0"/>
              <w:snapToGrid w:val="0"/>
              <w:spacing w:before="0" w:beforeAutospacing="0" w:after="0" w:afterAutospacing="0" w:line="240" w:lineRule="auto"/>
              <w:ind w:left="0" w:right="0" w:firstLine="0" w:firstLineChars="0"/>
              <w:jc w:val="left"/>
              <w:rPr>
                <w:rFonts w:hint="default"/>
                <w:color w:val="000000" w:themeColor="text1"/>
                <w:highlight w:val="none"/>
                <w:lang w:val="en-US"/>
                <w14:textFill>
                  <w14:solidFill>
                    <w14:schemeClr w14:val="tx1"/>
                  </w14:solidFill>
                </w14:textFill>
              </w:rPr>
            </w:pP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根据投标人拟投入的设备（设备要求详见第五章委托人要求中《拟投入本项目的检测、监测设备要求表》）：</w:t>
            </w:r>
          </w:p>
          <w:p>
            <w:pPr>
              <w:pStyle w:val="33"/>
              <w:keepNext w:val="0"/>
              <w:keepLines w:val="0"/>
              <w:widowControl w:val="0"/>
              <w:suppressLineNumbers w:val="0"/>
              <w:shd w:val="clear"/>
              <w:wordWrap w:val="0"/>
              <w:adjustRightInd w:val="0"/>
              <w:snapToGrid w:val="0"/>
              <w:spacing w:before="0" w:beforeAutospacing="0" w:after="0" w:afterAutospacing="0" w:line="240" w:lineRule="auto"/>
              <w:ind w:left="0" w:right="0" w:firstLine="0" w:firstLineChars="0"/>
              <w:jc w:val="left"/>
              <w:rPr>
                <w:rFonts w:hint="default"/>
                <w:color w:val="000000" w:themeColor="text1"/>
                <w:highlight w:val="none"/>
                <w:lang w:val="en-US"/>
                <w14:textFill>
                  <w14:solidFill>
                    <w14:schemeClr w14:val="tx1"/>
                  </w14:solidFill>
                </w14:textFill>
              </w:rPr>
            </w:pP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1.</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拟投入表中全部设备，满足检测和工期需要，设备为自有（或租赁），具备检定校准证书且年检合格，得</w:t>
            </w: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5</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分；</w:t>
            </w:r>
          </w:p>
          <w:p>
            <w:pPr>
              <w:pStyle w:val="33"/>
              <w:keepNext w:val="0"/>
              <w:keepLines w:val="0"/>
              <w:widowControl w:val="0"/>
              <w:suppressLineNumbers w:val="0"/>
              <w:shd w:val="clear"/>
              <w:wordWrap w:val="0"/>
              <w:adjustRightInd w:val="0"/>
              <w:snapToGrid w:val="0"/>
              <w:spacing w:before="0" w:beforeAutospacing="0" w:after="0" w:afterAutospacing="0" w:line="240" w:lineRule="auto"/>
              <w:ind w:left="0" w:leftChars="0" w:right="0" w:rightChars="0" w:firstLine="0" w:firstLineChars="0"/>
              <w:jc w:val="left"/>
              <w:rPr>
                <w:rFonts w:hint="default" w:ascii="宋体" w:hAnsi="宋体" w:cs="宋体"/>
                <w:color w:val="000000" w:themeColor="text1"/>
                <w:szCs w:val="21"/>
                <w:highlight w:val="none"/>
                <w:lang w:bidi="ar"/>
                <w14:textFill>
                  <w14:solidFill>
                    <w14:schemeClr w14:val="tx1"/>
                  </w14:solidFill>
                </w14:textFill>
              </w:rPr>
            </w:pP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2.</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每少</w:t>
            </w: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1</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类设备，则扣</w:t>
            </w:r>
            <w:r>
              <w:rPr>
                <w:rFonts w:hint="eastAsia" w:ascii="宋体" w:hAnsi="宋体" w:eastAsia="宋体" w:cs="Times New Roman"/>
                <w:snapToGrid/>
                <w:color w:val="000000" w:themeColor="text1"/>
                <w:kern w:val="2"/>
                <w:sz w:val="22"/>
                <w:szCs w:val="22"/>
                <w:highlight w:val="none"/>
                <w:lang w:val="en-US" w:eastAsia="zh-CN" w:bidi="ar"/>
                <w14:textFill>
                  <w14:solidFill>
                    <w14:schemeClr w14:val="tx1"/>
                  </w14:solidFill>
                </w14:textFill>
              </w:rPr>
              <w:t>1</w:t>
            </w:r>
            <w:r>
              <w:rPr>
                <w:rFonts w:hint="eastAsia" w:ascii="宋体" w:hAnsi="宋体" w:eastAsia="宋体" w:cs="Times New Roman"/>
                <w:snapToGrid w:val="0"/>
                <w:color w:val="000000" w:themeColor="text1"/>
                <w:kern w:val="2"/>
                <w:sz w:val="22"/>
                <w:szCs w:val="22"/>
                <w:highlight w:val="none"/>
                <w:lang w:val="en-US" w:eastAsia="zh-CN" w:bidi="ar"/>
                <w14:textFill>
                  <w14:solidFill>
                    <w14:schemeClr w14:val="tx1"/>
                  </w14:solidFill>
                </w14:textFill>
              </w:rPr>
              <w:t>分，扣完为止。不提供或不符合不得分。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8" w:hRule="atLeast"/>
          <w:jc w:val="center"/>
        </w:trPr>
        <w:tc>
          <w:tcPr>
            <w:tcW w:w="741" w:type="dxa"/>
            <w:vMerge w:val="continue"/>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p>
        </w:tc>
        <w:tc>
          <w:tcPr>
            <w:tcW w:w="1084" w:type="dxa"/>
            <w:vMerge w:val="continue"/>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p>
        </w:tc>
        <w:tc>
          <w:tcPr>
            <w:tcW w:w="1200" w:type="dxa"/>
            <w:vAlign w:val="center"/>
          </w:tcPr>
          <w:p>
            <w:pPr>
              <w:pStyle w:val="33"/>
              <w:keepNext w:val="0"/>
              <w:keepLines w:val="0"/>
              <w:widowControl w:val="0"/>
              <w:suppressLineNumbers w:val="0"/>
              <w:shd w:val="clear"/>
              <w:wordWrap w:val="0"/>
              <w:adjustRightInd w:val="0"/>
              <w:snapToGrid w:val="0"/>
              <w:spacing w:before="0" w:beforeAutospacing="0" w:after="0" w:afterAutospacing="0" w:line="240" w:lineRule="auto"/>
              <w:ind w:left="0" w:leftChars="0" w:right="0" w:rightChars="0" w:firstLine="0" w:firstLineChars="0"/>
              <w:jc w:val="left"/>
              <w:rPr>
                <w:rFonts w:hint="default" w:ascii="宋体" w:hAnsi="宋体" w:cs="宋体"/>
                <w:color w:val="000000" w:themeColor="text1"/>
                <w:szCs w:val="21"/>
                <w:highlight w:val="none"/>
                <w:lang w:bidi="ar"/>
                <w14:textFill>
                  <w14:solidFill>
                    <w14:schemeClr w14:val="tx1"/>
                  </w14:solidFill>
                </w14:textFill>
              </w:rPr>
            </w:pPr>
            <w:r>
              <w:rPr>
                <w:rFonts w:hint="eastAsia" w:ascii="宋体" w:hAnsi="宋体" w:eastAsia="宋体" w:cs="Times New Roman"/>
                <w:snapToGrid/>
                <w:color w:val="000000" w:themeColor="text1"/>
                <w:kern w:val="0"/>
                <w:sz w:val="22"/>
                <w:szCs w:val="22"/>
                <w:highlight w:val="none"/>
                <w:lang w:val="en-US" w:eastAsia="zh-CN" w:bidi="ar"/>
                <w14:textFill>
                  <w14:solidFill>
                    <w14:schemeClr w14:val="tx1"/>
                  </w14:solidFill>
                </w14:textFill>
              </w:rPr>
              <w:t>检测或监测方案纲要（15分）</w:t>
            </w:r>
          </w:p>
        </w:tc>
        <w:tc>
          <w:tcPr>
            <w:tcW w:w="6100" w:type="dxa"/>
            <w:vAlign w:val="center"/>
          </w:tcPr>
          <w:p>
            <w:pPr>
              <w:pStyle w:val="33"/>
              <w:keepNext w:val="0"/>
              <w:keepLines w:val="0"/>
              <w:widowControl/>
              <w:suppressLineNumbers w:val="0"/>
              <w:shd w:val="clear"/>
              <w:wordWrap w:val="0"/>
              <w:adjustRightInd/>
              <w:snapToGrid/>
              <w:spacing w:before="0" w:beforeAutospacing="0" w:after="0" w:afterAutospacing="0" w:line="240" w:lineRule="auto"/>
              <w:ind w:left="0" w:right="0" w:firstLine="0" w:firstLineChars="0"/>
              <w:jc w:val="left"/>
              <w:rPr>
                <w:rFonts w:hint="default"/>
                <w:color w:val="000000" w:themeColor="text1"/>
                <w:kern w:val="0"/>
                <w:highlight w:val="none"/>
                <w:lang w:val="en-US"/>
                <w14:textFill>
                  <w14:solidFill>
                    <w14:schemeClr w14:val="tx1"/>
                  </w14:solidFill>
                </w14:textFill>
              </w:rPr>
            </w:pPr>
            <w:r>
              <w:rPr>
                <w:rFonts w:hint="eastAsia" w:ascii="宋体" w:hAnsi="宋体" w:eastAsia="宋体" w:cs="Times New Roman"/>
                <w:snapToGrid/>
                <w:color w:val="000000" w:themeColor="text1"/>
                <w:kern w:val="0"/>
                <w:sz w:val="22"/>
                <w:szCs w:val="22"/>
                <w:highlight w:val="none"/>
                <w:lang w:val="en-US" w:eastAsia="zh-CN" w:bidi="ar"/>
                <w14:textFill>
                  <w14:solidFill>
                    <w14:schemeClr w14:val="tx1"/>
                  </w14:solidFill>
                </w14:textFill>
              </w:rPr>
              <w:t>1.优：检测或监测方案详细、具体，内容齐全，方法合理可行，能满足本工程提出的所有项目，有合理可行的保证通过相关验收、满足工程进度、质量和安全确保措施，得15分；</w:t>
            </w:r>
          </w:p>
          <w:p>
            <w:pPr>
              <w:pStyle w:val="33"/>
              <w:keepNext w:val="0"/>
              <w:keepLines w:val="0"/>
              <w:widowControl/>
              <w:suppressLineNumbers w:val="0"/>
              <w:shd w:val="clear"/>
              <w:wordWrap w:val="0"/>
              <w:adjustRightInd/>
              <w:snapToGrid/>
              <w:spacing w:before="0" w:beforeAutospacing="0" w:after="0" w:afterAutospacing="0" w:line="240" w:lineRule="auto"/>
              <w:ind w:left="0" w:right="0" w:firstLine="0" w:firstLineChars="0"/>
              <w:jc w:val="left"/>
              <w:rPr>
                <w:rFonts w:hint="default"/>
                <w:color w:val="000000" w:themeColor="text1"/>
                <w:kern w:val="0"/>
                <w:highlight w:val="none"/>
                <w:lang w:val="en-US"/>
                <w14:textFill>
                  <w14:solidFill>
                    <w14:schemeClr w14:val="tx1"/>
                  </w14:solidFill>
                </w14:textFill>
              </w:rPr>
            </w:pPr>
            <w:r>
              <w:rPr>
                <w:rFonts w:hint="eastAsia" w:ascii="宋体" w:hAnsi="宋体" w:eastAsia="宋体" w:cs="Times New Roman"/>
                <w:snapToGrid/>
                <w:color w:val="000000" w:themeColor="text1"/>
                <w:kern w:val="0"/>
                <w:sz w:val="22"/>
                <w:szCs w:val="22"/>
                <w:highlight w:val="none"/>
                <w:lang w:val="en-US" w:eastAsia="zh-CN" w:bidi="ar"/>
                <w14:textFill>
                  <w14:solidFill>
                    <w14:schemeClr w14:val="tx1"/>
                  </w14:solidFill>
                </w14:textFill>
              </w:rPr>
              <w:t>2.良：检测或监测方案较详细、较具体，内容较齐全，方法较合理可行，有比较可行的保证通过相关验收、满足工程进度、质量和安全确保措施，得10分；</w:t>
            </w:r>
          </w:p>
          <w:p>
            <w:pPr>
              <w:pStyle w:val="33"/>
              <w:keepNext w:val="0"/>
              <w:keepLines w:val="0"/>
              <w:widowControl/>
              <w:suppressLineNumbers w:val="0"/>
              <w:shd w:val="clear"/>
              <w:wordWrap w:val="0"/>
              <w:adjustRightInd/>
              <w:snapToGrid/>
              <w:spacing w:before="0" w:beforeAutospacing="0" w:after="0" w:afterAutospacing="0" w:line="240" w:lineRule="auto"/>
              <w:ind w:left="0" w:right="0" w:firstLine="0" w:firstLineChars="0"/>
              <w:jc w:val="left"/>
              <w:rPr>
                <w:rFonts w:hint="default"/>
                <w:color w:val="000000" w:themeColor="text1"/>
                <w:kern w:val="0"/>
                <w:highlight w:val="none"/>
                <w:lang w:val="en-US"/>
                <w14:textFill>
                  <w14:solidFill>
                    <w14:schemeClr w14:val="tx1"/>
                  </w14:solidFill>
                </w14:textFill>
              </w:rPr>
            </w:pPr>
            <w:r>
              <w:rPr>
                <w:rFonts w:hint="eastAsia" w:ascii="宋体" w:hAnsi="宋体" w:eastAsia="宋体" w:cs="Times New Roman"/>
                <w:snapToGrid/>
                <w:color w:val="000000" w:themeColor="text1"/>
                <w:kern w:val="0"/>
                <w:sz w:val="22"/>
                <w:szCs w:val="22"/>
                <w:highlight w:val="none"/>
                <w:lang w:val="en-US" w:eastAsia="zh-CN" w:bidi="ar"/>
                <w14:textFill>
                  <w14:solidFill>
                    <w14:schemeClr w14:val="tx1"/>
                  </w14:solidFill>
                </w14:textFill>
              </w:rPr>
              <w:t>3.中：检测或监测方案基本内容满足要求，方法符合规范要求，有能通过相关验收、满足工程进度、质量和安全的确保措施，得5分；</w:t>
            </w:r>
          </w:p>
          <w:p>
            <w:pPr>
              <w:pStyle w:val="33"/>
              <w:keepNext w:val="0"/>
              <w:keepLines w:val="0"/>
              <w:widowControl/>
              <w:suppressLineNumbers w:val="0"/>
              <w:shd w:val="clear"/>
              <w:wordWrap w:val="0"/>
              <w:adjustRightInd/>
              <w:snapToGrid/>
              <w:spacing w:before="0" w:beforeAutospacing="0" w:after="0" w:afterAutospacing="0" w:line="240" w:lineRule="auto"/>
              <w:ind w:left="0" w:leftChars="0" w:right="0" w:rightChars="0" w:firstLine="0" w:firstLineChars="0"/>
              <w:jc w:val="left"/>
              <w:rPr>
                <w:rFonts w:hint="default" w:ascii="宋体" w:hAnsi="宋体" w:cs="宋体"/>
                <w:color w:val="000000" w:themeColor="text1"/>
                <w:szCs w:val="21"/>
                <w:highlight w:val="none"/>
                <w:lang w:bidi="ar"/>
                <w14:textFill>
                  <w14:solidFill>
                    <w14:schemeClr w14:val="tx1"/>
                  </w14:solidFill>
                </w14:textFill>
              </w:rPr>
            </w:pPr>
            <w:r>
              <w:rPr>
                <w:rFonts w:hint="eastAsia" w:ascii="宋体" w:hAnsi="宋体" w:eastAsia="宋体" w:cs="Times New Roman"/>
                <w:snapToGrid/>
                <w:color w:val="000000" w:themeColor="text1"/>
                <w:kern w:val="0"/>
                <w:sz w:val="22"/>
                <w:szCs w:val="22"/>
                <w:highlight w:val="none"/>
                <w:lang w:val="en-US" w:eastAsia="zh-CN" w:bidi="ar"/>
                <w14:textFill>
                  <w14:solidFill>
                    <w14:schemeClr w14:val="tx1"/>
                  </w14:solidFill>
                </w14:textFill>
              </w:rPr>
              <w:t>4.差或未提供方案：得0分。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41" w:type="dxa"/>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r>
              <w:rPr>
                <w:rFonts w:hint="default" w:ascii="宋体" w:hAnsi="宋体" w:cs="宋体"/>
                <w:color w:val="000000" w:themeColor="text1"/>
                <w:szCs w:val="21"/>
                <w:highlight w:val="none"/>
                <w:lang w:bidi="ar"/>
                <w14:textFill>
                  <w14:solidFill>
                    <w14:schemeClr w14:val="tx1"/>
                  </w14:solidFill>
                </w14:textFill>
              </w:rPr>
              <w:t>2.2.4</w:t>
            </w:r>
          </w:p>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w:t>
            </w:r>
            <w:r>
              <w:rPr>
                <w:rFonts w:hint="default" w:ascii="宋体" w:hAnsi="宋体" w:cs="宋体"/>
                <w:color w:val="000000" w:themeColor="text1"/>
                <w:szCs w:val="21"/>
                <w:highlight w:val="none"/>
                <w:lang w:bidi="ar"/>
                <w14:textFill>
                  <w14:solidFill>
                    <w14:schemeClr w14:val="tx1"/>
                  </w14:solidFill>
                </w14:textFill>
              </w:rPr>
              <w:t>3）</w:t>
            </w:r>
          </w:p>
        </w:tc>
        <w:tc>
          <w:tcPr>
            <w:tcW w:w="1084" w:type="dxa"/>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报价得分评分标准（</w:t>
            </w:r>
            <w:r>
              <w:rPr>
                <w:rFonts w:hint="default" w:ascii="宋体" w:hAnsi="宋体" w:cs="宋体"/>
                <w:color w:val="000000" w:themeColor="text1"/>
                <w:szCs w:val="21"/>
                <w:highlight w:val="none"/>
                <w:lang w:bidi="ar"/>
                <w14:textFill>
                  <w14:solidFill>
                    <w14:schemeClr w14:val="tx1"/>
                  </w14:solidFill>
                </w14:textFill>
              </w:rPr>
              <w:t>10分）</w:t>
            </w:r>
          </w:p>
        </w:tc>
        <w:tc>
          <w:tcPr>
            <w:tcW w:w="7300" w:type="dxa"/>
            <w:gridSpan w:val="2"/>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1.以评标基准价作为计算各有效投标价得分的基础，当有效投标报价等于评标基准价时计算得分100分；投标有效报价与评标基准价之差，每上偏1%扣</w:t>
            </w:r>
            <w:r>
              <w:rPr>
                <w:rFonts w:hint="default" w:ascii="宋体" w:hAnsi="宋体" w:cs="宋体"/>
                <w:color w:val="000000" w:themeColor="text1"/>
                <w:szCs w:val="21"/>
                <w:highlight w:val="none"/>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t>分，每下偏1%扣</w:t>
            </w:r>
            <w:r>
              <w:rPr>
                <w:rFonts w:hint="default" w:ascii="宋体" w:hAnsi="宋体" w:cs="宋体"/>
                <w:color w:val="000000" w:themeColor="text1"/>
                <w:szCs w:val="21"/>
                <w:highlight w:val="non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分，最多扣至0分。</w:t>
            </w:r>
          </w:p>
          <w:p>
            <w:pPr>
              <w:keepNext w:val="0"/>
              <w:keepLines w:val="0"/>
              <w:suppressLineNumbers w:val="0"/>
              <w:shd w:val="clear"/>
              <w:spacing w:before="0" w:beforeAutospacing="0" w:after="0" w:afterAutospacing="0"/>
              <w:ind w:left="0" w:right="0"/>
              <w:jc w:val="left"/>
              <w:rPr>
                <w:rFonts w:hint="default"/>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2.投标人报价得分=报价计算得分×1</w:t>
            </w:r>
            <w:r>
              <w:rPr>
                <w:rFonts w:hint="default" w:ascii="宋体" w:hAnsi="宋体" w:cs="宋体"/>
                <w:color w:val="000000" w:themeColor="text1"/>
                <w:szCs w:val="21"/>
                <w:highlight w:val="none"/>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%，得出投标报价得分，精确到小数点后两位。</w:t>
            </w:r>
          </w:p>
        </w:tc>
      </w:tr>
    </w:tbl>
    <w:p>
      <w:pPr>
        <w:shd w:val="clear"/>
        <w:spacing w:line="276"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说明：</w:t>
      </w:r>
    </w:p>
    <w:p>
      <w:pPr>
        <w:keepNext w:val="0"/>
        <w:keepLines w:val="0"/>
        <w:widowControl w:val="0"/>
        <w:suppressLineNumbers w:val="0"/>
        <w:shd w:val="clear"/>
        <w:wordWrap w:val="0"/>
        <w:adjustRightInd w:val="0"/>
        <w:snapToGrid w:val="0"/>
        <w:spacing w:before="0" w:beforeAutospacing="0" w:after="0" w:afterAutospacing="0" w:line="288" w:lineRule="auto"/>
        <w:ind w:left="0" w:right="0" w:firstLine="440" w:firstLineChars="200"/>
        <w:jc w:val="both"/>
        <w:rPr>
          <w:rFonts w:cs="宋体"/>
          <w:color w:val="000000" w:themeColor="text1"/>
          <w:sz w:val="22"/>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2"/>
          <w:szCs w:val="21"/>
          <w:highlight w:val="none"/>
          <w:lang w:val="en-US" w:eastAsia="zh-CN" w:bidi="ar"/>
          <w14:textFill>
            <w14:solidFill>
              <w14:schemeClr w14:val="tx1"/>
            </w14:solidFill>
          </w14:textFill>
        </w:rPr>
        <w:t>1、类似项目业绩：是指包含本次招标内容中的一项或多项的建设工程质量检测或监测类业绩，需同时提供中标通知书（或免招标证明）扫描件、技术服务合同证明材料扫描件，业绩时间以合同签订时间为准、金额以中标通知书为准（其中免招标的项目以技术服务合同为准）。</w:t>
      </w:r>
    </w:p>
    <w:p>
      <w:pPr>
        <w:keepNext w:val="0"/>
        <w:keepLines w:val="0"/>
        <w:widowControl w:val="0"/>
        <w:suppressLineNumbers w:val="0"/>
        <w:shd w:val="clear"/>
        <w:wordWrap w:val="0"/>
        <w:adjustRightInd w:val="0"/>
        <w:snapToGrid w:val="0"/>
        <w:spacing w:before="0" w:beforeAutospacing="0" w:after="0" w:afterAutospacing="0" w:line="288" w:lineRule="auto"/>
        <w:ind w:left="0" w:right="0" w:firstLine="440" w:firstLineChars="200"/>
        <w:jc w:val="both"/>
        <w:rPr>
          <w:rFonts w:cs="宋体"/>
          <w:color w:val="000000" w:themeColor="text1"/>
          <w:sz w:val="22"/>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2"/>
          <w:szCs w:val="21"/>
          <w:highlight w:val="none"/>
          <w:lang w:val="en-US" w:eastAsia="zh-CN" w:bidi="ar"/>
          <w14:textFill>
            <w14:solidFill>
              <w14:schemeClr w14:val="tx1"/>
            </w14:solidFill>
          </w14:textFill>
        </w:rPr>
        <w:t>2、企业综合实力评价：</w:t>
      </w:r>
    </w:p>
    <w:p>
      <w:pPr>
        <w:keepNext w:val="0"/>
        <w:keepLines w:val="0"/>
        <w:widowControl w:val="0"/>
        <w:suppressLineNumbers w:val="0"/>
        <w:shd w:val="clear"/>
        <w:wordWrap w:val="0"/>
        <w:adjustRightInd w:val="0"/>
        <w:snapToGrid w:val="0"/>
        <w:spacing w:before="0" w:beforeAutospacing="0" w:after="0" w:afterAutospacing="0" w:line="288" w:lineRule="auto"/>
        <w:ind w:left="0" w:right="0" w:firstLine="440" w:firstLineChars="200"/>
        <w:jc w:val="both"/>
        <w:rPr>
          <w:rFonts w:cs="宋体"/>
          <w:color w:val="000000" w:themeColor="text1"/>
          <w:sz w:val="22"/>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2"/>
          <w:szCs w:val="21"/>
          <w:highlight w:val="none"/>
          <w:lang w:val="en-US" w:eastAsia="zh-CN" w:bidi="ar"/>
          <w14:textFill>
            <w14:solidFill>
              <w14:schemeClr w14:val="tx1"/>
            </w14:solidFill>
          </w14:textFill>
        </w:rPr>
        <w:t>2.1检验机构证书和实验室认可证书：须提供相关证书的清晰扫描件。</w:t>
      </w:r>
    </w:p>
    <w:p>
      <w:pPr>
        <w:keepNext w:val="0"/>
        <w:keepLines w:val="0"/>
        <w:widowControl w:val="0"/>
        <w:suppressLineNumbers w:val="0"/>
        <w:shd w:val="clear"/>
        <w:wordWrap w:val="0"/>
        <w:adjustRightInd w:val="0"/>
        <w:snapToGrid w:val="0"/>
        <w:spacing w:before="0" w:beforeAutospacing="0" w:after="0" w:afterAutospacing="0" w:line="288" w:lineRule="auto"/>
        <w:ind w:left="0" w:right="0" w:firstLine="440" w:firstLineChars="200"/>
        <w:jc w:val="both"/>
        <w:rPr>
          <w:rFonts w:cs="宋体"/>
          <w:color w:val="000000" w:themeColor="text1"/>
          <w:sz w:val="22"/>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2"/>
          <w:szCs w:val="21"/>
          <w:highlight w:val="none"/>
          <w:lang w:val="en-US" w:eastAsia="zh-CN" w:bidi="ar"/>
          <w14:textFill>
            <w14:solidFill>
              <w14:schemeClr w14:val="tx1"/>
            </w14:solidFill>
          </w14:textFill>
        </w:rPr>
        <w:t>2.2管理体系认证证书：须提供相关证书的清晰扫描件，没有提供的不得分。</w:t>
      </w:r>
    </w:p>
    <w:p>
      <w:pPr>
        <w:keepNext w:val="0"/>
        <w:keepLines w:val="0"/>
        <w:widowControl w:val="0"/>
        <w:suppressLineNumbers w:val="0"/>
        <w:shd w:val="clear"/>
        <w:wordWrap w:val="0"/>
        <w:adjustRightInd w:val="0"/>
        <w:snapToGrid w:val="0"/>
        <w:spacing w:before="0" w:beforeAutospacing="0" w:after="0" w:afterAutospacing="0" w:line="288" w:lineRule="auto"/>
        <w:ind w:left="0" w:right="0" w:firstLine="440" w:firstLineChars="200"/>
        <w:jc w:val="both"/>
        <w:rPr>
          <w:rFonts w:cs="宋体"/>
          <w:color w:val="000000" w:themeColor="text1"/>
          <w:sz w:val="22"/>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2"/>
          <w:szCs w:val="21"/>
          <w:highlight w:val="none"/>
          <w:lang w:val="en-US" w:eastAsia="zh-CN" w:bidi="ar"/>
          <w14:textFill>
            <w14:solidFill>
              <w14:schemeClr w14:val="tx1"/>
            </w14:solidFill>
          </w14:textFill>
        </w:rPr>
        <w:t>2.3信用等级评价：以省级或以上协会颁发的证书且在有效期内的为准。提供证书颁发协会在“中国社会组织公共服务平台”登记的网页查询截图，以中国社会组织政务服务平台网站（https://chinanpo.mca.gov.cn/）-全国社会组织信用信息公示平台（https://xxgs.chinanpo.mca.gov.cn/gsxt/newList）查询结果为准，企业获评等级级别判定以评价证书颁发协会相关评价办法为准，需提供评价证书颁发协会官方网站发布评价办法的网页链接或评价办法官方红头文件扫描件。否则不予计分。获奖单位必须与投标单位名称一致，子、分公司均不计算在内。</w:t>
      </w:r>
    </w:p>
    <w:p>
      <w:pPr>
        <w:keepNext w:val="0"/>
        <w:keepLines w:val="0"/>
        <w:widowControl w:val="0"/>
        <w:suppressLineNumbers w:val="0"/>
        <w:shd w:val="clear"/>
        <w:wordWrap w:val="0"/>
        <w:adjustRightInd w:val="0"/>
        <w:snapToGrid w:val="0"/>
        <w:spacing w:before="0" w:beforeAutospacing="0" w:after="0" w:afterAutospacing="0" w:line="288" w:lineRule="auto"/>
        <w:ind w:left="0" w:right="0" w:firstLine="440" w:firstLineChars="200"/>
        <w:jc w:val="both"/>
        <w:rPr>
          <w:rFonts w:cs="宋体"/>
          <w:color w:val="000000" w:themeColor="text1"/>
          <w:sz w:val="22"/>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2"/>
          <w:szCs w:val="21"/>
          <w:highlight w:val="none"/>
          <w:lang w:val="en-US" w:eastAsia="zh-CN" w:bidi="ar"/>
          <w14:textFill>
            <w14:solidFill>
              <w14:schemeClr w14:val="tx1"/>
            </w14:solidFill>
          </w14:textFill>
        </w:rPr>
        <w:t>2.4工程技术研究中心或实验室称号：以省级或以上行政主管部门认定的为准，在上述官网网站的有效查询路径及查询结果网页截图（不符合条件或未提交截图的不计分）并加盖投标人电子公章。未提供上述资料或不符合要求的不得分。</w:t>
      </w:r>
    </w:p>
    <w:p>
      <w:pPr>
        <w:keepNext w:val="0"/>
        <w:keepLines w:val="0"/>
        <w:widowControl w:val="0"/>
        <w:suppressLineNumbers w:val="0"/>
        <w:shd w:val="clear"/>
        <w:wordWrap w:val="0"/>
        <w:adjustRightInd w:val="0"/>
        <w:snapToGrid w:val="0"/>
        <w:spacing w:before="0" w:beforeAutospacing="0" w:after="0" w:afterAutospacing="0" w:line="288" w:lineRule="auto"/>
        <w:ind w:left="0" w:right="0" w:firstLine="440" w:firstLineChars="200"/>
        <w:jc w:val="both"/>
        <w:rPr>
          <w:rFonts w:cs="宋体"/>
          <w:color w:val="000000" w:themeColor="text1"/>
          <w:sz w:val="22"/>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2"/>
          <w:szCs w:val="21"/>
          <w:highlight w:val="none"/>
          <w:lang w:val="en-US" w:eastAsia="zh-CN" w:bidi="ar"/>
          <w14:textFill>
            <w14:solidFill>
              <w14:schemeClr w14:val="tx1"/>
            </w14:solidFill>
          </w14:textFill>
        </w:rPr>
        <w:t>2.5科学技术</w:t>
      </w:r>
      <w:r>
        <w:rPr>
          <w:rFonts w:hint="eastAsia" w:ascii="宋体" w:hAnsi="宋体" w:cs="宋体"/>
          <w:snapToGrid/>
          <w:color w:val="000000" w:themeColor="text1"/>
          <w:kern w:val="2"/>
          <w:sz w:val="22"/>
          <w:szCs w:val="21"/>
          <w:highlight w:val="none"/>
          <w:lang w:val="en-US" w:eastAsia="zh-CN" w:bidi="ar"/>
          <w14:textFill>
            <w14:solidFill>
              <w14:schemeClr w14:val="tx1"/>
            </w14:solidFill>
          </w14:textFill>
        </w:rPr>
        <w:t>奖励证书</w:t>
      </w:r>
      <w:r>
        <w:rPr>
          <w:rFonts w:hint="eastAsia" w:ascii="宋体" w:hAnsi="宋体" w:eastAsia="宋体" w:cs="宋体"/>
          <w:snapToGrid/>
          <w:color w:val="000000" w:themeColor="text1"/>
          <w:kern w:val="2"/>
          <w:sz w:val="22"/>
          <w:szCs w:val="21"/>
          <w:highlight w:val="none"/>
          <w:lang w:val="en-US" w:eastAsia="zh-CN" w:bidi="ar"/>
          <w14:textFill>
            <w14:solidFill>
              <w14:schemeClr w14:val="tx1"/>
            </w14:solidFill>
          </w14:textFill>
        </w:rPr>
        <w:t>：</w:t>
      </w:r>
      <w:r>
        <w:rPr>
          <w:rFonts w:hint="eastAsia" w:ascii="宋体" w:hAnsi="宋体" w:cs="宋体"/>
          <w:snapToGrid/>
          <w:color w:val="000000" w:themeColor="text1"/>
          <w:kern w:val="2"/>
          <w:sz w:val="22"/>
          <w:szCs w:val="21"/>
          <w:highlight w:val="none"/>
          <w:lang w:val="en-US" w:eastAsia="zh-CN" w:bidi="ar"/>
          <w14:textFill>
            <w14:solidFill>
              <w14:schemeClr w14:val="tx1"/>
            </w14:solidFill>
          </w14:textFill>
        </w:rPr>
        <w:t>包含</w:t>
      </w:r>
      <w:r>
        <w:rPr>
          <w:rFonts w:hint="eastAsia" w:ascii="宋体" w:hAnsi="宋体" w:eastAsia="宋体" w:cs="宋体"/>
          <w:snapToGrid/>
          <w:color w:val="000000" w:themeColor="text1"/>
          <w:kern w:val="2"/>
          <w:sz w:val="22"/>
          <w:szCs w:val="21"/>
          <w:highlight w:val="none"/>
          <w:lang w:val="en-US" w:eastAsia="zh-CN" w:bidi="ar"/>
          <w14:textFill>
            <w14:solidFill>
              <w14:schemeClr w14:val="tx1"/>
            </w14:solidFill>
          </w14:textFill>
        </w:rPr>
        <w:t>科学技术进步奖或科技进步奖或科学技术奖项</w:t>
      </w:r>
      <w:r>
        <w:rPr>
          <w:rFonts w:hint="eastAsia" w:ascii="宋体" w:hAnsi="宋体" w:cs="宋体"/>
          <w:snapToGrid/>
          <w:color w:val="000000" w:themeColor="text1"/>
          <w:kern w:val="2"/>
          <w:sz w:val="22"/>
          <w:szCs w:val="21"/>
          <w:highlight w:val="none"/>
          <w:lang w:val="en-US" w:eastAsia="zh-CN" w:bidi="ar"/>
          <w14:textFill>
            <w14:solidFill>
              <w14:schemeClr w14:val="tx1"/>
            </w14:solidFill>
          </w14:textFill>
        </w:rPr>
        <w:t>，</w:t>
      </w:r>
      <w:r>
        <w:rPr>
          <w:rFonts w:hint="eastAsia" w:ascii="宋体" w:hAnsi="宋体" w:eastAsia="宋体" w:cs="宋体"/>
          <w:snapToGrid/>
          <w:color w:val="000000" w:themeColor="text1"/>
          <w:kern w:val="2"/>
          <w:sz w:val="22"/>
          <w:szCs w:val="21"/>
          <w:highlight w:val="none"/>
          <w:lang w:val="en-US" w:eastAsia="zh-CN" w:bidi="ar"/>
          <w14:textFill>
            <w14:solidFill>
              <w14:schemeClr w14:val="tx1"/>
            </w14:solidFill>
          </w14:textFill>
        </w:rPr>
        <w:t>国家级证书须为中华人民共和国国务院颁发的为准，省级证书须为省级人民政府颁发的为准，个人奖项不得分。同一科技成果获得不同级别科学技术进步奖或科技进步奖或科学技术奖的按最高级别只计一次得分</w:t>
      </w:r>
      <w:r>
        <w:rPr>
          <w:rFonts w:hint="eastAsia" w:ascii="宋体" w:hAnsi="宋体" w:cs="宋体"/>
          <w:snapToGrid/>
          <w:color w:val="000000" w:themeColor="text1"/>
          <w:kern w:val="2"/>
          <w:sz w:val="22"/>
          <w:szCs w:val="21"/>
          <w:highlight w:val="none"/>
          <w:lang w:val="en-US" w:eastAsia="zh-CN" w:bidi="ar"/>
          <w14:textFill>
            <w14:solidFill>
              <w14:schemeClr w14:val="tx1"/>
            </w14:solidFill>
          </w14:textFill>
        </w:rPr>
        <w:t>；</w:t>
      </w:r>
      <w:r>
        <w:rPr>
          <w:rFonts w:hint="eastAsia" w:ascii="宋体" w:hAnsi="宋体" w:eastAsia="宋体" w:cs="宋体"/>
          <w:snapToGrid/>
          <w:color w:val="000000" w:themeColor="text1"/>
          <w:kern w:val="2"/>
          <w:sz w:val="22"/>
          <w:szCs w:val="21"/>
          <w:highlight w:val="none"/>
          <w:lang w:val="en-US" w:eastAsia="zh-CN" w:bidi="ar"/>
          <w14:textFill>
            <w14:solidFill>
              <w14:schemeClr w14:val="tx1"/>
            </w14:solidFill>
          </w14:textFill>
        </w:rPr>
        <w:t>只计算投标人自身（不含投标人的母公司或子公司）。需提供获奖证书原件清晰扫描件</w:t>
      </w:r>
      <w:r>
        <w:rPr>
          <w:rFonts w:hint="eastAsia" w:ascii="宋体" w:hAnsi="宋体" w:cs="宋体"/>
          <w:snapToGrid/>
          <w:color w:val="000000" w:themeColor="text1"/>
          <w:kern w:val="2"/>
          <w:sz w:val="22"/>
          <w:szCs w:val="21"/>
          <w:highlight w:val="none"/>
          <w:lang w:val="en-US" w:eastAsia="zh-CN" w:bidi="ar"/>
          <w14:textFill>
            <w14:solidFill>
              <w14:schemeClr w14:val="tx1"/>
            </w14:solidFill>
          </w14:textFill>
        </w:rPr>
        <w:t>。</w:t>
      </w:r>
    </w:p>
    <w:p>
      <w:pPr>
        <w:keepNext w:val="0"/>
        <w:keepLines w:val="0"/>
        <w:widowControl w:val="0"/>
        <w:suppressLineNumbers w:val="0"/>
        <w:shd w:val="clear"/>
        <w:wordWrap w:val="0"/>
        <w:adjustRightInd w:val="0"/>
        <w:snapToGrid w:val="0"/>
        <w:spacing w:before="0" w:beforeAutospacing="0" w:after="0" w:afterAutospacing="0" w:line="288" w:lineRule="auto"/>
        <w:ind w:left="0" w:right="0" w:firstLine="440" w:firstLineChars="200"/>
        <w:jc w:val="both"/>
        <w:rPr>
          <w:rFonts w:cs="宋体"/>
          <w:color w:val="000000" w:themeColor="text1"/>
          <w:sz w:val="22"/>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2"/>
          <w:szCs w:val="21"/>
          <w:highlight w:val="none"/>
          <w:lang w:val="en-US" w:eastAsia="zh-CN" w:bidi="ar"/>
          <w14:textFill>
            <w14:solidFill>
              <w14:schemeClr w14:val="tx1"/>
            </w14:solidFill>
          </w14:textFill>
        </w:rPr>
        <w:t>3.拟投入本项目人员的技术水平：拟投入本项目所有人员不可兼任，同一人满足多档要求仅按最高档计取一次得分。须提供身份证（若有）、职称证书（若有）、检测员证（若有）或合格证（若有）等扫描件，提供近1月（2025年</w:t>
      </w:r>
      <w:r>
        <w:rPr>
          <w:rFonts w:hint="eastAsia" w:ascii="宋体" w:hAnsi="宋体" w:cs="宋体"/>
          <w:snapToGrid/>
          <w:color w:val="000000" w:themeColor="text1"/>
          <w:kern w:val="2"/>
          <w:sz w:val="22"/>
          <w:szCs w:val="21"/>
          <w:highlight w:val="none"/>
          <w:lang w:val="en-US" w:eastAsia="zh-CN" w:bidi="ar"/>
          <w14:textFill>
            <w14:solidFill>
              <w14:schemeClr w14:val="tx1"/>
            </w14:solidFill>
          </w14:textFill>
        </w:rPr>
        <w:t>10</w:t>
      </w:r>
      <w:r>
        <w:rPr>
          <w:rFonts w:hint="eastAsia" w:ascii="宋体" w:hAnsi="宋体" w:eastAsia="宋体" w:cs="宋体"/>
          <w:snapToGrid/>
          <w:color w:val="000000" w:themeColor="text1"/>
          <w:kern w:val="2"/>
          <w:sz w:val="22"/>
          <w:szCs w:val="21"/>
          <w:highlight w:val="none"/>
          <w:lang w:val="en-US" w:eastAsia="zh-CN" w:bidi="ar"/>
          <w14:textFill>
            <w14:solidFill>
              <w14:schemeClr w14:val="tx1"/>
            </w14:solidFill>
          </w14:textFill>
        </w:rPr>
        <w:t>月）在本单位连续参保的社保缴纳证明材料，并加盖公章，否则不得分。</w:t>
      </w:r>
    </w:p>
    <w:p>
      <w:pPr>
        <w:keepNext w:val="0"/>
        <w:keepLines w:val="0"/>
        <w:widowControl w:val="0"/>
        <w:suppressLineNumbers w:val="0"/>
        <w:shd w:val="clear"/>
        <w:wordWrap w:val="0"/>
        <w:adjustRightInd w:val="0"/>
        <w:snapToGrid w:val="0"/>
        <w:spacing w:before="0" w:beforeAutospacing="0" w:after="0" w:afterAutospacing="0" w:line="288" w:lineRule="auto"/>
        <w:ind w:left="0" w:right="0" w:firstLine="440" w:firstLineChars="200"/>
        <w:jc w:val="both"/>
        <w:rPr>
          <w:rFonts w:cs="宋体"/>
          <w:color w:val="000000" w:themeColor="text1"/>
          <w:sz w:val="22"/>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2"/>
          <w:szCs w:val="21"/>
          <w:highlight w:val="none"/>
          <w:lang w:val="en-US" w:eastAsia="zh-CN" w:bidi="ar"/>
          <w14:textFill>
            <w14:solidFill>
              <w14:schemeClr w14:val="tx1"/>
            </w14:solidFill>
          </w14:textFill>
        </w:rPr>
        <w:t>4.拟投入的检测设备：①要求投标人同时提供发票（或租赁合同）和检定校准证书扫描件；②检定校准证书送检单位必须与投标人一致，否则不予认可。</w:t>
      </w:r>
    </w:p>
    <w:p>
      <w:pPr>
        <w:keepNext w:val="0"/>
        <w:keepLines w:val="0"/>
        <w:widowControl w:val="0"/>
        <w:suppressLineNumbers w:val="0"/>
        <w:shd w:val="clear"/>
        <w:wordWrap w:val="0"/>
        <w:adjustRightInd w:val="0"/>
        <w:snapToGrid w:val="0"/>
        <w:spacing w:before="0" w:beforeAutospacing="0" w:after="0" w:afterAutospacing="0" w:line="288" w:lineRule="auto"/>
        <w:ind w:left="0" w:right="0" w:firstLine="440" w:firstLineChars="200"/>
        <w:jc w:val="both"/>
        <w:rPr>
          <w:rFonts w:cs="宋体"/>
          <w:color w:val="000000" w:themeColor="text1"/>
          <w:sz w:val="22"/>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2"/>
          <w:szCs w:val="21"/>
          <w:highlight w:val="none"/>
          <w:lang w:val="en-US" w:eastAsia="zh-CN" w:bidi="ar"/>
          <w14:textFill>
            <w14:solidFill>
              <w14:schemeClr w14:val="tx1"/>
            </w14:solidFill>
          </w14:textFill>
        </w:rPr>
        <w:t>5.投标人的综合得分为所有评委评分的算术平均分（分数出现小数点时，保留小数点后二位，第三位小数四舍五入）。</w:t>
      </w:r>
    </w:p>
    <w:p>
      <w:pPr>
        <w:keepNext w:val="0"/>
        <w:keepLines w:val="0"/>
        <w:widowControl w:val="0"/>
        <w:suppressLineNumbers w:val="0"/>
        <w:shd w:val="clear"/>
        <w:wordWrap w:val="0"/>
        <w:adjustRightInd w:val="0"/>
        <w:snapToGrid w:val="0"/>
        <w:spacing w:before="0" w:beforeAutospacing="0" w:after="0" w:afterAutospacing="0" w:line="288" w:lineRule="auto"/>
        <w:ind w:left="0" w:right="0" w:firstLine="440" w:firstLineChars="200"/>
        <w:jc w:val="both"/>
        <w:rPr>
          <w:rFonts w:cs="宋体"/>
          <w:color w:val="000000" w:themeColor="text1"/>
          <w:sz w:val="22"/>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2"/>
          <w:szCs w:val="21"/>
          <w:highlight w:val="none"/>
          <w:lang w:val="en-US" w:eastAsia="zh-CN" w:bidi="ar"/>
          <w14:textFill>
            <w14:solidFill>
              <w14:schemeClr w14:val="tx1"/>
            </w14:solidFill>
          </w14:textFill>
        </w:rPr>
        <w:t>6、以上所附证书或证明文件均须提供网页截图（含网页打印件）或原件扫描件，投标人提供的网页截图（含网页打印件）或原件扫描件必须加盖投标人电子印章且内容必须清晰可辨，如因网页截图或原件扫描件内容模糊导致评标时无法判断的，后果由投标人自负。上述资料不提供或提供不完整或提供不符合要求的不得分。</w:t>
      </w:r>
    </w:p>
    <w:p>
      <w:pPr>
        <w:keepNext w:val="0"/>
        <w:keepLines w:val="0"/>
        <w:widowControl w:val="0"/>
        <w:suppressLineNumbers w:val="0"/>
        <w:shd w:val="clear"/>
        <w:wordWrap w:val="0"/>
        <w:adjustRightInd w:val="0"/>
        <w:snapToGrid w:val="0"/>
        <w:spacing w:before="0" w:beforeAutospacing="0" w:after="0" w:afterAutospacing="0" w:line="288" w:lineRule="auto"/>
        <w:ind w:left="0" w:right="0" w:firstLine="440" w:firstLineChars="200"/>
        <w:jc w:val="both"/>
        <w:rPr>
          <w:rFonts w:cs="宋体"/>
          <w:color w:val="000000" w:themeColor="text1"/>
          <w:sz w:val="22"/>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2"/>
          <w:szCs w:val="21"/>
          <w:highlight w:val="none"/>
          <w:lang w:val="en-US" w:eastAsia="zh-CN" w:bidi="ar"/>
          <w14:textFill>
            <w14:solidFill>
              <w14:schemeClr w14:val="tx1"/>
            </w14:solidFill>
          </w14:textFill>
        </w:rPr>
        <w:t>7、若以联合体方式参与投标的，企业综合实力评价、项目负责人、技术负责人的评分内容以联合体牵头方信息为准，其他成员单位不进行累计计分；类似项目业绩、主要技术人员、拟投入本项目的拟投入的检测设备的评分内容联合体各成员可以累计加分。</w:t>
      </w:r>
    </w:p>
    <w:p>
      <w:pPr>
        <w:shd w:val="clear"/>
        <w:adjustRightInd w:val="0"/>
        <w:snapToGrid w:val="0"/>
        <w:spacing w:line="276"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、中标单位需准备投标文件涉及的所有原件待查，如原件不齐或与原件不符的，招标人有权取消其中标人资格，并上报建设行政主管部门。</w:t>
      </w:r>
    </w:p>
    <w:p>
      <w:pPr>
        <w:pStyle w:val="3"/>
        <w:keepNext w:val="0"/>
        <w:keepLines w:val="0"/>
        <w:shd w:val="clear"/>
        <w:spacing w:before="0" w:after="0" w:line="340" w:lineRule="atLeast"/>
        <w:jc w:val="left"/>
        <w:rPr>
          <w:rFonts w:ascii="Times New Roman" w:hAnsi="Times New Roman" w:eastAsia="宋体"/>
          <w:color w:val="000000" w:themeColor="text1"/>
          <w:highlight w:val="none"/>
          <w14:textFill>
            <w14:solidFill>
              <w14:schemeClr w14:val="tx1"/>
            </w14:solidFill>
          </w14:textFill>
        </w:rPr>
      </w:pPr>
      <w:bookmarkStart w:id="141" w:name="_Toc47987335"/>
      <w:r>
        <w:rPr>
          <w:rFonts w:ascii="Times New Roman" w:hAnsi="Times New Roman" w:eastAsia="宋体"/>
          <w:color w:val="000000" w:themeColor="text1"/>
          <w:highlight w:val="none"/>
          <w14:textFill>
            <w14:solidFill>
              <w14:schemeClr w14:val="tx1"/>
            </w14:solidFill>
          </w14:textFill>
        </w:rPr>
        <w:br w:type="page"/>
      </w:r>
      <w:bookmarkStart w:id="142" w:name="_Toc355"/>
      <w:bookmarkStart w:id="143" w:name="_Toc7883"/>
      <w:r>
        <w:rPr>
          <w:rFonts w:ascii="Times New Roman" w:hAnsi="Times New Roman" w:eastAsia="宋体"/>
          <w:color w:val="000000" w:themeColor="text1"/>
          <w:highlight w:val="none"/>
          <w14:textFill>
            <w14:solidFill>
              <w14:schemeClr w14:val="tx1"/>
            </w14:solidFill>
          </w14:textFill>
        </w:rPr>
        <w:t>1. 评标方法</w:t>
      </w:r>
      <w:bookmarkEnd w:id="141"/>
      <w:bookmarkEnd w:id="142"/>
      <w:bookmarkEnd w:id="143"/>
    </w:p>
    <w:p>
      <w:pPr>
        <w:shd w:val="clear"/>
        <w:rPr>
          <w:color w:val="000000" w:themeColor="text1"/>
          <w:highlight w:val="none"/>
          <w14:textFill>
            <w14:solidFill>
              <w14:schemeClr w14:val="tx1"/>
            </w14:solidFill>
          </w14:textFill>
        </w:rPr>
      </w:pP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本次评标采用</w:t>
      </w:r>
      <w:r>
        <w:rPr>
          <w:rFonts w:hint="eastAsia"/>
          <w:color w:val="000000" w:themeColor="text1"/>
          <w:sz w:val="24"/>
          <w:szCs w:val="24"/>
          <w:highlight w:val="none"/>
          <w:u w:val="single"/>
          <w14:textFill>
            <w14:solidFill>
              <w14:schemeClr w14:val="tx1"/>
            </w14:solidFill>
          </w14:textFill>
        </w:rPr>
        <w:t>综合评估法</w:t>
      </w:r>
      <w:r>
        <w:rPr>
          <w:color w:val="000000" w:themeColor="text1"/>
          <w:sz w:val="24"/>
          <w:szCs w:val="24"/>
          <w:highlight w:val="none"/>
          <w14:textFill>
            <w14:solidFill>
              <w14:schemeClr w14:val="tx1"/>
            </w14:solidFill>
          </w14:textFill>
        </w:rPr>
        <w:t>。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w:t>
      </w:r>
      <w:r>
        <w:rPr>
          <w:rFonts w:hint="eastAsia" w:ascii="宋体" w:hAnsi="宋体" w:cs="宋体"/>
          <w:color w:val="000000" w:themeColor="text1"/>
          <w:sz w:val="24"/>
          <w:szCs w:val="24"/>
          <w:highlight w:val="none"/>
          <w14:textFill>
            <w14:solidFill>
              <w14:schemeClr w14:val="tx1"/>
            </w14:solidFill>
          </w14:textFill>
        </w:rPr>
        <w:t>投标报价也相等的，以方案得分高的优先；如果方案得分也相等，按照评标办法前附表的规定确定中标候选人顺序。</w:t>
      </w:r>
    </w:p>
    <w:p>
      <w:pPr>
        <w:pStyle w:val="3"/>
        <w:keepNext w:val="0"/>
        <w:keepLines w:val="0"/>
        <w:shd w:val="clear"/>
        <w:spacing w:before="0" w:after="0" w:line="360" w:lineRule="auto"/>
        <w:jc w:val="left"/>
        <w:rPr>
          <w:rFonts w:ascii="Times New Roman" w:hAnsi="Times New Roman" w:eastAsia="宋体"/>
          <w:color w:val="000000" w:themeColor="text1"/>
          <w:highlight w:val="none"/>
          <w14:textFill>
            <w14:solidFill>
              <w14:schemeClr w14:val="tx1"/>
            </w14:solidFill>
          </w14:textFill>
        </w:rPr>
      </w:pPr>
      <w:bookmarkStart w:id="144" w:name="bookmark85"/>
      <w:bookmarkEnd w:id="144"/>
      <w:bookmarkStart w:id="145" w:name="_Toc47987336"/>
      <w:bookmarkStart w:id="146" w:name="_Toc29171"/>
      <w:bookmarkStart w:id="147" w:name="_Toc47376776"/>
      <w:bookmarkStart w:id="148" w:name="_Toc20047"/>
      <w:r>
        <w:rPr>
          <w:rFonts w:ascii="Times New Roman" w:hAnsi="Times New Roman" w:eastAsia="宋体"/>
          <w:color w:val="000000" w:themeColor="text1"/>
          <w:highlight w:val="none"/>
          <w14:textFill>
            <w14:solidFill>
              <w14:schemeClr w14:val="tx1"/>
            </w14:solidFill>
          </w14:textFill>
        </w:rPr>
        <w:t>2. 评审标准</w:t>
      </w:r>
      <w:bookmarkEnd w:id="145"/>
      <w:bookmarkEnd w:id="146"/>
      <w:bookmarkEnd w:id="147"/>
      <w:bookmarkEnd w:id="148"/>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149" w:name="bookmark86"/>
      <w:bookmarkEnd w:id="149"/>
      <w:r>
        <w:rPr>
          <w:color w:val="000000" w:themeColor="text1"/>
          <w:highlight w:val="none"/>
          <w14:textFill>
            <w14:solidFill>
              <w14:schemeClr w14:val="tx1"/>
            </w14:solidFill>
          </w14:textFill>
        </w:rPr>
        <w:t>2.1 初步评审标准</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2.1.1形式评审标准：见评标办法前附表。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2.1.2资格评审标准：见评标办法前附表。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2.1.3响应性评审标准：见评标办法前附表。</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注：不得将文件顺序、明显的文字错误等列为否决投标的情形。评委发现投标文件中含义不明确、对同类问题表述不一致、有明显文字和计算错误的，应当要求投标人作必要的澄清、说明后再判定投标人是否通过初步评审，不得直接认定其不通过初步评审。</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150" w:name="bookmark87"/>
      <w:bookmarkEnd w:id="150"/>
      <w:r>
        <w:rPr>
          <w:color w:val="000000" w:themeColor="text1"/>
          <w:highlight w:val="none"/>
          <w14:textFill>
            <w14:solidFill>
              <w14:schemeClr w14:val="tx1"/>
            </w14:solidFill>
          </w14:textFill>
        </w:rPr>
        <w:t>2.2 分值构成与评分标准</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2.2.1分值构成</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（1）资信业绩</w:t>
      </w:r>
      <w:bookmarkStart w:id="151" w:name="_Hlk67323844"/>
      <w:r>
        <w:rPr>
          <w:color w:val="000000" w:themeColor="text1"/>
          <w:sz w:val="24"/>
          <w:szCs w:val="24"/>
          <w:highlight w:val="none"/>
          <w:lang w:bidi="ar"/>
          <w14:textFill>
            <w14:solidFill>
              <w14:schemeClr w14:val="tx1"/>
            </w14:solidFill>
          </w14:textFill>
        </w:rPr>
        <w:t>部分</w:t>
      </w:r>
      <w:bookmarkEnd w:id="151"/>
      <w:r>
        <w:rPr>
          <w:color w:val="000000" w:themeColor="text1"/>
          <w:sz w:val="24"/>
          <w:szCs w:val="24"/>
          <w:highlight w:val="none"/>
          <w:lang w:bidi="ar"/>
          <w14:textFill>
            <w14:solidFill>
              <w14:schemeClr w14:val="tx1"/>
            </w14:solidFill>
          </w14:textFill>
        </w:rPr>
        <w:t>：见评标办法前附表；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（2）方案部分：见评标办法前附表；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（3）投标报价：见评标办法前附表；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2.2.2评标基准价计算</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评标基准价计算方法：见评标办法前附表。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2.2.3投标报价的计算</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投标报价的偏差率计算公式：见评标办法前附表。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2.2.4评分标准</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（1）资信业绩部分评分标准：见评标办法前附表；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（2）方案部分评分标准：见评标办法前附表；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（3）投标报价评分标准：见评标办法前附表；</w:t>
      </w:r>
    </w:p>
    <w:p>
      <w:pPr>
        <w:pStyle w:val="3"/>
        <w:keepNext w:val="0"/>
        <w:keepLines w:val="0"/>
        <w:shd w:val="clear"/>
        <w:spacing w:before="0" w:after="0" w:line="360" w:lineRule="auto"/>
        <w:jc w:val="left"/>
        <w:rPr>
          <w:rFonts w:ascii="Times New Roman" w:hAnsi="Times New Roman" w:eastAsia="宋体"/>
          <w:color w:val="000000" w:themeColor="text1"/>
          <w:highlight w:val="none"/>
          <w14:textFill>
            <w14:solidFill>
              <w14:schemeClr w14:val="tx1"/>
            </w14:solidFill>
          </w14:textFill>
        </w:rPr>
      </w:pPr>
      <w:bookmarkStart w:id="152" w:name="bookmark88"/>
      <w:bookmarkEnd w:id="152"/>
      <w:bookmarkStart w:id="153" w:name="_Toc47987337"/>
      <w:bookmarkStart w:id="154" w:name="_Toc575"/>
      <w:bookmarkStart w:id="155" w:name="_Toc12388"/>
      <w:bookmarkStart w:id="156" w:name="_Toc47376777"/>
      <w:r>
        <w:rPr>
          <w:rFonts w:ascii="Times New Roman" w:hAnsi="Times New Roman" w:eastAsia="宋体"/>
          <w:color w:val="000000" w:themeColor="text1"/>
          <w:highlight w:val="none"/>
          <w14:textFill>
            <w14:solidFill>
              <w14:schemeClr w14:val="tx1"/>
            </w14:solidFill>
          </w14:textFill>
        </w:rPr>
        <w:t>3. 评标程序</w:t>
      </w:r>
      <w:bookmarkEnd w:id="153"/>
      <w:bookmarkEnd w:id="154"/>
      <w:bookmarkEnd w:id="155"/>
      <w:bookmarkEnd w:id="156"/>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157" w:name="bookmark89"/>
      <w:bookmarkEnd w:id="157"/>
      <w:r>
        <w:rPr>
          <w:color w:val="000000" w:themeColor="text1"/>
          <w:highlight w:val="none"/>
          <w14:textFill>
            <w14:solidFill>
              <w14:schemeClr w14:val="tx1"/>
            </w14:solidFill>
          </w14:textFill>
        </w:rPr>
        <w:t>3.1 初步评审</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3.1.2投标人有以下情形之一的，评标委员会应当否决其投标：</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（1）投标文件没有对招标文件的实质性要求和条件作出响应，或者对招标文件的偏差超出招标文件规定的偏差范围或最高项数；</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（2）有串通投标、弄虚作假、行贿等违法行为。</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3.1.3投标报价有算术错误及其他错误的，评标委员会按以下原则要求投标人对投标报价进行修正，并要求投标人书面澄清确认。投标人拒不澄清确认的，评标委员会应当否决其投标：</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（1）投标文件中的大写金额与小写金额不一致的，以大写金额为准；</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（2）总价金额与单价金额不一致的，以单价金额为准，但单价金额小数点有明显错误的除外。</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158" w:name="bookmark90"/>
      <w:bookmarkEnd w:id="158"/>
      <w:r>
        <w:rPr>
          <w:color w:val="000000" w:themeColor="text1"/>
          <w:highlight w:val="none"/>
          <w14:textFill>
            <w14:solidFill>
              <w14:schemeClr w14:val="tx1"/>
            </w14:solidFill>
          </w14:textFill>
        </w:rPr>
        <w:t>3.2 详细评审</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3.2.1评标委员会按本章第2.2款规定的量化因素和分值进行打分，并计算出综合评估得分。</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（1）按本章第2.2.4（1）目规定的评审因素和分值对资信业绩部分计算出得分A；</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（2）按本章第2.2.4（2）目规定的评审因素和分值对方案部分计算出得分B；</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（3）按本章第2.2.4（3）目规定的评审因素和分值对投标报价计算出得分C。</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3.2.2评分分值计算保留小数点后两位，小数点后第三位“四舍五入”。</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3.2.3投标人得分=A+B+C。</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159" w:name="bookmark91"/>
      <w:bookmarkEnd w:id="159"/>
      <w:r>
        <w:rPr>
          <w:color w:val="000000" w:themeColor="text1"/>
          <w:highlight w:val="none"/>
          <w14:textFill>
            <w14:solidFill>
              <w14:schemeClr w14:val="tx1"/>
            </w14:solidFill>
          </w14:textFill>
        </w:rPr>
        <w:t>3.3 投标文件的澄清</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3.3.2澄清、说明或补正不得超出投标文件的范围且不得改变投标文件的实质性内容，并构成投标文件的组成部分。</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3.3.3评标委员会对投标人提交的澄清、说明或补正有疑问的，可以要求投标人进一步澄清、说明或补正，直至满足评标委员会的要求。</w:t>
      </w:r>
    </w:p>
    <w:p>
      <w:pPr>
        <w:pStyle w:val="6"/>
        <w:widowControl/>
        <w:shd w:val="clear"/>
        <w:kinsoku w:val="0"/>
        <w:overflowPunct w:val="0"/>
        <w:spacing w:before="0" w:after="0" w:line="360" w:lineRule="auto"/>
        <w:rPr>
          <w:color w:val="000000" w:themeColor="text1"/>
          <w:highlight w:val="none"/>
          <w14:textFill>
            <w14:solidFill>
              <w14:schemeClr w14:val="tx1"/>
            </w14:solidFill>
          </w14:textFill>
        </w:rPr>
      </w:pPr>
      <w:bookmarkStart w:id="160" w:name="bookmark92"/>
      <w:bookmarkEnd w:id="160"/>
      <w:r>
        <w:rPr>
          <w:color w:val="000000" w:themeColor="text1"/>
          <w:highlight w:val="none"/>
          <w14:textFill>
            <w14:solidFill>
              <w14:schemeClr w14:val="tx1"/>
            </w14:solidFill>
          </w14:textFill>
        </w:rPr>
        <w:t>3.4 评标结果</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3.4.1除第二章“投标人须知”前附表授权直接确定中标人外，评标委员会按照得分由高到低的顺序推荐中标候选人，并标明排序。</w:t>
      </w:r>
    </w:p>
    <w:p>
      <w:pPr>
        <w:widowControl/>
        <w:shd w:val="clear"/>
        <w:ind w:firstLine="420" w:firstLineChars="175"/>
        <w:jc w:val="left"/>
        <w:rPr>
          <w:color w:val="000000" w:themeColor="text1"/>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3.4.2评标委员会完成评标后，应当向招标人提交书面评标报告和中标候选人名单。</w:t>
      </w: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2"/>
        <w:keepNext w:val="0"/>
        <w:keepLines w:val="0"/>
        <w:shd w:val="clear"/>
        <w:jc w:val="center"/>
        <w:rPr>
          <w:color w:val="000000" w:themeColor="text1"/>
          <w:highlight w:val="none"/>
          <w14:textFill>
            <w14:solidFill>
              <w14:schemeClr w14:val="tx1"/>
            </w14:solidFill>
          </w14:textFill>
        </w:rPr>
      </w:pPr>
      <w:bookmarkStart w:id="161" w:name="_Toc11973"/>
      <w:bookmarkStart w:id="162" w:name="_Toc10820"/>
      <w:r>
        <w:rPr>
          <w:color w:val="000000" w:themeColor="text1"/>
          <w:highlight w:val="none"/>
          <w14:textFill>
            <w14:solidFill>
              <w14:schemeClr w14:val="tx1"/>
            </w14:solidFill>
          </w14:textFill>
        </w:rPr>
        <w:t>第四章 合同条款及格式</w:t>
      </w:r>
      <w:bookmarkEnd w:id="161"/>
      <w:bookmarkEnd w:id="162"/>
    </w:p>
    <w:p>
      <w:pPr>
        <w:shd w:val="clear"/>
        <w:spacing w:line="360" w:lineRule="auto"/>
        <w:jc w:val="center"/>
        <w:rPr>
          <w:b/>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[另册]</w:t>
      </w:r>
    </w:p>
    <w:p>
      <w:pPr>
        <w:shd w:val="clear"/>
        <w:rPr>
          <w:color w:val="000000" w:themeColor="text1"/>
          <w:highlight w:val="none"/>
          <w14:textFill>
            <w14:solidFill>
              <w14:schemeClr w14:val="tx1"/>
            </w14:solidFill>
          </w14:textFill>
        </w:rPr>
      </w:pPr>
      <w:bookmarkStart w:id="163" w:name="_Toc179632787"/>
      <w:bookmarkStart w:id="164" w:name="_Toc246997081"/>
      <w:bookmarkStart w:id="165" w:name="_Toc247085853"/>
      <w:bookmarkStart w:id="166" w:name="_Toc246996338"/>
      <w:bookmarkStart w:id="167" w:name="_Toc247514197"/>
      <w:bookmarkStart w:id="168" w:name="_Toc144974829"/>
      <w:bookmarkStart w:id="169" w:name="_Toc247527798"/>
      <w:bookmarkStart w:id="170" w:name="_Toc300835199"/>
      <w:bookmarkStart w:id="171" w:name="_Toc144974578"/>
      <w:bookmarkStart w:id="172" w:name="_Toc184635122"/>
      <w:bookmarkStart w:id="173" w:name="_Toc152042549"/>
      <w:bookmarkStart w:id="174" w:name="_Toc152045610"/>
      <w:bookmarkStart w:id="175" w:name="_Toc152042388"/>
      <w:r>
        <w:rPr>
          <w:color w:val="000000" w:themeColor="text1"/>
          <w:highlight w:val="none"/>
          <w14:textFill>
            <w14:solidFill>
              <w14:schemeClr w14:val="tx1"/>
            </w14:solidFill>
          </w14:textFill>
        </w:rPr>
        <w:br w:type="page"/>
      </w: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pStyle w:val="2"/>
        <w:keepNext w:val="0"/>
        <w:keepLines w:val="0"/>
        <w:shd w:val="clear"/>
        <w:spacing w:before="0" w:after="0" w:line="240" w:lineRule="atLeast"/>
        <w:jc w:val="center"/>
        <w:rPr>
          <w:color w:val="000000" w:themeColor="text1"/>
          <w:highlight w:val="none"/>
          <w14:textFill>
            <w14:solidFill>
              <w14:schemeClr w14:val="tx1"/>
            </w14:solidFill>
          </w14:textFill>
        </w:rPr>
      </w:pPr>
      <w:bookmarkStart w:id="176" w:name="_Toc8759"/>
      <w:bookmarkStart w:id="177" w:name="_Toc27371"/>
      <w:r>
        <w:rPr>
          <w:color w:val="000000" w:themeColor="text1"/>
          <w:highlight w:val="none"/>
          <w14:textFill>
            <w14:solidFill>
              <w14:schemeClr w14:val="tx1"/>
            </w14:solidFill>
          </w14:textFill>
        </w:rPr>
        <w:t>第二卷</w:t>
      </w:r>
      <w:bookmarkEnd w:id="176"/>
      <w:bookmarkEnd w:id="177"/>
    </w:p>
    <w:p>
      <w:pPr>
        <w:shd w:val="clear"/>
        <w:rPr>
          <w:color w:val="000000" w:themeColor="text1"/>
          <w:highlight w:val="none"/>
          <w14:textFill>
            <w14:solidFill>
              <w14:schemeClr w14:val="tx1"/>
            </w14:solidFill>
          </w14:textFill>
        </w:rPr>
      </w:pPr>
    </w:p>
    <w:p>
      <w:pPr>
        <w:pStyle w:val="16"/>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2"/>
        <w:keepNext w:val="0"/>
        <w:keepLines w:val="0"/>
        <w:shd w:val="clear"/>
        <w:spacing w:before="0" w:after="0" w:line="360" w:lineRule="auto"/>
        <w:jc w:val="center"/>
        <w:rPr>
          <w:color w:val="000000" w:themeColor="text1"/>
          <w:highlight w:val="none"/>
          <w14:textFill>
            <w14:solidFill>
              <w14:schemeClr w14:val="tx1"/>
            </w14:solidFill>
          </w14:textFill>
        </w:rPr>
      </w:pPr>
      <w:bookmarkStart w:id="178" w:name="_Toc12868"/>
      <w:bookmarkStart w:id="179" w:name="_Toc47376780"/>
      <w:bookmarkStart w:id="180" w:name="_Toc26893"/>
      <w:r>
        <w:rPr>
          <w:rFonts w:hint="eastAsia"/>
          <w:color w:val="000000" w:themeColor="text1"/>
          <w:highlight w:val="none"/>
          <w14:textFill>
            <w14:solidFill>
              <w14:schemeClr w14:val="tx1"/>
            </w14:solidFill>
          </w14:textFill>
        </w:rPr>
        <w:t>第五章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委托人要求</w:t>
      </w:r>
      <w:bookmarkEnd w:id="178"/>
      <w:bookmarkEnd w:id="179"/>
      <w:bookmarkEnd w:id="180"/>
    </w:p>
    <w:bookmarkEnd w:id="163"/>
    <w:bookmarkEnd w:id="164"/>
    <w:bookmarkEnd w:id="165"/>
    <w:bookmarkEnd w:id="166"/>
    <w:p>
      <w:pPr>
        <w:shd w:val="clear"/>
        <w:adjustRightInd w:val="0"/>
        <w:snapToGrid w:val="0"/>
        <w:spacing w:line="324"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bidi="ar"/>
          <w14:textFill>
            <w14:solidFill>
              <w14:schemeClr w14:val="tx1"/>
            </w14:solidFill>
          </w14:textFill>
        </w:rPr>
        <w:t>第一节 检测服务</w:t>
      </w:r>
    </w:p>
    <w:p>
      <w:pPr>
        <w:pStyle w:val="33"/>
        <w:widowControl w:val="0"/>
        <w:shd w:val="clear"/>
        <w:autoSpaceDE w:val="0"/>
        <w:autoSpaceDN w:val="0"/>
        <w:adjustRightInd w:val="0"/>
        <w:snapToGrid w:val="0"/>
        <w:spacing w:before="0" w:beforeAutospacing="0" w:after="0" w:afterAutospacing="0" w:line="360" w:lineRule="auto"/>
        <w:rPr>
          <w:rFonts w:ascii="Times New Roman" w:hAnsi="Times New Roman" w:cs="Times New Roman"/>
          <w:b/>
          <w:color w:val="000000" w:themeColor="text1"/>
          <w:kern w:val="2"/>
          <w:highlight w:val="none"/>
          <w14:textFill>
            <w14:solidFill>
              <w14:schemeClr w14:val="tx1"/>
            </w14:solidFill>
          </w14:textFill>
        </w:rPr>
      </w:pPr>
      <w:r>
        <w:rPr>
          <w:rFonts w:hint="eastAsia" w:ascii="Times New Roman" w:hAnsi="Times New Roman"/>
          <w:b/>
          <w:color w:val="000000" w:themeColor="text1"/>
          <w:kern w:val="2"/>
          <w:szCs w:val="24"/>
          <w:highlight w:val="none"/>
          <w:lang w:bidi="ar"/>
          <w14:textFill>
            <w14:solidFill>
              <w14:schemeClr w14:val="tx1"/>
            </w14:solidFill>
          </w14:textFill>
        </w:rPr>
        <w:t>一、检测工作要求（以招标文件、设计图纸及相关资料为准）</w:t>
      </w:r>
    </w:p>
    <w:p>
      <w:pPr>
        <w:pStyle w:val="33"/>
        <w:widowControl w:val="0"/>
        <w:shd w:val="clear"/>
        <w:autoSpaceDE w:val="0"/>
        <w:autoSpaceDN w:val="0"/>
        <w:adjustRightInd w:val="0"/>
        <w:snapToGrid w:val="0"/>
        <w:spacing w:before="0" w:beforeAutospacing="0" w:after="0" w:afterAutospacing="0" w:line="360" w:lineRule="auto"/>
        <w:ind w:firstLine="480" w:firstLineChars="200"/>
        <w:rPr>
          <w:color w:val="000000" w:themeColor="text1"/>
          <w:kern w:val="28"/>
          <w:highlight w:val="none"/>
          <w14:textFill>
            <w14:solidFill>
              <w14:schemeClr w14:val="tx1"/>
            </w14:solidFill>
          </w14:textFill>
        </w:rPr>
      </w:pPr>
      <w:r>
        <w:rPr>
          <w:rFonts w:hint="eastAsia"/>
          <w:snapToGrid w:val="0"/>
          <w:color w:val="000000" w:themeColor="text1"/>
          <w:kern w:val="28"/>
          <w:szCs w:val="24"/>
          <w:highlight w:val="none"/>
          <w:lang w:bidi="ar"/>
          <w14:textFill>
            <w14:solidFill>
              <w14:schemeClr w14:val="tx1"/>
            </w14:solidFill>
          </w14:textFill>
        </w:rPr>
        <w:t>1、中标人的检测工作必须满足国家、广东省、广州市相关检测规范、强制性标准。</w:t>
      </w:r>
    </w:p>
    <w:p>
      <w:pPr>
        <w:shd w:val="clea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2、中标人除按要求完成本次招标范围内的检测工作外，还应完成以下工作：</w:t>
      </w:r>
    </w:p>
    <w:p>
      <w:pPr>
        <w:shd w:val="clea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（1）与工程所在行政区域的相关建设行政主管部门和监督部门进行检测工作的协调，申报检测技术成果的审批，保证技术成果能够通过相关部门认可，确保不因检测工作影响本工程项目的建设进度和竣工验收。</w:t>
      </w:r>
    </w:p>
    <w:p>
      <w:pPr>
        <w:shd w:val="clea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（2）在进行检测任务的过程中与该工程相关的项目管理单位、施工单位、监理单位、设计单位、建设主管部门等相关单位的协调工作。</w:t>
      </w:r>
    </w:p>
    <w:p>
      <w:pPr>
        <w:shd w:val="clea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（3）负责检测数据的有关信息通过广州市建设工程质量检测监管信息网报送，中标人已综合考虑该项协调工作费用。</w:t>
      </w:r>
    </w:p>
    <w:p>
      <w:pPr>
        <w:shd w:val="clea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（4）根据设计文件、施工组织设计、相关规范和相关行政职能部门要求和</w:t>
      </w:r>
      <w:r>
        <w:rPr>
          <w:rFonts w:hint="eastAsia" w:ascii="宋体" w:hAnsi="宋体" w:cs="宋体"/>
          <w:color w:val="000000" w:themeColor="text1"/>
          <w:sz w:val="24"/>
          <w:szCs w:val="24"/>
          <w:highlight w:val="none"/>
          <w:lang w:eastAsia="zh-CN" w:bidi="ar"/>
          <w14:textFill>
            <w14:solidFill>
              <w14:schemeClr w14:val="tx1"/>
            </w14:solidFill>
          </w14:textFill>
        </w:rPr>
        <w:t>招标人</w:t>
      </w:r>
      <w:r>
        <w:rPr>
          <w:rFonts w:hint="eastAsia" w:ascii="宋体" w:hAnsi="宋体" w:cs="宋体"/>
          <w:color w:val="000000" w:themeColor="text1"/>
          <w:sz w:val="24"/>
          <w:szCs w:val="24"/>
          <w:highlight w:val="none"/>
          <w:lang w:bidi="ar"/>
          <w14:textFill>
            <w14:solidFill>
              <w14:schemeClr w14:val="tx1"/>
            </w14:solidFill>
          </w14:textFill>
        </w:rPr>
        <w:t>要求，结合项目实际情况，编制检测方案，并确保检测方案符合有关规范要求及通过工程所在行政区域的相关建设行政主管部门和监督部门的审批，同时负责协调相关工作，保证技术成果能够通过相关部门认可，确保不因检测工作影响本工程项目的建设进度和竣工验收。</w:t>
      </w:r>
    </w:p>
    <w:p>
      <w:pPr>
        <w:shd w:val="clea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（5）本项目实施期间，如果因本项目验收需要，按规范和经批准的检测方案，经</w:t>
      </w:r>
      <w:r>
        <w:rPr>
          <w:rFonts w:hint="eastAsia" w:ascii="宋体" w:hAnsi="宋体" w:cs="宋体"/>
          <w:color w:val="000000" w:themeColor="text1"/>
          <w:sz w:val="24"/>
          <w:szCs w:val="24"/>
          <w:highlight w:val="none"/>
          <w:lang w:eastAsia="zh-CN" w:bidi="ar"/>
          <w14:textFill>
            <w14:solidFill>
              <w14:schemeClr w14:val="tx1"/>
            </w14:solidFill>
          </w14:textFill>
        </w:rPr>
        <w:t>招标人</w:t>
      </w:r>
      <w:r>
        <w:rPr>
          <w:rFonts w:hint="eastAsia" w:ascii="宋体" w:hAnsi="宋体" w:cs="宋体"/>
          <w:color w:val="000000" w:themeColor="text1"/>
          <w:sz w:val="24"/>
          <w:szCs w:val="24"/>
          <w:highlight w:val="none"/>
          <w:lang w:bidi="ar"/>
          <w14:textFill>
            <w14:solidFill>
              <w14:schemeClr w14:val="tx1"/>
            </w14:solidFill>
          </w14:textFill>
        </w:rPr>
        <w:t>确认需增加的项目，且</w:t>
      </w:r>
      <w:r>
        <w:rPr>
          <w:rFonts w:hint="eastAsia" w:ascii="宋体" w:hAnsi="宋体" w:cs="宋体"/>
          <w:color w:val="000000" w:themeColor="text1"/>
          <w:sz w:val="24"/>
          <w:szCs w:val="24"/>
          <w:highlight w:val="none"/>
          <w:lang w:eastAsia="zh-CN" w:bidi="ar"/>
          <w14:textFill>
            <w14:solidFill>
              <w14:schemeClr w14:val="tx1"/>
            </w14:solidFill>
          </w14:textFill>
        </w:rPr>
        <w:t>中标人</w:t>
      </w:r>
      <w:r>
        <w:rPr>
          <w:rFonts w:hint="eastAsia" w:ascii="宋体" w:hAnsi="宋体" w:cs="宋体"/>
          <w:color w:val="000000" w:themeColor="text1"/>
          <w:sz w:val="24"/>
          <w:szCs w:val="24"/>
          <w:highlight w:val="none"/>
          <w:lang w:bidi="ar"/>
          <w14:textFill>
            <w14:solidFill>
              <w14:schemeClr w14:val="tx1"/>
            </w14:solidFill>
          </w14:textFill>
        </w:rPr>
        <w:t>也具备相应资质，则</w:t>
      </w:r>
      <w:r>
        <w:rPr>
          <w:rFonts w:hint="eastAsia" w:ascii="宋体" w:hAnsi="宋体" w:cs="宋体"/>
          <w:color w:val="000000" w:themeColor="text1"/>
          <w:sz w:val="24"/>
          <w:szCs w:val="24"/>
          <w:highlight w:val="none"/>
          <w:lang w:eastAsia="zh-CN" w:bidi="ar"/>
          <w14:textFill>
            <w14:solidFill>
              <w14:schemeClr w14:val="tx1"/>
            </w14:solidFill>
          </w14:textFill>
        </w:rPr>
        <w:t>中标人</w:t>
      </w:r>
      <w:r>
        <w:rPr>
          <w:rFonts w:hint="eastAsia" w:ascii="宋体" w:hAnsi="宋体" w:cs="宋体"/>
          <w:color w:val="000000" w:themeColor="text1"/>
          <w:sz w:val="24"/>
          <w:szCs w:val="24"/>
          <w:highlight w:val="none"/>
          <w:lang w:bidi="ar"/>
          <w14:textFill>
            <w14:solidFill>
              <w14:schemeClr w14:val="tx1"/>
            </w14:solidFill>
          </w14:textFill>
        </w:rPr>
        <w:t>不得以任何原因拒绝为</w:t>
      </w:r>
      <w:r>
        <w:rPr>
          <w:rFonts w:hint="eastAsia" w:ascii="宋体" w:hAnsi="宋体" w:cs="宋体"/>
          <w:color w:val="000000" w:themeColor="text1"/>
          <w:sz w:val="24"/>
          <w:szCs w:val="24"/>
          <w:highlight w:val="none"/>
          <w:lang w:eastAsia="zh-CN" w:bidi="ar"/>
          <w14:textFill>
            <w14:solidFill>
              <w14:schemeClr w14:val="tx1"/>
            </w14:solidFill>
          </w14:textFill>
        </w:rPr>
        <w:t>招标人</w:t>
      </w:r>
      <w:r>
        <w:rPr>
          <w:rFonts w:hint="eastAsia" w:ascii="宋体" w:hAnsi="宋体" w:cs="宋体"/>
          <w:color w:val="000000" w:themeColor="text1"/>
          <w:sz w:val="24"/>
          <w:szCs w:val="24"/>
          <w:highlight w:val="none"/>
          <w:lang w:bidi="ar"/>
          <w14:textFill>
            <w14:solidFill>
              <w14:schemeClr w14:val="tx1"/>
            </w14:solidFill>
          </w14:textFill>
        </w:rPr>
        <w:t>提供检测，并按要求出具符合验收要求的检测报告。</w:t>
      </w:r>
      <w:r>
        <w:rPr>
          <w:rFonts w:hint="eastAsia" w:ascii="宋体" w:hAnsi="宋体" w:cs="宋体"/>
          <w:color w:val="000000" w:themeColor="text1"/>
          <w:sz w:val="24"/>
          <w:szCs w:val="24"/>
          <w:highlight w:val="none"/>
          <w:lang w:eastAsia="zh-CN" w:bidi="ar"/>
          <w14:textFill>
            <w14:solidFill>
              <w14:schemeClr w14:val="tx1"/>
            </w14:solidFill>
          </w14:textFill>
        </w:rPr>
        <w:t>中标人</w:t>
      </w:r>
      <w:r>
        <w:rPr>
          <w:rFonts w:hint="eastAsia" w:ascii="宋体" w:hAnsi="宋体" w:cs="宋体"/>
          <w:color w:val="000000" w:themeColor="text1"/>
          <w:sz w:val="24"/>
          <w:szCs w:val="24"/>
          <w:highlight w:val="none"/>
          <w:lang w:bidi="ar"/>
          <w14:textFill>
            <w14:solidFill>
              <w14:schemeClr w14:val="tx1"/>
            </w14:solidFill>
          </w14:textFill>
        </w:rPr>
        <w:t>检测资质不能涵盖的项目由</w:t>
      </w:r>
      <w:r>
        <w:rPr>
          <w:rFonts w:hint="eastAsia" w:ascii="宋体" w:hAnsi="宋体" w:cs="宋体"/>
          <w:color w:val="000000" w:themeColor="text1"/>
          <w:sz w:val="24"/>
          <w:szCs w:val="24"/>
          <w:highlight w:val="none"/>
          <w:lang w:eastAsia="zh-CN" w:bidi="ar"/>
          <w14:textFill>
            <w14:solidFill>
              <w14:schemeClr w14:val="tx1"/>
            </w14:solidFill>
          </w14:textFill>
        </w:rPr>
        <w:t>中标人</w:t>
      </w:r>
      <w:r>
        <w:rPr>
          <w:rFonts w:hint="eastAsia" w:ascii="宋体" w:hAnsi="宋体" w:cs="宋体"/>
          <w:color w:val="000000" w:themeColor="text1"/>
          <w:sz w:val="24"/>
          <w:szCs w:val="24"/>
          <w:highlight w:val="none"/>
          <w:lang w:bidi="ar"/>
          <w14:textFill>
            <w14:solidFill>
              <w14:schemeClr w14:val="tx1"/>
            </w14:solidFill>
          </w14:textFill>
        </w:rPr>
        <w:t>委托有资质的相应单位实施，并取得相应管理部门的确认。</w:t>
      </w:r>
    </w:p>
    <w:p>
      <w:pPr>
        <w:shd w:val="clea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（6）在进行检测服务过程中，与该工程相关的施工、监理、设计、咨询等相关单位及建设协调行政主管部门和监督部门协调，投标人需在投标报价中综合考虑该项协调工作费用。</w:t>
      </w:r>
    </w:p>
    <w:p>
      <w:pPr>
        <w:shd w:val="clea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（7）</w:t>
      </w:r>
      <w:r>
        <w:rPr>
          <w:rFonts w:hint="eastAsia" w:ascii="宋体" w:hAnsi="宋体" w:cs="宋体"/>
          <w:color w:val="000000" w:themeColor="text1"/>
          <w:sz w:val="24"/>
          <w:szCs w:val="24"/>
          <w:highlight w:val="none"/>
          <w:lang w:val="en-US" w:eastAsia="zh-CN" w:bidi="ar"/>
          <w14:textFill>
            <w14:solidFill>
              <w14:schemeClr w14:val="tx1"/>
            </w14:solidFill>
          </w14:textFill>
        </w:rPr>
        <w:t>检测工作</w:t>
      </w:r>
      <w:r>
        <w:rPr>
          <w:rFonts w:hint="eastAsia" w:ascii="宋体" w:hAnsi="宋体" w:cs="宋体"/>
          <w:color w:val="000000" w:themeColor="text1"/>
          <w:sz w:val="24"/>
          <w:szCs w:val="24"/>
          <w:highlight w:val="none"/>
          <w:lang w:bidi="ar"/>
          <w14:textFill>
            <w14:solidFill>
              <w14:schemeClr w14:val="tx1"/>
            </w14:solidFill>
          </w14:textFill>
        </w:rPr>
        <w:t>已包含监督抽检的工程量，监督抽检按建设行政主管部门要求实施，投标人需在投标报价中综合考虑该项费用。</w:t>
      </w:r>
    </w:p>
    <w:p>
      <w:pPr>
        <w:pStyle w:val="33"/>
        <w:widowControl w:val="0"/>
        <w:shd w:val="clear"/>
        <w:autoSpaceDE w:val="0"/>
        <w:autoSpaceDN w:val="0"/>
        <w:adjustRightInd w:val="0"/>
        <w:snapToGrid w:val="0"/>
        <w:spacing w:before="0" w:beforeAutospacing="0" w:after="0" w:afterAutospacing="0" w:line="360" w:lineRule="auto"/>
        <w:rPr>
          <w:rFonts w:ascii="Times New Roman" w:hAnsi="Times New Roman" w:cs="Times New Roman"/>
          <w:b/>
          <w:color w:val="000000" w:themeColor="text1"/>
          <w:kern w:val="2"/>
          <w:highlight w:val="none"/>
          <w14:textFill>
            <w14:solidFill>
              <w14:schemeClr w14:val="tx1"/>
            </w14:solidFill>
          </w14:textFill>
        </w:rPr>
      </w:pPr>
      <w:r>
        <w:rPr>
          <w:rFonts w:hint="eastAsia" w:ascii="Times New Roman" w:hAnsi="Times New Roman"/>
          <w:b/>
          <w:color w:val="000000" w:themeColor="text1"/>
          <w:kern w:val="2"/>
          <w:szCs w:val="24"/>
          <w:highlight w:val="none"/>
          <w:lang w:bidi="ar"/>
          <w14:textFill>
            <w14:solidFill>
              <w14:schemeClr w14:val="tx1"/>
            </w14:solidFill>
          </w14:textFill>
        </w:rPr>
        <w:t>二、检测设备要求</w:t>
      </w:r>
    </w:p>
    <w:p>
      <w:pPr>
        <w:shd w:val="clear"/>
        <w:tabs>
          <w:tab w:val="left" w:pos="0"/>
          <w:tab w:val="left" w:pos="360"/>
          <w:tab w:val="left" w:pos="1260"/>
          <w:tab w:val="left" w:pos="1440"/>
        </w:tabs>
        <w:adjustRightInd w:val="0"/>
        <w:snapToGrid w:val="0"/>
        <w:spacing w:line="360" w:lineRule="auto"/>
        <w:ind w:firstLine="480" w:firstLineChars="200"/>
        <w:rPr>
          <w:rFonts w:ascii="宋体" w:hAnsi="宋体" w:cs="宋体"/>
          <w:snapToGrid w:val="0"/>
          <w:color w:val="000000" w:themeColor="text1"/>
          <w:kern w:val="28"/>
          <w:sz w:val="24"/>
          <w:szCs w:val="24"/>
          <w:highlight w:val="none"/>
          <w:lang w:bidi="ar"/>
          <w14:textFill>
            <w14:solidFill>
              <w14:schemeClr w14:val="tx1"/>
            </w14:solidFill>
          </w14:textFill>
        </w:rPr>
      </w:pPr>
      <w:r>
        <w:rPr>
          <w:rFonts w:hint="eastAsia" w:ascii="宋体" w:hAnsi="宋体" w:cs="宋体"/>
          <w:snapToGrid w:val="0"/>
          <w:color w:val="000000" w:themeColor="text1"/>
          <w:kern w:val="28"/>
          <w:sz w:val="24"/>
          <w:szCs w:val="24"/>
          <w:highlight w:val="none"/>
          <w:lang w:bidi="ar"/>
          <w14:textFill>
            <w14:solidFill>
              <w14:schemeClr w14:val="tx1"/>
            </w14:solidFill>
          </w14:textFill>
        </w:rPr>
        <w:t>用于完成本项目检测的仪器、设备和材料由承包人自行运输，存管。仪器、设备和材料应有产品出厂合格证，检定</w:t>
      </w:r>
      <w:r>
        <w:rPr>
          <w:rFonts w:hint="eastAsia" w:ascii="宋体" w:hAnsi="宋体" w:cs="宋体"/>
          <w:color w:val="000000" w:themeColor="text1"/>
          <w:kern w:val="28"/>
          <w:sz w:val="24"/>
          <w:szCs w:val="24"/>
          <w:highlight w:val="none"/>
          <w:lang w:bidi="ar"/>
          <w14:textFill>
            <w14:solidFill>
              <w14:schemeClr w14:val="tx1"/>
            </w14:solidFill>
          </w14:textFill>
        </w:rPr>
        <w:t>/</w:t>
      </w:r>
      <w:r>
        <w:rPr>
          <w:rFonts w:hint="eastAsia" w:ascii="宋体" w:hAnsi="宋体" w:cs="宋体"/>
          <w:snapToGrid w:val="0"/>
          <w:color w:val="000000" w:themeColor="text1"/>
          <w:kern w:val="28"/>
          <w:sz w:val="24"/>
          <w:szCs w:val="24"/>
          <w:highlight w:val="none"/>
          <w:lang w:bidi="ar"/>
          <w14:textFill>
            <w14:solidFill>
              <w14:schemeClr w14:val="tx1"/>
            </w14:solidFill>
          </w14:textFill>
        </w:rPr>
        <w:t>校准证书，同时符合相关技术标准和检定要求。本项目应遵守广州市建设科学技术委员会等相关部门对本工程的相关批示及指导意见执行。</w:t>
      </w:r>
    </w:p>
    <w:p>
      <w:pPr>
        <w:pStyle w:val="20"/>
        <w:shd w:val="clear"/>
        <w:spacing w:after="120" w:afterLines="50"/>
        <w:jc w:val="center"/>
        <w:rPr>
          <w:rFonts w:hint="eastAsia"/>
          <w:b/>
          <w:color w:val="000000" w:themeColor="text1"/>
          <w:sz w:val="24"/>
          <w:highlight w:val="none"/>
          <w:lang w:bidi="ar"/>
          <w14:textFill>
            <w14:solidFill>
              <w14:schemeClr w14:val="tx1"/>
            </w14:solidFill>
          </w14:textFill>
        </w:rPr>
      </w:pPr>
      <w:r>
        <w:rPr>
          <w:rFonts w:hint="eastAsia"/>
          <w:b/>
          <w:color w:val="000000" w:themeColor="text1"/>
          <w:sz w:val="24"/>
          <w:highlight w:val="none"/>
          <w:lang w:bidi="ar"/>
          <w14:textFill>
            <w14:solidFill>
              <w14:schemeClr w14:val="tx1"/>
            </w14:solidFill>
          </w14:textFill>
        </w:rPr>
        <w:t>拟投入本项目的检测、监测设备要求表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13"/>
        <w:gridCol w:w="4850"/>
        <w:gridCol w:w="3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jc w:val="center"/>
        </w:trPr>
        <w:tc>
          <w:tcPr>
            <w:tcW w:w="543" w:type="pct"/>
            <w:vMerge w:val="restart"/>
            <w:tcBorders>
              <w:top w:val="single" w:color="auto" w:sz="12" w:space="0"/>
              <w:left w:val="single" w:color="auto" w:sz="12" w:space="0"/>
              <w:bottom w:val="single" w:color="auto" w:sz="12"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right="0" w:firstLine="0" w:firstLineChars="0"/>
              <w:jc w:val="center"/>
              <w:rPr>
                <w:rFonts w:hint="default"/>
                <w:b/>
                <w:bCs w:val="0"/>
                <w:color w:val="000000" w:themeColor="text1"/>
                <w:szCs w:val="24"/>
                <w:highlight w:val="none"/>
                <w:lang w:val="en-US"/>
                <w14:textFill>
                  <w14:solidFill>
                    <w14:schemeClr w14:val="tx1"/>
                  </w14:solidFill>
                </w14:textFill>
              </w:rPr>
            </w:pPr>
            <w:r>
              <w:rPr>
                <w:rFonts w:hint="eastAsia" w:ascii="宋体" w:hAnsi="宋体" w:eastAsia="宋体" w:cs="Times New Roman"/>
                <w:b/>
                <w:bCs w:val="0"/>
                <w:snapToGrid/>
                <w:color w:val="000000" w:themeColor="text1"/>
                <w:kern w:val="2"/>
                <w:sz w:val="24"/>
                <w:szCs w:val="22"/>
                <w:highlight w:val="none"/>
                <w:lang w:val="en-US" w:eastAsia="zh-CN" w:bidi="ar"/>
                <w14:textFill>
                  <w14:solidFill>
                    <w14:schemeClr w14:val="tx1"/>
                  </w14:solidFill>
                </w14:textFill>
              </w:rPr>
              <w:t>序号</w:t>
            </w:r>
          </w:p>
        </w:tc>
        <w:tc>
          <w:tcPr>
            <w:tcW w:w="2598" w:type="pct"/>
            <w:vMerge w:val="restart"/>
            <w:tcBorders>
              <w:top w:val="single" w:color="auto" w:sz="12" w:space="0"/>
              <w:left w:val="single" w:color="auto" w:sz="4" w:space="0"/>
              <w:bottom w:val="single" w:color="auto" w:sz="12"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right="0" w:firstLine="482" w:firstLineChars="200"/>
              <w:jc w:val="center"/>
              <w:rPr>
                <w:rFonts w:hint="default"/>
                <w:b/>
                <w:bCs w:val="0"/>
                <w:color w:val="000000" w:themeColor="text1"/>
                <w:szCs w:val="24"/>
                <w:highlight w:val="none"/>
                <w:lang w:val="en-US"/>
                <w14:textFill>
                  <w14:solidFill>
                    <w14:schemeClr w14:val="tx1"/>
                  </w14:solidFill>
                </w14:textFill>
              </w:rPr>
            </w:pPr>
            <w:r>
              <w:rPr>
                <w:rFonts w:hint="eastAsia" w:ascii="宋体" w:hAnsi="宋体" w:eastAsia="宋体" w:cs="Times New Roman"/>
                <w:b/>
                <w:bCs w:val="0"/>
                <w:snapToGrid/>
                <w:color w:val="000000" w:themeColor="text1"/>
                <w:kern w:val="2"/>
                <w:sz w:val="24"/>
                <w:szCs w:val="22"/>
                <w:highlight w:val="none"/>
                <w:lang w:val="en-US" w:eastAsia="zh-CN" w:bidi="ar"/>
                <w14:textFill>
                  <w14:solidFill>
                    <w14:schemeClr w14:val="tx1"/>
                  </w14:solidFill>
                </w14:textFill>
              </w:rPr>
              <w:t>设备名称</w:t>
            </w:r>
          </w:p>
        </w:tc>
        <w:tc>
          <w:tcPr>
            <w:tcW w:w="1858" w:type="pct"/>
            <w:vMerge w:val="restart"/>
            <w:tcBorders>
              <w:top w:val="single" w:color="auto" w:sz="12" w:space="0"/>
              <w:left w:val="single" w:color="auto" w:sz="4" w:space="0"/>
              <w:bottom w:val="single" w:color="auto" w:sz="12"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right="0" w:firstLine="482" w:firstLineChars="200"/>
              <w:jc w:val="center"/>
              <w:rPr>
                <w:rFonts w:hint="default"/>
                <w:b/>
                <w:bCs w:val="0"/>
                <w:color w:val="000000" w:themeColor="text1"/>
                <w:szCs w:val="24"/>
                <w:highlight w:val="none"/>
                <w:lang w:val="en-US"/>
                <w14:textFill>
                  <w14:solidFill>
                    <w14:schemeClr w14:val="tx1"/>
                  </w14:solidFill>
                </w14:textFill>
              </w:rPr>
            </w:pPr>
            <w:r>
              <w:rPr>
                <w:rFonts w:hint="eastAsia" w:ascii="宋体" w:hAnsi="宋体" w:eastAsia="宋体" w:cs="Times New Roman"/>
                <w:b/>
                <w:bCs w:val="0"/>
                <w:snapToGrid/>
                <w:color w:val="000000" w:themeColor="text1"/>
                <w:kern w:val="2"/>
                <w:sz w:val="24"/>
                <w:szCs w:val="22"/>
                <w:highlight w:val="none"/>
                <w:lang w:val="en-US" w:eastAsia="zh-CN" w:bidi="ar"/>
                <w14:textFill>
                  <w14:solidFill>
                    <w14:schemeClr w14:val="tx1"/>
                  </w14:solidFill>
                </w14:textFill>
              </w:rPr>
              <w:t>本项目数量基本要求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43" w:type="pct"/>
            <w:vMerge w:val="continue"/>
            <w:tcBorders>
              <w:top w:val="single" w:color="auto" w:sz="12" w:space="0"/>
              <w:left w:val="single" w:color="auto" w:sz="12" w:space="0"/>
              <w:bottom w:val="single" w:color="auto" w:sz="12" w:space="0"/>
              <w:right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Calibri" w:hAnsi="Calibri" w:cs="Times New Roman"/>
                <w:color w:val="000000" w:themeColor="text1"/>
                <w:sz w:val="20"/>
                <w:szCs w:val="20"/>
                <w:highlight w:val="none"/>
                <w14:textFill>
                  <w14:solidFill>
                    <w14:schemeClr w14:val="tx1"/>
                  </w14:solidFill>
                </w14:textFill>
              </w:rPr>
            </w:pPr>
          </w:p>
        </w:tc>
        <w:tc>
          <w:tcPr>
            <w:tcW w:w="2598" w:type="pct"/>
            <w:vMerge w:val="continue"/>
            <w:tcBorders>
              <w:top w:val="single" w:color="auto" w:sz="12" w:space="0"/>
              <w:left w:val="single" w:color="auto" w:sz="4" w:space="0"/>
              <w:bottom w:val="single" w:color="auto" w:sz="12" w:space="0"/>
              <w:right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Calibri" w:hAnsi="Calibri" w:cs="Times New Roman"/>
                <w:color w:val="000000" w:themeColor="text1"/>
                <w:sz w:val="20"/>
                <w:szCs w:val="20"/>
                <w:highlight w:val="none"/>
                <w14:textFill>
                  <w14:solidFill>
                    <w14:schemeClr w14:val="tx1"/>
                  </w14:solidFill>
                </w14:textFill>
              </w:rPr>
            </w:pPr>
          </w:p>
        </w:tc>
        <w:tc>
          <w:tcPr>
            <w:tcW w:w="1858" w:type="pct"/>
            <w:vMerge w:val="continue"/>
            <w:tcBorders>
              <w:top w:val="single" w:color="auto" w:sz="12" w:space="0"/>
              <w:left w:val="single" w:color="auto" w:sz="4" w:space="0"/>
              <w:bottom w:val="single" w:color="auto" w:sz="12" w:space="0"/>
              <w:right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Calibri" w:hAnsi="Calibri" w:cs="Times New Roman"/>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543" w:type="pct"/>
            <w:tcBorders>
              <w:top w:val="single" w:color="auto" w:sz="12"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left"/>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1</w:t>
            </w:r>
          </w:p>
        </w:tc>
        <w:tc>
          <w:tcPr>
            <w:tcW w:w="2598" w:type="pct"/>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电子天平</w:t>
            </w:r>
          </w:p>
        </w:tc>
        <w:tc>
          <w:tcPr>
            <w:tcW w:w="1858" w:type="pct"/>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left"/>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2</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震击式标准振筛机</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left"/>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3</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微机控制电液伺服压力试验机</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left"/>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4</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钢筋正反弯曲试验机</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left"/>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5</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钢筋称重测长仪</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left"/>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6</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裂缝测宽仪</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left"/>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7</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抗渗仪</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left"/>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8</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高强螺栓检测仪</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left"/>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9</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涂层测厚仪</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left"/>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10</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数字回弹仪</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543"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left"/>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11</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基桩动测仪</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543"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left"/>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12</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基桩静载仪</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543"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left"/>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13</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桩基静载荷测试分析仪</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left"/>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14</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全站仪</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left"/>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15</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测斜仪</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left"/>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16</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水位计</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543"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left"/>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17</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激光测距仪</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543"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left"/>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18</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箱式电阻炉</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left"/>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19</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宋体"/>
                <w:snapToGrid/>
                <w:color w:val="000000" w:themeColor="text1"/>
                <w:kern w:val="2"/>
                <w:sz w:val="24"/>
                <w:szCs w:val="21"/>
                <w:highlight w:val="none"/>
                <w:lang w:val="en-US" w:eastAsia="zh-CN" w:bidi="ar"/>
                <w14:textFill>
                  <w14:solidFill>
                    <w14:schemeClr w14:val="tx1"/>
                  </w14:solidFill>
                </w14:textFill>
              </w:rPr>
              <w:t>液晶全自动落锤冲击试验机</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543"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left"/>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20</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高支模智能无线数据采集系统</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312" w:lineRule="auto"/>
              <w:ind w:left="0" w:leftChars="0" w:right="0" w:rightChars="0" w:firstLine="480" w:firstLineChars="200"/>
              <w:jc w:val="center"/>
              <w:rPr>
                <w:rFonts w:hint="default"/>
                <w:color w:val="000000" w:themeColor="text1"/>
                <w:szCs w:val="24"/>
                <w:highlight w:val="none"/>
                <w:lang w:val="en-US"/>
                <w14:textFill>
                  <w14:solidFill>
                    <w14:schemeClr w14:val="tx1"/>
                  </w14:solidFill>
                </w14:textFill>
              </w:rPr>
            </w:pPr>
            <w:r>
              <w:rPr>
                <w:rFonts w:hint="eastAsia" w:ascii="宋体" w:hAnsi="宋体" w:eastAsia="宋体" w:cs="Times New Roman"/>
                <w:snapToGrid/>
                <w:color w:val="000000" w:themeColor="text1"/>
                <w:kern w:val="2"/>
                <w:sz w:val="24"/>
                <w:szCs w:val="22"/>
                <w:highlight w:val="none"/>
                <w:lang w:val="en-US" w:eastAsia="zh-CN" w:bidi="ar"/>
                <w14:textFill>
                  <w14:solidFill>
                    <w14:schemeClr w14:val="tx1"/>
                  </w14:solidFill>
                </w14:textFill>
              </w:rPr>
              <w:t>1台</w:t>
            </w:r>
          </w:p>
        </w:tc>
      </w:tr>
    </w:tbl>
    <w:p>
      <w:pPr>
        <w:widowControl/>
        <w:shd w:val="clear"/>
        <w:spacing w:line="440" w:lineRule="exact"/>
        <w:ind w:firstLine="482" w:firstLineChars="200"/>
        <w:rPr>
          <w:rFonts w:hint="eastAsia" w:ascii="宋体" w:hAnsi="宋体" w:eastAsia="宋体" w:cs="宋体"/>
          <w:b/>
          <w:bCs/>
          <w:snapToGrid w:val="0"/>
          <w:color w:val="000000" w:themeColor="text1"/>
          <w:kern w:val="28"/>
          <w:sz w:val="24"/>
          <w:szCs w:val="24"/>
          <w:highlight w:val="none"/>
          <w:lang w:eastAsia="zh-CN" w:bidi="ar"/>
          <w14:textFill>
            <w14:solidFill>
              <w14:schemeClr w14:val="tx1"/>
            </w14:solidFill>
          </w14:textFill>
        </w:rPr>
      </w:pPr>
      <w:r>
        <w:rPr>
          <w:rFonts w:hint="eastAsia" w:ascii="宋体" w:hAnsi="宋体" w:cs="宋体"/>
          <w:b/>
          <w:bCs/>
          <w:snapToGrid w:val="0"/>
          <w:color w:val="000000" w:themeColor="text1"/>
          <w:kern w:val="28"/>
          <w:sz w:val="24"/>
          <w:szCs w:val="24"/>
          <w:highlight w:val="none"/>
          <w:lang w:bidi="ar"/>
          <w14:textFill>
            <w14:solidFill>
              <w14:schemeClr w14:val="tx1"/>
            </w14:solidFill>
          </w14:textFill>
        </w:rPr>
        <w:t>注：①如果提供的设备名称与上述</w:t>
      </w:r>
      <w:r>
        <w:rPr>
          <w:rFonts w:hint="eastAsia"/>
          <w:b/>
          <w:color w:val="000000" w:themeColor="text1"/>
          <w:sz w:val="24"/>
          <w:highlight w:val="none"/>
          <w:lang w:bidi="ar"/>
          <w14:textFill>
            <w14:solidFill>
              <w14:schemeClr w14:val="tx1"/>
            </w14:solidFill>
          </w14:textFill>
        </w:rPr>
        <w:t>要求表</w:t>
      </w:r>
      <w:r>
        <w:rPr>
          <w:rFonts w:hint="eastAsia" w:ascii="宋体" w:hAnsi="宋体" w:cs="宋体"/>
          <w:b/>
          <w:bCs/>
          <w:snapToGrid w:val="0"/>
          <w:color w:val="000000" w:themeColor="text1"/>
          <w:kern w:val="28"/>
          <w:sz w:val="24"/>
          <w:szCs w:val="24"/>
          <w:highlight w:val="none"/>
          <w:lang w:bidi="ar"/>
          <w14:textFill>
            <w14:solidFill>
              <w14:schemeClr w14:val="tx1"/>
            </w14:solidFill>
          </w14:textFill>
        </w:rPr>
        <w:t>的名称不一致，但是功能满足也视为符合要求； ②基于本项目检测及监测的工作量和服务期，</w:t>
      </w:r>
      <w:r>
        <w:rPr>
          <w:rFonts w:hint="default" w:ascii="宋体" w:hAnsi="宋体" w:cs="宋体"/>
          <w:b/>
          <w:bCs/>
          <w:snapToGrid w:val="0"/>
          <w:color w:val="000000" w:themeColor="text1"/>
          <w:kern w:val="28"/>
          <w:sz w:val="24"/>
          <w:szCs w:val="24"/>
          <w:highlight w:val="none"/>
          <w:lang w:val="en-US" w:bidi="ar"/>
          <w14:textFill>
            <w14:solidFill>
              <w14:schemeClr w14:val="tx1"/>
            </w14:solidFill>
          </w14:textFill>
        </w:rPr>
        <w:t>如果提供的有多功能设备能满足上述表中的设备要求，按1台进行认定。</w:t>
      </w:r>
      <w:r>
        <w:rPr>
          <w:rFonts w:hint="eastAsia" w:ascii="宋体" w:hAnsi="宋体" w:cs="宋体"/>
          <w:b/>
          <w:bCs/>
          <w:snapToGrid w:val="0"/>
          <w:color w:val="000000" w:themeColor="text1"/>
          <w:kern w:val="28"/>
          <w:sz w:val="24"/>
          <w:szCs w:val="24"/>
          <w:highlight w:val="none"/>
          <w:lang w:val="en-US" w:eastAsia="zh-CN" w:bidi="ar"/>
          <w14:textFill>
            <w14:solidFill>
              <w14:schemeClr w14:val="tx1"/>
            </w14:solidFill>
          </w14:textFill>
        </w:rPr>
        <w:t xml:space="preserve"> </w:t>
      </w:r>
    </w:p>
    <w:p>
      <w:pPr>
        <w:pStyle w:val="20"/>
        <w:shd w:val="clear"/>
        <w:rPr>
          <w:color w:val="000000" w:themeColor="text1"/>
          <w:highlight w:val="none"/>
          <w:lang w:bidi="ar"/>
          <w14:textFill>
            <w14:solidFill>
              <w14:schemeClr w14:val="tx1"/>
            </w14:solidFill>
          </w14:textFill>
        </w:rPr>
      </w:pPr>
    </w:p>
    <w:p>
      <w:pPr>
        <w:pStyle w:val="33"/>
        <w:widowControl w:val="0"/>
        <w:shd w:val="clear"/>
        <w:autoSpaceDE w:val="0"/>
        <w:autoSpaceDN w:val="0"/>
        <w:adjustRightInd w:val="0"/>
        <w:snapToGrid w:val="0"/>
        <w:spacing w:before="0" w:beforeAutospacing="0" w:after="0" w:afterAutospacing="0" w:line="360" w:lineRule="auto"/>
        <w:rPr>
          <w:rFonts w:ascii="Times New Roman" w:hAnsi="Times New Roman" w:cs="Times New Roman"/>
          <w:b/>
          <w:color w:val="000000" w:themeColor="text1"/>
          <w:kern w:val="2"/>
          <w:highlight w:val="none"/>
          <w14:textFill>
            <w14:solidFill>
              <w14:schemeClr w14:val="tx1"/>
            </w14:solidFill>
          </w14:textFill>
        </w:rPr>
      </w:pPr>
      <w:r>
        <w:rPr>
          <w:rFonts w:hint="eastAsia" w:ascii="Times New Roman" w:hAnsi="Times New Roman"/>
          <w:b/>
          <w:color w:val="000000" w:themeColor="text1"/>
          <w:kern w:val="2"/>
          <w:szCs w:val="24"/>
          <w:highlight w:val="none"/>
          <w:lang w:bidi="ar"/>
          <w14:textFill>
            <w14:solidFill>
              <w14:schemeClr w14:val="tx1"/>
            </w14:solidFill>
          </w14:textFill>
        </w:rPr>
        <w:t>三、检测方案编制要求</w:t>
      </w:r>
    </w:p>
    <w:p>
      <w:pPr>
        <w:widowControl/>
        <w:shd w:val="clear"/>
        <w:adjustRightInd w:val="0"/>
        <w:snapToGrid w:val="0"/>
        <w:spacing w:line="440" w:lineRule="exact"/>
        <w:ind w:firstLine="480" w:firstLineChars="200"/>
        <w:rPr>
          <w:rFonts w:ascii="宋体" w:hAnsi="宋体" w:cs="宋体"/>
          <w:snapToGrid w:val="0"/>
          <w:color w:val="000000" w:themeColor="text1"/>
          <w:kern w:val="28"/>
          <w:sz w:val="24"/>
          <w:szCs w:val="24"/>
          <w:highlight w:val="none"/>
          <w:lang w:bidi="ar"/>
          <w14:textFill>
            <w14:solidFill>
              <w14:schemeClr w14:val="tx1"/>
            </w14:solidFill>
          </w14:textFill>
        </w:rPr>
      </w:pPr>
      <w:r>
        <w:rPr>
          <w:rFonts w:hint="eastAsia" w:ascii="宋体" w:hAnsi="宋体" w:cs="宋体"/>
          <w:snapToGrid w:val="0"/>
          <w:color w:val="000000" w:themeColor="text1"/>
          <w:kern w:val="28"/>
          <w:sz w:val="24"/>
          <w:szCs w:val="24"/>
          <w:highlight w:val="none"/>
          <w:lang w:bidi="ar"/>
          <w14:textFill>
            <w14:solidFill>
              <w14:schemeClr w14:val="tx1"/>
            </w14:solidFill>
          </w14:textFill>
        </w:rPr>
        <w:t>中标人在进场检测前，需根据施工图纸及现场实际情况编制检测方案，并报监理工程师、招标人、项目所在行政区域的相关建设行政主管部门和监督部门等审批同意后实施。检测方案必须满足设计文件以及国家、广东省及广州市监督部门现行技术规范的要求。</w:t>
      </w:r>
    </w:p>
    <w:p>
      <w:pPr>
        <w:numPr>
          <w:ilvl w:val="0"/>
          <w:numId w:val="2"/>
        </w:numPr>
        <w:shd w:val="clear"/>
        <w:adjustRightInd w:val="0"/>
        <w:snapToGrid w:val="0"/>
        <w:spacing w:line="324" w:lineRule="auto"/>
        <w:ind w:firstLine="482" w:firstLineChars="200"/>
        <w:jc w:val="center"/>
        <w:rPr>
          <w:rFonts w:ascii="宋体" w:hAnsi="宋体" w:cs="宋体"/>
          <w:b/>
          <w:color w:val="000000" w:themeColor="text1"/>
          <w:sz w:val="24"/>
          <w:szCs w:val="24"/>
          <w:highlight w:val="none"/>
          <w:lang w:bidi="ar"/>
          <w14:textFill>
            <w14:solidFill>
              <w14:schemeClr w14:val="tx1"/>
            </w14:solidFill>
          </w14:textFill>
        </w:rPr>
      </w:pPr>
      <w:bookmarkStart w:id="181" w:name="_Toc511557111"/>
      <w:bookmarkStart w:id="182" w:name="_Toc482188638"/>
      <w:r>
        <w:rPr>
          <w:rFonts w:hint="eastAsia" w:ascii="宋体" w:hAnsi="宋体" w:cs="宋体"/>
          <w:b/>
          <w:color w:val="000000" w:themeColor="text1"/>
          <w:sz w:val="24"/>
          <w:szCs w:val="24"/>
          <w:highlight w:val="none"/>
          <w:lang w:bidi="ar"/>
          <w14:textFill>
            <w14:solidFill>
              <w14:schemeClr w14:val="tx1"/>
            </w14:solidFill>
          </w14:textFill>
        </w:rPr>
        <w:t>监测服务</w:t>
      </w:r>
    </w:p>
    <w:p>
      <w:pPr>
        <w:shd w:val="clear"/>
        <w:adjustRightInd w:val="0"/>
        <w:snapToGrid w:val="0"/>
        <w:spacing w:line="324"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bidi="ar"/>
          <w14:textFill>
            <w14:solidFill>
              <w14:schemeClr w14:val="tx1"/>
            </w14:solidFill>
          </w14:textFill>
        </w:rPr>
        <w:t xml:space="preserve">    一、主要使用的监测规范</w:t>
      </w:r>
    </w:p>
    <w:p>
      <w:pPr>
        <w:shd w:val="clear"/>
        <w:adjustRightInd w:val="0"/>
        <w:snapToGrid w:val="0"/>
        <w:spacing w:line="324"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1.实施本项目监测工作应符合（但不仅限于）以下的监测规范及要求及其它国家及省.部等相关监测规范及文件要求：</w:t>
      </w:r>
    </w:p>
    <w:p>
      <w:pPr>
        <w:widowControl/>
        <w:shd w:val="clear"/>
        <w:adjustRightInd w:val="0"/>
        <w:snapToGrid w:val="0"/>
        <w:spacing w:line="324" w:lineRule="auto"/>
        <w:ind w:left="-15" w:right="15" w:firstLine="420"/>
        <w:jc w:val="left"/>
        <w:rPr>
          <w:rFonts w:ascii="宋体" w:hAnsi="宋体" w:cs="宋体"/>
          <w:color w:val="000000" w:themeColor="text1"/>
          <w:spacing w:val="1"/>
          <w:kern w:val="0"/>
          <w:sz w:val="24"/>
          <w:szCs w:val="24"/>
          <w:highlight w:val="none"/>
          <w14:textFill>
            <w14:solidFill>
              <w14:schemeClr w14:val="tx1"/>
            </w14:solidFill>
          </w14:textFill>
        </w:rPr>
      </w:pPr>
      <w:r>
        <w:rPr>
          <w:rFonts w:hint="eastAsia" w:ascii="宋体" w:hAnsi="宋体" w:cs="宋体"/>
          <w:color w:val="000000" w:themeColor="text1"/>
          <w:spacing w:val="1"/>
          <w:kern w:val="0"/>
          <w:sz w:val="24"/>
          <w:szCs w:val="24"/>
          <w:highlight w:val="none"/>
          <w:lang w:bidi="ar"/>
          <w14:textFill>
            <w14:solidFill>
              <w14:schemeClr w14:val="tx1"/>
            </w14:solidFill>
          </w14:textFill>
        </w:rPr>
        <w:t>2.基坑变形和位移监测方案必须满足设计文件、《岩土工程勘察规范》【GB50021-2001（2009年版）】以及国家现行技术规范的要求，观测点布置及数量必须确保满足保证基坑及周围环境安全。</w:t>
      </w:r>
    </w:p>
    <w:p>
      <w:pPr>
        <w:widowControl/>
        <w:shd w:val="clear"/>
        <w:adjustRightInd w:val="0"/>
        <w:snapToGrid w:val="0"/>
        <w:spacing w:line="324"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本项目监测方案必须满足设计文件：《岩土工程勘察规范》、《工程测量规范》以及国家广东省广州市现行技术规范的要求和本地区质量监督部门的要求，且必须经过设计人、监理人、招标人审定批准并报工程安监机构备案后方可实施，观测点布置及数量必须确保满足保证本工程及周围环境安全需要。所有监测均应有详细的书面报告。</w:t>
      </w:r>
    </w:p>
    <w:bookmarkEnd w:id="181"/>
    <w:bookmarkEnd w:id="182"/>
    <w:p>
      <w:pPr>
        <w:widowControl/>
        <w:shd w:val="clear"/>
        <w:adjustRightInd w:val="0"/>
        <w:snapToGrid w:val="0"/>
        <w:spacing w:line="324"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bidi="ar"/>
          <w14:textFill>
            <w14:solidFill>
              <w14:schemeClr w14:val="tx1"/>
            </w14:solidFill>
          </w14:textFill>
        </w:rPr>
        <w:t>二、现场作业计划</w:t>
      </w:r>
    </w:p>
    <w:p>
      <w:pPr>
        <w:widowControl/>
        <w:shd w:val="clear"/>
        <w:adjustRightInd w:val="0"/>
        <w:snapToGrid w:val="0"/>
        <w:spacing w:line="324"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监测人应在开展工作前向监理人报备作业计划，计划应包括作业内容及作业时间；完成后1个工作日内出具观测简报一式三份；全部观测结束后，5个工作日内完成监测总结报告，并向招标人提交一式十份成果报告。现场监测要求：监测人应严格按照设计要求及报备的作业计划执行监测工作，并按照工程建设需要，配合招标人、监理人及时到赴现场进行监测工作。</w:t>
      </w:r>
    </w:p>
    <w:p>
      <w:pPr>
        <w:widowControl/>
        <w:shd w:val="clear"/>
        <w:adjustRightInd w:val="0"/>
        <w:snapToGrid w:val="0"/>
        <w:spacing w:line="324"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bidi="ar"/>
          <w14:textFill>
            <w14:solidFill>
              <w14:schemeClr w14:val="tx1"/>
            </w14:solidFill>
          </w14:textFill>
        </w:rPr>
        <w:t>三、监测、观测频率和要求（以招标文件、设计图纸及相关资料为准）</w:t>
      </w:r>
    </w:p>
    <w:p>
      <w:pPr>
        <w:widowControl/>
        <w:shd w:val="clear"/>
        <w:adjustRightInd w:val="0"/>
        <w:snapToGrid w:val="0"/>
        <w:spacing w:line="324"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 xml:space="preserve">1.须编制具体监测方案，监测频率满足设计以及相关规范要求。 </w:t>
      </w:r>
    </w:p>
    <w:p>
      <w:pPr>
        <w:widowControl/>
        <w:shd w:val="clear"/>
        <w:adjustRightInd w:val="0"/>
        <w:snapToGrid w:val="0"/>
        <w:spacing w:line="324"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2.当变形超过有关标准或场地条件变化较大时，应加密观测，并通报监理人及招标人。</w:t>
      </w:r>
    </w:p>
    <w:p>
      <w:pPr>
        <w:widowControl/>
        <w:shd w:val="clear"/>
        <w:adjustRightInd w:val="0"/>
        <w:snapToGrid w:val="0"/>
        <w:spacing w:line="324"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3.当有危险事故征兆时，应进行连续监测，并向监理人及招标人作书面汇报。</w:t>
      </w:r>
    </w:p>
    <w:p>
      <w:pPr>
        <w:widowControl/>
        <w:shd w:val="clear"/>
        <w:adjustRightInd w:val="0"/>
        <w:snapToGrid w:val="0"/>
        <w:spacing w:line="324"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4.监测人应严格按照设计要求及监理人要求，及时到现场进行工作。</w:t>
      </w:r>
    </w:p>
    <w:p>
      <w:pPr>
        <w:widowControl/>
        <w:shd w:val="clear"/>
        <w:adjustRightInd w:val="0"/>
        <w:snapToGrid w:val="0"/>
        <w:spacing w:line="324"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5.监测工作应有完整的原始记录表、数据报表、图形和曲线等资料。</w:t>
      </w:r>
    </w:p>
    <w:p>
      <w:pPr>
        <w:widowControl/>
        <w:shd w:val="clear"/>
        <w:adjustRightInd w:val="0"/>
        <w:snapToGrid w:val="0"/>
        <w:spacing w:line="324"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6.工程出现质量隐患时，必须立即上报监理人及招标人，因监测人未及时上报情况，而造成安全事故的，中标监测人需负全部责任，对招标人造成损失的，应赔偿该部分费用。</w:t>
      </w:r>
    </w:p>
    <w:p>
      <w:pPr>
        <w:widowControl/>
        <w:shd w:val="clear"/>
        <w:adjustRightInd w:val="0"/>
        <w:snapToGrid w:val="0"/>
        <w:spacing w:line="324"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7.发生险情时，中标监测人收到监理人或招标人通知后的2个小时内必须派专人赶至施工现场。</w:t>
      </w:r>
    </w:p>
    <w:p>
      <w:pPr>
        <w:widowControl/>
        <w:shd w:val="clear"/>
        <w:adjustRightInd w:val="0"/>
        <w:snapToGrid w:val="0"/>
        <w:spacing w:line="324" w:lineRule="auto"/>
        <w:ind w:firstLine="480" w:firstLineChars="200"/>
        <w:rPr>
          <w:rFonts w:ascii="宋体" w:hAnsi="宋体" w:cs="宋体"/>
          <w:color w:val="000000" w:themeColor="text1"/>
          <w:kern w:val="28"/>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8.</w:t>
      </w:r>
      <w:r>
        <w:rPr>
          <w:rFonts w:hint="eastAsia" w:ascii="宋体" w:hAnsi="宋体" w:cs="宋体"/>
          <w:snapToGrid w:val="0"/>
          <w:color w:val="000000" w:themeColor="text1"/>
          <w:kern w:val="28"/>
          <w:sz w:val="24"/>
          <w:szCs w:val="24"/>
          <w:highlight w:val="none"/>
          <w:lang w:bidi="ar"/>
          <w14:textFill>
            <w14:solidFill>
              <w14:schemeClr w14:val="tx1"/>
            </w14:solidFill>
          </w14:textFill>
        </w:rPr>
        <w:t>监测设备要求：用于完成本项目监测的仪器</w:t>
      </w:r>
      <w:r>
        <w:rPr>
          <w:rFonts w:hint="eastAsia" w:ascii="宋体" w:hAnsi="宋体" w:cs="宋体"/>
          <w:color w:val="000000" w:themeColor="text1"/>
          <w:kern w:val="28"/>
          <w:sz w:val="24"/>
          <w:szCs w:val="24"/>
          <w:highlight w:val="none"/>
          <w:lang w:bidi="ar"/>
          <w14:textFill>
            <w14:solidFill>
              <w14:schemeClr w14:val="tx1"/>
            </w14:solidFill>
          </w14:textFill>
        </w:rPr>
        <w:t>.</w:t>
      </w:r>
      <w:r>
        <w:rPr>
          <w:rFonts w:hint="eastAsia" w:ascii="宋体" w:hAnsi="宋体" w:cs="宋体"/>
          <w:snapToGrid w:val="0"/>
          <w:color w:val="000000" w:themeColor="text1"/>
          <w:kern w:val="28"/>
          <w:sz w:val="24"/>
          <w:szCs w:val="24"/>
          <w:highlight w:val="none"/>
          <w:lang w:bidi="ar"/>
          <w14:textFill>
            <w14:solidFill>
              <w14:schemeClr w14:val="tx1"/>
            </w14:solidFill>
          </w14:textFill>
        </w:rPr>
        <w:t>设备和材料由监测人自行运输，存管。仪器、设备和材料应有产品出厂合格证，检定</w:t>
      </w:r>
      <w:r>
        <w:rPr>
          <w:rFonts w:hint="eastAsia" w:ascii="宋体" w:hAnsi="宋体" w:cs="宋体"/>
          <w:color w:val="000000" w:themeColor="text1"/>
          <w:kern w:val="28"/>
          <w:sz w:val="24"/>
          <w:szCs w:val="24"/>
          <w:highlight w:val="none"/>
          <w:lang w:bidi="ar"/>
          <w14:textFill>
            <w14:solidFill>
              <w14:schemeClr w14:val="tx1"/>
            </w14:solidFill>
          </w14:textFill>
        </w:rPr>
        <w:t>/</w:t>
      </w:r>
      <w:r>
        <w:rPr>
          <w:rFonts w:hint="eastAsia" w:ascii="宋体" w:hAnsi="宋体" w:cs="宋体"/>
          <w:snapToGrid w:val="0"/>
          <w:color w:val="000000" w:themeColor="text1"/>
          <w:kern w:val="28"/>
          <w:sz w:val="24"/>
          <w:szCs w:val="24"/>
          <w:highlight w:val="none"/>
          <w:lang w:bidi="ar"/>
          <w14:textFill>
            <w14:solidFill>
              <w14:schemeClr w14:val="tx1"/>
            </w14:solidFill>
          </w14:textFill>
        </w:rPr>
        <w:t>校准证书，同时符合相关技术标准和检定要求。</w:t>
      </w:r>
    </w:p>
    <w:p>
      <w:pPr>
        <w:widowControl/>
        <w:shd w:val="clear"/>
        <w:adjustRightInd w:val="0"/>
        <w:snapToGrid w:val="0"/>
        <w:spacing w:line="324" w:lineRule="auto"/>
        <w:ind w:firstLine="480" w:firstLineChars="200"/>
        <w:rPr>
          <w:rFonts w:ascii="宋体" w:hAnsi="宋体" w:cs="宋体"/>
          <w:color w:val="000000" w:themeColor="text1"/>
          <w:kern w:val="28"/>
          <w:sz w:val="24"/>
          <w:szCs w:val="24"/>
          <w:highlight w:val="none"/>
          <w14:textFill>
            <w14:solidFill>
              <w14:schemeClr w14:val="tx1"/>
            </w14:solidFill>
          </w14:textFill>
        </w:rPr>
      </w:pPr>
      <w:r>
        <w:rPr>
          <w:rFonts w:hint="eastAsia" w:ascii="宋体" w:hAnsi="宋体" w:cs="宋体"/>
          <w:snapToGrid w:val="0"/>
          <w:color w:val="000000" w:themeColor="text1"/>
          <w:kern w:val="28"/>
          <w:sz w:val="24"/>
          <w:szCs w:val="24"/>
          <w:highlight w:val="none"/>
          <w:lang w:bidi="ar"/>
          <w14:textFill>
            <w14:solidFill>
              <w14:schemeClr w14:val="tx1"/>
            </w14:solidFill>
          </w14:textFill>
        </w:rPr>
        <w:t xml:space="preserve">9.监测人在进场监测前，需根据经招标人确认的监测图纸及现场实际情况编制服务方案，并报监理人、招标人、项目所在行政区域的相关建设行政主管部门和监督部门等，经审批同意后组织实施。监测方案必须满足设计文件以及国家、广东省及广州市监督部门现行技术规范的要求。 </w:t>
      </w:r>
    </w:p>
    <w:p>
      <w:pPr>
        <w:widowControl/>
        <w:shd w:val="clear"/>
        <w:adjustRightInd w:val="0"/>
        <w:snapToGrid w:val="0"/>
        <w:spacing w:line="324" w:lineRule="auto"/>
        <w:ind w:firstLine="480" w:firstLineChars="200"/>
        <w:rPr>
          <w:rFonts w:ascii="宋体" w:hAnsi="宋体" w:cs="宋体"/>
          <w:color w:val="000000" w:themeColor="text1"/>
          <w:kern w:val="28"/>
          <w:sz w:val="24"/>
          <w:szCs w:val="24"/>
          <w:highlight w:val="none"/>
          <w14:textFill>
            <w14:solidFill>
              <w14:schemeClr w14:val="tx1"/>
            </w14:solidFill>
          </w14:textFill>
        </w:rPr>
      </w:pPr>
      <w:r>
        <w:rPr>
          <w:rFonts w:hint="eastAsia" w:ascii="宋体" w:hAnsi="宋体" w:cs="宋体"/>
          <w:snapToGrid w:val="0"/>
          <w:color w:val="000000" w:themeColor="text1"/>
          <w:kern w:val="28"/>
          <w:sz w:val="24"/>
          <w:szCs w:val="24"/>
          <w:highlight w:val="none"/>
          <w:lang w:bidi="ar"/>
          <w14:textFill>
            <w14:solidFill>
              <w14:schemeClr w14:val="tx1"/>
            </w14:solidFill>
          </w14:textFill>
        </w:rPr>
        <w:t>10.监测成果提交</w:t>
      </w:r>
    </w:p>
    <w:p>
      <w:pPr>
        <w:widowControl/>
        <w:shd w:val="clear"/>
        <w:adjustRightInd w:val="0"/>
        <w:snapToGrid w:val="0"/>
        <w:spacing w:line="324" w:lineRule="auto"/>
        <w:ind w:firstLine="480" w:firstLineChars="200"/>
        <w:rPr>
          <w:rFonts w:ascii="宋体" w:hAnsi="宋体" w:cs="宋体"/>
          <w:color w:val="000000" w:themeColor="text1"/>
          <w:kern w:val="28"/>
          <w:sz w:val="24"/>
          <w:szCs w:val="24"/>
          <w:highlight w:val="none"/>
          <w14:textFill>
            <w14:solidFill>
              <w14:schemeClr w14:val="tx1"/>
            </w14:solidFill>
          </w14:textFill>
        </w:rPr>
      </w:pPr>
      <w:r>
        <w:rPr>
          <w:rFonts w:hint="eastAsia" w:ascii="宋体" w:hAnsi="宋体" w:cs="宋体"/>
          <w:snapToGrid w:val="0"/>
          <w:color w:val="000000" w:themeColor="text1"/>
          <w:kern w:val="28"/>
          <w:sz w:val="24"/>
          <w:szCs w:val="24"/>
          <w:highlight w:val="none"/>
          <w:lang w:bidi="ar"/>
          <w14:textFill>
            <w14:solidFill>
              <w14:schemeClr w14:val="tx1"/>
            </w14:solidFill>
          </w14:textFill>
        </w:rPr>
        <w:t xml:space="preserve">监测成果的提交分为电子数据和纸质成果，电子数据在监测完成后以电子邮件的形式发送，需确保不因传输报送工作影响本工程项目的建设进度和竣工验收。监测成果分为日报表、阶段报表（周、月报）和完成时提供的监测总报告。每次监测完成时提供监测日报表，报表主要内容组成如下： </w:t>
      </w:r>
    </w:p>
    <w:p>
      <w:pPr>
        <w:widowControl/>
        <w:shd w:val="clear"/>
        <w:adjustRightInd w:val="0"/>
        <w:snapToGrid w:val="0"/>
        <w:spacing w:line="324" w:lineRule="auto"/>
        <w:ind w:firstLine="480" w:firstLineChars="200"/>
        <w:rPr>
          <w:rFonts w:ascii="宋体" w:hAnsi="宋体" w:cs="宋体"/>
          <w:color w:val="000000" w:themeColor="text1"/>
          <w:kern w:val="28"/>
          <w:sz w:val="24"/>
          <w:szCs w:val="24"/>
          <w:highlight w:val="none"/>
          <w14:textFill>
            <w14:solidFill>
              <w14:schemeClr w14:val="tx1"/>
            </w14:solidFill>
          </w14:textFill>
        </w:rPr>
      </w:pPr>
      <w:r>
        <w:rPr>
          <w:rFonts w:hint="eastAsia" w:ascii="宋体" w:hAnsi="宋体" w:cs="宋体"/>
          <w:snapToGrid w:val="0"/>
          <w:color w:val="000000" w:themeColor="text1"/>
          <w:kern w:val="28"/>
          <w:sz w:val="24"/>
          <w:szCs w:val="24"/>
          <w:highlight w:val="none"/>
          <w:lang w:bidi="ar"/>
          <w14:textFill>
            <w14:solidFill>
              <w14:schemeClr w14:val="tx1"/>
            </w14:solidFill>
          </w14:textFill>
        </w:rPr>
        <w:t>（</w:t>
      </w:r>
      <w:r>
        <w:rPr>
          <w:rFonts w:hint="eastAsia" w:ascii="宋体" w:hAnsi="宋体" w:cs="宋体"/>
          <w:color w:val="000000" w:themeColor="text1"/>
          <w:kern w:val="28"/>
          <w:sz w:val="24"/>
          <w:szCs w:val="24"/>
          <w:highlight w:val="none"/>
          <w:lang w:bidi="ar"/>
          <w14:textFill>
            <w14:solidFill>
              <w14:schemeClr w14:val="tx1"/>
            </w14:solidFill>
          </w14:textFill>
        </w:rPr>
        <w:t>1</w:t>
      </w:r>
      <w:r>
        <w:rPr>
          <w:rFonts w:hint="eastAsia" w:ascii="宋体" w:hAnsi="宋体" w:cs="宋体"/>
          <w:snapToGrid w:val="0"/>
          <w:color w:val="000000" w:themeColor="text1"/>
          <w:kern w:val="28"/>
          <w:sz w:val="24"/>
          <w:szCs w:val="24"/>
          <w:highlight w:val="none"/>
          <w:lang w:bidi="ar"/>
          <w14:textFill>
            <w14:solidFill>
              <w14:schemeClr w14:val="tx1"/>
            </w14:solidFill>
          </w14:textFill>
        </w:rPr>
        <w:t>）监测项目测点布置示意图；</w:t>
      </w:r>
    </w:p>
    <w:p>
      <w:pPr>
        <w:widowControl/>
        <w:shd w:val="clear"/>
        <w:adjustRightInd w:val="0"/>
        <w:snapToGrid w:val="0"/>
        <w:spacing w:line="324" w:lineRule="auto"/>
        <w:ind w:firstLine="480" w:firstLineChars="200"/>
        <w:rPr>
          <w:rFonts w:ascii="宋体" w:hAnsi="宋体" w:cs="宋体"/>
          <w:color w:val="000000" w:themeColor="text1"/>
          <w:kern w:val="28"/>
          <w:sz w:val="24"/>
          <w:szCs w:val="24"/>
          <w:highlight w:val="none"/>
          <w14:textFill>
            <w14:solidFill>
              <w14:schemeClr w14:val="tx1"/>
            </w14:solidFill>
          </w14:textFill>
        </w:rPr>
      </w:pPr>
      <w:r>
        <w:rPr>
          <w:rFonts w:hint="eastAsia" w:ascii="宋体" w:hAnsi="宋体" w:cs="宋体"/>
          <w:snapToGrid w:val="0"/>
          <w:color w:val="000000" w:themeColor="text1"/>
          <w:kern w:val="28"/>
          <w:sz w:val="24"/>
          <w:szCs w:val="24"/>
          <w:highlight w:val="none"/>
          <w:lang w:bidi="ar"/>
          <w14:textFill>
            <w14:solidFill>
              <w14:schemeClr w14:val="tx1"/>
            </w14:solidFill>
          </w14:textFill>
        </w:rPr>
        <w:t>（</w:t>
      </w:r>
      <w:r>
        <w:rPr>
          <w:rFonts w:hint="eastAsia" w:ascii="宋体" w:hAnsi="宋体" w:cs="宋体"/>
          <w:color w:val="000000" w:themeColor="text1"/>
          <w:kern w:val="28"/>
          <w:sz w:val="24"/>
          <w:szCs w:val="24"/>
          <w:highlight w:val="none"/>
          <w:lang w:bidi="ar"/>
          <w14:textFill>
            <w14:solidFill>
              <w14:schemeClr w14:val="tx1"/>
            </w14:solidFill>
          </w14:textFill>
        </w:rPr>
        <w:t>2</w:t>
      </w:r>
      <w:r>
        <w:rPr>
          <w:rFonts w:hint="eastAsia" w:ascii="宋体" w:hAnsi="宋体" w:cs="宋体"/>
          <w:snapToGrid w:val="0"/>
          <w:color w:val="000000" w:themeColor="text1"/>
          <w:kern w:val="28"/>
          <w:sz w:val="24"/>
          <w:szCs w:val="24"/>
          <w:highlight w:val="none"/>
          <w:lang w:bidi="ar"/>
          <w14:textFill>
            <w14:solidFill>
              <w14:schemeClr w14:val="tx1"/>
            </w14:solidFill>
          </w14:textFill>
        </w:rPr>
        <w:t>）监测项目监测数据的分析与说明；</w:t>
      </w:r>
    </w:p>
    <w:p>
      <w:pPr>
        <w:widowControl/>
        <w:shd w:val="clear"/>
        <w:adjustRightInd w:val="0"/>
        <w:snapToGrid w:val="0"/>
        <w:spacing w:line="324" w:lineRule="auto"/>
        <w:ind w:firstLine="480" w:firstLineChars="200"/>
        <w:rPr>
          <w:rFonts w:ascii="宋体" w:hAnsi="宋体" w:cs="宋体"/>
          <w:color w:val="000000" w:themeColor="text1"/>
          <w:kern w:val="28"/>
          <w:sz w:val="24"/>
          <w:szCs w:val="24"/>
          <w:highlight w:val="none"/>
          <w14:textFill>
            <w14:solidFill>
              <w14:schemeClr w14:val="tx1"/>
            </w14:solidFill>
          </w14:textFill>
        </w:rPr>
      </w:pPr>
      <w:r>
        <w:rPr>
          <w:rFonts w:hint="eastAsia" w:ascii="宋体" w:hAnsi="宋体" w:cs="宋体"/>
          <w:snapToGrid w:val="0"/>
          <w:color w:val="000000" w:themeColor="text1"/>
          <w:kern w:val="28"/>
          <w:sz w:val="24"/>
          <w:szCs w:val="24"/>
          <w:highlight w:val="none"/>
          <w:lang w:bidi="ar"/>
          <w14:textFill>
            <w14:solidFill>
              <w14:schemeClr w14:val="tx1"/>
            </w14:solidFill>
          </w14:textFill>
        </w:rPr>
        <w:t>（</w:t>
      </w:r>
      <w:r>
        <w:rPr>
          <w:rFonts w:hint="eastAsia" w:ascii="宋体" w:hAnsi="宋体" w:cs="宋体"/>
          <w:color w:val="000000" w:themeColor="text1"/>
          <w:kern w:val="28"/>
          <w:sz w:val="24"/>
          <w:szCs w:val="24"/>
          <w:highlight w:val="none"/>
          <w:lang w:bidi="ar"/>
          <w14:textFill>
            <w14:solidFill>
              <w14:schemeClr w14:val="tx1"/>
            </w14:solidFill>
          </w14:textFill>
        </w:rPr>
        <w:t>3</w:t>
      </w:r>
      <w:r>
        <w:rPr>
          <w:rFonts w:hint="eastAsia" w:ascii="宋体" w:hAnsi="宋体" w:cs="宋体"/>
          <w:snapToGrid w:val="0"/>
          <w:color w:val="000000" w:themeColor="text1"/>
          <w:kern w:val="28"/>
          <w:sz w:val="24"/>
          <w:szCs w:val="24"/>
          <w:highlight w:val="none"/>
          <w:lang w:bidi="ar"/>
          <w14:textFill>
            <w14:solidFill>
              <w14:schemeClr w14:val="tx1"/>
            </w14:solidFill>
          </w14:textFill>
        </w:rPr>
        <w:t>）监测项目监测值数据变化表及变化曲线。</w:t>
      </w:r>
    </w:p>
    <w:p>
      <w:pPr>
        <w:widowControl/>
        <w:shd w:val="clear"/>
        <w:adjustRightInd w:val="0"/>
        <w:snapToGrid w:val="0"/>
        <w:spacing w:line="324" w:lineRule="auto"/>
        <w:ind w:firstLine="480" w:firstLineChars="200"/>
        <w:rPr>
          <w:rFonts w:ascii="宋体" w:hAnsi="宋体" w:cs="宋体"/>
          <w:color w:val="000000" w:themeColor="text1"/>
          <w:kern w:val="28"/>
          <w:sz w:val="24"/>
          <w:szCs w:val="24"/>
          <w:highlight w:val="none"/>
          <w14:textFill>
            <w14:solidFill>
              <w14:schemeClr w14:val="tx1"/>
            </w14:solidFill>
          </w14:textFill>
        </w:rPr>
      </w:pPr>
      <w:r>
        <w:rPr>
          <w:rFonts w:hint="eastAsia" w:ascii="宋体" w:hAnsi="宋体" w:cs="宋体"/>
          <w:snapToGrid w:val="0"/>
          <w:color w:val="000000" w:themeColor="text1"/>
          <w:kern w:val="28"/>
          <w:sz w:val="24"/>
          <w:szCs w:val="24"/>
          <w:highlight w:val="none"/>
          <w:lang w:bidi="ar"/>
          <w14:textFill>
            <w14:solidFill>
              <w14:schemeClr w14:val="tx1"/>
            </w14:solidFill>
          </w14:textFill>
        </w:rPr>
        <w:t>11.本技术要求未说明事项，均按现行国家及地方的相关法律、规范和规定、行业标准等实施。</w:t>
      </w:r>
    </w:p>
    <w:p>
      <w:pPr>
        <w:widowControl/>
        <w:shd w:val="clear"/>
        <w:adjustRightInd w:val="0"/>
        <w:snapToGrid w:val="0"/>
        <w:spacing w:line="324" w:lineRule="auto"/>
        <w:ind w:firstLine="480" w:firstLineChars="200"/>
        <w:rPr>
          <w:rFonts w:ascii="宋体" w:hAnsi="宋体" w:cs="宋体"/>
          <w:snapToGrid w:val="0"/>
          <w:color w:val="000000" w:themeColor="text1"/>
          <w:kern w:val="28"/>
          <w:sz w:val="24"/>
          <w:szCs w:val="24"/>
          <w:highlight w:val="none"/>
          <w:lang w:bidi="ar"/>
          <w14:textFill>
            <w14:solidFill>
              <w14:schemeClr w14:val="tx1"/>
            </w14:solidFill>
          </w14:textFill>
        </w:rPr>
      </w:pPr>
      <w:r>
        <w:rPr>
          <w:rFonts w:hint="eastAsia" w:ascii="宋体" w:hAnsi="宋体" w:cs="宋体"/>
          <w:snapToGrid w:val="0"/>
          <w:color w:val="000000" w:themeColor="text1"/>
          <w:kern w:val="28"/>
          <w:sz w:val="24"/>
          <w:szCs w:val="24"/>
          <w:highlight w:val="none"/>
          <w:lang w:bidi="ar"/>
          <w14:textFill>
            <w14:solidFill>
              <w14:schemeClr w14:val="tx1"/>
            </w14:solidFill>
          </w14:textFill>
        </w:rPr>
        <w:t>12.根据《广州市城乡建设委员会关于启用地下工程及深基坑安全监测信息管理系统的通知》要求，中标单位需配合做好信息化管理工作。中标单位需按广州市住房和城乡建设局的规定，开通基坑监测数据管理系统账号，配备能实时上传监测数据的相关仪器设备，并具备将监测数据实时上传至广州市地下工程和深基坑安全监测信息管理系统的能力及经验。</w:t>
      </w:r>
    </w:p>
    <w:p>
      <w:pPr>
        <w:widowControl/>
        <w:shd w:val="clear"/>
        <w:adjustRightInd w:val="0"/>
        <w:snapToGrid w:val="0"/>
        <w:spacing w:line="324" w:lineRule="auto"/>
        <w:ind w:firstLine="480" w:firstLineChars="200"/>
        <w:rPr>
          <w:rFonts w:ascii="宋体" w:hAnsi="宋体" w:cs="宋体"/>
          <w:snapToGrid w:val="0"/>
          <w:color w:val="000000" w:themeColor="text1"/>
          <w:kern w:val="28"/>
          <w:sz w:val="24"/>
          <w:szCs w:val="24"/>
          <w:highlight w:val="none"/>
          <w:lang w:bidi="ar"/>
          <w14:textFill>
            <w14:solidFill>
              <w14:schemeClr w14:val="tx1"/>
            </w14:solidFill>
          </w14:textFill>
        </w:rPr>
      </w:pPr>
      <w:r>
        <w:rPr>
          <w:rFonts w:hint="eastAsia" w:ascii="宋体" w:hAnsi="宋体" w:cs="宋体"/>
          <w:snapToGrid w:val="0"/>
          <w:color w:val="000000" w:themeColor="text1"/>
          <w:kern w:val="28"/>
          <w:sz w:val="24"/>
          <w:szCs w:val="24"/>
          <w:highlight w:val="none"/>
          <w:lang w:bidi="ar"/>
          <w14:textFill>
            <w14:solidFill>
              <w14:schemeClr w14:val="tx1"/>
            </w14:solidFill>
          </w14:textFill>
        </w:rPr>
        <w:t>13.根据《广州市住房和城乡建设局关于正式上线启用广州市建设工程融合监管平台高大支模及脚手架系统的通知》（穗建质〔2024〕834号）要求，中标单位需配合做好信息化管理工作。中标单位需按广州市住房和城乡建设局企业诚信档案信息库的规定，开通高大支模自动化监测数据管理系统账号，配备能实时上传监测数据的相关仪器设备，并具备将监测数据实时上传至广州市高大支模实时监测管理平台的能力及经验。</w:t>
      </w:r>
    </w:p>
    <w:p>
      <w:pPr>
        <w:shd w:val="clear"/>
        <w:adjustRightInd w:val="0"/>
        <w:snapToGrid w:val="0"/>
        <w:spacing w:line="324" w:lineRule="auto"/>
        <w:rPr>
          <w:rFonts w:ascii="宋体" w:hAnsi="宋体" w:cs="宋体"/>
          <w:b/>
          <w:color w:val="000000" w:themeColor="text1"/>
          <w:sz w:val="24"/>
          <w:szCs w:val="24"/>
          <w:highlight w:val="none"/>
          <w14:textFill>
            <w14:solidFill>
              <w14:schemeClr w14:val="tx1"/>
            </w14:solidFill>
          </w14:textFill>
        </w:rPr>
      </w:pPr>
      <w:r>
        <w:rPr>
          <w:rFonts w:ascii="宋体" w:hAnsi="宋体" w:cs="宋体"/>
          <w:snapToGrid w:val="0"/>
          <w:color w:val="000000" w:themeColor="text1"/>
          <w:kern w:val="28"/>
          <w:sz w:val="24"/>
          <w:szCs w:val="24"/>
          <w:highlight w:val="none"/>
          <w:lang w:bidi="ar"/>
          <w14:textFill>
            <w14:solidFill>
              <w14:schemeClr w14:val="tx1"/>
            </w14:solidFill>
          </w14:textFill>
        </w:rPr>
        <w:t xml:space="preserve">    </w:t>
      </w:r>
      <w:r>
        <w:rPr>
          <w:rFonts w:hint="eastAsia" w:ascii="宋体" w:hAnsi="宋体" w:cs="宋体"/>
          <w:b/>
          <w:color w:val="000000" w:themeColor="text1"/>
          <w:sz w:val="24"/>
          <w:szCs w:val="24"/>
          <w:highlight w:val="none"/>
          <w:lang w:bidi="ar"/>
          <w14:textFill>
            <w14:solidFill>
              <w14:schemeClr w14:val="tx1"/>
            </w14:solidFill>
          </w14:textFill>
        </w:rPr>
        <w:t>四、其它要求</w:t>
      </w:r>
    </w:p>
    <w:p>
      <w:pPr>
        <w:shd w:val="clear"/>
        <w:adjustRightInd w:val="0"/>
        <w:snapToGrid w:val="0"/>
        <w:spacing w:line="324"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1、中标人根据工程实际情况，完善深化中标监测方案，并报相关部门审批，按审批通过的方案实施监测工作。</w:t>
      </w:r>
    </w:p>
    <w:p>
      <w:pPr>
        <w:shd w:val="clear"/>
        <w:adjustRightInd w:val="0"/>
        <w:snapToGrid w:val="0"/>
        <w:spacing w:line="324" w:lineRule="auto"/>
        <w:ind w:firstLine="480" w:firstLineChars="200"/>
        <w:rPr>
          <w:color w:val="000000" w:themeColor="text1"/>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2、具体监测范围及频率以相关主管部门规定及招标人要求为准。</w:t>
      </w:r>
    </w:p>
    <w:p>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pStyle w:val="2"/>
        <w:keepNext w:val="0"/>
        <w:keepLines w:val="0"/>
        <w:shd w:val="clear"/>
        <w:jc w:val="center"/>
        <w:rPr>
          <w:color w:val="000000" w:themeColor="text1"/>
          <w:highlight w:val="none"/>
          <w14:textFill>
            <w14:solidFill>
              <w14:schemeClr w14:val="tx1"/>
            </w14:solidFill>
          </w14:textFill>
        </w:rPr>
      </w:pPr>
      <w:bookmarkStart w:id="183" w:name="_Toc26111"/>
      <w:bookmarkStart w:id="184" w:name="_Toc10807"/>
      <w:r>
        <w:rPr>
          <w:color w:val="000000" w:themeColor="text1"/>
          <w:highlight w:val="none"/>
          <w14:textFill>
            <w14:solidFill>
              <w14:schemeClr w14:val="tx1"/>
            </w14:solidFill>
          </w14:textFill>
        </w:rPr>
        <w:t>第三卷</w:t>
      </w:r>
      <w:bookmarkEnd w:id="183"/>
      <w:bookmarkEnd w:id="184"/>
    </w:p>
    <w:p>
      <w:pPr>
        <w:shd w:val="clear"/>
        <w:spacing w:line="400" w:lineRule="exact"/>
        <w:jc w:val="center"/>
        <w:rPr>
          <w:color w:val="000000" w:themeColor="text1"/>
          <w:highlight w:val="none"/>
          <w14:textFill>
            <w14:solidFill>
              <w14:schemeClr w14:val="tx1"/>
            </w14:solidFill>
          </w14:textFill>
        </w:rPr>
      </w:pPr>
    </w:p>
    <w:p>
      <w:pPr>
        <w:pStyle w:val="16"/>
        <w:shd w:val="clear"/>
        <w:rPr>
          <w:color w:val="000000" w:themeColor="text1"/>
          <w:highlight w:val="none"/>
          <w14:textFill>
            <w14:solidFill>
              <w14:schemeClr w14:val="tx1"/>
            </w14:solidFill>
          </w14:textFill>
        </w:rPr>
      </w:pPr>
    </w:p>
    <w:p>
      <w:pPr>
        <w:pStyle w:val="16"/>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2"/>
        <w:keepNext w:val="0"/>
        <w:keepLines w:val="0"/>
        <w:shd w:val="clear"/>
        <w:jc w:val="center"/>
        <w:rPr>
          <w:color w:val="000000" w:themeColor="text1"/>
          <w:highlight w:val="none"/>
          <w14:textFill>
            <w14:solidFill>
              <w14:schemeClr w14:val="tx1"/>
            </w14:solidFill>
          </w14:textFill>
        </w:rPr>
      </w:pPr>
      <w:bookmarkStart w:id="185" w:name="_Toc31273"/>
      <w:bookmarkStart w:id="186" w:name="_Toc31850"/>
      <w:r>
        <w:rPr>
          <w:color w:val="000000" w:themeColor="text1"/>
          <w:highlight w:val="none"/>
          <w14:textFill>
            <w14:solidFill>
              <w14:schemeClr w14:val="tx1"/>
            </w14:solidFill>
          </w14:textFill>
        </w:rPr>
        <w:t>第六章 投标文件格式</w:t>
      </w:r>
      <w:bookmarkEnd w:id="185"/>
      <w:bookmarkEnd w:id="186"/>
    </w:p>
    <w:p>
      <w:pPr>
        <w:pStyle w:val="16"/>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shd w:val="clear"/>
        <w:jc w:val="center"/>
        <w:rPr>
          <w:rFonts w:hint="eastAsia" w:eastAsia="宋体"/>
          <w:color w:val="000000" w:themeColor="text1"/>
          <w:sz w:val="56"/>
          <w:szCs w:val="56"/>
          <w:highlight w:val="none"/>
          <w:lang w:eastAsia="zh-CN"/>
          <w14:textFill>
            <w14:solidFill>
              <w14:schemeClr w14:val="tx1"/>
            </w14:solidFill>
          </w14:textFill>
        </w:rPr>
      </w:pPr>
      <w:r>
        <w:rPr>
          <w:color w:val="000000" w:themeColor="text1"/>
          <w:sz w:val="56"/>
          <w:szCs w:val="56"/>
          <w:highlight w:val="none"/>
          <w:u w:val="single"/>
          <w14:textFill>
            <w14:solidFill>
              <w14:schemeClr w14:val="tx1"/>
            </w14:solidFill>
          </w14:textFill>
        </w:rPr>
        <w:t xml:space="preserve"> </w:t>
      </w:r>
      <w:r>
        <w:rPr>
          <w:rFonts w:hint="eastAsia"/>
          <w:color w:val="000000" w:themeColor="text1"/>
          <w:sz w:val="56"/>
          <w:szCs w:val="56"/>
          <w:highlight w:val="none"/>
          <w:u w:val="single"/>
          <w:lang w:eastAsia="zh-CN"/>
          <w14:textFill>
            <w14:solidFill>
              <w14:schemeClr w14:val="tx1"/>
            </w14:solidFill>
          </w14:textFill>
        </w:rPr>
        <w:t>广州设计之都嘉禾片区项目三期第三方检测、监测服务</w:t>
      </w:r>
    </w:p>
    <w:p>
      <w:pPr>
        <w:shd w:val="clear"/>
        <w:rPr>
          <w:color w:val="000000" w:themeColor="text1"/>
          <w:sz w:val="20"/>
          <w:highlight w:val="none"/>
          <w14:textFill>
            <w14:solidFill>
              <w14:schemeClr w14:val="tx1"/>
            </w14:solidFill>
          </w14:textFill>
        </w:rPr>
      </w:pPr>
    </w:p>
    <w:p>
      <w:pPr>
        <w:shd w:val="clear"/>
        <w:rPr>
          <w:color w:val="000000" w:themeColor="text1"/>
          <w:sz w:val="20"/>
          <w:highlight w:val="none"/>
          <w14:textFill>
            <w14:solidFill>
              <w14:schemeClr w14:val="tx1"/>
            </w14:solidFill>
          </w14:textFill>
        </w:rPr>
      </w:pPr>
    </w:p>
    <w:p>
      <w:pPr>
        <w:shd w:val="clear"/>
        <w:rPr>
          <w:color w:val="000000" w:themeColor="text1"/>
          <w:sz w:val="20"/>
          <w:highlight w:val="none"/>
          <w14:textFill>
            <w14:solidFill>
              <w14:schemeClr w14:val="tx1"/>
            </w14:solidFill>
          </w14:textFill>
        </w:rPr>
      </w:pPr>
    </w:p>
    <w:p>
      <w:pPr>
        <w:shd w:val="clear"/>
        <w:rPr>
          <w:color w:val="000000" w:themeColor="text1"/>
          <w:sz w:val="20"/>
          <w:highlight w:val="none"/>
          <w14:textFill>
            <w14:solidFill>
              <w14:schemeClr w14:val="tx1"/>
            </w14:solidFill>
          </w14:textFill>
        </w:rPr>
      </w:pPr>
    </w:p>
    <w:p>
      <w:pPr>
        <w:shd w:val="clear"/>
        <w:rPr>
          <w:color w:val="000000" w:themeColor="text1"/>
          <w:sz w:val="20"/>
          <w:highlight w:val="none"/>
          <w14:textFill>
            <w14:solidFill>
              <w14:schemeClr w14:val="tx1"/>
            </w14:solidFill>
          </w14:textFill>
        </w:rPr>
      </w:pPr>
    </w:p>
    <w:p>
      <w:pPr>
        <w:shd w:val="clear"/>
        <w:rPr>
          <w:color w:val="000000" w:themeColor="text1"/>
          <w:sz w:val="20"/>
          <w:highlight w:val="none"/>
          <w14:textFill>
            <w14:solidFill>
              <w14:schemeClr w14:val="tx1"/>
            </w14:solidFill>
          </w14:textFill>
        </w:rPr>
      </w:pPr>
    </w:p>
    <w:p>
      <w:pPr>
        <w:shd w:val="clear"/>
        <w:rPr>
          <w:color w:val="000000" w:themeColor="text1"/>
          <w:sz w:val="20"/>
          <w:highlight w:val="none"/>
          <w14:textFill>
            <w14:solidFill>
              <w14:schemeClr w14:val="tx1"/>
            </w14:solidFill>
          </w14:textFill>
        </w:rPr>
      </w:pPr>
    </w:p>
    <w:p>
      <w:pPr>
        <w:shd w:val="clear"/>
        <w:rPr>
          <w:color w:val="000000" w:themeColor="text1"/>
          <w:sz w:val="20"/>
          <w:highlight w:val="none"/>
          <w14:textFill>
            <w14:solidFill>
              <w14:schemeClr w14:val="tx1"/>
            </w14:solidFill>
          </w14:textFill>
        </w:rPr>
      </w:pPr>
    </w:p>
    <w:p>
      <w:pPr>
        <w:shd w:val="clear"/>
        <w:rPr>
          <w:color w:val="000000" w:themeColor="text1"/>
          <w:sz w:val="20"/>
          <w:highlight w:val="none"/>
          <w14:textFill>
            <w14:solidFill>
              <w14:schemeClr w14:val="tx1"/>
            </w14:solidFill>
          </w14:textFill>
        </w:rPr>
      </w:pPr>
    </w:p>
    <w:p>
      <w:pPr>
        <w:shd w:val="clear"/>
        <w:rPr>
          <w:color w:val="000000" w:themeColor="text1"/>
          <w:sz w:val="20"/>
          <w:highlight w:val="none"/>
          <w14:textFill>
            <w14:solidFill>
              <w14:schemeClr w14:val="tx1"/>
            </w14:solidFill>
          </w14:textFill>
        </w:rPr>
      </w:pPr>
    </w:p>
    <w:p>
      <w:pPr>
        <w:shd w:val="clear"/>
        <w:jc w:val="center"/>
        <w:rPr>
          <w:color w:val="000000" w:themeColor="text1"/>
          <w:sz w:val="44"/>
          <w:highlight w:val="none"/>
          <w14:textFill>
            <w14:solidFill>
              <w14:schemeClr w14:val="tx1"/>
            </w14:solidFill>
          </w14:textFill>
        </w:rPr>
      </w:pPr>
      <w:r>
        <w:rPr>
          <w:color w:val="000000" w:themeColor="text1"/>
          <w:sz w:val="44"/>
          <w:highlight w:val="none"/>
          <w14:textFill>
            <w14:solidFill>
              <w14:schemeClr w14:val="tx1"/>
            </w14:solidFill>
          </w14:textFill>
        </w:rPr>
        <w:t>投 标 文 件</w:t>
      </w:r>
    </w:p>
    <w:p>
      <w:pPr>
        <w:shd w:val="clear"/>
        <w:jc w:val="center"/>
        <w:rPr>
          <w:color w:val="000000" w:themeColor="text1"/>
          <w:sz w:val="44"/>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spacing w:line="360" w:lineRule="auto"/>
        <w:rPr>
          <w:color w:val="000000" w:themeColor="text1"/>
          <w:sz w:val="28"/>
          <w:highlight w:val="none"/>
          <w14:textFill>
            <w14:solidFill>
              <w14:schemeClr w14:val="tx1"/>
            </w14:solidFill>
          </w14:textFill>
        </w:rPr>
      </w:pPr>
    </w:p>
    <w:p>
      <w:pPr>
        <w:shd w:val="clear"/>
        <w:spacing w:line="360" w:lineRule="auto"/>
        <w:ind w:firstLine="1120" w:firstLineChars="400"/>
        <w:rPr>
          <w:color w:val="000000" w:themeColor="text1"/>
          <w:sz w:val="28"/>
          <w:highlight w:val="none"/>
          <w:u w:val="single"/>
          <w14:textFill>
            <w14:solidFill>
              <w14:schemeClr w14:val="tx1"/>
            </w14:solidFill>
          </w14:textFill>
        </w:rPr>
      </w:pPr>
      <w:r>
        <w:rPr>
          <w:color w:val="000000" w:themeColor="text1"/>
          <w:sz w:val="28"/>
          <w:highlight w:val="none"/>
          <w14:textFill>
            <w14:solidFill>
              <w14:schemeClr w14:val="tx1"/>
            </w14:solidFill>
          </w14:textFill>
        </w:rPr>
        <w:t>投标人：</w:t>
      </w:r>
      <w:r>
        <w:rPr>
          <w:color w:val="000000" w:themeColor="text1"/>
          <w:highlight w:val="none"/>
          <w:u w:val="single"/>
          <w14:textFill>
            <w14:solidFill>
              <w14:schemeClr w14:val="tx1"/>
            </w14:solidFill>
          </w14:textFill>
        </w:rPr>
        <w:t xml:space="preserve">                                            </w:t>
      </w:r>
      <w:r>
        <w:rPr>
          <w:color w:val="000000" w:themeColor="text1"/>
          <w:sz w:val="28"/>
          <w:highlight w:val="none"/>
          <w14:textFill>
            <w14:solidFill>
              <w14:schemeClr w14:val="tx1"/>
            </w14:solidFill>
          </w14:textFill>
        </w:rPr>
        <w:t>（盖单位章）</w:t>
      </w:r>
    </w:p>
    <w:p>
      <w:pPr>
        <w:shd w:val="clear"/>
        <w:spacing w:line="360" w:lineRule="auto"/>
        <w:ind w:firstLine="1120" w:firstLineChars="400"/>
        <w:jc w:val="left"/>
        <w:rPr>
          <w:color w:val="000000" w:themeColor="text1"/>
          <w:sz w:val="28"/>
          <w:highlight w:val="none"/>
          <w14:textFill>
            <w14:solidFill>
              <w14:schemeClr w14:val="tx1"/>
            </w14:solidFill>
          </w14:textFill>
        </w:rPr>
      </w:pPr>
      <w:r>
        <w:rPr>
          <w:color w:val="000000" w:themeColor="text1"/>
          <w:sz w:val="28"/>
          <w:highlight w:val="none"/>
          <w14:textFill>
            <w14:solidFill>
              <w14:schemeClr w14:val="tx1"/>
            </w14:solidFill>
          </w14:textFill>
        </w:rPr>
        <w:t>法定代表人或其委托代理人：</w:t>
      </w:r>
      <w:r>
        <w:rPr>
          <w:color w:val="000000" w:themeColor="text1"/>
          <w:highlight w:val="none"/>
          <w:u w:val="single"/>
          <w14:textFill>
            <w14:solidFill>
              <w14:schemeClr w14:val="tx1"/>
            </w14:solidFill>
          </w14:textFill>
        </w:rPr>
        <w:t xml:space="preserve">       </w:t>
      </w:r>
      <w:r>
        <w:rPr>
          <w:color w:val="000000" w:themeColor="text1"/>
          <w:sz w:val="28"/>
          <w:highlight w:val="none"/>
          <w14:textFill>
            <w14:solidFill>
              <w14:schemeClr w14:val="tx1"/>
            </w14:solidFill>
          </w14:textFill>
        </w:rPr>
        <w:t>（签字或盖章）</w:t>
      </w:r>
    </w:p>
    <w:p>
      <w:pPr>
        <w:shd w:val="clear"/>
        <w:jc w:val="center"/>
        <w:rPr>
          <w:color w:val="000000" w:themeColor="text1"/>
          <w:sz w:val="28"/>
          <w:highlight w:val="none"/>
          <w14:textFill>
            <w14:solidFill>
              <w14:schemeClr w14:val="tx1"/>
            </w14:solidFill>
          </w14:textFill>
        </w:rPr>
      </w:pPr>
    </w:p>
    <w:p>
      <w:pPr>
        <w:shd w:val="clear"/>
        <w:spacing w:line="400" w:lineRule="exact"/>
        <w:jc w:val="center"/>
        <w:rPr>
          <w:color w:val="000000" w:themeColor="text1"/>
          <w:highlight w:val="none"/>
          <w14:textFill>
            <w14:solidFill>
              <w14:schemeClr w14:val="tx1"/>
            </w14:solidFill>
          </w14:textFill>
        </w:rPr>
      </w:pPr>
      <w:r>
        <w:rPr>
          <w:color w:val="000000" w:themeColor="text1"/>
          <w:highlight w:val="none"/>
          <w:u w:val="single"/>
          <w14:textFill>
            <w14:solidFill>
              <w14:schemeClr w14:val="tx1"/>
            </w14:solidFill>
          </w14:textFill>
        </w:rPr>
        <w:t xml:space="preserve">       </w:t>
      </w:r>
      <w:r>
        <w:rPr>
          <w:color w:val="000000" w:themeColor="text1"/>
          <w:sz w:val="28"/>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color w:val="000000" w:themeColor="text1"/>
          <w:sz w:val="28"/>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color w:val="000000" w:themeColor="text1"/>
          <w:sz w:val="28"/>
          <w:highlight w:val="none"/>
          <w14:textFill>
            <w14:solidFill>
              <w14:schemeClr w14:val="tx1"/>
            </w14:solidFill>
          </w14:textFill>
        </w:rPr>
        <w:t>日</w:t>
      </w:r>
    </w:p>
    <w:p>
      <w:pPr>
        <w:pStyle w:val="16"/>
        <w:shd w:val="clear"/>
        <w:rPr>
          <w:color w:val="000000" w:themeColor="text1"/>
          <w:highlight w:val="none"/>
          <w14:textFill>
            <w14:solidFill>
              <w14:schemeClr w14:val="tx1"/>
            </w14:solidFill>
          </w14:textFill>
        </w:rPr>
      </w:pPr>
    </w:p>
    <w:p>
      <w:pPr>
        <w:pStyle w:val="16"/>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
        <w:keepNext w:val="0"/>
        <w:keepLines w:val="0"/>
        <w:shd w:val="clear"/>
        <w:jc w:val="center"/>
        <w:rPr>
          <w:rFonts w:ascii="Times New Roman" w:hAnsi="Times New Roman" w:eastAsia="宋体"/>
          <w:color w:val="000000" w:themeColor="text1"/>
          <w:highlight w:val="none"/>
          <w14:textFill>
            <w14:solidFill>
              <w14:schemeClr w14:val="tx1"/>
            </w14:solidFill>
          </w14:textFill>
        </w:rPr>
      </w:pPr>
      <w:bookmarkStart w:id="187" w:name="_Toc4785"/>
      <w:bookmarkStart w:id="188" w:name="_Toc30600"/>
      <w:bookmarkStart w:id="189" w:name="_Toc47987343"/>
      <w:r>
        <w:rPr>
          <w:rFonts w:ascii="Times New Roman" w:hAnsi="Times New Roman" w:eastAsia="宋体"/>
          <w:color w:val="000000" w:themeColor="text1"/>
          <w:highlight w:val="none"/>
          <w14:textFill>
            <w14:solidFill>
              <w14:schemeClr w14:val="tx1"/>
            </w14:solidFill>
          </w14:textFill>
        </w:rPr>
        <w:t>目录</w:t>
      </w:r>
      <w:bookmarkEnd w:id="187"/>
      <w:bookmarkEnd w:id="188"/>
      <w:bookmarkEnd w:id="189"/>
    </w:p>
    <w:p>
      <w:pPr>
        <w:shd w:val="clear"/>
        <w:spacing w:line="360" w:lineRule="auto"/>
        <w:rPr>
          <w:color w:val="000000" w:themeColor="text1"/>
          <w:szCs w:val="21"/>
          <w:highlight w:val="none"/>
          <w14:textFill>
            <w14:solidFill>
              <w14:schemeClr w14:val="tx1"/>
            </w14:solidFill>
          </w14:textFill>
        </w:rPr>
      </w:pPr>
      <w:bookmarkStart w:id="190" w:name="_Toc7039"/>
      <w:bookmarkStart w:id="191" w:name="_Toc352691655"/>
      <w:bookmarkStart w:id="192" w:name="_Toc369531691"/>
      <w:r>
        <w:rPr>
          <w:color w:val="000000" w:themeColor="text1"/>
          <w:szCs w:val="21"/>
          <w:highlight w:val="none"/>
          <w14:textFill>
            <w14:solidFill>
              <w14:schemeClr w14:val="tx1"/>
            </w14:solidFill>
          </w14:textFill>
        </w:rPr>
        <w:t>一、投标函及其附表</w:t>
      </w:r>
    </w:p>
    <w:p>
      <w:pPr>
        <w:shd w:val="clea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二、法定代表人证明书及授权委托书；</w:t>
      </w:r>
    </w:p>
    <w:p>
      <w:pPr>
        <w:shd w:val="clear"/>
        <w:spacing w:line="360" w:lineRule="auto"/>
        <w:rPr>
          <w:strike/>
          <w:color w:val="000000" w:themeColor="text1"/>
          <w:szCs w:val="21"/>
          <w:highlight w:val="none"/>
          <w14:textFill>
            <w14:solidFill>
              <w14:schemeClr w14:val="tx1"/>
            </w14:solidFill>
          </w14:textFill>
        </w:rPr>
      </w:pPr>
      <w:r>
        <w:rPr>
          <w:strike/>
          <w:color w:val="000000" w:themeColor="text1"/>
          <w:szCs w:val="21"/>
          <w:highlight w:val="none"/>
          <w14:textFill>
            <w14:solidFill>
              <w14:schemeClr w14:val="tx1"/>
            </w14:solidFill>
          </w14:textFill>
        </w:rPr>
        <w:t>三、投标保证金</w:t>
      </w:r>
    </w:p>
    <w:p>
      <w:pPr>
        <w:shd w:val="clea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四、投标报价书</w:t>
      </w:r>
    </w:p>
    <w:p>
      <w:pPr>
        <w:shd w:val="clea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五、资格审查资料</w:t>
      </w:r>
    </w:p>
    <w:p>
      <w:pPr>
        <w:shd w:val="clea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六、近年承接的类似项目情况</w:t>
      </w:r>
      <w:bookmarkStart w:id="193" w:name="_Hlk66799362"/>
      <w:r>
        <w:rPr>
          <w:color w:val="000000" w:themeColor="text1"/>
          <w:szCs w:val="21"/>
          <w:highlight w:val="none"/>
          <w14:textFill>
            <w14:solidFill>
              <w14:schemeClr w14:val="tx1"/>
            </w14:solidFill>
          </w14:textFill>
        </w:rPr>
        <w:t>表</w:t>
      </w:r>
      <w:bookmarkEnd w:id="193"/>
    </w:p>
    <w:p>
      <w:pPr>
        <w:shd w:val="clea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七、拟投入本项目的人员</w:t>
      </w:r>
      <w:bookmarkStart w:id="194" w:name="_Hlk66799373"/>
      <w:r>
        <w:rPr>
          <w:color w:val="000000" w:themeColor="text1"/>
          <w:szCs w:val="21"/>
          <w:highlight w:val="none"/>
          <w14:textFill>
            <w14:solidFill>
              <w14:schemeClr w14:val="tx1"/>
            </w14:solidFill>
          </w14:textFill>
        </w:rPr>
        <w:t>一览表</w:t>
      </w:r>
      <w:bookmarkEnd w:id="194"/>
    </w:p>
    <w:p>
      <w:pPr>
        <w:shd w:val="clea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八、拟投入本项目的</w:t>
      </w:r>
      <w:r>
        <w:rPr>
          <w:bCs/>
          <w:color w:val="000000" w:themeColor="text1"/>
          <w:szCs w:val="32"/>
          <w:highlight w:val="none"/>
          <w14:textFill>
            <w14:solidFill>
              <w14:schemeClr w14:val="tx1"/>
            </w14:solidFill>
          </w14:textFill>
        </w:rPr>
        <w:t>项目负责人</w:t>
      </w:r>
      <w:r>
        <w:rPr>
          <w:color w:val="000000" w:themeColor="text1"/>
          <w:szCs w:val="21"/>
          <w:highlight w:val="none"/>
          <w14:textFill>
            <w14:solidFill>
              <w14:schemeClr w14:val="tx1"/>
            </w14:solidFill>
          </w14:textFill>
        </w:rPr>
        <w:t>简历</w:t>
      </w:r>
      <w:r>
        <w:rPr>
          <w:bCs/>
          <w:color w:val="000000" w:themeColor="text1"/>
          <w:szCs w:val="32"/>
          <w:highlight w:val="none"/>
          <w14:textFill>
            <w14:solidFill>
              <w14:schemeClr w14:val="tx1"/>
            </w14:solidFill>
          </w14:textFill>
        </w:rPr>
        <w:t>表</w:t>
      </w:r>
    </w:p>
    <w:p>
      <w:pPr>
        <w:shd w:val="clea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九、拟投入本项目的主要仪器设备</w:t>
      </w:r>
      <w:r>
        <w:rPr>
          <w:bCs/>
          <w:color w:val="000000" w:themeColor="text1"/>
          <w:szCs w:val="32"/>
          <w:highlight w:val="none"/>
          <w14:textFill>
            <w14:solidFill>
              <w14:schemeClr w14:val="tx1"/>
            </w14:solidFill>
          </w14:textFill>
        </w:rPr>
        <w:t>一览表</w:t>
      </w:r>
    </w:p>
    <w:p>
      <w:pPr>
        <w:shd w:val="clea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十、</w:t>
      </w:r>
      <w:bookmarkStart w:id="195" w:name="_Hlk55898398"/>
      <w:r>
        <w:rPr>
          <w:color w:val="000000" w:themeColor="text1"/>
          <w:szCs w:val="21"/>
          <w:highlight w:val="none"/>
          <w14:textFill>
            <w14:solidFill>
              <w14:schemeClr w14:val="tx1"/>
            </w14:solidFill>
          </w14:textFill>
        </w:rPr>
        <w:t>检测</w:t>
      </w:r>
      <w:bookmarkStart w:id="196" w:name="_Hlk55897959"/>
      <w:r>
        <w:rPr>
          <w:color w:val="000000" w:themeColor="text1"/>
          <w:szCs w:val="21"/>
          <w:highlight w:val="none"/>
          <w14:textFill>
            <w14:solidFill>
              <w14:schemeClr w14:val="tx1"/>
            </w14:solidFill>
          </w14:textFill>
        </w:rPr>
        <w:t>、监测方案</w:t>
      </w:r>
      <w:bookmarkEnd w:id="195"/>
      <w:bookmarkEnd w:id="196"/>
    </w:p>
    <w:p>
      <w:pPr>
        <w:shd w:val="clea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十一、工期承诺书</w:t>
      </w:r>
    </w:p>
    <w:p>
      <w:pPr>
        <w:shd w:val="clea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十二、其他资料</w:t>
      </w:r>
    </w:p>
    <w:p>
      <w:pPr>
        <w:pStyle w:val="16"/>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bookmarkEnd w:id="167"/>
    <w:bookmarkEnd w:id="168"/>
    <w:bookmarkEnd w:id="169"/>
    <w:bookmarkEnd w:id="170"/>
    <w:bookmarkEnd w:id="171"/>
    <w:bookmarkEnd w:id="172"/>
    <w:bookmarkEnd w:id="173"/>
    <w:bookmarkEnd w:id="174"/>
    <w:bookmarkEnd w:id="175"/>
    <w:bookmarkEnd w:id="190"/>
    <w:bookmarkEnd w:id="191"/>
    <w:bookmarkEnd w:id="192"/>
    <w:p>
      <w:pPr>
        <w:pStyle w:val="3"/>
        <w:keepNext w:val="0"/>
        <w:keepLines w:val="0"/>
        <w:shd w:val="clear"/>
        <w:spacing w:before="0" w:after="0" w:line="360" w:lineRule="auto"/>
        <w:jc w:val="center"/>
        <w:rPr>
          <w:rFonts w:ascii="Times New Roman" w:hAnsi="Times New Roman" w:eastAsia="宋体"/>
          <w:color w:val="000000" w:themeColor="text1"/>
          <w:highlight w:val="none"/>
          <w14:textFill>
            <w14:solidFill>
              <w14:schemeClr w14:val="tx1"/>
            </w14:solidFill>
          </w14:textFill>
        </w:rPr>
      </w:pPr>
      <w:bookmarkStart w:id="197" w:name="_Toc47376784"/>
      <w:bookmarkStart w:id="198" w:name="_Toc4481"/>
      <w:bookmarkStart w:id="199" w:name="_Toc10224"/>
      <w:bookmarkStart w:id="200" w:name="_Toc47987344"/>
      <w:r>
        <w:rPr>
          <w:rFonts w:ascii="Times New Roman" w:hAnsi="Times New Roman" w:eastAsia="宋体"/>
          <w:bCs/>
          <w:color w:val="000000" w:themeColor="text1"/>
          <w:szCs w:val="32"/>
          <w:highlight w:val="none"/>
          <w14:textFill>
            <w14:solidFill>
              <w14:schemeClr w14:val="tx1"/>
            </w14:solidFill>
          </w14:textFill>
        </w:rPr>
        <w:t>一、</w:t>
      </w:r>
      <w:bookmarkStart w:id="201" w:name="_Toc6931"/>
      <w:bookmarkStart w:id="202" w:name="_Toc352691656"/>
      <w:bookmarkStart w:id="203" w:name="_Toc369531692"/>
      <w:r>
        <w:rPr>
          <w:rFonts w:ascii="Times New Roman" w:hAnsi="Times New Roman" w:eastAsia="宋体"/>
          <w:bCs/>
          <w:color w:val="000000" w:themeColor="text1"/>
          <w:szCs w:val="32"/>
          <w:highlight w:val="none"/>
          <w14:textFill>
            <w14:solidFill>
              <w14:schemeClr w14:val="tx1"/>
            </w14:solidFill>
          </w14:textFill>
        </w:rPr>
        <w:t>投标函及其附表</w:t>
      </w:r>
      <w:bookmarkEnd w:id="197"/>
      <w:bookmarkEnd w:id="198"/>
      <w:bookmarkEnd w:id="199"/>
      <w:bookmarkEnd w:id="200"/>
    </w:p>
    <w:bookmarkEnd w:id="201"/>
    <w:bookmarkEnd w:id="202"/>
    <w:bookmarkEnd w:id="203"/>
    <w:p>
      <w:pPr>
        <w:shd w:val="clear"/>
        <w:spacing w:line="360" w:lineRule="auto"/>
        <w:ind w:firstLine="480" w:firstLineChars="200"/>
        <w:rPr>
          <w:color w:val="000000" w:themeColor="text1"/>
          <w:sz w:val="24"/>
          <w:szCs w:val="24"/>
          <w:highlight w:val="none"/>
          <w14:textFill>
            <w14:solidFill>
              <w14:schemeClr w14:val="tx1"/>
            </w14:solidFill>
          </w14:textFill>
        </w:rPr>
      </w:pPr>
      <w:bookmarkStart w:id="204" w:name="_Toc247514246"/>
      <w:bookmarkStart w:id="205" w:name="_Toc144974856"/>
      <w:bookmarkStart w:id="206" w:name="_Toc384308375"/>
      <w:bookmarkStart w:id="207" w:name="_Toc361508752"/>
      <w:bookmarkStart w:id="208" w:name="_Toc247527827"/>
      <w:bookmarkStart w:id="209" w:name="_Toc300835209"/>
      <w:bookmarkStart w:id="210" w:name="_Toc352691661"/>
      <w:bookmarkStart w:id="211" w:name="_Toc152045787"/>
      <w:bookmarkStart w:id="212" w:name="_Toc17960"/>
      <w:bookmarkStart w:id="213" w:name="_Toc369531697"/>
      <w:bookmarkStart w:id="214" w:name="_Toc152042576"/>
      <w:r>
        <w:rPr>
          <w:color w:val="000000" w:themeColor="text1"/>
          <w:sz w:val="24"/>
          <w:szCs w:val="24"/>
          <w:highlight w:val="none"/>
          <w:lang w:bidi="ar"/>
          <w14:textFill>
            <w14:solidFill>
              <w14:schemeClr w14:val="tx1"/>
            </w14:solidFill>
          </w14:textFill>
        </w:rPr>
        <w:t>致：</w:t>
      </w:r>
      <w:r>
        <w:rPr>
          <w:rFonts w:hint="eastAsia"/>
          <w:color w:val="000000" w:themeColor="text1"/>
          <w:sz w:val="24"/>
          <w:szCs w:val="24"/>
          <w:highlight w:val="none"/>
          <w:u w:val="single"/>
          <w:lang w:bidi="ar"/>
          <w14:textFill>
            <w14:solidFill>
              <w14:schemeClr w14:val="tx1"/>
            </w14:solidFill>
          </w14:textFill>
        </w:rPr>
        <w:t>广州市白云城市建设投资有限公司（</w:t>
      </w:r>
      <w:r>
        <w:rPr>
          <w:color w:val="000000" w:themeColor="text1"/>
          <w:sz w:val="24"/>
          <w:szCs w:val="24"/>
          <w:highlight w:val="none"/>
          <w:u w:val="single"/>
          <w:lang w:bidi="ar"/>
          <w14:textFill>
            <w14:solidFill>
              <w14:schemeClr w14:val="tx1"/>
            </w14:solidFill>
          </w14:textFill>
        </w:rPr>
        <w:t>招标人）</w:t>
      </w:r>
    </w:p>
    <w:p>
      <w:pPr>
        <w:pStyle w:val="33"/>
        <w:widowControl w:val="0"/>
        <w:shd w:val="clear"/>
        <w:spacing w:before="0" w:beforeAutospacing="0" w:after="0" w:afterAutospacing="0" w:line="360" w:lineRule="auto"/>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kern w:val="2"/>
          <w:highlight w:val="none"/>
          <w:lang w:bidi="ar"/>
          <w14:textFill>
            <w14:solidFill>
              <w14:schemeClr w14:val="tx1"/>
            </w14:solidFill>
          </w14:textFill>
        </w:rPr>
        <w:t>1. 在仔细分析研究了贵单位提供的</w:t>
      </w:r>
      <w:r>
        <w:rPr>
          <w:rFonts w:ascii="Times New Roman" w:hAnsi="Times New Roman" w:cs="Times New Roman"/>
          <w:color w:val="000000" w:themeColor="text1"/>
          <w:kern w:val="2"/>
          <w:highlight w:val="none"/>
          <w:u w:val="single"/>
          <w:lang w:bidi="ar"/>
          <w14:textFill>
            <w14:solidFill>
              <w14:schemeClr w14:val="tx1"/>
            </w14:solidFill>
          </w14:textFill>
        </w:rPr>
        <w:t xml:space="preserve"> </w:t>
      </w:r>
      <w:r>
        <w:rPr>
          <w:rFonts w:hint="eastAsia" w:ascii="Times New Roman" w:hAnsi="Times New Roman" w:cs="Times New Roman"/>
          <w:color w:val="000000" w:themeColor="text1"/>
          <w:kern w:val="2"/>
          <w:highlight w:val="none"/>
          <w:u w:val="single"/>
          <w:lang w:eastAsia="zh-CN" w:bidi="ar"/>
          <w14:textFill>
            <w14:solidFill>
              <w14:schemeClr w14:val="tx1"/>
            </w14:solidFill>
          </w14:textFill>
        </w:rPr>
        <w:t>广州设计之都嘉禾片区项目三期第三方检测、监测服务</w:t>
      </w:r>
      <w:r>
        <w:rPr>
          <w:rFonts w:ascii="Times New Roman" w:hAnsi="Times New Roman" w:cs="Times New Roman"/>
          <w:color w:val="000000" w:themeColor="text1"/>
          <w:kern w:val="2"/>
          <w:highlight w:val="none"/>
          <w:lang w:bidi="ar"/>
          <w14:textFill>
            <w14:solidFill>
              <w14:schemeClr w14:val="tx1"/>
            </w14:solidFill>
          </w14:textFill>
        </w:rPr>
        <w:t>招标文件后，我方愿意以总价为人民币（大写）</w:t>
      </w:r>
      <w:r>
        <w:rPr>
          <w:rFonts w:ascii="Times New Roman" w:hAnsi="Times New Roman" w:cs="Times New Roman"/>
          <w:color w:val="000000" w:themeColor="text1"/>
          <w:kern w:val="2"/>
          <w:highlight w:val="none"/>
          <w:u w:val="single"/>
          <w:lang w:bidi="ar"/>
          <w14:textFill>
            <w14:solidFill>
              <w14:schemeClr w14:val="tx1"/>
            </w14:solidFill>
          </w14:textFill>
        </w:rPr>
        <w:t xml:space="preserve">           </w:t>
      </w:r>
      <w:r>
        <w:rPr>
          <w:rFonts w:ascii="Times New Roman" w:hAnsi="Times New Roman" w:cs="Times New Roman"/>
          <w:color w:val="000000" w:themeColor="text1"/>
          <w:kern w:val="2"/>
          <w:highlight w:val="none"/>
          <w:lang w:bidi="ar"/>
          <w14:textFill>
            <w14:solidFill>
              <w14:schemeClr w14:val="tx1"/>
            </w14:solidFill>
          </w14:textFill>
        </w:rPr>
        <w:t>（小写</w:t>
      </w:r>
      <w:r>
        <w:rPr>
          <w:rFonts w:ascii="Times New Roman" w:hAnsi="Times New Roman" w:cs="Times New Roman"/>
          <w:color w:val="000000" w:themeColor="text1"/>
          <w:kern w:val="2"/>
          <w:highlight w:val="none"/>
          <w:u w:val="single"/>
          <w:lang w:bidi="ar"/>
          <w14:textFill>
            <w14:solidFill>
              <w14:schemeClr w14:val="tx1"/>
            </w14:solidFill>
          </w14:textFill>
        </w:rPr>
        <w:t>　　　　　</w:t>
      </w:r>
      <w:r>
        <w:rPr>
          <w:rFonts w:hint="eastAsia" w:ascii="Times New Roman" w:hAnsi="Times New Roman" w:cs="Times New Roman"/>
          <w:color w:val="000000" w:themeColor="text1"/>
          <w:kern w:val="2"/>
          <w:highlight w:val="none"/>
          <w:u w:val="single"/>
          <w:lang w:val="en-US" w:eastAsia="zh-CN" w:bidi="ar"/>
          <w14:textFill>
            <w14:solidFill>
              <w14:schemeClr w14:val="tx1"/>
            </w14:solidFill>
          </w14:textFill>
        </w:rPr>
        <w:t>万</w:t>
      </w:r>
      <w:r>
        <w:rPr>
          <w:rFonts w:hint="eastAsia" w:ascii="Times New Roman" w:hAnsi="Times New Roman" w:cs="Times New Roman"/>
          <w:color w:val="000000" w:themeColor="text1"/>
          <w:kern w:val="2"/>
          <w:highlight w:val="none"/>
          <w:u w:val="single"/>
          <w:lang w:bidi="ar"/>
          <w14:textFill>
            <w14:solidFill>
              <w14:schemeClr w14:val="tx1"/>
            </w14:solidFill>
          </w14:textFill>
        </w:rPr>
        <w:t>元</w:t>
      </w:r>
      <w:r>
        <w:rPr>
          <w:rFonts w:ascii="Times New Roman" w:hAnsi="Times New Roman" w:cs="Times New Roman"/>
          <w:color w:val="000000" w:themeColor="text1"/>
          <w:kern w:val="2"/>
          <w:highlight w:val="none"/>
          <w:lang w:bidi="ar"/>
          <w14:textFill>
            <w14:solidFill>
              <w14:schemeClr w14:val="tx1"/>
            </w14:solidFill>
          </w14:textFill>
        </w:rPr>
        <w:t>）作为</w:t>
      </w:r>
      <w:r>
        <w:rPr>
          <w:rFonts w:ascii="Times New Roman" w:hAnsi="Times New Roman" w:cs="Times New Roman"/>
          <w:color w:val="000000" w:themeColor="text1"/>
          <w:kern w:val="2"/>
          <w:highlight w:val="none"/>
          <w:u w:val="single"/>
          <w:lang w:bidi="ar"/>
          <w14:textFill>
            <w14:solidFill>
              <w14:schemeClr w14:val="tx1"/>
            </w14:solidFill>
          </w14:textFill>
        </w:rPr>
        <w:t xml:space="preserve"> </w:t>
      </w:r>
      <w:r>
        <w:rPr>
          <w:rFonts w:hint="eastAsia" w:ascii="Times New Roman" w:hAnsi="Times New Roman" w:cs="Times New Roman"/>
          <w:color w:val="000000" w:themeColor="text1"/>
          <w:kern w:val="2"/>
          <w:highlight w:val="none"/>
          <w:u w:val="single"/>
          <w:lang w:eastAsia="zh-CN" w:bidi="ar"/>
          <w14:textFill>
            <w14:solidFill>
              <w14:schemeClr w14:val="tx1"/>
            </w14:solidFill>
          </w14:textFill>
        </w:rPr>
        <w:t>广州设计之都嘉禾片区项目三期第三方检测、监测服务</w:t>
      </w:r>
      <w:r>
        <w:rPr>
          <w:rFonts w:ascii="Times New Roman" w:hAnsi="Times New Roman" w:cs="Times New Roman"/>
          <w:color w:val="000000" w:themeColor="text1"/>
          <w:kern w:val="2"/>
          <w:highlight w:val="none"/>
          <w:u w:val="single"/>
          <w:lang w:bidi="ar"/>
          <w14:textFill>
            <w14:solidFill>
              <w14:schemeClr w14:val="tx1"/>
            </w14:solidFill>
          </w14:textFill>
        </w:rPr>
        <w:t xml:space="preserve">  </w:t>
      </w:r>
      <w:r>
        <w:rPr>
          <w:rFonts w:ascii="Times New Roman" w:hAnsi="Times New Roman" w:cs="Times New Roman"/>
          <w:color w:val="000000" w:themeColor="text1"/>
          <w:kern w:val="2"/>
          <w:highlight w:val="none"/>
          <w:lang w:bidi="ar"/>
          <w14:textFill>
            <w14:solidFill>
              <w14:schemeClr w14:val="tx1"/>
            </w14:solidFill>
          </w14:textFill>
        </w:rPr>
        <w:t>服务费的总价，并遵照招标文件的有关规定要求，承担全部服务任务工作。</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2.我方确认的</w:t>
      </w:r>
      <w:r>
        <w:rPr>
          <w:b/>
          <w:color w:val="000000" w:themeColor="text1"/>
          <w:sz w:val="24"/>
          <w:szCs w:val="24"/>
          <w:highlight w:val="none"/>
          <w:lang w:bidi="ar"/>
          <w14:textFill>
            <w14:solidFill>
              <w14:schemeClr w14:val="tx1"/>
            </w14:solidFill>
          </w14:textFill>
        </w:rPr>
        <w:t>投标函</w:t>
      </w:r>
      <w:r>
        <w:rPr>
          <w:color w:val="000000" w:themeColor="text1"/>
          <w:sz w:val="24"/>
          <w:szCs w:val="24"/>
          <w:highlight w:val="none"/>
          <w:lang w:bidi="ar"/>
          <w14:textFill>
            <w14:solidFill>
              <w14:schemeClr w14:val="tx1"/>
            </w14:solidFill>
          </w14:textFill>
        </w:rPr>
        <w:t>是我单位投标文件的组成部分。</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3.如果贵单位接受我方的投标，我方保证按合同规定的期限内开始本工程的检测工作并按投标书中规定的期限内完成合同规定的全部任务。</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4.我方同意在从规定的</w:t>
      </w:r>
      <w:r>
        <w:rPr>
          <w:b/>
          <w:color w:val="000000" w:themeColor="text1"/>
          <w:sz w:val="24"/>
          <w:szCs w:val="24"/>
          <w:highlight w:val="none"/>
          <w:lang w:bidi="ar"/>
          <w14:textFill>
            <w14:solidFill>
              <w14:schemeClr w14:val="tx1"/>
            </w14:solidFill>
          </w14:textFill>
        </w:rPr>
        <w:t>递交投标文件截止之日起90天</w:t>
      </w:r>
      <w:r>
        <w:rPr>
          <w:color w:val="000000" w:themeColor="text1"/>
          <w:sz w:val="24"/>
          <w:szCs w:val="24"/>
          <w:highlight w:val="none"/>
          <w:lang w:bidi="ar"/>
          <w14:textFill>
            <w14:solidFill>
              <w14:schemeClr w14:val="tx1"/>
            </w14:solidFill>
          </w14:textFill>
        </w:rPr>
        <w:t>内遵守本投标文件。在此期限届满之前，本投标文件始终将对我们具有约束力并随时接受中标。</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5.在合同协议制定和签署之前，本投标书连同贵单位的中标通知书、双方签认的补充、修正或澄清文件及其他文件和附件应成为约束贵、我双方的合同文件。</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6.我们理解，贵单位不一定接受最低标价的投标文件或可能接受其他任何投标文件，同时也理解，贵单位不负担我们的任何投标费用。</w:t>
      </w:r>
    </w:p>
    <w:p>
      <w:pPr>
        <w:shd w:val="clear"/>
        <w:spacing w:line="360" w:lineRule="auto"/>
        <w:rPr>
          <w:color w:val="000000" w:themeColor="text1"/>
          <w:highlight w:val="none"/>
          <w14:textFill>
            <w14:solidFill>
              <w14:schemeClr w14:val="tx1"/>
            </w14:solidFill>
          </w14:textFill>
        </w:rPr>
      </w:pPr>
    </w:p>
    <w:p>
      <w:pPr>
        <w:shd w:val="clear"/>
        <w:spacing w:line="360" w:lineRule="auto"/>
        <w:ind w:firstLine="360" w:firstLineChars="150"/>
        <w:rPr>
          <w:color w:val="000000" w:themeColor="text1"/>
          <w:sz w:val="24"/>
          <w:szCs w:val="20"/>
          <w:highlight w:val="none"/>
          <w14:textFill>
            <w14:solidFill>
              <w14:schemeClr w14:val="tx1"/>
            </w14:solidFill>
          </w14:textFill>
        </w:rPr>
      </w:pPr>
      <w:r>
        <w:rPr>
          <w:color w:val="000000" w:themeColor="text1"/>
          <w:sz w:val="24"/>
          <w:szCs w:val="20"/>
          <w:highlight w:val="none"/>
          <w:lang w:bidi="ar"/>
          <w14:textFill>
            <w14:solidFill>
              <w14:schemeClr w14:val="tx1"/>
            </w14:solidFill>
          </w14:textFill>
        </w:rPr>
        <w:t>投标函附表：</w:t>
      </w:r>
    </w:p>
    <w:tbl>
      <w:tblPr>
        <w:tblStyle w:val="3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7"/>
        <w:gridCol w:w="5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项    目</w:t>
            </w:r>
          </w:p>
        </w:tc>
        <w:tc>
          <w:tcPr>
            <w:tcW w:w="52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服务期</w:t>
            </w:r>
          </w:p>
        </w:tc>
        <w:tc>
          <w:tcPr>
            <w:tcW w:w="52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质量标准</w:t>
            </w:r>
          </w:p>
        </w:tc>
        <w:tc>
          <w:tcPr>
            <w:tcW w:w="52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9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项目负责人</w:t>
            </w:r>
          </w:p>
        </w:tc>
        <w:tc>
          <w:tcPr>
            <w:tcW w:w="52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99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sz w:val="20"/>
                <w:szCs w:val="20"/>
                <w:highlight w:val="none"/>
                <w14:textFill>
                  <w14:solidFill>
                    <w14:schemeClr w14:val="tx1"/>
                  </w14:solidFill>
                </w14:textFill>
              </w:rPr>
            </w:pPr>
          </w:p>
        </w:tc>
        <w:tc>
          <w:tcPr>
            <w:tcW w:w="52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技术职称：</w:t>
            </w:r>
          </w:p>
        </w:tc>
      </w:tr>
    </w:tbl>
    <w:p>
      <w:pPr>
        <w:shd w:val="clear"/>
        <w:spacing w:line="360" w:lineRule="auto"/>
        <w:rPr>
          <w:color w:val="000000" w:themeColor="text1"/>
          <w:highlight w:val="none"/>
          <w14:textFill>
            <w14:solidFill>
              <w14:schemeClr w14:val="tx1"/>
            </w14:solidFill>
          </w14:textFill>
        </w:rPr>
      </w:pPr>
    </w:p>
    <w:p>
      <w:pPr>
        <w:shd w:val="clear"/>
        <w:spacing w:line="360" w:lineRule="auto"/>
        <w:ind w:firstLine="360" w:firstLineChars="150"/>
        <w:rPr>
          <w:color w:val="000000" w:themeColor="text1"/>
          <w:sz w:val="24"/>
          <w:szCs w:val="20"/>
          <w:highlight w:val="none"/>
          <w14:textFill>
            <w14:solidFill>
              <w14:schemeClr w14:val="tx1"/>
            </w14:solidFill>
          </w14:textFill>
        </w:rPr>
      </w:pPr>
      <w:r>
        <w:rPr>
          <w:color w:val="000000" w:themeColor="text1"/>
          <w:sz w:val="24"/>
          <w:szCs w:val="20"/>
          <w:highlight w:val="none"/>
          <w:lang w:bidi="ar"/>
          <w14:textFill>
            <w14:solidFill>
              <w14:schemeClr w14:val="tx1"/>
            </w14:solidFill>
          </w14:textFill>
        </w:rPr>
        <w:t>投标人（公章）：</w:t>
      </w:r>
      <w:r>
        <w:rPr>
          <w:color w:val="000000" w:themeColor="text1"/>
          <w:sz w:val="24"/>
          <w:szCs w:val="20"/>
          <w:highlight w:val="none"/>
          <w:u w:val="single"/>
          <w:lang w:bidi="ar"/>
          <w14:textFill>
            <w14:solidFill>
              <w14:schemeClr w14:val="tx1"/>
            </w14:solidFill>
          </w14:textFill>
        </w:rPr>
        <w:t xml:space="preserve">                            </w:t>
      </w:r>
    </w:p>
    <w:p>
      <w:pPr>
        <w:shd w:val="clear"/>
        <w:spacing w:line="360" w:lineRule="auto"/>
        <w:ind w:firstLine="360" w:firstLineChars="150"/>
        <w:rPr>
          <w:color w:val="000000" w:themeColor="text1"/>
          <w:sz w:val="24"/>
          <w:szCs w:val="20"/>
          <w:highlight w:val="none"/>
          <w:u w:val="single"/>
          <w14:textFill>
            <w14:solidFill>
              <w14:schemeClr w14:val="tx1"/>
            </w14:solidFill>
          </w14:textFill>
        </w:rPr>
      </w:pPr>
      <w:r>
        <w:rPr>
          <w:rFonts w:hint="eastAsia"/>
          <w:color w:val="000000" w:themeColor="text1"/>
          <w:sz w:val="24"/>
          <w:szCs w:val="20"/>
          <w:highlight w:val="none"/>
          <w:lang w:bidi="ar"/>
          <w14:textFill>
            <w14:solidFill>
              <w14:schemeClr w14:val="tx1"/>
            </w14:solidFill>
          </w14:textFill>
        </w:rPr>
        <w:t>法定代表人或其授权委托人</w:t>
      </w:r>
      <w:r>
        <w:rPr>
          <w:color w:val="000000" w:themeColor="text1"/>
          <w:sz w:val="24"/>
          <w:szCs w:val="20"/>
          <w:highlight w:val="none"/>
          <w:lang w:bidi="ar"/>
          <w14:textFill>
            <w14:solidFill>
              <w14:schemeClr w14:val="tx1"/>
            </w14:solidFill>
          </w14:textFill>
        </w:rPr>
        <w:t>（签字或盖章）：</w:t>
      </w:r>
      <w:r>
        <w:rPr>
          <w:color w:val="000000" w:themeColor="text1"/>
          <w:sz w:val="24"/>
          <w:szCs w:val="20"/>
          <w:highlight w:val="none"/>
          <w:u w:val="single"/>
          <w:lang w:bidi="ar"/>
          <w14:textFill>
            <w14:solidFill>
              <w14:schemeClr w14:val="tx1"/>
            </w14:solidFill>
          </w14:textFill>
        </w:rPr>
        <w:t xml:space="preserve">                     </w:t>
      </w:r>
    </w:p>
    <w:p>
      <w:pPr>
        <w:shd w:val="clear"/>
        <w:spacing w:line="360" w:lineRule="auto"/>
        <w:ind w:firstLine="5400" w:firstLineChars="2250"/>
        <w:jc w:val="right"/>
        <w:rPr>
          <w:color w:val="000000" w:themeColor="text1"/>
          <w:sz w:val="24"/>
          <w:szCs w:val="20"/>
          <w:highlight w:val="none"/>
          <w:lang w:bidi="ar"/>
          <w14:textFill>
            <w14:solidFill>
              <w14:schemeClr w14:val="tx1"/>
            </w14:solidFill>
          </w14:textFill>
        </w:rPr>
      </w:pPr>
      <w:r>
        <w:rPr>
          <w:color w:val="000000" w:themeColor="text1"/>
          <w:sz w:val="24"/>
          <w:szCs w:val="20"/>
          <w:highlight w:val="none"/>
          <w:lang w:bidi="ar"/>
          <w14:textFill>
            <w14:solidFill>
              <w14:schemeClr w14:val="tx1"/>
            </w14:solidFill>
          </w14:textFill>
        </w:rPr>
        <w:t>日期：      年   月   日</w:t>
      </w:r>
    </w:p>
    <w:p>
      <w:pPr>
        <w:pStyle w:val="16"/>
        <w:shd w:val="clear"/>
        <w:rPr>
          <w:color w:val="000000" w:themeColor="text1"/>
          <w:szCs w:val="21"/>
          <w:highlight w:val="none"/>
          <w14:textFill>
            <w14:solidFill>
              <w14:schemeClr w14:val="tx1"/>
            </w14:solidFill>
          </w14:textFill>
        </w:rPr>
      </w:pPr>
      <w:r>
        <w:rPr>
          <w:color w:val="000000" w:themeColor="text1"/>
          <w:highlight w:val="none"/>
          <w:lang w:bidi="ar"/>
          <w14:textFill>
            <w14:solidFill>
              <w14:schemeClr w14:val="tx1"/>
            </w14:solidFill>
          </w14:textFill>
        </w:rPr>
        <w:br w:type="page"/>
      </w:r>
    </w:p>
    <w:bookmarkEnd w:id="204"/>
    <w:bookmarkEnd w:id="205"/>
    <w:bookmarkEnd w:id="206"/>
    <w:bookmarkEnd w:id="207"/>
    <w:bookmarkEnd w:id="208"/>
    <w:bookmarkEnd w:id="209"/>
    <w:bookmarkEnd w:id="210"/>
    <w:bookmarkEnd w:id="211"/>
    <w:bookmarkEnd w:id="212"/>
    <w:bookmarkEnd w:id="213"/>
    <w:bookmarkEnd w:id="214"/>
    <w:p>
      <w:pPr>
        <w:pStyle w:val="3"/>
        <w:keepNext w:val="0"/>
        <w:keepLines w:val="0"/>
        <w:numPr>
          <w:ilvl w:val="0"/>
          <w:numId w:val="3"/>
        </w:numPr>
        <w:shd w:val="clear"/>
        <w:spacing w:before="0" w:after="0" w:line="360" w:lineRule="auto"/>
        <w:jc w:val="center"/>
        <w:rPr>
          <w:rFonts w:ascii="Times New Roman" w:hAnsi="Times New Roman" w:eastAsia="宋体"/>
          <w:color w:val="000000" w:themeColor="text1"/>
          <w:highlight w:val="none"/>
          <w14:textFill>
            <w14:solidFill>
              <w14:schemeClr w14:val="tx1"/>
            </w14:solidFill>
          </w14:textFill>
        </w:rPr>
      </w:pPr>
      <w:bookmarkStart w:id="215" w:name="_Toc47376785"/>
      <w:bookmarkStart w:id="216" w:name="_Toc47987345"/>
      <w:bookmarkStart w:id="217" w:name="_Toc9178"/>
      <w:bookmarkStart w:id="218" w:name="_Toc3659"/>
      <w:r>
        <w:rPr>
          <w:rFonts w:ascii="Times New Roman" w:hAnsi="Times New Roman" w:eastAsia="宋体"/>
          <w:bCs/>
          <w:color w:val="000000" w:themeColor="text1"/>
          <w:szCs w:val="32"/>
          <w:highlight w:val="none"/>
          <w14:textFill>
            <w14:solidFill>
              <w14:schemeClr w14:val="tx1"/>
            </w14:solidFill>
          </w14:textFill>
        </w:rPr>
        <w:t>法定代表人证明</w:t>
      </w:r>
      <w:bookmarkEnd w:id="215"/>
      <w:bookmarkEnd w:id="216"/>
      <w:r>
        <w:rPr>
          <w:rFonts w:ascii="Times New Roman" w:hAnsi="Times New Roman" w:eastAsia="宋体"/>
          <w:bCs/>
          <w:color w:val="000000" w:themeColor="text1"/>
          <w:szCs w:val="32"/>
          <w:highlight w:val="none"/>
          <w14:textFill>
            <w14:solidFill>
              <w14:schemeClr w14:val="tx1"/>
            </w14:solidFill>
          </w14:textFill>
        </w:rPr>
        <w:t>书及授权委托书</w:t>
      </w:r>
      <w:bookmarkEnd w:id="217"/>
      <w:bookmarkEnd w:id="218"/>
    </w:p>
    <w:p>
      <w:pPr>
        <w:shd w:val="clear"/>
        <w:spacing w:line="360" w:lineRule="auto"/>
        <w:jc w:val="center"/>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法定代表人证明书</w:t>
      </w:r>
    </w:p>
    <w:p>
      <w:pPr>
        <w:shd w:val="clear"/>
        <w:spacing w:line="360" w:lineRule="auto"/>
        <w:rPr>
          <w:color w:val="000000" w:themeColor="text1"/>
          <w:highlight w:val="none"/>
          <w14:textFill>
            <w14:solidFill>
              <w14:schemeClr w14:val="tx1"/>
            </w14:solidFill>
          </w14:textFill>
        </w:rPr>
      </w:pPr>
    </w:p>
    <w:p>
      <w:pPr>
        <w:shd w:val="clear"/>
        <w:spacing w:line="360" w:lineRule="auto"/>
        <w:rPr>
          <w:color w:val="000000" w:themeColor="text1"/>
          <w:highlight w:val="none"/>
          <w14:textFill>
            <w14:solidFill>
              <w14:schemeClr w14:val="tx1"/>
            </w14:solidFill>
          </w14:textFill>
        </w:rPr>
      </w:pPr>
    </w:p>
    <w:p>
      <w:pPr>
        <w:shd w:val="clea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投标人名称：</w:t>
      </w:r>
      <w:r>
        <w:rPr>
          <w:color w:val="000000" w:themeColor="text1"/>
          <w:sz w:val="24"/>
          <w:szCs w:val="24"/>
          <w:highlight w:val="none"/>
          <w:u w:val="single"/>
          <w:lang w:bidi="ar"/>
          <w14:textFill>
            <w14:solidFill>
              <w14:schemeClr w14:val="tx1"/>
            </w14:solidFill>
          </w14:textFill>
        </w:rPr>
        <w:t xml:space="preserve">                        </w:t>
      </w:r>
    </w:p>
    <w:p>
      <w:pPr>
        <w:shd w:val="clea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姓名：</w:t>
      </w:r>
      <w:r>
        <w:rPr>
          <w:color w:val="000000" w:themeColor="text1"/>
          <w:sz w:val="24"/>
          <w:szCs w:val="24"/>
          <w:highlight w:val="none"/>
          <w:u w:val="single"/>
          <w:lang w:bidi="ar"/>
          <w14:textFill>
            <w14:solidFill>
              <w14:schemeClr w14:val="tx1"/>
            </w14:solidFill>
          </w14:textFill>
        </w:rPr>
        <w:t xml:space="preserve">                </w:t>
      </w:r>
      <w:r>
        <w:rPr>
          <w:color w:val="000000" w:themeColor="text1"/>
          <w:sz w:val="24"/>
          <w:szCs w:val="24"/>
          <w:highlight w:val="none"/>
          <w:lang w:bidi="ar"/>
          <w14:textFill>
            <w14:solidFill>
              <w14:schemeClr w14:val="tx1"/>
            </w14:solidFill>
          </w14:textFill>
        </w:rPr>
        <w:t>性别：</w:t>
      </w:r>
      <w:bookmarkStart w:id="219" w:name="_Toc369531698"/>
      <w:bookmarkStart w:id="220" w:name="_Toc27897"/>
      <w:bookmarkStart w:id="221" w:name="_Toc352691662"/>
      <w:r>
        <w:rPr>
          <w:color w:val="000000" w:themeColor="text1"/>
          <w:sz w:val="24"/>
          <w:szCs w:val="24"/>
          <w:highlight w:val="none"/>
          <w:u w:val="single"/>
          <w:lang w:bidi="ar"/>
          <w14:textFill>
            <w14:solidFill>
              <w14:schemeClr w14:val="tx1"/>
            </w14:solidFill>
          </w14:textFill>
        </w:rPr>
        <w:t xml:space="preserve">        </w:t>
      </w:r>
      <w:r>
        <w:rPr>
          <w:color w:val="000000" w:themeColor="text1"/>
          <w:sz w:val="24"/>
          <w:szCs w:val="24"/>
          <w:highlight w:val="none"/>
          <w:lang w:bidi="ar"/>
          <w14:textFill>
            <w14:solidFill>
              <w14:schemeClr w14:val="tx1"/>
            </w14:solidFill>
          </w14:textFill>
        </w:rPr>
        <w:t>年</w:t>
      </w:r>
      <w:bookmarkEnd w:id="219"/>
      <w:bookmarkEnd w:id="220"/>
      <w:bookmarkEnd w:id="221"/>
      <w:r>
        <w:rPr>
          <w:color w:val="000000" w:themeColor="text1"/>
          <w:sz w:val="24"/>
          <w:szCs w:val="24"/>
          <w:highlight w:val="none"/>
          <w:lang w:bidi="ar"/>
          <w14:textFill>
            <w14:solidFill>
              <w14:schemeClr w14:val="tx1"/>
            </w14:solidFill>
          </w14:textFill>
        </w:rPr>
        <w:t>龄：</w:t>
      </w:r>
      <w:r>
        <w:rPr>
          <w:color w:val="000000" w:themeColor="text1"/>
          <w:sz w:val="24"/>
          <w:szCs w:val="24"/>
          <w:highlight w:val="none"/>
          <w:u w:val="single"/>
          <w:lang w:bidi="ar"/>
          <w14:textFill>
            <w14:solidFill>
              <w14:schemeClr w14:val="tx1"/>
            </w14:solidFill>
          </w14:textFill>
        </w:rPr>
        <w:t xml:space="preserve">        </w:t>
      </w:r>
      <w:r>
        <w:rPr>
          <w:color w:val="000000" w:themeColor="text1"/>
          <w:sz w:val="24"/>
          <w:szCs w:val="24"/>
          <w:highlight w:val="none"/>
          <w:lang w:bidi="ar"/>
          <w14:textFill>
            <w14:solidFill>
              <w14:schemeClr w14:val="tx1"/>
            </w14:solidFill>
          </w14:textFill>
        </w:rPr>
        <w:t>职务：</w:t>
      </w:r>
      <w:r>
        <w:rPr>
          <w:color w:val="000000" w:themeColor="text1"/>
          <w:sz w:val="24"/>
          <w:szCs w:val="24"/>
          <w:highlight w:val="none"/>
          <w:u w:val="single"/>
          <w:lang w:bidi="ar"/>
          <w14:textFill>
            <w14:solidFill>
              <w14:schemeClr w14:val="tx1"/>
            </w14:solidFill>
          </w14:textFill>
        </w:rPr>
        <w:t xml:space="preserve">        </w:t>
      </w:r>
    </w:p>
    <w:p>
      <w:pPr>
        <w:shd w:val="clea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系</w:t>
      </w:r>
      <w:r>
        <w:rPr>
          <w:color w:val="000000" w:themeColor="text1"/>
          <w:sz w:val="24"/>
          <w:szCs w:val="24"/>
          <w:highlight w:val="none"/>
          <w:u w:val="single"/>
          <w:lang w:bidi="ar"/>
          <w14:textFill>
            <w14:solidFill>
              <w14:schemeClr w14:val="tx1"/>
            </w14:solidFill>
          </w14:textFill>
        </w:rPr>
        <w:t xml:space="preserve">                        </w:t>
      </w:r>
      <w:r>
        <w:rPr>
          <w:color w:val="000000" w:themeColor="text1"/>
          <w:sz w:val="24"/>
          <w:szCs w:val="24"/>
          <w:highlight w:val="none"/>
          <w:lang w:bidi="ar"/>
          <w14:textFill>
            <w14:solidFill>
              <w14:schemeClr w14:val="tx1"/>
            </w14:solidFill>
          </w14:textFill>
        </w:rPr>
        <w:t>（独立投标人或联合体牵头方名称）的法定代表人。</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特此证明。</w:t>
      </w:r>
    </w:p>
    <w:p>
      <w:pPr>
        <w:shd w:val="clear"/>
        <w:spacing w:line="360" w:lineRule="auto"/>
        <w:rPr>
          <w:color w:val="000000" w:themeColor="text1"/>
          <w:sz w:val="24"/>
          <w:szCs w:val="24"/>
          <w:highlight w:val="none"/>
          <w14:textFill>
            <w14:solidFill>
              <w14:schemeClr w14:val="tx1"/>
            </w14:solidFill>
          </w14:textFill>
        </w:rPr>
      </w:pPr>
    </w:p>
    <w:p>
      <w:pPr>
        <w:shd w:val="clea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附：法定代表人身份证</w:t>
      </w:r>
      <w:r>
        <w:rPr>
          <w:rFonts w:hint="eastAsia"/>
          <w:color w:val="000000" w:themeColor="text1"/>
          <w:sz w:val="24"/>
          <w:szCs w:val="24"/>
          <w:highlight w:val="none"/>
          <w:lang w:bidi="ar"/>
          <w14:textFill>
            <w14:solidFill>
              <w14:schemeClr w14:val="tx1"/>
            </w14:solidFill>
          </w14:textFill>
        </w:rPr>
        <w:t>扫描</w:t>
      </w:r>
      <w:r>
        <w:rPr>
          <w:color w:val="000000" w:themeColor="text1"/>
          <w:sz w:val="24"/>
          <w:szCs w:val="24"/>
          <w:highlight w:val="none"/>
          <w:lang w:bidi="ar"/>
          <w14:textFill>
            <w14:solidFill>
              <w14:schemeClr w14:val="tx1"/>
            </w14:solidFill>
          </w14:textFill>
        </w:rPr>
        <w:t>件。</w:t>
      </w:r>
    </w:p>
    <w:p>
      <w:pPr>
        <w:shd w:val="clear"/>
        <w:spacing w:line="360" w:lineRule="auto"/>
        <w:rPr>
          <w:color w:val="000000" w:themeColor="text1"/>
          <w:sz w:val="24"/>
          <w:szCs w:val="24"/>
          <w:highlight w:val="none"/>
          <w14:textFill>
            <w14:solidFill>
              <w14:schemeClr w14:val="tx1"/>
            </w14:solidFill>
          </w14:textFill>
        </w:rPr>
      </w:pPr>
    </w:p>
    <w:p>
      <w:pPr>
        <w:shd w:val="clea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注：联合体投标的，本证明书由联合体牵头方出具。</w:t>
      </w:r>
    </w:p>
    <w:p>
      <w:pPr>
        <w:shd w:val="clear"/>
        <w:spacing w:line="360" w:lineRule="auto"/>
        <w:rPr>
          <w:color w:val="000000" w:themeColor="text1"/>
          <w:sz w:val="24"/>
          <w:szCs w:val="24"/>
          <w:highlight w:val="none"/>
          <w14:textFill>
            <w14:solidFill>
              <w14:schemeClr w14:val="tx1"/>
            </w14:solidFill>
          </w14:textFill>
        </w:rPr>
      </w:pPr>
    </w:p>
    <w:p>
      <w:pPr>
        <w:shd w:val="clear"/>
        <w:spacing w:line="360" w:lineRule="auto"/>
        <w:rPr>
          <w:color w:val="000000" w:themeColor="text1"/>
          <w:sz w:val="24"/>
          <w:szCs w:val="24"/>
          <w:highlight w:val="none"/>
          <w14:textFill>
            <w14:solidFill>
              <w14:schemeClr w14:val="tx1"/>
            </w14:solidFill>
          </w14:textFill>
        </w:rPr>
      </w:pPr>
    </w:p>
    <w:p>
      <w:pPr>
        <w:shd w:val="clear"/>
        <w:spacing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 xml:space="preserve">                        </w:t>
      </w:r>
      <w:bookmarkStart w:id="222" w:name="_Hlk74223610"/>
      <w:r>
        <w:rPr>
          <w:color w:val="000000" w:themeColor="text1"/>
          <w:sz w:val="24"/>
          <w:szCs w:val="24"/>
          <w:highlight w:val="none"/>
          <w:lang w:bidi="ar"/>
          <w14:textFill>
            <w14:solidFill>
              <w14:schemeClr w14:val="tx1"/>
            </w14:solidFill>
          </w14:textFill>
        </w:rPr>
        <w:t>投标人（或联合体牵头方）</w:t>
      </w:r>
      <w:bookmarkEnd w:id="222"/>
      <w:r>
        <w:rPr>
          <w:color w:val="000000" w:themeColor="text1"/>
          <w:sz w:val="24"/>
          <w:szCs w:val="24"/>
          <w:highlight w:val="none"/>
          <w:lang w:bidi="ar"/>
          <w14:textFill>
            <w14:solidFill>
              <w14:schemeClr w14:val="tx1"/>
            </w14:solidFill>
          </w14:textFill>
        </w:rPr>
        <w:t>：</w:t>
      </w:r>
      <w:r>
        <w:rPr>
          <w:color w:val="000000" w:themeColor="text1"/>
          <w:sz w:val="24"/>
          <w:szCs w:val="24"/>
          <w:highlight w:val="none"/>
          <w:u w:val="single"/>
          <w:lang w:bidi="ar"/>
          <w14:textFill>
            <w14:solidFill>
              <w14:schemeClr w14:val="tx1"/>
            </w14:solidFill>
          </w14:textFill>
        </w:rPr>
        <w:t xml:space="preserve">        </w:t>
      </w:r>
      <w:r>
        <w:rPr>
          <w:color w:val="000000" w:themeColor="text1"/>
          <w:sz w:val="24"/>
          <w:szCs w:val="24"/>
          <w:highlight w:val="none"/>
          <w:u w:val="single"/>
          <w:lang w:bidi="ar"/>
          <w14:textFill>
            <w14:solidFill>
              <w14:schemeClr w14:val="tx1"/>
            </w14:solidFill>
          </w14:textFill>
        </w:rPr>
        <w:tab/>
      </w:r>
      <w:r>
        <w:rPr>
          <w:color w:val="000000" w:themeColor="text1"/>
          <w:sz w:val="24"/>
          <w:szCs w:val="24"/>
          <w:highlight w:val="none"/>
          <w:lang w:bidi="ar"/>
          <w14:textFill>
            <w14:solidFill>
              <w14:schemeClr w14:val="tx1"/>
            </w14:solidFill>
          </w14:textFill>
        </w:rPr>
        <w:t>（盖单位章）</w:t>
      </w:r>
    </w:p>
    <w:p>
      <w:pPr>
        <w:shd w:val="clear"/>
        <w:spacing w:line="360" w:lineRule="auto"/>
        <w:rPr>
          <w:color w:val="000000" w:themeColor="text1"/>
          <w:sz w:val="24"/>
          <w:szCs w:val="24"/>
          <w:highlight w:val="none"/>
          <w14:textFill>
            <w14:solidFill>
              <w14:schemeClr w14:val="tx1"/>
            </w14:solidFill>
          </w14:textFill>
        </w:rPr>
      </w:pPr>
    </w:p>
    <w:p>
      <w:pPr>
        <w:shd w:val="clear"/>
        <w:spacing w:line="360" w:lineRule="auto"/>
        <w:ind w:firstLine="5280" w:firstLineChars="2200"/>
        <w:rPr>
          <w:color w:val="000000" w:themeColor="text1"/>
          <w:sz w:val="24"/>
          <w:szCs w:val="24"/>
          <w:highlight w:val="none"/>
          <w14:textFill>
            <w14:solidFill>
              <w14:schemeClr w14:val="tx1"/>
            </w14:solidFill>
          </w14:textFill>
        </w:rPr>
      </w:pPr>
      <w:r>
        <w:rPr>
          <w:color w:val="000000" w:themeColor="text1"/>
          <w:sz w:val="24"/>
          <w:szCs w:val="24"/>
          <w:highlight w:val="none"/>
          <w:u w:val="single"/>
          <w:lang w:bidi="ar"/>
          <w14:textFill>
            <w14:solidFill>
              <w14:schemeClr w14:val="tx1"/>
            </w14:solidFill>
          </w14:textFill>
        </w:rPr>
        <w:t xml:space="preserve">      </w:t>
      </w:r>
      <w:r>
        <w:rPr>
          <w:color w:val="000000" w:themeColor="text1"/>
          <w:sz w:val="24"/>
          <w:szCs w:val="24"/>
          <w:highlight w:val="none"/>
          <w:lang w:bidi="ar"/>
          <w14:textFill>
            <w14:solidFill>
              <w14:schemeClr w14:val="tx1"/>
            </w14:solidFill>
          </w14:textFill>
        </w:rPr>
        <w:t>年</w:t>
      </w:r>
      <w:r>
        <w:rPr>
          <w:color w:val="000000" w:themeColor="text1"/>
          <w:sz w:val="24"/>
          <w:szCs w:val="24"/>
          <w:highlight w:val="none"/>
          <w:u w:val="single"/>
          <w:lang w:bidi="ar"/>
          <w14:textFill>
            <w14:solidFill>
              <w14:schemeClr w14:val="tx1"/>
            </w14:solidFill>
          </w14:textFill>
        </w:rPr>
        <w:t xml:space="preserve">      </w:t>
      </w:r>
      <w:r>
        <w:rPr>
          <w:color w:val="000000" w:themeColor="text1"/>
          <w:sz w:val="24"/>
          <w:szCs w:val="24"/>
          <w:highlight w:val="none"/>
          <w:lang w:bidi="ar"/>
          <w14:textFill>
            <w14:solidFill>
              <w14:schemeClr w14:val="tx1"/>
            </w14:solidFill>
          </w14:textFill>
        </w:rPr>
        <w:t>月</w:t>
      </w:r>
      <w:r>
        <w:rPr>
          <w:color w:val="000000" w:themeColor="text1"/>
          <w:sz w:val="24"/>
          <w:szCs w:val="24"/>
          <w:highlight w:val="none"/>
          <w:u w:val="single"/>
          <w:lang w:bidi="ar"/>
          <w14:textFill>
            <w14:solidFill>
              <w14:schemeClr w14:val="tx1"/>
            </w14:solidFill>
          </w14:textFill>
        </w:rPr>
        <w:t xml:space="preserve">      </w:t>
      </w:r>
      <w:r>
        <w:rPr>
          <w:color w:val="000000" w:themeColor="text1"/>
          <w:sz w:val="24"/>
          <w:szCs w:val="24"/>
          <w:highlight w:val="none"/>
          <w:lang w:bidi="ar"/>
          <w14:textFill>
            <w14:solidFill>
              <w14:schemeClr w14:val="tx1"/>
            </w14:solidFill>
          </w14:textFill>
        </w:rPr>
        <w:t>日</w:t>
      </w:r>
    </w:p>
    <w:p>
      <w:pPr>
        <w:shd w:val="clear"/>
        <w:spacing w:line="360" w:lineRule="auto"/>
        <w:rPr>
          <w:color w:val="000000" w:themeColor="text1"/>
          <w:sz w:val="20"/>
          <w:szCs w:val="20"/>
          <w:highlight w:val="none"/>
          <w14:textFill>
            <w14:solidFill>
              <w14:schemeClr w14:val="tx1"/>
            </w14:solidFill>
          </w14:textFill>
        </w:rPr>
      </w:pPr>
      <w:r>
        <w:rPr>
          <w:color w:val="000000" w:themeColor="text1"/>
          <w:sz w:val="20"/>
          <w:szCs w:val="20"/>
          <w:highlight w:val="none"/>
          <w:lang w:bidi="ar"/>
          <w14:textFill>
            <w14:solidFill>
              <w14:schemeClr w14:val="tx1"/>
            </w14:solidFill>
          </w14:textFill>
        </w:rPr>
        <w:br w:type="page"/>
      </w:r>
    </w:p>
    <w:p>
      <w:pPr>
        <w:shd w:val="clear"/>
        <w:spacing w:line="360" w:lineRule="auto"/>
        <w:jc w:val="center"/>
        <w:rPr>
          <w:b/>
          <w:color w:val="000000" w:themeColor="text1"/>
          <w:sz w:val="32"/>
          <w:szCs w:val="32"/>
          <w:highlight w:val="none"/>
          <w14:textFill>
            <w14:solidFill>
              <w14:schemeClr w14:val="tx1"/>
            </w14:solidFill>
          </w14:textFill>
        </w:rPr>
      </w:pPr>
      <w:bookmarkStart w:id="223" w:name="_Toc47376786"/>
      <w:bookmarkStart w:id="224" w:name="_Toc47987346"/>
      <w:r>
        <w:rPr>
          <w:b/>
          <w:color w:val="000000" w:themeColor="text1"/>
          <w:sz w:val="32"/>
          <w:szCs w:val="32"/>
          <w:highlight w:val="none"/>
          <w14:textFill>
            <w14:solidFill>
              <w14:schemeClr w14:val="tx1"/>
            </w14:solidFill>
          </w14:textFill>
        </w:rPr>
        <w:t>授权委托书</w:t>
      </w:r>
      <w:bookmarkEnd w:id="223"/>
      <w:bookmarkEnd w:id="224"/>
    </w:p>
    <w:p>
      <w:pPr>
        <w:shd w:val="clear"/>
        <w:spacing w:line="360" w:lineRule="auto"/>
        <w:rPr>
          <w:color w:val="000000" w:themeColor="text1"/>
          <w:highlight w:val="none"/>
          <w14:textFill>
            <w14:solidFill>
              <w14:schemeClr w14:val="tx1"/>
            </w14:solidFill>
          </w14:textFill>
        </w:rPr>
      </w:pPr>
    </w:p>
    <w:p>
      <w:pPr>
        <w:shd w:val="clear"/>
        <w:topLinePunct/>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本人</w:t>
      </w:r>
      <w:r>
        <w:rPr>
          <w:color w:val="000000" w:themeColor="text1"/>
          <w:sz w:val="24"/>
          <w:szCs w:val="24"/>
          <w:highlight w:val="none"/>
          <w:u w:val="single"/>
          <w:lang w:bidi="ar"/>
          <w14:textFill>
            <w14:solidFill>
              <w14:schemeClr w14:val="tx1"/>
            </w14:solidFill>
          </w14:textFill>
        </w:rPr>
        <w:t xml:space="preserve">              </w:t>
      </w:r>
      <w:r>
        <w:rPr>
          <w:color w:val="000000" w:themeColor="text1"/>
          <w:sz w:val="24"/>
          <w:szCs w:val="24"/>
          <w:highlight w:val="none"/>
          <w:lang w:bidi="ar"/>
          <w14:textFill>
            <w14:solidFill>
              <w14:schemeClr w14:val="tx1"/>
            </w14:solidFill>
          </w14:textFill>
        </w:rPr>
        <w:t>（姓名）系</w:t>
      </w:r>
      <w:r>
        <w:rPr>
          <w:color w:val="000000" w:themeColor="text1"/>
          <w:sz w:val="24"/>
          <w:szCs w:val="24"/>
          <w:highlight w:val="none"/>
          <w:u w:val="single"/>
          <w:lang w:bidi="ar"/>
          <w14:textFill>
            <w14:solidFill>
              <w14:schemeClr w14:val="tx1"/>
            </w14:solidFill>
          </w14:textFill>
        </w:rPr>
        <w:t xml:space="preserve">                    </w:t>
      </w:r>
      <w:r>
        <w:rPr>
          <w:color w:val="000000" w:themeColor="text1"/>
          <w:sz w:val="24"/>
          <w:szCs w:val="24"/>
          <w:highlight w:val="none"/>
          <w:lang w:bidi="ar"/>
          <w14:textFill>
            <w14:solidFill>
              <w14:schemeClr w14:val="tx1"/>
            </w14:solidFill>
          </w14:textFill>
        </w:rPr>
        <w:t>（独立投标人或联合体牵头方名称）的法定代表人，现委托</w:t>
      </w:r>
      <w:r>
        <w:rPr>
          <w:color w:val="000000" w:themeColor="text1"/>
          <w:sz w:val="24"/>
          <w:szCs w:val="24"/>
          <w:highlight w:val="none"/>
          <w:u w:val="single"/>
          <w:lang w:bidi="ar"/>
          <w14:textFill>
            <w14:solidFill>
              <w14:schemeClr w14:val="tx1"/>
            </w14:solidFill>
          </w14:textFill>
        </w:rPr>
        <w:t xml:space="preserve">            </w:t>
      </w:r>
      <w:r>
        <w:rPr>
          <w:color w:val="000000" w:themeColor="text1"/>
          <w:sz w:val="24"/>
          <w:szCs w:val="24"/>
          <w:highlight w:val="none"/>
          <w:lang w:bidi="ar"/>
          <w14:textFill>
            <w14:solidFill>
              <w14:schemeClr w14:val="tx1"/>
            </w14:solidFill>
          </w14:textFill>
        </w:rPr>
        <w:t>（姓名）为我方代理人。代理人根据授权，以我方名义签署、澄清确认、递交、撤回、修改</w:t>
      </w:r>
      <w:r>
        <w:rPr>
          <w:color w:val="000000" w:themeColor="text1"/>
          <w:sz w:val="24"/>
          <w:szCs w:val="24"/>
          <w:highlight w:val="none"/>
          <w:u w:val="single"/>
          <w:lang w:bidi="ar"/>
          <w14:textFill>
            <w14:solidFill>
              <w14:schemeClr w14:val="tx1"/>
            </w14:solidFill>
          </w14:textFill>
        </w:rPr>
        <w:t xml:space="preserve"> </w:t>
      </w:r>
      <w:r>
        <w:rPr>
          <w:rFonts w:hint="eastAsia"/>
          <w:b/>
          <w:color w:val="000000" w:themeColor="text1"/>
          <w:sz w:val="24"/>
          <w:szCs w:val="24"/>
          <w:highlight w:val="none"/>
          <w:u w:val="single"/>
          <w:lang w:eastAsia="zh-CN" w:bidi="ar"/>
          <w14:textFill>
            <w14:solidFill>
              <w14:schemeClr w14:val="tx1"/>
            </w14:solidFill>
          </w14:textFill>
        </w:rPr>
        <w:t>广州设计之都嘉禾片区项目三期第三方检测、监测服务</w:t>
      </w:r>
      <w:r>
        <w:rPr>
          <w:color w:val="000000" w:themeColor="text1"/>
          <w:sz w:val="24"/>
          <w:szCs w:val="24"/>
          <w:highlight w:val="none"/>
          <w:u w:val="single"/>
          <w:lang w:bidi="ar"/>
          <w14:textFill>
            <w14:solidFill>
              <w14:schemeClr w14:val="tx1"/>
            </w14:solidFill>
          </w14:textFill>
        </w:rPr>
        <w:t xml:space="preserve"> </w:t>
      </w:r>
      <w:r>
        <w:rPr>
          <w:color w:val="000000" w:themeColor="text1"/>
          <w:sz w:val="24"/>
          <w:szCs w:val="24"/>
          <w:highlight w:val="none"/>
          <w:lang w:bidi="ar"/>
          <w14:textFill>
            <w14:solidFill>
              <w14:schemeClr w14:val="tx1"/>
            </w14:solidFill>
          </w14:textFill>
        </w:rPr>
        <w:t>招标项目投标文件、签订合同和处理有关事宜，其法律后果由我方承担。</w:t>
      </w:r>
    </w:p>
    <w:p>
      <w:pPr>
        <w:shd w:val="clea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委托期限：</w:t>
      </w:r>
      <w:r>
        <w:rPr>
          <w:color w:val="000000" w:themeColor="text1"/>
          <w:sz w:val="24"/>
          <w:szCs w:val="24"/>
          <w:highlight w:val="none"/>
          <w:u w:val="single"/>
          <w:lang w:bidi="ar"/>
          <w14:textFill>
            <w14:solidFill>
              <w14:schemeClr w14:val="tx1"/>
            </w14:solidFill>
          </w14:textFill>
        </w:rPr>
        <w:t xml:space="preserve">                       </w:t>
      </w:r>
      <w:r>
        <w:rPr>
          <w:color w:val="000000" w:themeColor="text1"/>
          <w:sz w:val="24"/>
          <w:szCs w:val="24"/>
          <w:highlight w:val="none"/>
          <w:lang w:bidi="ar"/>
          <w14:textFill>
            <w14:solidFill>
              <w14:schemeClr w14:val="tx1"/>
            </w14:solidFill>
          </w14:textFill>
        </w:rPr>
        <w:t>。</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代理人无转委托权。</w:t>
      </w:r>
    </w:p>
    <w:p>
      <w:pPr>
        <w:shd w:val="clear"/>
        <w:spacing w:line="360" w:lineRule="auto"/>
        <w:ind w:firstLine="480" w:firstLineChars="200"/>
        <w:rPr>
          <w:color w:val="000000" w:themeColor="text1"/>
          <w:sz w:val="24"/>
          <w:szCs w:val="24"/>
          <w:highlight w:val="none"/>
          <w14:textFill>
            <w14:solidFill>
              <w14:schemeClr w14:val="tx1"/>
            </w14:solidFill>
          </w14:textFill>
        </w:rPr>
      </w:pPr>
    </w:p>
    <w:p>
      <w:pPr>
        <w:shd w:val="clea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附：法定代表人身份证</w:t>
      </w:r>
      <w:r>
        <w:rPr>
          <w:rFonts w:hint="eastAsia"/>
          <w:color w:val="000000" w:themeColor="text1"/>
          <w:sz w:val="24"/>
          <w:szCs w:val="24"/>
          <w:highlight w:val="none"/>
          <w:lang w:bidi="ar"/>
          <w14:textFill>
            <w14:solidFill>
              <w14:schemeClr w14:val="tx1"/>
            </w14:solidFill>
          </w14:textFill>
        </w:rPr>
        <w:t>扫描</w:t>
      </w:r>
      <w:r>
        <w:rPr>
          <w:color w:val="000000" w:themeColor="text1"/>
          <w:sz w:val="24"/>
          <w:szCs w:val="24"/>
          <w:highlight w:val="none"/>
          <w:lang w:bidi="ar"/>
          <w14:textFill>
            <w14:solidFill>
              <w14:schemeClr w14:val="tx1"/>
            </w14:solidFill>
          </w14:textFill>
        </w:rPr>
        <w:t>件及委托代理人身份证</w:t>
      </w:r>
      <w:r>
        <w:rPr>
          <w:rFonts w:hint="eastAsia"/>
          <w:color w:val="000000" w:themeColor="text1"/>
          <w:sz w:val="24"/>
          <w:szCs w:val="24"/>
          <w:highlight w:val="none"/>
          <w:lang w:bidi="ar"/>
          <w14:textFill>
            <w14:solidFill>
              <w14:schemeClr w14:val="tx1"/>
            </w14:solidFill>
          </w14:textFill>
        </w:rPr>
        <w:t>扫描</w:t>
      </w:r>
      <w:r>
        <w:rPr>
          <w:color w:val="000000" w:themeColor="text1"/>
          <w:sz w:val="24"/>
          <w:szCs w:val="24"/>
          <w:highlight w:val="none"/>
          <w:lang w:bidi="ar"/>
          <w14:textFill>
            <w14:solidFill>
              <w14:schemeClr w14:val="tx1"/>
            </w14:solidFill>
          </w14:textFill>
        </w:rPr>
        <w:t>件</w:t>
      </w:r>
    </w:p>
    <w:p>
      <w:pPr>
        <w:shd w:val="clear"/>
        <w:spacing w:line="360" w:lineRule="auto"/>
        <w:rPr>
          <w:color w:val="000000" w:themeColor="text1"/>
          <w:sz w:val="24"/>
          <w:szCs w:val="24"/>
          <w:highlight w:val="none"/>
          <w14:textFill>
            <w14:solidFill>
              <w14:schemeClr w14:val="tx1"/>
            </w14:solidFill>
          </w14:textFill>
        </w:rPr>
      </w:pPr>
    </w:p>
    <w:p>
      <w:pPr>
        <w:shd w:val="clea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注：联合体投标的，本授权委托书由联合体牵头方出具，并由联合体牵头方签字、盖章即可。</w:t>
      </w:r>
    </w:p>
    <w:p>
      <w:pPr>
        <w:shd w:val="clear"/>
        <w:spacing w:line="360" w:lineRule="auto"/>
        <w:rPr>
          <w:color w:val="000000" w:themeColor="text1"/>
          <w:sz w:val="24"/>
          <w:szCs w:val="24"/>
          <w:highlight w:val="none"/>
          <w14:textFill>
            <w14:solidFill>
              <w14:schemeClr w14:val="tx1"/>
            </w14:solidFill>
          </w14:textFill>
        </w:rPr>
      </w:pPr>
    </w:p>
    <w:p>
      <w:pPr>
        <w:shd w:val="clear"/>
        <w:spacing w:line="360" w:lineRule="auto"/>
        <w:ind w:firstLine="1416" w:firstLineChars="59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投标人（或联合体牵头方）：</w:t>
      </w:r>
      <w:r>
        <w:rPr>
          <w:color w:val="000000" w:themeColor="text1"/>
          <w:sz w:val="24"/>
          <w:szCs w:val="24"/>
          <w:highlight w:val="none"/>
          <w:u w:val="single"/>
          <w:lang w:bidi="ar"/>
          <w14:textFill>
            <w14:solidFill>
              <w14:schemeClr w14:val="tx1"/>
            </w14:solidFill>
          </w14:textFill>
        </w:rPr>
        <w:t xml:space="preserve">                   </w:t>
      </w:r>
      <w:r>
        <w:rPr>
          <w:color w:val="000000" w:themeColor="text1"/>
          <w:sz w:val="24"/>
          <w:szCs w:val="24"/>
          <w:highlight w:val="none"/>
          <w:lang w:bidi="ar"/>
          <w14:textFill>
            <w14:solidFill>
              <w14:schemeClr w14:val="tx1"/>
            </w14:solidFill>
          </w14:textFill>
        </w:rPr>
        <w:t>（盖单位章）</w:t>
      </w:r>
    </w:p>
    <w:p>
      <w:pPr>
        <w:shd w:val="clear"/>
        <w:spacing w:line="360" w:lineRule="auto"/>
        <w:ind w:firstLine="3076" w:firstLineChars="1282"/>
        <w:rPr>
          <w:color w:val="000000" w:themeColor="text1"/>
          <w:sz w:val="24"/>
          <w:szCs w:val="24"/>
          <w:highlight w:val="none"/>
          <w14:textFill>
            <w14:solidFill>
              <w14:schemeClr w14:val="tx1"/>
            </w14:solidFill>
          </w14:textFill>
        </w:rPr>
      </w:pPr>
    </w:p>
    <w:p>
      <w:pPr>
        <w:shd w:val="clear"/>
        <w:spacing w:line="360" w:lineRule="auto"/>
        <w:ind w:firstLine="3074" w:firstLineChars="1281"/>
        <w:jc w:val="left"/>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法定代表人：</w:t>
      </w:r>
      <w:r>
        <w:rPr>
          <w:color w:val="000000" w:themeColor="text1"/>
          <w:sz w:val="24"/>
          <w:szCs w:val="24"/>
          <w:highlight w:val="none"/>
          <w:u w:val="single"/>
          <w:lang w:bidi="ar"/>
          <w14:textFill>
            <w14:solidFill>
              <w14:schemeClr w14:val="tx1"/>
            </w14:solidFill>
          </w14:textFill>
        </w:rPr>
        <w:t xml:space="preserve">                       </w:t>
      </w:r>
      <w:r>
        <w:rPr>
          <w:color w:val="000000" w:themeColor="text1"/>
          <w:sz w:val="24"/>
          <w:szCs w:val="24"/>
          <w:highlight w:val="none"/>
          <w:lang w:bidi="ar"/>
          <w14:textFill>
            <w14:solidFill>
              <w14:schemeClr w14:val="tx1"/>
            </w14:solidFill>
          </w14:textFill>
        </w:rPr>
        <w:t>（签字）</w:t>
      </w:r>
    </w:p>
    <w:p>
      <w:pPr>
        <w:shd w:val="clear"/>
        <w:spacing w:line="360" w:lineRule="auto"/>
        <w:rPr>
          <w:color w:val="000000" w:themeColor="text1"/>
          <w:sz w:val="24"/>
          <w:szCs w:val="24"/>
          <w:highlight w:val="none"/>
          <w14:textFill>
            <w14:solidFill>
              <w14:schemeClr w14:val="tx1"/>
            </w14:solidFill>
          </w14:textFill>
        </w:rPr>
      </w:pPr>
    </w:p>
    <w:p>
      <w:pPr>
        <w:shd w:val="clear"/>
        <w:spacing w:line="360" w:lineRule="auto"/>
        <w:ind w:firstLine="3076" w:firstLineChars="1282"/>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委托代理人：</w:t>
      </w:r>
      <w:r>
        <w:rPr>
          <w:color w:val="000000" w:themeColor="text1"/>
          <w:sz w:val="24"/>
          <w:szCs w:val="24"/>
          <w:highlight w:val="none"/>
          <w:u w:val="single"/>
          <w:lang w:bidi="ar"/>
          <w14:textFill>
            <w14:solidFill>
              <w14:schemeClr w14:val="tx1"/>
            </w14:solidFill>
          </w14:textFill>
        </w:rPr>
        <w:t xml:space="preserve">                       </w:t>
      </w:r>
      <w:r>
        <w:rPr>
          <w:color w:val="000000" w:themeColor="text1"/>
          <w:sz w:val="24"/>
          <w:szCs w:val="24"/>
          <w:highlight w:val="none"/>
          <w:lang w:bidi="ar"/>
          <w14:textFill>
            <w14:solidFill>
              <w14:schemeClr w14:val="tx1"/>
            </w14:solidFill>
          </w14:textFill>
        </w:rPr>
        <w:t>（签字）</w:t>
      </w:r>
    </w:p>
    <w:p>
      <w:pPr>
        <w:shd w:val="clear"/>
        <w:spacing w:line="360" w:lineRule="auto"/>
        <w:ind w:firstLine="3076" w:firstLineChars="1282"/>
        <w:rPr>
          <w:color w:val="000000" w:themeColor="text1"/>
          <w:sz w:val="24"/>
          <w:szCs w:val="24"/>
          <w:highlight w:val="none"/>
          <w14:textFill>
            <w14:solidFill>
              <w14:schemeClr w14:val="tx1"/>
            </w14:solidFill>
          </w14:textFill>
        </w:rPr>
      </w:pPr>
    </w:p>
    <w:p>
      <w:pPr>
        <w:shd w:val="clear"/>
        <w:spacing w:line="360" w:lineRule="auto"/>
        <w:rPr>
          <w:color w:val="000000" w:themeColor="text1"/>
          <w:highlight w:val="none"/>
          <w14:textFill>
            <w14:solidFill>
              <w14:schemeClr w14:val="tx1"/>
            </w14:solidFill>
          </w14:textFill>
        </w:rPr>
      </w:pPr>
    </w:p>
    <w:p>
      <w:pPr>
        <w:shd w:val="clear"/>
        <w:spacing w:line="360" w:lineRule="auto"/>
        <w:rPr>
          <w:color w:val="000000" w:themeColor="text1"/>
          <w:highlight w:val="none"/>
          <w14:textFill>
            <w14:solidFill>
              <w14:schemeClr w14:val="tx1"/>
            </w14:solidFill>
          </w14:textFill>
        </w:rPr>
      </w:pPr>
    </w:p>
    <w:p>
      <w:pPr>
        <w:shd w:val="clear"/>
        <w:spacing w:line="360" w:lineRule="auto"/>
        <w:ind w:firstLine="4636" w:firstLineChars="1932"/>
        <w:jc w:val="right"/>
        <w:rPr>
          <w:color w:val="000000" w:themeColor="text1"/>
          <w:highlight w:val="none"/>
          <w14:textFill>
            <w14:solidFill>
              <w14:schemeClr w14:val="tx1"/>
            </w14:solidFill>
          </w14:textFill>
        </w:rPr>
      </w:pPr>
      <w:r>
        <w:rPr>
          <w:color w:val="000000" w:themeColor="text1"/>
          <w:sz w:val="24"/>
          <w:szCs w:val="24"/>
          <w:highlight w:val="none"/>
          <w:u w:val="single"/>
          <w:lang w:bidi="ar"/>
          <w14:textFill>
            <w14:solidFill>
              <w14:schemeClr w14:val="tx1"/>
            </w14:solidFill>
          </w14:textFill>
        </w:rPr>
        <w:t xml:space="preserve">       </w:t>
      </w:r>
      <w:r>
        <w:rPr>
          <w:color w:val="000000" w:themeColor="text1"/>
          <w:sz w:val="24"/>
          <w:szCs w:val="24"/>
          <w:highlight w:val="none"/>
          <w:lang w:bidi="ar"/>
          <w14:textFill>
            <w14:solidFill>
              <w14:schemeClr w14:val="tx1"/>
            </w14:solidFill>
          </w14:textFill>
        </w:rPr>
        <w:t>年</w:t>
      </w:r>
      <w:r>
        <w:rPr>
          <w:color w:val="000000" w:themeColor="text1"/>
          <w:sz w:val="24"/>
          <w:szCs w:val="24"/>
          <w:highlight w:val="none"/>
          <w:u w:val="single"/>
          <w:lang w:bidi="ar"/>
          <w14:textFill>
            <w14:solidFill>
              <w14:schemeClr w14:val="tx1"/>
            </w14:solidFill>
          </w14:textFill>
        </w:rPr>
        <w:t xml:space="preserve">       </w:t>
      </w:r>
      <w:r>
        <w:rPr>
          <w:color w:val="000000" w:themeColor="text1"/>
          <w:sz w:val="24"/>
          <w:szCs w:val="24"/>
          <w:highlight w:val="none"/>
          <w:lang w:bidi="ar"/>
          <w14:textFill>
            <w14:solidFill>
              <w14:schemeClr w14:val="tx1"/>
            </w14:solidFill>
          </w14:textFill>
        </w:rPr>
        <w:t>月</w:t>
      </w:r>
      <w:r>
        <w:rPr>
          <w:color w:val="000000" w:themeColor="text1"/>
          <w:sz w:val="24"/>
          <w:szCs w:val="24"/>
          <w:highlight w:val="none"/>
          <w:u w:val="single"/>
          <w:lang w:bidi="ar"/>
          <w14:textFill>
            <w14:solidFill>
              <w14:schemeClr w14:val="tx1"/>
            </w14:solidFill>
          </w14:textFill>
        </w:rPr>
        <w:t xml:space="preserve">       </w:t>
      </w:r>
      <w:r>
        <w:rPr>
          <w:color w:val="000000" w:themeColor="text1"/>
          <w:sz w:val="24"/>
          <w:szCs w:val="24"/>
          <w:highlight w:val="none"/>
          <w:lang w:bidi="ar"/>
          <w14:textFill>
            <w14:solidFill>
              <w14:schemeClr w14:val="tx1"/>
            </w14:solidFill>
          </w14:textFill>
        </w:rPr>
        <w:t>日</w:t>
      </w:r>
    </w:p>
    <w:p>
      <w:pPr>
        <w:keepNext/>
        <w:keepLines/>
        <w:widowControl/>
        <w:shd w:val="clear"/>
        <w:spacing w:line="413" w:lineRule="auto"/>
        <w:rPr>
          <w:color w:val="000000" w:themeColor="text1"/>
          <w:szCs w:val="20"/>
          <w:highlight w:val="none"/>
          <w:lang w:bidi="ar"/>
          <w14:textFill>
            <w14:solidFill>
              <w14:schemeClr w14:val="tx1"/>
            </w14:solidFill>
          </w14:textFill>
        </w:rPr>
      </w:pPr>
    </w:p>
    <w:p>
      <w:pPr>
        <w:shd w:val="clear"/>
        <w:kinsoku w:val="0"/>
        <w:overflowPunct w:val="0"/>
        <w:jc w:val="center"/>
        <w:rPr>
          <w:b/>
          <w:bCs/>
          <w:strike/>
          <w:color w:val="000000" w:themeColor="text1"/>
          <w:sz w:val="32"/>
          <w:szCs w:val="32"/>
          <w:highlight w:val="none"/>
          <w14:textFill>
            <w14:solidFill>
              <w14:schemeClr w14:val="tx1"/>
            </w14:solidFill>
          </w14:textFill>
        </w:rPr>
      </w:pPr>
      <w:r>
        <w:rPr>
          <w:color w:val="000000" w:themeColor="text1"/>
          <w:szCs w:val="20"/>
          <w:highlight w:val="none"/>
          <w:lang w:bidi="ar"/>
          <w14:textFill>
            <w14:solidFill>
              <w14:schemeClr w14:val="tx1"/>
            </w14:solidFill>
          </w14:textFill>
        </w:rPr>
        <w:br w:type="page"/>
      </w:r>
      <w:bookmarkStart w:id="225" w:name="_Toc47987348"/>
      <w:bookmarkStart w:id="226" w:name="_Toc47376787"/>
      <w:r>
        <w:rPr>
          <w:b/>
          <w:bCs/>
          <w:strike/>
          <w:color w:val="000000" w:themeColor="text1"/>
          <w:sz w:val="32"/>
          <w:szCs w:val="32"/>
          <w:highlight w:val="none"/>
          <w14:textFill>
            <w14:solidFill>
              <w14:schemeClr w14:val="tx1"/>
            </w14:solidFill>
          </w14:textFill>
        </w:rPr>
        <w:t>三、</w:t>
      </w:r>
      <w:bookmarkStart w:id="227" w:name="_Toc361508757"/>
      <w:bookmarkStart w:id="228" w:name="_Toc247514284"/>
      <w:bookmarkStart w:id="229" w:name="_Toc13469"/>
      <w:bookmarkStart w:id="230" w:name="_Toc352691666"/>
      <w:bookmarkStart w:id="231" w:name="_Toc144974861"/>
      <w:bookmarkStart w:id="232" w:name="_Toc384308381"/>
      <w:bookmarkStart w:id="233" w:name="_Toc300835214"/>
      <w:bookmarkStart w:id="234" w:name="_Toc247527832"/>
      <w:bookmarkStart w:id="235" w:name="_Toc152045792"/>
      <w:bookmarkStart w:id="236" w:name="_Toc152042581"/>
      <w:bookmarkStart w:id="237" w:name="_Toc369531702"/>
      <w:r>
        <w:rPr>
          <w:b/>
          <w:bCs/>
          <w:strike/>
          <w:color w:val="000000" w:themeColor="text1"/>
          <w:sz w:val="32"/>
          <w:szCs w:val="32"/>
          <w:highlight w:val="none"/>
          <w14:textFill>
            <w14:solidFill>
              <w14:schemeClr w14:val="tx1"/>
            </w14:solidFill>
          </w14:textFill>
        </w:rPr>
        <w:t>投标保证金</w:t>
      </w:r>
      <w:bookmarkEnd w:id="225"/>
      <w:bookmarkEnd w:id="226"/>
    </w:p>
    <w:p>
      <w:pPr>
        <w:shd w:val="clear"/>
        <w:spacing w:line="360" w:lineRule="auto"/>
        <w:rPr>
          <w:strike/>
          <w:color w:val="000000" w:themeColor="text1"/>
          <w:highlight w:val="none"/>
          <w14:textFill>
            <w14:solidFill>
              <w14:schemeClr w14:val="tx1"/>
            </w14:solidFill>
          </w14:textFill>
        </w:rPr>
      </w:pPr>
    </w:p>
    <w:p>
      <w:pPr>
        <w:shd w:val="clear"/>
        <w:kinsoku w:val="0"/>
        <w:overflowPunct w:val="0"/>
        <w:spacing w:line="336" w:lineRule="auto"/>
        <w:rPr>
          <w:b/>
          <w:strike/>
          <w:color w:val="000000" w:themeColor="text1"/>
          <w:sz w:val="24"/>
          <w:szCs w:val="24"/>
          <w:highlight w:val="none"/>
          <w:lang w:bidi="ar"/>
          <w14:textFill>
            <w14:solidFill>
              <w14:schemeClr w14:val="tx1"/>
            </w14:solidFill>
          </w14:textFill>
        </w:rPr>
      </w:pPr>
      <w:bookmarkStart w:id="238" w:name="_Hlk66957646"/>
      <w:r>
        <w:rPr>
          <w:b/>
          <w:strike/>
          <w:color w:val="000000" w:themeColor="text1"/>
          <w:sz w:val="24"/>
          <w:szCs w:val="24"/>
          <w:highlight w:val="none"/>
          <w:lang w:bidi="ar"/>
          <w14:textFill>
            <w14:solidFill>
              <w14:schemeClr w14:val="tx1"/>
            </w14:solidFill>
          </w14:textFill>
        </w:rPr>
        <w:t>注：如采用现金或者支票方式提交由广州公共资源交易中心代收的，或采用广州公共资源交易中心电子投标保函方式提交的，以投标文件递交截止时间后在广州公共资源交易中心数据库查询的投标保证金递交情况为准，投标人不需另外提供凭证；</w:t>
      </w:r>
    </w:p>
    <w:p>
      <w:pPr>
        <w:shd w:val="clear"/>
        <w:kinsoku w:val="0"/>
        <w:overflowPunct w:val="0"/>
        <w:spacing w:line="336" w:lineRule="auto"/>
        <w:ind w:firstLine="482" w:firstLineChars="200"/>
        <w:rPr>
          <w:b/>
          <w:strike/>
          <w:color w:val="000000" w:themeColor="text1"/>
          <w:sz w:val="24"/>
          <w:szCs w:val="24"/>
          <w:highlight w:val="none"/>
          <w:lang w:bidi="ar"/>
          <w14:textFill>
            <w14:solidFill>
              <w14:schemeClr w14:val="tx1"/>
            </w14:solidFill>
          </w14:textFill>
        </w:rPr>
      </w:pPr>
      <w:r>
        <w:rPr>
          <w:b/>
          <w:strike/>
          <w:color w:val="000000" w:themeColor="text1"/>
          <w:sz w:val="24"/>
          <w:szCs w:val="24"/>
          <w:highlight w:val="none"/>
          <w:lang w:bidi="ar"/>
          <w14:textFill>
            <w14:solidFill>
              <w14:schemeClr w14:val="tx1"/>
            </w14:solidFill>
          </w14:textFill>
        </w:rPr>
        <w:t>如采用信用证、保函或保险等非电子形式提交的，投标人应在此处提供信用证、保函或保险等的原件清晰扫描件并加盖投标单位（或联合体牵头方）电子印章。</w:t>
      </w:r>
      <w:bookmarkEnd w:id="227"/>
      <w:bookmarkEnd w:id="228"/>
      <w:bookmarkEnd w:id="229"/>
      <w:bookmarkEnd w:id="230"/>
      <w:bookmarkEnd w:id="231"/>
      <w:bookmarkEnd w:id="232"/>
      <w:bookmarkEnd w:id="233"/>
      <w:bookmarkEnd w:id="234"/>
      <w:bookmarkEnd w:id="235"/>
      <w:bookmarkEnd w:id="236"/>
      <w:bookmarkEnd w:id="237"/>
      <w:bookmarkEnd w:id="238"/>
    </w:p>
    <w:p>
      <w:pPr>
        <w:shd w:val="clear"/>
        <w:spacing w:line="360" w:lineRule="auto"/>
        <w:rPr>
          <w:color w:val="000000" w:themeColor="text1"/>
          <w:highlight w:val="none"/>
          <w14:textFill>
            <w14:solidFill>
              <w14:schemeClr w14:val="tx1"/>
            </w14:solidFill>
          </w14:textFill>
        </w:rPr>
      </w:pPr>
      <w:r>
        <w:rPr>
          <w:color w:val="000000" w:themeColor="text1"/>
          <w:szCs w:val="20"/>
          <w:highlight w:val="none"/>
          <w:lang w:bidi="ar"/>
          <w14:textFill>
            <w14:solidFill>
              <w14:schemeClr w14:val="tx1"/>
            </w14:solidFill>
          </w14:textFill>
        </w:rPr>
        <w:br w:type="page"/>
      </w:r>
    </w:p>
    <w:p>
      <w:pPr>
        <w:pStyle w:val="3"/>
        <w:keepNext w:val="0"/>
        <w:keepLines w:val="0"/>
        <w:shd w:val="clear"/>
        <w:spacing w:line="360" w:lineRule="auto"/>
        <w:jc w:val="center"/>
        <w:rPr>
          <w:rFonts w:ascii="Times New Roman" w:hAnsi="Times New Roman" w:eastAsia="宋体"/>
          <w:color w:val="000000" w:themeColor="text1"/>
          <w:highlight w:val="none"/>
          <w14:textFill>
            <w14:solidFill>
              <w14:schemeClr w14:val="tx1"/>
            </w14:solidFill>
          </w14:textFill>
        </w:rPr>
      </w:pPr>
      <w:bookmarkStart w:id="239" w:name="_Toc12733"/>
      <w:bookmarkStart w:id="240" w:name="_Toc47987349"/>
      <w:bookmarkStart w:id="241" w:name="_Toc13464"/>
      <w:bookmarkStart w:id="242" w:name="_Toc47376788"/>
      <w:r>
        <w:rPr>
          <w:rFonts w:ascii="Times New Roman" w:hAnsi="Times New Roman" w:eastAsia="宋体"/>
          <w:bCs/>
          <w:color w:val="000000" w:themeColor="text1"/>
          <w:szCs w:val="32"/>
          <w:highlight w:val="none"/>
          <w14:textFill>
            <w14:solidFill>
              <w14:schemeClr w14:val="tx1"/>
            </w14:solidFill>
          </w14:textFill>
        </w:rPr>
        <w:t>四、投标报价书</w:t>
      </w:r>
      <w:bookmarkEnd w:id="239"/>
      <w:bookmarkEnd w:id="240"/>
      <w:bookmarkEnd w:id="241"/>
      <w:bookmarkEnd w:id="242"/>
    </w:p>
    <w:p>
      <w:pPr>
        <w:shd w:val="clear"/>
        <w:spacing w:line="360" w:lineRule="auto"/>
        <w:rPr>
          <w:color w:val="000000" w:themeColor="text1"/>
          <w:highlight w:val="none"/>
          <w14:textFill>
            <w14:solidFill>
              <w14:schemeClr w14:val="tx1"/>
            </w14:solidFill>
          </w14:textFill>
        </w:rPr>
      </w:pPr>
      <w:bookmarkStart w:id="243" w:name="_Toc361508760"/>
    </w:p>
    <w:p>
      <w:pPr>
        <w:shd w:val="clear"/>
        <w:spacing w:line="360" w:lineRule="auto"/>
        <w:rPr>
          <w:color w:val="000000" w:themeColor="text1"/>
          <w:highlight w:val="none"/>
          <w14:textFill>
            <w14:solidFill>
              <w14:schemeClr w14:val="tx1"/>
            </w14:solidFill>
          </w14:textFill>
        </w:rPr>
      </w:pPr>
    </w:p>
    <w:p>
      <w:pPr>
        <w:shd w:val="clear"/>
        <w:spacing w:line="360" w:lineRule="auto"/>
        <w:ind w:left="420" w:leftChars="200" w:right="420" w:rightChars="200"/>
        <w:jc w:val="center"/>
        <w:rPr>
          <w:rFonts w:hint="eastAsia" w:eastAsia="宋体"/>
          <w:b/>
          <w:color w:val="000000" w:themeColor="text1"/>
          <w:sz w:val="36"/>
          <w:szCs w:val="36"/>
          <w:highlight w:val="none"/>
          <w:lang w:eastAsia="zh-CN"/>
          <w14:textFill>
            <w14:solidFill>
              <w14:schemeClr w14:val="tx1"/>
            </w14:solidFill>
          </w14:textFill>
        </w:rPr>
      </w:pPr>
      <w:r>
        <w:rPr>
          <w:rFonts w:hint="eastAsia"/>
          <w:color w:val="000000" w:themeColor="text1"/>
          <w:sz w:val="36"/>
          <w:szCs w:val="36"/>
          <w:highlight w:val="none"/>
          <w:u w:val="single"/>
          <w:lang w:eastAsia="zh-CN" w:bidi="ar"/>
          <w14:textFill>
            <w14:solidFill>
              <w14:schemeClr w14:val="tx1"/>
            </w14:solidFill>
          </w14:textFill>
        </w:rPr>
        <w:t>广州设计之都嘉禾片区项目三期第三方检测、监测服务</w:t>
      </w:r>
    </w:p>
    <w:p>
      <w:pPr>
        <w:shd w:val="clear"/>
        <w:spacing w:line="360" w:lineRule="auto"/>
        <w:jc w:val="center"/>
        <w:rPr>
          <w:b/>
          <w:color w:val="000000" w:themeColor="text1"/>
          <w:sz w:val="30"/>
          <w:szCs w:val="20"/>
          <w:highlight w:val="none"/>
          <w14:textFill>
            <w14:solidFill>
              <w14:schemeClr w14:val="tx1"/>
            </w14:solidFill>
          </w14:textFill>
        </w:rPr>
      </w:pPr>
    </w:p>
    <w:p>
      <w:pPr>
        <w:shd w:val="clear"/>
        <w:spacing w:line="360" w:lineRule="auto"/>
        <w:jc w:val="center"/>
        <w:rPr>
          <w:b/>
          <w:color w:val="000000" w:themeColor="text1"/>
          <w:sz w:val="30"/>
          <w:szCs w:val="20"/>
          <w:highlight w:val="none"/>
          <w14:textFill>
            <w14:solidFill>
              <w14:schemeClr w14:val="tx1"/>
            </w14:solidFill>
          </w14:textFill>
        </w:rPr>
      </w:pPr>
    </w:p>
    <w:p>
      <w:pPr>
        <w:shd w:val="clear"/>
        <w:spacing w:line="360" w:lineRule="auto"/>
        <w:jc w:val="center"/>
        <w:rPr>
          <w:b/>
          <w:color w:val="000000" w:themeColor="text1"/>
          <w:sz w:val="30"/>
          <w:szCs w:val="20"/>
          <w:highlight w:val="none"/>
          <w14:textFill>
            <w14:solidFill>
              <w14:schemeClr w14:val="tx1"/>
            </w14:solidFill>
          </w14:textFill>
        </w:rPr>
      </w:pPr>
    </w:p>
    <w:p>
      <w:pPr>
        <w:shd w:val="clear"/>
        <w:spacing w:line="360" w:lineRule="auto"/>
        <w:jc w:val="center"/>
        <w:rPr>
          <w:b/>
          <w:color w:val="000000" w:themeColor="text1"/>
          <w:sz w:val="30"/>
          <w:szCs w:val="20"/>
          <w:highlight w:val="none"/>
          <w14:textFill>
            <w14:solidFill>
              <w14:schemeClr w14:val="tx1"/>
            </w14:solidFill>
          </w14:textFill>
        </w:rPr>
      </w:pPr>
    </w:p>
    <w:p>
      <w:pPr>
        <w:shd w:val="clear"/>
        <w:spacing w:line="360" w:lineRule="auto"/>
        <w:jc w:val="center"/>
        <w:rPr>
          <w:b/>
          <w:color w:val="000000" w:themeColor="text1"/>
          <w:sz w:val="56"/>
          <w:szCs w:val="20"/>
          <w:highlight w:val="none"/>
          <w14:textFill>
            <w14:solidFill>
              <w14:schemeClr w14:val="tx1"/>
            </w14:solidFill>
          </w14:textFill>
        </w:rPr>
      </w:pPr>
      <w:r>
        <w:rPr>
          <w:b/>
          <w:color w:val="000000" w:themeColor="text1"/>
          <w:sz w:val="56"/>
          <w:szCs w:val="20"/>
          <w:highlight w:val="none"/>
          <w:lang w:bidi="ar"/>
          <w14:textFill>
            <w14:solidFill>
              <w14:schemeClr w14:val="tx1"/>
            </w14:solidFill>
          </w14:textFill>
        </w:rPr>
        <w:t>投 标 报 价 书</w:t>
      </w:r>
    </w:p>
    <w:p>
      <w:pPr>
        <w:shd w:val="clear"/>
        <w:spacing w:line="360" w:lineRule="auto"/>
        <w:jc w:val="center"/>
        <w:rPr>
          <w:b/>
          <w:color w:val="000000" w:themeColor="text1"/>
          <w:sz w:val="30"/>
          <w:szCs w:val="20"/>
          <w:highlight w:val="none"/>
          <w14:textFill>
            <w14:solidFill>
              <w14:schemeClr w14:val="tx1"/>
            </w14:solidFill>
          </w14:textFill>
        </w:rPr>
      </w:pPr>
    </w:p>
    <w:p>
      <w:pPr>
        <w:shd w:val="clear"/>
        <w:spacing w:line="360" w:lineRule="auto"/>
        <w:jc w:val="center"/>
        <w:rPr>
          <w:b/>
          <w:color w:val="000000" w:themeColor="text1"/>
          <w:sz w:val="30"/>
          <w:szCs w:val="20"/>
          <w:highlight w:val="none"/>
          <w14:textFill>
            <w14:solidFill>
              <w14:schemeClr w14:val="tx1"/>
            </w14:solidFill>
          </w14:textFill>
        </w:rPr>
      </w:pPr>
    </w:p>
    <w:p>
      <w:pPr>
        <w:shd w:val="clear"/>
        <w:spacing w:line="360" w:lineRule="auto"/>
        <w:jc w:val="center"/>
        <w:rPr>
          <w:b/>
          <w:color w:val="000000" w:themeColor="text1"/>
          <w:sz w:val="30"/>
          <w:szCs w:val="20"/>
          <w:highlight w:val="none"/>
          <w14:textFill>
            <w14:solidFill>
              <w14:schemeClr w14:val="tx1"/>
            </w14:solidFill>
          </w14:textFill>
        </w:rPr>
      </w:pPr>
    </w:p>
    <w:p>
      <w:pPr>
        <w:shd w:val="clear"/>
        <w:spacing w:line="360" w:lineRule="auto"/>
        <w:jc w:val="center"/>
        <w:rPr>
          <w:b/>
          <w:color w:val="000000" w:themeColor="text1"/>
          <w:sz w:val="30"/>
          <w:szCs w:val="20"/>
          <w:highlight w:val="none"/>
          <w14:textFill>
            <w14:solidFill>
              <w14:schemeClr w14:val="tx1"/>
            </w14:solidFill>
          </w14:textFill>
        </w:rPr>
      </w:pPr>
    </w:p>
    <w:p>
      <w:pPr>
        <w:shd w:val="clear"/>
        <w:spacing w:line="360" w:lineRule="auto"/>
        <w:jc w:val="center"/>
        <w:rPr>
          <w:b/>
          <w:color w:val="000000" w:themeColor="text1"/>
          <w:sz w:val="30"/>
          <w:szCs w:val="20"/>
          <w:highlight w:val="none"/>
          <w14:textFill>
            <w14:solidFill>
              <w14:schemeClr w14:val="tx1"/>
            </w14:solidFill>
          </w14:textFill>
        </w:rPr>
      </w:pPr>
    </w:p>
    <w:p>
      <w:pPr>
        <w:shd w:val="clear"/>
        <w:spacing w:line="360" w:lineRule="auto"/>
        <w:jc w:val="center"/>
        <w:rPr>
          <w:b/>
          <w:color w:val="000000" w:themeColor="text1"/>
          <w:sz w:val="30"/>
          <w:szCs w:val="20"/>
          <w:highlight w:val="none"/>
          <w14:textFill>
            <w14:solidFill>
              <w14:schemeClr w14:val="tx1"/>
            </w14:solidFill>
          </w14:textFill>
        </w:rPr>
      </w:pPr>
    </w:p>
    <w:p>
      <w:pPr>
        <w:shd w:val="clear"/>
        <w:spacing w:line="360" w:lineRule="auto"/>
        <w:rPr>
          <w:b/>
          <w:color w:val="000000" w:themeColor="text1"/>
          <w:sz w:val="30"/>
          <w:szCs w:val="20"/>
          <w:highlight w:val="none"/>
          <w14:textFill>
            <w14:solidFill>
              <w14:schemeClr w14:val="tx1"/>
            </w14:solidFill>
          </w14:textFill>
        </w:rPr>
      </w:pPr>
    </w:p>
    <w:p>
      <w:pPr>
        <w:shd w:val="clear"/>
        <w:spacing w:line="360" w:lineRule="auto"/>
        <w:ind w:firstLine="1968" w:firstLineChars="700"/>
        <w:rPr>
          <w:b/>
          <w:color w:val="000000" w:themeColor="text1"/>
          <w:sz w:val="28"/>
          <w:szCs w:val="20"/>
          <w:highlight w:val="none"/>
          <w14:textFill>
            <w14:solidFill>
              <w14:schemeClr w14:val="tx1"/>
            </w14:solidFill>
          </w14:textFill>
        </w:rPr>
      </w:pPr>
      <w:r>
        <w:rPr>
          <w:b/>
          <w:color w:val="000000" w:themeColor="text1"/>
          <w:sz w:val="28"/>
          <w:szCs w:val="20"/>
          <w:highlight w:val="none"/>
          <w:lang w:bidi="ar"/>
          <w14:textFill>
            <w14:solidFill>
              <w14:schemeClr w14:val="tx1"/>
            </w14:solidFill>
          </w14:textFill>
        </w:rPr>
        <w:t>招标单位：</w:t>
      </w:r>
    </w:p>
    <w:p>
      <w:pPr>
        <w:shd w:val="clear"/>
        <w:spacing w:line="360" w:lineRule="auto"/>
        <w:ind w:firstLine="1968" w:firstLineChars="700"/>
        <w:rPr>
          <w:b/>
          <w:color w:val="000000" w:themeColor="text1"/>
          <w:sz w:val="28"/>
          <w:szCs w:val="20"/>
          <w:highlight w:val="none"/>
          <w14:textFill>
            <w14:solidFill>
              <w14:schemeClr w14:val="tx1"/>
            </w14:solidFill>
          </w14:textFill>
        </w:rPr>
      </w:pPr>
      <w:r>
        <w:rPr>
          <w:b/>
          <w:color w:val="000000" w:themeColor="text1"/>
          <w:sz w:val="28"/>
          <w:szCs w:val="20"/>
          <w:highlight w:val="none"/>
          <w:lang w:bidi="ar"/>
          <w14:textFill>
            <w14:solidFill>
              <w14:schemeClr w14:val="tx1"/>
            </w14:solidFill>
          </w14:textFill>
        </w:rPr>
        <w:t>投标人：（公章）</w:t>
      </w:r>
    </w:p>
    <w:p>
      <w:pPr>
        <w:shd w:val="clear"/>
        <w:spacing w:line="360" w:lineRule="auto"/>
        <w:jc w:val="center"/>
        <w:rPr>
          <w:b/>
          <w:color w:val="000000" w:themeColor="text1"/>
          <w:sz w:val="28"/>
          <w:szCs w:val="20"/>
          <w:highlight w:val="none"/>
          <w:lang w:bidi="ar"/>
          <w14:textFill>
            <w14:solidFill>
              <w14:schemeClr w14:val="tx1"/>
            </w14:solidFill>
          </w14:textFill>
        </w:rPr>
      </w:pPr>
      <w:r>
        <w:rPr>
          <w:b/>
          <w:color w:val="000000" w:themeColor="text1"/>
          <w:sz w:val="28"/>
          <w:szCs w:val="20"/>
          <w:highlight w:val="none"/>
          <w:lang w:bidi="ar"/>
          <w14:textFill>
            <w14:solidFill>
              <w14:schemeClr w14:val="tx1"/>
            </w14:solidFill>
          </w14:textFill>
        </w:rPr>
        <w:t xml:space="preserve">   年   月   日</w:t>
      </w:r>
    </w:p>
    <w:p>
      <w:pPr>
        <w:pStyle w:val="16"/>
        <w:shd w:val="clear"/>
        <w:rPr>
          <w:color w:val="000000" w:themeColor="text1"/>
          <w:highlight w:val="none"/>
          <w:lang w:bidi="ar"/>
          <w14:textFill>
            <w14:solidFill>
              <w14:schemeClr w14:val="tx1"/>
            </w14:solidFill>
          </w14:textFill>
        </w:rPr>
      </w:pPr>
    </w:p>
    <w:p>
      <w:pPr>
        <w:pStyle w:val="16"/>
        <w:shd w:val="clear"/>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br w:type="page"/>
      </w:r>
    </w:p>
    <w:tbl>
      <w:tblPr>
        <w:tblStyle w:val="39"/>
        <w:tblW w:w="9356" w:type="dxa"/>
        <w:tblInd w:w="-15" w:type="dxa"/>
        <w:tblLayout w:type="fixed"/>
        <w:tblCellMar>
          <w:top w:w="0" w:type="dxa"/>
          <w:left w:w="108" w:type="dxa"/>
          <w:bottom w:w="0" w:type="dxa"/>
          <w:right w:w="108" w:type="dxa"/>
        </w:tblCellMar>
      </w:tblPr>
      <w:tblGrid>
        <w:gridCol w:w="15"/>
        <w:gridCol w:w="629"/>
        <w:gridCol w:w="1399"/>
        <w:gridCol w:w="1410"/>
        <w:gridCol w:w="2451"/>
        <w:gridCol w:w="1966"/>
        <w:gridCol w:w="1486"/>
      </w:tblGrid>
      <w:tr>
        <w:tblPrEx>
          <w:tblCellMar>
            <w:top w:w="0" w:type="dxa"/>
            <w:left w:w="108" w:type="dxa"/>
            <w:bottom w:w="0" w:type="dxa"/>
            <w:right w:w="108" w:type="dxa"/>
          </w:tblCellMar>
        </w:tblPrEx>
        <w:trPr>
          <w:trHeight w:val="720" w:hRule="atLeast"/>
        </w:trPr>
        <w:tc>
          <w:tcPr>
            <w:tcW w:w="9356" w:type="dxa"/>
            <w:gridSpan w:val="7"/>
            <w:noWrap/>
            <w:vAlign w:val="center"/>
          </w:tcPr>
          <w:p>
            <w:pPr>
              <w:keepNext w:val="0"/>
              <w:keepLines w:val="0"/>
              <w:widowControl/>
              <w:suppressLineNumbers w:val="0"/>
              <w:shd w:val="clear"/>
              <w:spacing w:before="0" w:beforeAutospacing="0" w:after="0" w:afterAutospacing="0" w:line="360" w:lineRule="auto"/>
              <w:ind w:left="0" w:right="0"/>
              <w:jc w:val="center"/>
              <w:rPr>
                <w:rFonts w:hint="eastAsia"/>
                <w:b/>
                <w:color w:val="000000" w:themeColor="text1"/>
                <w:sz w:val="32"/>
                <w:szCs w:val="32"/>
                <w:highlight w:val="none"/>
                <w:lang w:bidi="ar"/>
                <w14:textFill>
                  <w14:solidFill>
                    <w14:schemeClr w14:val="tx1"/>
                  </w14:solidFill>
                </w14:textFill>
              </w:rPr>
            </w:pPr>
            <w:r>
              <w:rPr>
                <w:rFonts w:hint="default"/>
                <w:b/>
                <w:color w:val="000000" w:themeColor="text1"/>
                <w:sz w:val="32"/>
                <w:szCs w:val="32"/>
                <w:highlight w:val="none"/>
                <w:lang w:bidi="ar"/>
                <w14:textFill>
                  <w14:solidFill>
                    <w14:schemeClr w14:val="tx1"/>
                  </w14:solidFill>
                </w14:textFill>
              </w:rPr>
              <w:t>报价</w:t>
            </w:r>
            <w:r>
              <w:rPr>
                <w:rFonts w:hint="eastAsia"/>
                <w:b/>
                <w:color w:val="000000" w:themeColor="text1"/>
                <w:sz w:val="32"/>
                <w:szCs w:val="32"/>
                <w:highlight w:val="none"/>
                <w:lang w:bidi="ar"/>
                <w14:textFill>
                  <w14:solidFill>
                    <w14:schemeClr w14:val="tx1"/>
                  </w14:solidFill>
                </w14:textFill>
              </w:rPr>
              <w:t>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1843" w:hRule="atLeast"/>
        </w:trPr>
        <w:tc>
          <w:tcPr>
            <w:tcW w:w="629" w:type="dxa"/>
            <w:noWrap/>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cs="宋体"/>
                <w:b/>
                <w:bCs/>
                <w:color w:val="000000" w:themeColor="text1"/>
                <w:kern w:val="0"/>
                <w:sz w:val="22"/>
                <w:highlight w:val="none"/>
                <w14:textFill>
                  <w14:solidFill>
                    <w14:schemeClr w14:val="tx1"/>
                  </w14:solidFill>
                </w14:textFill>
              </w:rPr>
            </w:pPr>
            <w:r>
              <w:rPr>
                <w:rFonts w:hint="eastAsia" w:ascii="宋体" w:hAnsi="宋体" w:cs="宋体"/>
                <w:b/>
                <w:bCs/>
                <w:color w:val="000000" w:themeColor="text1"/>
                <w:kern w:val="0"/>
                <w:sz w:val="22"/>
                <w:highlight w:val="none"/>
                <w14:textFill>
                  <w14:solidFill>
                    <w14:schemeClr w14:val="tx1"/>
                  </w14:solidFill>
                </w14:textFill>
              </w:rPr>
              <w:t>序号</w:t>
            </w:r>
          </w:p>
        </w:tc>
        <w:tc>
          <w:tcPr>
            <w:tcW w:w="1399" w:type="dxa"/>
            <w:noWrap/>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cs="宋体"/>
                <w:b/>
                <w:bCs/>
                <w:color w:val="000000" w:themeColor="text1"/>
                <w:kern w:val="0"/>
                <w:sz w:val="22"/>
                <w:highlight w:val="none"/>
                <w14:textFill>
                  <w14:solidFill>
                    <w14:schemeClr w14:val="tx1"/>
                  </w14:solidFill>
                </w14:textFill>
              </w:rPr>
            </w:pPr>
            <w:r>
              <w:rPr>
                <w:rFonts w:hint="eastAsia" w:ascii="宋体" w:hAnsi="宋体" w:cs="宋体"/>
                <w:b/>
                <w:bCs/>
                <w:color w:val="000000" w:themeColor="text1"/>
                <w:kern w:val="0"/>
                <w:sz w:val="22"/>
                <w:highlight w:val="none"/>
                <w14:textFill>
                  <w14:solidFill>
                    <w14:schemeClr w14:val="tx1"/>
                  </w14:solidFill>
                </w14:textFill>
              </w:rPr>
              <w:t>项目名称</w:t>
            </w:r>
          </w:p>
        </w:tc>
        <w:tc>
          <w:tcPr>
            <w:tcW w:w="1410" w:type="dxa"/>
            <w:noWrap w:val="0"/>
            <w:vAlign w:val="center"/>
          </w:tcPr>
          <w:p>
            <w:pPr>
              <w:pStyle w:val="16"/>
              <w:keepNext w:val="0"/>
              <w:keepLines w:val="0"/>
              <w:suppressLineNumbers w:val="0"/>
              <w:shd w:val="clear"/>
              <w:spacing w:before="0" w:beforeAutospacing="0" w:afterAutospacing="0"/>
              <w:ind w:left="0" w:right="0"/>
              <w:jc w:val="center"/>
              <w:rPr>
                <w:rFonts w:hint="eastAsia"/>
                <w:color w:val="000000" w:themeColor="text1"/>
                <w:highlight w:val="none"/>
                <w14:textFill>
                  <w14:solidFill>
                    <w14:schemeClr w14:val="tx1"/>
                  </w14:solidFill>
                </w14:textFill>
              </w:rPr>
            </w:pPr>
            <w:r>
              <w:rPr>
                <w:rFonts w:hint="eastAsia" w:ascii="宋体" w:hAnsi="宋体" w:cs="宋体"/>
                <w:b/>
                <w:bCs/>
                <w:color w:val="000000" w:themeColor="text1"/>
                <w:kern w:val="0"/>
                <w:sz w:val="22"/>
                <w:highlight w:val="none"/>
                <w14:textFill>
                  <w14:solidFill>
                    <w14:schemeClr w14:val="tx1"/>
                  </w14:solidFill>
                </w14:textFill>
              </w:rPr>
              <w:t>暂定建筑面积</w:t>
            </w:r>
            <w:r>
              <w:rPr>
                <w:rFonts w:hint="eastAsia"/>
                <w:b/>
                <w:bCs/>
                <w:color w:val="000000" w:themeColor="text1"/>
                <w:highlight w:val="none"/>
                <w14:textFill>
                  <w14:solidFill>
                    <w14:schemeClr w14:val="tx1"/>
                  </w14:solidFill>
                </w14:textFill>
              </w:rPr>
              <w:t>（平方米）</w:t>
            </w:r>
          </w:p>
        </w:tc>
        <w:tc>
          <w:tcPr>
            <w:tcW w:w="2451" w:type="dxa"/>
            <w:noWrap w:val="0"/>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cs="宋体"/>
                <w:b/>
                <w:bCs/>
                <w:color w:val="000000" w:themeColor="text1"/>
                <w:kern w:val="0"/>
                <w:sz w:val="22"/>
                <w:highlight w:val="none"/>
                <w14:textFill>
                  <w14:solidFill>
                    <w14:schemeClr w14:val="tx1"/>
                  </w14:solidFill>
                </w14:textFill>
              </w:rPr>
            </w:pPr>
            <w:r>
              <w:rPr>
                <w:rFonts w:hint="eastAsia" w:ascii="宋体" w:hAnsi="宋体" w:cs="宋体"/>
                <w:b/>
                <w:bCs/>
                <w:color w:val="000000" w:themeColor="text1"/>
                <w:kern w:val="0"/>
                <w:sz w:val="22"/>
                <w:highlight w:val="none"/>
                <w14:textFill>
                  <w14:solidFill>
                    <w14:schemeClr w14:val="tx1"/>
                  </w14:solidFill>
                </w14:textFill>
              </w:rPr>
              <w:t>含税综合包干单价投标报价（人民币：元</w:t>
            </w:r>
            <w:r>
              <w:rPr>
                <w:rFonts w:hint="eastAsia" w:ascii="宋体" w:hAnsi="宋体" w:cs="宋体"/>
                <w:color w:val="000000" w:themeColor="text1"/>
                <w:sz w:val="24"/>
                <w:szCs w:val="24"/>
                <w:highlight w:val="none"/>
                <w:u w:val="single"/>
                <w14:textFill>
                  <w14:solidFill>
                    <w14:schemeClr w14:val="tx1"/>
                  </w14:solidFill>
                </w14:textFill>
              </w:rPr>
              <w:t>/m</w:t>
            </w:r>
            <w:r>
              <w:rPr>
                <w:rFonts w:hint="eastAsia" w:ascii="宋体" w:hAnsi="宋体" w:cs="宋体"/>
                <w:color w:val="000000" w:themeColor="text1"/>
                <w:sz w:val="24"/>
                <w:szCs w:val="24"/>
                <w:highlight w:val="none"/>
                <w:u w:val="single"/>
                <w:vertAlign w:val="superscript"/>
                <w14:textFill>
                  <w14:solidFill>
                    <w14:schemeClr w14:val="tx1"/>
                  </w14:solidFill>
                </w14:textFill>
              </w:rPr>
              <w:t>2</w:t>
            </w:r>
            <w:r>
              <w:rPr>
                <w:rFonts w:hint="eastAsia" w:ascii="宋体" w:hAnsi="宋体" w:cs="宋体"/>
                <w:b/>
                <w:bCs/>
                <w:color w:val="000000" w:themeColor="text1"/>
                <w:kern w:val="0"/>
                <w:sz w:val="22"/>
                <w:highlight w:val="none"/>
                <w14:textFill>
                  <w14:solidFill>
                    <w14:schemeClr w14:val="tx1"/>
                  </w14:solidFill>
                </w14:textFill>
              </w:rPr>
              <w:t>）</w:t>
            </w:r>
          </w:p>
        </w:tc>
        <w:tc>
          <w:tcPr>
            <w:tcW w:w="1966" w:type="dxa"/>
            <w:noWrap/>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cs="宋体"/>
                <w:b/>
                <w:bCs/>
                <w:color w:val="000000" w:themeColor="text1"/>
                <w:kern w:val="0"/>
                <w:sz w:val="22"/>
                <w:highlight w:val="none"/>
                <w14:textFill>
                  <w14:solidFill>
                    <w14:schemeClr w14:val="tx1"/>
                  </w14:solidFill>
                </w14:textFill>
              </w:rPr>
            </w:pPr>
            <w:r>
              <w:rPr>
                <w:rFonts w:hint="eastAsia" w:ascii="宋体" w:hAnsi="宋体" w:cs="宋体"/>
                <w:b/>
                <w:bCs/>
                <w:color w:val="000000" w:themeColor="text1"/>
                <w:kern w:val="0"/>
                <w:sz w:val="22"/>
                <w:highlight w:val="none"/>
                <w14:textFill>
                  <w14:solidFill>
                    <w14:schemeClr w14:val="tx1"/>
                  </w14:solidFill>
                </w14:textFill>
              </w:rPr>
              <w:t>投标报价总价（人民币：</w:t>
            </w:r>
            <w:r>
              <w:rPr>
                <w:rFonts w:hint="eastAsia" w:ascii="宋体" w:hAnsi="宋体" w:cs="宋体"/>
                <w:b/>
                <w:bCs/>
                <w:color w:val="000000" w:themeColor="text1"/>
                <w:kern w:val="0"/>
                <w:sz w:val="22"/>
                <w:highlight w:val="none"/>
                <w:lang w:val="en-US" w:eastAsia="zh-CN"/>
                <w14:textFill>
                  <w14:solidFill>
                    <w14:schemeClr w14:val="tx1"/>
                  </w14:solidFill>
                </w14:textFill>
              </w:rPr>
              <w:t>万</w:t>
            </w:r>
            <w:r>
              <w:rPr>
                <w:rFonts w:hint="eastAsia" w:ascii="宋体" w:hAnsi="宋体" w:cs="宋体"/>
                <w:b/>
                <w:bCs/>
                <w:color w:val="000000" w:themeColor="text1"/>
                <w:kern w:val="0"/>
                <w:sz w:val="22"/>
                <w:highlight w:val="none"/>
                <w14:textFill>
                  <w14:solidFill>
                    <w14:schemeClr w14:val="tx1"/>
                  </w14:solidFill>
                </w14:textFill>
              </w:rPr>
              <w:t>元）</w:t>
            </w:r>
          </w:p>
        </w:tc>
        <w:tc>
          <w:tcPr>
            <w:tcW w:w="1486" w:type="dxa"/>
            <w:noWrap/>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cs="宋体"/>
                <w:b/>
                <w:bCs/>
                <w:color w:val="000000" w:themeColor="text1"/>
                <w:kern w:val="0"/>
                <w:sz w:val="22"/>
                <w:highlight w:val="none"/>
                <w14:textFill>
                  <w14:solidFill>
                    <w14:schemeClr w14:val="tx1"/>
                  </w14:solidFill>
                </w14:textFill>
              </w:rPr>
            </w:pPr>
            <w:r>
              <w:rPr>
                <w:rFonts w:hint="eastAsia" w:ascii="宋体" w:hAnsi="宋体" w:cs="宋体"/>
                <w:b/>
                <w:bCs/>
                <w:color w:val="000000" w:themeColor="text1"/>
                <w:kern w:val="0"/>
                <w:sz w:val="22"/>
                <w:highlight w:val="none"/>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1667" w:hRule="atLeast"/>
        </w:trPr>
        <w:tc>
          <w:tcPr>
            <w:tcW w:w="629" w:type="dxa"/>
            <w:noWrap/>
            <w:vAlign w:val="center"/>
          </w:tcPr>
          <w:p>
            <w:pPr>
              <w:keepNext w:val="0"/>
              <w:keepLines w:val="0"/>
              <w:widowControl/>
              <w:suppressLineNumbers w:val="0"/>
              <w:shd w:val="clear"/>
              <w:spacing w:before="0" w:beforeAutospacing="0" w:after="0" w:afterAutospacing="0"/>
              <w:ind w:left="0" w:right="0"/>
              <w:jc w:val="center"/>
              <w:rPr>
                <w:rFonts w:hint="eastAsia"/>
                <w:color w:val="000000" w:themeColor="text1"/>
                <w:sz w:val="22"/>
                <w:szCs w:val="20"/>
                <w:highlight w:val="none"/>
                <w:lang w:bidi="ar"/>
                <w14:textFill>
                  <w14:solidFill>
                    <w14:schemeClr w14:val="tx1"/>
                  </w14:solidFill>
                </w14:textFill>
              </w:rPr>
            </w:pPr>
            <w:r>
              <w:rPr>
                <w:rFonts w:hint="eastAsia"/>
                <w:color w:val="000000" w:themeColor="text1"/>
                <w:sz w:val="22"/>
                <w:szCs w:val="20"/>
                <w:highlight w:val="none"/>
                <w:lang w:bidi="ar"/>
                <w14:textFill>
                  <w14:solidFill>
                    <w14:schemeClr w14:val="tx1"/>
                  </w14:solidFill>
                </w14:textFill>
              </w:rPr>
              <w:t>1</w:t>
            </w:r>
          </w:p>
        </w:tc>
        <w:tc>
          <w:tcPr>
            <w:tcW w:w="1399" w:type="dxa"/>
            <w:noWrap/>
            <w:vAlign w:val="center"/>
          </w:tcPr>
          <w:p>
            <w:pPr>
              <w:keepNext w:val="0"/>
              <w:keepLines w:val="0"/>
              <w:widowControl/>
              <w:suppressLineNumbers w:val="0"/>
              <w:shd w:val="clear"/>
              <w:spacing w:before="0" w:beforeAutospacing="0" w:after="0" w:afterAutospacing="0"/>
              <w:ind w:left="0" w:right="0"/>
              <w:jc w:val="center"/>
              <w:rPr>
                <w:rFonts w:hint="eastAsia"/>
                <w:color w:val="000000" w:themeColor="text1"/>
                <w:sz w:val="22"/>
                <w:szCs w:val="20"/>
                <w:highlight w:val="none"/>
                <w:lang w:bidi="ar"/>
                <w14:textFill>
                  <w14:solidFill>
                    <w14:schemeClr w14:val="tx1"/>
                  </w14:solidFill>
                </w14:textFill>
              </w:rPr>
            </w:pPr>
            <w:r>
              <w:rPr>
                <w:rFonts w:hint="eastAsia"/>
                <w:color w:val="000000" w:themeColor="text1"/>
                <w:sz w:val="22"/>
                <w:szCs w:val="20"/>
                <w:highlight w:val="none"/>
                <w:lang w:eastAsia="zh-CN" w:bidi="ar"/>
                <w14:textFill>
                  <w14:solidFill>
                    <w14:schemeClr w14:val="tx1"/>
                  </w14:solidFill>
                </w14:textFill>
              </w:rPr>
              <w:t>广州设计之都嘉禾片区项目三期第三方检测、监测服务</w:t>
            </w:r>
          </w:p>
        </w:tc>
        <w:tc>
          <w:tcPr>
            <w:tcW w:w="1410" w:type="dxa"/>
            <w:noWrap w:val="0"/>
            <w:vAlign w:val="center"/>
          </w:tcPr>
          <w:p>
            <w:pPr>
              <w:keepNext w:val="0"/>
              <w:keepLines w:val="0"/>
              <w:widowControl/>
              <w:suppressLineNumbers w:val="0"/>
              <w:shd w:val="clear"/>
              <w:spacing w:before="0" w:beforeAutospacing="0" w:after="0" w:afterAutospacing="0"/>
              <w:ind w:left="0" w:right="0"/>
              <w:jc w:val="center"/>
              <w:rPr>
                <w:rFonts w:hint="default" w:eastAsia="宋体"/>
                <w:color w:val="000000" w:themeColor="text1"/>
                <w:sz w:val="22"/>
                <w:szCs w:val="20"/>
                <w:highlight w:val="none"/>
                <w:lang w:val="en-US" w:eastAsia="zh-CN" w:bidi="ar"/>
                <w14:textFill>
                  <w14:solidFill>
                    <w14:schemeClr w14:val="tx1"/>
                  </w14:solidFill>
                </w14:textFill>
              </w:rPr>
            </w:pPr>
            <w:r>
              <w:rPr>
                <w:rFonts w:hint="default" w:eastAsia="宋体"/>
                <w:color w:val="000000" w:themeColor="text1"/>
                <w:sz w:val="22"/>
                <w:szCs w:val="20"/>
                <w:highlight w:val="none"/>
                <w:lang w:val="en-US" w:eastAsia="zh-CN" w:bidi="ar"/>
                <w14:textFill>
                  <w14:solidFill>
                    <w14:schemeClr w14:val="tx1"/>
                  </w14:solidFill>
                </w14:textFill>
              </w:rPr>
              <w:t>82361.7</w:t>
            </w:r>
            <w:r>
              <w:rPr>
                <w:rFonts w:hint="eastAsia"/>
                <w:color w:val="000000" w:themeColor="text1"/>
                <w:sz w:val="22"/>
                <w:szCs w:val="20"/>
                <w:highlight w:val="none"/>
                <w:lang w:val="en-US" w:eastAsia="zh-CN" w:bidi="ar"/>
                <w14:textFill>
                  <w14:solidFill>
                    <w14:schemeClr w14:val="tx1"/>
                  </w14:solidFill>
                </w14:textFill>
              </w:rPr>
              <w:t>0</w:t>
            </w:r>
          </w:p>
        </w:tc>
        <w:tc>
          <w:tcPr>
            <w:tcW w:w="2451" w:type="dxa"/>
            <w:noWrap w:val="0"/>
            <w:vAlign w:val="center"/>
          </w:tcPr>
          <w:p>
            <w:pPr>
              <w:keepNext w:val="0"/>
              <w:keepLines w:val="0"/>
              <w:widowControl/>
              <w:suppressLineNumbers w:val="0"/>
              <w:shd w:val="clear"/>
              <w:spacing w:before="0" w:beforeAutospacing="0" w:after="0" w:afterAutospacing="0"/>
              <w:ind w:left="0" w:right="0"/>
              <w:jc w:val="center"/>
              <w:rPr>
                <w:rFonts w:hint="default" w:eastAsia="宋体"/>
                <w:color w:val="000000" w:themeColor="text1"/>
                <w:sz w:val="22"/>
                <w:szCs w:val="20"/>
                <w:highlight w:val="none"/>
                <w:lang w:val="en-US" w:eastAsia="zh-CN" w:bidi="ar"/>
                <w14:textFill>
                  <w14:solidFill>
                    <w14:schemeClr w14:val="tx1"/>
                  </w14:solidFill>
                </w14:textFill>
              </w:rPr>
            </w:pPr>
          </w:p>
        </w:tc>
        <w:tc>
          <w:tcPr>
            <w:tcW w:w="1966" w:type="dxa"/>
            <w:noWrap/>
            <w:vAlign w:val="center"/>
          </w:tcPr>
          <w:p>
            <w:pPr>
              <w:keepNext w:val="0"/>
              <w:keepLines w:val="0"/>
              <w:widowControl/>
              <w:suppressLineNumbers w:val="0"/>
              <w:shd w:val="clear"/>
              <w:spacing w:before="0" w:beforeAutospacing="0" w:after="0" w:afterAutospacing="0"/>
              <w:ind w:left="0" w:right="0"/>
              <w:jc w:val="center"/>
              <w:rPr>
                <w:rFonts w:hint="eastAsia"/>
                <w:color w:val="000000" w:themeColor="text1"/>
                <w:sz w:val="22"/>
                <w:szCs w:val="20"/>
                <w:highlight w:val="none"/>
                <w:lang w:bidi="ar"/>
                <w14:textFill>
                  <w14:solidFill>
                    <w14:schemeClr w14:val="tx1"/>
                  </w14:solidFill>
                </w14:textFill>
              </w:rPr>
            </w:pPr>
            <w:bookmarkStart w:id="315" w:name="_GoBack"/>
            <w:bookmarkEnd w:id="315"/>
          </w:p>
        </w:tc>
        <w:tc>
          <w:tcPr>
            <w:tcW w:w="1486" w:type="dxa"/>
            <w:noWrap/>
            <w:vAlign w:val="center"/>
          </w:tcPr>
          <w:p>
            <w:pPr>
              <w:keepNext w:val="0"/>
              <w:keepLines w:val="0"/>
              <w:widowControl/>
              <w:suppressLineNumbers w:val="0"/>
              <w:shd w:val="clear"/>
              <w:spacing w:before="0" w:beforeAutospacing="0" w:after="0" w:afterAutospacing="0"/>
              <w:ind w:left="0" w:right="0"/>
              <w:jc w:val="center"/>
              <w:rPr>
                <w:rFonts w:hint="eastAsia"/>
                <w:color w:val="000000" w:themeColor="text1"/>
                <w:sz w:val="22"/>
                <w:szCs w:val="20"/>
                <w:highlight w:val="none"/>
                <w:lang w:bidi="ar"/>
                <w14:textFill>
                  <w14:solidFill>
                    <w14:schemeClr w14:val="tx1"/>
                  </w14:solidFill>
                </w14:textFill>
              </w:rPr>
            </w:pPr>
          </w:p>
        </w:tc>
      </w:tr>
    </w:tbl>
    <w:p>
      <w:pPr>
        <w:pStyle w:val="20"/>
        <w:shd w:val="clear"/>
        <w:rPr>
          <w:color w:val="000000" w:themeColor="text1"/>
          <w:highlight w:val="none"/>
          <w:lang w:bidi="ar"/>
          <w14:textFill>
            <w14:solidFill>
              <w14:schemeClr w14:val="tx1"/>
            </w14:solidFill>
          </w14:textFill>
        </w:rPr>
      </w:pPr>
    </w:p>
    <w:p>
      <w:pPr>
        <w:shd w:val="clear"/>
        <w:ind w:firstLine="480" w:firstLineChars="200"/>
        <w:rPr>
          <w:rFonts w:hint="eastAsia" w:hAnsi="宋体"/>
          <w:color w:val="000000" w:themeColor="text1"/>
          <w:sz w:val="24"/>
          <w:szCs w:val="21"/>
          <w:highlight w:val="none"/>
          <w14:textFill>
            <w14:solidFill>
              <w14:schemeClr w14:val="tx1"/>
            </w14:solidFill>
          </w14:textFill>
        </w:rPr>
      </w:pPr>
      <w:r>
        <w:rPr>
          <w:rFonts w:hint="eastAsia" w:hAnsi="宋体"/>
          <w:color w:val="000000" w:themeColor="text1"/>
          <w:sz w:val="24"/>
          <w:szCs w:val="21"/>
          <w:highlight w:val="none"/>
          <w14:textFill>
            <w14:solidFill>
              <w14:schemeClr w14:val="tx1"/>
            </w14:solidFill>
          </w14:textFill>
        </w:rPr>
        <w:t>注：</w:t>
      </w:r>
    </w:p>
    <w:p>
      <w:pPr>
        <w:numPr>
          <w:ilvl w:val="-1"/>
          <w:numId w:val="0"/>
        </w:numPr>
        <w:shd w:val="clear"/>
        <w:spacing w:line="240" w:lineRule="auto"/>
        <w:ind w:firstLine="420" w:firstLineChars="175"/>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u w:val="none"/>
          <w:lang w:val="en-US" w:eastAsia="zh-CN"/>
          <w14:textFill>
            <w14:solidFill>
              <w14:schemeClr w14:val="tx1"/>
            </w14:solidFill>
          </w14:textFill>
        </w:rPr>
        <w:t>1.</w:t>
      </w:r>
      <w:r>
        <w:rPr>
          <w:rFonts w:hint="eastAsia" w:ascii="宋体" w:hAnsi="宋体" w:eastAsia="宋体" w:cs="宋体"/>
          <w:color w:val="000000" w:themeColor="text1"/>
          <w:sz w:val="24"/>
          <w:szCs w:val="21"/>
          <w:highlight w:val="none"/>
          <w:u w:val="none"/>
          <w14:textFill>
            <w14:solidFill>
              <w14:schemeClr w14:val="tx1"/>
            </w14:solidFill>
          </w14:textFill>
        </w:rPr>
        <w:t>投标报价总价</w:t>
      </w:r>
      <w:r>
        <w:rPr>
          <w:rFonts w:hint="eastAsia" w:ascii="宋体" w:hAnsi="宋体" w:eastAsia="宋体" w:cs="宋体"/>
          <w:b w:val="0"/>
          <w:bCs w:val="0"/>
          <w:color w:val="000000" w:themeColor="text1"/>
          <w:sz w:val="24"/>
          <w:szCs w:val="21"/>
          <w:highlight w:val="none"/>
          <w:u w:val="none"/>
          <w14:textFill>
            <w14:solidFill>
              <w14:schemeClr w14:val="tx1"/>
            </w14:solidFill>
          </w14:textFill>
        </w:rPr>
        <w:t>（以</w:t>
      </w:r>
      <w:r>
        <w:rPr>
          <w:rFonts w:hint="eastAsia" w:ascii="宋体" w:hAnsi="宋体" w:eastAsia="宋体" w:cs="宋体"/>
          <w:b w:val="0"/>
          <w:bCs w:val="0"/>
          <w:color w:val="000000" w:themeColor="text1"/>
          <w:sz w:val="24"/>
          <w:szCs w:val="21"/>
          <w:highlight w:val="none"/>
          <w:u w:val="none"/>
          <w:lang w:val="en-US" w:eastAsia="zh-CN"/>
          <w14:textFill>
            <w14:solidFill>
              <w14:schemeClr w14:val="tx1"/>
            </w14:solidFill>
          </w14:textFill>
        </w:rPr>
        <w:t>万</w:t>
      </w:r>
      <w:r>
        <w:rPr>
          <w:rFonts w:hint="eastAsia" w:ascii="宋体" w:hAnsi="宋体" w:eastAsia="宋体" w:cs="宋体"/>
          <w:b w:val="0"/>
          <w:bCs w:val="0"/>
          <w:color w:val="000000" w:themeColor="text1"/>
          <w:sz w:val="24"/>
          <w:szCs w:val="21"/>
          <w:highlight w:val="none"/>
          <w:u w:val="none"/>
          <w14:textFill>
            <w14:solidFill>
              <w14:schemeClr w14:val="tx1"/>
            </w14:solidFill>
          </w14:textFill>
        </w:rPr>
        <w:t>元为单位，保留两位小数，第三位小数四舍五入）</w:t>
      </w:r>
      <w:r>
        <w:rPr>
          <w:rFonts w:hint="eastAsia" w:ascii="宋体" w:hAnsi="宋体" w:eastAsia="宋体" w:cs="宋体"/>
          <w:color w:val="000000" w:themeColor="text1"/>
          <w:sz w:val="24"/>
          <w:szCs w:val="21"/>
          <w:highlight w:val="none"/>
          <w:u w:val="none"/>
          <w14:textFill>
            <w14:solidFill>
              <w14:schemeClr w14:val="tx1"/>
            </w14:solidFill>
          </w14:textFill>
        </w:rPr>
        <w:t>，单价报价</w:t>
      </w:r>
      <w:r>
        <w:rPr>
          <w:rFonts w:hint="eastAsia" w:ascii="宋体" w:hAnsi="宋体" w:eastAsia="宋体" w:cs="宋体"/>
          <w:b w:val="0"/>
          <w:bCs w:val="0"/>
          <w:color w:val="000000" w:themeColor="text1"/>
          <w:sz w:val="24"/>
          <w:szCs w:val="21"/>
          <w:highlight w:val="none"/>
          <w:u w:val="none"/>
          <w14:textFill>
            <w14:solidFill>
              <w14:schemeClr w14:val="tx1"/>
            </w14:solidFill>
          </w14:textFill>
        </w:rPr>
        <w:t>（以</w:t>
      </w:r>
      <w:r>
        <w:rPr>
          <w:rFonts w:hint="eastAsia" w:ascii="宋体" w:hAnsi="宋体" w:eastAsia="宋体" w:cs="宋体"/>
          <w:color w:val="000000" w:themeColor="text1"/>
          <w:sz w:val="24"/>
          <w:szCs w:val="21"/>
          <w:highlight w:val="none"/>
          <w:lang w:bidi="ar"/>
          <w14:textFill>
            <w14:solidFill>
              <w14:schemeClr w14:val="tx1"/>
            </w14:solidFill>
          </w14:textFill>
        </w:rPr>
        <w:t>元/</w:t>
      </w:r>
      <w:r>
        <w:rPr>
          <w:rFonts w:hint="eastAsia" w:ascii="宋体" w:hAnsi="宋体" w:cs="宋体"/>
          <w:color w:val="000000" w:themeColor="text1"/>
          <w:sz w:val="24"/>
          <w:szCs w:val="24"/>
          <w:highlight w:val="none"/>
          <w:u w:val="single"/>
          <w14:textFill>
            <w14:solidFill>
              <w14:schemeClr w14:val="tx1"/>
            </w14:solidFill>
          </w14:textFill>
        </w:rPr>
        <w:t>m</w:t>
      </w:r>
      <w:r>
        <w:rPr>
          <w:rFonts w:hint="eastAsia" w:ascii="宋体" w:hAnsi="宋体" w:cs="宋体"/>
          <w:color w:val="000000" w:themeColor="text1"/>
          <w:sz w:val="24"/>
          <w:szCs w:val="24"/>
          <w:highlight w:val="none"/>
          <w:u w:val="single"/>
          <w:vertAlign w:val="superscript"/>
          <w14:textFill>
            <w14:solidFill>
              <w14:schemeClr w14:val="tx1"/>
            </w14:solidFill>
          </w14:textFill>
        </w:rPr>
        <w:t>2</w:t>
      </w:r>
      <w:r>
        <w:rPr>
          <w:rFonts w:hint="eastAsia" w:ascii="宋体" w:hAnsi="宋体" w:eastAsia="宋体" w:cs="宋体"/>
          <w:b w:val="0"/>
          <w:bCs w:val="0"/>
          <w:color w:val="000000" w:themeColor="text1"/>
          <w:sz w:val="24"/>
          <w:szCs w:val="21"/>
          <w:highlight w:val="none"/>
          <w:u w:val="none"/>
          <w14:textFill>
            <w14:solidFill>
              <w14:schemeClr w14:val="tx1"/>
            </w14:solidFill>
          </w14:textFill>
        </w:rPr>
        <w:t>为单位，</w:t>
      </w:r>
      <w:r>
        <w:rPr>
          <w:rFonts w:hint="eastAsia" w:ascii="宋体" w:hAnsi="宋体" w:eastAsia="宋体" w:cs="宋体"/>
          <w:b w:val="0"/>
          <w:color w:val="000000" w:themeColor="text1"/>
          <w:sz w:val="24"/>
          <w:szCs w:val="21"/>
          <w:highlight w:val="none"/>
          <w:u w:val="none"/>
          <w14:textFill>
            <w14:solidFill>
              <w14:schemeClr w14:val="tx1"/>
            </w14:solidFill>
          </w14:textFill>
        </w:rPr>
        <w:t>保留两位小数，第三位小数四舍五入</w:t>
      </w:r>
      <w:r>
        <w:rPr>
          <w:rFonts w:hint="eastAsia" w:ascii="宋体" w:hAnsi="宋体" w:eastAsia="宋体" w:cs="宋体"/>
          <w:b w:val="0"/>
          <w:bCs w:val="0"/>
          <w:color w:val="000000" w:themeColor="text1"/>
          <w:sz w:val="24"/>
          <w:szCs w:val="21"/>
          <w:highlight w:val="none"/>
          <w:u w:val="none"/>
          <w14:textFill>
            <w14:solidFill>
              <w14:schemeClr w14:val="tx1"/>
            </w14:solidFill>
          </w14:textFill>
        </w:rPr>
        <w:t>）</w:t>
      </w:r>
      <w:r>
        <w:rPr>
          <w:rFonts w:hint="eastAsia" w:ascii="宋体" w:hAnsi="宋体" w:eastAsia="宋体" w:cs="宋体"/>
          <w:color w:val="000000" w:themeColor="text1"/>
          <w:sz w:val="24"/>
          <w:szCs w:val="21"/>
          <w:highlight w:val="none"/>
          <w:u w:val="none"/>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如投标报价形式不符合本点要求的，不作为否决投标条件，由评标委员会进行修正；修正后的投标报价若超过对应的最高投标限价，则由评标委员会作废标处理。</w:t>
      </w:r>
    </w:p>
    <w:p>
      <w:pPr>
        <w:numPr>
          <w:ilvl w:val="0"/>
          <w:numId w:val="0"/>
        </w:numPr>
        <w:shd w:val="clear"/>
        <w:spacing w:line="240" w:lineRule="auto"/>
        <w:ind w:firstLine="420" w:firstLineChars="175"/>
        <w:jc w:val="left"/>
        <w:rPr>
          <w:rFonts w:hint="eastAsia" w:ascii="宋体" w:hAnsi="宋体" w:eastAsia="宋体" w:cs="宋体"/>
          <w:color w:val="000000" w:themeColor="text1"/>
          <w:sz w:val="24"/>
          <w:szCs w:val="21"/>
          <w:highlight w:val="none"/>
          <w:lang w:bidi="ar"/>
          <w14:textFill>
            <w14:solidFill>
              <w14:schemeClr w14:val="tx1"/>
            </w14:solidFill>
          </w14:textFill>
        </w:rPr>
      </w:pPr>
      <w:r>
        <w:rPr>
          <w:rFonts w:hint="eastAsia" w:ascii="宋体" w:hAnsi="宋体" w:eastAsia="宋体" w:cs="宋体"/>
          <w:color w:val="000000" w:themeColor="text1"/>
          <w:sz w:val="24"/>
          <w:szCs w:val="21"/>
          <w:highlight w:val="none"/>
          <w:lang w:val="en-US" w:eastAsia="zh-CN"/>
          <w14:textFill>
            <w14:solidFill>
              <w14:schemeClr w14:val="tx1"/>
            </w14:solidFill>
          </w14:textFill>
        </w:rPr>
        <w:t>2.</w:t>
      </w:r>
      <w:r>
        <w:rPr>
          <w:rFonts w:hint="eastAsia" w:ascii="宋体" w:hAnsi="宋体" w:eastAsia="宋体" w:cs="宋体"/>
          <w:color w:val="000000" w:themeColor="text1"/>
          <w:sz w:val="24"/>
          <w:szCs w:val="21"/>
          <w:highlight w:val="none"/>
          <w:lang w:bidi="ar"/>
          <w14:textFill>
            <w14:solidFill>
              <w14:schemeClr w14:val="tx1"/>
            </w14:solidFill>
          </w14:textFill>
        </w:rPr>
        <w:t xml:space="preserve">投标报价总价的最高投标限价为 469.46 万元（其中，含税综合包干单价投标报价应不高于 </w:t>
      </w:r>
      <w:r>
        <w:rPr>
          <w:rFonts w:hint="eastAsia" w:ascii="宋体" w:hAnsi="宋体" w:eastAsia="宋体" w:cs="宋体"/>
          <w:color w:val="000000" w:themeColor="text1"/>
          <w:sz w:val="24"/>
          <w:szCs w:val="21"/>
          <w:highlight w:val="none"/>
          <w:lang w:eastAsia="zh-CN" w:bidi="ar"/>
          <w14:textFill>
            <w14:solidFill>
              <w14:schemeClr w14:val="tx1"/>
            </w14:solidFill>
          </w14:textFill>
        </w:rPr>
        <w:t>5</w:t>
      </w:r>
      <w:r>
        <w:rPr>
          <w:rFonts w:hint="eastAsia" w:ascii="宋体" w:hAnsi="宋体" w:eastAsia="宋体" w:cs="宋体"/>
          <w:color w:val="000000" w:themeColor="text1"/>
          <w:sz w:val="24"/>
          <w:szCs w:val="21"/>
          <w:highlight w:val="none"/>
          <w:lang w:bidi="ar"/>
          <w14:textFill>
            <w14:solidFill>
              <w14:schemeClr w14:val="tx1"/>
            </w14:solidFill>
          </w14:textFill>
        </w:rPr>
        <w:t>7元/</w:t>
      </w:r>
      <w:r>
        <w:rPr>
          <w:rFonts w:hint="eastAsia" w:ascii="宋体" w:hAnsi="宋体" w:cs="宋体"/>
          <w:color w:val="000000" w:themeColor="text1"/>
          <w:sz w:val="24"/>
          <w:szCs w:val="24"/>
          <w:highlight w:val="none"/>
          <w:u w:val="single"/>
          <w14:textFill>
            <w14:solidFill>
              <w14:schemeClr w14:val="tx1"/>
            </w14:solidFill>
          </w14:textFill>
        </w:rPr>
        <w:t>m</w:t>
      </w:r>
      <w:r>
        <w:rPr>
          <w:rFonts w:hint="eastAsia" w:ascii="宋体" w:hAnsi="宋体" w:cs="宋体"/>
          <w:color w:val="000000" w:themeColor="text1"/>
          <w:sz w:val="24"/>
          <w:szCs w:val="24"/>
          <w:highlight w:val="none"/>
          <w:u w:val="single"/>
          <w:vertAlign w:val="superscript"/>
          <w14:textFill>
            <w14:solidFill>
              <w14:schemeClr w14:val="tx1"/>
            </w14:solidFill>
          </w14:textFill>
        </w:rPr>
        <w:t>2</w:t>
      </w:r>
      <w:r>
        <w:rPr>
          <w:rFonts w:hint="eastAsia" w:ascii="宋体" w:hAnsi="宋体" w:eastAsia="宋体" w:cs="宋体"/>
          <w:color w:val="000000" w:themeColor="text1"/>
          <w:sz w:val="24"/>
          <w:szCs w:val="21"/>
          <w:highlight w:val="none"/>
          <w:lang w:bidi="ar"/>
          <w14:textFill>
            <w14:solidFill>
              <w14:schemeClr w14:val="tx1"/>
            </w14:solidFill>
          </w14:textFill>
        </w:rPr>
        <w:t>）。投标人须按招标文件要求进行投标报价，否则由评标委员按否决其投标处理。</w:t>
      </w:r>
    </w:p>
    <w:p>
      <w:pPr>
        <w:numPr>
          <w:ilvl w:val="0"/>
          <w:numId w:val="0"/>
        </w:numPr>
        <w:shd w:val="clear"/>
        <w:spacing w:line="240" w:lineRule="auto"/>
        <w:ind w:firstLine="420" w:firstLineChars="175"/>
        <w:jc w:val="left"/>
        <w:rPr>
          <w:rFonts w:hint="eastAsia" w:ascii="宋体" w:hAnsi="宋体" w:eastAsia="宋体" w:cs="宋体"/>
          <w:color w:val="000000" w:themeColor="text1"/>
          <w:sz w:val="24"/>
          <w:szCs w:val="21"/>
          <w:highlight w:val="none"/>
          <w:lang w:bidi="ar"/>
          <w14:textFill>
            <w14:solidFill>
              <w14:schemeClr w14:val="tx1"/>
            </w14:solidFill>
          </w14:textFill>
        </w:rPr>
      </w:pPr>
      <w:r>
        <w:rPr>
          <w:rFonts w:hint="eastAsia" w:ascii="宋体" w:hAnsi="宋体" w:eastAsia="宋体" w:cs="宋体"/>
          <w:color w:val="000000" w:themeColor="text1"/>
          <w:sz w:val="24"/>
          <w:szCs w:val="21"/>
          <w:highlight w:val="none"/>
          <w:lang w:bidi="ar"/>
          <w14:textFill>
            <w14:solidFill>
              <w14:schemeClr w14:val="tx1"/>
            </w14:solidFill>
          </w14:textFill>
        </w:rPr>
        <w:t>3.投标报价总价计算公式：投标报价总价（</w:t>
      </w:r>
      <w:r>
        <w:rPr>
          <w:rFonts w:hint="eastAsia" w:ascii="宋体" w:hAnsi="宋体" w:eastAsia="宋体" w:cs="宋体"/>
          <w:b w:val="0"/>
          <w:bCs w:val="0"/>
          <w:color w:val="000000" w:themeColor="text1"/>
          <w:sz w:val="24"/>
          <w:szCs w:val="21"/>
          <w:highlight w:val="none"/>
          <w:u w:val="none"/>
          <w:lang w:val="en-US" w:eastAsia="zh-CN"/>
          <w14:textFill>
            <w14:solidFill>
              <w14:schemeClr w14:val="tx1"/>
            </w14:solidFill>
          </w14:textFill>
        </w:rPr>
        <w:t>万</w:t>
      </w:r>
      <w:r>
        <w:rPr>
          <w:rFonts w:hint="eastAsia" w:ascii="宋体" w:hAnsi="宋体" w:eastAsia="宋体" w:cs="宋体"/>
          <w:b w:val="0"/>
          <w:bCs w:val="0"/>
          <w:color w:val="000000" w:themeColor="text1"/>
          <w:sz w:val="24"/>
          <w:szCs w:val="21"/>
          <w:highlight w:val="none"/>
          <w:u w:val="none"/>
          <w14:textFill>
            <w14:solidFill>
              <w14:schemeClr w14:val="tx1"/>
            </w14:solidFill>
          </w14:textFill>
        </w:rPr>
        <w:t>元</w:t>
      </w:r>
      <w:r>
        <w:rPr>
          <w:rFonts w:hint="eastAsia" w:ascii="宋体" w:hAnsi="宋体" w:eastAsia="宋体" w:cs="宋体"/>
          <w:color w:val="000000" w:themeColor="text1"/>
          <w:sz w:val="24"/>
          <w:szCs w:val="21"/>
          <w:highlight w:val="none"/>
          <w:lang w:bidi="ar"/>
          <w14:textFill>
            <w14:solidFill>
              <w14:schemeClr w14:val="tx1"/>
            </w14:solidFill>
          </w14:textFill>
        </w:rPr>
        <w:t>）=暂定建筑面积（</w:t>
      </w:r>
      <w:r>
        <w:rPr>
          <w:rFonts w:hint="eastAsia" w:ascii="宋体" w:hAnsi="宋体" w:cs="宋体"/>
          <w:color w:val="000000" w:themeColor="text1"/>
          <w:sz w:val="24"/>
          <w:szCs w:val="24"/>
          <w:highlight w:val="none"/>
          <w:u w:val="single"/>
          <w14:textFill>
            <w14:solidFill>
              <w14:schemeClr w14:val="tx1"/>
            </w14:solidFill>
          </w14:textFill>
        </w:rPr>
        <w:t>m</w:t>
      </w:r>
      <w:r>
        <w:rPr>
          <w:rFonts w:hint="eastAsia" w:ascii="宋体" w:hAnsi="宋体" w:cs="宋体"/>
          <w:color w:val="000000" w:themeColor="text1"/>
          <w:sz w:val="24"/>
          <w:szCs w:val="24"/>
          <w:highlight w:val="none"/>
          <w:u w:val="single"/>
          <w:vertAlign w:val="superscript"/>
          <w14:textFill>
            <w14:solidFill>
              <w14:schemeClr w14:val="tx1"/>
            </w14:solidFill>
          </w14:textFill>
        </w:rPr>
        <w:t>2</w:t>
      </w:r>
      <w:r>
        <w:rPr>
          <w:rFonts w:hint="eastAsia" w:ascii="宋体" w:hAnsi="宋体" w:eastAsia="宋体" w:cs="宋体"/>
          <w:color w:val="000000" w:themeColor="text1"/>
          <w:sz w:val="24"/>
          <w:szCs w:val="21"/>
          <w:highlight w:val="none"/>
          <w:lang w:bidi="ar"/>
          <w14:textFill>
            <w14:solidFill>
              <w14:schemeClr w14:val="tx1"/>
            </w14:solidFill>
          </w14:textFill>
        </w:rPr>
        <w:t>）×含税综合包干单价投标报价（元</w:t>
      </w:r>
      <w:r>
        <w:rPr>
          <w:rFonts w:hint="eastAsia" w:ascii="宋体" w:hAnsi="宋体" w:cs="宋体"/>
          <w:color w:val="000000" w:themeColor="text1"/>
          <w:sz w:val="24"/>
          <w:szCs w:val="24"/>
          <w:highlight w:val="none"/>
          <w:u w:val="single"/>
          <w14:textFill>
            <w14:solidFill>
              <w14:schemeClr w14:val="tx1"/>
            </w14:solidFill>
          </w14:textFill>
        </w:rPr>
        <w:t>/m</w:t>
      </w:r>
      <w:r>
        <w:rPr>
          <w:rFonts w:hint="eastAsia" w:ascii="宋体" w:hAnsi="宋体" w:cs="宋体"/>
          <w:color w:val="000000" w:themeColor="text1"/>
          <w:sz w:val="24"/>
          <w:szCs w:val="24"/>
          <w:highlight w:val="none"/>
          <w:u w:val="single"/>
          <w:vertAlign w:val="superscript"/>
          <w14:textFill>
            <w14:solidFill>
              <w14:schemeClr w14:val="tx1"/>
            </w14:solidFill>
          </w14:textFill>
        </w:rPr>
        <w:t>2</w:t>
      </w:r>
      <w:r>
        <w:rPr>
          <w:rFonts w:hint="eastAsia" w:ascii="宋体" w:hAnsi="宋体" w:eastAsia="宋体" w:cs="宋体"/>
          <w:color w:val="000000" w:themeColor="text1"/>
          <w:sz w:val="24"/>
          <w:szCs w:val="21"/>
          <w:highlight w:val="none"/>
          <w:lang w:bidi="ar"/>
          <w14:textFill>
            <w14:solidFill>
              <w14:schemeClr w14:val="tx1"/>
            </w14:solidFill>
          </w14:textFill>
        </w:rPr>
        <w:t>）</w:t>
      </w:r>
      <w:r>
        <w:rPr>
          <w:rFonts w:ascii="Arial" w:hAnsi="Arial" w:eastAsia="宋体" w:cs="Arial"/>
          <w:bCs/>
          <w:color w:val="000000"/>
          <w:kern w:val="2"/>
          <w:sz w:val="24"/>
          <w:szCs w:val="21"/>
          <w:lang w:val="en-US" w:eastAsia="zh-CN" w:bidi="ar"/>
        </w:rPr>
        <w:t>÷</w:t>
      </w:r>
      <w:r>
        <w:rPr>
          <w:rFonts w:hint="eastAsia" w:ascii="宋体" w:hAnsi="宋体" w:eastAsia="宋体" w:cs="宋体"/>
          <w:bCs/>
          <w:color w:val="000000"/>
          <w:kern w:val="2"/>
          <w:sz w:val="24"/>
          <w:szCs w:val="21"/>
          <w:lang w:val="en-US" w:eastAsia="zh-CN" w:bidi="ar"/>
        </w:rPr>
        <w:t>10000</w:t>
      </w:r>
      <w:r>
        <w:rPr>
          <w:rFonts w:hint="eastAsia" w:ascii="宋体" w:hAnsi="宋体" w:eastAsia="宋体" w:cs="宋体"/>
          <w:color w:val="000000" w:themeColor="text1"/>
          <w:sz w:val="24"/>
          <w:szCs w:val="21"/>
          <w:highlight w:val="none"/>
          <w:lang w:bidi="ar"/>
          <w14:textFill>
            <w14:solidFill>
              <w14:schemeClr w14:val="tx1"/>
            </w14:solidFill>
          </w14:textFill>
        </w:rPr>
        <w:t>；</w:t>
      </w:r>
    </w:p>
    <w:p>
      <w:pPr>
        <w:shd w:val="clear"/>
        <w:spacing w:line="360" w:lineRule="auto"/>
        <w:jc w:val="center"/>
        <w:rPr>
          <w:color w:val="000000" w:themeColor="text1"/>
          <w:sz w:val="22"/>
          <w:szCs w:val="20"/>
          <w:highlight w:val="none"/>
          <w:lang w:bidi="ar"/>
          <w14:textFill>
            <w14:solidFill>
              <w14:schemeClr w14:val="tx1"/>
            </w14:solidFill>
          </w14:textFill>
        </w:rPr>
      </w:pPr>
    </w:p>
    <w:p>
      <w:pPr>
        <w:shd w:val="clear"/>
        <w:spacing w:line="360" w:lineRule="auto"/>
        <w:jc w:val="center"/>
        <w:rPr>
          <w:color w:val="000000" w:themeColor="text1"/>
          <w:sz w:val="22"/>
          <w:szCs w:val="20"/>
          <w:highlight w:val="none"/>
          <w:lang w:bidi="ar"/>
          <w14:textFill>
            <w14:solidFill>
              <w14:schemeClr w14:val="tx1"/>
            </w14:solidFill>
          </w14:textFill>
        </w:rPr>
      </w:pPr>
    </w:p>
    <w:p>
      <w:pPr>
        <w:shd w:val="clear"/>
        <w:spacing w:line="360" w:lineRule="auto"/>
        <w:ind w:firstLine="3158" w:firstLineChars="1316"/>
        <w:jc w:val="left"/>
        <w:rPr>
          <w:color w:val="000000" w:themeColor="text1"/>
          <w:sz w:val="24"/>
          <w:szCs w:val="20"/>
          <w:highlight w:val="none"/>
          <w:u w:val="single"/>
          <w14:textFill>
            <w14:solidFill>
              <w14:schemeClr w14:val="tx1"/>
            </w14:solidFill>
          </w14:textFill>
        </w:rPr>
      </w:pPr>
      <w:r>
        <w:rPr>
          <w:color w:val="000000" w:themeColor="text1"/>
          <w:sz w:val="24"/>
          <w:szCs w:val="20"/>
          <w:highlight w:val="none"/>
          <w:u w:val="none"/>
          <w:lang w:bidi="ar"/>
          <w14:textFill>
            <w14:solidFill>
              <w14:schemeClr w14:val="tx1"/>
            </w14:solidFill>
          </w14:textFill>
        </w:rPr>
        <w:t>投标人（公章）：</w:t>
      </w:r>
      <w:r>
        <w:rPr>
          <w:color w:val="000000" w:themeColor="text1"/>
          <w:sz w:val="24"/>
          <w:szCs w:val="20"/>
          <w:highlight w:val="none"/>
          <w:u w:val="single"/>
          <w:lang w:bidi="ar"/>
          <w14:textFill>
            <w14:solidFill>
              <w14:schemeClr w14:val="tx1"/>
            </w14:solidFill>
          </w14:textFill>
        </w:rPr>
        <w:t xml:space="preserve">           </w:t>
      </w:r>
    </w:p>
    <w:p>
      <w:pPr>
        <w:shd w:val="clear"/>
        <w:spacing w:line="360" w:lineRule="auto"/>
        <w:ind w:firstLine="3158" w:firstLineChars="1316"/>
        <w:rPr>
          <w:color w:val="000000" w:themeColor="text1"/>
          <w:sz w:val="24"/>
          <w:szCs w:val="20"/>
          <w:highlight w:val="none"/>
          <w:u w:val="single"/>
          <w14:textFill>
            <w14:solidFill>
              <w14:schemeClr w14:val="tx1"/>
            </w14:solidFill>
          </w14:textFill>
        </w:rPr>
      </w:pPr>
      <w:r>
        <w:rPr>
          <w:rFonts w:hint="default"/>
          <w:color w:val="000000" w:themeColor="text1"/>
          <w:sz w:val="24"/>
          <w:szCs w:val="20"/>
          <w:highlight w:val="none"/>
          <w:u w:val="none"/>
          <w:lang w:bidi="ar"/>
          <w14:textFill>
            <w14:solidFill>
              <w14:schemeClr w14:val="tx1"/>
            </w14:solidFill>
          </w14:textFill>
        </w:rPr>
        <w:t>法定代表人或其授权委托人</w:t>
      </w:r>
      <w:r>
        <w:rPr>
          <w:color w:val="000000" w:themeColor="text1"/>
          <w:sz w:val="24"/>
          <w:szCs w:val="20"/>
          <w:highlight w:val="none"/>
          <w:u w:val="none"/>
          <w:lang w:bidi="ar"/>
          <w14:textFill>
            <w14:solidFill>
              <w14:schemeClr w14:val="tx1"/>
            </w14:solidFill>
          </w14:textFill>
        </w:rPr>
        <w:t>（签字或盖章）：</w:t>
      </w:r>
      <w:r>
        <w:rPr>
          <w:color w:val="000000" w:themeColor="text1"/>
          <w:sz w:val="24"/>
          <w:szCs w:val="20"/>
          <w:highlight w:val="none"/>
          <w:u w:val="single"/>
          <w:lang w:bidi="ar"/>
          <w14:textFill>
            <w14:solidFill>
              <w14:schemeClr w14:val="tx1"/>
            </w14:solidFill>
          </w14:textFill>
        </w:rPr>
        <w:t xml:space="preserve">                     </w:t>
      </w:r>
    </w:p>
    <w:p>
      <w:pPr>
        <w:shd w:val="clear"/>
        <w:spacing w:line="360" w:lineRule="auto"/>
        <w:ind w:firstLine="3158" w:firstLineChars="1316"/>
        <w:jc w:val="left"/>
        <w:rPr>
          <w:color w:val="000000" w:themeColor="text1"/>
          <w:sz w:val="24"/>
          <w:szCs w:val="20"/>
          <w:highlight w:val="none"/>
          <w:u w:val="single"/>
          <w14:textFill>
            <w14:solidFill>
              <w14:schemeClr w14:val="tx1"/>
            </w14:solidFill>
          </w14:textFill>
        </w:rPr>
      </w:pPr>
      <w:r>
        <w:rPr>
          <w:color w:val="000000" w:themeColor="text1"/>
          <w:sz w:val="24"/>
          <w:szCs w:val="20"/>
          <w:highlight w:val="none"/>
          <w:u w:val="single"/>
          <w:lang w:bidi="ar"/>
          <w14:textFill>
            <w14:solidFill>
              <w14:schemeClr w14:val="tx1"/>
            </w14:solidFill>
          </w14:textFill>
        </w:rPr>
        <w:t xml:space="preserve">            年  月   日</w:t>
      </w:r>
    </w:p>
    <w:p>
      <w:pPr>
        <w:shd w:val="clear"/>
        <w:spacing w:line="360" w:lineRule="auto"/>
        <w:jc w:val="center"/>
        <w:rPr>
          <w:color w:val="000000" w:themeColor="text1"/>
          <w:highlight w:val="none"/>
          <w14:textFill>
            <w14:solidFill>
              <w14:schemeClr w14:val="tx1"/>
            </w14:solidFill>
          </w14:textFill>
        </w:rPr>
      </w:pPr>
      <w:r>
        <w:rPr>
          <w:color w:val="000000" w:themeColor="text1"/>
          <w:sz w:val="24"/>
          <w:szCs w:val="20"/>
          <w:highlight w:val="none"/>
          <w:lang w:bidi="ar"/>
          <w14:textFill>
            <w14:solidFill>
              <w14:schemeClr w14:val="tx1"/>
            </w14:solidFill>
          </w14:textFill>
        </w:rPr>
        <w:br w:type="page"/>
      </w:r>
    </w:p>
    <w:p>
      <w:pPr>
        <w:pStyle w:val="3"/>
        <w:keepNext w:val="0"/>
        <w:keepLines w:val="0"/>
        <w:shd w:val="clear"/>
        <w:spacing w:before="0" w:after="0" w:line="360" w:lineRule="auto"/>
        <w:jc w:val="center"/>
        <w:rPr>
          <w:rFonts w:ascii="Times New Roman" w:hAnsi="Times New Roman" w:eastAsia="宋体"/>
          <w:color w:val="000000" w:themeColor="text1"/>
          <w:highlight w:val="none"/>
          <w14:textFill>
            <w14:solidFill>
              <w14:schemeClr w14:val="tx1"/>
            </w14:solidFill>
          </w14:textFill>
        </w:rPr>
      </w:pPr>
      <w:bookmarkStart w:id="244" w:name="_Toc47987350"/>
      <w:bookmarkStart w:id="245" w:name="_Toc3743"/>
      <w:bookmarkStart w:id="246" w:name="_Toc47376789"/>
      <w:bookmarkStart w:id="247" w:name="_Toc19499"/>
      <w:r>
        <w:rPr>
          <w:rFonts w:ascii="Times New Roman" w:hAnsi="Times New Roman" w:eastAsia="宋体"/>
          <w:bCs/>
          <w:color w:val="000000" w:themeColor="text1"/>
          <w:szCs w:val="32"/>
          <w:highlight w:val="none"/>
          <w14:textFill>
            <w14:solidFill>
              <w14:schemeClr w14:val="tx1"/>
            </w14:solidFill>
          </w14:textFill>
        </w:rPr>
        <w:t>五、资格审查资料</w:t>
      </w:r>
      <w:bookmarkEnd w:id="244"/>
      <w:bookmarkEnd w:id="245"/>
      <w:bookmarkEnd w:id="246"/>
      <w:bookmarkEnd w:id="247"/>
    </w:p>
    <w:p>
      <w:pPr>
        <w:pStyle w:val="4"/>
        <w:keepNext w:val="0"/>
        <w:keepLines w:val="0"/>
        <w:shd w:val="clear"/>
        <w:spacing w:before="20" w:after="0" w:line="360" w:lineRule="auto"/>
        <w:ind w:firstLine="137"/>
        <w:rPr>
          <w:rFonts w:ascii="Times New Roman" w:hAnsi="Times New Roman" w:eastAsia="宋体"/>
          <w:color w:val="000000" w:themeColor="text1"/>
          <w:highlight w:val="none"/>
          <w14:textFill>
            <w14:solidFill>
              <w14:schemeClr w14:val="tx1"/>
            </w14:solidFill>
          </w14:textFill>
        </w:rPr>
      </w:pPr>
      <w:bookmarkStart w:id="248" w:name="_Toc20154"/>
      <w:bookmarkStart w:id="249" w:name="_Toc14341"/>
      <w:bookmarkStart w:id="250" w:name="_Toc536044208"/>
      <w:bookmarkStart w:id="251" w:name="_Toc47987351"/>
      <w:r>
        <w:rPr>
          <w:rFonts w:ascii="Times New Roman" w:hAnsi="Times New Roman" w:eastAsia="宋体"/>
          <w:color w:val="000000" w:themeColor="text1"/>
          <w:highlight w:val="none"/>
          <w14:textFill>
            <w14:solidFill>
              <w14:schemeClr w14:val="tx1"/>
            </w14:solidFill>
          </w14:textFill>
        </w:rPr>
        <w:t>（一）投标人基本情况表</w:t>
      </w:r>
      <w:bookmarkEnd w:id="248"/>
      <w:bookmarkEnd w:id="249"/>
      <w:bookmarkEnd w:id="250"/>
      <w:bookmarkEnd w:id="251"/>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26"/>
        <w:gridCol w:w="2473"/>
        <w:gridCol w:w="2282"/>
        <w:gridCol w:w="27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7" w:hRule="exact"/>
        </w:trPr>
        <w:tc>
          <w:tcPr>
            <w:tcW w:w="9332" w:type="dxa"/>
            <w:gridSpan w:val="4"/>
            <w:tcBorders>
              <w:top w:val="single" w:color="auto" w:sz="4" w:space="0"/>
              <w:left w:val="single" w:color="auto" w:sz="4" w:space="0"/>
              <w:bottom w:val="single" w:color="auto" w:sz="6"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2"/>
                <w:szCs w:val="20"/>
                <w:highlight w:val="none"/>
                <w14:textFill>
                  <w14:solidFill>
                    <w14:schemeClr w14:val="tx1"/>
                  </w14:solidFill>
                </w14:textFill>
              </w:rPr>
            </w:pPr>
            <w:r>
              <w:rPr>
                <w:rFonts w:hint="default"/>
                <w:b/>
                <w:color w:val="000000" w:themeColor="text1"/>
                <w:sz w:val="22"/>
                <w:szCs w:val="20"/>
                <w:highlight w:val="none"/>
                <w14:textFill>
                  <w14:solidFill>
                    <w14:schemeClr w14:val="tx1"/>
                  </w14:solidFill>
                </w14:textFill>
              </w:rPr>
              <w:t xml:space="preserve">   </w:t>
            </w:r>
            <w:r>
              <w:rPr>
                <w:rFonts w:hint="default"/>
                <w:color w:val="000000" w:themeColor="text1"/>
                <w:position w:val="-30"/>
                <w:sz w:val="22"/>
                <w:szCs w:val="20"/>
                <w:highlight w:val="none"/>
                <w14:textFill>
                  <w14:solidFill>
                    <w14:schemeClr w14:val="tx1"/>
                  </w14:solidFill>
                </w14:textFill>
              </w:rPr>
              <w:t>1、简况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826"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2"/>
                <w:szCs w:val="20"/>
                <w:highlight w:val="none"/>
                <w14:textFill>
                  <w14:solidFill>
                    <w14:schemeClr w14:val="tx1"/>
                  </w14:solidFill>
                </w14:textFill>
              </w:rPr>
            </w:pPr>
            <w:r>
              <w:rPr>
                <w:rFonts w:hint="default"/>
                <w:color w:val="000000" w:themeColor="text1"/>
                <w:position w:val="-30"/>
                <w:sz w:val="22"/>
                <w:szCs w:val="20"/>
                <w:highlight w:val="none"/>
                <w14:textFill>
                  <w14:solidFill>
                    <w14:schemeClr w14:val="tx1"/>
                  </w14:solidFill>
                </w14:textFill>
              </w:rPr>
              <w:t>单位名称</w:t>
            </w:r>
          </w:p>
        </w:tc>
        <w:tc>
          <w:tcPr>
            <w:tcW w:w="7506" w:type="dxa"/>
            <w:gridSpan w:val="3"/>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position w:val="-30"/>
                <w:sz w:val="22"/>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826"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2"/>
                <w:szCs w:val="20"/>
                <w:highlight w:val="none"/>
                <w14:textFill>
                  <w14:solidFill>
                    <w14:schemeClr w14:val="tx1"/>
                  </w14:solidFill>
                </w14:textFill>
              </w:rPr>
            </w:pPr>
            <w:r>
              <w:rPr>
                <w:rFonts w:hint="default"/>
                <w:color w:val="000000" w:themeColor="text1"/>
                <w:position w:val="-30"/>
                <w:sz w:val="22"/>
                <w:szCs w:val="20"/>
                <w:highlight w:val="none"/>
                <w14:textFill>
                  <w14:solidFill>
                    <w14:schemeClr w14:val="tx1"/>
                  </w14:solidFill>
                </w14:textFill>
              </w:rPr>
              <w:t>具备资质情况</w:t>
            </w:r>
          </w:p>
        </w:tc>
        <w:tc>
          <w:tcPr>
            <w:tcW w:w="7506" w:type="dxa"/>
            <w:gridSpan w:val="3"/>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position w:val="-30"/>
                <w:sz w:val="22"/>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826"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2"/>
                <w:szCs w:val="20"/>
                <w:highlight w:val="none"/>
                <w14:textFill>
                  <w14:solidFill>
                    <w14:schemeClr w14:val="tx1"/>
                  </w14:solidFill>
                </w14:textFill>
              </w:rPr>
            </w:pPr>
            <w:r>
              <w:rPr>
                <w:rFonts w:hint="default"/>
                <w:color w:val="000000" w:themeColor="text1"/>
                <w:position w:val="-30"/>
                <w:sz w:val="22"/>
                <w:szCs w:val="20"/>
                <w:highlight w:val="none"/>
                <w14:textFill>
                  <w14:solidFill>
                    <w14:schemeClr w14:val="tx1"/>
                  </w14:solidFill>
                </w14:textFill>
              </w:rPr>
              <w:t>证书编号</w:t>
            </w:r>
          </w:p>
        </w:tc>
        <w:tc>
          <w:tcPr>
            <w:tcW w:w="7506" w:type="dxa"/>
            <w:gridSpan w:val="3"/>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position w:val="-30"/>
                <w:sz w:val="22"/>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8" w:hRule="atLeast"/>
        </w:trPr>
        <w:tc>
          <w:tcPr>
            <w:tcW w:w="9332" w:type="dxa"/>
            <w:gridSpan w:val="4"/>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2"/>
                <w:szCs w:val="20"/>
                <w:highlight w:val="none"/>
                <w14:textFill>
                  <w14:solidFill>
                    <w14:schemeClr w14:val="tx1"/>
                  </w14:solidFill>
                </w14:textFill>
              </w:rPr>
            </w:pPr>
            <w:r>
              <w:rPr>
                <w:rFonts w:hint="default"/>
                <w:color w:val="000000" w:themeColor="text1"/>
                <w:position w:val="-30"/>
                <w:sz w:val="22"/>
                <w:szCs w:val="20"/>
                <w:highlight w:val="none"/>
                <w14:textFill>
                  <w14:solidFill>
                    <w14:schemeClr w14:val="tx1"/>
                  </w14:solidFill>
                </w14:textFill>
              </w:rPr>
              <w:t>2、领导人名单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1826"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2"/>
                <w:szCs w:val="20"/>
                <w:highlight w:val="none"/>
                <w14:textFill>
                  <w14:solidFill>
                    <w14:schemeClr w14:val="tx1"/>
                  </w14:solidFill>
                </w14:textFill>
              </w:rPr>
            </w:pPr>
            <w:r>
              <w:rPr>
                <w:rFonts w:hint="default"/>
                <w:color w:val="000000" w:themeColor="text1"/>
                <w:position w:val="-30"/>
                <w:sz w:val="22"/>
                <w:szCs w:val="20"/>
                <w:highlight w:val="none"/>
                <w14:textFill>
                  <w14:solidFill>
                    <w14:schemeClr w14:val="tx1"/>
                  </w14:solidFill>
                </w14:textFill>
              </w:rPr>
              <w:t>职务</w:t>
            </w:r>
          </w:p>
        </w:tc>
        <w:tc>
          <w:tcPr>
            <w:tcW w:w="247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2"/>
                <w:szCs w:val="20"/>
                <w:highlight w:val="none"/>
                <w14:textFill>
                  <w14:solidFill>
                    <w14:schemeClr w14:val="tx1"/>
                  </w14:solidFill>
                </w14:textFill>
              </w:rPr>
            </w:pPr>
            <w:r>
              <w:rPr>
                <w:rFonts w:hint="default"/>
                <w:color w:val="000000" w:themeColor="text1"/>
                <w:position w:val="-30"/>
                <w:sz w:val="22"/>
                <w:szCs w:val="20"/>
                <w:highlight w:val="none"/>
                <w14:textFill>
                  <w14:solidFill>
                    <w14:schemeClr w14:val="tx1"/>
                  </w14:solidFill>
                </w14:textFill>
              </w:rPr>
              <w:t>姓名</w:t>
            </w:r>
          </w:p>
        </w:tc>
        <w:tc>
          <w:tcPr>
            <w:tcW w:w="228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2"/>
                <w:szCs w:val="20"/>
                <w:highlight w:val="none"/>
                <w14:textFill>
                  <w14:solidFill>
                    <w14:schemeClr w14:val="tx1"/>
                  </w14:solidFill>
                </w14:textFill>
              </w:rPr>
            </w:pPr>
            <w:r>
              <w:rPr>
                <w:rFonts w:hint="default"/>
                <w:color w:val="000000" w:themeColor="text1"/>
                <w:position w:val="-30"/>
                <w:sz w:val="22"/>
                <w:szCs w:val="20"/>
                <w:highlight w:val="none"/>
                <w14:textFill>
                  <w14:solidFill>
                    <w14:schemeClr w14:val="tx1"/>
                  </w14:solidFill>
                </w14:textFill>
              </w:rPr>
              <w:t>职称</w:t>
            </w:r>
          </w:p>
        </w:tc>
        <w:tc>
          <w:tcPr>
            <w:tcW w:w="2751"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2"/>
                <w:szCs w:val="20"/>
                <w:highlight w:val="none"/>
                <w14:textFill>
                  <w14:solidFill>
                    <w14:schemeClr w14:val="tx1"/>
                  </w14:solidFill>
                </w14:textFill>
              </w:rPr>
            </w:pPr>
            <w:r>
              <w:rPr>
                <w:rFonts w:hint="default"/>
                <w:color w:val="000000" w:themeColor="text1"/>
                <w:position w:val="-30"/>
                <w:sz w:val="22"/>
                <w:szCs w:val="20"/>
                <w:highlight w:val="none"/>
                <w14:textFill>
                  <w14:solidFill>
                    <w14:schemeClr w14:val="tx1"/>
                  </w14:solidFill>
                </w14:textFill>
              </w:rPr>
              <w:t>从事岗位业务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826"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2"/>
                <w:szCs w:val="20"/>
                <w:highlight w:val="none"/>
                <w14:textFill>
                  <w14:solidFill>
                    <w14:schemeClr w14:val="tx1"/>
                  </w14:solidFill>
                </w14:textFill>
              </w:rPr>
            </w:pPr>
          </w:p>
        </w:tc>
        <w:tc>
          <w:tcPr>
            <w:tcW w:w="247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2"/>
                <w:szCs w:val="20"/>
                <w:highlight w:val="none"/>
                <w14:textFill>
                  <w14:solidFill>
                    <w14:schemeClr w14:val="tx1"/>
                  </w14:solidFill>
                </w14:textFill>
              </w:rPr>
            </w:pPr>
          </w:p>
        </w:tc>
        <w:tc>
          <w:tcPr>
            <w:tcW w:w="228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2"/>
                <w:szCs w:val="20"/>
                <w:highlight w:val="none"/>
                <w14:textFill>
                  <w14:solidFill>
                    <w14:schemeClr w14:val="tx1"/>
                  </w14:solidFill>
                </w14:textFill>
              </w:rPr>
            </w:pPr>
          </w:p>
        </w:tc>
        <w:tc>
          <w:tcPr>
            <w:tcW w:w="2751"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2"/>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1826"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2"/>
                <w:szCs w:val="20"/>
                <w:highlight w:val="none"/>
                <w14:textFill>
                  <w14:solidFill>
                    <w14:schemeClr w14:val="tx1"/>
                  </w14:solidFill>
                </w14:textFill>
              </w:rPr>
            </w:pPr>
          </w:p>
        </w:tc>
        <w:tc>
          <w:tcPr>
            <w:tcW w:w="247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2"/>
                <w:szCs w:val="20"/>
                <w:highlight w:val="none"/>
                <w14:textFill>
                  <w14:solidFill>
                    <w14:schemeClr w14:val="tx1"/>
                  </w14:solidFill>
                </w14:textFill>
              </w:rPr>
            </w:pPr>
          </w:p>
        </w:tc>
        <w:tc>
          <w:tcPr>
            <w:tcW w:w="228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2"/>
                <w:szCs w:val="20"/>
                <w:highlight w:val="none"/>
                <w14:textFill>
                  <w14:solidFill>
                    <w14:schemeClr w14:val="tx1"/>
                  </w14:solidFill>
                </w14:textFill>
              </w:rPr>
            </w:pPr>
          </w:p>
        </w:tc>
        <w:tc>
          <w:tcPr>
            <w:tcW w:w="2751"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2"/>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9332" w:type="dxa"/>
            <w:gridSpan w:val="4"/>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2"/>
                <w:szCs w:val="20"/>
                <w:highlight w:val="none"/>
                <w14:textFill>
                  <w14:solidFill>
                    <w14:schemeClr w14:val="tx1"/>
                  </w14:solidFill>
                </w14:textFill>
              </w:rPr>
            </w:pPr>
            <w:r>
              <w:rPr>
                <w:rFonts w:hint="default"/>
                <w:color w:val="000000" w:themeColor="text1"/>
                <w:position w:val="-30"/>
                <w:sz w:val="22"/>
                <w:szCs w:val="20"/>
                <w:highlight w:val="none"/>
                <w14:textFill>
                  <w14:solidFill>
                    <w14:schemeClr w14:val="tx1"/>
                  </w14:solidFill>
                </w14:textFill>
              </w:rPr>
              <w:t>3.项目负责人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1826"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position w:val="-30"/>
                <w:sz w:val="22"/>
                <w:szCs w:val="20"/>
                <w:highlight w:val="none"/>
                <w14:textFill>
                  <w14:solidFill>
                    <w14:schemeClr w14:val="tx1"/>
                  </w14:solidFill>
                </w14:textFill>
              </w:rPr>
            </w:pPr>
            <w:r>
              <w:rPr>
                <w:rFonts w:hint="default"/>
                <w:color w:val="000000" w:themeColor="text1"/>
                <w:position w:val="-30"/>
                <w:sz w:val="22"/>
                <w:szCs w:val="20"/>
                <w:highlight w:val="none"/>
                <w14:textFill>
                  <w14:solidFill>
                    <w14:schemeClr w14:val="tx1"/>
                  </w14:solidFill>
                </w14:textFill>
              </w:rPr>
              <w:t>项目负责人姓名</w:t>
            </w:r>
          </w:p>
        </w:tc>
        <w:tc>
          <w:tcPr>
            <w:tcW w:w="247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2"/>
                <w:szCs w:val="20"/>
                <w:highlight w:val="none"/>
                <w14:textFill>
                  <w14:solidFill>
                    <w14:schemeClr w14:val="tx1"/>
                  </w14:solidFill>
                </w14:textFill>
              </w:rPr>
            </w:pPr>
            <w:r>
              <w:rPr>
                <w:rFonts w:hint="default"/>
                <w:color w:val="000000" w:themeColor="text1"/>
                <w:position w:val="-30"/>
                <w:sz w:val="22"/>
                <w:szCs w:val="20"/>
                <w:highlight w:val="none"/>
                <w14:textFill>
                  <w14:solidFill>
                    <w14:schemeClr w14:val="tx1"/>
                  </w14:solidFill>
                </w14:textFill>
              </w:rPr>
              <w:t>电话</w:t>
            </w:r>
          </w:p>
        </w:tc>
        <w:tc>
          <w:tcPr>
            <w:tcW w:w="2282"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2"/>
                <w:szCs w:val="20"/>
                <w:highlight w:val="none"/>
                <w14:textFill>
                  <w14:solidFill>
                    <w14:schemeClr w14:val="tx1"/>
                  </w14:solidFill>
                </w14:textFill>
              </w:rPr>
            </w:pPr>
            <w:r>
              <w:rPr>
                <w:rFonts w:hint="default"/>
                <w:color w:val="000000" w:themeColor="text1"/>
                <w:position w:val="-30"/>
                <w:sz w:val="22"/>
                <w:szCs w:val="20"/>
                <w:highlight w:val="none"/>
                <w14:textFill>
                  <w14:solidFill>
                    <w14:schemeClr w14:val="tx1"/>
                  </w14:solidFill>
                </w14:textFill>
              </w:rPr>
              <w:t>手机</w:t>
            </w:r>
          </w:p>
        </w:tc>
        <w:tc>
          <w:tcPr>
            <w:tcW w:w="2751"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2"/>
                <w:szCs w:val="20"/>
                <w:highlight w:val="none"/>
                <w14:textFill>
                  <w14:solidFill>
                    <w14:schemeClr w14:val="tx1"/>
                  </w14:solidFill>
                </w14:textFill>
              </w:rPr>
            </w:pPr>
            <w:r>
              <w:rPr>
                <w:rFonts w:hint="default"/>
                <w:color w:val="000000" w:themeColor="text1"/>
                <w:position w:val="-30"/>
                <w:sz w:val="22"/>
                <w:szCs w:val="20"/>
                <w:highlight w:val="none"/>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1826"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position w:val="-30"/>
                <w:sz w:val="22"/>
                <w:szCs w:val="20"/>
                <w:highlight w:val="none"/>
                <w14:textFill>
                  <w14:solidFill>
                    <w14:schemeClr w14:val="tx1"/>
                  </w14:solidFill>
                </w14:textFill>
              </w:rPr>
            </w:pPr>
          </w:p>
        </w:tc>
        <w:tc>
          <w:tcPr>
            <w:tcW w:w="247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position w:val="-30"/>
                <w:sz w:val="22"/>
                <w:szCs w:val="20"/>
                <w:highlight w:val="none"/>
                <w14:textFill>
                  <w14:solidFill>
                    <w14:schemeClr w14:val="tx1"/>
                  </w14:solidFill>
                </w14:textFill>
              </w:rPr>
            </w:pPr>
          </w:p>
        </w:tc>
        <w:tc>
          <w:tcPr>
            <w:tcW w:w="2282"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position w:val="-30"/>
                <w:sz w:val="22"/>
                <w:szCs w:val="20"/>
                <w:highlight w:val="none"/>
                <w14:textFill>
                  <w14:solidFill>
                    <w14:schemeClr w14:val="tx1"/>
                  </w14:solidFill>
                </w14:textFill>
              </w:rPr>
            </w:pPr>
          </w:p>
        </w:tc>
        <w:tc>
          <w:tcPr>
            <w:tcW w:w="2751"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position w:val="-30"/>
                <w:sz w:val="22"/>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9332" w:type="dxa"/>
            <w:gridSpan w:val="4"/>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2"/>
                <w:szCs w:val="20"/>
                <w:highlight w:val="none"/>
                <w14:textFill>
                  <w14:solidFill>
                    <w14:schemeClr w14:val="tx1"/>
                  </w14:solidFill>
                </w14:textFill>
              </w:rPr>
            </w:pPr>
            <w:r>
              <w:rPr>
                <w:rFonts w:hint="default"/>
                <w:color w:val="000000" w:themeColor="text1"/>
                <w:position w:val="-30"/>
                <w:sz w:val="22"/>
                <w:szCs w:val="20"/>
                <w:highlight w:val="none"/>
                <w14:textFill>
                  <w14:solidFill>
                    <w14:schemeClr w14:val="tx1"/>
                  </w14:solidFill>
                </w14:textFill>
              </w:rPr>
              <w:t>4、联系方式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1826"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2"/>
                <w:szCs w:val="20"/>
                <w:highlight w:val="none"/>
                <w14:textFill>
                  <w14:solidFill>
                    <w14:schemeClr w14:val="tx1"/>
                  </w14:solidFill>
                </w14:textFill>
              </w:rPr>
            </w:pPr>
            <w:r>
              <w:rPr>
                <w:rFonts w:hint="default"/>
                <w:color w:val="000000" w:themeColor="text1"/>
                <w:position w:val="-30"/>
                <w:sz w:val="22"/>
                <w:szCs w:val="20"/>
                <w:highlight w:val="none"/>
                <w14:textFill>
                  <w14:solidFill>
                    <w14:schemeClr w14:val="tx1"/>
                  </w14:solidFill>
                </w14:textFill>
              </w:rPr>
              <w:t>联系人</w:t>
            </w:r>
          </w:p>
        </w:tc>
        <w:tc>
          <w:tcPr>
            <w:tcW w:w="247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2"/>
                <w:szCs w:val="20"/>
                <w:highlight w:val="none"/>
                <w14:textFill>
                  <w14:solidFill>
                    <w14:schemeClr w14:val="tx1"/>
                  </w14:solidFill>
                </w14:textFill>
              </w:rPr>
            </w:pPr>
            <w:r>
              <w:rPr>
                <w:rFonts w:hint="default"/>
                <w:color w:val="000000" w:themeColor="text1"/>
                <w:position w:val="-30"/>
                <w:sz w:val="22"/>
                <w:szCs w:val="20"/>
                <w:highlight w:val="none"/>
                <w14:textFill>
                  <w14:solidFill>
                    <w14:schemeClr w14:val="tx1"/>
                  </w14:solidFill>
                </w14:textFill>
              </w:rPr>
              <w:t>电话</w:t>
            </w:r>
          </w:p>
        </w:tc>
        <w:tc>
          <w:tcPr>
            <w:tcW w:w="228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2"/>
                <w:szCs w:val="20"/>
                <w:highlight w:val="none"/>
                <w14:textFill>
                  <w14:solidFill>
                    <w14:schemeClr w14:val="tx1"/>
                  </w14:solidFill>
                </w14:textFill>
              </w:rPr>
            </w:pPr>
            <w:r>
              <w:rPr>
                <w:rFonts w:hint="default"/>
                <w:color w:val="000000" w:themeColor="text1"/>
                <w:position w:val="-30"/>
                <w:sz w:val="22"/>
                <w:szCs w:val="20"/>
                <w:highlight w:val="none"/>
                <w14:textFill>
                  <w14:solidFill>
                    <w14:schemeClr w14:val="tx1"/>
                  </w14:solidFill>
                </w14:textFill>
              </w:rPr>
              <w:t>手机</w:t>
            </w:r>
          </w:p>
        </w:tc>
        <w:tc>
          <w:tcPr>
            <w:tcW w:w="2751"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2"/>
                <w:szCs w:val="20"/>
                <w:highlight w:val="none"/>
                <w14:textFill>
                  <w14:solidFill>
                    <w14:schemeClr w14:val="tx1"/>
                  </w14:solidFill>
                </w14:textFill>
              </w:rPr>
            </w:pPr>
            <w:r>
              <w:rPr>
                <w:rFonts w:hint="default"/>
                <w:color w:val="000000" w:themeColor="text1"/>
                <w:position w:val="-30"/>
                <w:sz w:val="22"/>
                <w:szCs w:val="20"/>
                <w:highlight w:val="none"/>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1826"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2"/>
                <w:szCs w:val="20"/>
                <w:highlight w:val="none"/>
                <w14:textFill>
                  <w14:solidFill>
                    <w14:schemeClr w14:val="tx1"/>
                  </w14:solidFill>
                </w14:textFill>
              </w:rPr>
            </w:pPr>
          </w:p>
        </w:tc>
        <w:tc>
          <w:tcPr>
            <w:tcW w:w="247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2"/>
                <w:szCs w:val="20"/>
                <w:highlight w:val="none"/>
                <w14:textFill>
                  <w14:solidFill>
                    <w14:schemeClr w14:val="tx1"/>
                  </w14:solidFill>
                </w14:textFill>
              </w:rPr>
            </w:pPr>
          </w:p>
        </w:tc>
        <w:tc>
          <w:tcPr>
            <w:tcW w:w="228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2"/>
                <w:szCs w:val="20"/>
                <w:highlight w:val="none"/>
                <w14:textFill>
                  <w14:solidFill>
                    <w14:schemeClr w14:val="tx1"/>
                  </w14:solidFill>
                </w14:textFill>
              </w:rPr>
            </w:pPr>
          </w:p>
        </w:tc>
        <w:tc>
          <w:tcPr>
            <w:tcW w:w="2751"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2"/>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2" w:hRule="atLeast"/>
        </w:trPr>
        <w:tc>
          <w:tcPr>
            <w:tcW w:w="1826" w:type="dxa"/>
            <w:tcBorders>
              <w:top w:val="single" w:color="auto" w:sz="6" w:space="0"/>
              <w:left w:val="single" w:color="auto" w:sz="4" w:space="0"/>
              <w:bottom w:val="single" w:color="auto" w:sz="4" w:space="0"/>
              <w:right w:val="single" w:color="auto" w:sz="6"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position w:val="-30"/>
                <w:sz w:val="22"/>
                <w:szCs w:val="20"/>
                <w:highlight w:val="none"/>
                <w14:textFill>
                  <w14:solidFill>
                    <w14:schemeClr w14:val="tx1"/>
                  </w14:solidFill>
                </w14:textFill>
              </w:rPr>
            </w:pPr>
          </w:p>
        </w:tc>
        <w:tc>
          <w:tcPr>
            <w:tcW w:w="2473"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position w:val="-30"/>
                <w:sz w:val="22"/>
                <w:szCs w:val="20"/>
                <w:highlight w:val="none"/>
                <w14:textFill>
                  <w14:solidFill>
                    <w14:schemeClr w14:val="tx1"/>
                  </w14:solidFill>
                </w14:textFill>
              </w:rPr>
            </w:pPr>
          </w:p>
        </w:tc>
        <w:tc>
          <w:tcPr>
            <w:tcW w:w="2282"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position w:val="-30"/>
                <w:sz w:val="22"/>
                <w:szCs w:val="20"/>
                <w:highlight w:val="none"/>
                <w14:textFill>
                  <w14:solidFill>
                    <w14:schemeClr w14:val="tx1"/>
                  </w14:solidFill>
                </w14:textFill>
              </w:rPr>
            </w:pPr>
          </w:p>
        </w:tc>
        <w:tc>
          <w:tcPr>
            <w:tcW w:w="2751" w:type="dxa"/>
            <w:tcBorders>
              <w:top w:val="single" w:color="auto" w:sz="6" w:space="0"/>
              <w:left w:val="single" w:color="auto" w:sz="6"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position w:val="-30"/>
                <w:sz w:val="22"/>
                <w:szCs w:val="20"/>
                <w:highlight w:val="none"/>
                <w14:textFill>
                  <w14:solidFill>
                    <w14:schemeClr w14:val="tx1"/>
                  </w14:solidFill>
                </w14:textFill>
              </w:rPr>
            </w:pPr>
          </w:p>
        </w:tc>
      </w:tr>
    </w:tbl>
    <w:p>
      <w:pPr>
        <w:shd w:val="clear"/>
        <w:snapToGrid w:val="0"/>
        <w:spacing w:line="360" w:lineRule="auto"/>
        <w:rPr>
          <w:color w:val="000000" w:themeColor="text1"/>
          <w:spacing w:val="-5"/>
          <w:szCs w:val="21"/>
          <w:highlight w:val="none"/>
          <w14:textFill>
            <w14:solidFill>
              <w14:schemeClr w14:val="tx1"/>
            </w14:solidFill>
          </w14:textFill>
        </w:rPr>
      </w:pPr>
      <w:r>
        <w:rPr>
          <w:color w:val="000000" w:themeColor="text1"/>
          <w:spacing w:val="-5"/>
          <w:szCs w:val="21"/>
          <w:highlight w:val="none"/>
          <w:lang w:bidi="ar"/>
          <w14:textFill>
            <w14:solidFill>
              <w14:schemeClr w14:val="tx1"/>
            </w14:solidFill>
          </w14:textFill>
        </w:rPr>
        <w:t>注：1.联系方式栏应至少填写两个联系人的联系方式以便于联系。</w:t>
      </w:r>
    </w:p>
    <w:p>
      <w:pPr>
        <w:shd w:val="clear"/>
        <w:snapToGrid w:val="0"/>
        <w:spacing w:line="360" w:lineRule="auto"/>
        <w:ind w:right="-99" w:rightChars="-47"/>
        <w:rPr>
          <w:color w:val="000000" w:themeColor="text1"/>
          <w:spacing w:val="-5"/>
          <w:szCs w:val="21"/>
          <w:highlight w:val="none"/>
          <w:lang w:bidi="ar"/>
          <w14:textFill>
            <w14:solidFill>
              <w14:schemeClr w14:val="tx1"/>
            </w14:solidFill>
          </w14:textFill>
        </w:rPr>
      </w:pPr>
      <w:r>
        <w:rPr>
          <w:color w:val="000000" w:themeColor="text1"/>
          <w:spacing w:val="-5"/>
          <w:szCs w:val="21"/>
          <w:highlight w:val="none"/>
          <w:lang w:bidi="ar"/>
          <w14:textFill>
            <w14:solidFill>
              <w14:schemeClr w14:val="tx1"/>
            </w14:solidFill>
          </w14:textFill>
        </w:rPr>
        <w:t>2、本表后须附投标单位的营业执照或事业单位法人证书、建设工程质量检测机构资质证书、CMA计量认证合格证书</w:t>
      </w:r>
      <w:r>
        <w:rPr>
          <w:rFonts w:hint="eastAsia"/>
          <w:color w:val="000000" w:themeColor="text1"/>
          <w:spacing w:val="-5"/>
          <w:szCs w:val="21"/>
          <w:highlight w:val="none"/>
          <w:lang w:bidi="ar"/>
          <w14:textFill>
            <w14:solidFill>
              <w14:schemeClr w14:val="tx1"/>
            </w14:solidFill>
          </w14:textFill>
        </w:rPr>
        <w:t>或CMA检验检测机构资质认定证书</w:t>
      </w:r>
      <w:r>
        <w:rPr>
          <w:color w:val="000000" w:themeColor="text1"/>
          <w:spacing w:val="-5"/>
          <w:szCs w:val="21"/>
          <w:highlight w:val="none"/>
          <w:lang w:bidi="ar"/>
          <w14:textFill>
            <w14:solidFill>
              <w14:schemeClr w14:val="tx1"/>
            </w14:solidFill>
          </w14:textFill>
        </w:rPr>
        <w:t>、工程勘察资质证书以及其他相关证明材料</w:t>
      </w:r>
      <w:r>
        <w:rPr>
          <w:color w:val="000000" w:themeColor="text1"/>
          <w:szCs w:val="21"/>
          <w:highlight w:val="none"/>
          <w:lang w:bidi="ar"/>
          <w14:textFill>
            <w14:solidFill>
              <w14:schemeClr w14:val="tx1"/>
            </w14:solidFill>
          </w14:textFill>
        </w:rPr>
        <w:t>原件扫描件</w:t>
      </w:r>
      <w:r>
        <w:rPr>
          <w:color w:val="000000" w:themeColor="text1"/>
          <w:spacing w:val="-5"/>
          <w:szCs w:val="21"/>
          <w:highlight w:val="none"/>
          <w:lang w:bidi="ar"/>
          <w14:textFill>
            <w14:solidFill>
              <w14:schemeClr w14:val="tx1"/>
            </w14:solidFill>
          </w14:textFill>
        </w:rPr>
        <w:t>。</w:t>
      </w:r>
    </w:p>
    <w:p>
      <w:pPr>
        <w:shd w:val="clear"/>
        <w:snapToGrid w:val="0"/>
        <w:spacing w:line="360" w:lineRule="auto"/>
        <w:ind w:right="-99" w:rightChars="-47"/>
        <w:rPr>
          <w:color w:val="000000" w:themeColor="text1"/>
          <w:highlight w:val="none"/>
          <w14:textFill>
            <w14:solidFill>
              <w14:schemeClr w14:val="tx1"/>
            </w14:solidFill>
          </w14:textFill>
        </w:rPr>
      </w:pPr>
      <w:r>
        <w:rPr>
          <w:color w:val="000000" w:themeColor="text1"/>
          <w:spacing w:val="-5"/>
          <w:szCs w:val="21"/>
          <w:highlight w:val="none"/>
          <w:lang w:bidi="ar"/>
          <w14:textFill>
            <w14:solidFill>
              <w14:schemeClr w14:val="tx1"/>
            </w14:solidFill>
          </w14:textFill>
        </w:rPr>
        <w:t>3、若以联合体方式参与投标的，则各成员分别提供该表。资质证明材料以联合体协议中承担工作任务对应资质为准。</w:t>
      </w:r>
    </w:p>
    <w:p>
      <w:pPr>
        <w:pStyle w:val="16"/>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4"/>
        <w:keepNext w:val="0"/>
        <w:keepLines w:val="0"/>
        <w:shd w:val="clear"/>
        <w:spacing w:before="20" w:after="0" w:line="360" w:lineRule="auto"/>
        <w:ind w:firstLine="0" w:firstLineChars="0"/>
        <w:rPr>
          <w:rFonts w:ascii="Times New Roman" w:hAnsi="Times New Roman" w:eastAsia="宋体"/>
          <w:color w:val="000000" w:themeColor="text1"/>
          <w:szCs w:val="20"/>
          <w:highlight w:val="none"/>
          <w:lang w:bidi="ar"/>
          <w14:textFill>
            <w14:solidFill>
              <w14:schemeClr w14:val="tx1"/>
            </w14:solidFill>
          </w14:textFill>
        </w:rPr>
      </w:pPr>
      <w:bookmarkStart w:id="252" w:name="_Toc9911"/>
      <w:bookmarkStart w:id="253" w:name="_Toc2823"/>
      <w:bookmarkStart w:id="254" w:name="_Toc47987352"/>
      <w:bookmarkStart w:id="255" w:name="_Toc536044209"/>
      <w:r>
        <w:rPr>
          <w:rFonts w:ascii="Times New Roman" w:hAnsi="Times New Roman" w:eastAsia="宋体"/>
          <w:color w:val="000000" w:themeColor="text1"/>
          <w:highlight w:val="none"/>
          <w14:textFill>
            <w14:solidFill>
              <w14:schemeClr w14:val="tx1"/>
            </w14:solidFill>
          </w14:textFill>
        </w:rPr>
        <w:t>（二）</w:t>
      </w:r>
      <w:r>
        <w:rPr>
          <w:rFonts w:ascii="Times New Roman" w:hAnsi="Times New Roman" w:eastAsia="宋体"/>
          <w:color w:val="000000" w:themeColor="text1"/>
          <w:szCs w:val="20"/>
          <w:highlight w:val="none"/>
          <w:lang w:bidi="ar"/>
          <w14:textFill>
            <w14:solidFill>
              <w14:schemeClr w14:val="tx1"/>
            </w14:solidFill>
          </w14:textFill>
        </w:rPr>
        <w:t>投标人（联合体各成员）在</w:t>
      </w:r>
      <w:bookmarkStart w:id="256" w:name="_Hlk55475444"/>
      <w:r>
        <w:rPr>
          <w:rFonts w:ascii="Times New Roman" w:hAnsi="Times New Roman" w:eastAsia="宋体"/>
          <w:color w:val="000000" w:themeColor="text1"/>
          <w:szCs w:val="20"/>
          <w:highlight w:val="none"/>
          <w:lang w:bidi="ar"/>
          <w14:textFill>
            <w14:solidFill>
              <w14:schemeClr w14:val="tx1"/>
            </w14:solidFill>
          </w14:textFill>
        </w:rPr>
        <w:t>广州市住建行业信用管理平台登记企业信息的网页截图</w:t>
      </w:r>
      <w:bookmarkEnd w:id="256"/>
      <w:r>
        <w:rPr>
          <w:rFonts w:ascii="Times New Roman" w:hAnsi="Times New Roman" w:eastAsia="宋体"/>
          <w:color w:val="000000" w:themeColor="text1"/>
          <w:szCs w:val="20"/>
          <w:highlight w:val="none"/>
          <w:lang w:bidi="ar"/>
          <w14:textFill>
            <w14:solidFill>
              <w14:schemeClr w14:val="tx1"/>
            </w14:solidFill>
          </w14:textFill>
        </w:rPr>
        <w:t>。</w:t>
      </w:r>
      <w:bookmarkEnd w:id="252"/>
      <w:bookmarkEnd w:id="253"/>
    </w:p>
    <w:p>
      <w:pPr>
        <w:pStyle w:val="16"/>
        <w:shd w:val="clear"/>
        <w:rPr>
          <w:color w:val="000000" w:themeColor="text1"/>
          <w:highlight w:val="none"/>
          <w:lang w:bidi="ar"/>
          <w14:textFill>
            <w14:solidFill>
              <w14:schemeClr w14:val="tx1"/>
            </w14:solidFill>
          </w14:textFill>
        </w:rPr>
      </w:pPr>
    </w:p>
    <w:p>
      <w:pPr>
        <w:pStyle w:val="4"/>
        <w:keepNext w:val="0"/>
        <w:keepLines w:val="0"/>
        <w:shd w:val="clear"/>
        <w:spacing w:before="20" w:after="0" w:line="360" w:lineRule="auto"/>
        <w:ind w:firstLine="0" w:firstLineChars="0"/>
        <w:rPr>
          <w:rFonts w:ascii="Times New Roman" w:hAnsi="Times New Roman" w:eastAsia="宋体"/>
          <w:color w:val="000000" w:themeColor="text1"/>
          <w:szCs w:val="20"/>
          <w:highlight w:val="none"/>
          <w:lang w:bidi="ar"/>
          <w14:textFill>
            <w14:solidFill>
              <w14:schemeClr w14:val="tx1"/>
            </w14:solidFill>
          </w14:textFill>
        </w:rPr>
      </w:pPr>
      <w:bookmarkStart w:id="257" w:name="_Toc22736"/>
      <w:bookmarkStart w:id="258" w:name="_Toc27312"/>
      <w:r>
        <w:rPr>
          <w:rFonts w:ascii="Times New Roman" w:hAnsi="Times New Roman" w:eastAsia="宋体"/>
          <w:color w:val="000000" w:themeColor="text1"/>
          <w:highlight w:val="none"/>
          <w14:textFill>
            <w14:solidFill>
              <w14:schemeClr w14:val="tx1"/>
            </w14:solidFill>
          </w14:textFill>
        </w:rPr>
        <w:t>（三）</w:t>
      </w:r>
      <w:r>
        <w:rPr>
          <w:rFonts w:ascii="Times New Roman" w:hAnsi="Times New Roman" w:eastAsia="宋体"/>
          <w:color w:val="000000" w:themeColor="text1"/>
          <w:szCs w:val="20"/>
          <w:highlight w:val="none"/>
          <w:lang w:bidi="ar"/>
          <w14:textFill>
            <w14:solidFill>
              <w14:schemeClr w14:val="tx1"/>
            </w14:solidFill>
          </w14:textFill>
        </w:rPr>
        <w:t>项目负责人相关资料</w:t>
      </w:r>
      <w:bookmarkEnd w:id="257"/>
      <w:bookmarkEnd w:id="258"/>
    </w:p>
    <w:p>
      <w:pPr>
        <w:shd w:val="clear"/>
        <w:spacing w:line="360" w:lineRule="auto"/>
        <w:ind w:firstLine="424" w:firstLineChars="202"/>
        <w:rPr>
          <w:color w:val="000000" w:themeColor="text1"/>
          <w:highlight w:val="none"/>
          <w:lang w:bidi="ar"/>
          <w14:textFill>
            <w14:solidFill>
              <w14:schemeClr w14:val="tx1"/>
            </w14:solidFill>
          </w14:textFill>
        </w:rPr>
      </w:pPr>
      <w:r>
        <w:rPr>
          <w:color w:val="000000" w:themeColor="text1"/>
          <w:highlight w:val="none"/>
          <w:lang w:bidi="ar"/>
          <w14:textFill>
            <w14:solidFill>
              <w14:schemeClr w14:val="tx1"/>
            </w14:solidFill>
          </w14:textFill>
        </w:rPr>
        <w:t>注：投标人须按招标公告投标人资格要求提供</w:t>
      </w:r>
      <w:bookmarkStart w:id="259" w:name="_Hlk56173130"/>
      <w:r>
        <w:rPr>
          <w:color w:val="000000" w:themeColor="text1"/>
          <w:spacing w:val="-5"/>
          <w:szCs w:val="21"/>
          <w:highlight w:val="none"/>
          <w:lang w:bidi="ar"/>
          <w14:textFill>
            <w14:solidFill>
              <w14:schemeClr w14:val="tx1"/>
            </w14:solidFill>
          </w14:textFill>
        </w:rPr>
        <w:t>拟投入</w:t>
      </w:r>
      <w:r>
        <w:rPr>
          <w:color w:val="000000" w:themeColor="text1"/>
          <w:szCs w:val="21"/>
          <w:highlight w:val="none"/>
          <w:lang w:bidi="ar"/>
          <w14:textFill>
            <w14:solidFill>
              <w14:schemeClr w14:val="tx1"/>
            </w14:solidFill>
          </w14:textFill>
        </w:rPr>
        <w:t>本项目的项目负责人的身份证、技术职称证书</w:t>
      </w:r>
      <w:bookmarkEnd w:id="259"/>
      <w:r>
        <w:rPr>
          <w:color w:val="000000" w:themeColor="text1"/>
          <w:szCs w:val="21"/>
          <w:highlight w:val="none"/>
          <w:lang w:bidi="ar"/>
          <w14:textFill>
            <w14:solidFill>
              <w14:schemeClr w14:val="tx1"/>
            </w14:solidFill>
          </w14:textFill>
        </w:rPr>
        <w:t>、社保证明。</w:t>
      </w:r>
    </w:p>
    <w:p>
      <w:pPr>
        <w:pStyle w:val="12"/>
        <w:shd w:val="clear"/>
        <w:ind w:firstLine="0"/>
        <w:rPr>
          <w:color w:val="000000" w:themeColor="text1"/>
          <w:highlight w:val="none"/>
          <w:lang w:bidi="ar"/>
          <w14:textFill>
            <w14:solidFill>
              <w14:schemeClr w14:val="tx1"/>
            </w14:solidFill>
          </w14:textFill>
        </w:rPr>
      </w:pPr>
    </w:p>
    <w:p>
      <w:pPr>
        <w:pStyle w:val="4"/>
        <w:keepNext w:val="0"/>
        <w:keepLines w:val="0"/>
        <w:shd w:val="clear"/>
        <w:spacing w:before="20" w:after="0" w:line="360" w:lineRule="auto"/>
        <w:ind w:firstLine="0" w:firstLineChars="0"/>
        <w:rPr>
          <w:rFonts w:ascii="Times New Roman" w:hAnsi="Times New Roman" w:eastAsia="宋体"/>
          <w:color w:val="000000" w:themeColor="text1"/>
          <w:highlight w:val="none"/>
          <w14:textFill>
            <w14:solidFill>
              <w14:schemeClr w14:val="tx1"/>
            </w14:solidFill>
          </w14:textFill>
        </w:rPr>
      </w:pPr>
      <w:bookmarkStart w:id="260" w:name="_Toc11956"/>
      <w:bookmarkStart w:id="261" w:name="_Toc18729"/>
      <w:r>
        <w:rPr>
          <w:rFonts w:ascii="Times New Roman" w:hAnsi="Times New Roman" w:eastAsia="宋体"/>
          <w:color w:val="000000" w:themeColor="text1"/>
          <w:highlight w:val="none"/>
          <w14:textFill>
            <w14:solidFill>
              <w14:schemeClr w14:val="tx1"/>
            </w14:solidFill>
          </w14:textFill>
        </w:rPr>
        <w:t>（四）投标人声明</w:t>
      </w:r>
      <w:bookmarkEnd w:id="254"/>
      <w:bookmarkEnd w:id="255"/>
      <w:bookmarkEnd w:id="260"/>
      <w:bookmarkEnd w:id="261"/>
    </w:p>
    <w:p>
      <w:pPr>
        <w:shd w:val="clea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注：详见招标公告附件一，投标人需提供</w:t>
      </w:r>
      <w:bookmarkStart w:id="262" w:name="_Hlk67663680"/>
      <w:r>
        <w:rPr>
          <w:color w:val="000000" w:themeColor="text1"/>
          <w:highlight w:val="none"/>
          <w14:textFill>
            <w14:solidFill>
              <w14:schemeClr w14:val="tx1"/>
            </w14:solidFill>
          </w14:textFill>
        </w:rPr>
        <w:t>原件扫描件</w:t>
      </w:r>
      <w:bookmarkEnd w:id="262"/>
      <w:r>
        <w:rPr>
          <w:color w:val="000000" w:themeColor="text1"/>
          <w:highlight w:val="none"/>
          <w14:textFill>
            <w14:solidFill>
              <w14:schemeClr w14:val="tx1"/>
            </w14:solidFill>
          </w14:textFill>
        </w:rPr>
        <w:t>。</w:t>
      </w:r>
    </w:p>
    <w:p>
      <w:pPr>
        <w:shd w:val="clear"/>
        <w:spacing w:line="360" w:lineRule="auto"/>
        <w:rPr>
          <w:color w:val="000000" w:themeColor="text1"/>
          <w:highlight w:val="none"/>
          <w14:textFill>
            <w14:solidFill>
              <w14:schemeClr w14:val="tx1"/>
            </w14:solidFill>
          </w14:textFill>
        </w:rPr>
      </w:pPr>
    </w:p>
    <w:p>
      <w:pPr>
        <w:pStyle w:val="4"/>
        <w:keepNext w:val="0"/>
        <w:keepLines w:val="0"/>
        <w:shd w:val="clear"/>
        <w:spacing w:before="20" w:after="0" w:line="360" w:lineRule="auto"/>
        <w:ind w:firstLine="0" w:firstLineChars="0"/>
        <w:rPr>
          <w:rFonts w:ascii="Times New Roman" w:hAnsi="Times New Roman" w:eastAsia="宋体"/>
          <w:color w:val="000000" w:themeColor="text1"/>
          <w:highlight w:val="none"/>
          <w14:textFill>
            <w14:solidFill>
              <w14:schemeClr w14:val="tx1"/>
            </w14:solidFill>
          </w14:textFill>
        </w:rPr>
      </w:pPr>
      <w:bookmarkStart w:id="263" w:name="_Toc8354"/>
      <w:bookmarkStart w:id="264" w:name="_Toc6044"/>
      <w:bookmarkStart w:id="265" w:name="_Toc536044210"/>
      <w:bookmarkStart w:id="266" w:name="_Toc47987353"/>
      <w:r>
        <w:rPr>
          <w:rFonts w:ascii="Times New Roman" w:hAnsi="Times New Roman" w:eastAsia="宋体"/>
          <w:color w:val="000000" w:themeColor="text1"/>
          <w:highlight w:val="none"/>
          <w14:textFill>
            <w14:solidFill>
              <w14:schemeClr w14:val="tx1"/>
            </w14:solidFill>
          </w14:textFill>
        </w:rPr>
        <w:t>（五）</w:t>
      </w:r>
      <w:r>
        <w:rPr>
          <w:rFonts w:hint="eastAsia" w:ascii="Times New Roman" w:hAnsi="Times New Roman" w:eastAsia="宋体"/>
          <w:color w:val="000000" w:themeColor="text1"/>
          <w:highlight w:val="none"/>
          <w14:textFill>
            <w14:solidFill>
              <w14:schemeClr w14:val="tx1"/>
            </w14:solidFill>
          </w14:textFill>
        </w:rPr>
        <w:t>联合体共同投标协议书</w:t>
      </w:r>
      <w:bookmarkEnd w:id="263"/>
      <w:bookmarkEnd w:id="264"/>
    </w:p>
    <w:p>
      <w:pPr>
        <w:shd w:val="clear"/>
        <w:spacing w:line="360" w:lineRule="auto"/>
        <w:ind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注：投标人以联合体形式投标的需提供</w:t>
      </w:r>
      <w:r>
        <w:rPr>
          <w:rFonts w:hint="eastAsia"/>
          <w:color w:val="000000" w:themeColor="text1"/>
          <w:highlight w:val="none"/>
          <w14:textFill>
            <w14:solidFill>
              <w14:schemeClr w14:val="tx1"/>
            </w14:solidFill>
          </w14:textFill>
        </w:rPr>
        <w:t>联合体共同投标协议书</w:t>
      </w:r>
      <w:r>
        <w:rPr>
          <w:color w:val="000000" w:themeColor="text1"/>
          <w:highlight w:val="none"/>
          <w14:textFill>
            <w14:solidFill>
              <w14:schemeClr w14:val="tx1"/>
            </w14:solidFill>
          </w14:textFill>
        </w:rPr>
        <w:t>原件清晰扫描件。</w:t>
      </w:r>
    </w:p>
    <w:p>
      <w:pPr>
        <w:pStyle w:val="16"/>
        <w:shd w:val="clear"/>
        <w:rPr>
          <w:color w:val="000000" w:themeColor="text1"/>
          <w:highlight w:val="none"/>
          <w14:textFill>
            <w14:solidFill>
              <w14:schemeClr w14:val="tx1"/>
            </w14:solidFill>
          </w14:textFill>
        </w:rPr>
      </w:pPr>
    </w:p>
    <w:p>
      <w:pPr>
        <w:pStyle w:val="4"/>
        <w:keepNext w:val="0"/>
        <w:keepLines w:val="0"/>
        <w:shd w:val="clear"/>
        <w:spacing w:before="20" w:after="0" w:line="360" w:lineRule="auto"/>
        <w:ind w:firstLine="0" w:firstLineChars="0"/>
        <w:rPr>
          <w:rFonts w:ascii="Times New Roman" w:hAnsi="Times New Roman" w:eastAsia="宋体"/>
          <w:color w:val="000000" w:themeColor="text1"/>
          <w:highlight w:val="none"/>
          <w14:textFill>
            <w14:solidFill>
              <w14:schemeClr w14:val="tx1"/>
            </w14:solidFill>
          </w14:textFill>
        </w:rPr>
      </w:pPr>
      <w:bookmarkStart w:id="267" w:name="_Toc11101"/>
      <w:bookmarkStart w:id="268" w:name="_Toc25659"/>
      <w:r>
        <w:rPr>
          <w:rFonts w:ascii="Times New Roman" w:hAnsi="Times New Roman" w:eastAsia="宋体"/>
          <w:color w:val="000000" w:themeColor="text1"/>
          <w:highlight w:val="none"/>
          <w14:textFill>
            <w14:solidFill>
              <w14:schemeClr w14:val="tx1"/>
            </w14:solidFill>
          </w14:textFill>
        </w:rPr>
        <w:t>（六）其他符合第二章第1.4款“投标人资格要求”规定的证明材料。</w:t>
      </w:r>
      <w:bookmarkEnd w:id="265"/>
      <w:bookmarkEnd w:id="266"/>
      <w:bookmarkEnd w:id="267"/>
      <w:bookmarkEnd w:id="268"/>
    </w:p>
    <w:p>
      <w:pPr>
        <w:pStyle w:val="3"/>
        <w:keepNext w:val="0"/>
        <w:keepLines w:val="0"/>
        <w:shd w:val="clear"/>
        <w:spacing w:after="0" w:line="360" w:lineRule="auto"/>
        <w:rPr>
          <w:rFonts w:ascii="Times New Roman" w:hAnsi="Times New Roman" w:eastAsia="宋体"/>
          <w:color w:val="000000" w:themeColor="text1"/>
          <w:highlight w:val="none"/>
          <w14:textFill>
            <w14:solidFill>
              <w14:schemeClr w14:val="tx1"/>
            </w14:solidFill>
          </w14:textFill>
        </w:rPr>
      </w:pPr>
      <w:r>
        <w:rPr>
          <w:rFonts w:ascii="Times New Roman" w:hAnsi="Times New Roman" w:eastAsia="宋体"/>
          <w:color w:val="000000" w:themeColor="text1"/>
          <w:szCs w:val="20"/>
          <w:highlight w:val="none"/>
          <w:lang w:bidi="ar"/>
          <w14:textFill>
            <w14:solidFill>
              <w14:schemeClr w14:val="tx1"/>
            </w14:solidFill>
          </w14:textFill>
        </w:rPr>
        <w:br w:type="page"/>
      </w:r>
    </w:p>
    <w:p>
      <w:pPr>
        <w:pStyle w:val="3"/>
        <w:keepNext w:val="0"/>
        <w:keepLines w:val="0"/>
        <w:shd w:val="clear"/>
        <w:spacing w:before="0" w:after="0" w:line="360" w:lineRule="auto"/>
        <w:jc w:val="center"/>
        <w:rPr>
          <w:rFonts w:ascii="Times New Roman" w:hAnsi="Times New Roman" w:eastAsia="宋体"/>
          <w:color w:val="000000" w:themeColor="text1"/>
          <w:highlight w:val="none"/>
          <w14:textFill>
            <w14:solidFill>
              <w14:schemeClr w14:val="tx1"/>
            </w14:solidFill>
          </w14:textFill>
        </w:rPr>
      </w:pPr>
      <w:bookmarkStart w:id="269" w:name="_Toc47987355"/>
      <w:bookmarkStart w:id="270" w:name="_Toc47376791"/>
      <w:bookmarkStart w:id="271" w:name="_Toc13776"/>
      <w:bookmarkStart w:id="272" w:name="_Toc30629"/>
      <w:r>
        <w:rPr>
          <w:rFonts w:ascii="Times New Roman" w:hAnsi="Times New Roman" w:eastAsia="宋体"/>
          <w:bCs/>
          <w:color w:val="000000" w:themeColor="text1"/>
          <w:szCs w:val="32"/>
          <w:highlight w:val="none"/>
          <w14:textFill>
            <w14:solidFill>
              <w14:schemeClr w14:val="tx1"/>
            </w14:solidFill>
          </w14:textFill>
        </w:rPr>
        <w:t>六、近年承接的类似项目情况表</w:t>
      </w:r>
      <w:bookmarkEnd w:id="269"/>
      <w:bookmarkEnd w:id="270"/>
      <w:bookmarkEnd w:id="271"/>
      <w:bookmarkEnd w:id="272"/>
    </w:p>
    <w:p>
      <w:pPr>
        <w:shd w:val="clear"/>
        <w:spacing w:line="360" w:lineRule="auto"/>
        <w:jc w:val="center"/>
        <w:rPr>
          <w:color w:val="000000" w:themeColor="text1"/>
          <w:highlight w:val="none"/>
          <w14:textFill>
            <w14:solidFill>
              <w14:schemeClr w14:val="tx1"/>
            </w14:solidFill>
          </w14:textFill>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序号</w:t>
            </w:r>
          </w:p>
        </w:tc>
        <w:tc>
          <w:tcPr>
            <w:tcW w:w="6253"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topLinePunct/>
              <w:spacing w:before="0" w:beforeAutospacing="0" w:after="0" w:afterAutospacing="0" w:line="360" w:lineRule="auto"/>
              <w:ind w:left="0" w:right="0"/>
              <w:rPr>
                <w:rFonts w:hint="default"/>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项目名称</w:t>
            </w:r>
          </w:p>
        </w:tc>
        <w:tc>
          <w:tcPr>
            <w:tcW w:w="6253"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topLinePunct/>
              <w:spacing w:before="0" w:beforeAutospacing="0" w:after="0" w:afterAutospacing="0" w:line="360" w:lineRule="auto"/>
              <w:ind w:left="0" w:right="0"/>
              <w:rPr>
                <w:rFonts w:hint="default"/>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项目所在地</w:t>
            </w:r>
          </w:p>
        </w:tc>
        <w:tc>
          <w:tcPr>
            <w:tcW w:w="6253"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topLinePunct/>
              <w:spacing w:before="0" w:beforeAutospacing="0" w:after="0" w:afterAutospacing="0" w:line="360" w:lineRule="auto"/>
              <w:ind w:left="0" w:right="0"/>
              <w:rPr>
                <w:rFonts w:hint="default"/>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委托人名称</w:t>
            </w:r>
          </w:p>
        </w:tc>
        <w:tc>
          <w:tcPr>
            <w:tcW w:w="6253"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topLinePunct/>
              <w:spacing w:before="0" w:beforeAutospacing="0" w:after="0" w:afterAutospacing="0" w:line="360" w:lineRule="auto"/>
              <w:ind w:left="0" w:right="0"/>
              <w:rPr>
                <w:rFonts w:hint="default"/>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委托人电话</w:t>
            </w:r>
          </w:p>
        </w:tc>
        <w:tc>
          <w:tcPr>
            <w:tcW w:w="6253"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topLinePunct/>
              <w:spacing w:before="0" w:beforeAutospacing="0" w:after="0" w:afterAutospacing="0" w:line="360" w:lineRule="auto"/>
              <w:ind w:left="0" w:right="0"/>
              <w:rPr>
                <w:rFonts w:hint="default"/>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合同价格</w:t>
            </w:r>
          </w:p>
        </w:tc>
        <w:tc>
          <w:tcPr>
            <w:tcW w:w="6253"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topLinePunct/>
              <w:spacing w:before="0" w:beforeAutospacing="0" w:after="0" w:afterAutospacing="0" w:line="360" w:lineRule="auto"/>
              <w:ind w:left="0" w:right="0"/>
              <w:rPr>
                <w:rFonts w:hint="default"/>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服务期限</w:t>
            </w:r>
          </w:p>
        </w:tc>
        <w:tc>
          <w:tcPr>
            <w:tcW w:w="6253"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topLinePunct/>
              <w:spacing w:before="0" w:beforeAutospacing="0" w:after="0" w:afterAutospacing="0" w:line="360" w:lineRule="auto"/>
              <w:ind w:left="0" w:right="0"/>
              <w:rPr>
                <w:rFonts w:hint="default"/>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服务内容</w:t>
            </w:r>
          </w:p>
        </w:tc>
        <w:tc>
          <w:tcPr>
            <w:tcW w:w="6253"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topLinePunct/>
              <w:spacing w:before="0" w:beforeAutospacing="0" w:after="0" w:afterAutospacing="0" w:line="360" w:lineRule="auto"/>
              <w:ind w:left="0" w:right="0"/>
              <w:rPr>
                <w:rFonts w:hint="default"/>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项目负责人</w:t>
            </w:r>
          </w:p>
        </w:tc>
        <w:tc>
          <w:tcPr>
            <w:tcW w:w="6253"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topLinePunct/>
              <w:spacing w:before="0" w:beforeAutospacing="0" w:after="0" w:afterAutospacing="0" w:line="360" w:lineRule="auto"/>
              <w:ind w:left="0" w:right="0"/>
              <w:rPr>
                <w:rFonts w:hint="default"/>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项目描述</w:t>
            </w:r>
          </w:p>
        </w:tc>
        <w:tc>
          <w:tcPr>
            <w:tcW w:w="6253"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topLinePunct/>
              <w:spacing w:before="0" w:beforeAutospacing="0" w:after="0" w:afterAutospacing="0" w:line="360" w:lineRule="auto"/>
              <w:ind w:left="0" w:right="0"/>
              <w:rPr>
                <w:rFonts w:hint="default"/>
                <w:color w:val="000000" w:themeColor="text1"/>
                <w:highlight w:val="none"/>
                <w14:textFill>
                  <w14:solidFill>
                    <w14:schemeClr w14:val="tx1"/>
                  </w14:solidFill>
                </w14:textFill>
              </w:rPr>
            </w:pPr>
          </w:p>
          <w:p>
            <w:pPr>
              <w:keepNext w:val="0"/>
              <w:keepLines w:val="0"/>
              <w:suppressLineNumbers w:val="0"/>
              <w:shd w:val="clear"/>
              <w:topLinePunct/>
              <w:spacing w:before="0" w:beforeAutospacing="0" w:after="0" w:afterAutospacing="0" w:line="360" w:lineRule="auto"/>
              <w:ind w:left="0" w:right="0"/>
              <w:rPr>
                <w:rFonts w:hint="default"/>
                <w:color w:val="000000" w:themeColor="text1"/>
                <w:highlight w:val="none"/>
                <w14:textFill>
                  <w14:solidFill>
                    <w14:schemeClr w14:val="tx1"/>
                  </w14:solidFill>
                </w14:textFill>
              </w:rPr>
            </w:pPr>
          </w:p>
          <w:p>
            <w:pPr>
              <w:keepNext w:val="0"/>
              <w:keepLines w:val="0"/>
              <w:suppressLineNumbers w:val="0"/>
              <w:shd w:val="clear"/>
              <w:topLinePunct/>
              <w:spacing w:before="0" w:beforeAutospacing="0" w:after="0" w:afterAutospacing="0" w:line="360" w:lineRule="auto"/>
              <w:ind w:left="0" w:right="0"/>
              <w:rPr>
                <w:rFonts w:hint="default"/>
                <w:color w:val="000000" w:themeColor="text1"/>
                <w:highlight w:val="none"/>
                <w14:textFill>
                  <w14:solidFill>
                    <w14:schemeClr w14:val="tx1"/>
                  </w14:solidFill>
                </w14:textFill>
              </w:rPr>
            </w:pPr>
          </w:p>
          <w:p>
            <w:pPr>
              <w:keepNext w:val="0"/>
              <w:keepLines w:val="0"/>
              <w:suppressLineNumbers w:val="0"/>
              <w:shd w:val="clear"/>
              <w:topLinePunct/>
              <w:spacing w:before="0" w:beforeAutospacing="0" w:after="0" w:afterAutospacing="0" w:line="360" w:lineRule="auto"/>
              <w:ind w:left="0" w:right="0"/>
              <w:rPr>
                <w:rFonts w:hint="default"/>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备注</w:t>
            </w:r>
          </w:p>
        </w:tc>
        <w:tc>
          <w:tcPr>
            <w:tcW w:w="6253"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topLinePunct/>
              <w:spacing w:before="0" w:beforeAutospacing="0" w:after="0" w:afterAutospacing="0" w:line="360" w:lineRule="auto"/>
              <w:ind w:left="0" w:right="0"/>
              <w:rPr>
                <w:rFonts w:hint="default"/>
                <w:color w:val="000000" w:themeColor="text1"/>
                <w:highlight w:val="none"/>
                <w14:textFill>
                  <w14:solidFill>
                    <w14:schemeClr w14:val="tx1"/>
                  </w14:solidFill>
                </w14:textFill>
              </w:rPr>
            </w:pPr>
          </w:p>
        </w:tc>
      </w:tr>
    </w:tbl>
    <w:p>
      <w:pPr>
        <w:shd w:val="clear"/>
        <w:ind w:left="283" w:leftChars="135"/>
        <w:rPr>
          <w:color w:val="000000" w:themeColor="text1"/>
          <w:szCs w:val="21"/>
          <w:highlight w:val="none"/>
          <w14:textFill>
            <w14:solidFill>
              <w14:schemeClr w14:val="tx1"/>
            </w14:solidFill>
          </w14:textFill>
        </w:rPr>
      </w:pPr>
      <w:r>
        <w:rPr>
          <w:color w:val="000000" w:themeColor="text1"/>
          <w:szCs w:val="20"/>
          <w:highlight w:val="none"/>
          <w:lang w:bidi="ar"/>
          <w14:textFill>
            <w14:solidFill>
              <w14:schemeClr w14:val="tx1"/>
            </w14:solidFill>
          </w14:textFill>
        </w:rPr>
        <w:t>注：</w:t>
      </w:r>
      <w:r>
        <w:rPr>
          <w:color w:val="000000" w:themeColor="text1"/>
          <w:szCs w:val="21"/>
          <w:highlight w:val="none"/>
          <w:lang w:bidi="ar"/>
          <w14:textFill>
            <w14:solidFill>
              <w14:schemeClr w14:val="tx1"/>
            </w14:solidFill>
          </w14:textFill>
        </w:rPr>
        <w:t>1.类似项目业绩需提供证明资料，具体要求详见招标文件第三章《评</w:t>
      </w:r>
      <w:r>
        <w:rPr>
          <w:rFonts w:hint="eastAsia"/>
          <w:color w:val="000000" w:themeColor="text1"/>
          <w:szCs w:val="21"/>
          <w:highlight w:val="none"/>
          <w:lang w:bidi="ar"/>
          <w14:textFill>
            <w14:solidFill>
              <w14:schemeClr w14:val="tx1"/>
            </w14:solidFill>
          </w14:textFill>
        </w:rPr>
        <w:t>标</w:t>
      </w:r>
      <w:r>
        <w:rPr>
          <w:color w:val="000000" w:themeColor="text1"/>
          <w:szCs w:val="21"/>
          <w:highlight w:val="none"/>
          <w:lang w:bidi="ar"/>
          <w14:textFill>
            <w14:solidFill>
              <w14:schemeClr w14:val="tx1"/>
            </w14:solidFill>
          </w14:textFill>
        </w:rPr>
        <w:t>办法》。</w:t>
      </w:r>
    </w:p>
    <w:p>
      <w:pPr>
        <w:shd w:val="clear"/>
        <w:ind w:right="-512" w:rightChars="-244" w:firstLine="315" w:firstLineChars="150"/>
        <w:rPr>
          <w:color w:val="000000" w:themeColor="text1"/>
          <w:highlight w:val="none"/>
          <w14:textFill>
            <w14:solidFill>
              <w14:schemeClr w14:val="tx1"/>
            </w14:solidFill>
          </w14:textFill>
        </w:rPr>
      </w:pPr>
      <w:r>
        <w:rPr>
          <w:color w:val="000000" w:themeColor="text1"/>
          <w:szCs w:val="21"/>
          <w:highlight w:val="none"/>
          <w:lang w:bidi="ar"/>
          <w14:textFill>
            <w14:solidFill>
              <w14:schemeClr w14:val="tx1"/>
            </w14:solidFill>
          </w14:textFill>
        </w:rPr>
        <w:t>2.每张表格只填写一个项目，并标明序号。</w:t>
      </w:r>
    </w:p>
    <w:bookmarkEnd w:id="243"/>
    <w:p>
      <w:pPr>
        <w:shd w:val="clear"/>
        <w:spacing w:line="360" w:lineRule="auto"/>
        <w:rPr>
          <w:color w:val="000000" w:themeColor="text1"/>
          <w:highlight w:val="none"/>
          <w14:textFill>
            <w14:solidFill>
              <w14:schemeClr w14:val="tx1"/>
            </w14:solidFill>
          </w14:textFill>
        </w:rPr>
      </w:pPr>
    </w:p>
    <w:p>
      <w:pPr>
        <w:pStyle w:val="3"/>
        <w:keepNext w:val="0"/>
        <w:keepLines w:val="0"/>
        <w:shd w:val="clear"/>
        <w:spacing w:before="0" w:after="0" w:line="360" w:lineRule="auto"/>
        <w:jc w:val="center"/>
        <w:rPr>
          <w:rFonts w:ascii="Times New Roman" w:hAnsi="Times New Roman" w:eastAsia="宋体"/>
          <w:color w:val="000000" w:themeColor="text1"/>
          <w:highlight w:val="none"/>
          <w14:textFill>
            <w14:solidFill>
              <w14:schemeClr w14:val="tx1"/>
            </w14:solidFill>
          </w14:textFill>
        </w:rPr>
      </w:pPr>
      <w:r>
        <w:rPr>
          <w:rFonts w:ascii="Times New Roman" w:hAnsi="Times New Roman" w:eastAsia="宋体"/>
          <w:color w:val="000000" w:themeColor="text1"/>
          <w:szCs w:val="20"/>
          <w:highlight w:val="none"/>
          <w:lang w:bidi="ar"/>
          <w14:textFill>
            <w14:solidFill>
              <w14:schemeClr w14:val="tx1"/>
            </w14:solidFill>
          </w14:textFill>
        </w:rPr>
        <w:br w:type="page"/>
      </w:r>
      <w:bookmarkStart w:id="273" w:name="_Toc482188667"/>
      <w:bookmarkStart w:id="274" w:name="_Toc11662"/>
      <w:bookmarkStart w:id="275" w:name="_Toc29290"/>
      <w:bookmarkStart w:id="276" w:name="_Toc47987357"/>
      <w:bookmarkStart w:id="277" w:name="_Toc47376793"/>
      <w:r>
        <w:rPr>
          <w:rFonts w:ascii="Times New Roman" w:hAnsi="Times New Roman" w:eastAsia="宋体"/>
          <w:bCs/>
          <w:color w:val="000000" w:themeColor="text1"/>
          <w:szCs w:val="32"/>
          <w:highlight w:val="none"/>
          <w14:textFill>
            <w14:solidFill>
              <w14:schemeClr w14:val="tx1"/>
            </w14:solidFill>
          </w14:textFill>
        </w:rPr>
        <w:t>七、</w:t>
      </w:r>
      <w:bookmarkEnd w:id="273"/>
      <w:r>
        <w:rPr>
          <w:rFonts w:ascii="Times New Roman" w:hAnsi="Times New Roman" w:eastAsia="宋体"/>
          <w:bCs/>
          <w:color w:val="000000" w:themeColor="text1"/>
          <w:szCs w:val="32"/>
          <w:highlight w:val="none"/>
          <w14:textFill>
            <w14:solidFill>
              <w14:schemeClr w14:val="tx1"/>
            </w14:solidFill>
          </w14:textFill>
        </w:rPr>
        <w:t>拟投入本项目的人员</w:t>
      </w:r>
      <w:bookmarkStart w:id="278" w:name="_Hlk66799263"/>
      <w:r>
        <w:rPr>
          <w:rFonts w:ascii="Times New Roman" w:hAnsi="Times New Roman" w:eastAsia="宋体"/>
          <w:bCs/>
          <w:color w:val="000000" w:themeColor="text1"/>
          <w:szCs w:val="32"/>
          <w:highlight w:val="none"/>
          <w14:textFill>
            <w14:solidFill>
              <w14:schemeClr w14:val="tx1"/>
            </w14:solidFill>
          </w14:textFill>
        </w:rPr>
        <w:t>一览表</w:t>
      </w:r>
      <w:bookmarkEnd w:id="274"/>
      <w:bookmarkEnd w:id="275"/>
      <w:bookmarkEnd w:id="276"/>
      <w:bookmarkEnd w:id="277"/>
      <w:bookmarkEnd w:id="278"/>
    </w:p>
    <w:p>
      <w:pPr>
        <w:shd w:val="clear"/>
        <w:spacing w:line="360" w:lineRule="auto"/>
        <w:jc w:val="center"/>
        <w:rPr>
          <w:color w:val="000000" w:themeColor="text1"/>
          <w:highlight w:val="none"/>
          <w14:textFill>
            <w14:solidFill>
              <w14:schemeClr w14:val="tx1"/>
            </w14:solidFill>
          </w14:textFill>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238"/>
        <w:gridCol w:w="963"/>
        <w:gridCol w:w="586"/>
        <w:gridCol w:w="586"/>
        <w:gridCol w:w="586"/>
        <w:gridCol w:w="474"/>
        <w:gridCol w:w="946"/>
        <w:gridCol w:w="1239"/>
        <w:gridCol w:w="1118"/>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r>
              <w:rPr>
                <w:rFonts w:hint="default"/>
                <w:color w:val="000000" w:themeColor="text1"/>
                <w:szCs w:val="20"/>
                <w:highlight w:val="none"/>
                <w:lang w:bidi="ar"/>
                <w14:textFill>
                  <w14:solidFill>
                    <w14:schemeClr w14:val="tx1"/>
                  </w14:solidFill>
                </w14:textFill>
              </w:rPr>
              <w:t>序号</w:t>
            </w:r>
          </w:p>
        </w:tc>
        <w:tc>
          <w:tcPr>
            <w:tcW w:w="1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r>
              <w:rPr>
                <w:rFonts w:hint="default"/>
                <w:color w:val="000000" w:themeColor="text1"/>
                <w:szCs w:val="20"/>
                <w:highlight w:val="none"/>
                <w:lang w:bidi="ar"/>
                <w14:textFill>
                  <w14:solidFill>
                    <w14:schemeClr w14:val="tx1"/>
                  </w14:solidFill>
                </w14:textFill>
              </w:rPr>
              <w:t>本项目担任职务</w:t>
            </w:r>
          </w:p>
        </w:tc>
        <w:tc>
          <w:tcPr>
            <w:tcW w:w="9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r>
              <w:rPr>
                <w:rFonts w:hint="default"/>
                <w:color w:val="000000" w:themeColor="text1"/>
                <w:szCs w:val="20"/>
                <w:highlight w:val="none"/>
                <w:lang w:bidi="ar"/>
                <w14:textFill>
                  <w14:solidFill>
                    <w14:schemeClr w14:val="tx1"/>
                  </w14:solidFill>
                </w14:textFill>
              </w:rPr>
              <w:t>姓名</w:t>
            </w:r>
          </w:p>
        </w:tc>
        <w:tc>
          <w:tcPr>
            <w:tcW w:w="5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r>
              <w:rPr>
                <w:rFonts w:hint="default"/>
                <w:color w:val="000000" w:themeColor="text1"/>
                <w:szCs w:val="20"/>
                <w:highlight w:val="none"/>
                <w:lang w:bidi="ar"/>
                <w14:textFill>
                  <w14:solidFill>
                    <w14:schemeClr w14:val="tx1"/>
                  </w14:solidFill>
                </w14:textFill>
              </w:rPr>
              <w:t>年龄</w:t>
            </w:r>
          </w:p>
        </w:tc>
        <w:tc>
          <w:tcPr>
            <w:tcW w:w="5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r>
              <w:rPr>
                <w:rFonts w:hint="default"/>
                <w:color w:val="000000" w:themeColor="text1"/>
                <w:szCs w:val="20"/>
                <w:highlight w:val="none"/>
                <w:lang w:bidi="ar"/>
                <w14:textFill>
                  <w14:solidFill>
                    <w14:schemeClr w14:val="tx1"/>
                  </w14:solidFill>
                </w14:textFill>
              </w:rPr>
              <w:t>学历</w:t>
            </w:r>
          </w:p>
        </w:tc>
        <w:tc>
          <w:tcPr>
            <w:tcW w:w="5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r>
              <w:rPr>
                <w:rFonts w:hint="default"/>
                <w:color w:val="000000" w:themeColor="text1"/>
                <w:szCs w:val="20"/>
                <w:highlight w:val="none"/>
                <w:lang w:bidi="ar"/>
                <w14:textFill>
                  <w14:solidFill>
                    <w14:schemeClr w14:val="tx1"/>
                  </w14:solidFill>
                </w14:textFill>
              </w:rPr>
              <w:t>职称</w:t>
            </w:r>
          </w:p>
        </w:tc>
        <w:tc>
          <w:tcPr>
            <w:tcW w:w="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r>
              <w:rPr>
                <w:rFonts w:hint="default"/>
                <w:color w:val="000000" w:themeColor="text1"/>
                <w:szCs w:val="20"/>
                <w:highlight w:val="none"/>
                <w:lang w:bidi="ar"/>
                <w14:textFill>
                  <w14:solidFill>
                    <w14:schemeClr w14:val="tx1"/>
                  </w14:solidFill>
                </w14:textFill>
              </w:rPr>
              <w:t>专业</w:t>
            </w:r>
          </w:p>
        </w:tc>
        <w:tc>
          <w:tcPr>
            <w:tcW w:w="9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lang w:bidi="ar"/>
                <w14:textFill>
                  <w14:solidFill>
                    <w14:schemeClr w14:val="tx1"/>
                  </w14:solidFill>
                </w14:textFill>
              </w:rPr>
              <w:t>岗位证或鉴定培训合格证</w:t>
            </w:r>
          </w:p>
        </w:tc>
        <w:tc>
          <w:tcPr>
            <w:tcW w:w="12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Cs w:val="21"/>
                <w:highlight w:val="none"/>
                <w14:textFill>
                  <w14:solidFill>
                    <w14:schemeClr w14:val="tx1"/>
                  </w14:solidFill>
                </w14:textFill>
              </w:rPr>
            </w:pPr>
            <w:r>
              <w:rPr>
                <w:rFonts w:hint="default"/>
                <w:color w:val="000000" w:themeColor="text1"/>
                <w:position w:val="-30"/>
                <w:szCs w:val="21"/>
                <w:highlight w:val="none"/>
                <w:lang w:bidi="ar"/>
                <w14:textFill>
                  <w14:solidFill>
                    <w14:schemeClr w14:val="tx1"/>
                  </w14:solidFill>
                </w14:textFill>
              </w:rPr>
              <w:t>从事检测工作年限</w:t>
            </w:r>
          </w:p>
        </w:tc>
        <w:tc>
          <w:tcPr>
            <w:tcW w:w="11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证明材料页码</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r>
              <w:rPr>
                <w:rFonts w:hint="default"/>
                <w:color w:val="000000" w:themeColor="text1"/>
                <w:szCs w:val="20"/>
                <w:highlight w:val="none"/>
                <w:lang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line="360" w:lineRule="auto"/>
              <w:ind w:left="0" w:right="0"/>
              <w:jc w:val="center"/>
              <w:rPr>
                <w:rFonts w:hint="default"/>
                <w:color w:val="000000" w:themeColor="text1"/>
                <w:highlight w:val="none"/>
                <w14:textFill>
                  <w14:solidFill>
                    <w14:schemeClr w14:val="tx1"/>
                  </w14:solidFill>
                </w14:textFill>
              </w:rPr>
            </w:pPr>
          </w:p>
        </w:tc>
      </w:tr>
    </w:tbl>
    <w:p>
      <w:pPr>
        <w:shd w:val="clear"/>
        <w:spacing w:line="360" w:lineRule="auto"/>
        <w:rPr>
          <w:color w:val="000000" w:themeColor="text1"/>
          <w:highlight w:val="none"/>
          <w14:textFill>
            <w14:solidFill>
              <w14:schemeClr w14:val="tx1"/>
            </w14:solidFill>
          </w14:textFill>
        </w:rPr>
      </w:pPr>
      <w:bookmarkStart w:id="279" w:name="_Toc179632825"/>
      <w:bookmarkStart w:id="280" w:name="_Toc152045805"/>
      <w:bookmarkStart w:id="281" w:name="_Toc144974873"/>
      <w:bookmarkStart w:id="282" w:name="_Toc152042594"/>
      <w:r>
        <w:rPr>
          <w:color w:val="000000" w:themeColor="text1"/>
          <w:szCs w:val="20"/>
          <w:highlight w:val="none"/>
          <w:lang w:bidi="ar"/>
          <w14:textFill>
            <w14:solidFill>
              <w14:schemeClr w14:val="tx1"/>
            </w14:solidFill>
          </w14:textFill>
        </w:rPr>
        <w:t>注：1.投标人应根据</w:t>
      </w:r>
      <w:r>
        <w:rPr>
          <w:color w:val="000000" w:themeColor="text1"/>
          <w:szCs w:val="21"/>
          <w:highlight w:val="none"/>
          <w:lang w:bidi="ar"/>
          <w14:textFill>
            <w14:solidFill>
              <w14:schemeClr w14:val="tx1"/>
            </w14:solidFill>
          </w14:textFill>
        </w:rPr>
        <w:t>招标文件第三章《</w:t>
      </w:r>
      <w:r>
        <w:rPr>
          <w:rFonts w:hint="eastAsia"/>
          <w:color w:val="000000" w:themeColor="text1"/>
          <w:szCs w:val="21"/>
          <w:highlight w:val="none"/>
          <w:lang w:bidi="ar"/>
          <w14:textFill>
            <w14:solidFill>
              <w14:schemeClr w14:val="tx1"/>
            </w14:solidFill>
          </w14:textFill>
        </w:rPr>
        <w:t>评标办法</w:t>
      </w:r>
      <w:r>
        <w:rPr>
          <w:color w:val="000000" w:themeColor="text1"/>
          <w:szCs w:val="21"/>
          <w:highlight w:val="none"/>
          <w:lang w:bidi="ar"/>
          <w14:textFill>
            <w14:solidFill>
              <w14:schemeClr w14:val="tx1"/>
            </w14:solidFill>
          </w14:textFill>
        </w:rPr>
        <w:t>》</w:t>
      </w:r>
      <w:r>
        <w:rPr>
          <w:color w:val="000000" w:themeColor="text1"/>
          <w:szCs w:val="20"/>
          <w:highlight w:val="none"/>
          <w:lang w:bidi="ar"/>
          <w14:textFill>
            <w14:solidFill>
              <w14:schemeClr w14:val="tx1"/>
            </w14:solidFill>
          </w14:textFill>
        </w:rPr>
        <w:t>要求在本表后附相关证明材料。</w:t>
      </w:r>
    </w:p>
    <w:p>
      <w:pPr>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2.本表人员指除项目负责人外的其他人员。</w:t>
      </w:r>
    </w:p>
    <w:p>
      <w:pPr>
        <w:pStyle w:val="3"/>
        <w:keepNext w:val="0"/>
        <w:keepLines w:val="0"/>
        <w:shd w:val="clear"/>
        <w:spacing w:before="0" w:after="0" w:line="360" w:lineRule="auto"/>
        <w:jc w:val="center"/>
        <w:rPr>
          <w:rFonts w:ascii="Times New Roman" w:hAnsi="Times New Roman" w:eastAsia="宋体"/>
          <w:color w:val="000000" w:themeColor="text1"/>
          <w:highlight w:val="none"/>
          <w14:textFill>
            <w14:solidFill>
              <w14:schemeClr w14:val="tx1"/>
            </w14:solidFill>
          </w14:textFill>
        </w:rPr>
      </w:pPr>
      <w:r>
        <w:rPr>
          <w:rFonts w:ascii="Times New Roman" w:hAnsi="Times New Roman" w:eastAsia="宋体"/>
          <w:color w:val="000000" w:themeColor="text1"/>
          <w:szCs w:val="20"/>
          <w:highlight w:val="none"/>
          <w:lang w:bidi="ar"/>
          <w14:textFill>
            <w14:solidFill>
              <w14:schemeClr w14:val="tx1"/>
            </w14:solidFill>
          </w14:textFill>
        </w:rPr>
        <w:br w:type="page"/>
      </w:r>
      <w:bookmarkStart w:id="283" w:name="_Toc391394125"/>
      <w:bookmarkStart w:id="284" w:name="_Toc300835232"/>
      <w:bookmarkStart w:id="285" w:name="_Toc359594249"/>
      <w:bookmarkStart w:id="286" w:name="_Toc482188668"/>
      <w:bookmarkStart w:id="287" w:name="_Toc384308390"/>
      <w:bookmarkStart w:id="288" w:name="_Toc385943079"/>
      <w:bookmarkStart w:id="289" w:name="_Toc370676440"/>
      <w:bookmarkStart w:id="290" w:name="_Toc23297"/>
      <w:bookmarkStart w:id="291" w:name="_Toc47987358"/>
      <w:bookmarkStart w:id="292" w:name="_Toc24959"/>
      <w:bookmarkStart w:id="293" w:name="_Toc47376794"/>
      <w:r>
        <w:rPr>
          <w:rFonts w:ascii="Times New Roman" w:hAnsi="Times New Roman" w:eastAsia="宋体"/>
          <w:bCs/>
          <w:color w:val="000000" w:themeColor="text1"/>
          <w:szCs w:val="32"/>
          <w:highlight w:val="none"/>
          <w14:textFill>
            <w14:solidFill>
              <w14:schemeClr w14:val="tx1"/>
            </w14:solidFill>
          </w14:textFill>
        </w:rPr>
        <w:t>八、</w:t>
      </w:r>
      <w:bookmarkEnd w:id="279"/>
      <w:bookmarkEnd w:id="280"/>
      <w:bookmarkEnd w:id="281"/>
      <w:bookmarkEnd w:id="282"/>
      <w:bookmarkEnd w:id="283"/>
      <w:bookmarkEnd w:id="284"/>
      <w:bookmarkEnd w:id="285"/>
      <w:bookmarkEnd w:id="286"/>
      <w:bookmarkEnd w:id="287"/>
      <w:bookmarkEnd w:id="288"/>
      <w:bookmarkEnd w:id="289"/>
      <w:r>
        <w:rPr>
          <w:rFonts w:ascii="Times New Roman" w:hAnsi="Times New Roman" w:eastAsia="宋体"/>
          <w:bCs/>
          <w:color w:val="000000" w:themeColor="text1"/>
          <w:szCs w:val="32"/>
          <w:highlight w:val="none"/>
          <w14:textFill>
            <w14:solidFill>
              <w14:schemeClr w14:val="tx1"/>
            </w14:solidFill>
          </w14:textFill>
        </w:rPr>
        <w:t>拟投入本项目的</w:t>
      </w:r>
      <w:bookmarkStart w:id="294" w:name="_Hlk67046790"/>
      <w:r>
        <w:rPr>
          <w:rFonts w:ascii="Times New Roman" w:hAnsi="Times New Roman" w:eastAsia="宋体"/>
          <w:bCs/>
          <w:color w:val="000000" w:themeColor="text1"/>
          <w:szCs w:val="32"/>
          <w:highlight w:val="none"/>
          <w14:textFill>
            <w14:solidFill>
              <w14:schemeClr w14:val="tx1"/>
            </w14:solidFill>
          </w14:textFill>
        </w:rPr>
        <w:t>项目负责人</w:t>
      </w:r>
      <w:bookmarkEnd w:id="294"/>
      <w:r>
        <w:rPr>
          <w:rFonts w:ascii="Times New Roman" w:hAnsi="Times New Roman" w:eastAsia="宋体"/>
          <w:bCs/>
          <w:color w:val="000000" w:themeColor="text1"/>
          <w:szCs w:val="32"/>
          <w:highlight w:val="none"/>
          <w14:textFill>
            <w14:solidFill>
              <w14:schemeClr w14:val="tx1"/>
            </w14:solidFill>
          </w14:textFill>
        </w:rPr>
        <w:t>简历表</w:t>
      </w:r>
      <w:bookmarkEnd w:id="290"/>
      <w:bookmarkEnd w:id="291"/>
      <w:bookmarkEnd w:id="292"/>
      <w:bookmarkEnd w:id="293"/>
    </w:p>
    <w:p>
      <w:pPr>
        <w:shd w:val="clear"/>
        <w:spacing w:line="360" w:lineRule="auto"/>
        <w:rPr>
          <w:color w:val="000000" w:themeColor="text1"/>
          <w:highlight w:val="none"/>
          <w14:textFill>
            <w14:solidFill>
              <w14:schemeClr w14:val="tx1"/>
            </w14:solidFill>
          </w14:textFill>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521"/>
        <w:gridCol w:w="190"/>
        <w:gridCol w:w="760"/>
        <w:gridCol w:w="872"/>
        <w:gridCol w:w="904"/>
        <w:gridCol w:w="697"/>
        <w:gridCol w:w="762"/>
        <w:gridCol w:w="762"/>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1255" w:type="dxa"/>
            <w:tcBorders>
              <w:top w:val="single" w:color="auto" w:sz="12" w:space="0"/>
              <w:left w:val="single" w:color="auto" w:sz="12"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4"/>
                <w:szCs w:val="20"/>
                <w:highlight w:val="none"/>
                <w14:textFill>
                  <w14:solidFill>
                    <w14:schemeClr w14:val="tx1"/>
                  </w14:solidFill>
                </w14:textFill>
              </w:rPr>
            </w:pPr>
            <w:r>
              <w:rPr>
                <w:rFonts w:hint="default"/>
                <w:color w:val="000000" w:themeColor="text1"/>
                <w:position w:val="-30"/>
                <w:sz w:val="24"/>
                <w:szCs w:val="20"/>
                <w:highlight w:val="none"/>
                <w:lang w:bidi="ar"/>
                <w14:textFill>
                  <w14:solidFill>
                    <w14:schemeClr w14:val="tx1"/>
                  </w14:solidFill>
                </w14:textFill>
              </w:rPr>
              <w:t>姓名</w:t>
            </w:r>
          </w:p>
        </w:tc>
        <w:tc>
          <w:tcPr>
            <w:tcW w:w="1521" w:type="dxa"/>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4"/>
                <w:szCs w:val="20"/>
                <w:highlight w:val="none"/>
                <w14:textFill>
                  <w14:solidFill>
                    <w14:schemeClr w14:val="tx1"/>
                  </w14:solidFill>
                </w14:textFill>
              </w:rPr>
            </w:pPr>
          </w:p>
        </w:tc>
        <w:tc>
          <w:tcPr>
            <w:tcW w:w="950" w:type="dxa"/>
            <w:gridSpan w:val="2"/>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4"/>
                <w:szCs w:val="20"/>
                <w:highlight w:val="none"/>
                <w14:textFill>
                  <w14:solidFill>
                    <w14:schemeClr w14:val="tx1"/>
                  </w14:solidFill>
                </w14:textFill>
              </w:rPr>
            </w:pPr>
            <w:r>
              <w:rPr>
                <w:rFonts w:hint="default"/>
                <w:color w:val="000000" w:themeColor="text1"/>
                <w:position w:val="-30"/>
                <w:sz w:val="24"/>
                <w:szCs w:val="20"/>
                <w:highlight w:val="none"/>
                <w:lang w:bidi="ar"/>
                <w14:textFill>
                  <w14:solidFill>
                    <w14:schemeClr w14:val="tx1"/>
                  </w14:solidFill>
                </w14:textFill>
              </w:rPr>
              <w:t>性别</w:t>
            </w:r>
          </w:p>
        </w:tc>
        <w:tc>
          <w:tcPr>
            <w:tcW w:w="872" w:type="dxa"/>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4"/>
                <w:szCs w:val="20"/>
                <w:highlight w:val="none"/>
                <w14:textFill>
                  <w14:solidFill>
                    <w14:schemeClr w14:val="tx1"/>
                  </w14:solidFill>
                </w14:textFill>
              </w:rPr>
            </w:pPr>
          </w:p>
        </w:tc>
        <w:tc>
          <w:tcPr>
            <w:tcW w:w="904" w:type="dxa"/>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4"/>
                <w:szCs w:val="20"/>
                <w:highlight w:val="none"/>
                <w14:textFill>
                  <w14:solidFill>
                    <w14:schemeClr w14:val="tx1"/>
                  </w14:solidFill>
                </w14:textFill>
              </w:rPr>
            </w:pPr>
            <w:r>
              <w:rPr>
                <w:rFonts w:hint="default"/>
                <w:color w:val="000000" w:themeColor="text1"/>
                <w:position w:val="-30"/>
                <w:sz w:val="24"/>
                <w:szCs w:val="20"/>
                <w:highlight w:val="none"/>
                <w:lang w:bidi="ar"/>
                <w14:textFill>
                  <w14:solidFill>
                    <w14:schemeClr w14:val="tx1"/>
                  </w14:solidFill>
                </w14:textFill>
              </w:rPr>
              <w:t>出生</w:t>
            </w:r>
          </w:p>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4"/>
                <w:szCs w:val="20"/>
                <w:highlight w:val="none"/>
                <w14:textFill>
                  <w14:solidFill>
                    <w14:schemeClr w14:val="tx1"/>
                  </w14:solidFill>
                </w14:textFill>
              </w:rPr>
            </w:pPr>
            <w:r>
              <w:rPr>
                <w:rFonts w:hint="default"/>
                <w:color w:val="000000" w:themeColor="text1"/>
                <w:position w:val="-30"/>
                <w:sz w:val="24"/>
                <w:szCs w:val="20"/>
                <w:highlight w:val="none"/>
                <w:lang w:bidi="ar"/>
                <w14:textFill>
                  <w14:solidFill>
                    <w14:schemeClr w14:val="tx1"/>
                  </w14:solidFill>
                </w14:textFill>
              </w:rPr>
              <w:t>年月</w:t>
            </w:r>
          </w:p>
        </w:tc>
        <w:tc>
          <w:tcPr>
            <w:tcW w:w="1459" w:type="dxa"/>
            <w:gridSpan w:val="2"/>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4"/>
                <w:szCs w:val="20"/>
                <w:highlight w:val="none"/>
                <w14:textFill>
                  <w14:solidFill>
                    <w14:schemeClr w14:val="tx1"/>
                  </w14:solidFill>
                </w14:textFill>
              </w:rPr>
            </w:pPr>
          </w:p>
        </w:tc>
        <w:tc>
          <w:tcPr>
            <w:tcW w:w="762" w:type="dxa"/>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4"/>
                <w:szCs w:val="20"/>
                <w:highlight w:val="none"/>
                <w14:textFill>
                  <w14:solidFill>
                    <w14:schemeClr w14:val="tx1"/>
                  </w14:solidFill>
                </w14:textFill>
              </w:rPr>
            </w:pPr>
            <w:r>
              <w:rPr>
                <w:rFonts w:hint="default"/>
                <w:color w:val="000000" w:themeColor="text1"/>
                <w:position w:val="-30"/>
                <w:sz w:val="24"/>
                <w:szCs w:val="20"/>
                <w:highlight w:val="none"/>
                <w:lang w:bidi="ar"/>
                <w14:textFill>
                  <w14:solidFill>
                    <w14:schemeClr w14:val="tx1"/>
                  </w14:solidFill>
                </w14:textFill>
              </w:rPr>
              <w:t>文化程度</w:t>
            </w:r>
          </w:p>
        </w:tc>
        <w:tc>
          <w:tcPr>
            <w:tcW w:w="1519" w:type="dxa"/>
            <w:tcBorders>
              <w:top w:val="single" w:color="auto" w:sz="12" w:space="0"/>
              <w:left w:val="single" w:color="auto" w:sz="4" w:space="0"/>
              <w:bottom w:val="single" w:color="auto" w:sz="4" w:space="0"/>
              <w:right w:val="single" w:color="auto" w:sz="12"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255"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4"/>
                <w:szCs w:val="20"/>
                <w:highlight w:val="none"/>
                <w14:textFill>
                  <w14:solidFill>
                    <w14:schemeClr w14:val="tx1"/>
                  </w14:solidFill>
                </w14:textFill>
              </w:rPr>
            </w:pPr>
            <w:r>
              <w:rPr>
                <w:rFonts w:hint="default"/>
                <w:color w:val="000000" w:themeColor="text1"/>
                <w:position w:val="-30"/>
                <w:sz w:val="24"/>
                <w:szCs w:val="20"/>
                <w:highlight w:val="none"/>
                <w:lang w:bidi="ar"/>
                <w14:textFill>
                  <w14:solidFill>
                    <w14:schemeClr w14:val="tx1"/>
                  </w14:solidFill>
                </w14:textFill>
              </w:rPr>
              <w:t>技术职称</w:t>
            </w:r>
          </w:p>
        </w:tc>
        <w:tc>
          <w:tcPr>
            <w:tcW w:w="247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4"/>
                <w:szCs w:val="20"/>
                <w:highlight w:val="none"/>
                <w14:textFill>
                  <w14:solidFill>
                    <w14:schemeClr w14:val="tx1"/>
                  </w14:solidFill>
                </w14:textFill>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4"/>
                <w:szCs w:val="20"/>
                <w:highlight w:val="none"/>
                <w14:textFill>
                  <w14:solidFill>
                    <w14:schemeClr w14:val="tx1"/>
                  </w14:solidFill>
                </w14:textFill>
              </w:rPr>
            </w:pPr>
            <w:r>
              <w:rPr>
                <w:rFonts w:hint="default"/>
                <w:color w:val="000000" w:themeColor="text1"/>
                <w:position w:val="-30"/>
                <w:sz w:val="24"/>
                <w:szCs w:val="20"/>
                <w:highlight w:val="none"/>
                <w:lang w:bidi="ar"/>
                <w14:textFill>
                  <w14:solidFill>
                    <w14:schemeClr w14:val="tx1"/>
                  </w14:solidFill>
                </w14:textFill>
              </w:rPr>
              <w:t>职称专业</w:t>
            </w:r>
          </w:p>
        </w:tc>
        <w:tc>
          <w:tcPr>
            <w:tcW w:w="16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4"/>
                <w:szCs w:val="20"/>
                <w:highlight w:val="none"/>
                <w14:textFill>
                  <w14:solidFill>
                    <w14:schemeClr w14:val="tx1"/>
                  </w14:solidFill>
                </w14:textFill>
              </w:rPr>
            </w:pPr>
          </w:p>
        </w:tc>
        <w:tc>
          <w:tcPr>
            <w:tcW w:w="15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4"/>
                <w:szCs w:val="20"/>
                <w:highlight w:val="none"/>
                <w14:textFill>
                  <w14:solidFill>
                    <w14:schemeClr w14:val="tx1"/>
                  </w14:solidFill>
                </w14:textFill>
              </w:rPr>
            </w:pPr>
            <w:r>
              <w:rPr>
                <w:rFonts w:hint="default"/>
                <w:color w:val="000000" w:themeColor="text1"/>
                <w:position w:val="-30"/>
                <w:sz w:val="24"/>
                <w:szCs w:val="20"/>
                <w:highlight w:val="none"/>
                <w14:textFill>
                  <w14:solidFill>
                    <w14:schemeClr w14:val="tx1"/>
                  </w14:solidFill>
                </w14:textFill>
              </w:rPr>
              <w:t>毕业时间</w:t>
            </w:r>
          </w:p>
        </w:tc>
        <w:tc>
          <w:tcPr>
            <w:tcW w:w="1519"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1255" w:type="dxa"/>
            <w:tcBorders>
              <w:top w:val="single" w:color="auto" w:sz="4" w:space="0"/>
              <w:left w:val="single" w:color="auto" w:sz="12" w:space="0"/>
              <w:bottom w:val="single" w:color="auto" w:sz="12"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4"/>
                <w:szCs w:val="20"/>
                <w:highlight w:val="none"/>
                <w14:textFill>
                  <w14:solidFill>
                    <w14:schemeClr w14:val="tx1"/>
                  </w14:solidFill>
                </w14:textFill>
              </w:rPr>
            </w:pPr>
            <w:r>
              <w:rPr>
                <w:rFonts w:hint="default"/>
                <w:color w:val="000000" w:themeColor="text1"/>
                <w:position w:val="-30"/>
                <w:sz w:val="24"/>
                <w:szCs w:val="20"/>
                <w:highlight w:val="none"/>
                <w:lang w:bidi="ar"/>
                <w14:textFill>
                  <w14:solidFill>
                    <w14:schemeClr w14:val="tx1"/>
                  </w14:solidFill>
                </w14:textFill>
              </w:rPr>
              <w:t>从事检测工作年限</w:t>
            </w:r>
          </w:p>
        </w:tc>
        <w:tc>
          <w:tcPr>
            <w:tcW w:w="1711" w:type="dxa"/>
            <w:gridSpan w:val="2"/>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4"/>
                <w:szCs w:val="20"/>
                <w:highlight w:val="none"/>
                <w14:textFill>
                  <w14:solidFill>
                    <w14:schemeClr w14:val="tx1"/>
                  </w14:solidFill>
                </w14:textFill>
              </w:rPr>
            </w:pPr>
          </w:p>
        </w:tc>
        <w:tc>
          <w:tcPr>
            <w:tcW w:w="1632" w:type="dxa"/>
            <w:gridSpan w:val="2"/>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4"/>
                <w:szCs w:val="20"/>
                <w:highlight w:val="none"/>
                <w14:textFill>
                  <w14:solidFill>
                    <w14:schemeClr w14:val="tx1"/>
                  </w14:solidFill>
                </w14:textFill>
              </w:rPr>
            </w:pPr>
            <w:r>
              <w:rPr>
                <w:rFonts w:hint="default"/>
                <w:color w:val="000000" w:themeColor="text1"/>
                <w:position w:val="-30"/>
                <w:sz w:val="24"/>
                <w:szCs w:val="20"/>
                <w:highlight w:val="none"/>
                <w:lang w:bidi="ar"/>
                <w14:textFill>
                  <w14:solidFill>
                    <w14:schemeClr w14:val="tx1"/>
                  </w14:solidFill>
                </w14:textFill>
              </w:rPr>
              <w:t>拟在本项目担任的职务</w:t>
            </w:r>
          </w:p>
        </w:tc>
        <w:tc>
          <w:tcPr>
            <w:tcW w:w="1601" w:type="dxa"/>
            <w:gridSpan w:val="2"/>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4"/>
                <w:szCs w:val="20"/>
                <w:highlight w:val="none"/>
                <w14:textFill>
                  <w14:solidFill>
                    <w14:schemeClr w14:val="tx1"/>
                  </w14:solidFill>
                </w14:textFill>
              </w:rPr>
            </w:pPr>
          </w:p>
        </w:tc>
        <w:tc>
          <w:tcPr>
            <w:tcW w:w="1524" w:type="dxa"/>
            <w:gridSpan w:val="2"/>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4"/>
                <w:szCs w:val="20"/>
                <w:highlight w:val="none"/>
                <w14:textFill>
                  <w14:solidFill>
                    <w14:schemeClr w14:val="tx1"/>
                  </w14:solidFill>
                </w14:textFill>
              </w:rPr>
            </w:pPr>
            <w:r>
              <w:rPr>
                <w:rFonts w:hint="default"/>
                <w:color w:val="000000" w:themeColor="text1"/>
                <w:position w:val="-30"/>
                <w:sz w:val="24"/>
                <w:szCs w:val="20"/>
                <w:highlight w:val="none"/>
                <w14:textFill>
                  <w14:solidFill>
                    <w14:schemeClr w14:val="tx1"/>
                  </w14:solidFill>
                </w14:textFill>
              </w:rPr>
              <w:t>手机号码</w:t>
            </w:r>
          </w:p>
        </w:tc>
        <w:tc>
          <w:tcPr>
            <w:tcW w:w="1519" w:type="dxa"/>
            <w:tcBorders>
              <w:top w:val="single" w:color="auto" w:sz="4" w:space="0"/>
              <w:left w:val="single" w:color="auto" w:sz="4" w:space="0"/>
              <w:bottom w:val="single" w:color="auto" w:sz="12" w:space="0"/>
              <w:right w:val="single" w:color="auto" w:sz="12"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1255" w:type="dxa"/>
            <w:vMerge w:val="restart"/>
            <w:tcBorders>
              <w:top w:val="single" w:color="auto" w:sz="12" w:space="0"/>
              <w:left w:val="single" w:color="auto" w:sz="12" w:space="0"/>
              <w:bottom w:val="single" w:color="auto" w:sz="12"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4"/>
                <w:szCs w:val="20"/>
                <w:highlight w:val="none"/>
                <w14:textFill>
                  <w14:solidFill>
                    <w14:schemeClr w14:val="tx1"/>
                  </w14:solidFill>
                </w14:textFill>
              </w:rPr>
            </w:pPr>
            <w:r>
              <w:rPr>
                <w:rFonts w:hint="default"/>
                <w:color w:val="000000" w:themeColor="text1"/>
                <w:position w:val="-30"/>
                <w:sz w:val="24"/>
                <w:szCs w:val="20"/>
                <w:highlight w:val="none"/>
                <w:lang w:bidi="ar"/>
                <w14:textFill>
                  <w14:solidFill>
                    <w14:schemeClr w14:val="tx1"/>
                  </w14:solidFill>
                </w14:textFill>
              </w:rPr>
              <w:t>检测</w:t>
            </w:r>
          </w:p>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4"/>
                <w:szCs w:val="20"/>
                <w:highlight w:val="none"/>
                <w14:textFill>
                  <w14:solidFill>
                    <w14:schemeClr w14:val="tx1"/>
                  </w14:solidFill>
                </w14:textFill>
              </w:rPr>
            </w:pPr>
            <w:r>
              <w:rPr>
                <w:rFonts w:hint="default"/>
                <w:color w:val="000000" w:themeColor="text1"/>
                <w:position w:val="-30"/>
                <w:sz w:val="24"/>
                <w:szCs w:val="20"/>
                <w:highlight w:val="none"/>
                <w:lang w:bidi="ar"/>
                <w14:textFill>
                  <w14:solidFill>
                    <w14:schemeClr w14:val="tx1"/>
                  </w14:solidFill>
                </w14:textFill>
              </w:rPr>
              <w:t>主要经历</w:t>
            </w:r>
          </w:p>
        </w:tc>
        <w:tc>
          <w:tcPr>
            <w:tcW w:w="1711" w:type="dxa"/>
            <w:gridSpan w:val="2"/>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4"/>
                <w:szCs w:val="20"/>
                <w:highlight w:val="none"/>
                <w14:textFill>
                  <w14:solidFill>
                    <w14:schemeClr w14:val="tx1"/>
                  </w14:solidFill>
                </w14:textFill>
              </w:rPr>
            </w:pPr>
            <w:bookmarkStart w:id="295" w:name="OLE_LINK3"/>
            <w:r>
              <w:rPr>
                <w:rFonts w:hint="default"/>
                <w:color w:val="000000" w:themeColor="text1"/>
                <w:position w:val="-30"/>
                <w:sz w:val="24"/>
                <w:szCs w:val="20"/>
                <w:highlight w:val="none"/>
                <w:lang w:bidi="ar"/>
                <w14:textFill>
                  <w14:solidFill>
                    <w14:schemeClr w14:val="tx1"/>
                  </w14:solidFill>
                </w14:textFill>
              </w:rPr>
              <w:t>起讫</w:t>
            </w:r>
            <w:bookmarkEnd w:id="295"/>
            <w:r>
              <w:rPr>
                <w:rFonts w:hint="default"/>
                <w:color w:val="000000" w:themeColor="text1"/>
                <w:position w:val="-30"/>
                <w:sz w:val="24"/>
                <w:szCs w:val="20"/>
                <w:highlight w:val="none"/>
                <w:lang w:bidi="ar"/>
                <w14:textFill>
                  <w14:solidFill>
                    <w14:schemeClr w14:val="tx1"/>
                  </w14:solidFill>
                </w14:textFill>
              </w:rPr>
              <w:t>时间</w:t>
            </w:r>
          </w:p>
        </w:tc>
        <w:tc>
          <w:tcPr>
            <w:tcW w:w="1632" w:type="dxa"/>
            <w:gridSpan w:val="2"/>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4"/>
                <w:szCs w:val="20"/>
                <w:highlight w:val="none"/>
                <w14:textFill>
                  <w14:solidFill>
                    <w14:schemeClr w14:val="tx1"/>
                  </w14:solidFill>
                </w14:textFill>
              </w:rPr>
            </w:pPr>
            <w:r>
              <w:rPr>
                <w:rFonts w:hint="default"/>
                <w:color w:val="000000" w:themeColor="text1"/>
                <w:position w:val="-30"/>
                <w:sz w:val="24"/>
                <w:szCs w:val="20"/>
                <w:highlight w:val="none"/>
                <w:lang w:bidi="ar"/>
                <w14:textFill>
                  <w14:solidFill>
                    <w14:schemeClr w14:val="tx1"/>
                  </w14:solidFill>
                </w14:textFill>
              </w:rPr>
              <w:t>任  职</w:t>
            </w:r>
          </w:p>
        </w:tc>
        <w:tc>
          <w:tcPr>
            <w:tcW w:w="1601" w:type="dxa"/>
            <w:gridSpan w:val="2"/>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4"/>
                <w:szCs w:val="20"/>
                <w:highlight w:val="none"/>
                <w14:textFill>
                  <w14:solidFill>
                    <w14:schemeClr w14:val="tx1"/>
                  </w14:solidFill>
                </w14:textFill>
              </w:rPr>
            </w:pPr>
            <w:r>
              <w:rPr>
                <w:rFonts w:hint="default"/>
                <w:color w:val="000000" w:themeColor="text1"/>
                <w:position w:val="-30"/>
                <w:sz w:val="24"/>
                <w:szCs w:val="20"/>
                <w:highlight w:val="none"/>
                <w:lang w:bidi="ar"/>
                <w14:textFill>
                  <w14:solidFill>
                    <w14:schemeClr w14:val="tx1"/>
                  </w14:solidFill>
                </w14:textFill>
              </w:rPr>
              <w:t>工程名称</w:t>
            </w:r>
          </w:p>
        </w:tc>
        <w:tc>
          <w:tcPr>
            <w:tcW w:w="3043" w:type="dxa"/>
            <w:gridSpan w:val="3"/>
            <w:tcBorders>
              <w:top w:val="single" w:color="auto" w:sz="12" w:space="0"/>
              <w:left w:val="single" w:color="auto" w:sz="4" w:space="0"/>
              <w:bottom w:val="single" w:color="auto" w:sz="4" w:space="0"/>
              <w:right w:val="single" w:color="auto" w:sz="12"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position w:val="-30"/>
                <w:sz w:val="24"/>
                <w:szCs w:val="20"/>
                <w:highlight w:val="none"/>
                <w14:textFill>
                  <w14:solidFill>
                    <w14:schemeClr w14:val="tx1"/>
                  </w14:solidFill>
                </w14:textFill>
              </w:rPr>
            </w:pPr>
            <w:r>
              <w:rPr>
                <w:rFonts w:hint="default"/>
                <w:color w:val="000000" w:themeColor="text1"/>
                <w:position w:val="-30"/>
                <w:sz w:val="24"/>
                <w:szCs w:val="20"/>
                <w:highlight w:val="none"/>
                <w:lang w:bidi="ar"/>
                <w14:textFill>
                  <w14:solidFill>
                    <w14:schemeClr w14:val="tx1"/>
                  </w14:solidFill>
                </w14:textFill>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6" w:hRule="atLeast"/>
        </w:trPr>
        <w:tc>
          <w:tcPr>
            <w:tcW w:w="1255" w:type="dxa"/>
            <w:vMerge w:val="continue"/>
            <w:tcBorders>
              <w:top w:val="single" w:color="auto" w:sz="12" w:space="0"/>
              <w:left w:val="single" w:color="auto" w:sz="12" w:space="0"/>
              <w:bottom w:val="single" w:color="auto" w:sz="12" w:space="0"/>
              <w:right w:val="single" w:color="auto"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sz w:val="20"/>
                <w:szCs w:val="20"/>
                <w:highlight w:val="none"/>
                <w14:textFill>
                  <w14:solidFill>
                    <w14:schemeClr w14:val="tx1"/>
                  </w14:solidFill>
                </w14:textFill>
              </w:rPr>
            </w:pPr>
          </w:p>
        </w:tc>
        <w:tc>
          <w:tcPr>
            <w:tcW w:w="1711" w:type="dxa"/>
            <w:gridSpan w:val="2"/>
            <w:tcBorders>
              <w:top w:val="single" w:color="auto" w:sz="4" w:space="0"/>
              <w:left w:val="single" w:color="auto" w:sz="4" w:space="0"/>
              <w:bottom w:val="single" w:color="auto" w:sz="12" w:space="0"/>
              <w:right w:val="single" w:color="auto" w:sz="4" w:space="0"/>
            </w:tcBorders>
          </w:tcPr>
          <w:p>
            <w:pPr>
              <w:keepNext w:val="0"/>
              <w:keepLines w:val="0"/>
              <w:suppressLineNumbers w:val="0"/>
              <w:shd w:val="clear"/>
              <w:spacing w:before="0" w:beforeAutospacing="0" w:after="0" w:afterAutospacing="0" w:line="360" w:lineRule="auto"/>
              <w:ind w:left="0" w:right="0"/>
              <w:rPr>
                <w:rFonts w:hint="default"/>
                <w:color w:val="000000" w:themeColor="text1"/>
                <w:position w:val="-30"/>
                <w:sz w:val="24"/>
                <w:szCs w:val="20"/>
                <w:highlight w:val="none"/>
                <w14:textFill>
                  <w14:solidFill>
                    <w14:schemeClr w14:val="tx1"/>
                  </w14:solidFill>
                </w14:textFill>
              </w:rPr>
            </w:pPr>
          </w:p>
        </w:tc>
        <w:tc>
          <w:tcPr>
            <w:tcW w:w="1632" w:type="dxa"/>
            <w:gridSpan w:val="2"/>
            <w:tcBorders>
              <w:top w:val="single" w:color="auto" w:sz="4" w:space="0"/>
              <w:left w:val="single" w:color="auto" w:sz="4" w:space="0"/>
              <w:bottom w:val="single" w:color="auto" w:sz="12" w:space="0"/>
              <w:right w:val="single" w:color="auto" w:sz="4" w:space="0"/>
            </w:tcBorders>
          </w:tcPr>
          <w:p>
            <w:pPr>
              <w:keepNext w:val="0"/>
              <w:keepLines w:val="0"/>
              <w:suppressLineNumbers w:val="0"/>
              <w:shd w:val="clear"/>
              <w:spacing w:before="0" w:beforeAutospacing="0" w:after="0" w:afterAutospacing="0" w:line="360" w:lineRule="auto"/>
              <w:ind w:left="0" w:right="0"/>
              <w:rPr>
                <w:rFonts w:hint="default"/>
                <w:color w:val="000000" w:themeColor="text1"/>
                <w:position w:val="-30"/>
                <w:sz w:val="24"/>
                <w:szCs w:val="20"/>
                <w:highlight w:val="none"/>
                <w14:textFill>
                  <w14:solidFill>
                    <w14:schemeClr w14:val="tx1"/>
                  </w14:solidFill>
                </w14:textFill>
              </w:rPr>
            </w:pPr>
          </w:p>
        </w:tc>
        <w:tc>
          <w:tcPr>
            <w:tcW w:w="1601" w:type="dxa"/>
            <w:gridSpan w:val="2"/>
            <w:tcBorders>
              <w:top w:val="single" w:color="auto" w:sz="4" w:space="0"/>
              <w:left w:val="single" w:color="auto" w:sz="4" w:space="0"/>
              <w:bottom w:val="single" w:color="auto" w:sz="12" w:space="0"/>
              <w:right w:val="single" w:color="auto" w:sz="4" w:space="0"/>
            </w:tcBorders>
          </w:tcPr>
          <w:p>
            <w:pPr>
              <w:keepNext w:val="0"/>
              <w:keepLines w:val="0"/>
              <w:suppressLineNumbers w:val="0"/>
              <w:shd w:val="clear"/>
              <w:spacing w:before="0" w:beforeAutospacing="0" w:after="0" w:afterAutospacing="0" w:line="360" w:lineRule="auto"/>
              <w:ind w:left="0" w:right="0"/>
              <w:rPr>
                <w:rFonts w:hint="default"/>
                <w:color w:val="000000" w:themeColor="text1"/>
                <w:position w:val="-30"/>
                <w:sz w:val="24"/>
                <w:szCs w:val="20"/>
                <w:highlight w:val="none"/>
                <w14:textFill>
                  <w14:solidFill>
                    <w14:schemeClr w14:val="tx1"/>
                  </w14:solidFill>
                </w14:textFill>
              </w:rPr>
            </w:pPr>
          </w:p>
        </w:tc>
        <w:tc>
          <w:tcPr>
            <w:tcW w:w="3043" w:type="dxa"/>
            <w:gridSpan w:val="3"/>
            <w:tcBorders>
              <w:top w:val="single" w:color="auto" w:sz="4" w:space="0"/>
              <w:left w:val="single" w:color="auto" w:sz="4" w:space="0"/>
              <w:bottom w:val="single" w:color="auto" w:sz="12" w:space="0"/>
              <w:right w:val="single" w:color="auto" w:sz="12" w:space="0"/>
            </w:tcBorders>
          </w:tcPr>
          <w:p>
            <w:pPr>
              <w:keepNext w:val="0"/>
              <w:keepLines w:val="0"/>
              <w:suppressLineNumbers w:val="0"/>
              <w:shd w:val="clear"/>
              <w:spacing w:before="0" w:beforeAutospacing="0" w:after="0" w:afterAutospacing="0" w:line="360" w:lineRule="auto"/>
              <w:ind w:left="0" w:right="0"/>
              <w:rPr>
                <w:rFonts w:hint="default"/>
                <w:color w:val="000000" w:themeColor="text1"/>
                <w:position w:val="-30"/>
                <w:sz w:val="24"/>
                <w:szCs w:val="20"/>
                <w:highlight w:val="none"/>
                <w14:textFill>
                  <w14:solidFill>
                    <w14:schemeClr w14:val="tx1"/>
                  </w14:solidFill>
                </w14:textFill>
              </w:rPr>
            </w:pPr>
          </w:p>
        </w:tc>
      </w:tr>
    </w:tbl>
    <w:p>
      <w:pPr>
        <w:shd w:val="clear"/>
        <w:spacing w:line="360" w:lineRule="auto"/>
        <w:rPr>
          <w:color w:val="000000" w:themeColor="text1"/>
          <w:highlight w:val="none"/>
          <w14:textFill>
            <w14:solidFill>
              <w14:schemeClr w14:val="tx1"/>
            </w14:solidFill>
          </w14:textFill>
        </w:rPr>
      </w:pPr>
      <w:r>
        <w:rPr>
          <w:color w:val="000000" w:themeColor="text1"/>
          <w:szCs w:val="20"/>
          <w:highlight w:val="none"/>
          <w:lang w:bidi="ar"/>
          <w14:textFill>
            <w14:solidFill>
              <w14:schemeClr w14:val="tx1"/>
            </w14:solidFill>
          </w14:textFill>
        </w:rPr>
        <w:t>注：</w:t>
      </w:r>
      <w:bookmarkStart w:id="296" w:name="_Toc300835229"/>
      <w:bookmarkStart w:id="297" w:name="_Toc352703741"/>
      <w:r>
        <w:rPr>
          <w:color w:val="000000" w:themeColor="text1"/>
          <w:szCs w:val="20"/>
          <w:highlight w:val="none"/>
          <w:lang w:bidi="ar"/>
          <w14:textFill>
            <w14:solidFill>
              <w14:schemeClr w14:val="tx1"/>
            </w14:solidFill>
          </w14:textFill>
        </w:rPr>
        <w:t>1.投标人应根据</w:t>
      </w:r>
      <w:r>
        <w:rPr>
          <w:color w:val="000000" w:themeColor="text1"/>
          <w:szCs w:val="21"/>
          <w:highlight w:val="none"/>
          <w:lang w:bidi="ar"/>
          <w14:textFill>
            <w14:solidFill>
              <w14:schemeClr w14:val="tx1"/>
            </w14:solidFill>
          </w14:textFill>
        </w:rPr>
        <w:t>招标文件第三章《</w:t>
      </w:r>
      <w:r>
        <w:rPr>
          <w:rFonts w:hint="eastAsia"/>
          <w:color w:val="000000" w:themeColor="text1"/>
          <w:szCs w:val="21"/>
          <w:highlight w:val="none"/>
          <w:lang w:bidi="ar"/>
          <w14:textFill>
            <w14:solidFill>
              <w14:schemeClr w14:val="tx1"/>
            </w14:solidFill>
          </w14:textFill>
        </w:rPr>
        <w:t>评标办法</w:t>
      </w:r>
      <w:r>
        <w:rPr>
          <w:color w:val="000000" w:themeColor="text1"/>
          <w:szCs w:val="21"/>
          <w:highlight w:val="none"/>
          <w:lang w:bidi="ar"/>
          <w14:textFill>
            <w14:solidFill>
              <w14:schemeClr w14:val="tx1"/>
            </w14:solidFill>
          </w14:textFill>
        </w:rPr>
        <w:t>》</w:t>
      </w:r>
      <w:r>
        <w:rPr>
          <w:color w:val="000000" w:themeColor="text1"/>
          <w:szCs w:val="20"/>
          <w:highlight w:val="none"/>
          <w:lang w:bidi="ar"/>
          <w14:textFill>
            <w14:solidFill>
              <w14:schemeClr w14:val="tx1"/>
            </w14:solidFill>
          </w14:textFill>
        </w:rPr>
        <w:t>要求在本表后附相关证明材料。</w:t>
      </w:r>
    </w:p>
    <w:p>
      <w:pPr>
        <w:shd w:val="clear"/>
        <w:spacing w:line="360" w:lineRule="auto"/>
        <w:rPr>
          <w:color w:val="000000" w:themeColor="text1"/>
          <w:highlight w:val="none"/>
          <w14:textFill>
            <w14:solidFill>
              <w14:schemeClr w14:val="tx1"/>
            </w14:solidFill>
          </w14:textFill>
        </w:rPr>
      </w:pPr>
    </w:p>
    <w:p>
      <w:pPr>
        <w:shd w:val="clear"/>
        <w:spacing w:line="360" w:lineRule="auto"/>
        <w:rPr>
          <w:color w:val="000000" w:themeColor="text1"/>
          <w:highlight w:val="none"/>
          <w14:textFill>
            <w14:solidFill>
              <w14:schemeClr w14:val="tx1"/>
            </w14:solidFill>
          </w14:textFill>
        </w:rPr>
      </w:pPr>
    </w:p>
    <w:p>
      <w:pPr>
        <w:shd w:val="clear"/>
        <w:spacing w:line="360" w:lineRule="auto"/>
        <w:rPr>
          <w:color w:val="000000" w:themeColor="text1"/>
          <w:highlight w:val="none"/>
          <w14:textFill>
            <w14:solidFill>
              <w14:schemeClr w14:val="tx1"/>
            </w14:solidFill>
          </w14:textFill>
        </w:rPr>
      </w:pPr>
      <w:r>
        <w:rPr>
          <w:color w:val="000000" w:themeColor="text1"/>
          <w:szCs w:val="20"/>
          <w:highlight w:val="none"/>
          <w:lang w:bidi="ar"/>
          <w14:textFill>
            <w14:solidFill>
              <w14:schemeClr w14:val="tx1"/>
            </w14:solidFill>
          </w14:textFill>
        </w:rPr>
        <w:br w:type="page"/>
      </w:r>
    </w:p>
    <w:bookmarkEnd w:id="296"/>
    <w:bookmarkEnd w:id="297"/>
    <w:p>
      <w:pPr>
        <w:pStyle w:val="3"/>
        <w:keepNext w:val="0"/>
        <w:keepLines w:val="0"/>
        <w:shd w:val="clear"/>
        <w:spacing w:before="0" w:after="0" w:line="360" w:lineRule="auto"/>
        <w:jc w:val="center"/>
        <w:rPr>
          <w:rFonts w:ascii="Times New Roman" w:hAnsi="Times New Roman" w:eastAsia="宋体"/>
          <w:color w:val="000000" w:themeColor="text1"/>
          <w:highlight w:val="none"/>
          <w14:textFill>
            <w14:solidFill>
              <w14:schemeClr w14:val="tx1"/>
            </w14:solidFill>
          </w14:textFill>
        </w:rPr>
      </w:pPr>
      <w:bookmarkStart w:id="298" w:name="_Toc482188666"/>
      <w:bookmarkStart w:id="299" w:name="_Toc15043"/>
      <w:bookmarkStart w:id="300" w:name="_Toc47987359"/>
      <w:bookmarkStart w:id="301" w:name="_Toc18131"/>
      <w:bookmarkStart w:id="302" w:name="_Toc47376795"/>
      <w:r>
        <w:rPr>
          <w:rFonts w:ascii="Times New Roman" w:hAnsi="Times New Roman" w:eastAsia="宋体"/>
          <w:bCs/>
          <w:color w:val="000000" w:themeColor="text1"/>
          <w:szCs w:val="32"/>
          <w:highlight w:val="none"/>
          <w14:textFill>
            <w14:solidFill>
              <w14:schemeClr w14:val="tx1"/>
            </w14:solidFill>
          </w14:textFill>
        </w:rPr>
        <w:t>九、</w:t>
      </w:r>
      <w:bookmarkEnd w:id="298"/>
      <w:r>
        <w:rPr>
          <w:rFonts w:ascii="Times New Roman" w:hAnsi="Times New Roman" w:eastAsia="宋体"/>
          <w:bCs/>
          <w:color w:val="000000" w:themeColor="text1"/>
          <w:szCs w:val="32"/>
          <w:highlight w:val="none"/>
          <w14:textFill>
            <w14:solidFill>
              <w14:schemeClr w14:val="tx1"/>
            </w14:solidFill>
          </w14:textFill>
        </w:rPr>
        <w:t>拟投入本项目的主要仪器设备一览表</w:t>
      </w:r>
      <w:bookmarkEnd w:id="299"/>
      <w:bookmarkEnd w:id="300"/>
      <w:bookmarkEnd w:id="301"/>
      <w:bookmarkEnd w:id="302"/>
    </w:p>
    <w:p>
      <w:pPr>
        <w:shd w:val="clear"/>
        <w:spacing w:line="360" w:lineRule="auto"/>
        <w:rPr>
          <w:color w:val="000000" w:themeColor="text1"/>
          <w:highlight w:val="none"/>
          <w14:textFill>
            <w14:solidFill>
              <w14:schemeClr w14:val="tx1"/>
            </w14:solidFill>
          </w14:textFill>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180"/>
        <w:gridCol w:w="1749"/>
        <w:gridCol w:w="1148"/>
        <w:gridCol w:w="1701"/>
        <w:gridCol w:w="1134"/>
        <w:gridCol w:w="1134"/>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26" w:type="dxa"/>
            <w:tcBorders>
              <w:top w:val="single" w:color="auto" w:sz="12" w:space="0"/>
              <w:left w:val="single" w:color="auto" w:sz="12" w:space="0"/>
              <w:bottom w:val="single" w:color="auto" w:sz="12"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lang w:bidi="ar"/>
                <w14:textFill>
                  <w14:solidFill>
                    <w14:schemeClr w14:val="tx1"/>
                  </w14:solidFill>
                </w14:textFill>
              </w:rPr>
              <w:t>序号</w:t>
            </w:r>
          </w:p>
        </w:tc>
        <w:tc>
          <w:tcPr>
            <w:tcW w:w="1180" w:type="dxa"/>
            <w:tcBorders>
              <w:top w:val="single" w:color="auto" w:sz="12" w:space="0"/>
              <w:left w:val="single" w:color="auto" w:sz="4" w:space="0"/>
              <w:bottom w:val="single" w:color="auto" w:sz="12"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lang w:bidi="ar"/>
                <w14:textFill>
                  <w14:solidFill>
                    <w14:schemeClr w14:val="tx1"/>
                  </w14:solidFill>
                </w14:textFill>
              </w:rPr>
              <w:t>被检测产品名称</w:t>
            </w:r>
          </w:p>
        </w:tc>
        <w:tc>
          <w:tcPr>
            <w:tcW w:w="1749" w:type="dxa"/>
            <w:tcBorders>
              <w:top w:val="single" w:color="auto" w:sz="12" w:space="0"/>
              <w:left w:val="single" w:color="auto" w:sz="4" w:space="0"/>
              <w:bottom w:val="single" w:color="auto" w:sz="12"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lang w:bidi="ar"/>
                <w14:textFill>
                  <w14:solidFill>
                    <w14:schemeClr w14:val="tx1"/>
                  </w14:solidFill>
                </w14:textFill>
              </w:rPr>
              <w:t>所用仪器设备名称</w:t>
            </w:r>
          </w:p>
        </w:tc>
        <w:tc>
          <w:tcPr>
            <w:tcW w:w="1148" w:type="dxa"/>
            <w:tcBorders>
              <w:top w:val="single" w:color="auto" w:sz="12" w:space="0"/>
              <w:left w:val="single" w:color="auto" w:sz="4" w:space="0"/>
              <w:bottom w:val="single" w:color="auto" w:sz="12"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lang w:bidi="ar"/>
                <w14:textFill>
                  <w14:solidFill>
                    <w14:schemeClr w14:val="tx1"/>
                  </w14:solidFill>
                </w14:textFill>
              </w:rPr>
              <w:t>制造厂</w:t>
            </w:r>
          </w:p>
        </w:tc>
        <w:tc>
          <w:tcPr>
            <w:tcW w:w="1701" w:type="dxa"/>
            <w:tcBorders>
              <w:top w:val="single" w:color="auto" w:sz="12" w:space="0"/>
              <w:left w:val="single" w:color="auto" w:sz="4" w:space="0"/>
              <w:bottom w:val="single" w:color="auto" w:sz="12"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lang w:bidi="ar"/>
                <w14:textFill>
                  <w14:solidFill>
                    <w14:schemeClr w14:val="tx1"/>
                  </w14:solidFill>
                </w14:textFill>
              </w:rPr>
              <w:t>检定/校准机构</w:t>
            </w:r>
          </w:p>
        </w:tc>
        <w:tc>
          <w:tcPr>
            <w:tcW w:w="1134" w:type="dxa"/>
            <w:tcBorders>
              <w:top w:val="single" w:color="auto" w:sz="12" w:space="0"/>
              <w:left w:val="single" w:color="auto" w:sz="4" w:space="0"/>
              <w:bottom w:val="single" w:color="auto" w:sz="12"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lang w:bidi="ar"/>
                <w14:textFill>
                  <w14:solidFill>
                    <w14:schemeClr w14:val="tx1"/>
                  </w14:solidFill>
                </w14:textFill>
              </w:rPr>
              <w:t>有效期</w:t>
            </w:r>
          </w:p>
        </w:tc>
        <w:tc>
          <w:tcPr>
            <w:tcW w:w="1134" w:type="dxa"/>
            <w:tcBorders>
              <w:top w:val="single" w:color="auto" w:sz="12" w:space="0"/>
              <w:left w:val="single" w:color="auto" w:sz="4" w:space="0"/>
              <w:bottom w:val="single" w:color="auto" w:sz="12"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lang w:bidi="ar"/>
                <w14:textFill>
                  <w14:solidFill>
                    <w14:schemeClr w14:val="tx1"/>
                  </w14:solidFill>
                </w14:textFill>
              </w:rPr>
              <w:t>检定/校准周期</w:t>
            </w:r>
          </w:p>
        </w:tc>
        <w:tc>
          <w:tcPr>
            <w:tcW w:w="860" w:type="dxa"/>
            <w:tcBorders>
              <w:top w:val="single" w:color="auto" w:sz="12" w:space="0"/>
              <w:left w:val="single" w:color="auto" w:sz="4" w:space="0"/>
              <w:bottom w:val="single" w:color="auto" w:sz="12" w:space="0"/>
              <w:right w:val="single" w:color="auto" w:sz="12" w:space="0"/>
            </w:tcBorders>
            <w:vAlign w:val="center"/>
          </w:tcPr>
          <w:p>
            <w:pPr>
              <w:keepNext w:val="0"/>
              <w:keepLines w:val="0"/>
              <w:suppressLineNumbers w:val="0"/>
              <w:shd w:val="clear"/>
              <w:spacing w:before="0" w:beforeAutospacing="0" w:after="0" w:afterAutospacing="0" w:line="360" w:lineRule="auto"/>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lang w:bidi="ar"/>
                <w14:textFill>
                  <w14:solidFill>
                    <w14:schemeClr w14:val="tx1"/>
                  </w14:solidFill>
                </w14:textFill>
              </w:rPr>
              <w:t>自有/租赁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12" w:space="0"/>
              <w:left w:val="single" w:color="auto" w:sz="12"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80" w:type="dxa"/>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749" w:type="dxa"/>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48" w:type="dxa"/>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701" w:type="dxa"/>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34" w:type="dxa"/>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34" w:type="dxa"/>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860" w:type="dxa"/>
            <w:tcBorders>
              <w:top w:val="single" w:color="auto" w:sz="12" w:space="0"/>
              <w:left w:val="single" w:color="auto" w:sz="4" w:space="0"/>
              <w:bottom w:val="single" w:color="auto" w:sz="4" w:space="0"/>
              <w:right w:val="single" w:color="auto" w:sz="12"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bottom w:val="single" w:color="auto" w:sz="12"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80" w:type="dxa"/>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749" w:type="dxa"/>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48" w:type="dxa"/>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701" w:type="dxa"/>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c>
          <w:tcPr>
            <w:tcW w:w="860" w:type="dxa"/>
            <w:tcBorders>
              <w:top w:val="single" w:color="auto" w:sz="4" w:space="0"/>
              <w:left w:val="single" w:color="auto" w:sz="4" w:space="0"/>
              <w:bottom w:val="single" w:color="auto" w:sz="12" w:space="0"/>
              <w:right w:val="single" w:color="auto" w:sz="12" w:space="0"/>
            </w:tcBorders>
            <w:vAlign w:val="center"/>
          </w:tcPr>
          <w:p>
            <w:pPr>
              <w:keepNext w:val="0"/>
              <w:keepLines w:val="0"/>
              <w:suppressLineNumbers w:val="0"/>
              <w:shd w:val="clear"/>
              <w:spacing w:before="0" w:beforeAutospacing="0" w:after="0" w:afterAutospacing="0" w:line="360" w:lineRule="auto"/>
              <w:ind w:left="0" w:right="0"/>
              <w:rPr>
                <w:rFonts w:hint="default"/>
                <w:color w:val="000000" w:themeColor="text1"/>
                <w:szCs w:val="21"/>
                <w:highlight w:val="none"/>
                <w14:textFill>
                  <w14:solidFill>
                    <w14:schemeClr w14:val="tx1"/>
                  </w14:solidFill>
                </w14:textFill>
              </w:rPr>
            </w:pPr>
          </w:p>
        </w:tc>
      </w:tr>
    </w:tbl>
    <w:p>
      <w:pPr>
        <w:shd w:val="clear"/>
        <w:rPr>
          <w:color w:val="000000" w:themeColor="text1"/>
          <w:szCs w:val="21"/>
          <w:highlight w:val="none"/>
          <w14:textFill>
            <w14:solidFill>
              <w14:schemeClr w14:val="tx1"/>
            </w14:solidFill>
          </w14:textFill>
        </w:rPr>
      </w:pPr>
      <w:r>
        <w:rPr>
          <w:color w:val="000000" w:themeColor="text1"/>
          <w:szCs w:val="21"/>
          <w:highlight w:val="none"/>
          <w:lang w:bidi="ar"/>
          <w14:textFill>
            <w14:solidFill>
              <w14:schemeClr w14:val="tx1"/>
            </w14:solidFill>
          </w14:textFill>
        </w:rPr>
        <w:t>注：1、</w:t>
      </w:r>
      <w:r>
        <w:rPr>
          <w:color w:val="000000" w:themeColor="text1"/>
          <w:szCs w:val="20"/>
          <w:highlight w:val="none"/>
          <w:lang w:bidi="ar"/>
          <w14:textFill>
            <w14:solidFill>
              <w14:schemeClr w14:val="tx1"/>
            </w14:solidFill>
          </w14:textFill>
        </w:rPr>
        <w:t>投标人应根据</w:t>
      </w:r>
      <w:bookmarkStart w:id="303" w:name="_Hlk55898049"/>
      <w:r>
        <w:rPr>
          <w:color w:val="000000" w:themeColor="text1"/>
          <w:szCs w:val="21"/>
          <w:highlight w:val="none"/>
          <w:lang w:bidi="ar"/>
          <w14:textFill>
            <w14:solidFill>
              <w14:schemeClr w14:val="tx1"/>
            </w14:solidFill>
          </w14:textFill>
        </w:rPr>
        <w:t>招标文件第三章《</w:t>
      </w:r>
      <w:r>
        <w:rPr>
          <w:rFonts w:hint="eastAsia"/>
          <w:color w:val="000000" w:themeColor="text1"/>
          <w:szCs w:val="21"/>
          <w:highlight w:val="none"/>
          <w:lang w:bidi="ar"/>
          <w14:textFill>
            <w14:solidFill>
              <w14:schemeClr w14:val="tx1"/>
            </w14:solidFill>
          </w14:textFill>
        </w:rPr>
        <w:t>评标办法</w:t>
      </w:r>
      <w:r>
        <w:rPr>
          <w:color w:val="000000" w:themeColor="text1"/>
          <w:szCs w:val="21"/>
          <w:highlight w:val="none"/>
          <w:lang w:bidi="ar"/>
          <w14:textFill>
            <w14:solidFill>
              <w14:schemeClr w14:val="tx1"/>
            </w14:solidFill>
          </w14:textFill>
        </w:rPr>
        <w:t>》</w:t>
      </w:r>
      <w:bookmarkEnd w:id="303"/>
      <w:r>
        <w:rPr>
          <w:color w:val="000000" w:themeColor="text1"/>
          <w:szCs w:val="20"/>
          <w:highlight w:val="none"/>
          <w:lang w:bidi="ar"/>
          <w14:textFill>
            <w14:solidFill>
              <w14:schemeClr w14:val="tx1"/>
            </w14:solidFill>
          </w14:textFill>
        </w:rPr>
        <w:t>要求在本表后附相关证明材料</w:t>
      </w:r>
      <w:r>
        <w:rPr>
          <w:color w:val="000000" w:themeColor="text1"/>
          <w:szCs w:val="21"/>
          <w:highlight w:val="none"/>
          <w:lang w:bidi="ar"/>
          <w14:textFill>
            <w14:solidFill>
              <w14:schemeClr w14:val="tx1"/>
            </w14:solidFill>
          </w14:textFill>
        </w:rPr>
        <w:t>。</w:t>
      </w:r>
    </w:p>
    <w:p>
      <w:pPr>
        <w:shd w:val="clear"/>
        <w:spacing w:line="360" w:lineRule="auto"/>
        <w:rPr>
          <w:color w:val="000000" w:themeColor="text1"/>
          <w:szCs w:val="21"/>
          <w:highlight w:val="none"/>
          <w14:textFill>
            <w14:solidFill>
              <w14:schemeClr w14:val="tx1"/>
            </w14:solidFill>
          </w14:textFill>
        </w:rPr>
      </w:pPr>
    </w:p>
    <w:p>
      <w:pPr>
        <w:shd w:val="clear"/>
        <w:spacing w:line="360" w:lineRule="auto"/>
        <w:rPr>
          <w:color w:val="000000" w:themeColor="text1"/>
          <w:highlight w:val="none"/>
          <w14:textFill>
            <w14:solidFill>
              <w14:schemeClr w14:val="tx1"/>
            </w14:solidFill>
          </w14:textFill>
        </w:rPr>
      </w:pPr>
    </w:p>
    <w:p>
      <w:pPr>
        <w:shd w:val="clear"/>
        <w:spacing w:line="360" w:lineRule="auto"/>
        <w:rPr>
          <w:color w:val="000000" w:themeColor="text1"/>
          <w:highlight w:val="none"/>
          <w14:textFill>
            <w14:solidFill>
              <w14:schemeClr w14:val="tx1"/>
            </w14:solidFill>
          </w14:textFill>
        </w:rPr>
      </w:pPr>
      <w:r>
        <w:rPr>
          <w:color w:val="000000" w:themeColor="text1"/>
          <w:szCs w:val="20"/>
          <w:highlight w:val="none"/>
          <w:lang w:bidi="ar"/>
          <w14:textFill>
            <w14:solidFill>
              <w14:schemeClr w14:val="tx1"/>
            </w14:solidFill>
          </w14:textFill>
        </w:rPr>
        <w:br w:type="page"/>
      </w:r>
    </w:p>
    <w:p>
      <w:pPr>
        <w:pStyle w:val="3"/>
        <w:keepNext w:val="0"/>
        <w:keepLines w:val="0"/>
        <w:shd w:val="clear"/>
        <w:spacing w:before="0" w:after="0" w:line="360" w:lineRule="auto"/>
        <w:jc w:val="center"/>
        <w:rPr>
          <w:rFonts w:ascii="Times New Roman" w:hAnsi="Times New Roman" w:eastAsia="宋体"/>
          <w:color w:val="000000" w:themeColor="text1"/>
          <w:highlight w:val="none"/>
          <w14:textFill>
            <w14:solidFill>
              <w14:schemeClr w14:val="tx1"/>
            </w14:solidFill>
          </w14:textFill>
        </w:rPr>
      </w:pPr>
      <w:bookmarkStart w:id="304" w:name="_Toc47376796"/>
      <w:bookmarkStart w:id="305" w:name="_Toc47987360"/>
      <w:bookmarkStart w:id="306" w:name="_Toc16847"/>
      <w:bookmarkStart w:id="307" w:name="_Toc15319"/>
      <w:r>
        <w:rPr>
          <w:rFonts w:ascii="Times New Roman" w:hAnsi="Times New Roman" w:eastAsia="宋体"/>
          <w:bCs/>
          <w:color w:val="000000" w:themeColor="text1"/>
          <w:szCs w:val="32"/>
          <w:highlight w:val="none"/>
          <w14:textFill>
            <w14:solidFill>
              <w14:schemeClr w14:val="tx1"/>
            </w14:solidFill>
          </w14:textFill>
        </w:rPr>
        <w:t>十、检测</w:t>
      </w:r>
      <w:bookmarkEnd w:id="304"/>
      <w:bookmarkEnd w:id="305"/>
      <w:r>
        <w:rPr>
          <w:rFonts w:ascii="Times New Roman" w:hAnsi="Times New Roman" w:eastAsia="宋体"/>
          <w:bCs/>
          <w:color w:val="000000" w:themeColor="text1"/>
          <w:szCs w:val="32"/>
          <w:highlight w:val="none"/>
          <w14:textFill>
            <w14:solidFill>
              <w14:schemeClr w14:val="tx1"/>
            </w14:solidFill>
          </w14:textFill>
        </w:rPr>
        <w:t>、监测方案</w:t>
      </w:r>
      <w:bookmarkEnd w:id="306"/>
      <w:bookmarkEnd w:id="307"/>
    </w:p>
    <w:p>
      <w:pPr>
        <w:shd w:val="clear"/>
        <w:spacing w:line="360" w:lineRule="auto"/>
        <w:ind w:firstLine="480" w:firstLineChars="200"/>
        <w:rPr>
          <w:color w:val="000000" w:themeColor="text1"/>
          <w:sz w:val="24"/>
          <w:szCs w:val="20"/>
          <w:highlight w:val="none"/>
          <w14:textFill>
            <w14:solidFill>
              <w14:schemeClr w14:val="tx1"/>
            </w14:solidFill>
          </w14:textFill>
        </w:rPr>
      </w:pPr>
      <w:r>
        <w:rPr>
          <w:color w:val="000000" w:themeColor="text1"/>
          <w:sz w:val="24"/>
          <w:szCs w:val="20"/>
          <w:highlight w:val="none"/>
          <w:lang w:bidi="ar"/>
          <w14:textFill>
            <w14:solidFill>
              <w14:schemeClr w14:val="tx1"/>
            </w14:solidFill>
          </w14:textFill>
        </w:rPr>
        <w:t>投标人应按照招标文件的规定，结合自身的服务工作经验，充分考虑本工程现场的各种实际情况编制本服务方案。</w:t>
      </w:r>
    </w:p>
    <w:p>
      <w:pPr>
        <w:shd w:val="clear"/>
        <w:spacing w:line="360" w:lineRule="auto"/>
        <w:ind w:firstLine="420" w:firstLineChars="200"/>
        <w:rPr>
          <w:color w:val="000000" w:themeColor="text1"/>
          <w:szCs w:val="21"/>
          <w:highlight w:val="none"/>
          <w14:textFill>
            <w14:solidFill>
              <w14:schemeClr w14:val="tx1"/>
            </w14:solidFill>
          </w14:textFill>
        </w:rPr>
      </w:pPr>
    </w:p>
    <w:p>
      <w:pPr>
        <w:shd w:val="clear"/>
        <w:spacing w:line="360" w:lineRule="auto"/>
        <w:ind w:firstLine="472" w:firstLineChars="225"/>
        <w:rPr>
          <w:color w:val="000000" w:themeColor="text1"/>
          <w:highlight w:val="none"/>
          <w14:textFill>
            <w14:solidFill>
              <w14:schemeClr w14:val="tx1"/>
            </w14:solidFill>
          </w14:textFill>
        </w:rPr>
      </w:pPr>
    </w:p>
    <w:p>
      <w:pPr>
        <w:pStyle w:val="3"/>
        <w:keepNext w:val="0"/>
        <w:keepLines w:val="0"/>
        <w:shd w:val="clear"/>
        <w:spacing w:after="0"/>
        <w:jc w:val="center"/>
        <w:rPr>
          <w:rFonts w:ascii="Times New Roman" w:hAnsi="Times New Roman" w:eastAsia="宋体"/>
          <w:color w:val="000000" w:themeColor="text1"/>
          <w:highlight w:val="none"/>
          <w14:textFill>
            <w14:solidFill>
              <w14:schemeClr w14:val="tx1"/>
            </w14:solidFill>
          </w14:textFill>
        </w:rPr>
      </w:pPr>
      <w:r>
        <w:rPr>
          <w:rFonts w:ascii="Times New Roman" w:hAnsi="Times New Roman" w:eastAsia="宋体"/>
          <w:color w:val="000000" w:themeColor="text1"/>
          <w:szCs w:val="20"/>
          <w:highlight w:val="none"/>
          <w:lang w:bidi="ar"/>
          <w14:textFill>
            <w14:solidFill>
              <w14:schemeClr w14:val="tx1"/>
            </w14:solidFill>
          </w14:textFill>
        </w:rPr>
        <w:br w:type="page"/>
      </w:r>
      <w:bookmarkStart w:id="308" w:name="_Toc47376797"/>
      <w:bookmarkStart w:id="309" w:name="_Toc536044219"/>
      <w:bookmarkStart w:id="310" w:name="_Toc1205"/>
      <w:bookmarkStart w:id="311" w:name="_Toc47987361"/>
      <w:bookmarkStart w:id="312" w:name="_Toc20652"/>
      <w:r>
        <w:rPr>
          <w:rFonts w:ascii="Times New Roman" w:hAnsi="Times New Roman" w:eastAsia="宋体"/>
          <w:color w:val="000000" w:themeColor="text1"/>
          <w:highlight w:val="none"/>
          <w14:textFill>
            <w14:solidFill>
              <w14:schemeClr w14:val="tx1"/>
            </w14:solidFill>
          </w14:textFill>
        </w:rPr>
        <w:t>十一、工期承诺书</w:t>
      </w:r>
      <w:bookmarkEnd w:id="308"/>
      <w:bookmarkEnd w:id="309"/>
      <w:bookmarkEnd w:id="310"/>
      <w:bookmarkEnd w:id="311"/>
      <w:bookmarkEnd w:id="312"/>
    </w:p>
    <w:p>
      <w:pPr>
        <w:shd w:val="clear"/>
        <w:autoSpaceDE w:val="0"/>
        <w:autoSpaceDN w:val="0"/>
        <w:adjustRightInd w:val="0"/>
        <w:spacing w:line="360" w:lineRule="auto"/>
        <w:jc w:val="center"/>
        <w:rPr>
          <w:color w:val="000000" w:themeColor="text1"/>
          <w:sz w:val="24"/>
          <w:szCs w:val="20"/>
          <w:highlight w:val="none"/>
          <w:lang w:val="zh-CN"/>
          <w14:textFill>
            <w14:solidFill>
              <w14:schemeClr w14:val="tx1"/>
            </w14:solidFill>
          </w14:textFill>
        </w:rPr>
      </w:pPr>
    </w:p>
    <w:p>
      <w:pPr>
        <w:pStyle w:val="33"/>
        <w:widowControl w:val="0"/>
        <w:shd w:val="clear"/>
        <w:spacing w:before="0" w:beforeAutospacing="0" w:after="0" w:afterAutospacing="0" w:line="360" w:lineRule="auto"/>
        <w:jc w:val="both"/>
        <w:rPr>
          <w:rFonts w:ascii="Times New Roman" w:hAnsi="Times New Roman" w:cs="Times New Roman"/>
          <w:color w:val="000000" w:themeColor="text1"/>
          <w:highlight w:val="none"/>
          <w:lang w:val="zh-CN"/>
          <w14:textFill>
            <w14:solidFill>
              <w14:schemeClr w14:val="tx1"/>
            </w14:solidFill>
          </w14:textFill>
        </w:rPr>
      </w:pPr>
      <w:r>
        <w:rPr>
          <w:rFonts w:ascii="Times New Roman" w:hAnsi="Times New Roman" w:cs="Times New Roman"/>
          <w:color w:val="000000" w:themeColor="text1"/>
          <w:kern w:val="2"/>
          <w:highlight w:val="none"/>
          <w:lang w:val="zh-CN" w:bidi="ar"/>
          <w14:textFill>
            <w14:solidFill>
              <w14:schemeClr w14:val="tx1"/>
            </w14:solidFill>
          </w14:textFill>
        </w:rPr>
        <w:t>致：广州市白云城市建设投资有限公司</w:t>
      </w:r>
    </w:p>
    <w:p>
      <w:pPr>
        <w:shd w:val="clear"/>
        <w:autoSpaceDE w:val="0"/>
        <w:autoSpaceDN w:val="0"/>
        <w:adjustRightInd w:val="0"/>
        <w:spacing w:line="360" w:lineRule="auto"/>
        <w:ind w:firstLine="482" w:firstLineChars="200"/>
        <w:rPr>
          <w:b/>
          <w:color w:val="000000" w:themeColor="text1"/>
          <w:sz w:val="24"/>
          <w:szCs w:val="24"/>
          <w:highlight w:val="none"/>
          <w:lang w:val="zh-CN"/>
          <w14:textFill>
            <w14:solidFill>
              <w14:schemeClr w14:val="tx1"/>
            </w14:solidFill>
          </w14:textFill>
        </w:rPr>
      </w:pPr>
    </w:p>
    <w:p>
      <w:pPr>
        <w:shd w:val="clear"/>
        <w:autoSpaceDE w:val="0"/>
        <w:autoSpaceDN w:val="0"/>
        <w:adjustRightInd w:val="0"/>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bidi="ar"/>
          <w14:textFill>
            <w14:solidFill>
              <w14:schemeClr w14:val="tx1"/>
            </w14:solidFill>
          </w14:textFill>
        </w:rPr>
        <w:t>我方已充分阅读了招标文件并充分了解本项目施工过程中，可能发生众多阻碍工期的情况。如若中标，我司承诺将无条件配合工程施工，施工工期延长，我司的项目服务周期也延长，由此产生的费用按照合同条款进行结算。</w:t>
      </w:r>
    </w:p>
    <w:p>
      <w:pPr>
        <w:shd w:val="clear"/>
        <w:autoSpaceDE w:val="0"/>
        <w:autoSpaceDN w:val="0"/>
        <w:adjustRightInd w:val="0"/>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bidi="ar"/>
          <w14:textFill>
            <w14:solidFill>
              <w14:schemeClr w14:val="tx1"/>
            </w14:solidFill>
          </w14:textFill>
        </w:rPr>
        <w:t>若我司未按要求相应延长服务期限，给业主造成损失的，我司承诺将无条件承担合同中的赔偿责任。</w:t>
      </w: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autoSpaceDE w:val="0"/>
        <w:autoSpaceDN w:val="0"/>
        <w:adjustRightInd w:val="0"/>
        <w:spacing w:line="360" w:lineRule="auto"/>
        <w:ind w:firstLine="480"/>
        <w:rPr>
          <w:color w:val="000000" w:themeColor="text1"/>
          <w:sz w:val="24"/>
          <w:szCs w:val="20"/>
          <w:highlight w:val="none"/>
          <w14:textFill>
            <w14:solidFill>
              <w14:schemeClr w14:val="tx1"/>
            </w14:solidFill>
          </w14:textFill>
        </w:rPr>
      </w:pPr>
      <w:r>
        <w:rPr>
          <w:color w:val="000000" w:themeColor="text1"/>
          <w:szCs w:val="20"/>
          <w:highlight w:val="none"/>
          <w:lang w:bidi="ar"/>
          <w14:textFill>
            <w14:solidFill>
              <w14:schemeClr w14:val="tx1"/>
            </w14:solidFill>
          </w14:textFill>
        </w:rPr>
        <w:t xml:space="preserve">           </w:t>
      </w:r>
      <w:r>
        <w:rPr>
          <w:color w:val="000000" w:themeColor="text1"/>
          <w:sz w:val="24"/>
          <w:szCs w:val="20"/>
          <w:highlight w:val="none"/>
          <w:lang w:val="zh-CN" w:bidi="ar"/>
          <w14:textFill>
            <w14:solidFill>
              <w14:schemeClr w14:val="tx1"/>
            </w14:solidFill>
          </w14:textFill>
        </w:rPr>
        <w:t xml:space="preserve">                     投 标 人（法人公章）：</w:t>
      </w:r>
      <w:r>
        <w:rPr>
          <w:color w:val="000000" w:themeColor="text1"/>
          <w:sz w:val="24"/>
          <w:szCs w:val="20"/>
          <w:highlight w:val="none"/>
          <w:lang w:bidi="ar"/>
          <w14:textFill>
            <w14:solidFill>
              <w14:schemeClr w14:val="tx1"/>
            </w14:solidFill>
          </w14:textFill>
        </w:rPr>
        <w:t xml:space="preserve"> </w:t>
      </w:r>
      <w:r>
        <w:rPr>
          <w:b/>
          <w:color w:val="000000" w:themeColor="text1"/>
          <w:sz w:val="28"/>
          <w:szCs w:val="20"/>
          <w:highlight w:val="none"/>
          <w:u w:val="single"/>
          <w:lang w:bidi="ar"/>
          <w14:textFill>
            <w14:solidFill>
              <w14:schemeClr w14:val="tx1"/>
            </w14:solidFill>
          </w14:textFill>
        </w:rPr>
        <w:t xml:space="preserve">                 </w:t>
      </w:r>
    </w:p>
    <w:p>
      <w:pPr>
        <w:shd w:val="clear"/>
        <w:autoSpaceDE w:val="0"/>
        <w:autoSpaceDN w:val="0"/>
        <w:adjustRightInd w:val="0"/>
        <w:spacing w:line="360" w:lineRule="auto"/>
        <w:rPr>
          <w:color w:val="000000" w:themeColor="text1"/>
          <w:sz w:val="24"/>
          <w:szCs w:val="20"/>
          <w:highlight w:val="none"/>
          <w:lang w:val="zh-CN"/>
          <w14:textFill>
            <w14:solidFill>
              <w14:schemeClr w14:val="tx1"/>
            </w14:solidFill>
          </w14:textFill>
        </w:rPr>
      </w:pPr>
      <w:r>
        <w:rPr>
          <w:color w:val="000000" w:themeColor="text1"/>
          <w:sz w:val="24"/>
          <w:szCs w:val="20"/>
          <w:highlight w:val="none"/>
          <w:lang w:bidi="ar"/>
          <w14:textFill>
            <w14:solidFill>
              <w14:schemeClr w14:val="tx1"/>
            </w14:solidFill>
          </w14:textFill>
        </w:rPr>
        <w:t xml:space="preserve">                         </w:t>
      </w:r>
      <w:r>
        <w:rPr>
          <w:color w:val="000000" w:themeColor="text1"/>
          <w:sz w:val="24"/>
          <w:szCs w:val="20"/>
          <w:highlight w:val="none"/>
          <w:lang w:val="zh-CN" w:bidi="ar"/>
          <w14:textFill>
            <w14:solidFill>
              <w14:schemeClr w14:val="tx1"/>
            </w14:solidFill>
          </w14:textFill>
        </w:rPr>
        <w:t>法定代表人或其授权委托人（签名或盖章）：</w:t>
      </w:r>
      <w:r>
        <w:rPr>
          <w:b/>
          <w:color w:val="000000" w:themeColor="text1"/>
          <w:sz w:val="28"/>
          <w:szCs w:val="20"/>
          <w:highlight w:val="none"/>
          <w:u w:val="single"/>
          <w:lang w:bidi="ar"/>
          <w14:textFill>
            <w14:solidFill>
              <w14:schemeClr w14:val="tx1"/>
            </w14:solidFill>
          </w14:textFill>
        </w:rPr>
        <w:t xml:space="preserve">                 </w:t>
      </w:r>
    </w:p>
    <w:p>
      <w:pPr>
        <w:shd w:val="clear"/>
        <w:spacing w:line="360" w:lineRule="auto"/>
        <w:rPr>
          <w:color w:val="000000" w:themeColor="text1"/>
          <w:highlight w:val="none"/>
          <w14:textFill>
            <w14:solidFill>
              <w14:schemeClr w14:val="tx1"/>
            </w14:solidFill>
          </w14:textFill>
        </w:rPr>
      </w:pPr>
      <w:r>
        <w:rPr>
          <w:color w:val="000000" w:themeColor="text1"/>
          <w:sz w:val="24"/>
          <w:szCs w:val="20"/>
          <w:highlight w:val="none"/>
          <w:lang w:bidi="ar"/>
          <w14:textFill>
            <w14:solidFill>
              <w14:schemeClr w14:val="tx1"/>
            </w14:solidFill>
          </w14:textFill>
        </w:rPr>
        <w:t xml:space="preserve">                                   </w:t>
      </w:r>
      <w:r>
        <w:rPr>
          <w:color w:val="000000" w:themeColor="text1"/>
          <w:sz w:val="24"/>
          <w:szCs w:val="20"/>
          <w:highlight w:val="none"/>
          <w:lang w:val="zh-CN" w:bidi="ar"/>
          <w14:textFill>
            <w14:solidFill>
              <w14:schemeClr w14:val="tx1"/>
            </w14:solidFill>
          </w14:textFill>
        </w:rPr>
        <w:t>日      期：</w:t>
      </w:r>
      <w:r>
        <w:rPr>
          <w:b/>
          <w:color w:val="000000" w:themeColor="text1"/>
          <w:sz w:val="28"/>
          <w:szCs w:val="20"/>
          <w:highlight w:val="none"/>
          <w:u w:val="single"/>
          <w:lang w:bidi="ar"/>
          <w14:textFill>
            <w14:solidFill>
              <w14:schemeClr w14:val="tx1"/>
            </w14:solidFill>
          </w14:textFill>
        </w:rPr>
        <w:t xml:space="preserve">                 </w:t>
      </w:r>
    </w:p>
    <w:p>
      <w:pPr>
        <w:shd w:val="clear"/>
        <w:spacing w:line="360" w:lineRule="auto"/>
        <w:rPr>
          <w:color w:val="000000" w:themeColor="text1"/>
          <w:highlight w:val="none"/>
          <w14:textFill>
            <w14:solidFill>
              <w14:schemeClr w14:val="tx1"/>
            </w14:solidFill>
          </w14:textFill>
        </w:rPr>
      </w:pPr>
    </w:p>
    <w:p>
      <w:pPr>
        <w:pStyle w:val="16"/>
        <w:shd w:val="clear"/>
        <w:rPr>
          <w:color w:val="000000" w:themeColor="text1"/>
          <w:highlight w:val="none"/>
          <w14:textFill>
            <w14:solidFill>
              <w14:schemeClr w14:val="tx1"/>
            </w14:solidFill>
          </w14:textFill>
        </w:rPr>
      </w:pPr>
    </w:p>
    <w:p>
      <w:pPr>
        <w:pStyle w:val="16"/>
        <w:shd w:val="clear"/>
        <w:rPr>
          <w:color w:val="000000" w:themeColor="text1"/>
          <w:highlight w:val="none"/>
          <w14:textFill>
            <w14:solidFill>
              <w14:schemeClr w14:val="tx1"/>
            </w14:solidFill>
          </w14:textFill>
        </w:rPr>
      </w:pPr>
    </w:p>
    <w:p>
      <w:pPr>
        <w:pStyle w:val="16"/>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
        <w:keepNext w:val="0"/>
        <w:keepLines w:val="0"/>
        <w:shd w:val="clear"/>
        <w:spacing w:after="0" w:line="360" w:lineRule="auto"/>
        <w:jc w:val="center"/>
        <w:rPr>
          <w:rFonts w:ascii="Times New Roman" w:hAnsi="Times New Roman" w:eastAsia="宋体"/>
          <w:color w:val="000000" w:themeColor="text1"/>
          <w:highlight w:val="none"/>
          <w14:textFill>
            <w14:solidFill>
              <w14:schemeClr w14:val="tx1"/>
            </w14:solidFill>
          </w14:textFill>
        </w:rPr>
      </w:pPr>
      <w:bookmarkStart w:id="313" w:name="_Toc19950"/>
      <w:r>
        <w:rPr>
          <w:rFonts w:ascii="Times New Roman" w:hAnsi="Times New Roman" w:eastAsia="宋体"/>
          <w:color w:val="000000" w:themeColor="text1"/>
          <w:highlight w:val="none"/>
          <w14:textFill>
            <w14:solidFill>
              <w14:schemeClr w14:val="tx1"/>
            </w14:solidFill>
          </w14:textFill>
        </w:rPr>
        <w:t>十二、其他资料</w:t>
      </w:r>
      <w:bookmarkEnd w:id="313"/>
    </w:p>
    <w:p>
      <w:pPr>
        <w:shd w:val="clear"/>
        <w:spacing w:line="360" w:lineRule="auto"/>
        <w:rPr>
          <w:color w:val="000000" w:themeColor="text1"/>
          <w:highlight w:val="none"/>
          <w14:textFill>
            <w14:solidFill>
              <w14:schemeClr w14:val="tx1"/>
            </w14:solidFill>
          </w14:textFill>
        </w:rPr>
      </w:pPr>
    </w:p>
    <w:p>
      <w:pPr>
        <w:shd w:val="clear"/>
        <w:spacing w:line="360" w:lineRule="auto"/>
        <w:ind w:firstLine="480" w:firstLineChars="200"/>
        <w:jc w:val="left"/>
        <w:rPr>
          <w:color w:val="000000" w:themeColor="text1"/>
          <w:sz w:val="24"/>
          <w:szCs w:val="24"/>
          <w:highlight w:val="none"/>
          <w:lang w:bidi="ar"/>
          <w14:textFill>
            <w14:solidFill>
              <w14:schemeClr w14:val="tx1"/>
            </w14:solidFill>
          </w14:textFill>
        </w:rPr>
      </w:pPr>
      <w:r>
        <w:rPr>
          <w:color w:val="000000" w:themeColor="text1"/>
          <w:sz w:val="24"/>
          <w:szCs w:val="20"/>
          <w:highlight w:val="none"/>
          <w:lang w:bidi="ar"/>
          <w14:textFill>
            <w14:solidFill>
              <w14:schemeClr w14:val="tx1"/>
            </w14:solidFill>
          </w14:textFill>
        </w:rPr>
        <w:t>投标人须知前附表规定的其他资料</w:t>
      </w:r>
      <w:bookmarkStart w:id="314" w:name="_Hlk55898445"/>
      <w:r>
        <w:rPr>
          <w:color w:val="000000" w:themeColor="text1"/>
          <w:sz w:val="24"/>
          <w:szCs w:val="20"/>
          <w:highlight w:val="none"/>
          <w:lang w:bidi="ar"/>
          <w14:textFill>
            <w14:solidFill>
              <w14:schemeClr w14:val="tx1"/>
            </w14:solidFill>
          </w14:textFill>
        </w:rPr>
        <w:t>和投标人根据招标文件第三章《</w:t>
      </w:r>
      <w:r>
        <w:rPr>
          <w:rFonts w:hint="eastAsia"/>
          <w:color w:val="000000" w:themeColor="text1"/>
          <w:sz w:val="24"/>
          <w:szCs w:val="20"/>
          <w:highlight w:val="none"/>
          <w:lang w:bidi="ar"/>
          <w14:textFill>
            <w14:solidFill>
              <w14:schemeClr w14:val="tx1"/>
            </w14:solidFill>
          </w14:textFill>
        </w:rPr>
        <w:t>评标办法</w:t>
      </w:r>
      <w:r>
        <w:rPr>
          <w:color w:val="000000" w:themeColor="text1"/>
          <w:sz w:val="24"/>
          <w:szCs w:val="20"/>
          <w:highlight w:val="none"/>
          <w:lang w:bidi="ar"/>
          <w14:textFill>
            <w14:solidFill>
              <w14:schemeClr w14:val="tx1"/>
            </w14:solidFill>
          </w14:textFill>
        </w:rPr>
        <w:t>》中评审内容提供的其他相关资料，</w:t>
      </w:r>
      <w:bookmarkEnd w:id="314"/>
      <w:r>
        <w:rPr>
          <w:color w:val="000000" w:themeColor="text1"/>
          <w:sz w:val="24"/>
          <w:szCs w:val="24"/>
          <w:highlight w:val="none"/>
          <w:lang w:bidi="ar"/>
          <w14:textFill>
            <w14:solidFill>
              <w14:schemeClr w14:val="tx1"/>
            </w14:solidFill>
          </w14:textFill>
        </w:rPr>
        <w:t>投标人认为有必要提交的其他资料，格式自定。</w:t>
      </w: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sectPr>
      <w:footerReference r:id="rId6" w:type="default"/>
      <w:pgSz w:w="12240" w:h="15840"/>
      <w:pgMar w:top="1440" w:right="1423" w:bottom="1701" w:left="1701" w:header="720" w:footer="720" w:gutter="0"/>
      <w:pgNumType w:fmt="decimal"/>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5"/>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ES9nEAgAA1gUAAA4AAABkcnMvZTJvRG9jLnhtbK1UzW7UMBC+I/EO&#10;lu9pfppus6tmq22yQUgrWqkgzl7H2UQ4tmV7fwriCm/AiQt3nqvPwTjZ7LYFIQRckrFnPJ7vm/F3&#10;cblrOdowbRopUhyeBBgxQWXZiFWK37wuvAQjY4koCZeCpfiOGXw5ff7sYqsmLJK15CXTCJIIM9mq&#10;FNfWqonvG1qzlpgTqZgAZyV1Syws9covNdlC9pb7URCM/K3UpdKSMmNgN++deNrlrypG7XVVGWYR&#10;TzHUZruv7r5L9/WnF2Sy0kTVDd2XQf6iipY0Ai49pMqJJWitm59StQ3V0sjKnlDZ+rKqGso6DIAm&#10;DJ6gua2JYh0WIMeoA03m/6WlrzY3GjVliiOMBGmhRfdfPt9//X7/7ROKHD1bZSYQdasgzu6u5A7a&#10;POwb2HSod5Vu3R/wIPAD0XcHctnOIuoOJVGSBOCi4BsWkN8/Hlfa2BdMtsgZKdbQvY5UslkY24cO&#10;Ie42IYuG866DXKBtikenZ0F34OCB5Fy4WKgCcuytvjMfxsF4nsyT2Iuj0dyLgzz3ZkUWe6MiPD/L&#10;T/Msy8OPLl8YT+qmLJlw9w1TEsZ/1oX9vPb9PcyJkbwpXTpXktGrZcY12hCY0iybJ1nhGIbiH4T5&#10;j8vo3IDqCaQwioOraOwVo+Tci4v4zBufB4kXhOOr8SiIx3FePIa0aAT7d0iP2H9QNJm4hh2wLTmh&#10;734LzZVzhAYMDI3z3Rz28+Ysu1vugCJnLmV5B7OpZf+4jaJFA5cuiLE3RMNrhpkDhbLX8Km4hDmR&#10;ewujWur3v9p38dBe8GK0BXVIsQD5woi/FPD4nJAMhh6M5WCIdZtJaGQIyqdoZ8IBbflgVlq2b0G2&#10;Zu4OcBFB4aYU28HMbK9QIHuUzWZd0FrpZlX3B0A6FLELcauou6YbITVbW3gP3TM5sgJUugWIR0fq&#10;XuicOj1cd1FHOZ7+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LNJWO7QAAAABQEAAA8AAAAAAAAA&#10;AQAgAAAAIgAAAGRycy9kb3ducmV2LnhtbFBLAQIUABQAAAAIAIdO4kDixEvZxAIAANYFAAAOAAAA&#10;AAAAAAEAIAAAAB8BAABkcnMvZTJvRG9jLnhtbFBLBQYAAAAABgAGAFkBAABVBgAAAAA=&#10;">
              <v:fill on="f" focussize="0,0"/>
              <v:stroke on="f" weight="0.5pt"/>
              <v:imagedata o:title=""/>
              <o:lock v:ext="edit" aspectratio="f"/>
              <v:textbox inset="0mm,0mm,0mm,0mm" style="mso-fit-shape-to-text:t;">
                <w:txbxContent>
                  <w:p>
                    <w:pPr>
                      <w:pStyle w:val="25"/>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e6/EAgAA1gUAAA4AAABkcnMvZTJvRG9jLnhtbK1UzY7TMBC+I/EO&#10;lu/ZJG22m1abrrpJg5AqdqWCOLuO00Q4tmW7PwviCm/AiQt3nmufg3HStLsLQgi4JGPPeDzfN+Pv&#10;8mrfcLRl2tRSJDg8CzBigsqiFusEv3mdezFGxhJREC4FS/AdM/hq+vzZ5U5N2EBWkhdMI0gizGSn&#10;ElxZqya+b2jFGmLOpGICnKXUDbGw1Gu/0GQH2RvuD4Jg5O+kLpSWlBkDu1nnxNM2f1kyam/K0jCL&#10;eIKhNtt+dftdua8/vSSTtSaqqumhDPIXVTSkFnDpMVVGLEEbXf+UqqmplkaW9ozKxpdlWVPWYgA0&#10;YfAEzbIiirVYgByjjjSZ/5eWvtrealQXCR5iJEgDLbr/8vn+6/f7b5/Q0NGzU2YCUUsFcXZ/LffQ&#10;5n7fwKZDvS914/6AB4EfiL47ksv2FlF3KB7EcQAuCr5+Afn903GljX3BZIOckWAN3WtJJduFsV1o&#10;H+JuEzKvOW87yAXaJXg0PA/aA0cPJOfCxUIVkONgdZ35MA7G83geR140GM29KMgyb5ankTfKw4vz&#10;bJilaRZ+dPnCaFLVRcGEu6+fkjD6sy4c5rXr73FOjOR14dK5koxer1Ku0ZbAlKbpPE5zxzAU/yDM&#10;f1xG6wZUTyCFgyi4Hoy9fBRfeFEenXvjiyD2gnB8PR4F0TjK8seQFrVg/w7pEfsPiiYT17AjthUn&#10;9N1voblyTtCAgb5xvpvDbt6cZferPVDkzJUs7mA2tewet1E0r+HSBTH2lmh4zTBzoFD2Bj4llzAn&#10;8mBhVEn9/lf7Lh7aC16MdqAOCRYgXxjxlwIenxOS3tC9seoNsWlSCY0MQfkUbU04oC3vzVLL5i3I&#10;1szdAS4iKNyUYNubqe0UCmSPstmsDdooXa+r7gBIhyJ2IZaKumvaEVKzjYX30D6TEytApVuAeLSk&#10;HoTOqdPDdRt1kuPp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LNJWO7QAAAABQEAAA8AAAAAAAAA&#10;AQAgAAAAIgAAAGRycy9kb3ducmV2LnhtbFBLAQIUABQAAAAIAIdO4kDv7nuvxAIAANYFAAAOAAAA&#10;AAAAAAEAIAAAAB8BAABkcnMvZTJvRG9jLnhtbFBLBQYAAAAABgAGAFkBAABVBgAAAAA=&#10;">
              <v:fill on="f" focussize="0,0"/>
              <v:stroke on="f" weight="0.5pt"/>
              <v:imagedata o:title=""/>
              <o:lock v:ext="edit" aspectratio="f"/>
              <v:textbox inset="0mm,0mm,0mm,0mm" style="mso-fit-shape-to-text:t;">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25"/>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OCeAOgBAAC2AwAADgAAAGRycy9lMm9Eb2MueG1srVPNjtMwEL4j8Q6W&#10;7zRpD6iKmq6WXRUhLT/SwgM4jpNYxB5r7DYpDwBvwIkLd56rz7Fjp+kucENcrPHM+JtvZj5vrkbT&#10;s4NCr8GWfLnIOVNWQq1tW/JPH3cv1pz5IGwterCq5Efl+dX2+bPN4Aq1gg76WiEjEOuLwZW8C8EV&#10;WeZlp4zwC3DKUrABNCLQFdusRjEQuumzVZ6/zAbA2iFI5T15b6cg3yb8plEyvG8arwLrS07cQjox&#10;nVU8s+1GFC0K12l5piH+gYUR2lLRC9StCILtUf8FZbRE8NCEhQSTQdNoqVIP1M0y/6Ob+044lXqh&#10;4Xh3GZP/f7Dy3eEDMl3T7jizwtCKTt+/nX78Ov38ylZxPIPzBWXdO8oL4ysYY2ps1bs7kJ89s3DT&#10;Cduqa0QYOiVqoreML7MnTyccH0Gq4S3UVEfsAySgsUETAWkajNBpTcfLatQYmIwl16v1OqeQpNh8&#10;iTVEMT936MNrBYZFo+RIu0/w4nDnw5Q6p8RqFna678kvit7+5iDM6En0I+OJexirkbJjTxXUR2oE&#10;YZITyZ+MDvALZwNJqeSWtM5Z/8bSKKLqZgNno5oNYSU9LHngbDJvwqTOvUPddoQ7D/uaxrXTqZFH&#10;DmeWJI40irOQo/qe3lPW43fbP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hOCeAOgBAAC2&#10;AwAADgAAAAAAAAABACAAAAAeAQAAZHJzL2Uyb0RvYy54bWxQSwUGAAAAAAYABgBZAQAAeAUAAAAA&#10;">
              <v:fill on="f" focussize="0,0"/>
              <v:stroke on="f"/>
              <v:imagedata o:title=""/>
              <o:lock v:ext="edit" aspectratio="f"/>
              <v:textbox inset="0mm,0mm,0mm,0mm" style="mso-fit-shape-to-text:t;">
                <w:txbxContent>
                  <w:p>
                    <w:pPr>
                      <w:pStyle w:val="25"/>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AF24CC"/>
    <w:multiLevelType w:val="singleLevel"/>
    <w:tmpl w:val="9AAF24CC"/>
    <w:lvl w:ilvl="0" w:tentative="0">
      <w:start w:val="2"/>
      <w:numFmt w:val="chineseCounting"/>
      <w:suff w:val="nothing"/>
      <w:lvlText w:val="%1、"/>
      <w:lvlJc w:val="left"/>
      <w:rPr>
        <w:rFonts w:hint="eastAsia"/>
      </w:rPr>
    </w:lvl>
  </w:abstractNum>
  <w:abstractNum w:abstractNumId="1">
    <w:nsid w:val="00000003"/>
    <w:multiLevelType w:val="multilevel"/>
    <w:tmpl w:val="00000003"/>
    <w:lvl w:ilvl="0" w:tentative="0">
      <w:start w:val="1"/>
      <w:numFmt w:val="decimal"/>
      <w:lvlText w:val="%1."/>
      <w:lvlJc w:val="left"/>
      <w:pPr>
        <w:ind w:left="360" w:hanging="360"/>
      </w:pPr>
      <w:rPr>
        <w:rFonts w:hint="default" w:hAnsi="宋体"/>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F7F570"/>
    <w:multiLevelType w:val="multilevel"/>
    <w:tmpl w:val="77F7F570"/>
    <w:lvl w:ilvl="0" w:tentative="0">
      <w:start w:val="2"/>
      <w:numFmt w:val="chineseCounting"/>
      <w:suff w:val="space"/>
      <w:lvlText w:val="第%1节"/>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hYjZhN2M2MmI1YjI3OWIwM2I4YWQxNDViZGZhMmIifQ=="/>
  </w:docVars>
  <w:rsids>
    <w:rsidRoot w:val="00172A27"/>
    <w:rsid w:val="00000A0B"/>
    <w:rsid w:val="0000250E"/>
    <w:rsid w:val="000028F2"/>
    <w:rsid w:val="00002AF2"/>
    <w:rsid w:val="000030F3"/>
    <w:rsid w:val="000037FB"/>
    <w:rsid w:val="00004936"/>
    <w:rsid w:val="0001000A"/>
    <w:rsid w:val="00011DF2"/>
    <w:rsid w:val="00012E34"/>
    <w:rsid w:val="00013552"/>
    <w:rsid w:val="000139EB"/>
    <w:rsid w:val="000167E2"/>
    <w:rsid w:val="00016A10"/>
    <w:rsid w:val="0002193D"/>
    <w:rsid w:val="00021D52"/>
    <w:rsid w:val="000232DC"/>
    <w:rsid w:val="0002446B"/>
    <w:rsid w:val="0002715D"/>
    <w:rsid w:val="00032123"/>
    <w:rsid w:val="00032C86"/>
    <w:rsid w:val="00034665"/>
    <w:rsid w:val="0003512F"/>
    <w:rsid w:val="000410F3"/>
    <w:rsid w:val="00041847"/>
    <w:rsid w:val="00041D17"/>
    <w:rsid w:val="0004324D"/>
    <w:rsid w:val="00043AA8"/>
    <w:rsid w:val="00044F28"/>
    <w:rsid w:val="00045526"/>
    <w:rsid w:val="000461B8"/>
    <w:rsid w:val="000475FA"/>
    <w:rsid w:val="00047917"/>
    <w:rsid w:val="000525EF"/>
    <w:rsid w:val="00053227"/>
    <w:rsid w:val="00054159"/>
    <w:rsid w:val="00055215"/>
    <w:rsid w:val="000555D2"/>
    <w:rsid w:val="00055DCE"/>
    <w:rsid w:val="00056E2B"/>
    <w:rsid w:val="00057020"/>
    <w:rsid w:val="000577B4"/>
    <w:rsid w:val="00061166"/>
    <w:rsid w:val="000622B4"/>
    <w:rsid w:val="000634AC"/>
    <w:rsid w:val="00064E98"/>
    <w:rsid w:val="000653C0"/>
    <w:rsid w:val="00065BAC"/>
    <w:rsid w:val="0006742A"/>
    <w:rsid w:val="000707A3"/>
    <w:rsid w:val="00075D26"/>
    <w:rsid w:val="00076523"/>
    <w:rsid w:val="00076EB8"/>
    <w:rsid w:val="0007779D"/>
    <w:rsid w:val="0007794F"/>
    <w:rsid w:val="00077984"/>
    <w:rsid w:val="00080BC8"/>
    <w:rsid w:val="000817AC"/>
    <w:rsid w:val="00081EEB"/>
    <w:rsid w:val="00082470"/>
    <w:rsid w:val="00082BF4"/>
    <w:rsid w:val="000830E8"/>
    <w:rsid w:val="00083CC6"/>
    <w:rsid w:val="000848D4"/>
    <w:rsid w:val="00085459"/>
    <w:rsid w:val="000873DE"/>
    <w:rsid w:val="000877AC"/>
    <w:rsid w:val="00087F39"/>
    <w:rsid w:val="0009082B"/>
    <w:rsid w:val="00091264"/>
    <w:rsid w:val="00091978"/>
    <w:rsid w:val="00093FC4"/>
    <w:rsid w:val="000944E0"/>
    <w:rsid w:val="000A0746"/>
    <w:rsid w:val="000A0BC2"/>
    <w:rsid w:val="000A0F22"/>
    <w:rsid w:val="000A124B"/>
    <w:rsid w:val="000A28A7"/>
    <w:rsid w:val="000A3222"/>
    <w:rsid w:val="000A3560"/>
    <w:rsid w:val="000A3852"/>
    <w:rsid w:val="000A3E32"/>
    <w:rsid w:val="000A420B"/>
    <w:rsid w:val="000A4471"/>
    <w:rsid w:val="000A56EF"/>
    <w:rsid w:val="000A7B53"/>
    <w:rsid w:val="000B36FD"/>
    <w:rsid w:val="000B38D7"/>
    <w:rsid w:val="000B481E"/>
    <w:rsid w:val="000B6337"/>
    <w:rsid w:val="000B6E14"/>
    <w:rsid w:val="000C202F"/>
    <w:rsid w:val="000C2049"/>
    <w:rsid w:val="000C5874"/>
    <w:rsid w:val="000C7F18"/>
    <w:rsid w:val="000D0634"/>
    <w:rsid w:val="000D417B"/>
    <w:rsid w:val="000D5850"/>
    <w:rsid w:val="000D657D"/>
    <w:rsid w:val="000D6A43"/>
    <w:rsid w:val="000E060E"/>
    <w:rsid w:val="000E1802"/>
    <w:rsid w:val="000E1822"/>
    <w:rsid w:val="000E4C56"/>
    <w:rsid w:val="000E6804"/>
    <w:rsid w:val="000F1023"/>
    <w:rsid w:val="000F2A1B"/>
    <w:rsid w:val="000F6C29"/>
    <w:rsid w:val="000F6C98"/>
    <w:rsid w:val="000F713F"/>
    <w:rsid w:val="00101761"/>
    <w:rsid w:val="00102A60"/>
    <w:rsid w:val="001040CC"/>
    <w:rsid w:val="00104FE4"/>
    <w:rsid w:val="001064B9"/>
    <w:rsid w:val="0010770E"/>
    <w:rsid w:val="001107A8"/>
    <w:rsid w:val="00110A04"/>
    <w:rsid w:val="00110CD2"/>
    <w:rsid w:val="00110EC8"/>
    <w:rsid w:val="00111FE0"/>
    <w:rsid w:val="00113381"/>
    <w:rsid w:val="001158D3"/>
    <w:rsid w:val="00115CBB"/>
    <w:rsid w:val="0011674E"/>
    <w:rsid w:val="00116B11"/>
    <w:rsid w:val="00116CE1"/>
    <w:rsid w:val="00120AC0"/>
    <w:rsid w:val="00121902"/>
    <w:rsid w:val="00121CB7"/>
    <w:rsid w:val="0012216B"/>
    <w:rsid w:val="0012360C"/>
    <w:rsid w:val="0012437A"/>
    <w:rsid w:val="00124B92"/>
    <w:rsid w:val="001255A0"/>
    <w:rsid w:val="00127335"/>
    <w:rsid w:val="00130738"/>
    <w:rsid w:val="00130D04"/>
    <w:rsid w:val="00131512"/>
    <w:rsid w:val="001330F1"/>
    <w:rsid w:val="00136F75"/>
    <w:rsid w:val="00141496"/>
    <w:rsid w:val="00142714"/>
    <w:rsid w:val="00143607"/>
    <w:rsid w:val="00143A87"/>
    <w:rsid w:val="00144A4D"/>
    <w:rsid w:val="0014520F"/>
    <w:rsid w:val="0015090B"/>
    <w:rsid w:val="00153B59"/>
    <w:rsid w:val="00154AFA"/>
    <w:rsid w:val="001574EC"/>
    <w:rsid w:val="0016053A"/>
    <w:rsid w:val="00162CE3"/>
    <w:rsid w:val="0016371E"/>
    <w:rsid w:val="0016402F"/>
    <w:rsid w:val="00165146"/>
    <w:rsid w:val="00167666"/>
    <w:rsid w:val="001722FC"/>
    <w:rsid w:val="0017281E"/>
    <w:rsid w:val="00172A27"/>
    <w:rsid w:val="00172FEF"/>
    <w:rsid w:val="00173EED"/>
    <w:rsid w:val="00173F48"/>
    <w:rsid w:val="00174EC8"/>
    <w:rsid w:val="00175A48"/>
    <w:rsid w:val="0017619C"/>
    <w:rsid w:val="001764F0"/>
    <w:rsid w:val="00177098"/>
    <w:rsid w:val="001772E7"/>
    <w:rsid w:val="00177E4B"/>
    <w:rsid w:val="00177E63"/>
    <w:rsid w:val="00181988"/>
    <w:rsid w:val="00185480"/>
    <w:rsid w:val="00187F01"/>
    <w:rsid w:val="00191199"/>
    <w:rsid w:val="0019132F"/>
    <w:rsid w:val="00191EB3"/>
    <w:rsid w:val="00192311"/>
    <w:rsid w:val="001931B4"/>
    <w:rsid w:val="001939C5"/>
    <w:rsid w:val="00194961"/>
    <w:rsid w:val="00194CAC"/>
    <w:rsid w:val="00196064"/>
    <w:rsid w:val="00196536"/>
    <w:rsid w:val="001965C6"/>
    <w:rsid w:val="00197814"/>
    <w:rsid w:val="001A0537"/>
    <w:rsid w:val="001A13CF"/>
    <w:rsid w:val="001A1AF1"/>
    <w:rsid w:val="001A3149"/>
    <w:rsid w:val="001A4876"/>
    <w:rsid w:val="001A6076"/>
    <w:rsid w:val="001A7332"/>
    <w:rsid w:val="001B79B1"/>
    <w:rsid w:val="001C0808"/>
    <w:rsid w:val="001C1093"/>
    <w:rsid w:val="001C4001"/>
    <w:rsid w:val="001C5549"/>
    <w:rsid w:val="001C5703"/>
    <w:rsid w:val="001C664E"/>
    <w:rsid w:val="001C6EE7"/>
    <w:rsid w:val="001D0D26"/>
    <w:rsid w:val="001D1287"/>
    <w:rsid w:val="001D4391"/>
    <w:rsid w:val="001D53D2"/>
    <w:rsid w:val="001D5685"/>
    <w:rsid w:val="001D57DB"/>
    <w:rsid w:val="001D59EF"/>
    <w:rsid w:val="001D616E"/>
    <w:rsid w:val="001D6874"/>
    <w:rsid w:val="001D7F85"/>
    <w:rsid w:val="001E1BBF"/>
    <w:rsid w:val="001E3067"/>
    <w:rsid w:val="001E4935"/>
    <w:rsid w:val="001E6A53"/>
    <w:rsid w:val="001E77AA"/>
    <w:rsid w:val="001F07E9"/>
    <w:rsid w:val="001F1F95"/>
    <w:rsid w:val="001F3374"/>
    <w:rsid w:val="001F49D3"/>
    <w:rsid w:val="001F608A"/>
    <w:rsid w:val="00202C49"/>
    <w:rsid w:val="00203D69"/>
    <w:rsid w:val="002047DA"/>
    <w:rsid w:val="00204960"/>
    <w:rsid w:val="0020676E"/>
    <w:rsid w:val="00206C6D"/>
    <w:rsid w:val="0021048F"/>
    <w:rsid w:val="00212683"/>
    <w:rsid w:val="002133A9"/>
    <w:rsid w:val="00214328"/>
    <w:rsid w:val="00214C79"/>
    <w:rsid w:val="00215C6A"/>
    <w:rsid w:val="00215D6F"/>
    <w:rsid w:val="002201B7"/>
    <w:rsid w:val="002208FC"/>
    <w:rsid w:val="00220D58"/>
    <w:rsid w:val="00222848"/>
    <w:rsid w:val="00222B42"/>
    <w:rsid w:val="00224429"/>
    <w:rsid w:val="0022531A"/>
    <w:rsid w:val="00226AEA"/>
    <w:rsid w:val="00227B25"/>
    <w:rsid w:val="00227D20"/>
    <w:rsid w:val="00232464"/>
    <w:rsid w:val="002345C8"/>
    <w:rsid w:val="0023481E"/>
    <w:rsid w:val="00235AD5"/>
    <w:rsid w:val="00240F48"/>
    <w:rsid w:val="00241560"/>
    <w:rsid w:val="0024162A"/>
    <w:rsid w:val="00241885"/>
    <w:rsid w:val="002418B6"/>
    <w:rsid w:val="0024411E"/>
    <w:rsid w:val="00245025"/>
    <w:rsid w:val="00246495"/>
    <w:rsid w:val="00247604"/>
    <w:rsid w:val="002501F0"/>
    <w:rsid w:val="00251307"/>
    <w:rsid w:val="00252BF1"/>
    <w:rsid w:val="0025312C"/>
    <w:rsid w:val="00255722"/>
    <w:rsid w:val="00257903"/>
    <w:rsid w:val="00260939"/>
    <w:rsid w:val="00261AF1"/>
    <w:rsid w:val="0026202F"/>
    <w:rsid w:val="002622EA"/>
    <w:rsid w:val="0026301F"/>
    <w:rsid w:val="00263688"/>
    <w:rsid w:val="00264021"/>
    <w:rsid w:val="00264AE1"/>
    <w:rsid w:val="002658AC"/>
    <w:rsid w:val="0026786C"/>
    <w:rsid w:val="00267B0F"/>
    <w:rsid w:val="00267DB5"/>
    <w:rsid w:val="002704C6"/>
    <w:rsid w:val="00270936"/>
    <w:rsid w:val="00270AAA"/>
    <w:rsid w:val="00270BB9"/>
    <w:rsid w:val="002727EE"/>
    <w:rsid w:val="002737DD"/>
    <w:rsid w:val="0027464F"/>
    <w:rsid w:val="002770FC"/>
    <w:rsid w:val="0028198E"/>
    <w:rsid w:val="00282BDC"/>
    <w:rsid w:val="0028341A"/>
    <w:rsid w:val="002843A6"/>
    <w:rsid w:val="0028478D"/>
    <w:rsid w:val="00286B4A"/>
    <w:rsid w:val="002909D0"/>
    <w:rsid w:val="00292EDE"/>
    <w:rsid w:val="0029499A"/>
    <w:rsid w:val="002A193C"/>
    <w:rsid w:val="002A30E7"/>
    <w:rsid w:val="002A379A"/>
    <w:rsid w:val="002A386D"/>
    <w:rsid w:val="002A3CA4"/>
    <w:rsid w:val="002A4F31"/>
    <w:rsid w:val="002A62AB"/>
    <w:rsid w:val="002A64A7"/>
    <w:rsid w:val="002A7BA2"/>
    <w:rsid w:val="002B0574"/>
    <w:rsid w:val="002B104D"/>
    <w:rsid w:val="002B1070"/>
    <w:rsid w:val="002B3680"/>
    <w:rsid w:val="002B6506"/>
    <w:rsid w:val="002C1A63"/>
    <w:rsid w:val="002C20C2"/>
    <w:rsid w:val="002C2469"/>
    <w:rsid w:val="002C2C49"/>
    <w:rsid w:val="002C2EE6"/>
    <w:rsid w:val="002C3897"/>
    <w:rsid w:val="002D0BE4"/>
    <w:rsid w:val="002D3BAE"/>
    <w:rsid w:val="002D566F"/>
    <w:rsid w:val="002D6565"/>
    <w:rsid w:val="002D6721"/>
    <w:rsid w:val="002D6A18"/>
    <w:rsid w:val="002D746E"/>
    <w:rsid w:val="002E144A"/>
    <w:rsid w:val="002E1E6F"/>
    <w:rsid w:val="002E677C"/>
    <w:rsid w:val="002F10A4"/>
    <w:rsid w:val="002F438E"/>
    <w:rsid w:val="002F48DC"/>
    <w:rsid w:val="002F75FD"/>
    <w:rsid w:val="0030276D"/>
    <w:rsid w:val="00303EC8"/>
    <w:rsid w:val="00304B05"/>
    <w:rsid w:val="00304B1F"/>
    <w:rsid w:val="0031013E"/>
    <w:rsid w:val="003108EF"/>
    <w:rsid w:val="00311A2A"/>
    <w:rsid w:val="00312B1E"/>
    <w:rsid w:val="00312F8F"/>
    <w:rsid w:val="00314CAB"/>
    <w:rsid w:val="00315F5D"/>
    <w:rsid w:val="00316101"/>
    <w:rsid w:val="003172E4"/>
    <w:rsid w:val="003221E1"/>
    <w:rsid w:val="00323574"/>
    <w:rsid w:val="0032422B"/>
    <w:rsid w:val="00324DB9"/>
    <w:rsid w:val="00327737"/>
    <w:rsid w:val="003300E0"/>
    <w:rsid w:val="00330DD5"/>
    <w:rsid w:val="003313BD"/>
    <w:rsid w:val="00334175"/>
    <w:rsid w:val="00336CC0"/>
    <w:rsid w:val="00341087"/>
    <w:rsid w:val="00342584"/>
    <w:rsid w:val="00345E21"/>
    <w:rsid w:val="00347501"/>
    <w:rsid w:val="00352D7F"/>
    <w:rsid w:val="003557AA"/>
    <w:rsid w:val="00356F56"/>
    <w:rsid w:val="00360102"/>
    <w:rsid w:val="0036073A"/>
    <w:rsid w:val="00361D7C"/>
    <w:rsid w:val="0036213E"/>
    <w:rsid w:val="0036243C"/>
    <w:rsid w:val="00362D89"/>
    <w:rsid w:val="0037029C"/>
    <w:rsid w:val="00373E7B"/>
    <w:rsid w:val="00375088"/>
    <w:rsid w:val="003752ED"/>
    <w:rsid w:val="00375AD0"/>
    <w:rsid w:val="00377D18"/>
    <w:rsid w:val="00377EBF"/>
    <w:rsid w:val="0038079F"/>
    <w:rsid w:val="00380CE3"/>
    <w:rsid w:val="00380EF5"/>
    <w:rsid w:val="003814C1"/>
    <w:rsid w:val="0038301D"/>
    <w:rsid w:val="0038780B"/>
    <w:rsid w:val="00387BDB"/>
    <w:rsid w:val="00387C01"/>
    <w:rsid w:val="0039006F"/>
    <w:rsid w:val="00396298"/>
    <w:rsid w:val="00396A06"/>
    <w:rsid w:val="003A00E7"/>
    <w:rsid w:val="003A22C4"/>
    <w:rsid w:val="003A50A4"/>
    <w:rsid w:val="003A5F51"/>
    <w:rsid w:val="003B08F5"/>
    <w:rsid w:val="003B09DA"/>
    <w:rsid w:val="003B0DDF"/>
    <w:rsid w:val="003B2826"/>
    <w:rsid w:val="003B4F8F"/>
    <w:rsid w:val="003B6386"/>
    <w:rsid w:val="003B65C5"/>
    <w:rsid w:val="003C02B0"/>
    <w:rsid w:val="003C0F00"/>
    <w:rsid w:val="003C17F3"/>
    <w:rsid w:val="003C22B8"/>
    <w:rsid w:val="003C274D"/>
    <w:rsid w:val="003C2F26"/>
    <w:rsid w:val="003C4EA8"/>
    <w:rsid w:val="003C54C8"/>
    <w:rsid w:val="003C792B"/>
    <w:rsid w:val="003C7E18"/>
    <w:rsid w:val="003D17B4"/>
    <w:rsid w:val="003D28FD"/>
    <w:rsid w:val="003D34ED"/>
    <w:rsid w:val="003D4423"/>
    <w:rsid w:val="003D4C73"/>
    <w:rsid w:val="003D545B"/>
    <w:rsid w:val="003D608F"/>
    <w:rsid w:val="003D647A"/>
    <w:rsid w:val="003D6FD9"/>
    <w:rsid w:val="003E2058"/>
    <w:rsid w:val="003E28F3"/>
    <w:rsid w:val="003E4A41"/>
    <w:rsid w:val="003E6803"/>
    <w:rsid w:val="003E69C4"/>
    <w:rsid w:val="003F1EF5"/>
    <w:rsid w:val="003F2A15"/>
    <w:rsid w:val="003F430E"/>
    <w:rsid w:val="003F4B70"/>
    <w:rsid w:val="003F6C29"/>
    <w:rsid w:val="00401794"/>
    <w:rsid w:val="00401DB6"/>
    <w:rsid w:val="00402B42"/>
    <w:rsid w:val="00402CF5"/>
    <w:rsid w:val="00405CBB"/>
    <w:rsid w:val="00406535"/>
    <w:rsid w:val="00410118"/>
    <w:rsid w:val="0041127B"/>
    <w:rsid w:val="00411C59"/>
    <w:rsid w:val="00412985"/>
    <w:rsid w:val="00412E36"/>
    <w:rsid w:val="004136FC"/>
    <w:rsid w:val="00415C60"/>
    <w:rsid w:val="00424442"/>
    <w:rsid w:val="00424943"/>
    <w:rsid w:val="0043132C"/>
    <w:rsid w:val="004314CA"/>
    <w:rsid w:val="004335C5"/>
    <w:rsid w:val="00433A81"/>
    <w:rsid w:val="00434263"/>
    <w:rsid w:val="00434678"/>
    <w:rsid w:val="00435C21"/>
    <w:rsid w:val="00440519"/>
    <w:rsid w:val="004412A5"/>
    <w:rsid w:val="00441445"/>
    <w:rsid w:val="00441C2B"/>
    <w:rsid w:val="00446475"/>
    <w:rsid w:val="00447F96"/>
    <w:rsid w:val="00451E99"/>
    <w:rsid w:val="004522D7"/>
    <w:rsid w:val="004523D7"/>
    <w:rsid w:val="004547B7"/>
    <w:rsid w:val="0045548A"/>
    <w:rsid w:val="00456797"/>
    <w:rsid w:val="004567D8"/>
    <w:rsid w:val="00456A9F"/>
    <w:rsid w:val="00456C06"/>
    <w:rsid w:val="00457C64"/>
    <w:rsid w:val="004607A5"/>
    <w:rsid w:val="004607AE"/>
    <w:rsid w:val="0046086D"/>
    <w:rsid w:val="0046148F"/>
    <w:rsid w:val="004614DF"/>
    <w:rsid w:val="00462139"/>
    <w:rsid w:val="0046276D"/>
    <w:rsid w:val="004639F9"/>
    <w:rsid w:val="00464135"/>
    <w:rsid w:val="00465ADE"/>
    <w:rsid w:val="00465DF2"/>
    <w:rsid w:val="00466188"/>
    <w:rsid w:val="00466361"/>
    <w:rsid w:val="00467C15"/>
    <w:rsid w:val="00472D96"/>
    <w:rsid w:val="00473CFA"/>
    <w:rsid w:val="004753DE"/>
    <w:rsid w:val="00477BA5"/>
    <w:rsid w:val="00477DA8"/>
    <w:rsid w:val="00480097"/>
    <w:rsid w:val="0048030D"/>
    <w:rsid w:val="00480EEE"/>
    <w:rsid w:val="004817C7"/>
    <w:rsid w:val="00482938"/>
    <w:rsid w:val="00482B50"/>
    <w:rsid w:val="00485A82"/>
    <w:rsid w:val="00485F38"/>
    <w:rsid w:val="00486683"/>
    <w:rsid w:val="00490D33"/>
    <w:rsid w:val="00490F47"/>
    <w:rsid w:val="00491B4C"/>
    <w:rsid w:val="00491C9D"/>
    <w:rsid w:val="00491D0B"/>
    <w:rsid w:val="00493AFA"/>
    <w:rsid w:val="00496876"/>
    <w:rsid w:val="00496F80"/>
    <w:rsid w:val="0049777E"/>
    <w:rsid w:val="004A07BB"/>
    <w:rsid w:val="004A3F8F"/>
    <w:rsid w:val="004A72A6"/>
    <w:rsid w:val="004A7335"/>
    <w:rsid w:val="004B011F"/>
    <w:rsid w:val="004B2485"/>
    <w:rsid w:val="004B2C86"/>
    <w:rsid w:val="004B336E"/>
    <w:rsid w:val="004B38F8"/>
    <w:rsid w:val="004B3D64"/>
    <w:rsid w:val="004B47E7"/>
    <w:rsid w:val="004B50B5"/>
    <w:rsid w:val="004B59EF"/>
    <w:rsid w:val="004B72BA"/>
    <w:rsid w:val="004B7973"/>
    <w:rsid w:val="004C03B6"/>
    <w:rsid w:val="004C4299"/>
    <w:rsid w:val="004C64CA"/>
    <w:rsid w:val="004D0AF6"/>
    <w:rsid w:val="004D3A0E"/>
    <w:rsid w:val="004D48CC"/>
    <w:rsid w:val="004E52EF"/>
    <w:rsid w:val="004E5BAF"/>
    <w:rsid w:val="004F00D5"/>
    <w:rsid w:val="004F0833"/>
    <w:rsid w:val="004F189A"/>
    <w:rsid w:val="004F2532"/>
    <w:rsid w:val="004F39AA"/>
    <w:rsid w:val="004F5571"/>
    <w:rsid w:val="004F5697"/>
    <w:rsid w:val="004F5BE4"/>
    <w:rsid w:val="004F5C00"/>
    <w:rsid w:val="004F6E4B"/>
    <w:rsid w:val="005006C6"/>
    <w:rsid w:val="0050275B"/>
    <w:rsid w:val="00503B10"/>
    <w:rsid w:val="00503D58"/>
    <w:rsid w:val="00504C57"/>
    <w:rsid w:val="005060F5"/>
    <w:rsid w:val="005127FE"/>
    <w:rsid w:val="00513025"/>
    <w:rsid w:val="0051329E"/>
    <w:rsid w:val="00513A29"/>
    <w:rsid w:val="00513C2B"/>
    <w:rsid w:val="00513DBF"/>
    <w:rsid w:val="005148B6"/>
    <w:rsid w:val="00514EC1"/>
    <w:rsid w:val="00521BD2"/>
    <w:rsid w:val="00522D76"/>
    <w:rsid w:val="00525171"/>
    <w:rsid w:val="00525729"/>
    <w:rsid w:val="00531F47"/>
    <w:rsid w:val="00532A7F"/>
    <w:rsid w:val="00532A92"/>
    <w:rsid w:val="00535808"/>
    <w:rsid w:val="00535FEC"/>
    <w:rsid w:val="005371A3"/>
    <w:rsid w:val="00542051"/>
    <w:rsid w:val="005436CD"/>
    <w:rsid w:val="005444BF"/>
    <w:rsid w:val="005454E0"/>
    <w:rsid w:val="00545A43"/>
    <w:rsid w:val="0054779A"/>
    <w:rsid w:val="00547EBF"/>
    <w:rsid w:val="0055040B"/>
    <w:rsid w:val="00550B58"/>
    <w:rsid w:val="00551479"/>
    <w:rsid w:val="005521D0"/>
    <w:rsid w:val="00552579"/>
    <w:rsid w:val="00554653"/>
    <w:rsid w:val="00554B22"/>
    <w:rsid w:val="005563B3"/>
    <w:rsid w:val="00556498"/>
    <w:rsid w:val="00556B5F"/>
    <w:rsid w:val="00557DBA"/>
    <w:rsid w:val="00560164"/>
    <w:rsid w:val="005625AB"/>
    <w:rsid w:val="00570693"/>
    <w:rsid w:val="0057184B"/>
    <w:rsid w:val="00572596"/>
    <w:rsid w:val="0057263C"/>
    <w:rsid w:val="00572DEE"/>
    <w:rsid w:val="00572E2A"/>
    <w:rsid w:val="0057522E"/>
    <w:rsid w:val="00575AA5"/>
    <w:rsid w:val="00576FEB"/>
    <w:rsid w:val="00577D99"/>
    <w:rsid w:val="0058012C"/>
    <w:rsid w:val="00580C6A"/>
    <w:rsid w:val="00581B25"/>
    <w:rsid w:val="00581E8B"/>
    <w:rsid w:val="00582DD9"/>
    <w:rsid w:val="00584B9F"/>
    <w:rsid w:val="00584CD5"/>
    <w:rsid w:val="00584E00"/>
    <w:rsid w:val="005872F4"/>
    <w:rsid w:val="00591293"/>
    <w:rsid w:val="005917B7"/>
    <w:rsid w:val="00591CAF"/>
    <w:rsid w:val="005924E7"/>
    <w:rsid w:val="00592EDB"/>
    <w:rsid w:val="005938F0"/>
    <w:rsid w:val="00594095"/>
    <w:rsid w:val="005940C3"/>
    <w:rsid w:val="00594ED2"/>
    <w:rsid w:val="00597AF4"/>
    <w:rsid w:val="005A09B5"/>
    <w:rsid w:val="005A0FA6"/>
    <w:rsid w:val="005A37E7"/>
    <w:rsid w:val="005A692A"/>
    <w:rsid w:val="005B119F"/>
    <w:rsid w:val="005B16E4"/>
    <w:rsid w:val="005B1B4B"/>
    <w:rsid w:val="005B2176"/>
    <w:rsid w:val="005B2A05"/>
    <w:rsid w:val="005B407C"/>
    <w:rsid w:val="005B6444"/>
    <w:rsid w:val="005C10EE"/>
    <w:rsid w:val="005C6CD0"/>
    <w:rsid w:val="005C74A0"/>
    <w:rsid w:val="005D22CD"/>
    <w:rsid w:val="005D2584"/>
    <w:rsid w:val="005D3F1E"/>
    <w:rsid w:val="005D6AC3"/>
    <w:rsid w:val="005D74B8"/>
    <w:rsid w:val="005E2A82"/>
    <w:rsid w:val="005E2E64"/>
    <w:rsid w:val="005E35A2"/>
    <w:rsid w:val="005F037D"/>
    <w:rsid w:val="005F0C8C"/>
    <w:rsid w:val="005F0EC5"/>
    <w:rsid w:val="005F2C65"/>
    <w:rsid w:val="005F5765"/>
    <w:rsid w:val="005F607F"/>
    <w:rsid w:val="005F7892"/>
    <w:rsid w:val="006005A2"/>
    <w:rsid w:val="00600FB1"/>
    <w:rsid w:val="0060135E"/>
    <w:rsid w:val="00601495"/>
    <w:rsid w:val="00602CB6"/>
    <w:rsid w:val="00604516"/>
    <w:rsid w:val="0060546F"/>
    <w:rsid w:val="0060761A"/>
    <w:rsid w:val="00607FEC"/>
    <w:rsid w:val="00610B7C"/>
    <w:rsid w:val="006123A3"/>
    <w:rsid w:val="00613790"/>
    <w:rsid w:val="00613BA5"/>
    <w:rsid w:val="00614EA6"/>
    <w:rsid w:val="00615041"/>
    <w:rsid w:val="00615F7A"/>
    <w:rsid w:val="00620EB8"/>
    <w:rsid w:val="00622493"/>
    <w:rsid w:val="00622CC9"/>
    <w:rsid w:val="00627AF5"/>
    <w:rsid w:val="00630497"/>
    <w:rsid w:val="006317B4"/>
    <w:rsid w:val="00632A46"/>
    <w:rsid w:val="00632C8F"/>
    <w:rsid w:val="00632FD4"/>
    <w:rsid w:val="00634F91"/>
    <w:rsid w:val="006372B7"/>
    <w:rsid w:val="00637449"/>
    <w:rsid w:val="00637955"/>
    <w:rsid w:val="00641810"/>
    <w:rsid w:val="0064213E"/>
    <w:rsid w:val="00642AD7"/>
    <w:rsid w:val="00643282"/>
    <w:rsid w:val="00643845"/>
    <w:rsid w:val="0064440F"/>
    <w:rsid w:val="00644DC2"/>
    <w:rsid w:val="00644FB9"/>
    <w:rsid w:val="006477F6"/>
    <w:rsid w:val="00647D4C"/>
    <w:rsid w:val="00651F95"/>
    <w:rsid w:val="0065302E"/>
    <w:rsid w:val="00653250"/>
    <w:rsid w:val="00654386"/>
    <w:rsid w:val="00654D0C"/>
    <w:rsid w:val="00656F03"/>
    <w:rsid w:val="006571E9"/>
    <w:rsid w:val="006602C6"/>
    <w:rsid w:val="00661608"/>
    <w:rsid w:val="00661C94"/>
    <w:rsid w:val="00663B5F"/>
    <w:rsid w:val="0066490D"/>
    <w:rsid w:val="006662ED"/>
    <w:rsid w:val="00667B9E"/>
    <w:rsid w:val="006705A1"/>
    <w:rsid w:val="006712D2"/>
    <w:rsid w:val="006716CF"/>
    <w:rsid w:val="006726AB"/>
    <w:rsid w:val="0067294D"/>
    <w:rsid w:val="006733E5"/>
    <w:rsid w:val="00674043"/>
    <w:rsid w:val="006746AA"/>
    <w:rsid w:val="0067605A"/>
    <w:rsid w:val="00677808"/>
    <w:rsid w:val="006801A8"/>
    <w:rsid w:val="00681ABC"/>
    <w:rsid w:val="006830B8"/>
    <w:rsid w:val="00684B3D"/>
    <w:rsid w:val="00685F54"/>
    <w:rsid w:val="006877D3"/>
    <w:rsid w:val="006938FF"/>
    <w:rsid w:val="00693C6F"/>
    <w:rsid w:val="006956B8"/>
    <w:rsid w:val="00695F85"/>
    <w:rsid w:val="0069616B"/>
    <w:rsid w:val="006A1022"/>
    <w:rsid w:val="006A3E37"/>
    <w:rsid w:val="006A50FE"/>
    <w:rsid w:val="006A6A44"/>
    <w:rsid w:val="006B0436"/>
    <w:rsid w:val="006B06C2"/>
    <w:rsid w:val="006B0F22"/>
    <w:rsid w:val="006B35CC"/>
    <w:rsid w:val="006B3AE8"/>
    <w:rsid w:val="006B3AFC"/>
    <w:rsid w:val="006B3DA8"/>
    <w:rsid w:val="006B6578"/>
    <w:rsid w:val="006B6A7E"/>
    <w:rsid w:val="006C1BC2"/>
    <w:rsid w:val="006C245D"/>
    <w:rsid w:val="006C59FC"/>
    <w:rsid w:val="006C63F0"/>
    <w:rsid w:val="006C7040"/>
    <w:rsid w:val="006C7F44"/>
    <w:rsid w:val="006D05FF"/>
    <w:rsid w:val="006D19E0"/>
    <w:rsid w:val="006D26F7"/>
    <w:rsid w:val="006D3397"/>
    <w:rsid w:val="006D4137"/>
    <w:rsid w:val="006D4178"/>
    <w:rsid w:val="006D55C5"/>
    <w:rsid w:val="006D6A24"/>
    <w:rsid w:val="006D7986"/>
    <w:rsid w:val="006E07BC"/>
    <w:rsid w:val="006E13C0"/>
    <w:rsid w:val="006E2180"/>
    <w:rsid w:val="006E2AE0"/>
    <w:rsid w:val="006E2DDA"/>
    <w:rsid w:val="006E2E48"/>
    <w:rsid w:val="006E4041"/>
    <w:rsid w:val="006E485B"/>
    <w:rsid w:val="006E526E"/>
    <w:rsid w:val="006E56FD"/>
    <w:rsid w:val="006E6995"/>
    <w:rsid w:val="006E7F1E"/>
    <w:rsid w:val="006F016C"/>
    <w:rsid w:val="006F1AA1"/>
    <w:rsid w:val="006F46B6"/>
    <w:rsid w:val="006F595B"/>
    <w:rsid w:val="006F6BAA"/>
    <w:rsid w:val="006F76F1"/>
    <w:rsid w:val="006F7C11"/>
    <w:rsid w:val="00701637"/>
    <w:rsid w:val="00702EF4"/>
    <w:rsid w:val="0070356C"/>
    <w:rsid w:val="00705A87"/>
    <w:rsid w:val="0070690C"/>
    <w:rsid w:val="00707532"/>
    <w:rsid w:val="0070756A"/>
    <w:rsid w:val="00710F0B"/>
    <w:rsid w:val="0071312B"/>
    <w:rsid w:val="007164E7"/>
    <w:rsid w:val="00716762"/>
    <w:rsid w:val="0071712C"/>
    <w:rsid w:val="0072101F"/>
    <w:rsid w:val="00721A15"/>
    <w:rsid w:val="00721D6E"/>
    <w:rsid w:val="00722211"/>
    <w:rsid w:val="00724407"/>
    <w:rsid w:val="00725A12"/>
    <w:rsid w:val="00725CA5"/>
    <w:rsid w:val="00726A25"/>
    <w:rsid w:val="00726E13"/>
    <w:rsid w:val="00730271"/>
    <w:rsid w:val="00730B22"/>
    <w:rsid w:val="007310D1"/>
    <w:rsid w:val="00735124"/>
    <w:rsid w:val="00735D1D"/>
    <w:rsid w:val="00737773"/>
    <w:rsid w:val="0074073F"/>
    <w:rsid w:val="00741319"/>
    <w:rsid w:val="007421E2"/>
    <w:rsid w:val="007431AB"/>
    <w:rsid w:val="00743F49"/>
    <w:rsid w:val="00744564"/>
    <w:rsid w:val="00744A74"/>
    <w:rsid w:val="0074512C"/>
    <w:rsid w:val="00750F5A"/>
    <w:rsid w:val="00752559"/>
    <w:rsid w:val="007529A6"/>
    <w:rsid w:val="00753621"/>
    <w:rsid w:val="0075366F"/>
    <w:rsid w:val="00754489"/>
    <w:rsid w:val="007555CA"/>
    <w:rsid w:val="00756414"/>
    <w:rsid w:val="0075690D"/>
    <w:rsid w:val="00757D8B"/>
    <w:rsid w:val="00760AC2"/>
    <w:rsid w:val="00764E9F"/>
    <w:rsid w:val="00765627"/>
    <w:rsid w:val="00765A41"/>
    <w:rsid w:val="007667D3"/>
    <w:rsid w:val="007675E8"/>
    <w:rsid w:val="00770889"/>
    <w:rsid w:val="00771615"/>
    <w:rsid w:val="0077246C"/>
    <w:rsid w:val="00772701"/>
    <w:rsid w:val="0077530B"/>
    <w:rsid w:val="00775879"/>
    <w:rsid w:val="00777C96"/>
    <w:rsid w:val="007816A5"/>
    <w:rsid w:val="00782ECA"/>
    <w:rsid w:val="00783F69"/>
    <w:rsid w:val="007877A6"/>
    <w:rsid w:val="00790ABF"/>
    <w:rsid w:val="007930E5"/>
    <w:rsid w:val="00795B26"/>
    <w:rsid w:val="0079608A"/>
    <w:rsid w:val="00796949"/>
    <w:rsid w:val="007A023A"/>
    <w:rsid w:val="007A1604"/>
    <w:rsid w:val="007A4AC1"/>
    <w:rsid w:val="007A4F79"/>
    <w:rsid w:val="007A6043"/>
    <w:rsid w:val="007A7C02"/>
    <w:rsid w:val="007B01D6"/>
    <w:rsid w:val="007B0418"/>
    <w:rsid w:val="007B0483"/>
    <w:rsid w:val="007B31ED"/>
    <w:rsid w:val="007B3829"/>
    <w:rsid w:val="007B3B68"/>
    <w:rsid w:val="007B5F2F"/>
    <w:rsid w:val="007B71A6"/>
    <w:rsid w:val="007B7CEE"/>
    <w:rsid w:val="007B7CF5"/>
    <w:rsid w:val="007B7F3D"/>
    <w:rsid w:val="007C12F7"/>
    <w:rsid w:val="007C2AAC"/>
    <w:rsid w:val="007C41C6"/>
    <w:rsid w:val="007C43A6"/>
    <w:rsid w:val="007C47B1"/>
    <w:rsid w:val="007C5074"/>
    <w:rsid w:val="007C518D"/>
    <w:rsid w:val="007C7217"/>
    <w:rsid w:val="007D069C"/>
    <w:rsid w:val="007D0F80"/>
    <w:rsid w:val="007D2D74"/>
    <w:rsid w:val="007D37BF"/>
    <w:rsid w:val="007D3F78"/>
    <w:rsid w:val="007D4469"/>
    <w:rsid w:val="007D4FEB"/>
    <w:rsid w:val="007D5125"/>
    <w:rsid w:val="007D5426"/>
    <w:rsid w:val="007E09DE"/>
    <w:rsid w:val="007E12E9"/>
    <w:rsid w:val="007E282C"/>
    <w:rsid w:val="007E33D0"/>
    <w:rsid w:val="007E52D7"/>
    <w:rsid w:val="007E536B"/>
    <w:rsid w:val="007E65B1"/>
    <w:rsid w:val="007E6C4C"/>
    <w:rsid w:val="007E6DFB"/>
    <w:rsid w:val="007E7357"/>
    <w:rsid w:val="007F2C65"/>
    <w:rsid w:val="007F31C5"/>
    <w:rsid w:val="007F4F8D"/>
    <w:rsid w:val="007F5FAE"/>
    <w:rsid w:val="007F7407"/>
    <w:rsid w:val="00800365"/>
    <w:rsid w:val="00800F53"/>
    <w:rsid w:val="008012F1"/>
    <w:rsid w:val="008020B9"/>
    <w:rsid w:val="00802D93"/>
    <w:rsid w:val="00810DA8"/>
    <w:rsid w:val="008115DA"/>
    <w:rsid w:val="00813A7B"/>
    <w:rsid w:val="008144E2"/>
    <w:rsid w:val="00815B3D"/>
    <w:rsid w:val="00822167"/>
    <w:rsid w:val="00830B15"/>
    <w:rsid w:val="008328A0"/>
    <w:rsid w:val="008346DF"/>
    <w:rsid w:val="00834E2B"/>
    <w:rsid w:val="0083583C"/>
    <w:rsid w:val="00836DDC"/>
    <w:rsid w:val="008373EE"/>
    <w:rsid w:val="0084369B"/>
    <w:rsid w:val="00844C19"/>
    <w:rsid w:val="00844EF6"/>
    <w:rsid w:val="008473F4"/>
    <w:rsid w:val="008476FC"/>
    <w:rsid w:val="008511D4"/>
    <w:rsid w:val="00852677"/>
    <w:rsid w:val="00856311"/>
    <w:rsid w:val="008565AE"/>
    <w:rsid w:val="0086182F"/>
    <w:rsid w:val="00862352"/>
    <w:rsid w:val="00864544"/>
    <w:rsid w:val="00864F09"/>
    <w:rsid w:val="008651D1"/>
    <w:rsid w:val="0086570D"/>
    <w:rsid w:val="00865820"/>
    <w:rsid w:val="00866013"/>
    <w:rsid w:val="008706C5"/>
    <w:rsid w:val="00870719"/>
    <w:rsid w:val="00870FF5"/>
    <w:rsid w:val="008719F0"/>
    <w:rsid w:val="0087225C"/>
    <w:rsid w:val="008727A6"/>
    <w:rsid w:val="00872D88"/>
    <w:rsid w:val="00873E3D"/>
    <w:rsid w:val="008741BF"/>
    <w:rsid w:val="008751F3"/>
    <w:rsid w:val="00876F81"/>
    <w:rsid w:val="00877623"/>
    <w:rsid w:val="0088099E"/>
    <w:rsid w:val="00881566"/>
    <w:rsid w:val="00881D4C"/>
    <w:rsid w:val="00882958"/>
    <w:rsid w:val="00883CBC"/>
    <w:rsid w:val="00884281"/>
    <w:rsid w:val="00884F1B"/>
    <w:rsid w:val="00890111"/>
    <w:rsid w:val="008902B7"/>
    <w:rsid w:val="00890340"/>
    <w:rsid w:val="0089216E"/>
    <w:rsid w:val="00893982"/>
    <w:rsid w:val="00894881"/>
    <w:rsid w:val="0089499C"/>
    <w:rsid w:val="00895FC2"/>
    <w:rsid w:val="008A2D08"/>
    <w:rsid w:val="008B28CF"/>
    <w:rsid w:val="008B4082"/>
    <w:rsid w:val="008B7F58"/>
    <w:rsid w:val="008C11C8"/>
    <w:rsid w:val="008C2D80"/>
    <w:rsid w:val="008C5293"/>
    <w:rsid w:val="008C59B6"/>
    <w:rsid w:val="008C5DE1"/>
    <w:rsid w:val="008C6B63"/>
    <w:rsid w:val="008C6DA5"/>
    <w:rsid w:val="008C7668"/>
    <w:rsid w:val="008D1D5F"/>
    <w:rsid w:val="008D271E"/>
    <w:rsid w:val="008D2C9A"/>
    <w:rsid w:val="008D3592"/>
    <w:rsid w:val="008D3C9E"/>
    <w:rsid w:val="008E0254"/>
    <w:rsid w:val="008E14E0"/>
    <w:rsid w:val="008E339E"/>
    <w:rsid w:val="008E33BD"/>
    <w:rsid w:val="008E4013"/>
    <w:rsid w:val="008E4F5E"/>
    <w:rsid w:val="008E5838"/>
    <w:rsid w:val="008F04AE"/>
    <w:rsid w:val="008F1C4B"/>
    <w:rsid w:val="008F20A4"/>
    <w:rsid w:val="008F35DB"/>
    <w:rsid w:val="008F45EB"/>
    <w:rsid w:val="008F53A0"/>
    <w:rsid w:val="008F6248"/>
    <w:rsid w:val="008F6672"/>
    <w:rsid w:val="00900E66"/>
    <w:rsid w:val="0090150E"/>
    <w:rsid w:val="00904D26"/>
    <w:rsid w:val="00905CDF"/>
    <w:rsid w:val="009069E7"/>
    <w:rsid w:val="00906A87"/>
    <w:rsid w:val="00906AF4"/>
    <w:rsid w:val="00910C26"/>
    <w:rsid w:val="00912C92"/>
    <w:rsid w:val="009134A1"/>
    <w:rsid w:val="00915284"/>
    <w:rsid w:val="00915F68"/>
    <w:rsid w:val="00916824"/>
    <w:rsid w:val="00916881"/>
    <w:rsid w:val="00920022"/>
    <w:rsid w:val="00922524"/>
    <w:rsid w:val="00922A78"/>
    <w:rsid w:val="009239F7"/>
    <w:rsid w:val="009241B3"/>
    <w:rsid w:val="00925568"/>
    <w:rsid w:val="009259D7"/>
    <w:rsid w:val="00925B01"/>
    <w:rsid w:val="00925D05"/>
    <w:rsid w:val="00927185"/>
    <w:rsid w:val="00931AE9"/>
    <w:rsid w:val="00931DA5"/>
    <w:rsid w:val="00931FCC"/>
    <w:rsid w:val="00933308"/>
    <w:rsid w:val="00933A88"/>
    <w:rsid w:val="009346DB"/>
    <w:rsid w:val="00936585"/>
    <w:rsid w:val="009373C7"/>
    <w:rsid w:val="00937666"/>
    <w:rsid w:val="0094180F"/>
    <w:rsid w:val="009429A4"/>
    <w:rsid w:val="00943FE2"/>
    <w:rsid w:val="00944707"/>
    <w:rsid w:val="009449C8"/>
    <w:rsid w:val="0094522D"/>
    <w:rsid w:val="00945857"/>
    <w:rsid w:val="009461C4"/>
    <w:rsid w:val="0094658D"/>
    <w:rsid w:val="00947063"/>
    <w:rsid w:val="009474EB"/>
    <w:rsid w:val="009478E1"/>
    <w:rsid w:val="00952B2B"/>
    <w:rsid w:val="0095465A"/>
    <w:rsid w:val="00955764"/>
    <w:rsid w:val="00955EBF"/>
    <w:rsid w:val="009561E9"/>
    <w:rsid w:val="00956740"/>
    <w:rsid w:val="00957B17"/>
    <w:rsid w:val="00957BEC"/>
    <w:rsid w:val="00961E53"/>
    <w:rsid w:val="0096296D"/>
    <w:rsid w:val="00962B44"/>
    <w:rsid w:val="00963022"/>
    <w:rsid w:val="00964AB8"/>
    <w:rsid w:val="0096545A"/>
    <w:rsid w:val="0096676A"/>
    <w:rsid w:val="00966847"/>
    <w:rsid w:val="009704C1"/>
    <w:rsid w:val="009762A6"/>
    <w:rsid w:val="0097639C"/>
    <w:rsid w:val="0097704D"/>
    <w:rsid w:val="00977950"/>
    <w:rsid w:val="00977A5E"/>
    <w:rsid w:val="00981051"/>
    <w:rsid w:val="00982263"/>
    <w:rsid w:val="009823D6"/>
    <w:rsid w:val="00983AFE"/>
    <w:rsid w:val="00984C2C"/>
    <w:rsid w:val="00984EB7"/>
    <w:rsid w:val="00985FED"/>
    <w:rsid w:val="00986A6C"/>
    <w:rsid w:val="00987611"/>
    <w:rsid w:val="00987F8A"/>
    <w:rsid w:val="00990E24"/>
    <w:rsid w:val="0099202D"/>
    <w:rsid w:val="009951DD"/>
    <w:rsid w:val="00995765"/>
    <w:rsid w:val="00997AF2"/>
    <w:rsid w:val="009A0E01"/>
    <w:rsid w:val="009A1F05"/>
    <w:rsid w:val="009A4230"/>
    <w:rsid w:val="009A723E"/>
    <w:rsid w:val="009B0439"/>
    <w:rsid w:val="009B39C6"/>
    <w:rsid w:val="009B42CC"/>
    <w:rsid w:val="009B68B0"/>
    <w:rsid w:val="009C1C27"/>
    <w:rsid w:val="009C1E83"/>
    <w:rsid w:val="009C2C44"/>
    <w:rsid w:val="009C7084"/>
    <w:rsid w:val="009C7998"/>
    <w:rsid w:val="009D2FC8"/>
    <w:rsid w:val="009D3003"/>
    <w:rsid w:val="009D43C1"/>
    <w:rsid w:val="009D5982"/>
    <w:rsid w:val="009D5FB8"/>
    <w:rsid w:val="009D7296"/>
    <w:rsid w:val="009D7BB4"/>
    <w:rsid w:val="009D7D02"/>
    <w:rsid w:val="009E0961"/>
    <w:rsid w:val="009E1DE3"/>
    <w:rsid w:val="009E2D82"/>
    <w:rsid w:val="009E3936"/>
    <w:rsid w:val="009E3BD4"/>
    <w:rsid w:val="009F0546"/>
    <w:rsid w:val="009F14C8"/>
    <w:rsid w:val="009F1B93"/>
    <w:rsid w:val="009F397C"/>
    <w:rsid w:val="009F3990"/>
    <w:rsid w:val="009F3FA1"/>
    <w:rsid w:val="009F419F"/>
    <w:rsid w:val="009F4784"/>
    <w:rsid w:val="009F4D55"/>
    <w:rsid w:val="009F5147"/>
    <w:rsid w:val="009F6E95"/>
    <w:rsid w:val="00A02B46"/>
    <w:rsid w:val="00A03D3A"/>
    <w:rsid w:val="00A0407F"/>
    <w:rsid w:val="00A11BD8"/>
    <w:rsid w:val="00A165D2"/>
    <w:rsid w:val="00A17D1C"/>
    <w:rsid w:val="00A201C8"/>
    <w:rsid w:val="00A20480"/>
    <w:rsid w:val="00A2211C"/>
    <w:rsid w:val="00A22398"/>
    <w:rsid w:val="00A23744"/>
    <w:rsid w:val="00A23E07"/>
    <w:rsid w:val="00A247F3"/>
    <w:rsid w:val="00A24A1A"/>
    <w:rsid w:val="00A260AE"/>
    <w:rsid w:val="00A26708"/>
    <w:rsid w:val="00A274C6"/>
    <w:rsid w:val="00A32889"/>
    <w:rsid w:val="00A3359D"/>
    <w:rsid w:val="00A349F1"/>
    <w:rsid w:val="00A372C0"/>
    <w:rsid w:val="00A37450"/>
    <w:rsid w:val="00A37CC7"/>
    <w:rsid w:val="00A42958"/>
    <w:rsid w:val="00A43D43"/>
    <w:rsid w:val="00A4555B"/>
    <w:rsid w:val="00A46F3A"/>
    <w:rsid w:val="00A503F7"/>
    <w:rsid w:val="00A50B5E"/>
    <w:rsid w:val="00A52329"/>
    <w:rsid w:val="00A53067"/>
    <w:rsid w:val="00A53A97"/>
    <w:rsid w:val="00A55279"/>
    <w:rsid w:val="00A55C93"/>
    <w:rsid w:val="00A56239"/>
    <w:rsid w:val="00A569EC"/>
    <w:rsid w:val="00A603DC"/>
    <w:rsid w:val="00A60949"/>
    <w:rsid w:val="00A6333E"/>
    <w:rsid w:val="00A63D41"/>
    <w:rsid w:val="00A63E2F"/>
    <w:rsid w:val="00A67A30"/>
    <w:rsid w:val="00A70D66"/>
    <w:rsid w:val="00A73B32"/>
    <w:rsid w:val="00A74AC6"/>
    <w:rsid w:val="00A74FB3"/>
    <w:rsid w:val="00A7544A"/>
    <w:rsid w:val="00A7582A"/>
    <w:rsid w:val="00A779B0"/>
    <w:rsid w:val="00A814D5"/>
    <w:rsid w:val="00A817D7"/>
    <w:rsid w:val="00A82675"/>
    <w:rsid w:val="00A839E0"/>
    <w:rsid w:val="00A841FC"/>
    <w:rsid w:val="00A84451"/>
    <w:rsid w:val="00A848FA"/>
    <w:rsid w:val="00A87D09"/>
    <w:rsid w:val="00A87D45"/>
    <w:rsid w:val="00A902C6"/>
    <w:rsid w:val="00A91838"/>
    <w:rsid w:val="00A92993"/>
    <w:rsid w:val="00A92D24"/>
    <w:rsid w:val="00A96298"/>
    <w:rsid w:val="00A96CB0"/>
    <w:rsid w:val="00A9773D"/>
    <w:rsid w:val="00AA00F3"/>
    <w:rsid w:val="00AA0E41"/>
    <w:rsid w:val="00AA1666"/>
    <w:rsid w:val="00AA2CA3"/>
    <w:rsid w:val="00AA3962"/>
    <w:rsid w:val="00AA5468"/>
    <w:rsid w:val="00AA6300"/>
    <w:rsid w:val="00AB0891"/>
    <w:rsid w:val="00AB472F"/>
    <w:rsid w:val="00AB5286"/>
    <w:rsid w:val="00AB54F1"/>
    <w:rsid w:val="00AB789E"/>
    <w:rsid w:val="00AC0DAA"/>
    <w:rsid w:val="00AC0ECB"/>
    <w:rsid w:val="00AC397E"/>
    <w:rsid w:val="00AC39B3"/>
    <w:rsid w:val="00AC582D"/>
    <w:rsid w:val="00AD1503"/>
    <w:rsid w:val="00AD1810"/>
    <w:rsid w:val="00AD1E26"/>
    <w:rsid w:val="00AD1F75"/>
    <w:rsid w:val="00AD2F4A"/>
    <w:rsid w:val="00AD7D27"/>
    <w:rsid w:val="00AE1900"/>
    <w:rsid w:val="00AE3BDF"/>
    <w:rsid w:val="00AE428C"/>
    <w:rsid w:val="00AE4BF4"/>
    <w:rsid w:val="00AE6254"/>
    <w:rsid w:val="00AF0A8B"/>
    <w:rsid w:val="00AF1E30"/>
    <w:rsid w:val="00AF4E12"/>
    <w:rsid w:val="00AF6E14"/>
    <w:rsid w:val="00AF7F05"/>
    <w:rsid w:val="00B0644F"/>
    <w:rsid w:val="00B06469"/>
    <w:rsid w:val="00B06756"/>
    <w:rsid w:val="00B07074"/>
    <w:rsid w:val="00B10000"/>
    <w:rsid w:val="00B12D4C"/>
    <w:rsid w:val="00B12F66"/>
    <w:rsid w:val="00B134DD"/>
    <w:rsid w:val="00B13C06"/>
    <w:rsid w:val="00B14724"/>
    <w:rsid w:val="00B15828"/>
    <w:rsid w:val="00B16FA6"/>
    <w:rsid w:val="00B20898"/>
    <w:rsid w:val="00B24B72"/>
    <w:rsid w:val="00B2515C"/>
    <w:rsid w:val="00B32510"/>
    <w:rsid w:val="00B32710"/>
    <w:rsid w:val="00B33176"/>
    <w:rsid w:val="00B33333"/>
    <w:rsid w:val="00B34051"/>
    <w:rsid w:val="00B342C6"/>
    <w:rsid w:val="00B35061"/>
    <w:rsid w:val="00B3569F"/>
    <w:rsid w:val="00B366EB"/>
    <w:rsid w:val="00B37824"/>
    <w:rsid w:val="00B419A3"/>
    <w:rsid w:val="00B43C5F"/>
    <w:rsid w:val="00B47787"/>
    <w:rsid w:val="00B504B8"/>
    <w:rsid w:val="00B51335"/>
    <w:rsid w:val="00B513B2"/>
    <w:rsid w:val="00B54A19"/>
    <w:rsid w:val="00B56EB2"/>
    <w:rsid w:val="00B576D9"/>
    <w:rsid w:val="00B61B38"/>
    <w:rsid w:val="00B62388"/>
    <w:rsid w:val="00B6305B"/>
    <w:rsid w:val="00B63070"/>
    <w:rsid w:val="00B63905"/>
    <w:rsid w:val="00B642BE"/>
    <w:rsid w:val="00B657E1"/>
    <w:rsid w:val="00B71E7A"/>
    <w:rsid w:val="00B722D6"/>
    <w:rsid w:val="00B75BC4"/>
    <w:rsid w:val="00B7646F"/>
    <w:rsid w:val="00B80594"/>
    <w:rsid w:val="00B81A7E"/>
    <w:rsid w:val="00B82872"/>
    <w:rsid w:val="00B82C0A"/>
    <w:rsid w:val="00B83E5C"/>
    <w:rsid w:val="00B850AD"/>
    <w:rsid w:val="00B85A5F"/>
    <w:rsid w:val="00B85FF4"/>
    <w:rsid w:val="00B867C9"/>
    <w:rsid w:val="00B869FA"/>
    <w:rsid w:val="00B9039D"/>
    <w:rsid w:val="00B90633"/>
    <w:rsid w:val="00B913B3"/>
    <w:rsid w:val="00B922BE"/>
    <w:rsid w:val="00B92DA9"/>
    <w:rsid w:val="00B92F8B"/>
    <w:rsid w:val="00B93733"/>
    <w:rsid w:val="00B95512"/>
    <w:rsid w:val="00B9559E"/>
    <w:rsid w:val="00B96C77"/>
    <w:rsid w:val="00B97912"/>
    <w:rsid w:val="00BA2190"/>
    <w:rsid w:val="00BA359B"/>
    <w:rsid w:val="00BA413B"/>
    <w:rsid w:val="00BB15F5"/>
    <w:rsid w:val="00BB29DE"/>
    <w:rsid w:val="00BB3CC4"/>
    <w:rsid w:val="00BB535F"/>
    <w:rsid w:val="00BB5D35"/>
    <w:rsid w:val="00BB7AE8"/>
    <w:rsid w:val="00BC063C"/>
    <w:rsid w:val="00BC0782"/>
    <w:rsid w:val="00BC0C21"/>
    <w:rsid w:val="00BC12C5"/>
    <w:rsid w:val="00BC483A"/>
    <w:rsid w:val="00BC6604"/>
    <w:rsid w:val="00BD05CA"/>
    <w:rsid w:val="00BD288B"/>
    <w:rsid w:val="00BD3509"/>
    <w:rsid w:val="00BD6715"/>
    <w:rsid w:val="00BD6AF3"/>
    <w:rsid w:val="00BE314E"/>
    <w:rsid w:val="00BE33D9"/>
    <w:rsid w:val="00BE38A6"/>
    <w:rsid w:val="00BE3C3D"/>
    <w:rsid w:val="00BE59EC"/>
    <w:rsid w:val="00BE7710"/>
    <w:rsid w:val="00BE7D27"/>
    <w:rsid w:val="00BF0DC7"/>
    <w:rsid w:val="00BF22A6"/>
    <w:rsid w:val="00BF27AD"/>
    <w:rsid w:val="00BF2CAA"/>
    <w:rsid w:val="00BF3C4B"/>
    <w:rsid w:val="00BF3C8B"/>
    <w:rsid w:val="00BF4785"/>
    <w:rsid w:val="00C02079"/>
    <w:rsid w:val="00C02B7B"/>
    <w:rsid w:val="00C03D57"/>
    <w:rsid w:val="00C058C6"/>
    <w:rsid w:val="00C106D1"/>
    <w:rsid w:val="00C1097B"/>
    <w:rsid w:val="00C10E7B"/>
    <w:rsid w:val="00C11CEA"/>
    <w:rsid w:val="00C123A2"/>
    <w:rsid w:val="00C12E98"/>
    <w:rsid w:val="00C14DB6"/>
    <w:rsid w:val="00C154BA"/>
    <w:rsid w:val="00C15637"/>
    <w:rsid w:val="00C16875"/>
    <w:rsid w:val="00C171EA"/>
    <w:rsid w:val="00C206F3"/>
    <w:rsid w:val="00C21621"/>
    <w:rsid w:val="00C228BC"/>
    <w:rsid w:val="00C2322F"/>
    <w:rsid w:val="00C2408B"/>
    <w:rsid w:val="00C2758B"/>
    <w:rsid w:val="00C30270"/>
    <w:rsid w:val="00C3148B"/>
    <w:rsid w:val="00C31F60"/>
    <w:rsid w:val="00C320E1"/>
    <w:rsid w:val="00C32584"/>
    <w:rsid w:val="00C32BAF"/>
    <w:rsid w:val="00C33F2B"/>
    <w:rsid w:val="00C33FB6"/>
    <w:rsid w:val="00C3407B"/>
    <w:rsid w:val="00C376E8"/>
    <w:rsid w:val="00C40219"/>
    <w:rsid w:val="00C41750"/>
    <w:rsid w:val="00C42618"/>
    <w:rsid w:val="00C43CC8"/>
    <w:rsid w:val="00C4433B"/>
    <w:rsid w:val="00C451A1"/>
    <w:rsid w:val="00C46113"/>
    <w:rsid w:val="00C467DC"/>
    <w:rsid w:val="00C4695B"/>
    <w:rsid w:val="00C47236"/>
    <w:rsid w:val="00C47572"/>
    <w:rsid w:val="00C507CB"/>
    <w:rsid w:val="00C53015"/>
    <w:rsid w:val="00C5459D"/>
    <w:rsid w:val="00C54CCE"/>
    <w:rsid w:val="00C55095"/>
    <w:rsid w:val="00C5510B"/>
    <w:rsid w:val="00C55FF9"/>
    <w:rsid w:val="00C56DA9"/>
    <w:rsid w:val="00C56E18"/>
    <w:rsid w:val="00C575E3"/>
    <w:rsid w:val="00C57694"/>
    <w:rsid w:val="00C61E86"/>
    <w:rsid w:val="00C628F9"/>
    <w:rsid w:val="00C62DA6"/>
    <w:rsid w:val="00C64207"/>
    <w:rsid w:val="00C6784A"/>
    <w:rsid w:val="00C712BE"/>
    <w:rsid w:val="00C7229A"/>
    <w:rsid w:val="00C7340A"/>
    <w:rsid w:val="00C75232"/>
    <w:rsid w:val="00C75D1A"/>
    <w:rsid w:val="00C76843"/>
    <w:rsid w:val="00C80E22"/>
    <w:rsid w:val="00C80F87"/>
    <w:rsid w:val="00C82B89"/>
    <w:rsid w:val="00C83275"/>
    <w:rsid w:val="00C873DD"/>
    <w:rsid w:val="00C90870"/>
    <w:rsid w:val="00C92627"/>
    <w:rsid w:val="00C93024"/>
    <w:rsid w:val="00C93FB0"/>
    <w:rsid w:val="00C93FFE"/>
    <w:rsid w:val="00C9592C"/>
    <w:rsid w:val="00CA1828"/>
    <w:rsid w:val="00CA3276"/>
    <w:rsid w:val="00CA429D"/>
    <w:rsid w:val="00CA5A6E"/>
    <w:rsid w:val="00CB0055"/>
    <w:rsid w:val="00CB336E"/>
    <w:rsid w:val="00CB4198"/>
    <w:rsid w:val="00CB5298"/>
    <w:rsid w:val="00CB56A3"/>
    <w:rsid w:val="00CB614B"/>
    <w:rsid w:val="00CB6370"/>
    <w:rsid w:val="00CB665A"/>
    <w:rsid w:val="00CB6A04"/>
    <w:rsid w:val="00CB75FE"/>
    <w:rsid w:val="00CB7D3B"/>
    <w:rsid w:val="00CB7D6A"/>
    <w:rsid w:val="00CC26ED"/>
    <w:rsid w:val="00CC27D0"/>
    <w:rsid w:val="00CC332C"/>
    <w:rsid w:val="00CC498D"/>
    <w:rsid w:val="00CC546C"/>
    <w:rsid w:val="00CC6CF6"/>
    <w:rsid w:val="00CC7921"/>
    <w:rsid w:val="00CD0B4C"/>
    <w:rsid w:val="00CD1D77"/>
    <w:rsid w:val="00CD2971"/>
    <w:rsid w:val="00CD30D2"/>
    <w:rsid w:val="00CD34DF"/>
    <w:rsid w:val="00CD38F4"/>
    <w:rsid w:val="00CD3980"/>
    <w:rsid w:val="00CD68B7"/>
    <w:rsid w:val="00CD6903"/>
    <w:rsid w:val="00CD69FC"/>
    <w:rsid w:val="00CE1B8F"/>
    <w:rsid w:val="00CE2DA6"/>
    <w:rsid w:val="00CE31FA"/>
    <w:rsid w:val="00CE5A2D"/>
    <w:rsid w:val="00CE6874"/>
    <w:rsid w:val="00CE6C43"/>
    <w:rsid w:val="00CE6DA6"/>
    <w:rsid w:val="00CF0080"/>
    <w:rsid w:val="00CF0F89"/>
    <w:rsid w:val="00CF0F99"/>
    <w:rsid w:val="00CF1F09"/>
    <w:rsid w:val="00CF5D0F"/>
    <w:rsid w:val="00CF77F4"/>
    <w:rsid w:val="00D000EF"/>
    <w:rsid w:val="00D00229"/>
    <w:rsid w:val="00D01DDB"/>
    <w:rsid w:val="00D0440C"/>
    <w:rsid w:val="00D04E73"/>
    <w:rsid w:val="00D05CB1"/>
    <w:rsid w:val="00D06213"/>
    <w:rsid w:val="00D073A2"/>
    <w:rsid w:val="00D078BA"/>
    <w:rsid w:val="00D07D1B"/>
    <w:rsid w:val="00D107B5"/>
    <w:rsid w:val="00D11802"/>
    <w:rsid w:val="00D16218"/>
    <w:rsid w:val="00D20CE9"/>
    <w:rsid w:val="00D21174"/>
    <w:rsid w:val="00D227E6"/>
    <w:rsid w:val="00D22B48"/>
    <w:rsid w:val="00D22FCB"/>
    <w:rsid w:val="00D24AF4"/>
    <w:rsid w:val="00D253ED"/>
    <w:rsid w:val="00D25C0F"/>
    <w:rsid w:val="00D26F44"/>
    <w:rsid w:val="00D312A9"/>
    <w:rsid w:val="00D3170A"/>
    <w:rsid w:val="00D31DA9"/>
    <w:rsid w:val="00D31F0F"/>
    <w:rsid w:val="00D32319"/>
    <w:rsid w:val="00D32C1F"/>
    <w:rsid w:val="00D33BC3"/>
    <w:rsid w:val="00D348B8"/>
    <w:rsid w:val="00D35C03"/>
    <w:rsid w:val="00D36A52"/>
    <w:rsid w:val="00D37A90"/>
    <w:rsid w:val="00D44983"/>
    <w:rsid w:val="00D47DBF"/>
    <w:rsid w:val="00D51DA8"/>
    <w:rsid w:val="00D52C01"/>
    <w:rsid w:val="00D52F99"/>
    <w:rsid w:val="00D55470"/>
    <w:rsid w:val="00D56AEF"/>
    <w:rsid w:val="00D6378F"/>
    <w:rsid w:val="00D63AF6"/>
    <w:rsid w:val="00D64E23"/>
    <w:rsid w:val="00D658AE"/>
    <w:rsid w:val="00D65F14"/>
    <w:rsid w:val="00D671F2"/>
    <w:rsid w:val="00D673E8"/>
    <w:rsid w:val="00D67547"/>
    <w:rsid w:val="00D70946"/>
    <w:rsid w:val="00D74BC1"/>
    <w:rsid w:val="00D75DDE"/>
    <w:rsid w:val="00D82755"/>
    <w:rsid w:val="00D83837"/>
    <w:rsid w:val="00D83E36"/>
    <w:rsid w:val="00D85926"/>
    <w:rsid w:val="00D87478"/>
    <w:rsid w:val="00D87479"/>
    <w:rsid w:val="00D87DA0"/>
    <w:rsid w:val="00D87DA2"/>
    <w:rsid w:val="00D94D6E"/>
    <w:rsid w:val="00D97C72"/>
    <w:rsid w:val="00DA1080"/>
    <w:rsid w:val="00DA1F2C"/>
    <w:rsid w:val="00DA2A13"/>
    <w:rsid w:val="00DA4ACB"/>
    <w:rsid w:val="00DA58EE"/>
    <w:rsid w:val="00DA6095"/>
    <w:rsid w:val="00DA6B91"/>
    <w:rsid w:val="00DA7559"/>
    <w:rsid w:val="00DB07D3"/>
    <w:rsid w:val="00DB19FE"/>
    <w:rsid w:val="00DB1ADD"/>
    <w:rsid w:val="00DB1F73"/>
    <w:rsid w:val="00DB376D"/>
    <w:rsid w:val="00DB68BE"/>
    <w:rsid w:val="00DB7FA7"/>
    <w:rsid w:val="00DC37CF"/>
    <w:rsid w:val="00DC3CC9"/>
    <w:rsid w:val="00DC3DE8"/>
    <w:rsid w:val="00DC428C"/>
    <w:rsid w:val="00DC52A2"/>
    <w:rsid w:val="00DC58D6"/>
    <w:rsid w:val="00DC656A"/>
    <w:rsid w:val="00DD01FD"/>
    <w:rsid w:val="00DD0928"/>
    <w:rsid w:val="00DD3BD5"/>
    <w:rsid w:val="00DD619A"/>
    <w:rsid w:val="00DD6E27"/>
    <w:rsid w:val="00DE01EE"/>
    <w:rsid w:val="00DE3378"/>
    <w:rsid w:val="00DE3F72"/>
    <w:rsid w:val="00DE46DC"/>
    <w:rsid w:val="00DE5CCB"/>
    <w:rsid w:val="00DE68AF"/>
    <w:rsid w:val="00DE7C24"/>
    <w:rsid w:val="00DF0F68"/>
    <w:rsid w:val="00DF1712"/>
    <w:rsid w:val="00DF1B6E"/>
    <w:rsid w:val="00DF259A"/>
    <w:rsid w:val="00DF3D99"/>
    <w:rsid w:val="00DF74C3"/>
    <w:rsid w:val="00E00C71"/>
    <w:rsid w:val="00E01B39"/>
    <w:rsid w:val="00E02BFF"/>
    <w:rsid w:val="00E02ED0"/>
    <w:rsid w:val="00E053D7"/>
    <w:rsid w:val="00E05B43"/>
    <w:rsid w:val="00E06C9B"/>
    <w:rsid w:val="00E11414"/>
    <w:rsid w:val="00E12708"/>
    <w:rsid w:val="00E14A3B"/>
    <w:rsid w:val="00E150D8"/>
    <w:rsid w:val="00E16724"/>
    <w:rsid w:val="00E16772"/>
    <w:rsid w:val="00E174EE"/>
    <w:rsid w:val="00E20230"/>
    <w:rsid w:val="00E2358D"/>
    <w:rsid w:val="00E249CD"/>
    <w:rsid w:val="00E24B55"/>
    <w:rsid w:val="00E24ED3"/>
    <w:rsid w:val="00E26354"/>
    <w:rsid w:val="00E263DD"/>
    <w:rsid w:val="00E2680A"/>
    <w:rsid w:val="00E30E93"/>
    <w:rsid w:val="00E32344"/>
    <w:rsid w:val="00E32815"/>
    <w:rsid w:val="00E32A82"/>
    <w:rsid w:val="00E330A0"/>
    <w:rsid w:val="00E377F3"/>
    <w:rsid w:val="00E40188"/>
    <w:rsid w:val="00E45BD2"/>
    <w:rsid w:val="00E475F1"/>
    <w:rsid w:val="00E5133B"/>
    <w:rsid w:val="00E522D5"/>
    <w:rsid w:val="00E52785"/>
    <w:rsid w:val="00E5333B"/>
    <w:rsid w:val="00E53D82"/>
    <w:rsid w:val="00E53E22"/>
    <w:rsid w:val="00E54822"/>
    <w:rsid w:val="00E54F45"/>
    <w:rsid w:val="00E556FC"/>
    <w:rsid w:val="00E5726A"/>
    <w:rsid w:val="00E606BE"/>
    <w:rsid w:val="00E607B4"/>
    <w:rsid w:val="00E63677"/>
    <w:rsid w:val="00E63DB9"/>
    <w:rsid w:val="00E651A1"/>
    <w:rsid w:val="00E65343"/>
    <w:rsid w:val="00E668D9"/>
    <w:rsid w:val="00E66EFB"/>
    <w:rsid w:val="00E7255B"/>
    <w:rsid w:val="00E757BD"/>
    <w:rsid w:val="00E77224"/>
    <w:rsid w:val="00E7739A"/>
    <w:rsid w:val="00E80631"/>
    <w:rsid w:val="00E80AB6"/>
    <w:rsid w:val="00E80D46"/>
    <w:rsid w:val="00E8265F"/>
    <w:rsid w:val="00E832E5"/>
    <w:rsid w:val="00E83CD1"/>
    <w:rsid w:val="00E83EAE"/>
    <w:rsid w:val="00E8798F"/>
    <w:rsid w:val="00E91D05"/>
    <w:rsid w:val="00E93A57"/>
    <w:rsid w:val="00E93E0D"/>
    <w:rsid w:val="00E9652B"/>
    <w:rsid w:val="00E969D1"/>
    <w:rsid w:val="00EA0488"/>
    <w:rsid w:val="00EA23ED"/>
    <w:rsid w:val="00EA3B9F"/>
    <w:rsid w:val="00EA67B2"/>
    <w:rsid w:val="00EB2A58"/>
    <w:rsid w:val="00EB3658"/>
    <w:rsid w:val="00EB3AA6"/>
    <w:rsid w:val="00EB6110"/>
    <w:rsid w:val="00EB7E43"/>
    <w:rsid w:val="00EC270B"/>
    <w:rsid w:val="00EC2B01"/>
    <w:rsid w:val="00EC3DF9"/>
    <w:rsid w:val="00EC3E31"/>
    <w:rsid w:val="00EC507A"/>
    <w:rsid w:val="00EC55BA"/>
    <w:rsid w:val="00EC6709"/>
    <w:rsid w:val="00ED1F57"/>
    <w:rsid w:val="00ED2DFB"/>
    <w:rsid w:val="00ED63C3"/>
    <w:rsid w:val="00EE15A0"/>
    <w:rsid w:val="00EE3737"/>
    <w:rsid w:val="00EE5E78"/>
    <w:rsid w:val="00EE5FDD"/>
    <w:rsid w:val="00EE7A3E"/>
    <w:rsid w:val="00EF109C"/>
    <w:rsid w:val="00EF3136"/>
    <w:rsid w:val="00EF5A36"/>
    <w:rsid w:val="00F005BF"/>
    <w:rsid w:val="00F0077C"/>
    <w:rsid w:val="00F00A28"/>
    <w:rsid w:val="00F00E9E"/>
    <w:rsid w:val="00F02BDE"/>
    <w:rsid w:val="00F02F88"/>
    <w:rsid w:val="00F03154"/>
    <w:rsid w:val="00F03523"/>
    <w:rsid w:val="00F036AD"/>
    <w:rsid w:val="00F039A6"/>
    <w:rsid w:val="00F056DB"/>
    <w:rsid w:val="00F05E3A"/>
    <w:rsid w:val="00F061C0"/>
    <w:rsid w:val="00F0623A"/>
    <w:rsid w:val="00F067AB"/>
    <w:rsid w:val="00F06B50"/>
    <w:rsid w:val="00F07D26"/>
    <w:rsid w:val="00F10A30"/>
    <w:rsid w:val="00F11512"/>
    <w:rsid w:val="00F123BE"/>
    <w:rsid w:val="00F1383B"/>
    <w:rsid w:val="00F138FA"/>
    <w:rsid w:val="00F16C3C"/>
    <w:rsid w:val="00F178FD"/>
    <w:rsid w:val="00F20253"/>
    <w:rsid w:val="00F20908"/>
    <w:rsid w:val="00F218C5"/>
    <w:rsid w:val="00F22BEA"/>
    <w:rsid w:val="00F26267"/>
    <w:rsid w:val="00F26657"/>
    <w:rsid w:val="00F2679E"/>
    <w:rsid w:val="00F26915"/>
    <w:rsid w:val="00F26F75"/>
    <w:rsid w:val="00F36F70"/>
    <w:rsid w:val="00F427CE"/>
    <w:rsid w:val="00F43B87"/>
    <w:rsid w:val="00F44459"/>
    <w:rsid w:val="00F4505F"/>
    <w:rsid w:val="00F5275A"/>
    <w:rsid w:val="00F54338"/>
    <w:rsid w:val="00F54B35"/>
    <w:rsid w:val="00F55257"/>
    <w:rsid w:val="00F55BC0"/>
    <w:rsid w:val="00F577E4"/>
    <w:rsid w:val="00F57E81"/>
    <w:rsid w:val="00F6035E"/>
    <w:rsid w:val="00F6338E"/>
    <w:rsid w:val="00F63ADE"/>
    <w:rsid w:val="00F648D9"/>
    <w:rsid w:val="00F732B7"/>
    <w:rsid w:val="00F73D07"/>
    <w:rsid w:val="00F74352"/>
    <w:rsid w:val="00F76BBE"/>
    <w:rsid w:val="00F77C6C"/>
    <w:rsid w:val="00F80B29"/>
    <w:rsid w:val="00F80B63"/>
    <w:rsid w:val="00F82F3D"/>
    <w:rsid w:val="00F84305"/>
    <w:rsid w:val="00F87EC1"/>
    <w:rsid w:val="00F90C70"/>
    <w:rsid w:val="00F9101A"/>
    <w:rsid w:val="00F91A59"/>
    <w:rsid w:val="00F921CA"/>
    <w:rsid w:val="00F9306E"/>
    <w:rsid w:val="00F97148"/>
    <w:rsid w:val="00F97D1E"/>
    <w:rsid w:val="00FA0942"/>
    <w:rsid w:val="00FA2A87"/>
    <w:rsid w:val="00FA4B8A"/>
    <w:rsid w:val="00FA5B5E"/>
    <w:rsid w:val="00FA75E6"/>
    <w:rsid w:val="00FA7DEF"/>
    <w:rsid w:val="00FA7F51"/>
    <w:rsid w:val="00FB0778"/>
    <w:rsid w:val="00FB2A71"/>
    <w:rsid w:val="00FB4C73"/>
    <w:rsid w:val="00FB4D46"/>
    <w:rsid w:val="00FB57FA"/>
    <w:rsid w:val="00FB60AF"/>
    <w:rsid w:val="00FB610A"/>
    <w:rsid w:val="00FB766A"/>
    <w:rsid w:val="00FC1287"/>
    <w:rsid w:val="00FC12D5"/>
    <w:rsid w:val="00FC22B7"/>
    <w:rsid w:val="00FC3491"/>
    <w:rsid w:val="00FC52AE"/>
    <w:rsid w:val="00FC6BB2"/>
    <w:rsid w:val="00FC7DE2"/>
    <w:rsid w:val="00FD0665"/>
    <w:rsid w:val="00FD0822"/>
    <w:rsid w:val="00FD0A12"/>
    <w:rsid w:val="00FD1C1F"/>
    <w:rsid w:val="00FD201F"/>
    <w:rsid w:val="00FD2C47"/>
    <w:rsid w:val="00FD4708"/>
    <w:rsid w:val="00FE20BA"/>
    <w:rsid w:val="00FE2331"/>
    <w:rsid w:val="00FE47FE"/>
    <w:rsid w:val="00FE4C13"/>
    <w:rsid w:val="00FE4D74"/>
    <w:rsid w:val="00FE57AF"/>
    <w:rsid w:val="00FF19CF"/>
    <w:rsid w:val="00FF25C3"/>
    <w:rsid w:val="00FF28CD"/>
    <w:rsid w:val="00FF7098"/>
    <w:rsid w:val="00FF7107"/>
    <w:rsid w:val="01127882"/>
    <w:rsid w:val="01496B4C"/>
    <w:rsid w:val="020F4250"/>
    <w:rsid w:val="02467710"/>
    <w:rsid w:val="024E5A31"/>
    <w:rsid w:val="02C90A1E"/>
    <w:rsid w:val="0338332B"/>
    <w:rsid w:val="03764BFC"/>
    <w:rsid w:val="03C27A1E"/>
    <w:rsid w:val="03F4664E"/>
    <w:rsid w:val="0410675B"/>
    <w:rsid w:val="047B1E6F"/>
    <w:rsid w:val="04F57311"/>
    <w:rsid w:val="05167103"/>
    <w:rsid w:val="051F0919"/>
    <w:rsid w:val="055022A0"/>
    <w:rsid w:val="059431CE"/>
    <w:rsid w:val="05D71A77"/>
    <w:rsid w:val="06A11C74"/>
    <w:rsid w:val="06E76624"/>
    <w:rsid w:val="071F7FFB"/>
    <w:rsid w:val="07C725EB"/>
    <w:rsid w:val="08F93AAE"/>
    <w:rsid w:val="098625DE"/>
    <w:rsid w:val="09D108E6"/>
    <w:rsid w:val="0ACA4102"/>
    <w:rsid w:val="0AEB06D8"/>
    <w:rsid w:val="0B2C316F"/>
    <w:rsid w:val="0BD3691B"/>
    <w:rsid w:val="0BE00613"/>
    <w:rsid w:val="0BFE5038"/>
    <w:rsid w:val="0C7531CB"/>
    <w:rsid w:val="0C7E6523"/>
    <w:rsid w:val="0CC06DEF"/>
    <w:rsid w:val="0D002339"/>
    <w:rsid w:val="0D4004DC"/>
    <w:rsid w:val="0D8F5F4B"/>
    <w:rsid w:val="0DA175B1"/>
    <w:rsid w:val="0DDF1136"/>
    <w:rsid w:val="0E1924B1"/>
    <w:rsid w:val="0E3F7147"/>
    <w:rsid w:val="0E80489D"/>
    <w:rsid w:val="0EA57FA1"/>
    <w:rsid w:val="0EEE7499"/>
    <w:rsid w:val="0F0D11BA"/>
    <w:rsid w:val="0F5E0C81"/>
    <w:rsid w:val="0F667603"/>
    <w:rsid w:val="0F940B81"/>
    <w:rsid w:val="10012F48"/>
    <w:rsid w:val="10345831"/>
    <w:rsid w:val="107422D0"/>
    <w:rsid w:val="10790E00"/>
    <w:rsid w:val="10792B6D"/>
    <w:rsid w:val="10A20CA0"/>
    <w:rsid w:val="10CF0BCF"/>
    <w:rsid w:val="10D4262F"/>
    <w:rsid w:val="10DD6839"/>
    <w:rsid w:val="11075191"/>
    <w:rsid w:val="111D5885"/>
    <w:rsid w:val="11294DBC"/>
    <w:rsid w:val="11367D51"/>
    <w:rsid w:val="113D2012"/>
    <w:rsid w:val="11C467F3"/>
    <w:rsid w:val="11CF6E01"/>
    <w:rsid w:val="11EC44FD"/>
    <w:rsid w:val="123745E8"/>
    <w:rsid w:val="12D13735"/>
    <w:rsid w:val="135121F2"/>
    <w:rsid w:val="13763C4A"/>
    <w:rsid w:val="13BB4F23"/>
    <w:rsid w:val="14064428"/>
    <w:rsid w:val="146912F1"/>
    <w:rsid w:val="14A32AD4"/>
    <w:rsid w:val="155E070C"/>
    <w:rsid w:val="15A722D9"/>
    <w:rsid w:val="166C758E"/>
    <w:rsid w:val="167B0720"/>
    <w:rsid w:val="16B46B12"/>
    <w:rsid w:val="17961448"/>
    <w:rsid w:val="17F437A9"/>
    <w:rsid w:val="180B329E"/>
    <w:rsid w:val="182F092E"/>
    <w:rsid w:val="18316C32"/>
    <w:rsid w:val="18563568"/>
    <w:rsid w:val="186E4914"/>
    <w:rsid w:val="19197809"/>
    <w:rsid w:val="196766B2"/>
    <w:rsid w:val="19E16777"/>
    <w:rsid w:val="1A0D046E"/>
    <w:rsid w:val="1A2B3F94"/>
    <w:rsid w:val="1ABE23A2"/>
    <w:rsid w:val="1B380103"/>
    <w:rsid w:val="1B6879ED"/>
    <w:rsid w:val="1B7E5394"/>
    <w:rsid w:val="1C2A57BE"/>
    <w:rsid w:val="1C4C5BA9"/>
    <w:rsid w:val="1CAD0994"/>
    <w:rsid w:val="1CBD097B"/>
    <w:rsid w:val="1D060761"/>
    <w:rsid w:val="1D5A1E15"/>
    <w:rsid w:val="1D8D2573"/>
    <w:rsid w:val="1D9A3529"/>
    <w:rsid w:val="1DC53ABB"/>
    <w:rsid w:val="1DE87005"/>
    <w:rsid w:val="1DFD3E0B"/>
    <w:rsid w:val="1E410218"/>
    <w:rsid w:val="1E513852"/>
    <w:rsid w:val="1E861290"/>
    <w:rsid w:val="1E8967AC"/>
    <w:rsid w:val="1ECE3B35"/>
    <w:rsid w:val="1F854C6D"/>
    <w:rsid w:val="1FCF3936"/>
    <w:rsid w:val="1FD93D34"/>
    <w:rsid w:val="204F573A"/>
    <w:rsid w:val="20A35BB1"/>
    <w:rsid w:val="20A93169"/>
    <w:rsid w:val="20D4605E"/>
    <w:rsid w:val="20D61A47"/>
    <w:rsid w:val="20FB5A46"/>
    <w:rsid w:val="21584C46"/>
    <w:rsid w:val="21BE23AC"/>
    <w:rsid w:val="21DF2800"/>
    <w:rsid w:val="222C018E"/>
    <w:rsid w:val="22D8650E"/>
    <w:rsid w:val="22F9293B"/>
    <w:rsid w:val="236505D0"/>
    <w:rsid w:val="239653F1"/>
    <w:rsid w:val="23992846"/>
    <w:rsid w:val="2410768B"/>
    <w:rsid w:val="242516FD"/>
    <w:rsid w:val="24686B03"/>
    <w:rsid w:val="24A76EBF"/>
    <w:rsid w:val="24BC5CDF"/>
    <w:rsid w:val="24EB6834"/>
    <w:rsid w:val="250E7496"/>
    <w:rsid w:val="253125E5"/>
    <w:rsid w:val="255B2B11"/>
    <w:rsid w:val="257355D0"/>
    <w:rsid w:val="25C14A97"/>
    <w:rsid w:val="25DB381F"/>
    <w:rsid w:val="260C38D6"/>
    <w:rsid w:val="26126FCF"/>
    <w:rsid w:val="264675BA"/>
    <w:rsid w:val="26987649"/>
    <w:rsid w:val="26A32ECB"/>
    <w:rsid w:val="26A91193"/>
    <w:rsid w:val="26B775B3"/>
    <w:rsid w:val="26D16EDB"/>
    <w:rsid w:val="271403A0"/>
    <w:rsid w:val="277B343D"/>
    <w:rsid w:val="2782502E"/>
    <w:rsid w:val="27844905"/>
    <w:rsid w:val="27E6362F"/>
    <w:rsid w:val="28253915"/>
    <w:rsid w:val="282F7889"/>
    <w:rsid w:val="283865D1"/>
    <w:rsid w:val="28402C9A"/>
    <w:rsid w:val="28CF1C92"/>
    <w:rsid w:val="28DB63D4"/>
    <w:rsid w:val="29271212"/>
    <w:rsid w:val="29321421"/>
    <w:rsid w:val="29826BE9"/>
    <w:rsid w:val="29991877"/>
    <w:rsid w:val="29BD2BF7"/>
    <w:rsid w:val="29F549EE"/>
    <w:rsid w:val="2A0208CB"/>
    <w:rsid w:val="2A541709"/>
    <w:rsid w:val="2B2F6C1B"/>
    <w:rsid w:val="2BE42CD5"/>
    <w:rsid w:val="2BF20E19"/>
    <w:rsid w:val="2C2A05AC"/>
    <w:rsid w:val="2C7B3B9F"/>
    <w:rsid w:val="2C871608"/>
    <w:rsid w:val="2CBC1CCF"/>
    <w:rsid w:val="2D0207C8"/>
    <w:rsid w:val="2D2B7CED"/>
    <w:rsid w:val="2D5A2152"/>
    <w:rsid w:val="2D9B14FC"/>
    <w:rsid w:val="2DDA1228"/>
    <w:rsid w:val="2DED0BEE"/>
    <w:rsid w:val="2DFF41FA"/>
    <w:rsid w:val="2E6376CC"/>
    <w:rsid w:val="2E6678F1"/>
    <w:rsid w:val="2E8504F9"/>
    <w:rsid w:val="2E853A4A"/>
    <w:rsid w:val="2E8E229C"/>
    <w:rsid w:val="2EB47EAB"/>
    <w:rsid w:val="2F6F31F3"/>
    <w:rsid w:val="2F9235B2"/>
    <w:rsid w:val="2F9B0579"/>
    <w:rsid w:val="3001764C"/>
    <w:rsid w:val="307A7A21"/>
    <w:rsid w:val="31892B35"/>
    <w:rsid w:val="31AC5B01"/>
    <w:rsid w:val="322F5AD6"/>
    <w:rsid w:val="32392B9F"/>
    <w:rsid w:val="32A266E9"/>
    <w:rsid w:val="32C01C58"/>
    <w:rsid w:val="32F521EF"/>
    <w:rsid w:val="33347494"/>
    <w:rsid w:val="3394622C"/>
    <w:rsid w:val="33A77461"/>
    <w:rsid w:val="33CF016E"/>
    <w:rsid w:val="340E4E61"/>
    <w:rsid w:val="34210891"/>
    <w:rsid w:val="3440053F"/>
    <w:rsid w:val="34B3381D"/>
    <w:rsid w:val="34F0100B"/>
    <w:rsid w:val="353B4A88"/>
    <w:rsid w:val="35470BB9"/>
    <w:rsid w:val="35756537"/>
    <w:rsid w:val="361F38DC"/>
    <w:rsid w:val="36391270"/>
    <w:rsid w:val="364B5126"/>
    <w:rsid w:val="366B1A90"/>
    <w:rsid w:val="36D1052E"/>
    <w:rsid w:val="36D6117E"/>
    <w:rsid w:val="36D71D73"/>
    <w:rsid w:val="36F00D16"/>
    <w:rsid w:val="36F032DD"/>
    <w:rsid w:val="370F2C55"/>
    <w:rsid w:val="372805C8"/>
    <w:rsid w:val="372D743A"/>
    <w:rsid w:val="38BD4B92"/>
    <w:rsid w:val="38CC5607"/>
    <w:rsid w:val="39060E0E"/>
    <w:rsid w:val="393763F2"/>
    <w:rsid w:val="394E33BB"/>
    <w:rsid w:val="39600617"/>
    <w:rsid w:val="39B27192"/>
    <w:rsid w:val="39B34B5E"/>
    <w:rsid w:val="3A057E46"/>
    <w:rsid w:val="3A210C44"/>
    <w:rsid w:val="3A285BE5"/>
    <w:rsid w:val="3B3D77D8"/>
    <w:rsid w:val="3BB5471D"/>
    <w:rsid w:val="3BD511AE"/>
    <w:rsid w:val="3BF34868"/>
    <w:rsid w:val="3BF3596C"/>
    <w:rsid w:val="3C0851C5"/>
    <w:rsid w:val="3C0B44BA"/>
    <w:rsid w:val="3C473F3A"/>
    <w:rsid w:val="3CED6DFB"/>
    <w:rsid w:val="3CF01758"/>
    <w:rsid w:val="3D7951B4"/>
    <w:rsid w:val="3DB944B4"/>
    <w:rsid w:val="3DE9200B"/>
    <w:rsid w:val="3DF92232"/>
    <w:rsid w:val="3EAD6F32"/>
    <w:rsid w:val="3EF436D6"/>
    <w:rsid w:val="3F151A27"/>
    <w:rsid w:val="3F18081A"/>
    <w:rsid w:val="3F1D62D8"/>
    <w:rsid w:val="407611B6"/>
    <w:rsid w:val="40832248"/>
    <w:rsid w:val="40840381"/>
    <w:rsid w:val="40886111"/>
    <w:rsid w:val="40CD2846"/>
    <w:rsid w:val="40FB6861"/>
    <w:rsid w:val="41186F7E"/>
    <w:rsid w:val="412169AB"/>
    <w:rsid w:val="41D041E1"/>
    <w:rsid w:val="41EA6BFB"/>
    <w:rsid w:val="41EF0477"/>
    <w:rsid w:val="421627CD"/>
    <w:rsid w:val="42E9709E"/>
    <w:rsid w:val="43243527"/>
    <w:rsid w:val="43E42A17"/>
    <w:rsid w:val="43FA073B"/>
    <w:rsid w:val="441A63E5"/>
    <w:rsid w:val="4444152B"/>
    <w:rsid w:val="44446A76"/>
    <w:rsid w:val="44BF10ED"/>
    <w:rsid w:val="44E16841"/>
    <w:rsid w:val="45246581"/>
    <w:rsid w:val="45F33C53"/>
    <w:rsid w:val="46675581"/>
    <w:rsid w:val="467A1B6C"/>
    <w:rsid w:val="467F03FC"/>
    <w:rsid w:val="468011FA"/>
    <w:rsid w:val="46FC10B3"/>
    <w:rsid w:val="47E606E7"/>
    <w:rsid w:val="48161B39"/>
    <w:rsid w:val="489A6A49"/>
    <w:rsid w:val="48FA6149"/>
    <w:rsid w:val="495C7689"/>
    <w:rsid w:val="495F7370"/>
    <w:rsid w:val="4A342EE3"/>
    <w:rsid w:val="4AAC2330"/>
    <w:rsid w:val="4AAF16F9"/>
    <w:rsid w:val="4AB00EAD"/>
    <w:rsid w:val="4ADA0CE0"/>
    <w:rsid w:val="4B9E1AF5"/>
    <w:rsid w:val="4BD11F04"/>
    <w:rsid w:val="4C335578"/>
    <w:rsid w:val="4C633A31"/>
    <w:rsid w:val="4CB176F8"/>
    <w:rsid w:val="4D0B10AC"/>
    <w:rsid w:val="4D12369B"/>
    <w:rsid w:val="4D6A7CF7"/>
    <w:rsid w:val="4DF96322"/>
    <w:rsid w:val="4E4B1C26"/>
    <w:rsid w:val="4E6E699C"/>
    <w:rsid w:val="4E8F1B6B"/>
    <w:rsid w:val="4E9A25E0"/>
    <w:rsid w:val="4EA82BC0"/>
    <w:rsid w:val="4EBC01C8"/>
    <w:rsid w:val="4F520285"/>
    <w:rsid w:val="4F624D5E"/>
    <w:rsid w:val="4FBA3CE3"/>
    <w:rsid w:val="4FBF15C3"/>
    <w:rsid w:val="4FF14D76"/>
    <w:rsid w:val="4FFB1E84"/>
    <w:rsid w:val="50820014"/>
    <w:rsid w:val="50824E9F"/>
    <w:rsid w:val="50A461AA"/>
    <w:rsid w:val="50B32653"/>
    <w:rsid w:val="51487505"/>
    <w:rsid w:val="515973A7"/>
    <w:rsid w:val="51887381"/>
    <w:rsid w:val="51AB645A"/>
    <w:rsid w:val="520477FE"/>
    <w:rsid w:val="526072C5"/>
    <w:rsid w:val="5271445A"/>
    <w:rsid w:val="52A63F5B"/>
    <w:rsid w:val="52E971E1"/>
    <w:rsid w:val="53206BEC"/>
    <w:rsid w:val="53331FAA"/>
    <w:rsid w:val="5363596D"/>
    <w:rsid w:val="53667A9B"/>
    <w:rsid w:val="53915EAA"/>
    <w:rsid w:val="540320F7"/>
    <w:rsid w:val="545A4F71"/>
    <w:rsid w:val="54BE7475"/>
    <w:rsid w:val="55280CE5"/>
    <w:rsid w:val="5539678A"/>
    <w:rsid w:val="557E3D20"/>
    <w:rsid w:val="558A308B"/>
    <w:rsid w:val="55AA7A97"/>
    <w:rsid w:val="55E1001A"/>
    <w:rsid w:val="55EC3644"/>
    <w:rsid w:val="56264A02"/>
    <w:rsid w:val="564727C1"/>
    <w:rsid w:val="566154AE"/>
    <w:rsid w:val="56735EF7"/>
    <w:rsid w:val="56C95F58"/>
    <w:rsid w:val="56D00270"/>
    <w:rsid w:val="571D2681"/>
    <w:rsid w:val="57A44392"/>
    <w:rsid w:val="57C52407"/>
    <w:rsid w:val="58A34760"/>
    <w:rsid w:val="598A1C27"/>
    <w:rsid w:val="599B0967"/>
    <w:rsid w:val="59EC115D"/>
    <w:rsid w:val="5A0D00AB"/>
    <w:rsid w:val="5AA32D6A"/>
    <w:rsid w:val="5B245826"/>
    <w:rsid w:val="5B895FC3"/>
    <w:rsid w:val="5B8E6A14"/>
    <w:rsid w:val="5BA17752"/>
    <w:rsid w:val="5BEE2EB8"/>
    <w:rsid w:val="5C1B195A"/>
    <w:rsid w:val="5C50612E"/>
    <w:rsid w:val="5C5F1D05"/>
    <w:rsid w:val="5C8059DE"/>
    <w:rsid w:val="5C9B64A5"/>
    <w:rsid w:val="5CB77FA5"/>
    <w:rsid w:val="5D751633"/>
    <w:rsid w:val="5D896C1B"/>
    <w:rsid w:val="5DD85882"/>
    <w:rsid w:val="5DFE5CD4"/>
    <w:rsid w:val="5E1C2FE8"/>
    <w:rsid w:val="5F5060FB"/>
    <w:rsid w:val="5F861F64"/>
    <w:rsid w:val="600670A9"/>
    <w:rsid w:val="607115C0"/>
    <w:rsid w:val="619229B5"/>
    <w:rsid w:val="61A13048"/>
    <w:rsid w:val="61E67DC5"/>
    <w:rsid w:val="62101AF8"/>
    <w:rsid w:val="62886A21"/>
    <w:rsid w:val="62CB771B"/>
    <w:rsid w:val="62E83B63"/>
    <w:rsid w:val="63053984"/>
    <w:rsid w:val="63330FD5"/>
    <w:rsid w:val="633A4326"/>
    <w:rsid w:val="638238E0"/>
    <w:rsid w:val="63D874BB"/>
    <w:rsid w:val="643C2058"/>
    <w:rsid w:val="644F66E6"/>
    <w:rsid w:val="646A6093"/>
    <w:rsid w:val="651A12A3"/>
    <w:rsid w:val="65224DD8"/>
    <w:rsid w:val="65B7285F"/>
    <w:rsid w:val="66043D8C"/>
    <w:rsid w:val="66CA5C6E"/>
    <w:rsid w:val="66DF326F"/>
    <w:rsid w:val="67B051A6"/>
    <w:rsid w:val="68776630"/>
    <w:rsid w:val="68A66EF3"/>
    <w:rsid w:val="68C6503C"/>
    <w:rsid w:val="68C652EC"/>
    <w:rsid w:val="68CD0EA1"/>
    <w:rsid w:val="69000476"/>
    <w:rsid w:val="693807B3"/>
    <w:rsid w:val="696D2508"/>
    <w:rsid w:val="69802882"/>
    <w:rsid w:val="6AB94AC4"/>
    <w:rsid w:val="6B000ED6"/>
    <w:rsid w:val="6B3E1D84"/>
    <w:rsid w:val="6B5C4743"/>
    <w:rsid w:val="6BAA42EF"/>
    <w:rsid w:val="6BFE272C"/>
    <w:rsid w:val="6C5A2F0B"/>
    <w:rsid w:val="6C754443"/>
    <w:rsid w:val="6C862144"/>
    <w:rsid w:val="6CA42861"/>
    <w:rsid w:val="6CA5376A"/>
    <w:rsid w:val="6D0D3808"/>
    <w:rsid w:val="6D222840"/>
    <w:rsid w:val="6D422F29"/>
    <w:rsid w:val="6D8A1085"/>
    <w:rsid w:val="6DAD7867"/>
    <w:rsid w:val="6DBE4AD5"/>
    <w:rsid w:val="6E53536C"/>
    <w:rsid w:val="6E735BA3"/>
    <w:rsid w:val="6F8F6824"/>
    <w:rsid w:val="6FD612B2"/>
    <w:rsid w:val="70185BF2"/>
    <w:rsid w:val="70853D68"/>
    <w:rsid w:val="70B12FF8"/>
    <w:rsid w:val="712F2F39"/>
    <w:rsid w:val="71B54ECE"/>
    <w:rsid w:val="727002DC"/>
    <w:rsid w:val="72AC79F3"/>
    <w:rsid w:val="72DF5310"/>
    <w:rsid w:val="72DF7375"/>
    <w:rsid w:val="72EC0032"/>
    <w:rsid w:val="731D2339"/>
    <w:rsid w:val="736E399B"/>
    <w:rsid w:val="73895532"/>
    <w:rsid w:val="73E518B5"/>
    <w:rsid w:val="74036359"/>
    <w:rsid w:val="74395705"/>
    <w:rsid w:val="74430ADC"/>
    <w:rsid w:val="74484CCE"/>
    <w:rsid w:val="75775535"/>
    <w:rsid w:val="762B0D09"/>
    <w:rsid w:val="76470D22"/>
    <w:rsid w:val="765669A9"/>
    <w:rsid w:val="76874B53"/>
    <w:rsid w:val="76B53CA7"/>
    <w:rsid w:val="76CC4BEB"/>
    <w:rsid w:val="77B867BC"/>
    <w:rsid w:val="77DB7094"/>
    <w:rsid w:val="781D37DA"/>
    <w:rsid w:val="78367FE1"/>
    <w:rsid w:val="792F18EC"/>
    <w:rsid w:val="79823DF1"/>
    <w:rsid w:val="79EB2431"/>
    <w:rsid w:val="7A0E0094"/>
    <w:rsid w:val="7A813B2F"/>
    <w:rsid w:val="7AC9783B"/>
    <w:rsid w:val="7AE34037"/>
    <w:rsid w:val="7B062F31"/>
    <w:rsid w:val="7BC059A9"/>
    <w:rsid w:val="7C242B48"/>
    <w:rsid w:val="7C4911FA"/>
    <w:rsid w:val="7CAA2324"/>
    <w:rsid w:val="7CBA51AB"/>
    <w:rsid w:val="7D0705DA"/>
    <w:rsid w:val="7D0D39D2"/>
    <w:rsid w:val="7D284EB8"/>
    <w:rsid w:val="7D331407"/>
    <w:rsid w:val="7D9121B9"/>
    <w:rsid w:val="7DCC5749"/>
    <w:rsid w:val="7EE07141"/>
    <w:rsid w:val="7F033C41"/>
    <w:rsid w:val="7F0D08D9"/>
    <w:rsid w:val="7F6C381A"/>
    <w:rsid w:val="7F7E1E9C"/>
    <w:rsid w:val="7F8244DD"/>
    <w:rsid w:val="7FB61E8A"/>
    <w:rsid w:val="7FCC6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8"/>
    <w:qFormat/>
    <w:uiPriority w:val="0"/>
    <w:pPr>
      <w:keepNext/>
      <w:keepLines/>
      <w:spacing w:before="340" w:after="330" w:line="576" w:lineRule="auto"/>
      <w:outlineLvl w:val="0"/>
    </w:pPr>
    <w:rPr>
      <w:b/>
      <w:kern w:val="44"/>
      <w:sz w:val="44"/>
    </w:rPr>
  </w:style>
  <w:style w:type="paragraph" w:styleId="3">
    <w:name w:val="heading 2"/>
    <w:basedOn w:val="1"/>
    <w:next w:val="1"/>
    <w:link w:val="49"/>
    <w:qFormat/>
    <w:uiPriority w:val="0"/>
    <w:pPr>
      <w:keepNext/>
      <w:keepLines/>
      <w:spacing w:before="260" w:after="260" w:line="412" w:lineRule="auto"/>
      <w:outlineLvl w:val="1"/>
    </w:pPr>
    <w:rPr>
      <w:rFonts w:ascii="Arial" w:hAnsi="Arial" w:eastAsia="黑体"/>
      <w:b/>
      <w:sz w:val="32"/>
    </w:rPr>
  </w:style>
  <w:style w:type="paragraph" w:styleId="4">
    <w:name w:val="heading 3"/>
    <w:basedOn w:val="1"/>
    <w:next w:val="1"/>
    <w:link w:val="50"/>
    <w:qFormat/>
    <w:uiPriority w:val="0"/>
    <w:pPr>
      <w:keepNext/>
      <w:keepLines/>
      <w:spacing w:before="260" w:after="260" w:line="412" w:lineRule="auto"/>
      <w:ind w:firstLine="49" w:firstLineChars="49"/>
      <w:outlineLvl w:val="2"/>
    </w:pPr>
    <w:rPr>
      <w:rFonts w:ascii="黑体" w:hAnsi="Calibri" w:eastAsia="黑体"/>
      <w:sz w:val="28"/>
    </w:rPr>
  </w:style>
  <w:style w:type="paragraph" w:styleId="5">
    <w:name w:val="heading 4"/>
    <w:basedOn w:val="1"/>
    <w:next w:val="1"/>
    <w:link w:val="5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52"/>
    <w:qFormat/>
    <w:uiPriority w:val="0"/>
    <w:pPr>
      <w:keepNext/>
      <w:keepLines/>
      <w:spacing w:before="280" w:after="290" w:line="376" w:lineRule="auto"/>
      <w:outlineLvl w:val="4"/>
    </w:pPr>
    <w:rPr>
      <w:b/>
      <w:bCs/>
      <w:sz w:val="28"/>
      <w:szCs w:val="28"/>
    </w:rPr>
  </w:style>
  <w:style w:type="paragraph" w:styleId="7">
    <w:name w:val="heading 6"/>
    <w:basedOn w:val="1"/>
    <w:next w:val="1"/>
    <w:link w:val="53"/>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sz w:val="24"/>
    </w:rPr>
  </w:style>
  <w:style w:type="paragraph" w:styleId="8">
    <w:name w:val="heading 7"/>
    <w:basedOn w:val="1"/>
    <w:next w:val="1"/>
    <w:link w:val="54"/>
    <w:qFormat/>
    <w:uiPriority w:val="0"/>
    <w:pPr>
      <w:keepNext/>
      <w:keepLines/>
      <w:widowControl/>
      <w:tabs>
        <w:tab w:val="left" w:pos="2520"/>
      </w:tabs>
      <w:spacing w:before="240" w:after="64" w:line="319" w:lineRule="auto"/>
      <w:ind w:left="1296" w:hanging="1296"/>
      <w:jc w:val="left"/>
      <w:outlineLvl w:val="6"/>
    </w:pPr>
    <w:rPr>
      <w:b/>
      <w:bCs/>
      <w:sz w:val="24"/>
    </w:rPr>
  </w:style>
  <w:style w:type="paragraph" w:styleId="9">
    <w:name w:val="heading 8"/>
    <w:basedOn w:val="1"/>
    <w:next w:val="1"/>
    <w:link w:val="55"/>
    <w:qFormat/>
    <w:uiPriority w:val="0"/>
    <w:pPr>
      <w:keepNext/>
      <w:keepLines/>
      <w:widowControl/>
      <w:tabs>
        <w:tab w:val="left" w:pos="1440"/>
      </w:tabs>
      <w:spacing w:before="240" w:after="64" w:line="319" w:lineRule="auto"/>
      <w:ind w:left="1440" w:hanging="1440"/>
      <w:jc w:val="left"/>
      <w:outlineLvl w:val="7"/>
    </w:pPr>
    <w:rPr>
      <w:rFonts w:ascii="Arial" w:hAnsi="Arial" w:eastAsia="黑体"/>
      <w:sz w:val="24"/>
    </w:rPr>
  </w:style>
  <w:style w:type="paragraph" w:styleId="10">
    <w:name w:val="heading 9"/>
    <w:basedOn w:val="1"/>
    <w:next w:val="1"/>
    <w:link w:val="56"/>
    <w:qFormat/>
    <w:uiPriority w:val="0"/>
    <w:pPr>
      <w:keepNext/>
      <w:keepLines/>
      <w:widowControl/>
      <w:tabs>
        <w:tab w:val="left" w:pos="1584"/>
      </w:tabs>
      <w:spacing w:before="240" w:after="64" w:line="319"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00" w:leftChars="1200"/>
    </w:pPr>
  </w:style>
  <w:style w:type="paragraph" w:styleId="12">
    <w:name w:val="Normal Indent"/>
    <w:basedOn w:val="1"/>
    <w:qFormat/>
    <w:uiPriority w:val="0"/>
    <w:pPr>
      <w:ind w:firstLine="420"/>
    </w:pPr>
  </w:style>
  <w:style w:type="paragraph" w:styleId="13">
    <w:name w:val="Document Map"/>
    <w:basedOn w:val="1"/>
    <w:link w:val="57"/>
    <w:qFormat/>
    <w:uiPriority w:val="0"/>
    <w:rPr>
      <w:rFonts w:ascii="宋体" w:hAnsi="Calibri" w:cs="宋体"/>
      <w:sz w:val="18"/>
      <w:szCs w:val="18"/>
    </w:rPr>
  </w:style>
  <w:style w:type="paragraph" w:styleId="14">
    <w:name w:val="annotation text"/>
    <w:basedOn w:val="1"/>
    <w:link w:val="58"/>
    <w:qFormat/>
    <w:uiPriority w:val="0"/>
    <w:pPr>
      <w:jc w:val="left"/>
    </w:pPr>
  </w:style>
  <w:style w:type="paragraph" w:styleId="15">
    <w:name w:val="Body Text 3"/>
    <w:basedOn w:val="1"/>
    <w:link w:val="59"/>
    <w:qFormat/>
    <w:uiPriority w:val="0"/>
    <w:rPr>
      <w:rFonts w:ascii="宋体" w:hAnsi="Calibri"/>
      <w:sz w:val="24"/>
    </w:rPr>
  </w:style>
  <w:style w:type="paragraph" w:styleId="16">
    <w:name w:val="Body Text"/>
    <w:basedOn w:val="1"/>
    <w:link w:val="60"/>
    <w:qFormat/>
    <w:uiPriority w:val="0"/>
    <w:pPr>
      <w:spacing w:after="120"/>
    </w:pPr>
    <w:rPr>
      <w:szCs w:val="24"/>
    </w:rPr>
  </w:style>
  <w:style w:type="paragraph" w:styleId="17">
    <w:name w:val="Body Text Indent"/>
    <w:basedOn w:val="1"/>
    <w:link w:val="61"/>
    <w:qFormat/>
    <w:uiPriority w:val="0"/>
    <w:pPr>
      <w:spacing w:after="120"/>
      <w:ind w:left="420" w:leftChars="200"/>
    </w:pPr>
  </w:style>
  <w:style w:type="paragraph" w:styleId="18">
    <w:name w:val="toc 5"/>
    <w:basedOn w:val="1"/>
    <w:next w:val="1"/>
    <w:qFormat/>
    <w:uiPriority w:val="0"/>
    <w:pPr>
      <w:ind w:left="800" w:leftChars="800"/>
    </w:pPr>
  </w:style>
  <w:style w:type="paragraph" w:styleId="19">
    <w:name w:val="toc 3"/>
    <w:basedOn w:val="1"/>
    <w:next w:val="1"/>
    <w:qFormat/>
    <w:uiPriority w:val="39"/>
    <w:pPr>
      <w:ind w:left="400" w:leftChars="400"/>
    </w:pPr>
  </w:style>
  <w:style w:type="paragraph" w:styleId="20">
    <w:name w:val="Plain Text"/>
    <w:basedOn w:val="1"/>
    <w:next w:val="1"/>
    <w:link w:val="47"/>
    <w:qFormat/>
    <w:uiPriority w:val="0"/>
    <w:rPr>
      <w:rFonts w:ascii="宋体" w:hAnsi="Calibri"/>
    </w:rPr>
  </w:style>
  <w:style w:type="paragraph" w:styleId="21">
    <w:name w:val="toc 8"/>
    <w:basedOn w:val="1"/>
    <w:next w:val="1"/>
    <w:qFormat/>
    <w:uiPriority w:val="0"/>
    <w:pPr>
      <w:ind w:left="1400" w:leftChars="1400"/>
    </w:pPr>
  </w:style>
  <w:style w:type="paragraph" w:styleId="22">
    <w:name w:val="Date"/>
    <w:basedOn w:val="1"/>
    <w:next w:val="1"/>
    <w:link w:val="62"/>
    <w:qFormat/>
    <w:uiPriority w:val="0"/>
    <w:pPr>
      <w:ind w:left="2500" w:leftChars="2500"/>
    </w:pPr>
  </w:style>
  <w:style w:type="paragraph" w:styleId="23">
    <w:name w:val="Body Text Indent 2"/>
    <w:basedOn w:val="1"/>
    <w:link w:val="63"/>
    <w:qFormat/>
    <w:uiPriority w:val="0"/>
    <w:pPr>
      <w:spacing w:after="120" w:line="480" w:lineRule="auto"/>
      <w:ind w:left="420" w:leftChars="200"/>
    </w:pPr>
    <w:rPr>
      <w:szCs w:val="24"/>
    </w:rPr>
  </w:style>
  <w:style w:type="paragraph" w:styleId="24">
    <w:name w:val="Balloon Text"/>
    <w:basedOn w:val="1"/>
    <w:link w:val="64"/>
    <w:qFormat/>
    <w:uiPriority w:val="0"/>
    <w:rPr>
      <w:sz w:val="18"/>
    </w:rPr>
  </w:style>
  <w:style w:type="paragraph" w:styleId="25">
    <w:name w:val="footer"/>
    <w:basedOn w:val="1"/>
    <w:link w:val="65"/>
    <w:qFormat/>
    <w:uiPriority w:val="99"/>
    <w:pPr>
      <w:tabs>
        <w:tab w:val="center" w:pos="4153"/>
        <w:tab w:val="right" w:pos="8306"/>
      </w:tabs>
      <w:snapToGrid w:val="0"/>
      <w:jc w:val="left"/>
    </w:pPr>
    <w:rPr>
      <w:rFonts w:ascii="Calibri" w:hAnsi="Calibri"/>
      <w:sz w:val="18"/>
    </w:rPr>
  </w:style>
  <w:style w:type="paragraph" w:styleId="26">
    <w:name w:val="header"/>
    <w:basedOn w:val="1"/>
    <w:link w:val="66"/>
    <w:qFormat/>
    <w:uiPriority w:val="0"/>
    <w:pPr>
      <w:tabs>
        <w:tab w:val="center" w:pos="4153"/>
        <w:tab w:val="right" w:pos="8306"/>
      </w:tabs>
      <w:snapToGrid w:val="0"/>
    </w:pPr>
    <w:rPr>
      <w:sz w:val="18"/>
    </w:rPr>
  </w:style>
  <w:style w:type="paragraph" w:styleId="27">
    <w:name w:val="toc 1"/>
    <w:basedOn w:val="1"/>
    <w:next w:val="1"/>
    <w:qFormat/>
    <w:uiPriority w:val="39"/>
  </w:style>
  <w:style w:type="paragraph" w:styleId="28">
    <w:name w:val="toc 4"/>
    <w:basedOn w:val="1"/>
    <w:next w:val="1"/>
    <w:qFormat/>
    <w:uiPriority w:val="0"/>
    <w:pPr>
      <w:ind w:left="600" w:leftChars="600"/>
    </w:pPr>
  </w:style>
  <w:style w:type="paragraph" w:styleId="29">
    <w:name w:val="toc 6"/>
    <w:basedOn w:val="1"/>
    <w:next w:val="1"/>
    <w:qFormat/>
    <w:uiPriority w:val="0"/>
    <w:pPr>
      <w:ind w:left="1000" w:leftChars="1000"/>
    </w:pPr>
  </w:style>
  <w:style w:type="paragraph" w:styleId="30">
    <w:name w:val="Body Text Indent 3"/>
    <w:basedOn w:val="1"/>
    <w:link w:val="67"/>
    <w:qFormat/>
    <w:uiPriority w:val="0"/>
    <w:pPr>
      <w:spacing w:after="120"/>
      <w:ind w:left="200" w:leftChars="200"/>
    </w:pPr>
    <w:rPr>
      <w:rFonts w:ascii="Calibri" w:hAnsi="Calibri"/>
      <w:sz w:val="16"/>
      <w:szCs w:val="16"/>
    </w:rPr>
  </w:style>
  <w:style w:type="paragraph" w:styleId="31">
    <w:name w:val="toc 2"/>
    <w:basedOn w:val="1"/>
    <w:next w:val="1"/>
    <w:qFormat/>
    <w:uiPriority w:val="39"/>
    <w:pPr>
      <w:ind w:left="200" w:leftChars="200"/>
    </w:pPr>
  </w:style>
  <w:style w:type="paragraph" w:styleId="32">
    <w:name w:val="toc 9"/>
    <w:basedOn w:val="1"/>
    <w:next w:val="1"/>
    <w:qFormat/>
    <w:uiPriority w:val="0"/>
    <w:pPr>
      <w:ind w:left="1600" w:leftChars="1600"/>
    </w:pPr>
  </w:style>
  <w:style w:type="paragraph" w:styleId="33">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 w:type="paragraph" w:styleId="34">
    <w:name w:val="index 1"/>
    <w:basedOn w:val="1"/>
    <w:next w:val="1"/>
    <w:qFormat/>
    <w:uiPriority w:val="0"/>
    <w:pPr>
      <w:spacing w:line="220" w:lineRule="exact"/>
      <w:jc w:val="center"/>
    </w:pPr>
    <w:rPr>
      <w:rFonts w:ascii="仿宋_GB2312" w:eastAsia="仿宋_GB2312"/>
      <w:szCs w:val="21"/>
    </w:rPr>
  </w:style>
  <w:style w:type="paragraph" w:styleId="35">
    <w:name w:val="Title"/>
    <w:basedOn w:val="1"/>
    <w:link w:val="68"/>
    <w:qFormat/>
    <w:uiPriority w:val="0"/>
    <w:pPr>
      <w:adjustRightInd w:val="0"/>
      <w:spacing w:before="240" w:after="60" w:line="420" w:lineRule="atLeast"/>
      <w:jc w:val="center"/>
      <w:textAlignment w:val="baseline"/>
      <w:outlineLvl w:val="0"/>
    </w:pPr>
    <w:rPr>
      <w:rFonts w:ascii="Arial" w:hAnsi="Arial"/>
      <w:b/>
      <w:sz w:val="32"/>
    </w:rPr>
  </w:style>
  <w:style w:type="paragraph" w:styleId="36">
    <w:name w:val="annotation subject"/>
    <w:basedOn w:val="14"/>
    <w:next w:val="14"/>
    <w:link w:val="69"/>
    <w:qFormat/>
    <w:uiPriority w:val="0"/>
  </w:style>
  <w:style w:type="paragraph" w:styleId="37">
    <w:name w:val="Body Text First Indent"/>
    <w:basedOn w:val="16"/>
    <w:link w:val="70"/>
    <w:qFormat/>
    <w:uiPriority w:val="0"/>
    <w:pPr>
      <w:spacing w:line="312" w:lineRule="auto"/>
      <w:ind w:firstLine="420"/>
    </w:pPr>
  </w:style>
  <w:style w:type="paragraph" w:styleId="38">
    <w:name w:val="Body Text First Indent 2"/>
    <w:basedOn w:val="17"/>
    <w:unhideWhenUsed/>
    <w:qFormat/>
    <w:uiPriority w:val="99"/>
    <w:pPr>
      <w:widowControl/>
      <w:spacing w:line="256" w:lineRule="auto"/>
      <w:ind w:firstLine="420" w:firstLineChars="200"/>
      <w:jc w:val="left"/>
    </w:pPr>
    <w:rPr>
      <w:rFonts w:ascii="Calibri" w:hAnsi="Calibri" w:eastAsia="Calibri"/>
      <w:color w:val="000000"/>
      <w:sz w:val="22"/>
    </w:rPr>
  </w:style>
  <w:style w:type="character" w:styleId="41">
    <w:name w:val="Strong"/>
    <w:qFormat/>
    <w:uiPriority w:val="0"/>
    <w:rPr>
      <w:b/>
      <w:bCs/>
    </w:rPr>
  </w:style>
  <w:style w:type="character" w:styleId="42">
    <w:name w:val="page number"/>
    <w:qFormat/>
    <w:uiPriority w:val="0"/>
  </w:style>
  <w:style w:type="character" w:styleId="43">
    <w:name w:val="FollowedHyperlink"/>
    <w:qFormat/>
    <w:uiPriority w:val="0"/>
    <w:rPr>
      <w:color w:val="800080"/>
      <w:u w:val="single"/>
    </w:rPr>
  </w:style>
  <w:style w:type="character" w:styleId="44">
    <w:name w:val="Hyperlink"/>
    <w:qFormat/>
    <w:uiPriority w:val="99"/>
    <w:rPr>
      <w:color w:val="0000FF"/>
      <w:u w:val="single"/>
    </w:rPr>
  </w:style>
  <w:style w:type="character" w:styleId="45">
    <w:name w:val="annotation reference"/>
    <w:qFormat/>
    <w:uiPriority w:val="0"/>
    <w:rPr>
      <w:sz w:val="21"/>
    </w:rPr>
  </w:style>
  <w:style w:type="character" w:styleId="46">
    <w:name w:val="footnote reference"/>
    <w:qFormat/>
    <w:uiPriority w:val="0"/>
    <w:rPr>
      <w:vertAlign w:val="superscript"/>
    </w:rPr>
  </w:style>
  <w:style w:type="character" w:customStyle="1" w:styleId="47">
    <w:name w:val="纯文本 字符2"/>
    <w:link w:val="20"/>
    <w:qFormat/>
    <w:uiPriority w:val="0"/>
    <w:rPr>
      <w:rFonts w:hint="eastAsia" w:ascii="宋体" w:hAnsi="Calibri" w:eastAsia="宋体" w:cs="宋体"/>
      <w:kern w:val="2"/>
      <w:sz w:val="21"/>
      <w:szCs w:val="22"/>
    </w:rPr>
  </w:style>
  <w:style w:type="character" w:customStyle="1" w:styleId="48">
    <w:name w:val="标题 1 字符"/>
    <w:link w:val="2"/>
    <w:qFormat/>
    <w:uiPriority w:val="0"/>
    <w:rPr>
      <w:rFonts w:eastAsia="宋体"/>
      <w:b/>
      <w:kern w:val="44"/>
      <w:sz w:val="44"/>
    </w:rPr>
  </w:style>
  <w:style w:type="character" w:customStyle="1" w:styleId="49">
    <w:name w:val="标题 2 字符"/>
    <w:link w:val="3"/>
    <w:qFormat/>
    <w:uiPriority w:val="0"/>
    <w:rPr>
      <w:rFonts w:hint="default" w:ascii="Arial" w:hAnsi="Arial" w:eastAsia="黑体" w:cs="Arial"/>
      <w:b/>
      <w:kern w:val="2"/>
      <w:sz w:val="32"/>
      <w:szCs w:val="22"/>
    </w:rPr>
  </w:style>
  <w:style w:type="character" w:customStyle="1" w:styleId="50">
    <w:name w:val="标题 3 字符"/>
    <w:link w:val="4"/>
    <w:qFormat/>
    <w:uiPriority w:val="0"/>
    <w:rPr>
      <w:rFonts w:ascii="黑体" w:hAnsi="Calibri" w:eastAsia="黑体"/>
      <w:kern w:val="2"/>
      <w:sz w:val="28"/>
    </w:rPr>
  </w:style>
  <w:style w:type="character" w:customStyle="1" w:styleId="51">
    <w:name w:val="标题 4 字符"/>
    <w:link w:val="5"/>
    <w:qFormat/>
    <w:uiPriority w:val="0"/>
    <w:rPr>
      <w:rFonts w:ascii="Arial" w:hAnsi="Arial" w:eastAsia="黑体"/>
      <w:b/>
      <w:bCs/>
      <w:kern w:val="2"/>
      <w:sz w:val="28"/>
      <w:szCs w:val="28"/>
    </w:rPr>
  </w:style>
  <w:style w:type="character" w:customStyle="1" w:styleId="52">
    <w:name w:val="标题 5 字符"/>
    <w:link w:val="6"/>
    <w:qFormat/>
    <w:uiPriority w:val="0"/>
    <w:rPr>
      <w:rFonts w:eastAsia="宋体"/>
      <w:b/>
      <w:bCs/>
      <w:kern w:val="2"/>
      <w:sz w:val="28"/>
      <w:szCs w:val="28"/>
    </w:rPr>
  </w:style>
  <w:style w:type="character" w:customStyle="1" w:styleId="53">
    <w:name w:val="标题 6 字符"/>
    <w:link w:val="7"/>
    <w:qFormat/>
    <w:uiPriority w:val="0"/>
    <w:rPr>
      <w:rFonts w:ascii="Arial" w:hAnsi="Arial" w:eastAsia="黑体"/>
      <w:b/>
      <w:bCs/>
      <w:sz w:val="24"/>
    </w:rPr>
  </w:style>
  <w:style w:type="character" w:customStyle="1" w:styleId="54">
    <w:name w:val="标题 7 字符"/>
    <w:link w:val="8"/>
    <w:qFormat/>
    <w:uiPriority w:val="0"/>
    <w:rPr>
      <w:rFonts w:eastAsia="宋体"/>
      <w:b/>
      <w:bCs/>
      <w:sz w:val="24"/>
    </w:rPr>
  </w:style>
  <w:style w:type="character" w:customStyle="1" w:styleId="55">
    <w:name w:val="标题 8 字符"/>
    <w:link w:val="9"/>
    <w:qFormat/>
    <w:uiPriority w:val="0"/>
    <w:rPr>
      <w:rFonts w:ascii="Arial" w:hAnsi="Arial" w:eastAsia="黑体"/>
      <w:sz w:val="24"/>
    </w:rPr>
  </w:style>
  <w:style w:type="character" w:customStyle="1" w:styleId="56">
    <w:name w:val="标题 9 字符"/>
    <w:link w:val="10"/>
    <w:qFormat/>
    <w:uiPriority w:val="0"/>
    <w:rPr>
      <w:rFonts w:ascii="Arial" w:hAnsi="Arial" w:eastAsia="黑体"/>
      <w:sz w:val="21"/>
      <w:szCs w:val="21"/>
    </w:rPr>
  </w:style>
  <w:style w:type="character" w:customStyle="1" w:styleId="57">
    <w:name w:val="文档结构图 字符"/>
    <w:link w:val="13"/>
    <w:qFormat/>
    <w:uiPriority w:val="0"/>
    <w:rPr>
      <w:rFonts w:ascii="宋体" w:hAnsi="Calibri" w:eastAsia="宋体" w:cs="宋体"/>
      <w:kern w:val="2"/>
      <w:sz w:val="18"/>
      <w:szCs w:val="18"/>
    </w:rPr>
  </w:style>
  <w:style w:type="character" w:customStyle="1" w:styleId="58">
    <w:name w:val="批注文字 字符2"/>
    <w:link w:val="14"/>
    <w:qFormat/>
    <w:uiPriority w:val="0"/>
    <w:rPr>
      <w:kern w:val="2"/>
      <w:sz w:val="21"/>
    </w:rPr>
  </w:style>
  <w:style w:type="character" w:customStyle="1" w:styleId="59">
    <w:name w:val="正文文本 3 字符2"/>
    <w:link w:val="15"/>
    <w:qFormat/>
    <w:uiPriority w:val="0"/>
    <w:rPr>
      <w:rFonts w:hint="eastAsia" w:ascii="宋体" w:hAnsi="Calibri" w:eastAsia="宋体" w:cs="宋体"/>
      <w:kern w:val="2"/>
      <w:sz w:val="24"/>
    </w:rPr>
  </w:style>
  <w:style w:type="character" w:customStyle="1" w:styleId="60">
    <w:name w:val="正文文本 字符"/>
    <w:link w:val="16"/>
    <w:qFormat/>
    <w:uiPriority w:val="0"/>
    <w:rPr>
      <w:kern w:val="2"/>
      <w:sz w:val="21"/>
      <w:szCs w:val="24"/>
    </w:rPr>
  </w:style>
  <w:style w:type="character" w:customStyle="1" w:styleId="61">
    <w:name w:val="正文文本缩进 字符"/>
    <w:link w:val="17"/>
    <w:qFormat/>
    <w:uiPriority w:val="0"/>
    <w:rPr>
      <w:rFonts w:eastAsia="宋体"/>
      <w:kern w:val="2"/>
      <w:sz w:val="21"/>
    </w:rPr>
  </w:style>
  <w:style w:type="character" w:customStyle="1" w:styleId="62">
    <w:name w:val="日期 字符"/>
    <w:link w:val="22"/>
    <w:qFormat/>
    <w:uiPriority w:val="0"/>
    <w:rPr>
      <w:rFonts w:eastAsia="宋体"/>
      <w:kern w:val="2"/>
      <w:sz w:val="21"/>
    </w:rPr>
  </w:style>
  <w:style w:type="character" w:customStyle="1" w:styleId="63">
    <w:name w:val="正文文本缩进 2 字符"/>
    <w:link w:val="23"/>
    <w:qFormat/>
    <w:uiPriority w:val="0"/>
    <w:rPr>
      <w:kern w:val="2"/>
      <w:sz w:val="21"/>
      <w:szCs w:val="24"/>
    </w:rPr>
  </w:style>
  <w:style w:type="character" w:customStyle="1" w:styleId="64">
    <w:name w:val="批注框文本 字符"/>
    <w:link w:val="24"/>
    <w:qFormat/>
    <w:uiPriority w:val="0"/>
    <w:rPr>
      <w:rFonts w:eastAsia="宋体"/>
      <w:kern w:val="2"/>
      <w:sz w:val="18"/>
    </w:rPr>
  </w:style>
  <w:style w:type="character" w:customStyle="1" w:styleId="65">
    <w:name w:val="页脚 字符"/>
    <w:link w:val="25"/>
    <w:qFormat/>
    <w:uiPriority w:val="99"/>
    <w:rPr>
      <w:rFonts w:hint="default" w:ascii="Calibri" w:hAnsi="Calibri" w:cs="Calibri"/>
      <w:kern w:val="2"/>
      <w:sz w:val="18"/>
      <w:szCs w:val="22"/>
    </w:rPr>
  </w:style>
  <w:style w:type="character" w:customStyle="1" w:styleId="66">
    <w:name w:val="页眉 字符"/>
    <w:link w:val="26"/>
    <w:qFormat/>
    <w:uiPriority w:val="0"/>
    <w:rPr>
      <w:rFonts w:eastAsia="宋体"/>
      <w:kern w:val="2"/>
      <w:sz w:val="18"/>
    </w:rPr>
  </w:style>
  <w:style w:type="character" w:customStyle="1" w:styleId="67">
    <w:name w:val="正文文本缩进 3 字符"/>
    <w:link w:val="30"/>
    <w:qFormat/>
    <w:uiPriority w:val="0"/>
    <w:rPr>
      <w:rFonts w:ascii="Calibri" w:hAnsi="Calibri" w:eastAsia="宋体"/>
      <w:kern w:val="2"/>
      <w:sz w:val="16"/>
      <w:szCs w:val="16"/>
    </w:rPr>
  </w:style>
  <w:style w:type="character" w:customStyle="1" w:styleId="68">
    <w:name w:val="标题 字符"/>
    <w:link w:val="35"/>
    <w:qFormat/>
    <w:uiPriority w:val="0"/>
    <w:rPr>
      <w:rFonts w:ascii="Arial" w:hAnsi="Arial" w:eastAsia="宋体"/>
      <w:b/>
      <w:sz w:val="32"/>
    </w:rPr>
  </w:style>
  <w:style w:type="character" w:customStyle="1" w:styleId="69">
    <w:name w:val="批注主题 字符"/>
    <w:link w:val="36"/>
    <w:qFormat/>
    <w:uiPriority w:val="0"/>
    <w:rPr>
      <w:rFonts w:eastAsia="宋体"/>
      <w:kern w:val="2"/>
      <w:sz w:val="21"/>
    </w:rPr>
  </w:style>
  <w:style w:type="character" w:customStyle="1" w:styleId="70">
    <w:name w:val="正文首行缩进 字符"/>
    <w:link w:val="37"/>
    <w:qFormat/>
    <w:uiPriority w:val="0"/>
    <w:rPr>
      <w:rFonts w:eastAsia="宋体"/>
      <w:kern w:val="2"/>
      <w:sz w:val="21"/>
      <w:szCs w:val="24"/>
      <w:lang w:val="en-US" w:eastAsia="zh-CN" w:bidi="ar-SA"/>
    </w:rPr>
  </w:style>
  <w:style w:type="character" w:customStyle="1" w:styleId="71">
    <w:name w:val="标题 1 字符1"/>
    <w:qFormat/>
    <w:uiPriority w:val="0"/>
    <w:rPr>
      <w:b/>
      <w:kern w:val="44"/>
      <w:sz w:val="44"/>
    </w:rPr>
  </w:style>
  <w:style w:type="character" w:customStyle="1" w:styleId="72">
    <w:name w:val="标题 2 字符1"/>
    <w:qFormat/>
    <w:uiPriority w:val="0"/>
    <w:rPr>
      <w:rFonts w:ascii="Arial" w:hAnsi="Arial" w:eastAsia="黑体"/>
      <w:b/>
      <w:kern w:val="2"/>
      <w:sz w:val="32"/>
    </w:rPr>
  </w:style>
  <w:style w:type="character" w:customStyle="1" w:styleId="73">
    <w:name w:val="标题 3 字符1"/>
    <w:qFormat/>
    <w:uiPriority w:val="0"/>
    <w:rPr>
      <w:rFonts w:hint="eastAsia" w:ascii="黑体" w:hAnsi="Calibri" w:eastAsia="黑体" w:cs="黑体"/>
      <w:kern w:val="2"/>
      <w:sz w:val="28"/>
    </w:rPr>
  </w:style>
  <w:style w:type="character" w:customStyle="1" w:styleId="74">
    <w:name w:val="标题 5 字符1"/>
    <w:qFormat/>
    <w:uiPriority w:val="0"/>
    <w:rPr>
      <w:b/>
      <w:kern w:val="2"/>
      <w:sz w:val="28"/>
      <w:szCs w:val="28"/>
    </w:rPr>
  </w:style>
  <w:style w:type="character" w:customStyle="1" w:styleId="75">
    <w:name w:val="纯文本 Char"/>
    <w:qFormat/>
    <w:uiPriority w:val="0"/>
    <w:rPr>
      <w:rFonts w:ascii="宋体" w:hAnsi="Calibri" w:eastAsia="宋体"/>
      <w:kern w:val="2"/>
      <w:sz w:val="21"/>
      <w:szCs w:val="22"/>
    </w:rPr>
  </w:style>
  <w:style w:type="character" w:customStyle="1" w:styleId="76">
    <w:name w:val="Default Paragraph Font New"/>
    <w:qFormat/>
    <w:uiPriority w:val="0"/>
    <w:rPr>
      <w:rFonts w:hint="default"/>
    </w:rPr>
  </w:style>
  <w:style w:type="character" w:customStyle="1" w:styleId="77">
    <w:name w:val="正文文本首行缩进 字符"/>
    <w:qFormat/>
    <w:uiPriority w:val="0"/>
    <w:rPr>
      <w:kern w:val="2"/>
      <w:sz w:val="21"/>
      <w:szCs w:val="24"/>
    </w:rPr>
  </w:style>
  <w:style w:type="character" w:customStyle="1" w:styleId="78">
    <w:name w:val="文一 Char Char"/>
    <w:link w:val="79"/>
    <w:qFormat/>
    <w:uiPriority w:val="0"/>
    <w:rPr>
      <w:snapToGrid w:val="0"/>
      <w:spacing w:val="4"/>
      <w:sz w:val="24"/>
      <w:szCs w:val="24"/>
    </w:rPr>
  </w:style>
  <w:style w:type="paragraph" w:customStyle="1" w:styleId="79">
    <w:name w:val="文一"/>
    <w:basedOn w:val="1"/>
    <w:link w:val="78"/>
    <w:qFormat/>
    <w:uiPriority w:val="0"/>
    <w:pPr>
      <w:topLinePunct/>
      <w:adjustRightInd w:val="0"/>
      <w:snapToGrid w:val="0"/>
      <w:spacing w:line="360" w:lineRule="auto"/>
      <w:ind w:firstLine="200" w:firstLineChars="200"/>
    </w:pPr>
    <w:rPr>
      <w:snapToGrid w:val="0"/>
      <w:spacing w:val="4"/>
      <w:sz w:val="24"/>
      <w:szCs w:val="24"/>
    </w:rPr>
  </w:style>
  <w:style w:type="character" w:customStyle="1" w:styleId="80">
    <w:name w:val="正文文本 Char"/>
    <w:qFormat/>
    <w:uiPriority w:val="0"/>
    <w:rPr>
      <w:rFonts w:eastAsia="宋体"/>
      <w:kern w:val="2"/>
      <w:sz w:val="21"/>
      <w:szCs w:val="24"/>
      <w:lang w:val="en-US" w:eastAsia="zh-CN" w:bidi="ar-SA"/>
    </w:rPr>
  </w:style>
  <w:style w:type="character" w:customStyle="1" w:styleId="81">
    <w:name w:val="纯文本 字符1"/>
    <w:qFormat/>
    <w:uiPriority w:val="0"/>
    <w:rPr>
      <w:rFonts w:ascii="等线" w:hAnsi="Courier New" w:eastAsia="等线" w:cs="Courier New"/>
      <w:kern w:val="2"/>
      <w:sz w:val="21"/>
    </w:rPr>
  </w:style>
  <w:style w:type="character" w:customStyle="1" w:styleId="82">
    <w:name w:val="默认段落字体1"/>
    <w:qFormat/>
    <w:uiPriority w:val="0"/>
    <w:rPr>
      <w:rFonts w:hint="default"/>
    </w:rPr>
  </w:style>
  <w:style w:type="character" w:customStyle="1" w:styleId="83">
    <w:name w:val="Comment Text Char"/>
    <w:qFormat/>
    <w:uiPriority w:val="0"/>
  </w:style>
  <w:style w:type="character" w:customStyle="1" w:styleId="84">
    <w:name w:val="font161"/>
    <w:qFormat/>
    <w:uiPriority w:val="0"/>
    <w:rPr>
      <w:b/>
      <w:bCs/>
      <w:sz w:val="32"/>
      <w:szCs w:val="32"/>
    </w:rPr>
  </w:style>
  <w:style w:type="character" w:customStyle="1" w:styleId="85">
    <w:name w:val="批注文字 Char1"/>
    <w:qFormat/>
    <w:uiPriority w:val="0"/>
    <w:rPr>
      <w:rFonts w:ascii="Times New Roman" w:hAnsi="Times New Roman" w:eastAsia="宋体" w:cs="Times New Roman"/>
      <w:sz w:val="20"/>
      <w:szCs w:val="20"/>
      <w:lang w:bidi="ar-SA"/>
    </w:rPr>
  </w:style>
  <w:style w:type="character" w:customStyle="1" w:styleId="86">
    <w:name w:val="页脚 字符1"/>
    <w:qFormat/>
    <w:uiPriority w:val="0"/>
    <w:rPr>
      <w:kern w:val="2"/>
      <w:sz w:val="18"/>
      <w:szCs w:val="18"/>
    </w:rPr>
  </w:style>
  <w:style w:type="character" w:customStyle="1" w:styleId="87">
    <w:name w:val="正文文本缩进 2 字符1"/>
    <w:qFormat/>
    <w:uiPriority w:val="0"/>
    <w:rPr>
      <w:kern w:val="2"/>
      <w:sz w:val="21"/>
    </w:rPr>
  </w:style>
  <w:style w:type="character" w:customStyle="1" w:styleId="88">
    <w:name w:val="批注文字 Char2"/>
    <w:qFormat/>
    <w:uiPriority w:val="0"/>
    <w:rPr>
      <w:rFonts w:ascii="Times New Roman" w:hAnsi="Times New Roman"/>
      <w:kern w:val="2"/>
      <w:sz w:val="21"/>
      <w:szCs w:val="24"/>
    </w:rPr>
  </w:style>
  <w:style w:type="character" w:customStyle="1" w:styleId="89">
    <w:name w:val="正文文本缩进 2 Char"/>
    <w:qFormat/>
    <w:uiPriority w:val="0"/>
    <w:rPr>
      <w:rFonts w:eastAsia="宋体"/>
      <w:kern w:val="2"/>
      <w:sz w:val="21"/>
      <w:szCs w:val="24"/>
    </w:rPr>
  </w:style>
  <w:style w:type="character" w:customStyle="1" w:styleId="90">
    <w:name w:val="style_kwd"/>
    <w:qFormat/>
    <w:uiPriority w:val="0"/>
  </w:style>
  <w:style w:type="character" w:customStyle="1" w:styleId="91">
    <w:name w:val="批注文字 Char"/>
    <w:qFormat/>
    <w:uiPriority w:val="0"/>
    <w:rPr>
      <w:rFonts w:eastAsia="宋体"/>
      <w:kern w:val="2"/>
      <w:sz w:val="21"/>
    </w:rPr>
  </w:style>
  <w:style w:type="character" w:customStyle="1" w:styleId="92">
    <w:name w:val="正文文本 3 字符1"/>
    <w:qFormat/>
    <w:uiPriority w:val="0"/>
    <w:rPr>
      <w:kern w:val="2"/>
      <w:sz w:val="16"/>
      <w:szCs w:val="16"/>
    </w:rPr>
  </w:style>
  <w:style w:type="character" w:customStyle="1" w:styleId="93">
    <w:name w:val="页脚 Char"/>
    <w:qFormat/>
    <w:uiPriority w:val="0"/>
    <w:rPr>
      <w:rFonts w:ascii="Calibri" w:hAnsi="Calibri" w:eastAsia="宋体"/>
      <w:kern w:val="2"/>
      <w:sz w:val="18"/>
      <w:szCs w:val="22"/>
    </w:rPr>
  </w:style>
  <w:style w:type="character" w:customStyle="1" w:styleId="94">
    <w:name w:val="正文文本 3 Char"/>
    <w:qFormat/>
    <w:uiPriority w:val="0"/>
    <w:rPr>
      <w:rFonts w:ascii="宋体" w:hAnsi="Calibri" w:eastAsia="宋体"/>
      <w:kern w:val="2"/>
      <w:sz w:val="24"/>
    </w:rPr>
  </w:style>
  <w:style w:type="character" w:customStyle="1" w:styleId="95">
    <w:name w:val="正文首行缩进 Char1"/>
    <w:qFormat/>
    <w:uiPriority w:val="0"/>
    <w:rPr>
      <w:rFonts w:eastAsia="宋体"/>
      <w:kern w:val="2"/>
      <w:sz w:val="21"/>
    </w:rPr>
  </w:style>
  <w:style w:type="character" w:customStyle="1" w:styleId="96">
    <w:name w:val="正文文本首行缩进 字符1"/>
    <w:qFormat/>
    <w:uiPriority w:val="0"/>
    <w:rPr>
      <w:kern w:val="2"/>
      <w:sz w:val="21"/>
      <w:szCs w:val="22"/>
    </w:rPr>
  </w:style>
  <w:style w:type="character" w:customStyle="1" w:styleId="97">
    <w:name w:val="批注文字 字符1"/>
    <w:qFormat/>
    <w:uiPriority w:val="0"/>
    <w:rPr>
      <w:kern w:val="2"/>
      <w:sz w:val="21"/>
      <w:szCs w:val="22"/>
    </w:rPr>
  </w:style>
  <w:style w:type="character" w:customStyle="1" w:styleId="98">
    <w:name w:val="正文文本 字符1"/>
    <w:qFormat/>
    <w:uiPriority w:val="0"/>
    <w:rPr>
      <w:kern w:val="2"/>
      <w:sz w:val="21"/>
      <w:szCs w:val="22"/>
    </w:rPr>
  </w:style>
  <w:style w:type="paragraph" w:customStyle="1" w:styleId="99">
    <w:name w:val="_Style 23"/>
    <w:basedOn w:val="1"/>
    <w:qFormat/>
    <w:uiPriority w:val="0"/>
    <w:pPr>
      <w:widowControl/>
      <w:spacing w:after="160" w:line="240" w:lineRule="exact"/>
      <w:jc w:val="left"/>
    </w:pPr>
  </w:style>
  <w:style w:type="paragraph" w:styleId="100">
    <w:name w:val="List Paragraph"/>
    <w:basedOn w:val="1"/>
    <w:qFormat/>
    <w:uiPriority w:val="0"/>
    <w:pPr>
      <w:ind w:firstLine="420" w:firstLineChars="200"/>
    </w:pPr>
  </w:style>
  <w:style w:type="paragraph" w:customStyle="1" w:styleId="101">
    <w:name w:val="表格文字"/>
    <w:basedOn w:val="1"/>
    <w:qFormat/>
    <w:uiPriority w:val="0"/>
    <w:pPr>
      <w:adjustRightInd w:val="0"/>
      <w:spacing w:line="420" w:lineRule="atLeast"/>
      <w:jc w:val="left"/>
      <w:textAlignment w:val="baseline"/>
    </w:pPr>
    <w:rPr>
      <w:kern w:val="0"/>
      <w:szCs w:val="20"/>
    </w:rPr>
  </w:style>
  <w:style w:type="paragraph" w:customStyle="1" w:styleId="102">
    <w:name w:val="Normal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03">
    <w:name w:val="修订2"/>
    <w:qFormat/>
    <w:uiPriority w:val="0"/>
    <w:rPr>
      <w:rFonts w:ascii="Times New Roman" w:hAnsi="Times New Roman" w:eastAsia="宋体" w:cs="Times New Roman"/>
      <w:kern w:val="2"/>
      <w:sz w:val="21"/>
      <w:szCs w:val="24"/>
      <w:lang w:val="en-US" w:eastAsia="zh-CN" w:bidi="ar-SA"/>
    </w:rPr>
  </w:style>
  <w:style w:type="paragraph" w:customStyle="1" w:styleId="104">
    <w:name w:val="修订11"/>
    <w:qFormat/>
    <w:uiPriority w:val="0"/>
    <w:rPr>
      <w:rFonts w:ascii="Times New Roman" w:hAnsi="Times New Roman" w:eastAsia="宋体" w:cs="Times New Roman"/>
      <w:kern w:val="2"/>
      <w:sz w:val="21"/>
      <w:szCs w:val="24"/>
      <w:lang w:val="en-US" w:eastAsia="zh-CN" w:bidi="ar-SA"/>
    </w:rPr>
  </w:style>
  <w:style w:type="paragraph" w:customStyle="1" w:styleId="10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修订1"/>
    <w:qFormat/>
    <w:uiPriority w:val="0"/>
    <w:rPr>
      <w:rFonts w:ascii="Times New Roman" w:hAnsi="Times New Roman" w:eastAsia="宋体" w:cs="Times New Roman"/>
      <w:kern w:val="2"/>
      <w:sz w:val="21"/>
      <w:lang w:val="en-US" w:eastAsia="zh-CN" w:bidi="ar-SA"/>
    </w:rPr>
  </w:style>
  <w:style w:type="paragraph" w:customStyle="1" w:styleId="107">
    <w:name w:val="p0"/>
    <w:basedOn w:val="1"/>
    <w:qFormat/>
    <w:uiPriority w:val="0"/>
    <w:pPr>
      <w:widowControl/>
    </w:pPr>
    <w:rPr>
      <w:rFonts w:cs="宋体"/>
      <w:kern w:val="0"/>
      <w:szCs w:val="21"/>
    </w:rPr>
  </w:style>
  <w:style w:type="paragraph" w:customStyle="1" w:styleId="108">
    <w:name w:val="样式1"/>
    <w:basedOn w:val="1"/>
    <w:next w:val="5"/>
    <w:qFormat/>
    <w:uiPriority w:val="0"/>
    <w:pPr>
      <w:spacing w:line="360" w:lineRule="auto"/>
      <w:ind w:firstLine="420" w:firstLineChars="200"/>
    </w:pPr>
    <w:rPr>
      <w:rFonts w:ascii="宋体" w:hAnsi="宋体"/>
      <w:szCs w:val="21"/>
    </w:rPr>
  </w:style>
  <w:style w:type="paragraph" w:customStyle="1" w:styleId="10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0">
    <w:name w:val="msolistparagraph"/>
    <w:basedOn w:val="1"/>
    <w:qFormat/>
    <w:uiPriority w:val="0"/>
    <w:pPr>
      <w:ind w:firstLine="420" w:firstLineChars="200"/>
    </w:pPr>
    <w:rPr>
      <w:szCs w:val="20"/>
    </w:rPr>
  </w:style>
  <w:style w:type="paragraph" w:customStyle="1" w:styleId="11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2">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13">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customStyle="1" w:styleId="114">
    <w:name w:val="我的正文"/>
    <w:basedOn w:val="1"/>
    <w:qFormat/>
    <w:uiPriority w:val="0"/>
    <w:rPr>
      <w:rFonts w:ascii="宋体" w:hAnsi="宋体"/>
      <w:sz w:val="24"/>
      <w:szCs w:val="24"/>
    </w:rPr>
  </w:style>
  <w:style w:type="paragraph" w:customStyle="1" w:styleId="115">
    <w:name w:val="修订3"/>
    <w:unhideWhenUsed/>
    <w:qFormat/>
    <w:uiPriority w:val="99"/>
    <w:rPr>
      <w:rFonts w:ascii="Times New Roman" w:hAnsi="Times New Roman" w:eastAsia="宋体" w:cs="Times New Roman"/>
      <w:kern w:val="2"/>
      <w:sz w:val="21"/>
      <w:szCs w:val="22"/>
      <w:lang w:val="en-US" w:eastAsia="zh-CN" w:bidi="ar-SA"/>
    </w:rPr>
  </w:style>
  <w:style w:type="paragraph" w:customStyle="1" w:styleId="116">
    <w:name w:val="1"/>
    <w:basedOn w:val="1"/>
    <w:qFormat/>
    <w:uiPriority w:val="0"/>
    <w:rPr>
      <w:szCs w:val="20"/>
    </w:rPr>
  </w:style>
  <w:style w:type="paragraph" w:customStyle="1" w:styleId="117">
    <w:name w:val="Char1"/>
    <w:basedOn w:val="1"/>
    <w:qFormat/>
    <w:uiPriority w:val="0"/>
    <w:pPr>
      <w:tabs>
        <w:tab w:val="left" w:pos="360"/>
      </w:tabs>
    </w:pPr>
    <w:rPr>
      <w:sz w:val="24"/>
      <w:szCs w:val="20"/>
    </w:rPr>
  </w:style>
  <w:style w:type="paragraph" w:customStyle="1" w:styleId="118">
    <w:name w:val="文二"/>
    <w:basedOn w:val="1"/>
    <w:qFormat/>
    <w:uiPriority w:val="0"/>
    <w:rPr>
      <w:rFonts w:ascii="宋体" w:hAnsi="宋体"/>
      <w:szCs w:val="21"/>
    </w:rPr>
  </w:style>
  <w:style w:type="paragraph" w:customStyle="1" w:styleId="119">
    <w:name w:val="样式2"/>
    <w:basedOn w:val="4"/>
    <w:qFormat/>
    <w:uiPriority w:val="0"/>
    <w:pPr>
      <w:spacing w:line="415" w:lineRule="auto"/>
      <w:ind w:firstLine="137"/>
    </w:pPr>
    <w:rPr>
      <w:rFonts w:hAnsi="Times New Roman"/>
      <w:bCs/>
      <w:i/>
      <w:szCs w:val="28"/>
    </w:rPr>
  </w:style>
  <w:style w:type="paragraph" w:customStyle="1" w:styleId="120">
    <w:name w:val="表头"/>
    <w:basedOn w:val="1"/>
    <w:qFormat/>
    <w:uiPriority w:val="0"/>
    <w:pPr>
      <w:spacing w:line="360" w:lineRule="auto"/>
      <w:jc w:val="center"/>
    </w:pPr>
    <w:rPr>
      <w:rFonts w:ascii="黑体" w:eastAsia="黑体"/>
      <w:kern w:val="0"/>
      <w:sz w:val="24"/>
      <w:szCs w:val="20"/>
    </w:rPr>
  </w:style>
  <w:style w:type="paragraph" w:customStyle="1" w:styleId="121">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22">
    <w:name w:val="CM6"/>
    <w:basedOn w:val="1"/>
    <w:next w:val="1"/>
    <w:qFormat/>
    <w:uiPriority w:val="0"/>
    <w:pPr>
      <w:autoSpaceDE w:val="0"/>
      <w:autoSpaceDN w:val="0"/>
      <w:adjustRightInd w:val="0"/>
      <w:spacing w:line="626" w:lineRule="atLeast"/>
      <w:jc w:val="left"/>
    </w:pPr>
    <w:rPr>
      <w:rFonts w:ascii="隶书" w:eastAsia="隶书"/>
      <w:kern w:val="0"/>
      <w:sz w:val="24"/>
      <w:szCs w:val="24"/>
    </w:rPr>
  </w:style>
  <w:style w:type="paragraph" w:customStyle="1" w:styleId="12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24">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25">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26">
    <w:name w:val="表格"/>
    <w:basedOn w:val="1"/>
    <w:qFormat/>
    <w:uiPriority w:val="0"/>
    <w:pPr>
      <w:jc w:val="center"/>
      <w:textAlignment w:val="center"/>
    </w:pPr>
    <w:rPr>
      <w:rFonts w:ascii="华文细黑" w:hAnsi="华文细黑"/>
      <w:kern w:val="0"/>
      <w:szCs w:val="20"/>
    </w:rPr>
  </w:style>
  <w:style w:type="character" w:customStyle="1" w:styleId="127">
    <w:name w:val="正文文本 字符2"/>
    <w:qFormat/>
    <w:uiPriority w:val="0"/>
    <w:rPr>
      <w:kern w:val="2"/>
      <w:sz w:val="21"/>
      <w:szCs w:val="24"/>
    </w:rPr>
  </w:style>
  <w:style w:type="character" w:customStyle="1" w:styleId="128">
    <w:name w:val="批注文字 字符"/>
    <w:qFormat/>
    <w:uiPriority w:val="0"/>
    <w:rPr>
      <w:kern w:val="2"/>
      <w:sz w:val="21"/>
      <w:szCs w:val="22"/>
    </w:rPr>
  </w:style>
  <w:style w:type="character" w:customStyle="1" w:styleId="129">
    <w:name w:val="正文文本 3 字符"/>
    <w:qFormat/>
    <w:uiPriority w:val="0"/>
    <w:rPr>
      <w:rFonts w:hint="eastAsia" w:ascii="宋体" w:hAnsi="Calibri" w:eastAsia="宋体" w:cs="宋体"/>
      <w:kern w:val="2"/>
      <w:sz w:val="24"/>
    </w:rPr>
  </w:style>
  <w:style w:type="character" w:customStyle="1" w:styleId="130">
    <w:name w:val="纯文本 字符"/>
    <w:qFormat/>
    <w:uiPriority w:val="0"/>
    <w:rPr>
      <w:rFonts w:hint="eastAsia" w:ascii="宋体" w:hAnsi="Calibri" w:eastAsia="宋体" w:cs="宋体"/>
      <w:kern w:val="2"/>
      <w:sz w:val="21"/>
      <w:szCs w:val="22"/>
    </w:rPr>
  </w:style>
  <w:style w:type="character" w:customStyle="1" w:styleId="131">
    <w:name w:val="正文首行缩进 字符1"/>
    <w:qFormat/>
    <w:uiPriority w:val="0"/>
    <w:rPr>
      <w:rFonts w:eastAsia="宋体"/>
      <w:kern w:val="2"/>
      <w:sz w:val="21"/>
      <w:szCs w:val="24"/>
      <w:lang w:val="en-US" w:eastAsia="zh-CN" w:bidi="ar-SA"/>
    </w:rPr>
  </w:style>
  <w:style w:type="paragraph" w:customStyle="1" w:styleId="132">
    <w:name w:val="修订4"/>
    <w:hidden/>
    <w:semiHidden/>
    <w:qFormat/>
    <w:uiPriority w:val="99"/>
    <w:rPr>
      <w:rFonts w:ascii="Times New Roman" w:hAnsi="Times New Roman" w:eastAsia="宋体" w:cs="Times New Roman"/>
      <w:kern w:val="2"/>
      <w:sz w:val="21"/>
      <w:szCs w:val="22"/>
      <w:lang w:val="en-US" w:eastAsia="zh-CN" w:bidi="ar-SA"/>
    </w:rPr>
  </w:style>
  <w:style w:type="paragraph" w:customStyle="1" w:styleId="133">
    <w:name w:val="正文-表格"/>
    <w:qFormat/>
    <w:uiPriority w:val="0"/>
    <w:rPr>
      <w:rFonts w:ascii="宋体" w:hAnsi="宋体" w:eastAsia="宋体" w:cs="Times New Roman"/>
      <w:kern w:val="2"/>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73</Pages>
  <Words>5170</Words>
  <Characters>5481</Characters>
  <Lines>255</Lines>
  <Paragraphs>71</Paragraphs>
  <TotalTime>4</TotalTime>
  <ScaleCrop>false</ScaleCrop>
  <LinksUpToDate>false</LinksUpToDate>
  <CharactersWithSpaces>5594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2025-05-23T06:23:00Z</dcterms:created>
  <dc:creator>NTKO</dc:creator>
  <cp:lastModifiedBy>admin</cp:lastModifiedBy>
  <cp:lastPrinted>2025-11-06T06:28:00Z</cp:lastPrinted>
  <dcterms:modified xsi:type="dcterms:W3CDTF">2025-11-28T02:05:24Z</dcterms:modified>
  <dc:title>检测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5744484E14CE4C58B894EA6118AFDD1F_13</vt:lpwstr>
  </property>
  <property fmtid="{D5CDD505-2E9C-101B-9397-08002B2CF9AE}" pid="4" name="KSOTemplateDocerSaveRecord">
    <vt:lpwstr>eyJoZGlkIjoiZWZmOGM1OGUxYzFjMTMxNjQ2YTUxNjQ3YmZmZjA3MGEiLCJ1c2VySWQiOiIyOTM0NTIyNDYifQ==</vt:lpwstr>
  </property>
</Properties>
</file>