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5CB80">
      <w:pPr>
        <w:spacing w:line="360" w:lineRule="auto"/>
        <w:jc w:val="left"/>
        <w:rPr>
          <w:rFonts w:asciiTheme="minorEastAsia" w:hAnsiTheme="minorEastAsia" w:eastAsiaTheme="minorEastAsia"/>
          <w:bCs/>
          <w:sz w:val="32"/>
          <w:szCs w:val="32"/>
        </w:rPr>
      </w:pPr>
      <w:bookmarkStart w:id="189" w:name="_GoBack"/>
      <w:bookmarkEnd w:id="189"/>
      <w:r>
        <w:rPr>
          <w:rFonts w:hint="eastAsia" w:asciiTheme="minorEastAsia" w:hAnsiTheme="minorEastAsia" w:eastAsiaTheme="minorEastAsia"/>
          <w:bCs/>
          <w:sz w:val="30"/>
          <w:szCs w:val="30"/>
        </w:rPr>
        <w:t>GF—2015—0209</w:t>
      </w:r>
    </w:p>
    <w:p w14:paraId="36244A40">
      <w:pPr>
        <w:spacing w:line="360" w:lineRule="auto"/>
        <w:ind w:firstLine="5737" w:firstLineChars="1905"/>
        <w:rPr>
          <w:rFonts w:asciiTheme="minorEastAsia" w:hAnsiTheme="minorEastAsia" w:eastAsiaTheme="minorEastAsia"/>
          <w:b/>
          <w:sz w:val="30"/>
          <w:szCs w:val="30"/>
        </w:rPr>
      </w:pPr>
      <w:r>
        <w:rPr>
          <w:rFonts w:hint="eastAsia" w:asciiTheme="minorEastAsia" w:hAnsiTheme="minorEastAsia" w:eastAsiaTheme="minorEastAsia"/>
          <w:b/>
          <w:sz w:val="30"/>
          <w:szCs w:val="30"/>
        </w:rPr>
        <w:t>合同编号：</w:t>
      </w:r>
    </w:p>
    <w:p w14:paraId="14AA836A">
      <w:pPr>
        <w:spacing w:line="360" w:lineRule="auto"/>
        <w:jc w:val="center"/>
        <w:rPr>
          <w:rFonts w:asciiTheme="minorEastAsia" w:hAnsiTheme="minorEastAsia" w:eastAsiaTheme="minorEastAsia"/>
          <w:b/>
          <w:sz w:val="52"/>
          <w:szCs w:val="52"/>
        </w:rPr>
      </w:pPr>
    </w:p>
    <w:p w14:paraId="097E2993">
      <w:pPr>
        <w:spacing w:line="360" w:lineRule="auto"/>
        <w:jc w:val="center"/>
        <w:rPr>
          <w:rFonts w:asciiTheme="minorEastAsia" w:hAnsiTheme="minorEastAsia" w:eastAsiaTheme="minorEastAsia"/>
          <w:b/>
          <w:sz w:val="72"/>
          <w:szCs w:val="52"/>
        </w:rPr>
      </w:pPr>
      <w:r>
        <w:rPr>
          <w:rFonts w:hint="eastAsia" w:asciiTheme="minorEastAsia" w:hAnsiTheme="minorEastAsia" w:eastAsiaTheme="minorEastAsia"/>
          <w:b/>
          <w:sz w:val="72"/>
          <w:szCs w:val="52"/>
        </w:rPr>
        <w:t>广东省第三荣军优抚医院新建医技综合大楼项目设计合同</w:t>
      </w:r>
    </w:p>
    <w:p w14:paraId="3B297C33">
      <w:pPr>
        <w:spacing w:line="360" w:lineRule="auto"/>
        <w:jc w:val="center"/>
        <w:rPr>
          <w:rFonts w:asciiTheme="minorEastAsia" w:hAnsiTheme="minorEastAsia" w:eastAsiaTheme="minorEastAsia"/>
          <w:b/>
          <w:sz w:val="72"/>
          <w:szCs w:val="52"/>
        </w:rPr>
      </w:pPr>
    </w:p>
    <w:p w14:paraId="4A649E67">
      <w:pPr>
        <w:spacing w:line="360" w:lineRule="auto"/>
        <w:jc w:val="center"/>
        <w:rPr>
          <w:rFonts w:asciiTheme="minorEastAsia" w:hAnsiTheme="minorEastAsia" w:eastAsiaTheme="minorEastAsia"/>
          <w:b/>
          <w:sz w:val="52"/>
          <w:szCs w:val="52"/>
        </w:rPr>
      </w:pPr>
    </w:p>
    <w:p w14:paraId="1D642C24">
      <w:pPr>
        <w:spacing w:line="360" w:lineRule="auto"/>
        <w:rPr>
          <w:rFonts w:asciiTheme="minorEastAsia" w:hAnsiTheme="minorEastAsia" w:eastAsiaTheme="minorEastAsia"/>
          <w:b/>
          <w:sz w:val="28"/>
          <w:szCs w:val="28"/>
        </w:rPr>
      </w:pPr>
    </w:p>
    <w:p w14:paraId="60CEE3B8">
      <w:pPr>
        <w:spacing w:line="360" w:lineRule="auto"/>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发包人（全称）：</w:t>
      </w:r>
      <w:r>
        <w:rPr>
          <w:rFonts w:hint="eastAsia" w:asciiTheme="minorEastAsia" w:hAnsiTheme="minorEastAsia" w:eastAsiaTheme="minorEastAsia"/>
          <w:b/>
          <w:sz w:val="24"/>
          <w:szCs w:val="24"/>
          <w:u w:val="single"/>
        </w:rPr>
        <w:t>广东省代建项目管理局       </w:t>
      </w:r>
    </w:p>
    <w:p w14:paraId="720E6B97">
      <w:pPr>
        <w:spacing w:line="360" w:lineRule="auto"/>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设计人（全称）：</w:t>
      </w:r>
      <w:r>
        <w:rPr>
          <w:rFonts w:hint="eastAsia" w:asciiTheme="minorEastAsia" w:hAnsiTheme="minorEastAsia" w:eastAsiaTheme="minorEastAsia"/>
          <w:b/>
          <w:sz w:val="24"/>
          <w:szCs w:val="24"/>
          <w:u w:val="single"/>
        </w:rPr>
        <w:t xml:space="preserve">                    </w:t>
      </w:r>
    </w:p>
    <w:p w14:paraId="3F755058">
      <w:pPr>
        <w:spacing w:line="360" w:lineRule="auto"/>
        <w:rPr>
          <w:rFonts w:asciiTheme="minorEastAsia" w:hAnsiTheme="minorEastAsia" w:eastAsiaTheme="minorEastAsia"/>
          <w:b/>
          <w:sz w:val="28"/>
          <w:szCs w:val="28"/>
        </w:rPr>
      </w:pPr>
    </w:p>
    <w:p w14:paraId="399C4D7B">
      <w:pPr>
        <w:spacing w:line="360" w:lineRule="auto"/>
        <w:rPr>
          <w:rFonts w:asciiTheme="minorEastAsia" w:hAnsiTheme="minorEastAsia" w:eastAsiaTheme="minorEastAsia"/>
          <w:b/>
          <w:sz w:val="28"/>
          <w:szCs w:val="28"/>
        </w:rPr>
      </w:pPr>
    </w:p>
    <w:p w14:paraId="588F093D">
      <w:pPr>
        <w:spacing w:line="360" w:lineRule="auto"/>
        <w:ind w:right="3559" w:rightChars="1695" w:firstLine="2100" w:firstLineChars="1000"/>
        <w:jc w:val="distribute"/>
        <w:rPr>
          <w:rFonts w:asciiTheme="minorEastAsia" w:hAnsiTheme="minorEastAsia" w:eastAsiaTheme="minorEastAsia"/>
          <w:b/>
          <w:sz w:val="32"/>
          <w:szCs w:val="28"/>
        </w:rPr>
      </w:pPr>
      <w:r>
        <w:rPr>
          <w:rFonts w:asciiTheme="minorEastAsia" w:hAnsiTheme="minorEastAsia" w:eastAsiaTheme="minorEastAsia"/>
        </w:rPr>
        <mc:AlternateContent>
          <mc:Choice Requires="wps">
            <w:drawing>
              <wp:anchor distT="0" distB="0" distL="114300" distR="114300" simplePos="0" relativeHeight="251660288" behindDoc="0" locked="0" layoutInCell="1" allowOverlap="1">
                <wp:simplePos x="0" y="0"/>
                <wp:positionH relativeFrom="column">
                  <wp:posOffset>3570605</wp:posOffset>
                </wp:positionH>
                <wp:positionV relativeFrom="paragraph">
                  <wp:posOffset>198120</wp:posOffset>
                </wp:positionV>
                <wp:extent cx="723900" cy="457200"/>
                <wp:effectExtent l="4445" t="4445" r="14605" b="14605"/>
                <wp:wrapNone/>
                <wp:docPr id="8" name="Text Box 20"/>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a:effectLst/>
                      </wps:spPr>
                      <wps:txbx>
                        <w:txbxContent>
                          <w:p w14:paraId="0E86FF60">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Text Box 20" o:spid="_x0000_s1026" o:spt="202" type="#_x0000_t202" style="position:absolute;left:0pt;margin-left:281.15pt;margin-top:15.6pt;height:36pt;width:57pt;z-index:251660288;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gLnD/YAAAACgEAAA8AAAAAAAAAAQAgAAAAIgAAAGRycy9kb3ducmV2Lnht&#10;bFBLAQIUABQAAAAIAIdO4kAnHn37MgIAAGsEAAAOAAAAAAAAAAEAIAAAACcBAABkcnMvZTJvRG9j&#10;LnhtbFBLBQYAAAAABgAGAFkBAADLBQAAAAA=&#10;">
                <v:fill on="f" focussize="0,0"/>
                <v:stroke color="#FFFFFF" miterlimit="8" joinstyle="miter"/>
                <v:imagedata o:title=""/>
                <o:lock v:ext="edit" aspectratio="f"/>
                <v:textbox>
                  <w:txbxContent>
                    <w:p w14:paraId="0E86FF60">
                      <w:pPr>
                        <w:rPr>
                          <w:b/>
                          <w:bCs/>
                          <w:sz w:val="32"/>
                        </w:rPr>
                      </w:pPr>
                      <w:r>
                        <w:rPr>
                          <w:rFonts w:hint="eastAsia"/>
                          <w:b/>
                          <w:bCs/>
                          <w:sz w:val="32"/>
                        </w:rPr>
                        <w:t>制定</w:t>
                      </w:r>
                    </w:p>
                  </w:txbxContent>
                </v:textbox>
              </v:shape>
            </w:pict>
          </mc:Fallback>
        </mc:AlternateContent>
      </w:r>
      <w:r>
        <w:rPr>
          <w:rFonts w:hint="eastAsia" w:asciiTheme="minorEastAsia" w:hAnsiTheme="minorEastAsia" w:eastAsiaTheme="minorEastAsia"/>
          <w:b/>
          <w:sz w:val="32"/>
          <w:szCs w:val="28"/>
        </w:rPr>
        <w:t>住房和城乡建设部</w:t>
      </w:r>
    </w:p>
    <w:p w14:paraId="79304CA8">
      <w:pPr>
        <w:spacing w:line="360" w:lineRule="auto"/>
        <w:ind w:right="3360" w:rightChars="1600" w:firstLine="1606" w:firstLineChars="500"/>
        <w:rPr>
          <w:rFonts w:asciiTheme="minorEastAsia" w:hAnsiTheme="minorEastAsia" w:eastAsiaTheme="minorEastAsia"/>
          <w:b/>
          <w:sz w:val="32"/>
        </w:rPr>
      </w:pPr>
      <w:r>
        <w:rPr>
          <w:rFonts w:hint="eastAsia" w:asciiTheme="minorEastAsia" w:hAnsiTheme="minorEastAsia" w:eastAsiaTheme="minorEastAsia"/>
          <w:b/>
          <w:sz w:val="32"/>
          <w:szCs w:val="28"/>
        </w:rPr>
        <w:t>国家工商行政管理总局</w:t>
      </w:r>
    </w:p>
    <w:p w14:paraId="46FDB7A1">
      <w:pPr>
        <w:pStyle w:val="260"/>
        <w:spacing w:before="0" w:line="360" w:lineRule="auto"/>
        <w:jc w:val="center"/>
        <w:rPr>
          <w:rFonts w:asciiTheme="minorEastAsia" w:hAnsiTheme="minorEastAsia" w:eastAsiaTheme="minorEastAsia"/>
          <w:b w:val="0"/>
          <w:color w:val="auto"/>
        </w:rPr>
      </w:pPr>
      <w:r>
        <w:rPr>
          <w:rFonts w:hint="eastAsia" w:asciiTheme="minorEastAsia" w:hAnsiTheme="minorEastAsia" w:eastAsiaTheme="minorEastAsia"/>
          <w:b w:val="0"/>
          <w:color w:val="auto"/>
        </w:rPr>
        <w:br w:type="page"/>
      </w:r>
      <w:bookmarkStart w:id="0" w:name="_Toc296503025"/>
      <w:bookmarkStart w:id="1" w:name="_Toc296890982"/>
    </w:p>
    <w:p w14:paraId="498B02E0">
      <w:pPr>
        <w:pStyle w:val="260"/>
        <w:spacing w:before="0" w:line="360" w:lineRule="auto"/>
        <w:jc w:val="center"/>
        <w:rPr>
          <w:rFonts w:asciiTheme="minorEastAsia" w:hAnsiTheme="minorEastAsia" w:eastAsiaTheme="minorEastAsia"/>
          <w:color w:val="auto"/>
          <w:lang w:val="zh-CN"/>
        </w:rPr>
      </w:pPr>
      <w:r>
        <w:rPr>
          <w:rFonts w:hint="eastAsia" w:asciiTheme="minorEastAsia" w:hAnsiTheme="minorEastAsia" w:eastAsiaTheme="minorEastAsia"/>
          <w:color w:val="auto"/>
          <w:lang w:val="zh-CN"/>
        </w:rPr>
        <w:t>说  明</w:t>
      </w:r>
    </w:p>
    <w:p w14:paraId="68195068">
      <w:pPr>
        <w:spacing w:line="360" w:lineRule="auto"/>
        <w:rPr>
          <w:rFonts w:asciiTheme="minorEastAsia" w:hAnsiTheme="minorEastAsia" w:eastAsiaTheme="minorEastAsia"/>
          <w:lang w:val="zh-CN"/>
        </w:rPr>
      </w:pPr>
    </w:p>
    <w:p w14:paraId="65879FD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了指导建设工程设计合同当事人的签约行为，维护合同当事人的合法权益，依据《中华人民共和国合同法》、《中华人民共和国建筑法》、《中华人民共和国招标投标法》以及相关法律法规，住房城乡建设部、工商总局对《建设工程设计合同（一）（民用建设工程设计合同）》（GF-2000-0209）进行了修订，制定了《建设工程设计合同示范文本（房屋建筑工程）》（GF-2015-0209）（以下简称《示范文本》）。为了便于合同当事人使用《示范文本》，现就有关问题说明如下：</w:t>
      </w:r>
    </w:p>
    <w:p w14:paraId="57225723">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一、《示范文本》的组成</w:t>
      </w:r>
    </w:p>
    <w:p w14:paraId="447BB51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《示范文本》由合同协议书、通用合同条款和专用合同条款三部分组成。</w:t>
      </w:r>
    </w:p>
    <w:p w14:paraId="25FF8C0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（一）合同协议书</w:t>
      </w:r>
    </w:p>
    <w:p w14:paraId="287EE6B6">
      <w:pPr>
        <w:spacing w:line="360" w:lineRule="auto"/>
        <w:ind w:left="147" w:leftChars="70"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《示范文本》合同协议书集中约定了合同当事人基本的合同权利义务。</w:t>
      </w:r>
    </w:p>
    <w:p w14:paraId="4D123BE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（二）通用合同条款</w:t>
      </w:r>
    </w:p>
    <w:p w14:paraId="4796614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通用合同条款是合同当事人根据《中华人民共和国建筑法》、《中华人民共和国合同法》等法律法规的规定，就工程设计的实施及相关事项，对合同当事人的权利义务作出的原则性约定。</w:t>
      </w:r>
    </w:p>
    <w:p w14:paraId="1F10A4D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通用合同条款既考虑了现行法律法规对工程建设的有关要求，也考虑了工程设计管理的特殊需要。</w:t>
      </w:r>
    </w:p>
    <w:p w14:paraId="37AB63B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（三）专用合同条款</w:t>
      </w:r>
    </w:p>
    <w:p w14:paraId="5E895C3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73D6893">
      <w:pPr>
        <w:spacing w:line="360" w:lineRule="auto"/>
        <w:ind w:right="25" w:rightChars="12"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1.专用合同条款的编号应与相应的通用合同条款的编号一致；</w:t>
      </w:r>
    </w:p>
    <w:p w14:paraId="5360B1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2.合同当事人可以通过对专用合同条款的修改，满足具体房屋建筑工程的特殊要求，避免直接修改通用合同条款；</w:t>
      </w:r>
    </w:p>
    <w:p w14:paraId="025D74A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3.在专用合同条款中有横道线的地方，合同当事人可针对相应的通用合同条款进行细化、完善、补充、修改或另行约定；如无细化、完善、补充、修改或另行约定，则填写“无”或划“/”。</w:t>
      </w:r>
    </w:p>
    <w:p w14:paraId="4EFB6E49">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bCs/>
          <w:sz w:val="24"/>
          <w:szCs w:val="24"/>
        </w:rPr>
        <w:t>二、《示范文本》的性质和适用范围</w:t>
      </w:r>
    </w:p>
    <w:p w14:paraId="0B9BA7B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《示范文本》供合同双方当事人参照使用，可适用于方案设计招标投标、队伍比选等形式下的合同订立。</w:t>
      </w:r>
    </w:p>
    <w:p w14:paraId="26897D4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示范文本》适用于建设用地规划许可证范围内的建筑物构筑物设计、室外工程设计、民用建筑修建的地下工程设计及住宅小区、工厂厂前区、工厂生活区、小区规划设计及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14:paraId="4621F97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p>
    <w:p w14:paraId="18574239">
      <w:pPr>
        <w:pStyle w:val="260"/>
        <w:tabs>
          <w:tab w:val="right" w:leader="middleDot" w:pos="8400"/>
        </w:tabs>
        <w:spacing w:before="120" w:after="120"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lang w:val="zh-CN"/>
        </w:rPr>
        <w:t>目  录</w:t>
      </w:r>
    </w:p>
    <w:p w14:paraId="29D924C0">
      <w:pPr>
        <w:pStyle w:val="30"/>
        <w:tabs>
          <w:tab w:val="right" w:leader="middleDot" w:pos="8400"/>
          <w:tab w:val="right" w:leader="dot" w:pos="8810"/>
        </w:tabs>
        <w:spacing w:line="360" w:lineRule="auto"/>
        <w:ind w:left="0" w:leftChars="0" w:firstLine="240" w:firstLineChars="100"/>
        <w:rPr>
          <w:rFonts w:asciiTheme="minorEastAsia" w:hAnsiTheme="minorEastAsia" w:eastAsiaTheme="minorEastAsia"/>
          <w:b/>
          <w:sz w:val="24"/>
          <w:szCs w:val="24"/>
        </w:rPr>
      </w:pP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TOC \o "1-5" \h \z \u </w:instrText>
      </w:r>
      <w:r>
        <w:rPr>
          <w:rFonts w:hint="eastAsia" w:asciiTheme="minorEastAsia" w:hAnsiTheme="minorEastAsia" w:eastAsiaTheme="minorEastAsia"/>
          <w:sz w:val="24"/>
          <w:szCs w:val="24"/>
        </w:rPr>
        <w:fldChar w:fldCharType="separate"/>
      </w:r>
      <w:r>
        <w:fldChar w:fldCharType="begin"/>
      </w:r>
      <w:r>
        <w:instrText xml:space="preserve"> HYPERLINK \l "_Toc351203480" </w:instrText>
      </w:r>
      <w:r>
        <w:fldChar w:fldCharType="separate"/>
      </w:r>
      <w:r>
        <w:rPr>
          <w:rStyle w:val="63"/>
          <w:rFonts w:hint="eastAsia" w:asciiTheme="minorEastAsia" w:hAnsiTheme="minorEastAsia" w:eastAsiaTheme="minorEastAsia"/>
          <w:b/>
          <w:color w:val="auto"/>
          <w:sz w:val="24"/>
          <w:szCs w:val="24"/>
        </w:rPr>
        <w:t>第一部分 合同协议书</w:t>
      </w:r>
      <w:r>
        <w:rPr>
          <w:rStyle w:val="63"/>
          <w:rFonts w:hint="eastAsia" w:asciiTheme="minorEastAsia" w:hAnsiTheme="minorEastAsia" w:eastAsiaTheme="minorEastAsia"/>
          <w:b/>
          <w:color w:val="auto"/>
          <w:sz w:val="24"/>
          <w:szCs w:val="24"/>
        </w:rPr>
        <w:fldChar w:fldCharType="end"/>
      </w:r>
      <w:r>
        <w:rPr>
          <w:rFonts w:hint="eastAsia" w:asciiTheme="minorEastAsia" w:hAnsiTheme="minorEastAsia" w:eastAsiaTheme="minorEastAsia"/>
          <w:bCs/>
          <w:sz w:val="24"/>
          <w:szCs w:val="24"/>
        </w:rPr>
        <w:tab/>
      </w:r>
      <w:r>
        <w:rPr>
          <w:rFonts w:hint="eastAsia" w:asciiTheme="minorEastAsia" w:hAnsiTheme="minorEastAsia" w:eastAsiaTheme="minorEastAsia"/>
          <w:bCs/>
          <w:sz w:val="24"/>
          <w:szCs w:val="24"/>
        </w:rPr>
        <w:t>7</w:t>
      </w:r>
    </w:p>
    <w:p w14:paraId="6D8A68FA">
      <w:pPr>
        <w:pStyle w:val="30"/>
        <w:tabs>
          <w:tab w:val="right" w:leader="middleDot" w:pos="8400"/>
          <w:tab w:val="right" w:leader="dot" w:pos="8810"/>
        </w:tabs>
        <w:spacing w:line="360" w:lineRule="auto"/>
        <w:ind w:left="0" w:leftChars="0" w:firstLine="198" w:firstLineChars="99"/>
        <w:rPr>
          <w:rFonts w:asciiTheme="minorEastAsia" w:hAnsiTheme="minorEastAsia" w:eastAsiaTheme="minorEastAsia"/>
          <w:b/>
          <w:sz w:val="24"/>
          <w:szCs w:val="24"/>
        </w:rPr>
      </w:pPr>
      <w:r>
        <w:fldChar w:fldCharType="begin"/>
      </w:r>
      <w:r>
        <w:instrText xml:space="preserve"> HYPERLINK \l "_Toc351203494" </w:instrText>
      </w:r>
      <w:r>
        <w:fldChar w:fldCharType="separate"/>
      </w:r>
      <w:r>
        <w:rPr>
          <w:rStyle w:val="63"/>
          <w:rFonts w:hint="eastAsia" w:asciiTheme="minorEastAsia" w:hAnsiTheme="minorEastAsia" w:eastAsiaTheme="minorEastAsia"/>
          <w:b/>
          <w:color w:val="auto"/>
          <w:sz w:val="24"/>
          <w:szCs w:val="24"/>
        </w:rPr>
        <w:t>第二部分 通用合同</w:t>
      </w:r>
      <w:bookmarkStart w:id="2" w:name="_Hlt278396651"/>
      <w:r>
        <w:rPr>
          <w:rStyle w:val="63"/>
          <w:rFonts w:hint="eastAsia" w:asciiTheme="minorEastAsia" w:hAnsiTheme="minorEastAsia" w:eastAsiaTheme="minorEastAsia"/>
          <w:b/>
          <w:color w:val="auto"/>
          <w:sz w:val="24"/>
          <w:szCs w:val="24"/>
        </w:rPr>
        <w:t>条</w:t>
      </w:r>
      <w:bookmarkEnd w:id="2"/>
      <w:r>
        <w:rPr>
          <w:rStyle w:val="63"/>
          <w:rFonts w:hint="eastAsia" w:asciiTheme="minorEastAsia" w:hAnsiTheme="minorEastAsia" w:eastAsiaTheme="minorEastAsia"/>
          <w:b/>
          <w:color w:val="auto"/>
          <w:sz w:val="24"/>
          <w:szCs w:val="24"/>
        </w:rPr>
        <w:t>款</w:t>
      </w:r>
      <w:r>
        <w:rPr>
          <w:rStyle w:val="63"/>
          <w:rFonts w:hint="eastAsia" w:asciiTheme="minorEastAsia" w:hAnsiTheme="minorEastAsia" w:eastAsiaTheme="minorEastAsia"/>
          <w:b/>
          <w:color w:val="auto"/>
          <w:sz w:val="24"/>
          <w:szCs w:val="24"/>
        </w:rPr>
        <w:fldChar w:fldCharType="end"/>
      </w:r>
      <w:r>
        <w:rPr>
          <w:rFonts w:hint="eastAsia" w:asciiTheme="minorEastAsia" w:hAnsiTheme="minorEastAsia" w:eastAsiaTheme="minorEastAsia"/>
          <w:bCs/>
          <w:sz w:val="24"/>
          <w:szCs w:val="24"/>
        </w:rPr>
        <w:tab/>
      </w:r>
      <w:r>
        <w:rPr>
          <w:rFonts w:hint="eastAsia" w:asciiTheme="minorEastAsia" w:hAnsiTheme="minorEastAsia" w:eastAsiaTheme="minorEastAsia"/>
          <w:bCs/>
          <w:sz w:val="24"/>
          <w:szCs w:val="24"/>
        </w:rPr>
        <w:t>11</w:t>
      </w:r>
    </w:p>
    <w:p w14:paraId="2ACFDD7B">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"_Toc351203495" </w:instrText>
      </w:r>
      <w:r>
        <w:fldChar w:fldCharType="separate"/>
      </w:r>
      <w:r>
        <w:rPr>
          <w:rStyle w:val="63"/>
          <w:rFonts w:hint="eastAsia" w:asciiTheme="minorEastAsia" w:hAnsiTheme="minorEastAsia" w:eastAsiaTheme="minorEastAsia"/>
          <w:color w:val="auto"/>
          <w:sz w:val="24"/>
          <w:szCs w:val="24"/>
        </w:rPr>
        <w:t>1. 一般约定</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11</w:t>
      </w:r>
    </w:p>
    <w:p w14:paraId="11D059D4">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"_Toc351203496" </w:instrText>
      </w:r>
      <w:r>
        <w:fldChar w:fldCharType="separate"/>
      </w:r>
      <w:r>
        <w:rPr>
          <w:rStyle w:val="63"/>
          <w:rFonts w:hint="eastAsia" w:asciiTheme="minorEastAsia" w:hAnsiTheme="minorEastAsia" w:eastAsiaTheme="minorEastAsia"/>
          <w:color w:val="auto"/>
          <w:sz w:val="24"/>
          <w:szCs w:val="24"/>
        </w:rPr>
        <w:t>1.1 词语定义与解释</w:t>
      </w:r>
      <w:r>
        <w:rPr>
          <w:rStyle w:val="63"/>
          <w:rFonts w:hint="eastAsia" w:asciiTheme="minorEastAsia" w:hAnsiTheme="minorEastAsia" w:eastAsiaTheme="minorEastAsia"/>
          <w:color w:val="auto"/>
          <w:sz w:val="24"/>
          <w:szCs w:val="24"/>
        </w:rPr>
        <w:fldChar w:fldCharType="end"/>
      </w:r>
    </w:p>
    <w:p w14:paraId="3B3A3233">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"_Toc351203497" </w:instrText>
      </w:r>
      <w:r>
        <w:fldChar w:fldCharType="separate"/>
      </w:r>
      <w:r>
        <w:rPr>
          <w:rStyle w:val="63"/>
          <w:rFonts w:hint="eastAsia" w:asciiTheme="minorEastAsia" w:hAnsiTheme="minorEastAsia" w:eastAsiaTheme="minorEastAsia"/>
          <w:color w:val="auto"/>
          <w:sz w:val="24"/>
          <w:szCs w:val="24"/>
        </w:rPr>
        <w:t>1.2 语言文字</w:t>
      </w:r>
      <w:r>
        <w:rPr>
          <w:rStyle w:val="63"/>
          <w:rFonts w:hint="eastAsia" w:asciiTheme="minorEastAsia" w:hAnsiTheme="minorEastAsia" w:eastAsiaTheme="minorEastAsia"/>
          <w:color w:val="auto"/>
          <w:sz w:val="24"/>
          <w:szCs w:val="24"/>
        </w:rPr>
        <w:fldChar w:fldCharType="end"/>
      </w:r>
    </w:p>
    <w:p w14:paraId="38165FE9">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"_Toc351203498" </w:instrText>
      </w:r>
      <w:r>
        <w:fldChar w:fldCharType="separate"/>
      </w:r>
      <w:r>
        <w:rPr>
          <w:rStyle w:val="63"/>
          <w:rFonts w:hint="eastAsia" w:asciiTheme="minorEastAsia" w:hAnsiTheme="minorEastAsia" w:eastAsiaTheme="minorEastAsia"/>
          <w:color w:val="auto"/>
          <w:sz w:val="24"/>
          <w:szCs w:val="24"/>
        </w:rPr>
        <w:t>1.3 法律</w:t>
      </w:r>
      <w:r>
        <w:rPr>
          <w:rStyle w:val="63"/>
          <w:rFonts w:hint="eastAsia" w:asciiTheme="minorEastAsia" w:hAnsiTheme="minorEastAsia" w:eastAsiaTheme="minorEastAsia"/>
          <w:color w:val="auto"/>
          <w:sz w:val="24"/>
          <w:szCs w:val="24"/>
        </w:rPr>
        <w:fldChar w:fldCharType="end"/>
      </w:r>
    </w:p>
    <w:p w14:paraId="4725B1C7">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"_Toc351203499" </w:instrText>
      </w:r>
      <w:r>
        <w:fldChar w:fldCharType="separate"/>
      </w:r>
      <w:r>
        <w:rPr>
          <w:rStyle w:val="63"/>
          <w:rFonts w:hint="eastAsia" w:asciiTheme="minorEastAsia" w:hAnsiTheme="minorEastAsia" w:eastAsiaTheme="minorEastAsia"/>
          <w:color w:val="auto"/>
          <w:sz w:val="24"/>
          <w:szCs w:val="24"/>
        </w:rPr>
        <w:t>1.4 技术标准</w:t>
      </w:r>
      <w:r>
        <w:rPr>
          <w:rStyle w:val="63"/>
          <w:rFonts w:hint="eastAsia" w:asciiTheme="minorEastAsia" w:hAnsiTheme="minorEastAsia" w:eastAsiaTheme="minorEastAsia"/>
          <w:color w:val="auto"/>
          <w:sz w:val="24"/>
          <w:szCs w:val="24"/>
        </w:rPr>
        <w:fldChar w:fldCharType="end"/>
      </w:r>
    </w:p>
    <w:p w14:paraId="4FF49A05">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"_Toc351203500" </w:instrText>
      </w:r>
      <w:r>
        <w:fldChar w:fldCharType="separate"/>
      </w:r>
      <w:r>
        <w:rPr>
          <w:rStyle w:val="63"/>
          <w:rFonts w:hint="eastAsia" w:asciiTheme="minorEastAsia" w:hAnsiTheme="minorEastAsia" w:eastAsiaTheme="minorEastAsia"/>
          <w:color w:val="auto"/>
          <w:sz w:val="24"/>
          <w:szCs w:val="24"/>
        </w:rPr>
        <w:t>1.5 合同文件的优先顺序</w:t>
      </w:r>
      <w:r>
        <w:rPr>
          <w:rStyle w:val="63"/>
          <w:rFonts w:hint="eastAsia" w:asciiTheme="minorEastAsia" w:hAnsiTheme="minorEastAsia" w:eastAsiaTheme="minorEastAsia"/>
          <w:color w:val="auto"/>
          <w:sz w:val="24"/>
          <w:szCs w:val="24"/>
        </w:rPr>
        <w:fldChar w:fldCharType="end"/>
      </w:r>
    </w:p>
    <w:p w14:paraId="0F4D8E7D">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"_Toc351203501" </w:instrText>
      </w:r>
      <w:r>
        <w:fldChar w:fldCharType="separate"/>
      </w:r>
      <w:r>
        <w:rPr>
          <w:rStyle w:val="63"/>
          <w:rFonts w:hint="eastAsia" w:asciiTheme="minorEastAsia" w:hAnsiTheme="minorEastAsia" w:eastAsiaTheme="minorEastAsia"/>
          <w:color w:val="auto"/>
          <w:sz w:val="24"/>
          <w:szCs w:val="24"/>
        </w:rPr>
        <w:t>1.6 联络</w:t>
      </w:r>
      <w:r>
        <w:rPr>
          <w:rStyle w:val="63"/>
          <w:rFonts w:hint="eastAsia" w:asciiTheme="minorEastAsia" w:hAnsiTheme="minorEastAsia" w:eastAsiaTheme="minorEastAsia"/>
          <w:color w:val="auto"/>
          <w:sz w:val="24"/>
          <w:szCs w:val="24"/>
        </w:rPr>
        <w:fldChar w:fldCharType="end"/>
      </w:r>
    </w:p>
    <w:p w14:paraId="5DAD411D">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"_Toc351203502" </w:instrText>
      </w:r>
      <w:r>
        <w:fldChar w:fldCharType="separate"/>
      </w:r>
      <w:r>
        <w:rPr>
          <w:rStyle w:val="63"/>
          <w:rFonts w:hint="eastAsia" w:asciiTheme="minorEastAsia" w:hAnsiTheme="minorEastAsia" w:eastAsiaTheme="minorEastAsia"/>
          <w:color w:val="auto"/>
          <w:sz w:val="24"/>
          <w:szCs w:val="24"/>
        </w:rPr>
        <w:t>1.7 严禁贿赂</w:t>
      </w:r>
      <w:r>
        <w:rPr>
          <w:rStyle w:val="63"/>
          <w:rFonts w:hint="eastAsia" w:asciiTheme="minorEastAsia" w:hAnsiTheme="minorEastAsia" w:eastAsiaTheme="minorEastAsia"/>
          <w:color w:val="auto"/>
          <w:sz w:val="24"/>
          <w:szCs w:val="24"/>
        </w:rPr>
        <w:fldChar w:fldCharType="end"/>
      </w:r>
    </w:p>
    <w:p w14:paraId="35EB132B">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"_Toc351203503" </w:instrText>
      </w:r>
      <w:r>
        <w:fldChar w:fldCharType="separate"/>
      </w:r>
      <w:r>
        <w:rPr>
          <w:rStyle w:val="63"/>
          <w:rFonts w:hint="eastAsia" w:asciiTheme="minorEastAsia" w:hAnsiTheme="minorEastAsia" w:eastAsiaTheme="minorEastAsia"/>
          <w:color w:val="auto"/>
          <w:sz w:val="24"/>
          <w:szCs w:val="24"/>
        </w:rPr>
        <w:t>1.8 保密</w:t>
      </w:r>
      <w:r>
        <w:rPr>
          <w:rStyle w:val="63"/>
          <w:rFonts w:hint="eastAsia" w:asciiTheme="minorEastAsia" w:hAnsiTheme="minorEastAsia" w:eastAsiaTheme="minorEastAsia"/>
          <w:color w:val="auto"/>
          <w:sz w:val="24"/>
          <w:szCs w:val="24"/>
        </w:rPr>
        <w:fldChar w:fldCharType="end"/>
      </w:r>
    </w:p>
    <w:p w14:paraId="627D7B9C">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"_Toc351203509" </w:instrText>
      </w:r>
      <w:r>
        <w:fldChar w:fldCharType="separate"/>
      </w:r>
      <w:r>
        <w:rPr>
          <w:rStyle w:val="63"/>
          <w:rFonts w:hint="eastAsia" w:asciiTheme="minorEastAsia" w:hAnsiTheme="minorEastAsia" w:eastAsiaTheme="minorEastAsia"/>
          <w:color w:val="auto"/>
          <w:sz w:val="24"/>
          <w:szCs w:val="24"/>
        </w:rPr>
        <w:t>2. 发包人</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18</w:t>
      </w:r>
    </w:p>
    <w:p w14:paraId="282CF264">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"_Toc351203510" </w:instrText>
      </w:r>
      <w:r>
        <w:fldChar w:fldCharType="separate"/>
      </w:r>
      <w:r>
        <w:rPr>
          <w:rStyle w:val="63"/>
          <w:rFonts w:hint="eastAsia" w:asciiTheme="minorEastAsia" w:hAnsiTheme="minorEastAsia" w:eastAsiaTheme="minorEastAsia"/>
          <w:color w:val="auto"/>
          <w:sz w:val="24"/>
          <w:szCs w:val="24"/>
        </w:rPr>
        <w:t>2.1 发包人一般义务</w:t>
      </w:r>
      <w:r>
        <w:rPr>
          <w:rStyle w:val="63"/>
          <w:rFonts w:hint="eastAsia" w:asciiTheme="minorEastAsia" w:hAnsiTheme="minorEastAsia" w:eastAsiaTheme="minorEastAsia"/>
          <w:color w:val="auto"/>
          <w:sz w:val="24"/>
          <w:szCs w:val="24"/>
        </w:rPr>
        <w:fldChar w:fldCharType="end"/>
      </w:r>
    </w:p>
    <w:p w14:paraId="300D932B">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"_Toc351203511" </w:instrText>
      </w:r>
      <w:r>
        <w:fldChar w:fldCharType="separate"/>
      </w:r>
      <w:r>
        <w:rPr>
          <w:rStyle w:val="63"/>
          <w:rFonts w:hint="eastAsia" w:asciiTheme="minorEastAsia" w:hAnsiTheme="minorEastAsia" w:eastAsiaTheme="minorEastAsia"/>
          <w:color w:val="auto"/>
          <w:sz w:val="24"/>
          <w:szCs w:val="24"/>
        </w:rPr>
        <w:t>2.2 发包人代表</w:t>
      </w:r>
      <w:r>
        <w:rPr>
          <w:rStyle w:val="63"/>
          <w:rFonts w:hint="eastAsia" w:asciiTheme="minorEastAsia" w:hAnsiTheme="minorEastAsia" w:eastAsiaTheme="minorEastAsia"/>
          <w:color w:val="auto"/>
          <w:sz w:val="24"/>
          <w:szCs w:val="24"/>
        </w:rPr>
        <w:fldChar w:fldCharType="end"/>
      </w:r>
    </w:p>
    <w:p w14:paraId="57914460">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"_Toc351203512" </w:instrText>
      </w:r>
      <w:r>
        <w:fldChar w:fldCharType="separate"/>
      </w:r>
      <w:r>
        <w:rPr>
          <w:rStyle w:val="63"/>
          <w:rFonts w:hint="eastAsia" w:asciiTheme="minorEastAsia" w:hAnsiTheme="minorEastAsia" w:eastAsiaTheme="minorEastAsia"/>
          <w:color w:val="auto"/>
          <w:sz w:val="24"/>
          <w:szCs w:val="24"/>
        </w:rPr>
        <w:t>2.3 发包人决定</w:t>
      </w:r>
      <w:r>
        <w:rPr>
          <w:rStyle w:val="63"/>
          <w:rFonts w:hint="eastAsia" w:asciiTheme="minorEastAsia" w:hAnsiTheme="minorEastAsia" w:eastAsiaTheme="minorEastAsia"/>
          <w:color w:val="auto"/>
          <w:sz w:val="24"/>
          <w:szCs w:val="24"/>
        </w:rPr>
        <w:fldChar w:fldCharType="end"/>
      </w:r>
    </w:p>
    <w:p w14:paraId="25DB1048">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"_Toc351203513" </w:instrText>
      </w:r>
      <w:r>
        <w:fldChar w:fldCharType="separate"/>
      </w:r>
      <w:r>
        <w:rPr>
          <w:rStyle w:val="63"/>
          <w:rFonts w:hint="eastAsia" w:asciiTheme="minorEastAsia" w:hAnsiTheme="minorEastAsia" w:eastAsiaTheme="minorEastAsia"/>
          <w:color w:val="auto"/>
          <w:sz w:val="24"/>
          <w:szCs w:val="24"/>
        </w:rPr>
        <w:t>2.4 支付合同价款</w:t>
      </w:r>
      <w:r>
        <w:rPr>
          <w:rStyle w:val="63"/>
          <w:rFonts w:hint="eastAsia" w:asciiTheme="minorEastAsia" w:hAnsiTheme="minorEastAsia" w:eastAsiaTheme="minorEastAsia"/>
          <w:color w:val="auto"/>
          <w:sz w:val="24"/>
          <w:szCs w:val="24"/>
        </w:rPr>
        <w:fldChar w:fldCharType="end"/>
      </w:r>
    </w:p>
    <w:p w14:paraId="46DE6487">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"_Toc351203514" </w:instrText>
      </w:r>
      <w:r>
        <w:fldChar w:fldCharType="separate"/>
      </w:r>
      <w:r>
        <w:rPr>
          <w:rStyle w:val="63"/>
          <w:rFonts w:hint="eastAsia" w:asciiTheme="minorEastAsia" w:hAnsiTheme="minorEastAsia" w:eastAsiaTheme="minorEastAsia"/>
          <w:color w:val="auto"/>
          <w:sz w:val="24"/>
          <w:szCs w:val="24"/>
        </w:rPr>
        <w:t>2.5 设计文件接收</w:t>
      </w:r>
      <w:r>
        <w:rPr>
          <w:rStyle w:val="63"/>
          <w:rFonts w:hint="eastAsia" w:asciiTheme="minorEastAsia" w:hAnsiTheme="minorEastAsia" w:eastAsiaTheme="minorEastAsia"/>
          <w:color w:val="auto"/>
          <w:sz w:val="24"/>
          <w:szCs w:val="24"/>
        </w:rPr>
        <w:fldChar w:fldCharType="end"/>
      </w:r>
    </w:p>
    <w:p w14:paraId="4CA850E4">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"_Toc351203518" </w:instrText>
      </w:r>
      <w:r>
        <w:fldChar w:fldCharType="separate"/>
      </w:r>
      <w:r>
        <w:rPr>
          <w:rStyle w:val="63"/>
          <w:rFonts w:hint="eastAsia" w:asciiTheme="minorEastAsia" w:hAnsiTheme="minorEastAsia" w:eastAsiaTheme="minorEastAsia"/>
          <w:color w:val="auto"/>
          <w:sz w:val="24"/>
          <w:szCs w:val="24"/>
        </w:rPr>
        <w:t>3. 设计人</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19</w:t>
      </w:r>
    </w:p>
    <w:p w14:paraId="5F90BD83">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"_Toc351203519" </w:instrText>
      </w:r>
      <w:r>
        <w:fldChar w:fldCharType="separate"/>
      </w:r>
      <w:r>
        <w:rPr>
          <w:rStyle w:val="63"/>
          <w:rFonts w:hint="eastAsia" w:asciiTheme="minorEastAsia" w:hAnsiTheme="minorEastAsia" w:eastAsiaTheme="minorEastAsia"/>
          <w:color w:val="auto"/>
          <w:sz w:val="24"/>
          <w:szCs w:val="24"/>
        </w:rPr>
        <w:t>3.1 设计人一般义务</w:t>
      </w:r>
      <w:r>
        <w:rPr>
          <w:rStyle w:val="63"/>
          <w:rFonts w:hint="eastAsia" w:asciiTheme="minorEastAsia" w:hAnsiTheme="minorEastAsia" w:eastAsiaTheme="minorEastAsia"/>
          <w:color w:val="auto"/>
          <w:sz w:val="24"/>
          <w:szCs w:val="24"/>
        </w:rPr>
        <w:fldChar w:fldCharType="end"/>
      </w:r>
    </w:p>
    <w:p w14:paraId="42EDF604">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"_Toc351203520" </w:instrText>
      </w:r>
      <w:r>
        <w:fldChar w:fldCharType="separate"/>
      </w:r>
      <w:r>
        <w:rPr>
          <w:rStyle w:val="63"/>
          <w:rFonts w:hint="eastAsia" w:asciiTheme="minorEastAsia" w:hAnsiTheme="minorEastAsia" w:eastAsiaTheme="minorEastAsia"/>
          <w:color w:val="auto"/>
          <w:sz w:val="24"/>
          <w:szCs w:val="24"/>
        </w:rPr>
        <w:t>3.2 项目负责人</w:t>
      </w:r>
      <w:r>
        <w:rPr>
          <w:rStyle w:val="63"/>
          <w:rFonts w:hint="eastAsia" w:asciiTheme="minorEastAsia" w:hAnsiTheme="minorEastAsia" w:eastAsiaTheme="minorEastAsia"/>
          <w:color w:val="auto"/>
          <w:sz w:val="24"/>
          <w:szCs w:val="24"/>
        </w:rPr>
        <w:fldChar w:fldCharType="end"/>
      </w:r>
    </w:p>
    <w:p w14:paraId="22351CE1">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"_Toc351203521" </w:instrText>
      </w:r>
      <w:r>
        <w:fldChar w:fldCharType="separate"/>
      </w:r>
      <w:r>
        <w:rPr>
          <w:rStyle w:val="63"/>
          <w:rFonts w:hint="eastAsia" w:asciiTheme="minorEastAsia" w:hAnsiTheme="minorEastAsia" w:eastAsiaTheme="minorEastAsia"/>
          <w:color w:val="auto"/>
          <w:sz w:val="24"/>
          <w:szCs w:val="24"/>
        </w:rPr>
        <w:t>3.3 设计人人员</w:t>
      </w:r>
      <w:r>
        <w:rPr>
          <w:rStyle w:val="63"/>
          <w:rFonts w:hint="eastAsia" w:asciiTheme="minorEastAsia" w:hAnsiTheme="minorEastAsia" w:eastAsiaTheme="minorEastAsia"/>
          <w:color w:val="auto"/>
          <w:sz w:val="24"/>
          <w:szCs w:val="24"/>
        </w:rPr>
        <w:fldChar w:fldCharType="end"/>
      </w:r>
    </w:p>
    <w:p w14:paraId="421150BF">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"_Toc351203522" </w:instrText>
      </w:r>
      <w:r>
        <w:fldChar w:fldCharType="separate"/>
      </w:r>
      <w:r>
        <w:rPr>
          <w:rStyle w:val="63"/>
          <w:rFonts w:hint="eastAsia" w:asciiTheme="minorEastAsia" w:hAnsiTheme="minorEastAsia" w:eastAsiaTheme="minorEastAsia"/>
          <w:color w:val="auto"/>
          <w:sz w:val="24"/>
          <w:szCs w:val="24"/>
        </w:rPr>
        <w:t>3.4 设计分包</w:t>
      </w:r>
      <w:r>
        <w:rPr>
          <w:rStyle w:val="63"/>
          <w:rFonts w:hint="eastAsia" w:asciiTheme="minorEastAsia" w:hAnsiTheme="minorEastAsia" w:eastAsiaTheme="minorEastAsia"/>
          <w:color w:val="auto"/>
          <w:sz w:val="24"/>
          <w:szCs w:val="24"/>
        </w:rPr>
        <w:fldChar w:fldCharType="end"/>
      </w:r>
    </w:p>
    <w:p w14:paraId="4ACBE81A">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"_Toc351203523" </w:instrText>
      </w:r>
      <w:r>
        <w:fldChar w:fldCharType="separate"/>
      </w:r>
      <w:r>
        <w:rPr>
          <w:rStyle w:val="63"/>
          <w:rFonts w:hint="eastAsia" w:asciiTheme="minorEastAsia" w:hAnsiTheme="minorEastAsia" w:eastAsiaTheme="minorEastAsia"/>
          <w:color w:val="auto"/>
          <w:sz w:val="24"/>
          <w:szCs w:val="24"/>
        </w:rPr>
        <w:t>3.5 联合体</w:t>
      </w:r>
      <w:r>
        <w:rPr>
          <w:rStyle w:val="63"/>
          <w:rFonts w:hint="eastAsia" w:asciiTheme="minorEastAsia" w:hAnsiTheme="minorEastAsia" w:eastAsiaTheme="minorEastAsia"/>
          <w:color w:val="auto"/>
          <w:sz w:val="24"/>
          <w:szCs w:val="24"/>
        </w:rPr>
        <w:fldChar w:fldCharType="end"/>
      </w:r>
    </w:p>
    <w:p w14:paraId="43421FE6">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"_Toc351203532" </w:instrText>
      </w:r>
      <w:r>
        <w:fldChar w:fldCharType="separate"/>
      </w:r>
      <w:r>
        <w:rPr>
          <w:rStyle w:val="63"/>
          <w:rFonts w:hint="eastAsia" w:asciiTheme="minorEastAsia" w:hAnsiTheme="minorEastAsia" w:eastAsiaTheme="minorEastAsia"/>
          <w:color w:val="auto"/>
          <w:sz w:val="24"/>
          <w:szCs w:val="24"/>
        </w:rPr>
        <w:t>4. 工程设计</w:t>
      </w:r>
      <w:r>
        <w:rPr>
          <w:rStyle w:val="63"/>
          <w:rFonts w:hint="eastAsia" w:asciiTheme="minorEastAsia" w:hAnsiTheme="minorEastAsia" w:eastAsiaTheme="minorEastAsia"/>
          <w:color w:val="auto"/>
          <w:sz w:val="24"/>
          <w:szCs w:val="24"/>
        </w:rPr>
        <w:fldChar w:fldCharType="end"/>
      </w:r>
      <w:r>
        <w:rPr>
          <w:rStyle w:val="63"/>
          <w:rFonts w:hint="eastAsia" w:asciiTheme="minorEastAsia" w:hAnsiTheme="minorEastAsia" w:eastAsiaTheme="minorEastAsia"/>
          <w:color w:val="auto"/>
          <w:sz w:val="24"/>
          <w:szCs w:val="24"/>
        </w:rPr>
        <w:t>资料</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23</w:t>
      </w:r>
    </w:p>
    <w:p w14:paraId="6C2A2AA8">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"_Toc351203533" </w:instrText>
      </w:r>
      <w:r>
        <w:fldChar w:fldCharType="separate"/>
      </w:r>
      <w:r>
        <w:rPr>
          <w:rStyle w:val="63"/>
          <w:rFonts w:hint="eastAsia" w:asciiTheme="minorEastAsia" w:hAnsiTheme="minorEastAsia" w:eastAsiaTheme="minorEastAsia"/>
          <w:color w:val="auto"/>
          <w:sz w:val="24"/>
          <w:szCs w:val="24"/>
        </w:rPr>
        <w:t>4.1 提供工程设计资料</w:t>
      </w:r>
      <w:r>
        <w:rPr>
          <w:rStyle w:val="63"/>
          <w:rFonts w:hint="eastAsia" w:asciiTheme="minorEastAsia" w:hAnsiTheme="minorEastAsia" w:eastAsiaTheme="minorEastAsia"/>
          <w:color w:val="auto"/>
          <w:sz w:val="24"/>
          <w:szCs w:val="24"/>
        </w:rPr>
        <w:fldChar w:fldCharType="end"/>
      </w:r>
    </w:p>
    <w:p w14:paraId="3476B0AE">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"_Toc351203534" </w:instrText>
      </w:r>
      <w:r>
        <w:fldChar w:fldCharType="separate"/>
      </w:r>
      <w:r>
        <w:rPr>
          <w:rStyle w:val="63"/>
          <w:rFonts w:hint="eastAsia" w:asciiTheme="minorEastAsia" w:hAnsiTheme="minorEastAsia" w:eastAsiaTheme="minorEastAsia"/>
          <w:color w:val="auto"/>
          <w:sz w:val="24"/>
          <w:szCs w:val="24"/>
        </w:rPr>
        <w:t>4.2 逾期提供的责任</w:t>
      </w:r>
      <w:r>
        <w:rPr>
          <w:rStyle w:val="63"/>
          <w:rFonts w:hint="eastAsia" w:asciiTheme="minorEastAsia" w:hAnsiTheme="minorEastAsia" w:eastAsiaTheme="minorEastAsia"/>
          <w:color w:val="auto"/>
          <w:sz w:val="24"/>
          <w:szCs w:val="24"/>
        </w:rPr>
        <w:fldChar w:fldCharType="end"/>
      </w:r>
    </w:p>
    <w:p w14:paraId="1325476C">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"_Toc351203538" </w:instrText>
      </w:r>
      <w:r>
        <w:fldChar w:fldCharType="separate"/>
      </w:r>
      <w:r>
        <w:rPr>
          <w:rStyle w:val="63"/>
          <w:rFonts w:hint="eastAsia" w:asciiTheme="minorEastAsia" w:hAnsiTheme="minorEastAsia" w:eastAsiaTheme="minorEastAsia"/>
          <w:color w:val="auto"/>
          <w:sz w:val="24"/>
          <w:szCs w:val="24"/>
        </w:rPr>
        <w:t>5. 工程设计要求</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24</w:t>
      </w:r>
    </w:p>
    <w:p w14:paraId="533F2796">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"_Toc351203539" </w:instrText>
      </w:r>
      <w:r>
        <w:fldChar w:fldCharType="separate"/>
      </w:r>
      <w:r>
        <w:rPr>
          <w:rStyle w:val="63"/>
          <w:rFonts w:hint="eastAsia" w:asciiTheme="minorEastAsia" w:hAnsiTheme="minorEastAsia" w:eastAsiaTheme="minorEastAsia"/>
          <w:color w:val="auto"/>
          <w:sz w:val="24"/>
          <w:szCs w:val="24"/>
        </w:rPr>
        <w:t>5.1 工程设计一般要求</w:t>
      </w:r>
      <w:r>
        <w:rPr>
          <w:rStyle w:val="63"/>
          <w:rFonts w:hint="eastAsia" w:asciiTheme="minorEastAsia" w:hAnsiTheme="minorEastAsia" w:eastAsiaTheme="minorEastAsia"/>
          <w:color w:val="auto"/>
          <w:sz w:val="24"/>
          <w:szCs w:val="24"/>
        </w:rPr>
        <w:fldChar w:fldCharType="end"/>
      </w:r>
    </w:p>
    <w:p w14:paraId="4EB32D8B">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"_Toc351203540" </w:instrText>
      </w:r>
      <w:r>
        <w:fldChar w:fldCharType="separate"/>
      </w:r>
      <w:r>
        <w:rPr>
          <w:rStyle w:val="63"/>
          <w:rFonts w:hint="eastAsia" w:asciiTheme="minorEastAsia" w:hAnsiTheme="minorEastAsia" w:eastAsiaTheme="minorEastAsia"/>
          <w:color w:val="auto"/>
          <w:sz w:val="24"/>
          <w:szCs w:val="24"/>
        </w:rPr>
        <w:t>5.2 工程设计保证措施</w:t>
      </w:r>
      <w:r>
        <w:rPr>
          <w:rStyle w:val="63"/>
          <w:rFonts w:hint="eastAsia" w:asciiTheme="minorEastAsia" w:hAnsiTheme="minorEastAsia" w:eastAsiaTheme="minorEastAsia"/>
          <w:color w:val="auto"/>
          <w:sz w:val="24"/>
          <w:szCs w:val="24"/>
        </w:rPr>
        <w:fldChar w:fldCharType="end"/>
      </w:r>
    </w:p>
    <w:p w14:paraId="0AC105BA">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"_Toc351203541" </w:instrText>
      </w:r>
      <w:r>
        <w:fldChar w:fldCharType="separate"/>
      </w:r>
      <w:r>
        <w:rPr>
          <w:rStyle w:val="63"/>
          <w:rFonts w:hint="eastAsia" w:asciiTheme="minorEastAsia" w:hAnsiTheme="minorEastAsia" w:eastAsiaTheme="minorEastAsia"/>
          <w:color w:val="auto"/>
          <w:sz w:val="24"/>
          <w:szCs w:val="24"/>
        </w:rPr>
        <w:t>5.3 工程设计文件的要求</w:t>
      </w:r>
      <w:r>
        <w:rPr>
          <w:rStyle w:val="63"/>
          <w:rFonts w:hint="eastAsia" w:asciiTheme="minorEastAsia" w:hAnsiTheme="minorEastAsia" w:eastAsiaTheme="minorEastAsia"/>
          <w:color w:val="auto"/>
          <w:sz w:val="24"/>
          <w:szCs w:val="24"/>
        </w:rPr>
        <w:fldChar w:fldCharType="end"/>
      </w:r>
    </w:p>
    <w:p w14:paraId="5E58F435">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"_Toc351203541" </w:instrText>
      </w:r>
      <w:r>
        <w:fldChar w:fldCharType="separate"/>
      </w:r>
      <w:r>
        <w:rPr>
          <w:rStyle w:val="63"/>
          <w:rFonts w:hint="eastAsia" w:asciiTheme="minorEastAsia" w:hAnsiTheme="minorEastAsia" w:eastAsiaTheme="minorEastAsia"/>
          <w:color w:val="auto"/>
          <w:sz w:val="24"/>
          <w:szCs w:val="24"/>
        </w:rPr>
        <w:t>5.4 不合格工程设计文件的处理</w:t>
      </w:r>
      <w:r>
        <w:rPr>
          <w:rStyle w:val="63"/>
          <w:rFonts w:hint="eastAsia" w:asciiTheme="minorEastAsia" w:hAnsiTheme="minorEastAsia" w:eastAsiaTheme="minorEastAsia"/>
          <w:color w:val="auto"/>
          <w:sz w:val="24"/>
          <w:szCs w:val="24"/>
        </w:rPr>
        <w:fldChar w:fldCharType="end"/>
      </w:r>
    </w:p>
    <w:p w14:paraId="29B668AC">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"_Toc351203542" </w:instrText>
      </w:r>
      <w:r>
        <w:fldChar w:fldCharType="separate"/>
      </w:r>
      <w:r>
        <w:rPr>
          <w:rStyle w:val="63"/>
          <w:rFonts w:hint="eastAsia" w:asciiTheme="minorEastAsia" w:hAnsiTheme="minorEastAsia" w:eastAsiaTheme="minorEastAsia"/>
          <w:color w:val="auto"/>
          <w:sz w:val="24"/>
          <w:szCs w:val="24"/>
        </w:rPr>
        <w:t>6. 工程设计进度与周期</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27</w:t>
      </w:r>
    </w:p>
    <w:p w14:paraId="787045CE">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"_Toc351203543" </w:instrText>
      </w:r>
      <w:r>
        <w:fldChar w:fldCharType="separate"/>
      </w:r>
      <w:r>
        <w:rPr>
          <w:rStyle w:val="63"/>
          <w:rFonts w:hint="eastAsia" w:asciiTheme="minorEastAsia" w:hAnsiTheme="minorEastAsia" w:eastAsiaTheme="minorEastAsia"/>
          <w:color w:val="auto"/>
          <w:sz w:val="24"/>
          <w:szCs w:val="24"/>
        </w:rPr>
        <w:t>6.1 工程设计进度计划</w:t>
      </w:r>
      <w:r>
        <w:rPr>
          <w:rStyle w:val="63"/>
          <w:rFonts w:hint="eastAsia" w:asciiTheme="minorEastAsia" w:hAnsiTheme="minorEastAsia" w:eastAsiaTheme="minorEastAsia"/>
          <w:color w:val="auto"/>
          <w:sz w:val="24"/>
          <w:szCs w:val="24"/>
        </w:rPr>
        <w:fldChar w:fldCharType="end"/>
      </w:r>
    </w:p>
    <w:p w14:paraId="073890A3">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"_Toc351203544" </w:instrText>
      </w:r>
      <w:r>
        <w:fldChar w:fldCharType="separate"/>
      </w:r>
      <w:r>
        <w:rPr>
          <w:rStyle w:val="63"/>
          <w:rFonts w:hint="eastAsia" w:asciiTheme="minorEastAsia" w:hAnsiTheme="minorEastAsia" w:eastAsiaTheme="minorEastAsia"/>
          <w:color w:val="auto"/>
          <w:sz w:val="24"/>
          <w:szCs w:val="24"/>
        </w:rPr>
        <w:t>6.2 工程设计开始</w:t>
      </w:r>
      <w:r>
        <w:rPr>
          <w:rStyle w:val="63"/>
          <w:rFonts w:hint="eastAsia" w:asciiTheme="minorEastAsia" w:hAnsiTheme="minorEastAsia" w:eastAsiaTheme="minorEastAsia"/>
          <w:color w:val="auto"/>
          <w:sz w:val="24"/>
          <w:szCs w:val="24"/>
        </w:rPr>
        <w:fldChar w:fldCharType="end"/>
      </w:r>
    </w:p>
    <w:p w14:paraId="085A50AD">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"_Toc351203545" </w:instrText>
      </w:r>
      <w:r>
        <w:fldChar w:fldCharType="separate"/>
      </w:r>
      <w:r>
        <w:rPr>
          <w:rStyle w:val="63"/>
          <w:rFonts w:hint="eastAsia" w:asciiTheme="minorEastAsia" w:hAnsiTheme="minorEastAsia" w:eastAsiaTheme="minorEastAsia"/>
          <w:color w:val="auto"/>
          <w:sz w:val="24"/>
          <w:szCs w:val="24"/>
        </w:rPr>
        <w:t>6.3 工程设计进度延误</w:t>
      </w:r>
      <w:r>
        <w:rPr>
          <w:rStyle w:val="63"/>
          <w:rFonts w:hint="eastAsia" w:asciiTheme="minorEastAsia" w:hAnsiTheme="minorEastAsia" w:eastAsiaTheme="minorEastAsia"/>
          <w:color w:val="auto"/>
          <w:sz w:val="24"/>
          <w:szCs w:val="24"/>
        </w:rPr>
        <w:fldChar w:fldCharType="end"/>
      </w:r>
    </w:p>
    <w:p w14:paraId="61486CD8">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"_Toc351203546" </w:instrText>
      </w:r>
      <w:r>
        <w:fldChar w:fldCharType="separate"/>
      </w:r>
      <w:r>
        <w:rPr>
          <w:rStyle w:val="63"/>
          <w:rFonts w:hint="eastAsia" w:asciiTheme="minorEastAsia" w:hAnsiTheme="minorEastAsia" w:eastAsiaTheme="minorEastAsia"/>
          <w:color w:val="auto"/>
          <w:sz w:val="24"/>
          <w:szCs w:val="24"/>
        </w:rPr>
        <w:t>6.4 暂停设计</w:t>
      </w:r>
      <w:r>
        <w:rPr>
          <w:rStyle w:val="63"/>
          <w:rFonts w:hint="eastAsia" w:asciiTheme="minorEastAsia" w:hAnsiTheme="minorEastAsia" w:eastAsiaTheme="minorEastAsia"/>
          <w:color w:val="auto"/>
          <w:sz w:val="24"/>
          <w:szCs w:val="24"/>
        </w:rPr>
        <w:fldChar w:fldCharType="end"/>
      </w:r>
    </w:p>
    <w:p w14:paraId="0D933077">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"_Toc351203547" </w:instrText>
      </w:r>
      <w:r>
        <w:fldChar w:fldCharType="separate"/>
      </w:r>
      <w:r>
        <w:rPr>
          <w:rStyle w:val="63"/>
          <w:rFonts w:hint="eastAsia" w:asciiTheme="minorEastAsia" w:hAnsiTheme="minorEastAsia" w:eastAsiaTheme="minorEastAsia"/>
          <w:color w:val="auto"/>
          <w:sz w:val="24"/>
          <w:szCs w:val="24"/>
        </w:rPr>
        <w:t>6.5 提前交付工程设计文件</w:t>
      </w:r>
      <w:r>
        <w:rPr>
          <w:rStyle w:val="63"/>
          <w:rFonts w:hint="eastAsia" w:asciiTheme="minorEastAsia" w:hAnsiTheme="minorEastAsia" w:eastAsiaTheme="minorEastAsia"/>
          <w:color w:val="auto"/>
          <w:sz w:val="24"/>
          <w:szCs w:val="24"/>
        </w:rPr>
        <w:fldChar w:fldCharType="end"/>
      </w:r>
    </w:p>
    <w:p w14:paraId="42C568B7">
      <w:pPr>
        <w:pStyle w:val="39"/>
        <w:tabs>
          <w:tab w:val="right" w:leader="middleDot" w:pos="8400"/>
        </w:tabs>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7</w:t>
      </w:r>
      <w:r>
        <w:fldChar w:fldCharType="begin"/>
      </w:r>
      <w:r>
        <w:instrText xml:space="preserve"> HYPERLINK \l "_Toc351203562" </w:instrText>
      </w:r>
      <w:r>
        <w:fldChar w:fldCharType="separate"/>
      </w:r>
      <w:r>
        <w:rPr>
          <w:rStyle w:val="63"/>
          <w:rFonts w:hint="eastAsia" w:asciiTheme="minorEastAsia" w:hAnsiTheme="minorEastAsia" w:eastAsiaTheme="minorEastAsia"/>
          <w:color w:val="auto"/>
          <w:sz w:val="24"/>
          <w:szCs w:val="24"/>
        </w:rPr>
        <w:t>. 工程设计文件交付</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31</w:t>
      </w:r>
    </w:p>
    <w:p w14:paraId="3C53B1AF">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"_Toc351203562" </w:instrText>
      </w:r>
      <w:r>
        <w:fldChar w:fldCharType="separate"/>
      </w:r>
      <w:r>
        <w:rPr>
          <w:rStyle w:val="63"/>
          <w:rFonts w:hint="eastAsia" w:asciiTheme="minorEastAsia" w:hAnsiTheme="minorEastAsia" w:eastAsiaTheme="minorEastAsia"/>
          <w:color w:val="auto"/>
          <w:sz w:val="24"/>
          <w:szCs w:val="24"/>
        </w:rPr>
        <w:t>8. 工程设计文件审查</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32</w:t>
      </w:r>
    </w:p>
    <w:p w14:paraId="1BB0C51A">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"_Toc351203562" </w:instrText>
      </w:r>
      <w:r>
        <w:fldChar w:fldCharType="separate"/>
      </w:r>
      <w:r>
        <w:rPr>
          <w:rStyle w:val="63"/>
          <w:rFonts w:hint="eastAsia" w:asciiTheme="minorEastAsia" w:hAnsiTheme="minorEastAsia" w:eastAsiaTheme="minorEastAsia"/>
          <w:color w:val="auto"/>
          <w:sz w:val="24"/>
          <w:szCs w:val="24"/>
        </w:rPr>
        <w:t>9. 施工现场配合服务</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34</w:t>
      </w:r>
    </w:p>
    <w:p w14:paraId="54F27635">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"_Toc351203562" </w:instrText>
      </w:r>
      <w:r>
        <w:fldChar w:fldCharType="separate"/>
      </w:r>
      <w:r>
        <w:rPr>
          <w:rStyle w:val="63"/>
          <w:rFonts w:hint="eastAsia" w:asciiTheme="minorEastAsia" w:hAnsiTheme="minorEastAsia" w:eastAsiaTheme="minorEastAsia"/>
          <w:color w:val="auto"/>
          <w:sz w:val="24"/>
          <w:szCs w:val="24"/>
        </w:rPr>
        <w:t>10. 合同价款与支付</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34</w:t>
      </w:r>
    </w:p>
    <w:p w14:paraId="35B2681D">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"_Toc351203546" </w:instrText>
      </w:r>
      <w:r>
        <w:fldChar w:fldCharType="separate"/>
      </w:r>
      <w:r>
        <w:rPr>
          <w:rStyle w:val="63"/>
          <w:rFonts w:hint="eastAsia" w:asciiTheme="minorEastAsia" w:hAnsiTheme="minorEastAsia" w:eastAsiaTheme="minorEastAsia"/>
          <w:color w:val="auto"/>
          <w:sz w:val="24"/>
          <w:szCs w:val="24"/>
        </w:rPr>
        <w:t>10.1 合同价款组成</w:t>
      </w:r>
      <w:r>
        <w:rPr>
          <w:rStyle w:val="63"/>
          <w:rFonts w:hint="eastAsia" w:asciiTheme="minorEastAsia" w:hAnsiTheme="minorEastAsia" w:eastAsiaTheme="minorEastAsia"/>
          <w:color w:val="auto"/>
          <w:sz w:val="24"/>
          <w:szCs w:val="24"/>
        </w:rPr>
        <w:fldChar w:fldCharType="end"/>
      </w:r>
    </w:p>
    <w:p w14:paraId="6F4D917C">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"_Toc351203546" </w:instrText>
      </w:r>
      <w:r>
        <w:fldChar w:fldCharType="separate"/>
      </w:r>
      <w:r>
        <w:rPr>
          <w:rStyle w:val="63"/>
          <w:rFonts w:hint="eastAsia" w:asciiTheme="minorEastAsia" w:hAnsiTheme="minorEastAsia" w:eastAsiaTheme="minorEastAsia"/>
          <w:color w:val="auto"/>
          <w:sz w:val="24"/>
          <w:szCs w:val="24"/>
        </w:rPr>
        <w:t>10.2 合同价格形式</w:t>
      </w:r>
      <w:bookmarkStart w:id="3" w:name="_Hlt370150698"/>
      <w:bookmarkEnd w:id="3"/>
      <w:bookmarkStart w:id="4" w:name="_Hlt370150699"/>
      <w:bookmarkEnd w:id="4"/>
      <w:r>
        <w:rPr>
          <w:rStyle w:val="63"/>
          <w:rFonts w:hint="eastAsia" w:asciiTheme="minorEastAsia" w:hAnsiTheme="minorEastAsia" w:eastAsiaTheme="minorEastAsia"/>
          <w:color w:val="auto"/>
          <w:sz w:val="24"/>
          <w:szCs w:val="24"/>
        </w:rPr>
        <w:fldChar w:fldCharType="end"/>
      </w:r>
    </w:p>
    <w:p w14:paraId="2CB821E9">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"_Toc351203546" </w:instrText>
      </w:r>
      <w:r>
        <w:fldChar w:fldCharType="separate"/>
      </w:r>
      <w:r>
        <w:rPr>
          <w:rStyle w:val="63"/>
          <w:rFonts w:hint="eastAsia" w:asciiTheme="minorEastAsia" w:hAnsiTheme="minorEastAsia" w:eastAsiaTheme="minorEastAsia"/>
          <w:color w:val="auto"/>
          <w:sz w:val="24"/>
          <w:szCs w:val="24"/>
        </w:rPr>
        <w:t>10.3 定金</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或预付款</w:t>
      </w:r>
    </w:p>
    <w:p w14:paraId="5C509255">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"_Toc351203546" </w:instrText>
      </w:r>
      <w:r>
        <w:fldChar w:fldCharType="separate"/>
      </w:r>
      <w:r>
        <w:rPr>
          <w:rStyle w:val="63"/>
          <w:rFonts w:hint="eastAsia" w:asciiTheme="minorEastAsia" w:hAnsiTheme="minorEastAsia" w:eastAsiaTheme="minorEastAsia"/>
          <w:color w:val="auto"/>
          <w:sz w:val="24"/>
          <w:szCs w:val="24"/>
        </w:rPr>
        <w:t>10.4 进度款支付</w:t>
      </w:r>
      <w:r>
        <w:rPr>
          <w:rStyle w:val="63"/>
          <w:rFonts w:hint="eastAsia" w:asciiTheme="minorEastAsia" w:hAnsiTheme="minorEastAsia" w:eastAsiaTheme="minorEastAsia"/>
          <w:color w:val="auto"/>
          <w:sz w:val="24"/>
          <w:szCs w:val="24"/>
        </w:rPr>
        <w:fldChar w:fldCharType="end"/>
      </w:r>
    </w:p>
    <w:p w14:paraId="632C2B65">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"_Toc351203546" </w:instrText>
      </w:r>
      <w:r>
        <w:fldChar w:fldCharType="separate"/>
      </w:r>
      <w:r>
        <w:rPr>
          <w:rStyle w:val="63"/>
          <w:rFonts w:hint="eastAsia" w:asciiTheme="minorEastAsia" w:hAnsiTheme="minorEastAsia" w:eastAsiaTheme="minorEastAsia"/>
          <w:color w:val="auto"/>
          <w:sz w:val="24"/>
          <w:szCs w:val="24"/>
        </w:rPr>
        <w:t>10.5 合同价款的结算与支付</w:t>
      </w:r>
      <w:r>
        <w:rPr>
          <w:rStyle w:val="63"/>
          <w:rFonts w:hint="eastAsia" w:asciiTheme="minorEastAsia" w:hAnsiTheme="minorEastAsia" w:eastAsiaTheme="minorEastAsia"/>
          <w:color w:val="auto"/>
          <w:sz w:val="24"/>
          <w:szCs w:val="24"/>
        </w:rPr>
        <w:fldChar w:fldCharType="end"/>
      </w:r>
    </w:p>
    <w:p w14:paraId="63701384">
      <w:pPr>
        <w:pStyle w:val="29"/>
        <w:tabs>
          <w:tab w:val="right" w:leader="middleDot" w:pos="8400"/>
        </w:tabs>
        <w:spacing w:line="360" w:lineRule="auto"/>
        <w:ind w:firstLine="210" w:firstLineChars="100"/>
        <w:rPr>
          <w:rStyle w:val="63"/>
          <w:rFonts w:asciiTheme="minorEastAsia" w:hAnsiTheme="minorEastAsia" w:eastAsiaTheme="minorEastAsia"/>
          <w:color w:val="auto"/>
          <w:sz w:val="24"/>
          <w:szCs w:val="24"/>
        </w:rPr>
      </w:pPr>
      <w:r>
        <w:fldChar w:fldCharType="begin"/>
      </w:r>
      <w:r>
        <w:instrText xml:space="preserve"> HYPERLINK \l "_Toc351203546" </w:instrText>
      </w:r>
      <w:r>
        <w:fldChar w:fldCharType="separate"/>
      </w:r>
      <w:r>
        <w:rPr>
          <w:rStyle w:val="63"/>
          <w:rFonts w:hint="eastAsia" w:asciiTheme="minorEastAsia" w:hAnsiTheme="minorEastAsia" w:eastAsiaTheme="minorEastAsia"/>
          <w:color w:val="auto"/>
          <w:sz w:val="24"/>
          <w:szCs w:val="24"/>
        </w:rPr>
        <w:t>10.6 支付账户</w:t>
      </w:r>
      <w:r>
        <w:rPr>
          <w:rStyle w:val="63"/>
          <w:rFonts w:hint="eastAsia" w:asciiTheme="minorEastAsia" w:hAnsiTheme="minorEastAsia" w:eastAsiaTheme="minorEastAsia"/>
          <w:color w:val="auto"/>
          <w:sz w:val="24"/>
          <w:szCs w:val="24"/>
        </w:rPr>
        <w:fldChar w:fldCharType="end"/>
      </w:r>
    </w:p>
    <w:p w14:paraId="675E1058">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"_Toc351203567" </w:instrText>
      </w:r>
      <w:r>
        <w:fldChar w:fldCharType="separate"/>
      </w:r>
      <w:r>
        <w:rPr>
          <w:rStyle w:val="63"/>
          <w:rFonts w:hint="eastAsia" w:asciiTheme="minorEastAsia" w:hAnsiTheme="minorEastAsia" w:eastAsiaTheme="minorEastAsia"/>
          <w:color w:val="auto"/>
          <w:sz w:val="24"/>
          <w:szCs w:val="24"/>
        </w:rPr>
        <w:t>11. 工程设计变更与索赔</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37</w:t>
      </w:r>
    </w:p>
    <w:p w14:paraId="5C0E48AC">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"_Toc351203577" </w:instrText>
      </w:r>
      <w:r>
        <w:fldChar w:fldCharType="separate"/>
      </w:r>
      <w:r>
        <w:rPr>
          <w:rStyle w:val="63"/>
          <w:rFonts w:hint="eastAsia" w:asciiTheme="minorEastAsia" w:hAnsiTheme="minorEastAsia" w:eastAsiaTheme="minorEastAsia"/>
          <w:color w:val="auto"/>
          <w:sz w:val="24"/>
          <w:szCs w:val="24"/>
        </w:rPr>
        <w:t>12. 专业责任与保险</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38</w:t>
      </w:r>
    </w:p>
    <w:p w14:paraId="40DD2BE0">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"_Toc351203580" </w:instrText>
      </w:r>
      <w:r>
        <w:fldChar w:fldCharType="separate"/>
      </w:r>
      <w:r>
        <w:rPr>
          <w:rStyle w:val="63"/>
          <w:rFonts w:hint="eastAsia" w:asciiTheme="minorEastAsia" w:hAnsiTheme="minorEastAsia" w:eastAsiaTheme="minorEastAsia"/>
          <w:color w:val="auto"/>
          <w:sz w:val="24"/>
          <w:szCs w:val="24"/>
        </w:rPr>
        <w:t>13. 知识产权</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39</w:t>
      </w:r>
    </w:p>
    <w:p w14:paraId="743E480F">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"_Toc351203603" </w:instrText>
      </w:r>
      <w:r>
        <w:fldChar w:fldCharType="separate"/>
      </w:r>
      <w:r>
        <w:rPr>
          <w:rStyle w:val="63"/>
          <w:rFonts w:hint="eastAsia" w:asciiTheme="minorEastAsia" w:hAnsiTheme="minorEastAsia" w:eastAsiaTheme="minorEastAsia"/>
          <w:color w:val="auto"/>
          <w:sz w:val="24"/>
          <w:szCs w:val="24"/>
        </w:rPr>
        <w:t>14. 违约责任</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40</w:t>
      </w:r>
    </w:p>
    <w:p w14:paraId="4FAD213F">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"_Toc351203604" </w:instrText>
      </w:r>
      <w:r>
        <w:fldChar w:fldCharType="separate"/>
      </w:r>
      <w:r>
        <w:rPr>
          <w:rStyle w:val="63"/>
          <w:rFonts w:hint="eastAsia" w:asciiTheme="minorEastAsia" w:hAnsiTheme="minorEastAsia" w:eastAsiaTheme="minorEastAsia"/>
          <w:color w:val="auto"/>
          <w:sz w:val="24"/>
          <w:szCs w:val="24"/>
        </w:rPr>
        <w:t>14.1 发包人违约责任</w:t>
      </w:r>
      <w:r>
        <w:rPr>
          <w:rStyle w:val="63"/>
          <w:rFonts w:hint="eastAsia" w:asciiTheme="minorEastAsia" w:hAnsiTheme="minorEastAsia" w:eastAsiaTheme="minorEastAsia"/>
          <w:color w:val="auto"/>
          <w:sz w:val="24"/>
          <w:szCs w:val="24"/>
        </w:rPr>
        <w:fldChar w:fldCharType="end"/>
      </w:r>
    </w:p>
    <w:p w14:paraId="2FF5F0F2">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"_Toc351203605" </w:instrText>
      </w:r>
      <w:r>
        <w:fldChar w:fldCharType="separate"/>
      </w:r>
      <w:r>
        <w:rPr>
          <w:rStyle w:val="63"/>
          <w:rFonts w:hint="eastAsia" w:asciiTheme="minorEastAsia" w:hAnsiTheme="minorEastAsia" w:eastAsiaTheme="minorEastAsia"/>
          <w:color w:val="auto"/>
          <w:sz w:val="24"/>
          <w:szCs w:val="24"/>
        </w:rPr>
        <w:t>14.2 设计人违约责任</w:t>
      </w:r>
      <w:r>
        <w:rPr>
          <w:rStyle w:val="63"/>
          <w:rFonts w:hint="eastAsia" w:asciiTheme="minorEastAsia" w:hAnsiTheme="minorEastAsia" w:eastAsiaTheme="minorEastAsia"/>
          <w:color w:val="auto"/>
          <w:sz w:val="24"/>
          <w:szCs w:val="24"/>
        </w:rPr>
        <w:fldChar w:fldCharType="end"/>
      </w:r>
    </w:p>
    <w:p w14:paraId="25C7E859">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"_Toc351203607" </w:instrText>
      </w:r>
      <w:r>
        <w:fldChar w:fldCharType="separate"/>
      </w:r>
      <w:r>
        <w:rPr>
          <w:rStyle w:val="63"/>
          <w:rFonts w:hint="eastAsia" w:asciiTheme="minorEastAsia" w:hAnsiTheme="minorEastAsia" w:eastAsiaTheme="minorEastAsia"/>
          <w:color w:val="auto"/>
          <w:sz w:val="24"/>
          <w:szCs w:val="24"/>
        </w:rPr>
        <w:t>15. 不可抗力</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41</w:t>
      </w:r>
    </w:p>
    <w:p w14:paraId="7925B709">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"_Toc351203608" </w:instrText>
      </w:r>
      <w:r>
        <w:fldChar w:fldCharType="separate"/>
      </w:r>
      <w:r>
        <w:rPr>
          <w:rStyle w:val="63"/>
          <w:rFonts w:hint="eastAsia" w:asciiTheme="minorEastAsia" w:hAnsiTheme="minorEastAsia" w:eastAsiaTheme="minorEastAsia"/>
          <w:color w:val="auto"/>
          <w:sz w:val="24"/>
          <w:szCs w:val="24"/>
        </w:rPr>
        <w:t>15.1 不可抗力的确认</w:t>
      </w:r>
      <w:r>
        <w:rPr>
          <w:rStyle w:val="63"/>
          <w:rFonts w:hint="eastAsia" w:asciiTheme="minorEastAsia" w:hAnsiTheme="minorEastAsia" w:eastAsiaTheme="minorEastAsia"/>
          <w:color w:val="auto"/>
          <w:sz w:val="24"/>
          <w:szCs w:val="24"/>
        </w:rPr>
        <w:fldChar w:fldCharType="end"/>
      </w:r>
    </w:p>
    <w:p w14:paraId="1F49F908">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"_Toc351203609" </w:instrText>
      </w:r>
      <w:r>
        <w:fldChar w:fldCharType="separate"/>
      </w:r>
      <w:r>
        <w:rPr>
          <w:rStyle w:val="63"/>
          <w:rFonts w:hint="eastAsia" w:asciiTheme="minorEastAsia" w:hAnsiTheme="minorEastAsia" w:eastAsiaTheme="minorEastAsia"/>
          <w:color w:val="auto"/>
          <w:sz w:val="24"/>
          <w:szCs w:val="24"/>
        </w:rPr>
        <w:t>15.2 不可抗力的通知</w:t>
      </w:r>
      <w:r>
        <w:rPr>
          <w:rStyle w:val="63"/>
          <w:rFonts w:hint="eastAsia" w:asciiTheme="minorEastAsia" w:hAnsiTheme="minorEastAsia" w:eastAsiaTheme="minorEastAsia"/>
          <w:color w:val="auto"/>
          <w:sz w:val="24"/>
          <w:szCs w:val="24"/>
        </w:rPr>
        <w:fldChar w:fldCharType="end"/>
      </w:r>
    </w:p>
    <w:p w14:paraId="127587BD">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"_Toc351203610" </w:instrText>
      </w:r>
      <w:r>
        <w:fldChar w:fldCharType="separate"/>
      </w:r>
      <w:r>
        <w:rPr>
          <w:rStyle w:val="63"/>
          <w:rFonts w:hint="eastAsia" w:asciiTheme="minorEastAsia" w:hAnsiTheme="minorEastAsia" w:eastAsiaTheme="minorEastAsia"/>
          <w:color w:val="auto"/>
          <w:sz w:val="24"/>
          <w:szCs w:val="24"/>
        </w:rPr>
        <w:t>15.3 不可抗力后果的承担</w:t>
      </w:r>
      <w:r>
        <w:rPr>
          <w:rStyle w:val="63"/>
          <w:rFonts w:hint="eastAsia" w:asciiTheme="minorEastAsia" w:hAnsiTheme="minorEastAsia" w:eastAsiaTheme="minorEastAsia"/>
          <w:color w:val="auto"/>
          <w:sz w:val="24"/>
          <w:szCs w:val="24"/>
        </w:rPr>
        <w:fldChar w:fldCharType="end"/>
      </w:r>
    </w:p>
    <w:p w14:paraId="53281324">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"_Toc351203607" </w:instrText>
      </w:r>
      <w:r>
        <w:fldChar w:fldCharType="separate"/>
      </w:r>
      <w:r>
        <w:rPr>
          <w:rStyle w:val="63"/>
          <w:rFonts w:hint="eastAsia" w:asciiTheme="minorEastAsia" w:hAnsiTheme="minorEastAsia" w:eastAsiaTheme="minorEastAsia"/>
          <w:color w:val="auto"/>
          <w:sz w:val="24"/>
          <w:szCs w:val="24"/>
        </w:rPr>
        <w:t>16. 合同解除</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43</w:t>
      </w:r>
    </w:p>
    <w:p w14:paraId="3A18A477">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"_Toc351203626" </w:instrText>
      </w:r>
      <w:r>
        <w:fldChar w:fldCharType="separate"/>
      </w:r>
      <w:r>
        <w:rPr>
          <w:rStyle w:val="63"/>
          <w:rFonts w:hint="eastAsia" w:asciiTheme="minorEastAsia" w:hAnsiTheme="minorEastAsia" w:eastAsiaTheme="minorEastAsia"/>
          <w:color w:val="auto"/>
          <w:sz w:val="24"/>
          <w:szCs w:val="24"/>
        </w:rPr>
        <w:t>17. 争议解决</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43</w:t>
      </w:r>
    </w:p>
    <w:p w14:paraId="21413AA6">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"_Toc351203627" </w:instrText>
      </w:r>
      <w:r>
        <w:fldChar w:fldCharType="separate"/>
      </w:r>
      <w:r>
        <w:rPr>
          <w:rStyle w:val="63"/>
          <w:rFonts w:hint="eastAsia" w:asciiTheme="minorEastAsia" w:hAnsiTheme="minorEastAsia" w:eastAsiaTheme="minorEastAsia"/>
          <w:color w:val="auto"/>
          <w:sz w:val="24"/>
          <w:szCs w:val="24"/>
        </w:rPr>
        <w:t>17.1 和解</w:t>
      </w:r>
      <w:r>
        <w:rPr>
          <w:rStyle w:val="63"/>
          <w:rFonts w:hint="eastAsia" w:asciiTheme="minorEastAsia" w:hAnsiTheme="minorEastAsia" w:eastAsiaTheme="minorEastAsia"/>
          <w:color w:val="auto"/>
          <w:sz w:val="24"/>
          <w:szCs w:val="24"/>
        </w:rPr>
        <w:fldChar w:fldCharType="end"/>
      </w:r>
    </w:p>
    <w:p w14:paraId="0E408576">
      <w:pPr>
        <w:pStyle w:val="29"/>
        <w:tabs>
          <w:tab w:val="right" w:leader="middleDot" w:pos="8400"/>
        </w:tabs>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w:t>
      </w:r>
      <w:r>
        <w:fldChar w:fldCharType="begin"/>
      </w:r>
      <w:r>
        <w:instrText xml:space="preserve"> HYPERLINK \l "_Toc351203628" </w:instrText>
      </w:r>
      <w:r>
        <w:fldChar w:fldCharType="separate"/>
      </w:r>
      <w:r>
        <w:rPr>
          <w:rStyle w:val="63"/>
          <w:rFonts w:hint="eastAsia" w:asciiTheme="minorEastAsia" w:hAnsiTheme="minorEastAsia" w:eastAsiaTheme="minorEastAsia"/>
          <w:color w:val="auto"/>
          <w:sz w:val="24"/>
          <w:szCs w:val="24"/>
        </w:rPr>
        <w:t>7.2 调解</w:t>
      </w:r>
      <w:r>
        <w:rPr>
          <w:rStyle w:val="63"/>
          <w:rFonts w:hint="eastAsia" w:asciiTheme="minorEastAsia" w:hAnsiTheme="minorEastAsia" w:eastAsiaTheme="minorEastAsia"/>
          <w:color w:val="auto"/>
          <w:sz w:val="24"/>
          <w:szCs w:val="24"/>
        </w:rPr>
        <w:fldChar w:fldCharType="end"/>
      </w:r>
    </w:p>
    <w:p w14:paraId="6DDE4B74">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"_Toc351203629" </w:instrText>
      </w:r>
      <w:r>
        <w:fldChar w:fldCharType="separate"/>
      </w:r>
      <w:r>
        <w:rPr>
          <w:rStyle w:val="63"/>
          <w:rFonts w:hint="eastAsia" w:asciiTheme="minorEastAsia" w:hAnsiTheme="minorEastAsia" w:eastAsiaTheme="minorEastAsia"/>
          <w:color w:val="auto"/>
          <w:sz w:val="24"/>
          <w:szCs w:val="24"/>
        </w:rPr>
        <w:t>17.3 争议评审</w:t>
      </w:r>
      <w:r>
        <w:rPr>
          <w:rStyle w:val="63"/>
          <w:rFonts w:hint="eastAsia" w:asciiTheme="minorEastAsia" w:hAnsiTheme="minorEastAsia" w:eastAsiaTheme="minorEastAsia"/>
          <w:color w:val="auto"/>
          <w:sz w:val="24"/>
          <w:szCs w:val="24"/>
        </w:rPr>
        <w:fldChar w:fldCharType="end"/>
      </w:r>
    </w:p>
    <w:p w14:paraId="59DE6863">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"_Toc351203630" </w:instrText>
      </w:r>
      <w:r>
        <w:fldChar w:fldCharType="separate"/>
      </w:r>
      <w:r>
        <w:rPr>
          <w:rStyle w:val="63"/>
          <w:rFonts w:hint="eastAsia" w:asciiTheme="minorEastAsia" w:hAnsiTheme="minorEastAsia" w:eastAsiaTheme="minorEastAsia"/>
          <w:color w:val="auto"/>
          <w:sz w:val="24"/>
          <w:szCs w:val="24"/>
        </w:rPr>
        <w:t>17.4 仲裁或诉讼</w:t>
      </w:r>
      <w:r>
        <w:rPr>
          <w:rStyle w:val="63"/>
          <w:rFonts w:hint="eastAsia" w:asciiTheme="minorEastAsia" w:hAnsiTheme="minorEastAsia" w:eastAsiaTheme="minorEastAsia"/>
          <w:color w:val="auto"/>
          <w:sz w:val="24"/>
          <w:szCs w:val="24"/>
        </w:rPr>
        <w:fldChar w:fldCharType="end"/>
      </w:r>
    </w:p>
    <w:p w14:paraId="0E6E39ED">
      <w:pPr>
        <w:pStyle w:val="2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"_Toc351203631" </w:instrText>
      </w:r>
      <w:r>
        <w:fldChar w:fldCharType="separate"/>
      </w:r>
      <w:r>
        <w:rPr>
          <w:rStyle w:val="63"/>
          <w:rFonts w:hint="eastAsia" w:asciiTheme="minorEastAsia" w:hAnsiTheme="minorEastAsia" w:eastAsiaTheme="minorEastAsia"/>
          <w:color w:val="auto"/>
          <w:sz w:val="24"/>
          <w:szCs w:val="24"/>
        </w:rPr>
        <w:t>17.5 争议解决条款效力</w:t>
      </w:r>
      <w:r>
        <w:rPr>
          <w:rStyle w:val="63"/>
          <w:rFonts w:hint="eastAsia" w:asciiTheme="minorEastAsia" w:hAnsiTheme="minorEastAsia" w:eastAsiaTheme="minorEastAsia"/>
          <w:color w:val="auto"/>
          <w:sz w:val="24"/>
          <w:szCs w:val="24"/>
        </w:rPr>
        <w:fldChar w:fldCharType="end"/>
      </w:r>
    </w:p>
    <w:p w14:paraId="5BDAF90B">
      <w:pPr>
        <w:pStyle w:val="30"/>
        <w:tabs>
          <w:tab w:val="right" w:leader="middleDot" w:pos="8400"/>
        </w:tabs>
        <w:spacing w:line="360" w:lineRule="auto"/>
        <w:ind w:left="0" w:leftChars="0" w:firstLine="200" w:firstLineChars="100"/>
        <w:rPr>
          <w:rFonts w:asciiTheme="minorEastAsia" w:hAnsiTheme="minorEastAsia" w:eastAsiaTheme="minorEastAsia"/>
          <w:sz w:val="24"/>
          <w:szCs w:val="24"/>
        </w:rPr>
      </w:pPr>
      <w:r>
        <w:fldChar w:fldCharType="begin"/>
      </w:r>
      <w:r>
        <w:instrText xml:space="preserve"> HYPERLINK \l "_Toc351203632" </w:instrText>
      </w:r>
      <w:r>
        <w:fldChar w:fldCharType="separate"/>
      </w:r>
      <w:r>
        <w:rPr>
          <w:rStyle w:val="63"/>
          <w:rFonts w:hint="eastAsia" w:asciiTheme="minorEastAsia" w:hAnsiTheme="minorEastAsia" w:eastAsiaTheme="minorEastAsia"/>
          <w:b/>
          <w:color w:val="auto"/>
          <w:sz w:val="24"/>
          <w:szCs w:val="24"/>
        </w:rPr>
        <w:t>第三部分 专用合同条款</w:t>
      </w:r>
      <w:r>
        <w:rPr>
          <w:rStyle w:val="63"/>
          <w:rFonts w:hint="eastAsia" w:asciiTheme="minorEastAsia" w:hAnsiTheme="minorEastAsia" w:eastAsiaTheme="minorEastAsia"/>
          <w:b/>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46</w:t>
      </w:r>
    </w:p>
    <w:p w14:paraId="440703B1">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"_Toc351203633" </w:instrText>
      </w:r>
      <w:r>
        <w:fldChar w:fldCharType="separate"/>
      </w:r>
      <w:r>
        <w:rPr>
          <w:rStyle w:val="63"/>
          <w:rFonts w:hint="eastAsia" w:asciiTheme="minorEastAsia" w:hAnsiTheme="minorEastAsia" w:eastAsiaTheme="minorEastAsia"/>
          <w:color w:val="auto"/>
          <w:sz w:val="24"/>
          <w:szCs w:val="24"/>
        </w:rPr>
        <w:t>1. 一般约定</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46</w:t>
      </w:r>
    </w:p>
    <w:p w14:paraId="472192C0">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"_Toc351203634" </w:instrText>
      </w:r>
      <w:r>
        <w:fldChar w:fldCharType="separate"/>
      </w:r>
      <w:r>
        <w:rPr>
          <w:rStyle w:val="63"/>
          <w:rFonts w:hint="eastAsia" w:asciiTheme="minorEastAsia" w:hAnsiTheme="minorEastAsia" w:eastAsiaTheme="minorEastAsia"/>
          <w:color w:val="auto"/>
          <w:sz w:val="24"/>
          <w:szCs w:val="24"/>
        </w:rPr>
        <w:t>2. 发包人</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48</w:t>
      </w:r>
    </w:p>
    <w:p w14:paraId="6449D3D5">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"_Toc351203635" </w:instrText>
      </w:r>
      <w:r>
        <w:fldChar w:fldCharType="separate"/>
      </w:r>
      <w:r>
        <w:rPr>
          <w:rStyle w:val="63"/>
          <w:rFonts w:hint="eastAsia" w:asciiTheme="minorEastAsia" w:hAnsiTheme="minorEastAsia" w:eastAsiaTheme="minorEastAsia"/>
          <w:color w:val="auto"/>
          <w:sz w:val="24"/>
          <w:szCs w:val="24"/>
        </w:rPr>
        <w:t>3. 设计人</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49</w:t>
      </w:r>
    </w:p>
    <w:p w14:paraId="3546D298">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"_Toc351203637" </w:instrText>
      </w:r>
      <w:r>
        <w:fldChar w:fldCharType="separate"/>
      </w:r>
      <w:r>
        <w:rPr>
          <w:rStyle w:val="63"/>
          <w:rFonts w:hint="eastAsia" w:asciiTheme="minorEastAsia" w:hAnsiTheme="minorEastAsia" w:eastAsiaTheme="minorEastAsia"/>
          <w:color w:val="auto"/>
          <w:sz w:val="24"/>
          <w:szCs w:val="24"/>
        </w:rPr>
        <w:t>5. 工程设计要求</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51</w:t>
      </w:r>
    </w:p>
    <w:p w14:paraId="306D8B89">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"_Toc351203639" </w:instrText>
      </w:r>
      <w:r>
        <w:fldChar w:fldCharType="separate"/>
      </w:r>
      <w:r>
        <w:rPr>
          <w:rStyle w:val="63"/>
          <w:rFonts w:hint="eastAsia" w:asciiTheme="minorEastAsia" w:hAnsiTheme="minorEastAsia" w:eastAsiaTheme="minorEastAsia"/>
          <w:color w:val="auto"/>
          <w:sz w:val="24"/>
          <w:szCs w:val="24"/>
        </w:rPr>
        <w:t>6. 工程设计进度与周期</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51</w:t>
      </w:r>
    </w:p>
    <w:p w14:paraId="154A65A5">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"_Toc351203639" </w:instrText>
      </w:r>
      <w:r>
        <w:fldChar w:fldCharType="separate"/>
      </w:r>
      <w:r>
        <w:rPr>
          <w:rStyle w:val="63"/>
          <w:rFonts w:hint="eastAsia" w:asciiTheme="minorEastAsia" w:hAnsiTheme="minorEastAsia" w:eastAsiaTheme="minorEastAsia"/>
          <w:color w:val="auto"/>
          <w:sz w:val="24"/>
          <w:szCs w:val="24"/>
        </w:rPr>
        <w:t>7. 工程设计文件交付</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52</w:t>
      </w:r>
    </w:p>
    <w:p w14:paraId="14526BDF">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"_Toc351203642" </w:instrText>
      </w:r>
      <w:r>
        <w:fldChar w:fldCharType="separate"/>
      </w:r>
      <w:r>
        <w:rPr>
          <w:rStyle w:val="63"/>
          <w:rFonts w:hint="eastAsia" w:asciiTheme="minorEastAsia" w:hAnsiTheme="minorEastAsia" w:eastAsiaTheme="minorEastAsia"/>
          <w:color w:val="auto"/>
          <w:sz w:val="24"/>
          <w:szCs w:val="24"/>
        </w:rPr>
        <w:t>8. 工程设计文件审查</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53</w:t>
      </w:r>
    </w:p>
    <w:p w14:paraId="641EEA4A">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"_Toc351203642" </w:instrText>
      </w:r>
      <w:r>
        <w:fldChar w:fldCharType="separate"/>
      </w:r>
      <w:r>
        <w:rPr>
          <w:rStyle w:val="63"/>
          <w:rFonts w:hint="eastAsia" w:asciiTheme="minorEastAsia" w:hAnsiTheme="minorEastAsia" w:eastAsiaTheme="minorEastAsia"/>
          <w:color w:val="auto"/>
          <w:sz w:val="24"/>
          <w:szCs w:val="24"/>
        </w:rPr>
        <w:t>9. 施工现场配合服务</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53</w:t>
      </w:r>
    </w:p>
    <w:p w14:paraId="26551B2B">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"_Toc351203643" </w:instrText>
      </w:r>
      <w:r>
        <w:fldChar w:fldCharType="separate"/>
      </w:r>
      <w:r>
        <w:rPr>
          <w:rStyle w:val="63"/>
          <w:rFonts w:hint="eastAsia" w:asciiTheme="minorEastAsia" w:hAnsiTheme="minorEastAsia" w:eastAsiaTheme="minorEastAsia"/>
          <w:color w:val="auto"/>
          <w:sz w:val="24"/>
          <w:szCs w:val="24"/>
        </w:rPr>
        <w:t>10. 合同价款与支付</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53</w:t>
      </w:r>
    </w:p>
    <w:p w14:paraId="2D9916A3">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"_Toc351203567" </w:instrText>
      </w:r>
      <w:r>
        <w:fldChar w:fldCharType="separate"/>
      </w:r>
      <w:r>
        <w:rPr>
          <w:rStyle w:val="63"/>
          <w:rFonts w:hint="eastAsia" w:asciiTheme="minorEastAsia" w:hAnsiTheme="minorEastAsia" w:eastAsiaTheme="minorEastAsia"/>
          <w:color w:val="auto"/>
          <w:sz w:val="24"/>
          <w:szCs w:val="24"/>
        </w:rPr>
        <w:t>11. 工程设计变更与索赔</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54</w:t>
      </w:r>
    </w:p>
    <w:p w14:paraId="517138FE">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"_Toc351203643" </w:instrText>
      </w:r>
      <w:r>
        <w:fldChar w:fldCharType="separate"/>
      </w:r>
      <w:r>
        <w:rPr>
          <w:rStyle w:val="63"/>
          <w:rFonts w:hint="eastAsia" w:asciiTheme="minorEastAsia" w:hAnsiTheme="minorEastAsia" w:eastAsiaTheme="minorEastAsia"/>
          <w:color w:val="auto"/>
          <w:sz w:val="24"/>
          <w:szCs w:val="24"/>
        </w:rPr>
        <w:t>12. 专业责任与保险</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55</w:t>
      </w:r>
    </w:p>
    <w:p w14:paraId="34FEE16D">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"_Toc351203645" </w:instrText>
      </w:r>
      <w:r>
        <w:fldChar w:fldCharType="separate"/>
      </w:r>
      <w:r>
        <w:rPr>
          <w:rStyle w:val="63"/>
          <w:rFonts w:hint="eastAsia" w:asciiTheme="minorEastAsia" w:hAnsiTheme="minorEastAsia" w:eastAsiaTheme="minorEastAsia"/>
          <w:color w:val="auto"/>
          <w:sz w:val="24"/>
          <w:szCs w:val="24"/>
        </w:rPr>
        <w:t>13. 知识产权</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55</w:t>
      </w:r>
    </w:p>
    <w:p w14:paraId="487068BE">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"_Toc351203648" </w:instrText>
      </w:r>
      <w:r>
        <w:fldChar w:fldCharType="separate"/>
      </w:r>
      <w:r>
        <w:rPr>
          <w:rStyle w:val="63"/>
          <w:rFonts w:hint="eastAsia" w:asciiTheme="minorEastAsia" w:hAnsiTheme="minorEastAsia" w:eastAsiaTheme="minorEastAsia"/>
          <w:color w:val="auto"/>
          <w:sz w:val="24"/>
          <w:szCs w:val="24"/>
        </w:rPr>
        <w:t>14. 违约责任</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55</w:t>
      </w:r>
    </w:p>
    <w:p w14:paraId="16510C18">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"_Toc351203649" </w:instrText>
      </w:r>
      <w:r>
        <w:fldChar w:fldCharType="separate"/>
      </w:r>
      <w:r>
        <w:rPr>
          <w:rStyle w:val="63"/>
          <w:rFonts w:hint="eastAsia" w:asciiTheme="minorEastAsia" w:hAnsiTheme="minorEastAsia" w:eastAsiaTheme="minorEastAsia"/>
          <w:color w:val="auto"/>
          <w:sz w:val="24"/>
          <w:szCs w:val="24"/>
        </w:rPr>
        <w:t>15. 不可抗力</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56</w:t>
      </w:r>
    </w:p>
    <w:p w14:paraId="406E4F26">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"_Toc351203649" </w:instrText>
      </w:r>
      <w:r>
        <w:fldChar w:fldCharType="separate"/>
      </w:r>
      <w:r>
        <w:rPr>
          <w:rStyle w:val="63"/>
          <w:rFonts w:hint="eastAsia" w:asciiTheme="minorEastAsia" w:hAnsiTheme="minorEastAsia" w:eastAsiaTheme="minorEastAsia"/>
          <w:color w:val="auto"/>
          <w:sz w:val="24"/>
          <w:szCs w:val="24"/>
        </w:rPr>
        <w:t>16. 合同解除</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56</w:t>
      </w:r>
    </w:p>
    <w:p w14:paraId="4572BB30">
      <w:pPr>
        <w:tabs>
          <w:tab w:val="right" w:leader="middleDot" w:pos="8400"/>
        </w:tabs>
        <w:spacing w:line="360" w:lineRule="auto"/>
        <w:ind w:left="630" w:leftChars="300" w:firstLine="210" w:firstLineChars="100"/>
        <w:rPr>
          <w:rFonts w:asciiTheme="minorEastAsia" w:hAnsiTheme="minorEastAsia" w:eastAsiaTheme="minorEastAsia"/>
          <w:sz w:val="24"/>
          <w:szCs w:val="24"/>
        </w:rPr>
      </w:pPr>
      <w:r>
        <w:fldChar w:fldCharType="begin"/>
      </w:r>
      <w:r>
        <w:instrText xml:space="preserve"> HYPERLINK \l "_Toc351203651" </w:instrText>
      </w:r>
      <w:r>
        <w:fldChar w:fldCharType="separate"/>
      </w:r>
      <w:r>
        <w:rPr>
          <w:rStyle w:val="63"/>
          <w:rFonts w:hint="eastAsia" w:asciiTheme="minorEastAsia" w:hAnsiTheme="minorEastAsia" w:eastAsiaTheme="minorEastAsia"/>
          <w:color w:val="auto"/>
          <w:sz w:val="24"/>
          <w:szCs w:val="24"/>
        </w:rPr>
        <w:t>17. 争议解决</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57</w:t>
      </w:r>
    </w:p>
    <w:p w14:paraId="5B5E5251">
      <w:pPr>
        <w:tabs>
          <w:tab w:val="right" w:leader="middleDot" w:pos="8400"/>
        </w:tabs>
        <w:spacing w:line="360" w:lineRule="auto"/>
        <w:ind w:left="630" w:leftChars="300"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18. 其他</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57</w:t>
      </w:r>
    </w:p>
    <w:p w14:paraId="69A0BCDE">
      <w:pPr>
        <w:pStyle w:val="39"/>
        <w:tabs>
          <w:tab w:val="right" w:leader="middleDot" w:pos="8400"/>
        </w:tabs>
        <w:spacing w:line="360" w:lineRule="auto"/>
        <w:ind w:firstLine="210" w:firstLineChars="100"/>
        <w:rPr>
          <w:rFonts w:asciiTheme="minorEastAsia" w:hAnsiTheme="minorEastAsia" w:eastAsiaTheme="minorEastAsia"/>
          <w:sz w:val="24"/>
          <w:szCs w:val="24"/>
        </w:rPr>
      </w:pPr>
      <w:r>
        <w:fldChar w:fldCharType="begin"/>
      </w:r>
      <w:r>
        <w:instrText xml:space="preserve"> HYPERLINK \l "_Toc351203652" </w:instrText>
      </w:r>
      <w:r>
        <w:fldChar w:fldCharType="separate"/>
      </w:r>
      <w:r>
        <w:rPr>
          <w:rStyle w:val="63"/>
          <w:rFonts w:hint="eastAsia" w:asciiTheme="minorEastAsia" w:hAnsiTheme="minorEastAsia" w:eastAsiaTheme="minorEastAsia"/>
          <w:color w:val="auto"/>
          <w:sz w:val="24"/>
          <w:szCs w:val="24"/>
        </w:rPr>
        <w:t>附件</w:t>
      </w:r>
      <w:r>
        <w:rPr>
          <w:rStyle w:val="63"/>
          <w:rFonts w:hint="eastAsia" w:asciiTheme="minorEastAsia" w:hAnsiTheme="minorEastAsia" w:eastAsiaTheme="minorEastAsia"/>
          <w:color w:val="auto"/>
          <w:sz w:val="24"/>
          <w:szCs w:val="24"/>
        </w:rPr>
        <w:fldChar w:fldCharType="end"/>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58</w:t>
      </w:r>
    </w:p>
    <w:p w14:paraId="4B710499">
      <w:pPr>
        <w:tabs>
          <w:tab w:val="right" w:leader="middleDot" w:pos="840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4"/>
          <w:szCs w:val="24"/>
        </w:rPr>
        <w:fldChar w:fldCharType="end"/>
      </w:r>
    </w:p>
    <w:p w14:paraId="38D24E57">
      <w:pPr>
        <w:spacing w:line="360" w:lineRule="auto"/>
        <w:rPr>
          <w:rFonts w:asciiTheme="minorEastAsia" w:hAnsiTheme="minorEastAsia" w:eastAsiaTheme="minorEastAsia"/>
          <w:sz w:val="28"/>
          <w:szCs w:val="28"/>
        </w:rPr>
      </w:pPr>
    </w:p>
    <w:p w14:paraId="45036E02">
      <w:pPr>
        <w:widowControl/>
        <w:jc w:val="left"/>
        <w:rPr>
          <w:rFonts w:asciiTheme="minorEastAsia" w:hAnsiTheme="minorEastAsia" w:eastAsiaTheme="minorEastAsia"/>
        </w:rPr>
      </w:pPr>
      <w:r>
        <w:rPr>
          <w:rFonts w:hint="eastAsia" w:asciiTheme="minorEastAsia" w:hAnsiTheme="minorEastAsia" w:eastAsiaTheme="minorEastAsia"/>
        </w:rPr>
        <w:br w:type="page"/>
      </w:r>
    </w:p>
    <w:p w14:paraId="7841FF30">
      <w:pPr>
        <w:pStyle w:val="5"/>
        <w:spacing w:line="360" w:lineRule="auto"/>
        <w:jc w:val="center"/>
        <w:rPr>
          <w:rFonts w:asciiTheme="minorEastAsia" w:hAnsiTheme="minorEastAsia" w:eastAsiaTheme="minorEastAsia"/>
          <w:b w:val="0"/>
          <w:sz w:val="44"/>
          <w:szCs w:val="44"/>
        </w:rPr>
      </w:pPr>
      <w:bookmarkStart w:id="5" w:name="_Toc351203480"/>
      <w:r>
        <w:rPr>
          <w:rFonts w:hint="eastAsia" w:asciiTheme="minorEastAsia" w:hAnsiTheme="minorEastAsia" w:eastAsiaTheme="minorEastAsia"/>
          <w:sz w:val="44"/>
          <w:szCs w:val="44"/>
        </w:rPr>
        <w:t>第一部分 合同协议书</w:t>
      </w:r>
      <w:bookmarkEnd w:id="0"/>
      <w:bookmarkEnd w:id="1"/>
      <w:bookmarkEnd w:id="5"/>
    </w:p>
    <w:p w14:paraId="725271B6">
      <w:pPr>
        <w:spacing w:line="360" w:lineRule="auto"/>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发包人（全称）：</w:t>
      </w:r>
      <w:r>
        <w:rPr>
          <w:rFonts w:hint="eastAsia" w:asciiTheme="minorEastAsia" w:hAnsiTheme="minorEastAsia" w:eastAsiaTheme="minorEastAsia"/>
          <w:b/>
          <w:sz w:val="24"/>
          <w:szCs w:val="24"/>
          <w:u w:val="single"/>
        </w:rPr>
        <w:t>广东省代建项目管理局       </w:t>
      </w:r>
    </w:p>
    <w:p w14:paraId="5C630608">
      <w:pPr>
        <w:spacing w:line="360" w:lineRule="auto"/>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设计人（全称）：</w:t>
      </w:r>
      <w:r>
        <w:rPr>
          <w:rFonts w:hint="eastAsia" w:asciiTheme="minorEastAsia" w:hAnsiTheme="minorEastAsia" w:eastAsiaTheme="minorEastAsia"/>
          <w:b/>
          <w:sz w:val="24"/>
          <w:szCs w:val="24"/>
          <w:u w:val="single"/>
        </w:rPr>
        <w:t xml:space="preserve">                    </w:t>
      </w:r>
    </w:p>
    <w:p w14:paraId="73E47AE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根据《中华人民共和国合同法》、《中华人民共和国建筑法》及有关法律规定，遵循平等、自愿、公平和诚实信用的原则，双方就工程设计及有关事项协商一致，共同达成如下协议：</w:t>
      </w:r>
    </w:p>
    <w:p w14:paraId="50F646A4">
      <w:pPr>
        <w:pStyle w:val="6"/>
        <w:spacing w:before="120" w:after="120" w:line="360" w:lineRule="auto"/>
        <w:rPr>
          <w:rFonts w:asciiTheme="minorEastAsia" w:hAnsiTheme="minorEastAsia" w:eastAsiaTheme="minorEastAsia"/>
          <w:bCs w:val="0"/>
          <w:sz w:val="24"/>
          <w:szCs w:val="24"/>
        </w:rPr>
      </w:pPr>
      <w:bookmarkStart w:id="6" w:name="_Toc351203481"/>
      <w:r>
        <w:rPr>
          <w:rFonts w:hint="eastAsia" w:asciiTheme="minorEastAsia" w:hAnsiTheme="minorEastAsia" w:eastAsiaTheme="minorEastAsia"/>
          <w:b w:val="0"/>
          <w:sz w:val="24"/>
          <w:szCs w:val="24"/>
        </w:rPr>
        <w:t>一、工程概况</w:t>
      </w:r>
      <w:bookmarkEnd w:id="6"/>
    </w:p>
    <w:p w14:paraId="240AA1CE">
      <w:pPr>
        <w:spacing w:line="360" w:lineRule="auto"/>
        <w:ind w:firstLine="470" w:firstLineChars="196"/>
        <w:rPr>
          <w:rFonts w:asciiTheme="minorEastAsia" w:hAnsiTheme="minorEastAsia" w:eastAsiaTheme="minorEastAsia"/>
          <w:sz w:val="24"/>
          <w:szCs w:val="24"/>
          <w:u w:val="single"/>
        </w:rPr>
      </w:pPr>
      <w:r>
        <w:rPr>
          <w:rFonts w:hint="eastAsia" w:asciiTheme="minorEastAsia" w:hAnsiTheme="minorEastAsia" w:eastAsiaTheme="minorEastAsia"/>
          <w:bCs/>
          <w:sz w:val="24"/>
          <w:szCs w:val="24"/>
        </w:rPr>
        <w:t>1.工程名称</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val="single"/>
        </w:rPr>
        <w:t>广东省第三荣军优抚医院新建医技综合大楼项目设计</w:t>
      </w:r>
      <w:r>
        <w:rPr>
          <w:rFonts w:hint="eastAsia" w:asciiTheme="minorEastAsia" w:hAnsiTheme="minorEastAsia" w:eastAsiaTheme="minorEastAsia"/>
          <w:sz w:val="24"/>
          <w:szCs w:val="24"/>
        </w:rPr>
        <w:t>。</w:t>
      </w:r>
    </w:p>
    <w:p w14:paraId="25DDA1ED">
      <w:pPr>
        <w:spacing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bCs/>
          <w:sz w:val="24"/>
          <w:szCs w:val="24"/>
        </w:rPr>
        <w:t>2.工程地点：</w:t>
      </w:r>
      <w:r>
        <w:rPr>
          <w:rFonts w:hint="eastAsia" w:asciiTheme="minorEastAsia" w:hAnsiTheme="minorEastAsia" w:eastAsiaTheme="minorEastAsia"/>
          <w:sz w:val="24"/>
          <w:szCs w:val="24"/>
          <w:u w:val="single"/>
        </w:rPr>
        <w:t>广东省惠州市博罗县杨村镇通站路广东省第三荣军优抚医院院内</w:t>
      </w:r>
      <w:r>
        <w:rPr>
          <w:rFonts w:hint="eastAsia" w:asciiTheme="minorEastAsia" w:hAnsiTheme="minorEastAsia" w:eastAsiaTheme="minorEastAsia"/>
          <w:sz w:val="24"/>
          <w:szCs w:val="24"/>
        </w:rPr>
        <w:t>。</w:t>
      </w:r>
    </w:p>
    <w:p w14:paraId="3B0AA10B">
      <w:pPr>
        <w:spacing w:line="360" w:lineRule="auto"/>
        <w:ind w:firstLine="470" w:firstLineChars="196"/>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3.规划占地面积：</w:t>
      </w:r>
      <w:r>
        <w:rPr>
          <w:rFonts w:hint="eastAsia"/>
          <w:sz w:val="24"/>
          <w:u w:val="single"/>
        </w:rPr>
        <w:t>项目总建筑面积17475㎡，主要建设内容为新建1栋5层医技综合大楼，包括医疗业务用房（含医技、住院等）、地下车库及设备用房土建工程、外立面工程、装修工程、配套公用工程、室外及其他工程，以及配套医疗设备等。</w:t>
      </w:r>
      <w:r>
        <w:rPr>
          <w:rFonts w:hint="eastAsia" w:ascii="宋体" w:hAnsi="宋体"/>
          <w:bCs/>
          <w:sz w:val="24"/>
          <w:u w:val="single"/>
        </w:rPr>
        <w:t>本项目</w:t>
      </w:r>
      <w:bookmarkStart w:id="7" w:name="OLE_LINK5"/>
      <w:r>
        <w:rPr>
          <w:rFonts w:hint="eastAsia" w:ascii="宋体" w:hAnsi="宋体"/>
          <w:bCs/>
          <w:sz w:val="24"/>
          <w:u w:val="single"/>
        </w:rPr>
        <w:t>最大单</w:t>
      </w:r>
      <w:bookmarkEnd w:id="7"/>
      <w:r>
        <w:rPr>
          <w:rFonts w:hint="eastAsia" w:ascii="宋体" w:hAnsi="宋体"/>
          <w:bCs/>
          <w:sz w:val="24"/>
          <w:u w:val="single"/>
        </w:rPr>
        <w:t xml:space="preserve">体建筑面积为17475平方米，本项目为高度不大于 </w:t>
      </w:r>
      <w:r>
        <w:rPr>
          <w:rFonts w:ascii="宋体" w:hAnsi="宋体"/>
          <w:bCs/>
          <w:sz w:val="24"/>
          <w:u w:val="single"/>
        </w:rPr>
        <w:t xml:space="preserve">24 </w:t>
      </w:r>
      <w:r>
        <w:rPr>
          <w:rFonts w:hint="eastAsia" w:ascii="宋体" w:hAnsi="宋体"/>
          <w:bCs/>
          <w:sz w:val="24"/>
          <w:u w:val="single"/>
        </w:rPr>
        <w:t>米的多层医疗建筑。</w:t>
      </w:r>
    </w:p>
    <w:p w14:paraId="5F87F22D">
      <w:pPr>
        <w:spacing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4.建筑功能：</w:t>
      </w:r>
      <w:r>
        <w:rPr>
          <w:rFonts w:hint="eastAsia" w:asciiTheme="minorEastAsia" w:hAnsiTheme="minorEastAsia" w:eastAsiaTheme="minorEastAsia"/>
          <w:sz w:val="24"/>
          <w:szCs w:val="24"/>
          <w:u w:val="single"/>
        </w:rPr>
        <w:t>新建 1 栋 5 层医技综合大楼</w:t>
      </w:r>
      <w:r>
        <w:rPr>
          <w:rFonts w:hint="eastAsia" w:asciiTheme="minorEastAsia" w:hAnsiTheme="minorEastAsia" w:eastAsiaTheme="minorEastAsia"/>
          <w:sz w:val="24"/>
          <w:szCs w:val="24"/>
        </w:rPr>
        <w:t>。</w:t>
      </w:r>
    </w:p>
    <w:p w14:paraId="1A572DA5">
      <w:pPr>
        <w:spacing w:line="360" w:lineRule="auto"/>
        <w:ind w:firstLine="470" w:firstLineChars="196"/>
        <w:rPr>
          <w:rFonts w:asciiTheme="minorEastAsia" w:hAnsiTheme="minorEastAsia" w:eastAsiaTheme="minorEastAsia"/>
          <w:bCs/>
          <w:sz w:val="24"/>
          <w:szCs w:val="24"/>
          <w:u w:val="single"/>
        </w:rPr>
      </w:pPr>
      <w:r>
        <w:rPr>
          <w:rFonts w:hint="eastAsia" w:asciiTheme="minorEastAsia" w:hAnsiTheme="minorEastAsia" w:eastAsiaTheme="minorEastAsia"/>
          <w:sz w:val="24"/>
          <w:szCs w:val="24"/>
        </w:rPr>
        <w:t>5.投资估算：</w:t>
      </w:r>
      <w:r>
        <w:rPr>
          <w:rFonts w:hint="eastAsia" w:ascii="宋体" w:hAnsi="宋体" w:cs="宋体"/>
          <w:sz w:val="24"/>
          <w:u w:val="single"/>
          <w:lang w:bidi="ar"/>
        </w:rPr>
        <w:t>本项目总投资控制在 11344 万元以内，其中建安工程费 8837.94 万元，工程建设其他费 1005.22 万元，预备费 491.64 万元，</w:t>
      </w:r>
      <w:bookmarkStart w:id="8" w:name="OLE_LINK10"/>
      <w:r>
        <w:rPr>
          <w:rFonts w:hint="eastAsia" w:ascii="宋体" w:hAnsi="宋体" w:cs="宋体"/>
          <w:sz w:val="24"/>
          <w:u w:val="single"/>
          <w:lang w:bidi="ar"/>
        </w:rPr>
        <w:t>医疗设备购置</w:t>
      </w:r>
      <w:bookmarkEnd w:id="8"/>
      <w:r>
        <w:rPr>
          <w:rFonts w:hint="eastAsia" w:ascii="宋体" w:hAnsi="宋体" w:cs="宋体"/>
          <w:sz w:val="24"/>
          <w:u w:val="single"/>
          <w:lang w:bidi="ar"/>
        </w:rPr>
        <w:t>费 1009.20 万元</w:t>
      </w:r>
      <w:r>
        <w:rPr>
          <w:rFonts w:hint="eastAsia" w:ascii="宋体" w:hAnsi="宋体" w:cs="宋体"/>
          <w:sz w:val="24"/>
          <w:u w:val="single"/>
        </w:rPr>
        <w:t>（</w:t>
      </w:r>
      <w:r>
        <w:rPr>
          <w:rFonts w:hint="eastAsia" w:ascii="宋体" w:hAnsi="宋体"/>
          <w:bCs/>
          <w:sz w:val="24"/>
          <w:u w:val="single"/>
        </w:rPr>
        <w:t>本次招标不包括医疗设备购置内容）</w:t>
      </w:r>
      <w:r>
        <w:rPr>
          <w:rFonts w:hint="eastAsia" w:ascii="宋体" w:hAnsi="宋体" w:cs="宋体"/>
          <w:sz w:val="24"/>
          <w:u w:val="single"/>
          <w:lang w:bidi="ar"/>
        </w:rPr>
        <w:t>。</w:t>
      </w:r>
    </w:p>
    <w:p w14:paraId="73C2E544">
      <w:pPr>
        <w:spacing w:before="120" w:after="120" w:line="360" w:lineRule="auto"/>
        <w:ind w:firstLine="470" w:firstLineChars="196"/>
        <w:rPr>
          <w:rFonts w:asciiTheme="minorEastAsia" w:hAnsiTheme="minorEastAsia" w:eastAsiaTheme="minorEastAsia"/>
          <w:bCs/>
          <w:sz w:val="24"/>
          <w:szCs w:val="24"/>
        </w:rPr>
      </w:pPr>
      <w:r>
        <w:rPr>
          <w:rFonts w:hint="eastAsia" w:asciiTheme="minorEastAsia" w:hAnsiTheme="minorEastAsia" w:eastAsiaTheme="minorEastAsia"/>
          <w:bCs/>
          <w:sz w:val="24"/>
          <w:szCs w:val="24"/>
        </w:rPr>
        <w:t>二、工程设计范围、阶段与服务内容</w:t>
      </w:r>
    </w:p>
    <w:p w14:paraId="28231C43">
      <w:pPr>
        <w:widowControl/>
        <w:spacing w:line="360" w:lineRule="auto"/>
        <w:ind w:firstLine="480" w:firstLineChars="200"/>
        <w:jc w:val="left"/>
        <w:rPr>
          <w:rFonts w:ascii="宋体" w:hAnsi="宋体"/>
          <w:sz w:val="24"/>
          <w:u w:val="single"/>
        </w:rPr>
      </w:pPr>
      <w:r>
        <w:rPr>
          <w:rFonts w:hint="eastAsia" w:ascii="宋体" w:hAnsi="宋体"/>
          <w:sz w:val="24"/>
          <w:u w:val="single"/>
        </w:rPr>
        <w:t>1、根据招标人基础资料、项目建议书及批复、设计任务书要求，完成本项目范围内各专业报建报批技术文件的编制和报建工作，各相关专业的方案设计及优化、初步设计及概算编制、施工图设计、专业工程深化设计、绿色建筑设计、</w:t>
      </w:r>
      <w:r>
        <w:rPr>
          <w:rFonts w:hint="eastAsia" w:ascii="宋体" w:hAnsi="宋体"/>
          <w:sz w:val="24"/>
          <w:u w:val="single"/>
          <w:lang w:bidi="ar"/>
        </w:rPr>
        <w:t>施工过程中的方案优化及设计变更、</w:t>
      </w:r>
      <w:r>
        <w:rPr>
          <w:rFonts w:hint="eastAsia" w:ascii="宋体" w:hAnsi="宋体"/>
          <w:sz w:val="24"/>
          <w:u w:val="single"/>
        </w:rPr>
        <w:t>竣工图编制、对专项设备设施的设计配合、变更设计、施工阶段配合等，主要包括：</w:t>
      </w:r>
    </w:p>
    <w:p w14:paraId="77B49D28">
      <w:pPr>
        <w:widowControl/>
        <w:spacing w:line="360" w:lineRule="auto"/>
        <w:ind w:firstLine="480" w:firstLineChars="200"/>
        <w:jc w:val="left"/>
        <w:rPr>
          <w:rFonts w:hAnsi="宋体"/>
          <w:sz w:val="24"/>
          <w:u w:val="single"/>
        </w:rPr>
      </w:pPr>
      <w:r>
        <w:rPr>
          <w:rFonts w:hint="eastAsia" w:ascii="宋体" w:hAnsi="宋体"/>
          <w:sz w:val="24"/>
          <w:u w:val="single"/>
        </w:rPr>
        <w:t>（</w:t>
      </w:r>
      <w:r>
        <w:rPr>
          <w:rFonts w:ascii="宋体" w:hAnsi="宋体"/>
          <w:sz w:val="24"/>
          <w:u w:val="single"/>
        </w:rPr>
        <w:t>1）现状摸查及编制摸查报告：报告包含项目概况、项目现状、地下管线、周边市政条件、报批报建工作进展、设计工作进展、建设工作界面、设计工作计划、存在的问题及相关建议等内容，前期摸查报告需经招标人审核通过后视为完成。</w:t>
      </w:r>
    </w:p>
    <w:p w14:paraId="5E63860D">
      <w:pPr>
        <w:spacing w:line="360" w:lineRule="auto"/>
        <w:ind w:firstLine="480" w:firstLineChars="200"/>
        <w:jc w:val="left"/>
        <w:rPr>
          <w:rFonts w:ascii="宋体" w:hAnsi="宋体"/>
          <w:sz w:val="24"/>
          <w:u w:val="single"/>
        </w:rPr>
      </w:pPr>
      <w:r>
        <w:rPr>
          <w:rFonts w:hint="eastAsia" w:ascii="宋体" w:hAnsi="宋体"/>
          <w:sz w:val="24"/>
          <w:u w:val="single"/>
        </w:rPr>
        <w:t>（2）设计方案报审工作(含设计方案审查工作）：在编制设计方案过程中，根据使用单位需求及发包人要求对实际功能布局进行深化优化，在现行政策规定下完成设计方案审查并同步推进控制性详细规划修正。设计方案审查范围包括总平面及竖向规划设计、管线综合设计、建筑布局、交通组织、景观绿化、建筑立面、环境节能保护等（具体以招标人要求为准）。</w:t>
      </w:r>
    </w:p>
    <w:p w14:paraId="0F80660B">
      <w:pPr>
        <w:spacing w:line="360" w:lineRule="auto"/>
        <w:ind w:firstLine="470" w:firstLineChars="196"/>
        <w:rPr>
          <w:rFonts w:ascii="宋体" w:hAnsi="宋体"/>
          <w:sz w:val="24"/>
          <w:u w:val="single"/>
        </w:rPr>
      </w:pPr>
      <w:bookmarkStart w:id="9" w:name="OLE_LINK23"/>
      <w:bookmarkStart w:id="10" w:name="OLE_LINK22"/>
      <w:r>
        <w:rPr>
          <w:rFonts w:hint="eastAsia" w:ascii="宋体" w:hAnsi="宋体"/>
          <w:sz w:val="24"/>
          <w:u w:val="single"/>
        </w:rPr>
        <w:t>（3）</w:t>
      </w:r>
      <w:bookmarkStart w:id="11" w:name="OLE_LINK19"/>
      <w:bookmarkStart w:id="12" w:name="OLE_LINK20"/>
      <w:r>
        <w:rPr>
          <w:rFonts w:hint="eastAsia" w:ascii="宋体" w:hAnsi="宋体"/>
          <w:sz w:val="24"/>
          <w:u w:val="single"/>
        </w:rPr>
        <w:t>设计主要阶段：所有建设内容（含BIM设计）的方案设计、初步设计、施工图设计、竣工图编制。包括:总平面规划、建筑、结构、人防、消防、给排水、电气、暖通、市政管网、高低压外电、园林道路、绿化景观、室内精装修及楼内标示系统、通信、智能化、医疗专项、装配式建筑等，详见项目建议书及设计任务书。</w:t>
      </w:r>
    </w:p>
    <w:bookmarkEnd w:id="9"/>
    <w:bookmarkEnd w:id="10"/>
    <w:bookmarkEnd w:id="11"/>
    <w:bookmarkEnd w:id="12"/>
    <w:p w14:paraId="1D903F81">
      <w:pPr>
        <w:spacing w:line="360" w:lineRule="auto"/>
        <w:ind w:firstLine="470" w:firstLineChars="196"/>
        <w:rPr>
          <w:rFonts w:ascii="宋体" w:hAnsi="宋体"/>
          <w:sz w:val="24"/>
          <w:u w:val="single"/>
        </w:rPr>
      </w:pPr>
      <w:r>
        <w:rPr>
          <w:rFonts w:hint="eastAsia" w:ascii="宋体" w:hAnsi="宋体"/>
          <w:sz w:val="24"/>
          <w:u w:val="single"/>
        </w:rPr>
        <w:t>（4）建筑节能与新技术的应用及设计：包括节能、环保、绿色建筑、海绵城市、BIM等专项工程设计，项目设计全过程须应用BIM技术。</w:t>
      </w:r>
    </w:p>
    <w:p w14:paraId="3577E6C1">
      <w:pPr>
        <w:spacing w:line="360" w:lineRule="auto"/>
        <w:ind w:firstLine="470" w:firstLineChars="196"/>
        <w:rPr>
          <w:rFonts w:ascii="宋体" w:hAnsi="宋体"/>
          <w:sz w:val="24"/>
          <w:u w:val="single"/>
        </w:rPr>
      </w:pPr>
      <w:r>
        <w:rPr>
          <w:rFonts w:hint="eastAsia" w:ascii="宋体" w:hAnsi="宋体"/>
          <w:sz w:val="24"/>
          <w:u w:val="single"/>
        </w:rPr>
        <w:t>（5）BIM技术运用：整个设计过程运用BIM建筑信息模型，运用BIM检查初步设计、施工图设计中的错、漏、碰、缺，利用BIM技术进行管线综合平衡设计，出具基于BIM技术导出的施工图预算，要求实现项目参与各方在同一平台上项目信息数据共享，在BIM中插入、提取、更新和修改信息，确保各方协同作业，建立运营维护模型，指导实际运行、维护管理工作。BIM模型成果文件需上传到广东省代建项目管理局BIM协同管理平台上，且BIM技术要求必须达到《广东省代建项目管理局BIM实施管理标准2023修订版》、《广东省代建项目管理局BIM实施导则2023修订版》的要求，BIM完成情况纳入合同履约诚信考核。（6）其他工作：</w:t>
      </w:r>
    </w:p>
    <w:p w14:paraId="3DBFC0B4">
      <w:pPr>
        <w:spacing w:line="360" w:lineRule="auto"/>
        <w:ind w:firstLine="470" w:firstLineChars="196"/>
        <w:rPr>
          <w:rFonts w:ascii="宋体" w:hAnsi="宋体"/>
          <w:sz w:val="24"/>
          <w:u w:val="single"/>
        </w:rPr>
      </w:pPr>
      <w:r>
        <w:rPr>
          <w:rFonts w:hint="eastAsia" w:ascii="宋体" w:hAnsi="宋体"/>
          <w:sz w:val="24"/>
          <w:u w:val="single"/>
        </w:rPr>
        <w:t>1）造价文件编制工作：按照限额设计要求，完成本项目招标范围内工程投资方案设计估算、初步设计概算、施工图预算等造价文件的编制及相关配合报审工作，概算的编制采用清单模式，协助发包人取得发展改革部门的批复意见。还包括各阶段方案比选、技术选型比选的投资分析、施工阶段的设计变更造价变化分析、竣工图编制等。</w:t>
      </w:r>
    </w:p>
    <w:p w14:paraId="40E4F99E">
      <w:pPr>
        <w:spacing w:line="360" w:lineRule="auto"/>
        <w:ind w:firstLine="470" w:firstLineChars="196"/>
        <w:rPr>
          <w:rFonts w:ascii="宋体" w:hAnsi="宋体"/>
          <w:sz w:val="24"/>
          <w:u w:val="single"/>
        </w:rPr>
      </w:pPr>
      <w:r>
        <w:rPr>
          <w:rFonts w:hint="eastAsia" w:ascii="宋体" w:hAnsi="宋体"/>
          <w:sz w:val="24"/>
          <w:u w:val="single"/>
        </w:rPr>
        <w:t>2）技术配合工作：发包人后续各类招标工作配合、施工配合、现场服务、竣工验收及概算清理、专题研究等；配合设计审查（概念方案审查、设计方案审查、初步设计审查和施工图设计审查）及相关配套设计服务（包括不限于修详通、报建通、竣工通）等项目全过程的设计服务。</w:t>
      </w:r>
    </w:p>
    <w:p w14:paraId="3233ECA0">
      <w:pPr>
        <w:spacing w:line="360" w:lineRule="auto"/>
        <w:ind w:firstLine="470" w:firstLineChars="196"/>
        <w:rPr>
          <w:rFonts w:ascii="宋体" w:hAnsi="宋体"/>
          <w:sz w:val="24"/>
          <w:u w:val="single"/>
        </w:rPr>
      </w:pPr>
      <w:r>
        <w:rPr>
          <w:rFonts w:hint="eastAsia" w:ascii="宋体" w:hAnsi="宋体"/>
          <w:sz w:val="24"/>
          <w:u w:val="single"/>
        </w:rPr>
        <w:t>3）报建配合工作：立项（含可研）范围内综合管线规划设计报批、建筑设计方案审查等的所有用地、规划、建筑、技术、管线、专项等各类报建配合、协调工作等。</w:t>
      </w:r>
      <w:r>
        <w:rPr>
          <w:rFonts w:hint="eastAsia" w:ascii="宋体" w:hAnsi="宋体" w:cs="宋体"/>
          <w:sz w:val="24"/>
          <w:szCs w:val="24"/>
          <w:u w:val="single"/>
        </w:rPr>
        <w:t>上述报建手续所需的书面文件和电子文件、地形图、各类证照（含公示牌等）费用、各阶段测量及放线册等费用由承包单位负责，承包单位应根据规划和自然资源部门的意见对有关申报资料进行修改和补充，发包人配合承包单位完善有关资料。</w:t>
      </w:r>
    </w:p>
    <w:p w14:paraId="20748CCA">
      <w:pPr>
        <w:spacing w:line="360" w:lineRule="auto"/>
        <w:ind w:firstLine="470" w:firstLineChars="196"/>
        <w:rPr>
          <w:rFonts w:ascii="宋体" w:hAnsi="宋体"/>
          <w:sz w:val="24"/>
          <w:u w:val="single"/>
        </w:rPr>
      </w:pPr>
      <w:r>
        <w:rPr>
          <w:rFonts w:hint="eastAsia" w:ascii="宋体" w:hAnsi="宋体"/>
          <w:sz w:val="24"/>
          <w:u w:val="single"/>
        </w:rPr>
        <w:t>4）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14:paraId="37F9D47F">
      <w:pPr>
        <w:spacing w:line="360" w:lineRule="auto"/>
        <w:ind w:firstLine="470" w:firstLineChars="196"/>
        <w:rPr>
          <w:rFonts w:ascii="宋体" w:hAnsi="宋体"/>
          <w:sz w:val="24"/>
          <w:u w:val="single"/>
        </w:rPr>
      </w:pPr>
      <w:r>
        <w:rPr>
          <w:rFonts w:hint="eastAsia" w:ascii="宋体" w:hAnsi="宋体"/>
          <w:sz w:val="24"/>
          <w:u w:val="single"/>
        </w:rPr>
        <w:t>5)设计配合工作包括临水（临时外水）、临电（临时外电）、施工总平面等设计工作；</w:t>
      </w:r>
    </w:p>
    <w:p w14:paraId="48D5B796">
      <w:pPr>
        <w:spacing w:line="360" w:lineRule="auto"/>
        <w:ind w:firstLine="470" w:firstLineChars="196"/>
        <w:rPr>
          <w:rFonts w:ascii="宋体" w:hAnsi="宋体"/>
          <w:sz w:val="24"/>
          <w:u w:val="single"/>
        </w:rPr>
      </w:pPr>
      <w:r>
        <w:rPr>
          <w:rFonts w:hint="eastAsia" w:ascii="宋体" w:hAnsi="宋体"/>
          <w:sz w:val="24"/>
          <w:u w:val="single"/>
        </w:rPr>
        <w:t>6)现场服务：现场指导与监督、施工配合（含派设计代表驻现场），及时处理现场设计问题。</w:t>
      </w:r>
    </w:p>
    <w:p w14:paraId="3AC012EF">
      <w:pPr>
        <w:spacing w:line="360" w:lineRule="auto"/>
        <w:ind w:firstLine="470" w:firstLineChars="196"/>
        <w:rPr>
          <w:rFonts w:ascii="宋体" w:hAnsi="宋体"/>
          <w:sz w:val="24"/>
          <w:u w:val="single"/>
        </w:rPr>
      </w:pPr>
      <w:r>
        <w:rPr>
          <w:rFonts w:hint="eastAsia" w:ascii="宋体" w:hAnsi="宋体"/>
          <w:sz w:val="24"/>
          <w:u w:val="single"/>
        </w:rPr>
        <w:t>7)协助提供用于材料、设备、施工等招标内容的技术文件编制；</w:t>
      </w:r>
    </w:p>
    <w:p w14:paraId="6D521D85">
      <w:pPr>
        <w:spacing w:line="360" w:lineRule="auto"/>
        <w:ind w:firstLine="470" w:firstLineChars="196"/>
        <w:rPr>
          <w:rFonts w:ascii="宋体" w:hAnsi="宋体"/>
          <w:sz w:val="24"/>
          <w:u w:val="single"/>
        </w:rPr>
      </w:pPr>
      <w:r>
        <w:rPr>
          <w:rFonts w:hint="eastAsia" w:ascii="宋体" w:hAnsi="宋体"/>
          <w:sz w:val="24"/>
          <w:u w:val="single"/>
        </w:rPr>
        <w:t>8)协助提供工程实体质量监督抽测及监测等咨询工作的招标要求（包括技术要求及清单、预算）等；</w:t>
      </w:r>
    </w:p>
    <w:p w14:paraId="2F78129D">
      <w:pPr>
        <w:spacing w:line="360" w:lineRule="auto"/>
        <w:ind w:firstLine="480" w:firstLineChars="200"/>
        <w:jc w:val="left"/>
        <w:rPr>
          <w:rFonts w:ascii="宋体" w:hAnsi="宋体"/>
          <w:sz w:val="24"/>
          <w:u w:val="single"/>
        </w:rPr>
      </w:pPr>
      <w:r>
        <w:rPr>
          <w:rFonts w:hint="eastAsia" w:ascii="宋体" w:hAnsi="宋体"/>
          <w:sz w:val="24"/>
          <w:u w:val="single"/>
        </w:rPr>
        <w:t>9）协助开展项目专项医疗设备部分的设计工作。</w:t>
      </w:r>
    </w:p>
    <w:p w14:paraId="306A7FE9">
      <w:pPr>
        <w:spacing w:line="360" w:lineRule="auto"/>
        <w:ind w:firstLine="480" w:firstLineChars="200"/>
        <w:jc w:val="left"/>
        <w:rPr>
          <w:rFonts w:ascii="宋体" w:hAnsi="宋体"/>
          <w:sz w:val="24"/>
          <w:u w:val="single"/>
        </w:rPr>
      </w:pPr>
      <w:r>
        <w:rPr>
          <w:rFonts w:hint="eastAsia" w:ascii="宋体" w:hAnsi="宋体"/>
          <w:sz w:val="24"/>
          <w:u w:val="single"/>
        </w:rPr>
        <w:t>（7）其他配合工作：</w:t>
      </w:r>
    </w:p>
    <w:p w14:paraId="184E2B12">
      <w:pPr>
        <w:spacing w:line="360" w:lineRule="auto"/>
        <w:ind w:firstLine="480" w:firstLineChars="200"/>
        <w:jc w:val="left"/>
        <w:rPr>
          <w:rFonts w:ascii="宋体" w:hAnsi="宋体"/>
          <w:sz w:val="24"/>
          <w:u w:val="single"/>
        </w:rPr>
      </w:pPr>
      <w:r>
        <w:rPr>
          <w:rFonts w:hint="eastAsia" w:ascii="宋体" w:hAnsi="宋体"/>
          <w:sz w:val="24"/>
          <w:u w:val="single"/>
        </w:rPr>
        <w:t>①若设计过程中有需要前往外地考察同类项目并借鉴其经验，承包单位应予以协助和配合，考察费用按设计费的5%列支，如有结余则归承包单位所有。</w:t>
      </w:r>
    </w:p>
    <w:p w14:paraId="77143E88">
      <w:pPr>
        <w:spacing w:line="360" w:lineRule="auto"/>
        <w:ind w:firstLine="480" w:firstLineChars="200"/>
        <w:jc w:val="left"/>
        <w:rPr>
          <w:rFonts w:ascii="宋体" w:hAnsi="宋体"/>
          <w:sz w:val="24"/>
          <w:u w:val="single"/>
        </w:rPr>
      </w:pPr>
      <w:r>
        <w:rPr>
          <w:rFonts w:hint="eastAsia" w:ascii="宋体" w:hAnsi="宋体"/>
          <w:sz w:val="24"/>
          <w:u w:val="single"/>
        </w:rPr>
        <w:t>②参加各类协调、论证、评审等会议，项目负责人及各专业负责人须到会，负责会议有关汇报文件、展示文件的制作和汇报。</w:t>
      </w:r>
    </w:p>
    <w:p w14:paraId="71383C0F">
      <w:pPr>
        <w:spacing w:line="360" w:lineRule="auto"/>
        <w:ind w:firstLine="480" w:firstLineChars="200"/>
        <w:jc w:val="left"/>
        <w:rPr>
          <w:rFonts w:ascii="宋体" w:hAnsi="宋体"/>
          <w:sz w:val="24"/>
          <w:u w:val="single"/>
        </w:rPr>
      </w:pPr>
      <w:r>
        <w:rPr>
          <w:rFonts w:hint="eastAsia" w:ascii="宋体" w:hAnsi="宋体"/>
          <w:sz w:val="24"/>
          <w:u w:val="single"/>
        </w:rPr>
        <w:t>③参加由发包人组织的专家评审，评审专家劳务费用由承包单位负责。　</w:t>
      </w:r>
    </w:p>
    <w:p w14:paraId="3C7CB7B1">
      <w:pPr>
        <w:spacing w:line="360" w:lineRule="auto"/>
        <w:ind w:firstLine="480" w:firstLineChars="200"/>
        <w:jc w:val="left"/>
        <w:rPr>
          <w:rFonts w:ascii="宋体" w:hAnsi="宋体"/>
          <w:sz w:val="24"/>
          <w:u w:val="single"/>
        </w:rPr>
      </w:pPr>
      <w:r>
        <w:rPr>
          <w:rFonts w:hint="eastAsia" w:ascii="宋体" w:hAnsi="宋体"/>
          <w:sz w:val="24"/>
          <w:u w:val="single"/>
        </w:rPr>
        <w:t>④对材料、设备的选型提出合理化建议。</w:t>
      </w:r>
    </w:p>
    <w:p w14:paraId="144DF96A">
      <w:pPr>
        <w:spacing w:line="360" w:lineRule="auto"/>
        <w:ind w:firstLine="470" w:firstLineChars="196"/>
        <w:rPr>
          <w:rFonts w:ascii="宋体" w:hAnsi="宋体"/>
          <w:sz w:val="24"/>
          <w:u w:val="single"/>
        </w:rPr>
      </w:pPr>
      <w:r>
        <w:rPr>
          <w:rFonts w:hint="eastAsia" w:ascii="宋体" w:hAnsi="宋体"/>
          <w:sz w:val="24"/>
          <w:u w:val="single"/>
        </w:rPr>
        <w:t>各阶段设计文件深度要求必须满足《建筑工程设计文件编制深度规定》的要求，各专业还应该满足各专业工程设计文件编制深度规范或规定的要求。</w:t>
      </w:r>
    </w:p>
    <w:p w14:paraId="57AA4302">
      <w:pPr>
        <w:spacing w:line="400" w:lineRule="exact"/>
        <w:ind w:firstLine="480" w:firstLineChars="200"/>
        <w:rPr>
          <w:rFonts w:ascii="宋体" w:hAnsi="宋体" w:cs="宋体"/>
          <w:sz w:val="24"/>
          <w:u w:val="single"/>
        </w:rPr>
      </w:pPr>
      <w:r>
        <w:rPr>
          <w:rFonts w:hint="eastAsia" w:ascii="宋体" w:hAnsi="宋体" w:cs="宋体"/>
          <w:sz w:val="24"/>
          <w:u w:val="single"/>
        </w:rPr>
        <w:t>2工作目标：</w:t>
      </w:r>
    </w:p>
    <w:p w14:paraId="650F0F1C">
      <w:pPr>
        <w:spacing w:line="360" w:lineRule="auto"/>
        <w:ind w:firstLine="480" w:firstLineChars="200"/>
        <w:jc w:val="left"/>
        <w:rPr>
          <w:rFonts w:ascii="宋体" w:hAnsi="宋体" w:cs="宋体"/>
          <w:sz w:val="24"/>
          <w:u w:val="single"/>
        </w:rPr>
      </w:pPr>
      <w:r>
        <w:rPr>
          <w:rFonts w:hint="eastAsia" w:ascii="宋体" w:hAnsi="宋体" w:cs="宋体"/>
          <w:sz w:val="24"/>
          <w:u w:val="single"/>
        </w:rPr>
        <w:t>（1）投资控制目标：在保证设计质量的前提下，全过程实行限额设计,在包含完整批复初步设计概算全部建设内容的前提下，必须按照政府主管部门确定的投资额度和要求严格控制，实行投资控制，严格控制设计变更，确保工程概、预算不突破投资目标。</w:t>
      </w:r>
    </w:p>
    <w:p w14:paraId="0D907E3B">
      <w:pPr>
        <w:spacing w:line="360" w:lineRule="auto"/>
        <w:ind w:firstLine="480" w:firstLineChars="200"/>
        <w:jc w:val="left"/>
        <w:rPr>
          <w:rFonts w:ascii="宋体" w:hAnsi="宋体" w:cs="宋体"/>
          <w:sz w:val="24"/>
          <w:u w:val="single"/>
        </w:rPr>
      </w:pPr>
      <w:r>
        <w:rPr>
          <w:rFonts w:hint="eastAsia" w:ascii="宋体" w:hAnsi="宋体" w:cs="宋体"/>
          <w:sz w:val="24"/>
          <w:u w:val="single"/>
        </w:rPr>
        <w:t>（2）质量目标：本工程质量标准必须符合《建设工程质量管理条例》《建设工程勘察设计管理条例》《建筑工程设计文件编制深度规定（2016年版）》等国家及地方有关工程设计管理法规和规章，达到行业相关规范技术标准等要求。</w:t>
      </w:r>
    </w:p>
    <w:p w14:paraId="3E93AE36">
      <w:pPr>
        <w:spacing w:line="360" w:lineRule="auto"/>
        <w:ind w:firstLine="480"/>
        <w:rPr>
          <w:rFonts w:ascii="宋体" w:hAnsi="宋体" w:cs="宋体"/>
          <w:sz w:val="24"/>
          <w:u w:val="single"/>
        </w:rPr>
      </w:pPr>
      <w:r>
        <w:rPr>
          <w:rFonts w:hint="eastAsia" w:ascii="宋体" w:hAnsi="宋体" w:cs="宋体"/>
          <w:sz w:val="24"/>
          <w:u w:val="single"/>
        </w:rPr>
        <w:t>（3）绿色建筑目标：绿色建筑评价二星级标准。</w:t>
      </w:r>
    </w:p>
    <w:p w14:paraId="1E159636">
      <w:pPr>
        <w:spacing w:line="360" w:lineRule="auto"/>
        <w:ind w:firstLine="480"/>
        <w:rPr>
          <w:rFonts w:ascii="宋体" w:hAnsi="宋体" w:cs="宋体"/>
          <w:sz w:val="24"/>
          <w:u w:val="single"/>
        </w:rPr>
      </w:pPr>
      <w:r>
        <w:rPr>
          <w:rFonts w:hint="eastAsia" w:ascii="宋体" w:hAnsi="宋体" w:cs="宋体"/>
          <w:sz w:val="24"/>
          <w:u w:val="single"/>
        </w:rPr>
        <w:t>中标人各阶段设计工作及所提交的设计成果应满足上述目标的申报条件，同时中标人应配合上述目标的申报，为申报工作提供相关基础资料。相关费用已包含在投标报价中，招标人不再另行支付费用。</w:t>
      </w:r>
    </w:p>
    <w:p w14:paraId="0083EF35">
      <w:pPr>
        <w:pStyle w:val="2"/>
      </w:pPr>
    </w:p>
    <w:tbl>
      <w:tblPr>
        <w:tblStyle w:val="54"/>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97"/>
        <w:gridCol w:w="543"/>
        <w:gridCol w:w="567"/>
        <w:gridCol w:w="733"/>
        <w:gridCol w:w="709"/>
        <w:gridCol w:w="700"/>
        <w:gridCol w:w="854"/>
        <w:gridCol w:w="1117"/>
        <w:gridCol w:w="928"/>
        <w:gridCol w:w="540"/>
        <w:gridCol w:w="750"/>
      </w:tblGrid>
      <w:tr w14:paraId="19D8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588" w:type="dxa"/>
            <w:gridSpan w:val="2"/>
            <w:vAlign w:val="center"/>
          </w:tcPr>
          <w:p w14:paraId="0031343C">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441" w:type="dxa"/>
            <w:gridSpan w:val="10"/>
            <w:tcBorders>
              <w:right w:val="single" w:color="auto" w:sz="4" w:space="0"/>
            </w:tcBorders>
            <w:vAlign w:val="center"/>
          </w:tcPr>
          <w:p w14:paraId="56A2FE45">
            <w:pPr>
              <w:spacing w:line="360" w:lineRule="auto"/>
              <w:ind w:left="-53" w:leftChars="-25" w:right="-53" w:rightChars="-25"/>
              <w:jc w:val="center"/>
              <w:rPr>
                <w:rFonts w:asciiTheme="minorEastAsia" w:hAnsiTheme="minorEastAsia" w:eastAsiaTheme="minorEastAsia"/>
                <w:szCs w:val="21"/>
              </w:rPr>
            </w:pPr>
          </w:p>
        </w:tc>
      </w:tr>
      <w:tr w14:paraId="4C91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588" w:type="dxa"/>
            <w:gridSpan w:val="2"/>
            <w:vAlign w:val="center"/>
          </w:tcPr>
          <w:p w14:paraId="1966923F">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建设规模</w:t>
            </w:r>
          </w:p>
        </w:tc>
        <w:tc>
          <w:tcPr>
            <w:tcW w:w="5223" w:type="dxa"/>
            <w:gridSpan w:val="7"/>
            <w:vAlign w:val="center"/>
          </w:tcPr>
          <w:p w14:paraId="4775FC5E">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设计阶段及内容</w:t>
            </w:r>
          </w:p>
        </w:tc>
        <w:tc>
          <w:tcPr>
            <w:tcW w:w="928" w:type="dxa"/>
            <w:vMerge w:val="restart"/>
            <w:textDirection w:val="tbRlV"/>
            <w:vAlign w:val="center"/>
          </w:tcPr>
          <w:p w14:paraId="28130D6B">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总投资额（亿元人民币）</w:t>
            </w:r>
          </w:p>
        </w:tc>
        <w:tc>
          <w:tcPr>
            <w:tcW w:w="540" w:type="dxa"/>
            <w:vMerge w:val="restart"/>
            <w:textDirection w:val="tbRlV"/>
            <w:vAlign w:val="center"/>
          </w:tcPr>
          <w:p w14:paraId="71F072C8">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费率（％）</w:t>
            </w:r>
          </w:p>
        </w:tc>
        <w:tc>
          <w:tcPr>
            <w:tcW w:w="750" w:type="dxa"/>
            <w:vMerge w:val="restart"/>
            <w:tcBorders>
              <w:right w:val="single" w:color="auto" w:sz="4" w:space="0"/>
            </w:tcBorders>
            <w:textDirection w:val="tbRlV"/>
            <w:vAlign w:val="center"/>
          </w:tcPr>
          <w:p w14:paraId="6B0EAAF8">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合同价款（万元人民币）</w:t>
            </w:r>
          </w:p>
        </w:tc>
      </w:tr>
      <w:tr w14:paraId="59A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91" w:type="dxa"/>
            <w:vMerge w:val="restart"/>
            <w:vAlign w:val="center"/>
          </w:tcPr>
          <w:p w14:paraId="0AF118E1">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规划高度（m）</w:t>
            </w:r>
          </w:p>
        </w:tc>
        <w:tc>
          <w:tcPr>
            <w:tcW w:w="797" w:type="dxa"/>
            <w:vMerge w:val="restart"/>
            <w:vAlign w:val="center"/>
          </w:tcPr>
          <w:p w14:paraId="445E8215">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建筑</w:t>
            </w:r>
          </w:p>
          <w:p w14:paraId="671A7F67">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面积（m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w:t>
            </w:r>
          </w:p>
        </w:tc>
        <w:tc>
          <w:tcPr>
            <w:tcW w:w="5223" w:type="dxa"/>
            <w:gridSpan w:val="7"/>
            <w:vAlign w:val="center"/>
          </w:tcPr>
          <w:p w14:paraId="7AB635C7">
            <w:pPr>
              <w:spacing w:line="360" w:lineRule="auto"/>
              <w:ind w:left="-53" w:leftChars="-25" w:right="-53" w:rightChars="-25" w:firstLine="680"/>
              <w:jc w:val="center"/>
              <w:rPr>
                <w:rFonts w:asciiTheme="minorEastAsia" w:hAnsiTheme="minorEastAsia" w:eastAsiaTheme="minorEastAsia"/>
                <w:szCs w:val="21"/>
              </w:rPr>
            </w:pPr>
            <w:r>
              <w:rPr>
                <w:rFonts w:hint="eastAsia" w:asciiTheme="minorEastAsia" w:hAnsiTheme="minorEastAsia" w:eastAsiaTheme="minorEastAsia"/>
                <w:szCs w:val="21"/>
              </w:rPr>
              <w:t>各阶段提交设计成果文件版次</w:t>
            </w:r>
          </w:p>
        </w:tc>
        <w:tc>
          <w:tcPr>
            <w:tcW w:w="928" w:type="dxa"/>
            <w:vMerge w:val="continue"/>
          </w:tcPr>
          <w:p w14:paraId="1E867827">
            <w:pPr>
              <w:spacing w:line="360" w:lineRule="auto"/>
              <w:ind w:left="-53" w:leftChars="-25" w:right="-53" w:rightChars="-25" w:firstLine="680"/>
              <w:rPr>
                <w:rFonts w:asciiTheme="minorEastAsia" w:hAnsiTheme="minorEastAsia" w:eastAsiaTheme="minorEastAsia"/>
                <w:szCs w:val="21"/>
              </w:rPr>
            </w:pPr>
          </w:p>
        </w:tc>
        <w:tc>
          <w:tcPr>
            <w:tcW w:w="540" w:type="dxa"/>
            <w:vMerge w:val="continue"/>
          </w:tcPr>
          <w:p w14:paraId="15A15695">
            <w:pPr>
              <w:spacing w:line="360" w:lineRule="auto"/>
              <w:ind w:left="-53" w:leftChars="-25" w:right="-53" w:rightChars="-25" w:firstLine="680"/>
              <w:rPr>
                <w:rFonts w:asciiTheme="minorEastAsia" w:hAnsiTheme="minorEastAsia" w:eastAsiaTheme="minorEastAsia"/>
                <w:szCs w:val="21"/>
              </w:rPr>
            </w:pPr>
          </w:p>
        </w:tc>
        <w:tc>
          <w:tcPr>
            <w:tcW w:w="750" w:type="dxa"/>
            <w:vMerge w:val="continue"/>
            <w:tcBorders>
              <w:right w:val="single" w:color="auto" w:sz="4" w:space="0"/>
            </w:tcBorders>
          </w:tcPr>
          <w:p w14:paraId="554A3F8C">
            <w:pPr>
              <w:spacing w:line="360" w:lineRule="auto"/>
              <w:ind w:left="-53" w:leftChars="-25" w:right="-53" w:rightChars="-25" w:firstLine="680"/>
              <w:rPr>
                <w:rFonts w:asciiTheme="minorEastAsia" w:hAnsiTheme="minorEastAsia" w:eastAsiaTheme="minorEastAsia"/>
                <w:szCs w:val="21"/>
              </w:rPr>
            </w:pPr>
          </w:p>
        </w:tc>
      </w:tr>
      <w:tr w14:paraId="547B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91" w:type="dxa"/>
            <w:vMerge w:val="continue"/>
            <w:vAlign w:val="center"/>
          </w:tcPr>
          <w:p w14:paraId="433D8DBE">
            <w:pPr>
              <w:spacing w:line="360" w:lineRule="auto"/>
              <w:ind w:left="-53" w:leftChars="-25" w:right="-53" w:rightChars="-25" w:firstLine="680"/>
              <w:rPr>
                <w:rFonts w:asciiTheme="minorEastAsia" w:hAnsiTheme="minorEastAsia" w:eastAsiaTheme="minorEastAsia"/>
                <w:szCs w:val="21"/>
              </w:rPr>
            </w:pPr>
          </w:p>
        </w:tc>
        <w:tc>
          <w:tcPr>
            <w:tcW w:w="797" w:type="dxa"/>
            <w:vMerge w:val="continue"/>
            <w:vAlign w:val="center"/>
          </w:tcPr>
          <w:p w14:paraId="28653FFE">
            <w:pPr>
              <w:spacing w:line="360" w:lineRule="auto"/>
              <w:ind w:left="-53" w:leftChars="-25" w:right="-53" w:rightChars="-25" w:firstLine="680"/>
              <w:rPr>
                <w:rFonts w:asciiTheme="minorEastAsia" w:hAnsiTheme="minorEastAsia" w:eastAsiaTheme="minorEastAsia"/>
                <w:szCs w:val="21"/>
              </w:rPr>
            </w:pPr>
          </w:p>
        </w:tc>
        <w:tc>
          <w:tcPr>
            <w:tcW w:w="1843" w:type="dxa"/>
            <w:gridSpan w:val="3"/>
            <w:vAlign w:val="center"/>
          </w:tcPr>
          <w:p w14:paraId="27968F72">
            <w:pPr>
              <w:spacing w:line="360" w:lineRule="auto"/>
              <w:ind w:left="-53" w:leftChars="-25" w:right="-53" w:rightChars="-25"/>
              <w:jc w:val="center"/>
              <w:rPr>
                <w:rFonts w:asciiTheme="minorEastAsia" w:hAnsiTheme="minorEastAsia" w:eastAsiaTheme="minorEastAsia"/>
                <w:szCs w:val="21"/>
              </w:rPr>
            </w:pPr>
            <w:r>
              <w:rPr>
                <w:rFonts w:hint="eastAsia" w:cs="宋体" w:asciiTheme="minorEastAsia" w:hAnsiTheme="minorEastAsia" w:eastAsiaTheme="minorEastAsia"/>
                <w:szCs w:val="21"/>
              </w:rPr>
              <w:t>□</w:t>
            </w:r>
            <w:r>
              <w:rPr>
                <w:rFonts w:hint="eastAsia" w:asciiTheme="minorEastAsia" w:hAnsiTheme="minorEastAsia" w:eastAsiaTheme="minorEastAsia"/>
                <w:szCs w:val="21"/>
              </w:rPr>
              <w:t>方案优化</w:t>
            </w:r>
          </w:p>
          <w:p w14:paraId="54F47222">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设计</w:t>
            </w:r>
          </w:p>
        </w:tc>
        <w:tc>
          <w:tcPr>
            <w:tcW w:w="709" w:type="dxa"/>
            <w:vAlign w:val="center"/>
          </w:tcPr>
          <w:p w14:paraId="5C472B36">
            <w:pPr>
              <w:spacing w:line="360" w:lineRule="auto"/>
              <w:ind w:left="-53" w:leftChars="-25" w:right="-53" w:rightChars="-25"/>
              <w:jc w:val="center"/>
              <w:rPr>
                <w:rFonts w:asciiTheme="minorEastAsia" w:hAnsiTheme="minorEastAsia" w:eastAsiaTheme="minorEastAsia"/>
                <w:szCs w:val="21"/>
              </w:rPr>
            </w:pPr>
            <w:r>
              <w:rPr>
                <w:rFonts w:hint="eastAsia" w:cs="宋体" w:asciiTheme="minorEastAsia" w:hAnsiTheme="minorEastAsia" w:eastAsiaTheme="minorEastAsia"/>
                <w:szCs w:val="21"/>
              </w:rPr>
              <w:t>□</w:t>
            </w:r>
            <w:r>
              <w:rPr>
                <w:rFonts w:hint="eastAsia" w:asciiTheme="minorEastAsia" w:hAnsiTheme="minorEastAsia" w:eastAsiaTheme="minorEastAsia"/>
                <w:szCs w:val="21"/>
              </w:rPr>
              <w:t>初步设计</w:t>
            </w:r>
          </w:p>
        </w:tc>
        <w:tc>
          <w:tcPr>
            <w:tcW w:w="1554" w:type="dxa"/>
            <w:gridSpan w:val="2"/>
            <w:vAlign w:val="center"/>
          </w:tcPr>
          <w:p w14:paraId="452666BF">
            <w:pPr>
              <w:spacing w:line="360" w:lineRule="auto"/>
              <w:ind w:left="-53" w:leftChars="-25" w:right="-53" w:rightChars="-25"/>
              <w:jc w:val="center"/>
              <w:rPr>
                <w:rFonts w:asciiTheme="minorEastAsia" w:hAnsiTheme="minorEastAsia" w:eastAsiaTheme="minorEastAsia"/>
                <w:szCs w:val="21"/>
              </w:rPr>
            </w:pPr>
            <w:r>
              <w:rPr>
                <w:rFonts w:hint="eastAsia" w:cs="宋体" w:asciiTheme="minorEastAsia" w:hAnsiTheme="minorEastAsia" w:eastAsiaTheme="minorEastAsia"/>
                <w:szCs w:val="21"/>
              </w:rPr>
              <w:t>□</w:t>
            </w:r>
            <w:r>
              <w:rPr>
                <w:rFonts w:hint="eastAsia" w:asciiTheme="minorEastAsia" w:hAnsiTheme="minorEastAsia" w:eastAsiaTheme="minorEastAsia"/>
                <w:szCs w:val="21"/>
              </w:rPr>
              <w:t>施工图</w:t>
            </w:r>
          </w:p>
          <w:p w14:paraId="7F86E942">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设计</w:t>
            </w:r>
          </w:p>
        </w:tc>
        <w:tc>
          <w:tcPr>
            <w:tcW w:w="1117" w:type="dxa"/>
            <w:vAlign w:val="center"/>
          </w:tcPr>
          <w:p w14:paraId="64FFBE5D">
            <w:pPr>
              <w:spacing w:line="360" w:lineRule="auto"/>
              <w:ind w:left="-53" w:leftChars="-25" w:right="-53" w:rightChars="-25"/>
              <w:jc w:val="center"/>
              <w:rPr>
                <w:rFonts w:asciiTheme="minorEastAsia" w:hAnsiTheme="minorEastAsia" w:eastAsiaTheme="minorEastAsia"/>
                <w:szCs w:val="21"/>
              </w:rPr>
            </w:pPr>
            <w:r>
              <w:rPr>
                <w:rFonts w:hint="eastAsia" w:cs="宋体" w:asciiTheme="minorEastAsia" w:hAnsiTheme="minorEastAsia" w:eastAsiaTheme="minorEastAsia"/>
                <w:szCs w:val="21"/>
              </w:rPr>
              <w:t>□</w:t>
            </w:r>
            <w:r>
              <w:rPr>
                <w:rFonts w:hint="eastAsia" w:asciiTheme="minorEastAsia" w:hAnsiTheme="minorEastAsia" w:eastAsiaTheme="minorEastAsia"/>
                <w:szCs w:val="21"/>
              </w:rPr>
              <w:t>竣工图审查</w:t>
            </w:r>
          </w:p>
        </w:tc>
        <w:tc>
          <w:tcPr>
            <w:tcW w:w="928" w:type="dxa"/>
            <w:vMerge w:val="continue"/>
          </w:tcPr>
          <w:p w14:paraId="70F0DF00">
            <w:pPr>
              <w:spacing w:line="360" w:lineRule="auto"/>
              <w:ind w:left="-53" w:leftChars="-25" w:right="-53" w:rightChars="-25" w:firstLine="680"/>
              <w:rPr>
                <w:rFonts w:asciiTheme="minorEastAsia" w:hAnsiTheme="minorEastAsia" w:eastAsiaTheme="minorEastAsia"/>
                <w:szCs w:val="21"/>
              </w:rPr>
            </w:pPr>
          </w:p>
        </w:tc>
        <w:tc>
          <w:tcPr>
            <w:tcW w:w="540" w:type="dxa"/>
            <w:vMerge w:val="continue"/>
          </w:tcPr>
          <w:p w14:paraId="530E5521">
            <w:pPr>
              <w:spacing w:line="360" w:lineRule="auto"/>
              <w:ind w:left="-53" w:leftChars="-25" w:right="-53" w:rightChars="-25" w:firstLine="680"/>
              <w:rPr>
                <w:rFonts w:asciiTheme="minorEastAsia" w:hAnsiTheme="minorEastAsia" w:eastAsiaTheme="minorEastAsia"/>
                <w:szCs w:val="21"/>
              </w:rPr>
            </w:pPr>
          </w:p>
        </w:tc>
        <w:tc>
          <w:tcPr>
            <w:tcW w:w="750" w:type="dxa"/>
            <w:vMerge w:val="continue"/>
            <w:tcBorders>
              <w:right w:val="single" w:color="auto" w:sz="4" w:space="0"/>
            </w:tcBorders>
          </w:tcPr>
          <w:p w14:paraId="3E0C95A6">
            <w:pPr>
              <w:spacing w:line="360" w:lineRule="auto"/>
              <w:ind w:left="-53" w:leftChars="-25" w:right="-53" w:rightChars="-25" w:firstLine="680"/>
              <w:rPr>
                <w:rFonts w:asciiTheme="minorEastAsia" w:hAnsiTheme="minorEastAsia" w:eastAsiaTheme="minorEastAsia"/>
                <w:szCs w:val="21"/>
              </w:rPr>
            </w:pPr>
          </w:p>
        </w:tc>
      </w:tr>
      <w:tr w14:paraId="6E89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791" w:type="dxa"/>
            <w:vMerge w:val="continue"/>
            <w:vAlign w:val="center"/>
          </w:tcPr>
          <w:p w14:paraId="4300944F">
            <w:pPr>
              <w:spacing w:line="360" w:lineRule="auto"/>
              <w:ind w:left="-53" w:leftChars="-25" w:right="-53" w:rightChars="-25" w:firstLine="680"/>
              <w:rPr>
                <w:rFonts w:asciiTheme="minorEastAsia" w:hAnsiTheme="minorEastAsia" w:eastAsiaTheme="minorEastAsia"/>
                <w:szCs w:val="21"/>
              </w:rPr>
            </w:pPr>
          </w:p>
        </w:tc>
        <w:tc>
          <w:tcPr>
            <w:tcW w:w="797" w:type="dxa"/>
            <w:vMerge w:val="continue"/>
            <w:vAlign w:val="center"/>
          </w:tcPr>
          <w:p w14:paraId="23CE8621">
            <w:pPr>
              <w:spacing w:line="360" w:lineRule="auto"/>
              <w:ind w:left="-53" w:leftChars="-25" w:right="-53" w:rightChars="-25" w:firstLine="680"/>
              <w:rPr>
                <w:rFonts w:asciiTheme="minorEastAsia" w:hAnsiTheme="minorEastAsia" w:eastAsiaTheme="minorEastAsia"/>
                <w:szCs w:val="21"/>
              </w:rPr>
            </w:pPr>
          </w:p>
        </w:tc>
        <w:tc>
          <w:tcPr>
            <w:tcW w:w="543" w:type="dxa"/>
            <w:vAlign w:val="center"/>
          </w:tcPr>
          <w:p w14:paraId="120719E7">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版</w:t>
            </w:r>
          </w:p>
          <w:p w14:paraId="13DD611F">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次</w:t>
            </w:r>
          </w:p>
          <w:p w14:paraId="3FF80CE0">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vAlign w:val="center"/>
          </w:tcPr>
          <w:p w14:paraId="13D64075">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版次</w:t>
            </w:r>
          </w:p>
          <w:p w14:paraId="1BC8944F">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733" w:type="dxa"/>
            <w:vAlign w:val="center"/>
          </w:tcPr>
          <w:p w14:paraId="3011984D">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版</w:t>
            </w:r>
          </w:p>
          <w:p w14:paraId="7C6B5D3D">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次</w:t>
            </w:r>
          </w:p>
          <w:p w14:paraId="7B11FB68">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709" w:type="dxa"/>
            <w:vAlign w:val="center"/>
          </w:tcPr>
          <w:p w14:paraId="07DE464D">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版</w:t>
            </w:r>
          </w:p>
          <w:p w14:paraId="65BB2538">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次</w:t>
            </w:r>
          </w:p>
          <w:p w14:paraId="59B0DC37">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700" w:type="dxa"/>
            <w:vAlign w:val="center"/>
          </w:tcPr>
          <w:p w14:paraId="47E5B3C5">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版</w:t>
            </w:r>
          </w:p>
          <w:p w14:paraId="67B3FBA9">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次</w:t>
            </w:r>
          </w:p>
          <w:p w14:paraId="0567477C">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854" w:type="dxa"/>
            <w:vAlign w:val="center"/>
          </w:tcPr>
          <w:p w14:paraId="39CEA8A2">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版</w:t>
            </w:r>
          </w:p>
          <w:p w14:paraId="45C822B5">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次</w:t>
            </w:r>
          </w:p>
          <w:p w14:paraId="5EC99AE3">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117" w:type="dxa"/>
            <w:vAlign w:val="center"/>
          </w:tcPr>
          <w:p w14:paraId="744DAA78">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版</w:t>
            </w:r>
          </w:p>
          <w:p w14:paraId="1D22C056">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次</w:t>
            </w:r>
          </w:p>
          <w:p w14:paraId="174625AD">
            <w:pPr>
              <w:spacing w:line="360" w:lineRule="auto"/>
              <w:ind w:left="-53" w:leftChars="-25" w:right="-53" w:rightChars="-25"/>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928" w:type="dxa"/>
            <w:vMerge w:val="continue"/>
          </w:tcPr>
          <w:p w14:paraId="0DDFE9CA">
            <w:pPr>
              <w:spacing w:line="360" w:lineRule="auto"/>
              <w:ind w:left="-53" w:leftChars="-25" w:right="-53" w:rightChars="-25" w:firstLine="680"/>
              <w:rPr>
                <w:rFonts w:asciiTheme="minorEastAsia" w:hAnsiTheme="minorEastAsia" w:eastAsiaTheme="minorEastAsia"/>
                <w:szCs w:val="21"/>
              </w:rPr>
            </w:pPr>
          </w:p>
        </w:tc>
        <w:tc>
          <w:tcPr>
            <w:tcW w:w="540" w:type="dxa"/>
            <w:vMerge w:val="continue"/>
          </w:tcPr>
          <w:p w14:paraId="7B80E674">
            <w:pPr>
              <w:spacing w:line="360" w:lineRule="auto"/>
              <w:ind w:left="-53" w:leftChars="-25" w:right="-53" w:rightChars="-25" w:firstLine="680"/>
              <w:rPr>
                <w:rFonts w:asciiTheme="minorEastAsia" w:hAnsiTheme="minorEastAsia" w:eastAsiaTheme="minorEastAsia"/>
                <w:szCs w:val="21"/>
              </w:rPr>
            </w:pPr>
          </w:p>
        </w:tc>
        <w:tc>
          <w:tcPr>
            <w:tcW w:w="750" w:type="dxa"/>
            <w:vMerge w:val="continue"/>
            <w:tcBorders>
              <w:right w:val="single" w:color="auto" w:sz="4" w:space="0"/>
            </w:tcBorders>
          </w:tcPr>
          <w:p w14:paraId="73E5C5FD">
            <w:pPr>
              <w:spacing w:line="360" w:lineRule="auto"/>
              <w:ind w:left="-53" w:leftChars="-25" w:right="-53" w:rightChars="-25" w:firstLine="680"/>
              <w:rPr>
                <w:rFonts w:asciiTheme="minorEastAsia" w:hAnsiTheme="minorEastAsia" w:eastAsiaTheme="minorEastAsia"/>
                <w:szCs w:val="21"/>
              </w:rPr>
            </w:pPr>
          </w:p>
        </w:tc>
      </w:tr>
      <w:tr w14:paraId="073A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791" w:type="dxa"/>
            <w:vAlign w:val="center"/>
          </w:tcPr>
          <w:p w14:paraId="2A7C592D">
            <w:pPr>
              <w:spacing w:line="360" w:lineRule="auto"/>
              <w:ind w:left="-53" w:leftChars="-25" w:right="-53" w:rightChars="-25"/>
              <w:jc w:val="center"/>
              <w:rPr>
                <w:rFonts w:asciiTheme="minorEastAsia" w:hAnsiTheme="minorEastAsia" w:eastAsiaTheme="minorEastAsia"/>
                <w:szCs w:val="21"/>
              </w:rPr>
            </w:pPr>
          </w:p>
        </w:tc>
        <w:tc>
          <w:tcPr>
            <w:tcW w:w="797" w:type="dxa"/>
            <w:vAlign w:val="center"/>
          </w:tcPr>
          <w:p w14:paraId="06EE6535">
            <w:pPr>
              <w:spacing w:line="360" w:lineRule="auto"/>
              <w:ind w:left="-53" w:leftChars="-25" w:right="-53" w:rightChars="-25"/>
              <w:jc w:val="center"/>
              <w:rPr>
                <w:rFonts w:asciiTheme="minorEastAsia" w:hAnsiTheme="minorEastAsia" w:eastAsiaTheme="minorEastAsia"/>
                <w:szCs w:val="21"/>
              </w:rPr>
            </w:pPr>
          </w:p>
        </w:tc>
        <w:tc>
          <w:tcPr>
            <w:tcW w:w="5223" w:type="dxa"/>
            <w:gridSpan w:val="7"/>
          </w:tcPr>
          <w:p w14:paraId="4B6A18D4">
            <w:pPr>
              <w:pStyle w:val="300"/>
              <w:spacing w:line="360" w:lineRule="auto"/>
              <w:ind w:left="-53" w:leftChars="-25" w:right="-53" w:rightChars="-25"/>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提交设计成果文件版次说明、设计内容见下本合同条款及附件</w:t>
            </w:r>
          </w:p>
        </w:tc>
        <w:tc>
          <w:tcPr>
            <w:tcW w:w="928" w:type="dxa"/>
            <w:vAlign w:val="center"/>
          </w:tcPr>
          <w:p w14:paraId="3E44B243">
            <w:pPr>
              <w:snapToGrid w:val="0"/>
              <w:spacing w:line="360" w:lineRule="auto"/>
              <w:ind w:left="-53" w:leftChars="-25" w:right="-53" w:rightChars="-25"/>
              <w:rPr>
                <w:rFonts w:asciiTheme="minorEastAsia" w:hAnsiTheme="minorEastAsia" w:eastAsiaTheme="minorEastAsia"/>
                <w:szCs w:val="21"/>
              </w:rPr>
            </w:pPr>
            <w:r>
              <w:rPr>
                <w:rFonts w:hint="eastAsia" w:asciiTheme="minorEastAsia" w:hAnsiTheme="minorEastAsia" w:eastAsiaTheme="minorEastAsia"/>
                <w:szCs w:val="21"/>
              </w:rPr>
              <w:t>以政府批准的概算为准</w:t>
            </w:r>
          </w:p>
        </w:tc>
        <w:tc>
          <w:tcPr>
            <w:tcW w:w="540" w:type="dxa"/>
            <w:vAlign w:val="center"/>
          </w:tcPr>
          <w:p w14:paraId="3301AD33">
            <w:pPr>
              <w:spacing w:line="360" w:lineRule="auto"/>
              <w:ind w:left="-53" w:leftChars="-25" w:right="-53" w:rightChars="-25"/>
              <w:jc w:val="center"/>
              <w:rPr>
                <w:rFonts w:asciiTheme="minorEastAsia" w:hAnsiTheme="minorEastAsia" w:eastAsiaTheme="minorEastAsia"/>
                <w:szCs w:val="21"/>
              </w:rPr>
            </w:pPr>
          </w:p>
        </w:tc>
        <w:tc>
          <w:tcPr>
            <w:tcW w:w="750" w:type="dxa"/>
            <w:vAlign w:val="center"/>
          </w:tcPr>
          <w:p w14:paraId="325326F9">
            <w:pPr>
              <w:snapToGrid w:val="0"/>
              <w:spacing w:line="360" w:lineRule="auto"/>
              <w:ind w:left="-53" w:leftChars="-25" w:right="-53" w:rightChars="-25"/>
              <w:rPr>
                <w:rFonts w:asciiTheme="minorEastAsia" w:hAnsiTheme="minorEastAsia" w:eastAsiaTheme="minorEastAsia"/>
                <w:szCs w:val="21"/>
              </w:rPr>
            </w:pPr>
            <w:r>
              <w:rPr>
                <w:rFonts w:hint="eastAsia" w:asciiTheme="minorEastAsia" w:hAnsiTheme="minorEastAsia" w:eastAsiaTheme="minorEastAsia"/>
                <w:szCs w:val="21"/>
              </w:rPr>
              <w:t xml:space="preserve"> (含设计费万元）</w:t>
            </w:r>
          </w:p>
        </w:tc>
      </w:tr>
    </w:tbl>
    <w:p w14:paraId="28C7A440">
      <w:pPr>
        <w:spacing w:line="360" w:lineRule="auto"/>
        <w:ind w:firstLine="470" w:firstLineChars="196"/>
        <w:rPr>
          <w:rFonts w:asciiTheme="minorEastAsia" w:hAnsiTheme="minorEastAsia" w:eastAsiaTheme="minorEastAsia"/>
          <w:bCs/>
          <w:sz w:val="24"/>
          <w:szCs w:val="24"/>
          <w:u w:val="single"/>
        </w:rPr>
      </w:pPr>
    </w:p>
    <w:p w14:paraId="07DF2ADF">
      <w:pPr>
        <w:spacing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u w:val="single"/>
        </w:rPr>
        <w:t>各阶段设计文件深度要求必须满足《建筑工程设计文件编制深度规定》的要求，各专业还应该满足各专业工程设计文件编制深度规范或规定的要求。</w:t>
      </w:r>
    </w:p>
    <w:p w14:paraId="202C3D32">
      <w:pPr>
        <w:pStyle w:val="6"/>
        <w:spacing w:before="120" w:after="120" w:line="360" w:lineRule="auto"/>
        <w:rPr>
          <w:rFonts w:asciiTheme="minorEastAsia" w:hAnsiTheme="minorEastAsia" w:eastAsiaTheme="minorEastAsia"/>
          <w:b w:val="0"/>
          <w:sz w:val="24"/>
          <w:szCs w:val="24"/>
        </w:rPr>
      </w:pPr>
      <w:bookmarkStart w:id="13" w:name="_Toc351203482"/>
      <w:r>
        <w:rPr>
          <w:rFonts w:hint="eastAsia" w:asciiTheme="minorEastAsia" w:hAnsiTheme="minorEastAsia" w:eastAsiaTheme="minorEastAsia"/>
          <w:b w:val="0"/>
          <w:sz w:val="24"/>
          <w:szCs w:val="24"/>
        </w:rPr>
        <w:t>三、</w:t>
      </w:r>
      <w:bookmarkEnd w:id="13"/>
      <w:r>
        <w:rPr>
          <w:rFonts w:hint="eastAsia" w:asciiTheme="minorEastAsia" w:hAnsiTheme="minorEastAsia" w:eastAsiaTheme="minorEastAsia"/>
          <w:b w:val="0"/>
          <w:sz w:val="24"/>
          <w:szCs w:val="24"/>
        </w:rPr>
        <w:t>工程设计周期</w:t>
      </w:r>
    </w:p>
    <w:p w14:paraId="2C49329B">
      <w:pPr>
        <w:spacing w:line="360" w:lineRule="auto"/>
        <w:ind w:firstLine="459"/>
        <w:rPr>
          <w:rFonts w:asciiTheme="minorEastAsia" w:hAnsiTheme="minorEastAsia" w:eastAsiaTheme="minorEastAsia"/>
          <w:sz w:val="24"/>
          <w:szCs w:val="24"/>
        </w:rPr>
      </w:pPr>
      <w:r>
        <w:rPr>
          <w:rFonts w:hint="eastAsia" w:asciiTheme="minorEastAsia" w:hAnsiTheme="minorEastAsia" w:eastAsiaTheme="minorEastAsia"/>
          <w:sz w:val="24"/>
          <w:szCs w:val="24"/>
        </w:rPr>
        <w:t>计划开始设计日期：</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日。</w:t>
      </w:r>
    </w:p>
    <w:p w14:paraId="12A3C2B5">
      <w:pPr>
        <w:spacing w:line="360" w:lineRule="auto"/>
        <w:ind w:firstLine="459"/>
        <w:rPr>
          <w:rFonts w:asciiTheme="minorEastAsia" w:hAnsiTheme="minorEastAsia" w:eastAsiaTheme="minorEastAsia"/>
          <w:sz w:val="24"/>
          <w:szCs w:val="24"/>
        </w:rPr>
      </w:pPr>
      <w:r>
        <w:rPr>
          <w:rFonts w:hint="eastAsia" w:asciiTheme="minorEastAsia" w:hAnsiTheme="minorEastAsia" w:eastAsiaTheme="minorEastAsia"/>
          <w:sz w:val="24"/>
          <w:szCs w:val="24"/>
        </w:rPr>
        <w:t>计划完成设计日期：</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日。</w:t>
      </w:r>
    </w:p>
    <w:p w14:paraId="6F489451">
      <w:pPr>
        <w:spacing w:line="360" w:lineRule="auto"/>
        <w:ind w:firstLine="459"/>
        <w:rPr>
          <w:rFonts w:asciiTheme="minorEastAsia" w:hAnsiTheme="minorEastAsia" w:eastAsiaTheme="minorEastAsia"/>
          <w:sz w:val="24"/>
          <w:szCs w:val="24"/>
        </w:rPr>
      </w:pPr>
      <w:r>
        <w:rPr>
          <w:rFonts w:hint="eastAsia" w:asciiTheme="minorEastAsia" w:hAnsiTheme="minorEastAsia" w:eastAsiaTheme="minorEastAsia"/>
          <w:sz w:val="24"/>
          <w:szCs w:val="24"/>
        </w:rPr>
        <w:t>具体工程设计周期：</w:t>
      </w:r>
    </w:p>
    <w:p w14:paraId="3F029B7D">
      <w:pPr>
        <w:spacing w:line="400" w:lineRule="exact"/>
        <w:ind w:firstLine="480" w:firstLineChars="200"/>
        <w:rPr>
          <w:rFonts w:ascii="宋体" w:hAnsi="宋体" w:cs="宋体"/>
          <w:sz w:val="24"/>
          <w:u w:val="single"/>
        </w:rPr>
      </w:pPr>
      <w:r>
        <w:rPr>
          <w:rFonts w:hint="eastAsia" w:ascii="宋体" w:hAnsi="宋体" w:cs="宋体"/>
          <w:sz w:val="24"/>
          <w:u w:val="single"/>
        </w:rPr>
        <w:t xml:space="preserve">合同签订后70日历天内完成初步设计（含方案设计及确认时间），初步设计审查批准后35日历天内完成施工图设计，施工图设计文件经审查发现问题后10日历天内完成补充、修改。 </w:t>
      </w:r>
    </w:p>
    <w:p w14:paraId="3EFE365B">
      <w:pPr>
        <w:pStyle w:val="6"/>
        <w:spacing w:before="120" w:after="120" w:line="360" w:lineRule="auto"/>
        <w:rPr>
          <w:rFonts w:asciiTheme="minorEastAsia" w:hAnsiTheme="minorEastAsia" w:eastAsiaTheme="minorEastAsia"/>
          <w:bCs w:val="0"/>
          <w:sz w:val="24"/>
          <w:szCs w:val="24"/>
        </w:rPr>
      </w:pPr>
      <w:bookmarkStart w:id="14" w:name="_Toc351203484"/>
      <w:r>
        <w:rPr>
          <w:rFonts w:hint="eastAsia" w:asciiTheme="minorEastAsia" w:hAnsiTheme="minorEastAsia" w:eastAsiaTheme="minorEastAsia"/>
          <w:b w:val="0"/>
          <w:sz w:val="24"/>
          <w:szCs w:val="24"/>
        </w:rPr>
        <w:t>四、合同价格形式与签约合同价</w:t>
      </w:r>
      <w:bookmarkEnd w:id="14"/>
      <w:r>
        <w:rPr>
          <w:rFonts w:hint="eastAsia" w:asciiTheme="minorEastAsia" w:hAnsiTheme="minorEastAsia" w:eastAsiaTheme="minorEastAsia"/>
          <w:b w:val="0"/>
          <w:sz w:val="24"/>
          <w:szCs w:val="24"/>
        </w:rPr>
        <w:tab/>
      </w:r>
    </w:p>
    <w:p w14:paraId="6759C93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1.设计费计取的原则：</w:t>
      </w:r>
      <w:r>
        <w:rPr>
          <w:rFonts w:hint="eastAsia" w:asciiTheme="minorEastAsia" w:hAnsiTheme="minorEastAsia" w:eastAsiaTheme="minorEastAsia"/>
          <w:sz w:val="24"/>
          <w:szCs w:val="24"/>
          <w:u w:val="single"/>
        </w:rPr>
        <w:t>本项目采用限额设计，项目设计费实行市场调节价，设计费总额暂以工程费用限额8837.94万元人民币元为收费计费额计算</w:t>
      </w:r>
      <w:r>
        <w:rPr>
          <w:rFonts w:hint="eastAsia" w:asciiTheme="minorEastAsia" w:hAnsiTheme="minorEastAsia" w:eastAsiaTheme="minorEastAsia"/>
          <w:sz w:val="24"/>
          <w:szCs w:val="24"/>
        </w:rPr>
        <w:t>；</w:t>
      </w:r>
    </w:p>
    <w:p w14:paraId="2724620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注：初步设计、施工图设计占全部设计工作量比例为90%，方案设计占全部设计工作量比例为10%,合同实施期间设计费按建设规模和设计工作量调整，但费率浮动幅度不变。</w:t>
      </w:r>
    </w:p>
    <w:p w14:paraId="491A4449">
      <w:pPr>
        <w:spacing w:line="360" w:lineRule="auto"/>
        <w:ind w:firstLine="480" w:firstLineChars="200"/>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rPr>
        <w:t>工程设计费</w:t>
      </w:r>
      <w:r>
        <w:rPr>
          <w:rFonts w:hint="eastAsia" w:asciiTheme="minorEastAsia" w:hAnsiTheme="minorEastAsia" w:eastAsiaTheme="minorEastAsia"/>
          <w:sz w:val="24"/>
        </w:rPr>
        <w:t>计费方式为总价包干</w:t>
      </w:r>
      <w:r>
        <w:rPr>
          <w:rFonts w:hint="eastAsia" w:cs="宋体" w:asciiTheme="minorEastAsia" w:hAnsiTheme="minorEastAsia" w:eastAsiaTheme="minorEastAsia"/>
          <w:sz w:val="24"/>
          <w:szCs w:val="24"/>
        </w:rPr>
        <w:t>，设计费已包含了完成本项目设计工作内容的全部费用，包含并不限于后续项目变更的设计工作量，项目概算内产生的变更调整等均不再另行增加设计费</w:t>
      </w:r>
      <w:r>
        <w:rPr>
          <w:rFonts w:hint="eastAsia" w:asciiTheme="minorEastAsia" w:hAnsiTheme="minorEastAsia" w:eastAsiaTheme="minorEastAsia"/>
          <w:sz w:val="24"/>
          <w:szCs w:val="24"/>
        </w:rPr>
        <w:t>。</w:t>
      </w:r>
    </w:p>
    <w:p w14:paraId="2D6BF2BA">
      <w:pPr>
        <w:pStyle w:val="2"/>
        <w:ind w:firstLine="480" w:firstLineChars="200"/>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u w:val="none"/>
        </w:rPr>
        <w:t>取得概算批复后，最终基本设计费按批复概算建安工程费与《</w:t>
      </w:r>
      <w:bookmarkStart w:id="15" w:name="OLE_LINK29"/>
      <w:bookmarkStart w:id="16" w:name="OLE_LINK28"/>
      <w:r>
        <w:rPr>
          <w:rFonts w:hint="eastAsia" w:cs="宋体" w:asciiTheme="minorEastAsia" w:hAnsiTheme="minorEastAsia" w:eastAsiaTheme="minorEastAsia"/>
          <w:kern w:val="2"/>
          <w:sz w:val="24"/>
          <w:szCs w:val="24"/>
          <w:u w:val="none"/>
        </w:rPr>
        <w:t>广东省第三荣军优抚医院新建医技综合大楼项目建议书批复</w:t>
      </w:r>
      <w:bookmarkEnd w:id="15"/>
      <w:bookmarkEnd w:id="16"/>
      <w:r>
        <w:rPr>
          <w:rFonts w:hint="eastAsia" w:cs="宋体" w:asciiTheme="minorEastAsia" w:hAnsiTheme="minorEastAsia" w:eastAsiaTheme="minorEastAsia"/>
          <w:kern w:val="2"/>
          <w:sz w:val="24"/>
          <w:szCs w:val="24"/>
          <w:u w:val="none"/>
        </w:rPr>
        <w:t>》中建安工程费进行等比例换算，并签订设计费包干价的补充协议，以此作为工程</w:t>
      </w:r>
      <w:r>
        <w:rPr>
          <w:rFonts w:hint="eastAsia" w:cs="宋体" w:asciiTheme="minorEastAsia" w:hAnsiTheme="minorEastAsia" w:eastAsiaTheme="minorEastAsia"/>
          <w:kern w:val="2"/>
          <w:sz w:val="24"/>
          <w:szCs w:val="24"/>
          <w:u w:val="none"/>
          <w:lang w:eastAsia="zh-CN"/>
        </w:rPr>
        <w:t>基本</w:t>
      </w:r>
      <w:r>
        <w:rPr>
          <w:rFonts w:hint="eastAsia" w:cs="宋体" w:asciiTheme="minorEastAsia" w:hAnsiTheme="minorEastAsia" w:eastAsiaTheme="minorEastAsia"/>
          <w:kern w:val="2"/>
          <w:sz w:val="24"/>
          <w:szCs w:val="24"/>
          <w:u w:val="none"/>
        </w:rPr>
        <w:t>设计费进度款支付及结算依据，同时，对</w:t>
      </w:r>
      <w:r>
        <w:rPr>
          <w:rFonts w:hint="eastAsia" w:cs="宋体" w:asciiTheme="minorEastAsia" w:hAnsiTheme="minorEastAsia" w:eastAsiaTheme="minorEastAsia"/>
          <w:kern w:val="2"/>
          <w:sz w:val="24"/>
          <w:szCs w:val="24"/>
          <w:u w:val="none"/>
          <w:lang w:eastAsia="zh-CN"/>
        </w:rPr>
        <w:t>基本</w:t>
      </w:r>
      <w:r>
        <w:rPr>
          <w:rFonts w:hint="eastAsia" w:cs="宋体" w:asciiTheme="minorEastAsia" w:hAnsiTheme="minorEastAsia" w:eastAsiaTheme="minorEastAsia"/>
          <w:kern w:val="2"/>
          <w:sz w:val="24"/>
          <w:szCs w:val="24"/>
          <w:u w:val="none"/>
        </w:rPr>
        <w:t>设计费进度款支付情况进行复核，多退少补。设计费等比例换算方法为，根据投标人的工程</w:t>
      </w:r>
      <w:r>
        <w:rPr>
          <w:rFonts w:hint="eastAsia" w:cs="宋体" w:asciiTheme="minorEastAsia" w:hAnsiTheme="minorEastAsia" w:eastAsiaTheme="minorEastAsia"/>
          <w:kern w:val="2"/>
          <w:sz w:val="24"/>
          <w:szCs w:val="24"/>
          <w:u w:val="none"/>
          <w:lang w:eastAsia="zh-CN"/>
        </w:rPr>
        <w:t>基本</w:t>
      </w:r>
      <w:r>
        <w:rPr>
          <w:rFonts w:hint="eastAsia" w:cs="宋体" w:asciiTheme="minorEastAsia" w:hAnsiTheme="minorEastAsia" w:eastAsiaTheme="minorEastAsia"/>
          <w:kern w:val="2"/>
          <w:sz w:val="24"/>
          <w:szCs w:val="24"/>
          <w:u w:val="none"/>
        </w:rPr>
        <w:t>设计费费率（中标工程</w:t>
      </w:r>
      <w:r>
        <w:rPr>
          <w:rFonts w:hint="eastAsia" w:cs="宋体" w:asciiTheme="minorEastAsia" w:hAnsiTheme="minorEastAsia" w:eastAsiaTheme="minorEastAsia"/>
          <w:kern w:val="2"/>
          <w:sz w:val="24"/>
          <w:szCs w:val="24"/>
          <w:u w:val="none"/>
          <w:lang w:eastAsia="zh-CN"/>
        </w:rPr>
        <w:t>基本</w:t>
      </w:r>
      <w:r>
        <w:rPr>
          <w:rFonts w:hint="eastAsia" w:cs="宋体" w:asciiTheme="minorEastAsia" w:hAnsiTheme="minorEastAsia" w:eastAsiaTheme="minorEastAsia"/>
          <w:kern w:val="2"/>
          <w:sz w:val="24"/>
          <w:szCs w:val="24"/>
          <w:u w:val="none"/>
        </w:rPr>
        <w:t>设计费费率=中标</w:t>
      </w:r>
      <w:r>
        <w:rPr>
          <w:rFonts w:hint="eastAsia" w:cs="宋体" w:asciiTheme="minorEastAsia" w:hAnsiTheme="minorEastAsia" w:eastAsiaTheme="minorEastAsia"/>
          <w:kern w:val="2"/>
          <w:sz w:val="24"/>
          <w:szCs w:val="24"/>
          <w:u w:val="none"/>
          <w:lang w:eastAsia="zh-CN"/>
        </w:rPr>
        <w:t>基本</w:t>
      </w:r>
      <w:r>
        <w:rPr>
          <w:rFonts w:hint="eastAsia" w:cs="宋体" w:asciiTheme="minorEastAsia" w:hAnsiTheme="minorEastAsia" w:eastAsiaTheme="minorEastAsia"/>
          <w:kern w:val="2"/>
          <w:sz w:val="24"/>
          <w:szCs w:val="24"/>
          <w:u w:val="none"/>
        </w:rPr>
        <w:t>设计费金额/《广东省第三荣军优抚医院新建医技综合大楼项目建议书批复》中建安工程费），工程设计费包干结算金额=批复概算建安工程费×中标工程</w:t>
      </w:r>
      <w:r>
        <w:rPr>
          <w:rFonts w:hint="eastAsia" w:cs="宋体" w:asciiTheme="minorEastAsia" w:hAnsiTheme="minorEastAsia" w:eastAsiaTheme="minorEastAsia"/>
          <w:kern w:val="2"/>
          <w:sz w:val="24"/>
          <w:szCs w:val="24"/>
          <w:u w:val="none"/>
          <w:lang w:eastAsia="zh-CN"/>
        </w:rPr>
        <w:t>基本</w:t>
      </w:r>
      <w:r>
        <w:rPr>
          <w:rFonts w:hint="eastAsia" w:cs="宋体" w:asciiTheme="minorEastAsia" w:hAnsiTheme="minorEastAsia" w:eastAsiaTheme="minorEastAsia"/>
          <w:kern w:val="2"/>
          <w:sz w:val="24"/>
          <w:szCs w:val="24"/>
          <w:u w:val="none"/>
        </w:rPr>
        <w:t>设计费费率。概算批复后</w:t>
      </w:r>
      <w:r>
        <w:rPr>
          <w:rFonts w:hint="eastAsia" w:cs="宋体" w:asciiTheme="minorEastAsia" w:hAnsiTheme="minorEastAsia" w:eastAsiaTheme="minorEastAsia"/>
          <w:kern w:val="2"/>
          <w:sz w:val="24"/>
          <w:szCs w:val="24"/>
          <w:u w:val="none"/>
          <w:lang w:eastAsia="zh-CN"/>
        </w:rPr>
        <w:t>只对基本设计费进行等比例换算调整。</w:t>
      </w:r>
      <w:r>
        <w:rPr>
          <w:rFonts w:hint="eastAsia" w:cs="宋体" w:asciiTheme="minorEastAsia" w:hAnsiTheme="minorEastAsia" w:eastAsiaTheme="minorEastAsia"/>
          <w:kern w:val="2"/>
          <w:sz w:val="24"/>
          <w:szCs w:val="24"/>
          <w:u w:val="none"/>
        </w:rPr>
        <w:t>竣工图编制费</w:t>
      </w:r>
      <w:r>
        <w:rPr>
          <w:rFonts w:hint="eastAsia" w:cs="宋体" w:asciiTheme="minorEastAsia" w:hAnsiTheme="minorEastAsia" w:eastAsiaTheme="minorEastAsia"/>
          <w:kern w:val="2"/>
          <w:sz w:val="24"/>
          <w:szCs w:val="24"/>
          <w:u w:val="none"/>
          <w:lang w:eastAsia="zh-CN"/>
        </w:rPr>
        <w:t>、</w:t>
      </w:r>
      <w:r>
        <w:rPr>
          <w:rFonts w:hint="eastAsia" w:cs="宋体" w:asciiTheme="minorEastAsia" w:hAnsiTheme="minorEastAsia" w:eastAsiaTheme="minorEastAsia"/>
          <w:kern w:val="2"/>
          <w:sz w:val="24"/>
          <w:szCs w:val="24"/>
          <w:u w:val="none"/>
        </w:rPr>
        <w:t>BIM技术应用费</w:t>
      </w:r>
      <w:r>
        <w:rPr>
          <w:rFonts w:hint="eastAsia" w:cs="宋体" w:asciiTheme="minorEastAsia" w:hAnsiTheme="minorEastAsia" w:eastAsiaTheme="minorEastAsia"/>
          <w:kern w:val="2"/>
          <w:sz w:val="24"/>
          <w:szCs w:val="24"/>
          <w:u w:val="none"/>
          <w:lang w:eastAsia="zh-CN"/>
        </w:rPr>
        <w:t>以及支付给未中标人的投标补偿不进行换算调整，按合同价总价包干。</w:t>
      </w:r>
    </w:p>
    <w:p w14:paraId="04370E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2.签约合同价为：</w:t>
      </w:r>
    </w:p>
    <w:p w14:paraId="461B160A">
      <w:pPr>
        <w:spacing w:line="360" w:lineRule="auto"/>
        <w:ind w:firstLine="600" w:firstLineChars="250"/>
        <w:rPr>
          <w:rFonts w:hint="default" w:eastAsia="宋体" w:asciiTheme="minorEastAsia" w:hAnsiTheme="minorEastAsia"/>
          <w:sz w:val="24"/>
          <w:szCs w:val="24"/>
          <w:lang w:val="en-US" w:eastAsia="zh-CN"/>
        </w:rPr>
      </w:pPr>
      <w:r>
        <w:rPr>
          <w:rFonts w:hint="eastAsia" w:asciiTheme="minorEastAsia" w:hAnsiTheme="minorEastAsia" w:eastAsiaTheme="minorEastAsia"/>
          <w:sz w:val="24"/>
          <w:szCs w:val="24"/>
        </w:rPr>
        <w:t>人民币（大写）（¥元）。</w:t>
      </w:r>
      <w:r>
        <w:rPr>
          <w:rFonts w:hint="eastAsia" w:asciiTheme="minorEastAsia" w:hAnsiTheme="minorEastAsia" w:eastAsiaTheme="minorEastAsia"/>
          <w:sz w:val="24"/>
          <w:szCs w:val="24"/>
          <w:lang w:eastAsia="zh-CN"/>
        </w:rPr>
        <w:t>其中，基本设计费</w:t>
      </w:r>
      <w:r>
        <w:rPr>
          <w:rFonts w:hint="eastAsia" w:asciiTheme="minorEastAsia" w:hAnsiTheme="minorEastAsia" w:eastAsiaTheme="minorEastAsia"/>
          <w:sz w:val="24"/>
          <w:szCs w:val="24"/>
          <w:lang w:val="en-US" w:eastAsia="zh-CN"/>
        </w:rPr>
        <w:t xml:space="preserve">  元</w:t>
      </w:r>
      <w:r>
        <w:rPr>
          <w:rFonts w:hint="eastAsia" w:asciiTheme="minorEastAsia" w:hAnsiTheme="minorEastAsia" w:eastAsiaTheme="minorEastAsia"/>
          <w:sz w:val="24"/>
          <w:szCs w:val="24"/>
          <w:lang w:eastAsia="zh-CN"/>
        </w:rPr>
        <w:t>，</w:t>
      </w:r>
      <w:r>
        <w:rPr>
          <w:rFonts w:hint="eastAsia" w:ascii="宋体" w:hAnsi="宋体"/>
          <w:sz w:val="24"/>
          <w:u w:val="single"/>
        </w:rPr>
        <w:t>竣工图编制费</w:t>
      </w:r>
      <w:r>
        <w:rPr>
          <w:rFonts w:hint="eastAsia" w:ascii="宋体" w:hAnsi="宋体"/>
          <w:sz w:val="24"/>
          <w:u w:val="single"/>
          <w:lang w:val="en-US" w:eastAsia="zh-CN"/>
        </w:rPr>
        <w:t xml:space="preserve">  </w:t>
      </w:r>
      <w:r>
        <w:rPr>
          <w:rFonts w:hint="eastAsia" w:ascii="宋体" w:hAnsi="宋体" w:cs="宋体"/>
          <w:sz w:val="24"/>
          <w:szCs w:val="22"/>
          <w:u w:val="single"/>
          <w:lang w:eastAsia="zh-CN"/>
        </w:rPr>
        <w:t>元，</w:t>
      </w:r>
      <w:r>
        <w:rPr>
          <w:rFonts w:hint="eastAsia" w:ascii="宋体" w:hAnsi="宋体" w:cs="宋体"/>
          <w:sz w:val="24"/>
          <w:szCs w:val="22"/>
          <w:u w:val="single"/>
        </w:rPr>
        <w:t>BIM技术应用费</w:t>
      </w:r>
      <w:r>
        <w:rPr>
          <w:rFonts w:hint="eastAsia" w:ascii="宋体" w:hAnsi="宋体" w:cs="宋体"/>
          <w:sz w:val="24"/>
          <w:szCs w:val="22"/>
          <w:u w:val="single"/>
          <w:lang w:val="en-US" w:eastAsia="zh-CN"/>
        </w:rPr>
        <w:t xml:space="preserve">  元。</w:t>
      </w:r>
    </w:p>
    <w:p w14:paraId="127CFDEA">
      <w:pPr>
        <w:spacing w:line="360" w:lineRule="auto"/>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设计费计费方式为总价包干，合同价总价包含方案设计费、初步设计费、施工图设计费及竣工图编制费以及：（1）办理《建设工程规划许可证》和《规划验收合格证》测量放线册和验线册的费用，以及办理《建设工程规划许可证》所需的安全评价等手续（若有）的费用；（2）绿建审查所需的各项检验检测费用；（3）用于项目的各类专家评审费用；（4）各类证照工本费、测量控制点购买费、土壤氡浓度检测费等费用；（5）外出参观考察的调研费；（6）驻场人员服务费。</w:t>
      </w:r>
    </w:p>
    <w:p w14:paraId="23F713EA">
      <w:pPr>
        <w:pStyle w:val="6"/>
        <w:spacing w:before="120" w:after="120" w:line="360" w:lineRule="auto"/>
        <w:rPr>
          <w:rFonts w:asciiTheme="minorEastAsia" w:hAnsiTheme="minorEastAsia" w:eastAsiaTheme="minorEastAsia"/>
          <w:b w:val="0"/>
          <w:sz w:val="24"/>
          <w:szCs w:val="24"/>
        </w:rPr>
      </w:pPr>
      <w:bookmarkStart w:id="17" w:name="_Toc351203485"/>
      <w:r>
        <w:rPr>
          <w:rFonts w:hint="eastAsia" w:asciiTheme="minorEastAsia" w:hAnsiTheme="minorEastAsia" w:eastAsiaTheme="minorEastAsia"/>
          <w:b w:val="0"/>
          <w:sz w:val="24"/>
          <w:szCs w:val="24"/>
        </w:rPr>
        <w:t>五、</w:t>
      </w:r>
      <w:bookmarkEnd w:id="17"/>
      <w:r>
        <w:rPr>
          <w:rFonts w:hint="eastAsia" w:asciiTheme="minorEastAsia" w:hAnsiTheme="minorEastAsia" w:eastAsiaTheme="minorEastAsia"/>
          <w:b w:val="0"/>
          <w:sz w:val="24"/>
          <w:szCs w:val="24"/>
        </w:rPr>
        <w:t>发包人代表与设计人项目负责人</w:t>
      </w:r>
    </w:p>
    <w:p w14:paraId="18067A6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发包人代表： 。</w:t>
      </w:r>
    </w:p>
    <w:p w14:paraId="356BEFA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设计人项目负责人：</w:t>
      </w:r>
      <w:r>
        <w:rPr>
          <w:rFonts w:hint="eastAsia" w:asciiTheme="minorEastAsia" w:hAnsiTheme="minorEastAsia" w:eastAsiaTheme="minorEastAsia"/>
          <w:sz w:val="24"/>
          <w:szCs w:val="24"/>
          <w:u w:val="single"/>
        </w:rPr>
        <w:t>                     </w:t>
      </w:r>
      <w:r>
        <w:rPr>
          <w:rFonts w:hint="eastAsia" w:asciiTheme="minorEastAsia" w:hAnsiTheme="minorEastAsia" w:eastAsiaTheme="minorEastAsia"/>
          <w:sz w:val="24"/>
          <w:szCs w:val="24"/>
        </w:rPr>
        <w:t>。</w:t>
      </w:r>
    </w:p>
    <w:p w14:paraId="12479108">
      <w:pPr>
        <w:pStyle w:val="6"/>
        <w:spacing w:before="120" w:after="120" w:line="360" w:lineRule="auto"/>
        <w:rPr>
          <w:rFonts w:asciiTheme="minorEastAsia" w:hAnsiTheme="minorEastAsia" w:eastAsiaTheme="minorEastAsia"/>
          <w:bCs w:val="0"/>
          <w:sz w:val="24"/>
          <w:szCs w:val="24"/>
        </w:rPr>
      </w:pPr>
      <w:bookmarkStart w:id="18" w:name="_Toc351203486"/>
      <w:r>
        <w:rPr>
          <w:rFonts w:hint="eastAsia" w:asciiTheme="minorEastAsia" w:hAnsiTheme="minorEastAsia" w:eastAsiaTheme="minorEastAsia"/>
          <w:b w:val="0"/>
          <w:sz w:val="24"/>
          <w:szCs w:val="24"/>
        </w:rPr>
        <w:t>六、合同文件构成</w:t>
      </w:r>
      <w:bookmarkEnd w:id="18"/>
    </w:p>
    <w:p w14:paraId="7652295C">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本协议书与下列文件一起构成合同文件：</w:t>
      </w:r>
    </w:p>
    <w:p w14:paraId="413BDEDF">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（1）专用合同条款及其附件； </w:t>
      </w:r>
    </w:p>
    <w:p w14:paraId="6CF1979C">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（2）通用合同条款； </w:t>
      </w:r>
    </w:p>
    <w:p w14:paraId="48556A6E">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（3）中标通知书（如果有）；</w:t>
      </w:r>
    </w:p>
    <w:p w14:paraId="391D9130">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（4）投标函及其附录（如果有）；</w:t>
      </w:r>
    </w:p>
    <w:p w14:paraId="1121911C">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（5）发包人要求；</w:t>
      </w:r>
    </w:p>
    <w:p w14:paraId="0F14FDAA">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（6）技术标准；</w:t>
      </w:r>
    </w:p>
    <w:p w14:paraId="57D67B12">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kern w:val="0"/>
          <w:sz w:val="24"/>
          <w:szCs w:val="24"/>
        </w:rPr>
        <w:t>（7）发包人提供的上一阶段图纸（如果有）；</w:t>
      </w:r>
    </w:p>
    <w:p w14:paraId="7B17EBAB">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（8）其他合同文件。</w:t>
      </w:r>
    </w:p>
    <w:p w14:paraId="7C4F66FE">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在合同履行过程中形成的与合同有关的文件均构成合同文件组成部分。</w:t>
      </w:r>
    </w:p>
    <w:p w14:paraId="685F3CCD">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上述各项合同文件包括合同当事人就该项合同文件所作出的补充和修改，属于同一类内容的文件，应以最新签署的为准。</w:t>
      </w:r>
    </w:p>
    <w:p w14:paraId="692AD625">
      <w:pPr>
        <w:pStyle w:val="6"/>
        <w:spacing w:before="120" w:after="120" w:line="360" w:lineRule="auto"/>
        <w:rPr>
          <w:rFonts w:asciiTheme="minorEastAsia" w:hAnsiTheme="minorEastAsia" w:eastAsiaTheme="minorEastAsia"/>
          <w:b w:val="0"/>
          <w:bCs w:val="0"/>
          <w:sz w:val="24"/>
          <w:szCs w:val="24"/>
        </w:rPr>
      </w:pPr>
      <w:bookmarkStart w:id="19" w:name="_Toc351203487"/>
      <w:r>
        <w:rPr>
          <w:rFonts w:hint="eastAsia" w:asciiTheme="minorEastAsia" w:hAnsiTheme="minorEastAsia" w:eastAsiaTheme="minorEastAsia"/>
          <w:b w:val="0"/>
          <w:sz w:val="24"/>
          <w:szCs w:val="24"/>
        </w:rPr>
        <w:t>七、承诺</w:t>
      </w:r>
      <w:bookmarkEnd w:id="19"/>
    </w:p>
    <w:p w14:paraId="1C3F285F">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1.发包人承诺按照法律规定履行项目审批手续，按照合同约定提供设计依据，并按合同约定的期限和方式支付合同价款。</w:t>
      </w:r>
    </w:p>
    <w:p w14:paraId="27FD8137">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2.设计人承诺按照法律和技术标准规定及合同约定提供工程设计服务。</w:t>
      </w:r>
    </w:p>
    <w:p w14:paraId="43A25392">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3.交易服务费由发包人支付，承包人代缴广州交易集团有限公司交易服务费，由广州交易集团有限公司向承包人开具增值税发票，其费用在承包人第一次请款时一并申请。</w:t>
      </w:r>
      <w:bookmarkStart w:id="20" w:name="_Toc351203488"/>
      <w:r>
        <w:rPr>
          <w:rFonts w:asciiTheme="minorEastAsia" w:hAnsiTheme="minorEastAsia" w:eastAsiaTheme="minorEastAsia"/>
          <w:bCs/>
          <w:sz w:val="24"/>
          <w:szCs w:val="24"/>
        </w:rPr>
        <w:t xml:space="preserve"> </w:t>
      </w:r>
    </w:p>
    <w:p w14:paraId="26193704">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八、词语含义</w:t>
      </w:r>
      <w:bookmarkEnd w:id="20"/>
    </w:p>
    <w:p w14:paraId="6D4995FC">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本协议书中词语含义与第二部分通用合同条款中赋予的含义相同。</w:t>
      </w:r>
    </w:p>
    <w:p w14:paraId="4CAF8A08">
      <w:pPr>
        <w:pStyle w:val="6"/>
        <w:spacing w:before="120" w:after="120" w:line="360" w:lineRule="auto"/>
        <w:rPr>
          <w:rFonts w:asciiTheme="minorEastAsia" w:hAnsiTheme="minorEastAsia" w:eastAsiaTheme="minorEastAsia"/>
          <w:bCs w:val="0"/>
          <w:sz w:val="24"/>
          <w:szCs w:val="24"/>
        </w:rPr>
      </w:pPr>
      <w:bookmarkStart w:id="21" w:name="_Toc351203490"/>
      <w:r>
        <w:rPr>
          <w:rFonts w:hint="eastAsia" w:asciiTheme="minorEastAsia" w:hAnsiTheme="minorEastAsia" w:eastAsiaTheme="minorEastAsia"/>
          <w:b w:val="0"/>
          <w:sz w:val="24"/>
          <w:szCs w:val="24"/>
        </w:rPr>
        <w:t>九、签订地点</w:t>
      </w:r>
      <w:bookmarkEnd w:id="21"/>
    </w:p>
    <w:p w14:paraId="05C229AE">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本合同在签订。</w:t>
      </w:r>
    </w:p>
    <w:p w14:paraId="667E0794">
      <w:pPr>
        <w:pStyle w:val="6"/>
        <w:spacing w:before="120" w:after="120" w:line="360" w:lineRule="auto"/>
        <w:rPr>
          <w:rFonts w:asciiTheme="minorEastAsia" w:hAnsiTheme="minorEastAsia" w:eastAsiaTheme="minorEastAsia"/>
          <w:bCs w:val="0"/>
          <w:sz w:val="24"/>
          <w:szCs w:val="24"/>
        </w:rPr>
      </w:pPr>
      <w:bookmarkStart w:id="22" w:name="_Toc351203491"/>
      <w:r>
        <w:rPr>
          <w:rFonts w:hint="eastAsia" w:asciiTheme="minorEastAsia" w:hAnsiTheme="minorEastAsia" w:eastAsiaTheme="minorEastAsia"/>
          <w:b w:val="0"/>
          <w:sz w:val="24"/>
          <w:szCs w:val="24"/>
        </w:rPr>
        <w:t>十、补充协议</w:t>
      </w:r>
      <w:bookmarkEnd w:id="22"/>
    </w:p>
    <w:p w14:paraId="22915EFC">
      <w:pPr>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bCs/>
          <w:sz w:val="24"/>
          <w:szCs w:val="24"/>
        </w:rPr>
        <w:t>本合同未尽事宜，在不违背《中华人民共和国招标投标法》等法律规定及招投标文件的前提下，合同当事人另行签订补充协议，补充协议是合同的组成部分。</w:t>
      </w:r>
    </w:p>
    <w:p w14:paraId="643AFE81">
      <w:pPr>
        <w:pStyle w:val="6"/>
        <w:spacing w:before="120" w:after="120" w:line="360" w:lineRule="auto"/>
        <w:rPr>
          <w:rFonts w:asciiTheme="minorEastAsia" w:hAnsiTheme="minorEastAsia" w:eastAsiaTheme="minorEastAsia"/>
          <w:bCs w:val="0"/>
          <w:sz w:val="24"/>
          <w:szCs w:val="24"/>
        </w:rPr>
      </w:pPr>
      <w:bookmarkStart w:id="23" w:name="_Toc351203492"/>
      <w:r>
        <w:rPr>
          <w:rFonts w:hint="eastAsia" w:asciiTheme="minorEastAsia" w:hAnsiTheme="minorEastAsia" w:eastAsiaTheme="minorEastAsia"/>
          <w:b w:val="0"/>
          <w:sz w:val="24"/>
          <w:szCs w:val="24"/>
        </w:rPr>
        <w:t>十一、合同生效</w:t>
      </w:r>
      <w:bookmarkEnd w:id="23"/>
    </w:p>
    <w:p w14:paraId="0DA75F11">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本合同自</w:t>
      </w:r>
      <w:r>
        <w:rPr>
          <w:rFonts w:hint="eastAsia" w:asciiTheme="minorEastAsia" w:hAnsiTheme="minorEastAsia" w:eastAsiaTheme="minorEastAsia"/>
          <w:bCs/>
          <w:sz w:val="24"/>
          <w:szCs w:val="24"/>
          <w:u w:val="single"/>
        </w:rPr>
        <w:t xml:space="preserve">  合同双方当事人签字盖章之日起   </w:t>
      </w:r>
      <w:r>
        <w:rPr>
          <w:rFonts w:hint="eastAsia" w:asciiTheme="minorEastAsia" w:hAnsiTheme="minorEastAsia" w:eastAsiaTheme="minorEastAsia"/>
          <w:bCs/>
          <w:sz w:val="24"/>
          <w:szCs w:val="24"/>
        </w:rPr>
        <w:t>生效。</w:t>
      </w:r>
    </w:p>
    <w:p w14:paraId="201A4F81">
      <w:pPr>
        <w:pStyle w:val="6"/>
        <w:spacing w:before="120" w:after="120" w:line="360" w:lineRule="auto"/>
        <w:rPr>
          <w:rFonts w:asciiTheme="minorEastAsia" w:hAnsiTheme="minorEastAsia" w:eastAsiaTheme="minorEastAsia"/>
          <w:bCs w:val="0"/>
          <w:sz w:val="24"/>
          <w:szCs w:val="24"/>
        </w:rPr>
      </w:pPr>
      <w:bookmarkStart w:id="24" w:name="_Toc351203493"/>
      <w:r>
        <w:rPr>
          <w:rFonts w:hint="eastAsia" w:asciiTheme="minorEastAsia" w:hAnsiTheme="minorEastAsia" w:eastAsiaTheme="minorEastAsia"/>
          <w:b w:val="0"/>
          <w:sz w:val="24"/>
          <w:szCs w:val="24"/>
        </w:rPr>
        <w:t>十二、合同份数</w:t>
      </w:r>
      <w:bookmarkEnd w:id="24"/>
    </w:p>
    <w:p w14:paraId="6382458D">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本合同正本一式</w:t>
      </w:r>
      <w:r>
        <w:rPr>
          <w:rFonts w:hint="eastAsia" w:asciiTheme="minorEastAsia" w:hAnsiTheme="minorEastAsia" w:eastAsiaTheme="minorEastAsia"/>
          <w:bCs/>
          <w:sz w:val="24"/>
          <w:szCs w:val="24"/>
          <w:u w:val="single"/>
        </w:rPr>
        <w:t xml:space="preserve">  贰  </w:t>
      </w:r>
      <w:r>
        <w:rPr>
          <w:rFonts w:hint="eastAsia" w:asciiTheme="minorEastAsia" w:hAnsiTheme="minorEastAsia" w:eastAsiaTheme="minorEastAsia"/>
          <w:bCs/>
          <w:sz w:val="24"/>
          <w:szCs w:val="24"/>
        </w:rPr>
        <w:t>份、副本一式</w:t>
      </w:r>
      <w:r>
        <w:rPr>
          <w:rFonts w:hint="eastAsia" w:asciiTheme="minorEastAsia" w:hAnsiTheme="minorEastAsia" w:eastAsiaTheme="minorEastAsia"/>
          <w:bCs/>
          <w:sz w:val="24"/>
          <w:szCs w:val="24"/>
          <w:u w:val="single"/>
        </w:rPr>
        <w:t xml:space="preserve"> 拾   </w:t>
      </w:r>
      <w:r>
        <w:rPr>
          <w:rFonts w:hint="eastAsia" w:asciiTheme="minorEastAsia" w:hAnsiTheme="minorEastAsia" w:eastAsiaTheme="minorEastAsia"/>
          <w:bCs/>
          <w:sz w:val="24"/>
          <w:szCs w:val="24"/>
        </w:rPr>
        <w:t>份，均具有同等法律效力，发包人执正本</w:t>
      </w:r>
      <w:r>
        <w:rPr>
          <w:rFonts w:hint="eastAsia" w:asciiTheme="minorEastAsia" w:hAnsiTheme="minorEastAsia" w:eastAsiaTheme="minorEastAsia"/>
          <w:bCs/>
          <w:sz w:val="24"/>
          <w:szCs w:val="24"/>
          <w:u w:val="single"/>
        </w:rPr>
        <w:t xml:space="preserve">  壹  </w:t>
      </w:r>
      <w:r>
        <w:rPr>
          <w:rFonts w:hint="eastAsia" w:asciiTheme="minorEastAsia" w:hAnsiTheme="minorEastAsia" w:eastAsiaTheme="minorEastAsia"/>
          <w:bCs/>
          <w:sz w:val="24"/>
          <w:szCs w:val="24"/>
        </w:rPr>
        <w:t>份、副本</w:t>
      </w:r>
      <w:r>
        <w:rPr>
          <w:rFonts w:hint="eastAsia" w:asciiTheme="minorEastAsia" w:hAnsiTheme="minorEastAsia" w:eastAsiaTheme="minorEastAsia"/>
          <w:bCs/>
          <w:sz w:val="24"/>
          <w:szCs w:val="24"/>
          <w:u w:val="single"/>
        </w:rPr>
        <w:t xml:space="preserve">  捌  </w:t>
      </w:r>
      <w:r>
        <w:rPr>
          <w:rFonts w:hint="eastAsia" w:asciiTheme="minorEastAsia" w:hAnsiTheme="minorEastAsia" w:eastAsiaTheme="minorEastAsia"/>
          <w:bCs/>
          <w:sz w:val="24"/>
          <w:szCs w:val="24"/>
        </w:rPr>
        <w:t>份，设计人执正本</w:t>
      </w:r>
      <w:r>
        <w:rPr>
          <w:rFonts w:hint="eastAsia" w:asciiTheme="minorEastAsia" w:hAnsiTheme="minorEastAsia" w:eastAsiaTheme="minorEastAsia"/>
          <w:bCs/>
          <w:sz w:val="24"/>
          <w:szCs w:val="24"/>
          <w:u w:val="single"/>
        </w:rPr>
        <w:t xml:space="preserve">  壹  </w:t>
      </w:r>
      <w:r>
        <w:rPr>
          <w:rFonts w:hint="eastAsia" w:asciiTheme="minorEastAsia" w:hAnsiTheme="minorEastAsia" w:eastAsiaTheme="minorEastAsia"/>
          <w:bCs/>
          <w:sz w:val="24"/>
          <w:szCs w:val="24"/>
        </w:rPr>
        <w:t>份、副本</w:t>
      </w:r>
      <w:r>
        <w:rPr>
          <w:rFonts w:hint="eastAsia" w:asciiTheme="minorEastAsia" w:hAnsiTheme="minorEastAsia" w:eastAsiaTheme="minorEastAsia"/>
          <w:bCs/>
          <w:sz w:val="24"/>
          <w:szCs w:val="24"/>
          <w:u w:val="single"/>
        </w:rPr>
        <w:t xml:space="preserve">  贰   </w:t>
      </w:r>
      <w:r>
        <w:rPr>
          <w:rFonts w:hint="eastAsia" w:asciiTheme="minorEastAsia" w:hAnsiTheme="minorEastAsia" w:eastAsiaTheme="minorEastAsia"/>
          <w:bCs/>
          <w:sz w:val="24"/>
          <w:szCs w:val="24"/>
        </w:rPr>
        <w:t>份。</w:t>
      </w:r>
    </w:p>
    <w:p w14:paraId="69E68FF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十三、其他</w:t>
      </w:r>
    </w:p>
    <w:p w14:paraId="6A829DE1">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承包人未按合同要求或招标文件约定履行相关义务（包括但不限于未按发包人要求开展工作、未及时提交履约保函、未按投标文件中的承诺投入设计人员、擅自更换设计负责人、未按发包人要求缴纳违约罚金、未按发包人要求参加例会等），承包人将被按一般违约或严重违约进行处罚，发包人有权从中标合同金额中扣除相应罚金；因承包单位原因引起诉讼、仲裁的，给省代建局造成经济损失的(包括不限于律师代理费、专家咨询费、诉讼及仲裁等相关费用)，承包人应向发包人赔偿因其造成的直接经济损失。发生上述情况的，发包人有权视情况认为承包人存在不诚信行为或不充分履约行为，发包人有权将承包人纳入发包人拒绝投标名单。</w:t>
      </w:r>
    </w:p>
    <w:p w14:paraId="37A206B4">
      <w:pPr>
        <w:spacing w:line="360" w:lineRule="auto"/>
        <w:rPr>
          <w:rFonts w:asciiTheme="minorEastAsia" w:hAnsiTheme="minorEastAsia" w:eastAsiaTheme="minorEastAsia"/>
          <w:sz w:val="24"/>
          <w:szCs w:val="24"/>
        </w:rPr>
      </w:pPr>
    </w:p>
    <w:p w14:paraId="2C36424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发包人：广东省代建项目管理局  　　　设计人：  （盖章）</w:t>
      </w:r>
    </w:p>
    <w:p w14:paraId="702FA35F">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（盖章）           </w:t>
      </w:r>
    </w:p>
    <w:p w14:paraId="26818AE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  　　　　法定代表人或其委托代理人：</w:t>
      </w:r>
    </w:p>
    <w:p w14:paraId="2AA9CF3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（签字）                    　　　　（签字）</w:t>
      </w:r>
    </w:p>
    <w:p w14:paraId="0C84E884">
      <w:pPr>
        <w:spacing w:line="360" w:lineRule="auto"/>
        <w:rPr>
          <w:rFonts w:asciiTheme="minorEastAsia" w:hAnsiTheme="minorEastAsia" w:eastAsiaTheme="minorEastAsia"/>
          <w:sz w:val="24"/>
          <w:szCs w:val="24"/>
          <w:u w:val="single"/>
        </w:rPr>
      </w:pPr>
    </w:p>
    <w:p w14:paraId="1C00833F">
      <w:pPr>
        <w:tabs>
          <w:tab w:val="left" w:pos="441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组织机构代码：</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 xml:space="preserve">  　　　　组织机构代码：</w:t>
      </w:r>
      <w:r>
        <w:rPr>
          <w:rFonts w:hint="eastAsia" w:asciiTheme="minorEastAsia" w:hAnsiTheme="minorEastAsia" w:eastAsiaTheme="minorEastAsia"/>
          <w:sz w:val="24"/>
          <w:szCs w:val="24"/>
          <w:u w:val="single"/>
        </w:rPr>
        <w:t xml:space="preserve">          </w:t>
      </w:r>
    </w:p>
    <w:p w14:paraId="7CD4A8A3">
      <w:pPr>
        <w:tabs>
          <w:tab w:val="left" w:pos="441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纳税人识别码：  纳税人识别码：</w:t>
      </w:r>
    </w:p>
    <w:p w14:paraId="315B5552">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  址：</w:t>
      </w:r>
      <w:r>
        <w:rPr>
          <w:rFonts w:hint="eastAsia" w:asciiTheme="minorEastAsia" w:hAnsiTheme="minorEastAsia" w:eastAsiaTheme="minorEastAsia"/>
          <w:sz w:val="24"/>
          <w:szCs w:val="24"/>
          <w:u w:val="single"/>
        </w:rPr>
        <w:t xml:space="preserve">广州市黄埔大道西   </w:t>
      </w:r>
      <w:r>
        <w:rPr>
          <w:rFonts w:hint="eastAsia" w:asciiTheme="minorEastAsia" w:hAnsiTheme="minorEastAsia" w:eastAsiaTheme="minorEastAsia"/>
          <w:sz w:val="24"/>
          <w:szCs w:val="24"/>
        </w:rPr>
        <w:t xml:space="preserve">  　　　　地  址：</w:t>
      </w:r>
      <w:r>
        <w:rPr>
          <w:rFonts w:hint="eastAsia" w:asciiTheme="minorEastAsia" w:hAnsiTheme="minorEastAsia" w:eastAsiaTheme="minorEastAsia"/>
          <w:sz w:val="24"/>
          <w:szCs w:val="24"/>
          <w:u w:val="single"/>
        </w:rPr>
        <w:t xml:space="preserve">        </w:t>
      </w:r>
    </w:p>
    <w:p w14:paraId="7294817B">
      <w:pPr>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108号11楼 </w:t>
      </w:r>
    </w:p>
    <w:p w14:paraId="5AFF009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邮政编码：</w:t>
      </w:r>
      <w:r>
        <w:rPr>
          <w:rFonts w:hint="eastAsia" w:asciiTheme="minorEastAsia" w:hAnsiTheme="minorEastAsia" w:eastAsiaTheme="minorEastAsia"/>
          <w:sz w:val="24"/>
          <w:szCs w:val="24"/>
          <w:u w:val="single"/>
        </w:rPr>
        <w:t xml:space="preserve"> 510060         </w:t>
      </w:r>
      <w:r>
        <w:rPr>
          <w:rFonts w:hint="eastAsia" w:asciiTheme="minorEastAsia" w:hAnsiTheme="minorEastAsia" w:eastAsiaTheme="minorEastAsia"/>
          <w:sz w:val="24"/>
          <w:szCs w:val="24"/>
        </w:rPr>
        <w:t xml:space="preserve">  　　　　　邮政编码：</w:t>
      </w:r>
      <w:r>
        <w:rPr>
          <w:rFonts w:hint="eastAsia" w:asciiTheme="minorEastAsia" w:hAnsiTheme="minorEastAsia" w:eastAsiaTheme="minorEastAsia"/>
          <w:sz w:val="24"/>
          <w:szCs w:val="24"/>
          <w:u w:val="single"/>
        </w:rPr>
        <w:t xml:space="preserve">   </w:t>
      </w:r>
    </w:p>
    <w:p w14:paraId="7E52A62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 xml:space="preserve">  　　　　法定代表人：</w:t>
      </w:r>
      <w:r>
        <w:rPr>
          <w:rFonts w:hint="eastAsia" w:asciiTheme="minorEastAsia" w:hAnsiTheme="minorEastAsia" w:eastAsiaTheme="minorEastAsia"/>
          <w:sz w:val="24"/>
          <w:szCs w:val="24"/>
          <w:u w:val="single"/>
        </w:rPr>
        <w:t xml:space="preserve">             </w:t>
      </w:r>
    </w:p>
    <w:p w14:paraId="2F2F980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委托代理人：</w:t>
      </w:r>
      <w:r>
        <w:rPr>
          <w:rFonts w:hint="eastAsia" w:asciiTheme="minorEastAsia" w:hAnsiTheme="minorEastAsia" w:eastAsiaTheme="minorEastAsia"/>
          <w:sz w:val="24"/>
          <w:szCs w:val="24"/>
          <w:u w:val="single"/>
        </w:rPr>
        <w:t xml:space="preserve">             </w:t>
      </w:r>
    </w:p>
    <w:p w14:paraId="1DD624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  话：</w:t>
      </w:r>
      <w:r>
        <w:rPr>
          <w:rFonts w:hint="eastAsia" w:asciiTheme="minorEastAsia" w:hAnsiTheme="minorEastAsia" w:eastAsiaTheme="minorEastAsia"/>
          <w:sz w:val="24"/>
          <w:szCs w:val="24"/>
          <w:u w:val="single"/>
        </w:rPr>
        <w:t xml:space="preserve">020-8362082    </w:t>
      </w:r>
      <w:r>
        <w:rPr>
          <w:rFonts w:hint="eastAsia" w:asciiTheme="minorEastAsia" w:hAnsiTheme="minorEastAsia" w:eastAsiaTheme="minorEastAsia"/>
          <w:sz w:val="24"/>
          <w:szCs w:val="24"/>
        </w:rPr>
        <w:t xml:space="preserve">  　　　　电  话：</w:t>
      </w:r>
      <w:r>
        <w:rPr>
          <w:rFonts w:hint="eastAsia" w:asciiTheme="minorEastAsia" w:hAnsiTheme="minorEastAsia" w:eastAsiaTheme="minorEastAsia"/>
          <w:sz w:val="24"/>
          <w:szCs w:val="24"/>
          <w:u w:val="single"/>
        </w:rPr>
        <w:t xml:space="preserve">     </w:t>
      </w:r>
    </w:p>
    <w:p w14:paraId="261127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传  真：</w:t>
      </w:r>
      <w:r>
        <w:rPr>
          <w:rFonts w:hint="eastAsia" w:asciiTheme="minorEastAsia" w:hAnsiTheme="minorEastAsia" w:eastAsiaTheme="minorEastAsia"/>
          <w:sz w:val="24"/>
          <w:szCs w:val="24"/>
          <w:u w:val="single"/>
        </w:rPr>
        <w:t xml:space="preserve">020-83620823   </w:t>
      </w:r>
      <w:r>
        <w:rPr>
          <w:rFonts w:hint="eastAsia" w:asciiTheme="minorEastAsia" w:hAnsiTheme="minorEastAsia" w:eastAsiaTheme="minorEastAsia"/>
          <w:sz w:val="24"/>
          <w:szCs w:val="24"/>
        </w:rPr>
        <w:t xml:space="preserve">  　　　　传  真：</w:t>
      </w:r>
      <w:r>
        <w:rPr>
          <w:rFonts w:hint="eastAsia" w:asciiTheme="minorEastAsia" w:hAnsiTheme="minorEastAsia" w:eastAsiaTheme="minorEastAsia"/>
          <w:sz w:val="24"/>
          <w:szCs w:val="24"/>
          <w:u w:val="single"/>
        </w:rPr>
        <w:t xml:space="preserve">     </w:t>
      </w:r>
    </w:p>
    <w:p w14:paraId="7B5A863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电子信箱：  　　　　　　　　　　　　　电子信箱：</w:t>
      </w:r>
      <w:r>
        <w:rPr>
          <w:rFonts w:hint="eastAsia" w:asciiTheme="minorEastAsia" w:hAnsiTheme="minorEastAsia" w:eastAsiaTheme="minorEastAsia"/>
          <w:sz w:val="24"/>
          <w:szCs w:val="24"/>
          <w:u w:val="single"/>
        </w:rPr>
        <w:t xml:space="preserve">   </w:t>
      </w:r>
    </w:p>
    <w:p w14:paraId="3128A15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开户银行：</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开户银行：</w:t>
      </w:r>
      <w:r>
        <w:rPr>
          <w:rFonts w:hint="eastAsia" w:asciiTheme="minorEastAsia" w:hAnsiTheme="minorEastAsia" w:eastAsiaTheme="minorEastAsia"/>
          <w:sz w:val="24"/>
          <w:szCs w:val="24"/>
          <w:u w:val="single"/>
        </w:rPr>
        <w:t xml:space="preserve">   </w:t>
      </w:r>
    </w:p>
    <w:p w14:paraId="02AB393F">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账  号：</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 xml:space="preserve">   　　　　账  号：</w:t>
      </w:r>
      <w:r>
        <w:rPr>
          <w:rFonts w:hint="eastAsia" w:asciiTheme="minorEastAsia" w:hAnsiTheme="minorEastAsia" w:eastAsiaTheme="minorEastAsia"/>
          <w:sz w:val="24"/>
          <w:szCs w:val="24"/>
          <w:u w:val="single"/>
        </w:rPr>
        <w:t xml:space="preserve">     </w:t>
      </w:r>
    </w:p>
    <w:p w14:paraId="7C8BEC5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时  间：年月日     　　　　　　　　　　时  间：年月日</w:t>
      </w:r>
    </w:p>
    <w:p w14:paraId="347B9675">
      <w:pPr>
        <w:pStyle w:val="5"/>
        <w:spacing w:line="360" w:lineRule="auto"/>
        <w:jc w:val="center"/>
        <w:rPr>
          <w:rFonts w:asciiTheme="minorEastAsia" w:hAnsiTheme="minorEastAsia" w:eastAsiaTheme="minorEastAsia"/>
          <w:sz w:val="44"/>
          <w:szCs w:val="44"/>
        </w:rPr>
      </w:pPr>
      <w:bookmarkStart w:id="25" w:name="_Toc351203494"/>
      <w:r>
        <w:rPr>
          <w:rFonts w:hint="eastAsia" w:asciiTheme="minorEastAsia" w:hAnsiTheme="minorEastAsia" w:eastAsiaTheme="minorEastAsia"/>
          <w:sz w:val="44"/>
          <w:szCs w:val="44"/>
        </w:rPr>
        <w:br w:type="page"/>
      </w:r>
      <w:r>
        <w:rPr>
          <w:rFonts w:hint="eastAsia" w:asciiTheme="minorEastAsia" w:hAnsiTheme="minorEastAsia" w:eastAsiaTheme="minorEastAsia"/>
          <w:sz w:val="44"/>
          <w:szCs w:val="44"/>
        </w:rPr>
        <w:t>第二部分 通用合同条款</w:t>
      </w:r>
      <w:bookmarkEnd w:id="25"/>
      <w:bookmarkStart w:id="26" w:name="_Toc337558727"/>
    </w:p>
    <w:p w14:paraId="66AA10F5">
      <w:pPr>
        <w:pStyle w:val="6"/>
        <w:spacing w:before="120" w:after="120" w:line="360" w:lineRule="auto"/>
        <w:rPr>
          <w:rFonts w:asciiTheme="minorEastAsia" w:hAnsiTheme="minorEastAsia" w:eastAsiaTheme="minorEastAsia"/>
          <w:b w:val="0"/>
          <w:sz w:val="24"/>
          <w:szCs w:val="24"/>
        </w:rPr>
      </w:pPr>
      <w:bookmarkStart w:id="27" w:name="_Toc351203495"/>
      <w:r>
        <w:rPr>
          <w:rFonts w:hint="eastAsia" w:asciiTheme="minorEastAsia" w:hAnsiTheme="minorEastAsia" w:eastAsiaTheme="minorEastAsia"/>
          <w:b w:val="0"/>
          <w:sz w:val="24"/>
          <w:szCs w:val="24"/>
        </w:rPr>
        <w:t>1.</w:t>
      </w:r>
      <w:bookmarkStart w:id="28" w:name="_Toc303538976"/>
      <w:bookmarkEnd w:id="28"/>
      <w:bookmarkStart w:id="29" w:name="_Toc303538973"/>
      <w:bookmarkEnd w:id="29"/>
      <w:bookmarkStart w:id="30" w:name="_Toc303538975"/>
      <w:bookmarkEnd w:id="30"/>
      <w:bookmarkStart w:id="31" w:name="_Toc303538972"/>
      <w:bookmarkEnd w:id="31"/>
      <w:bookmarkStart w:id="32" w:name="_Toc303538974"/>
      <w:bookmarkEnd w:id="32"/>
      <w:bookmarkStart w:id="33" w:name="_Toc296346528"/>
      <w:bookmarkStart w:id="34" w:name="_Toc296503027"/>
      <w:r>
        <w:rPr>
          <w:rFonts w:hint="eastAsia" w:asciiTheme="minorEastAsia" w:hAnsiTheme="minorEastAsia" w:eastAsiaTheme="minorEastAsia"/>
          <w:b w:val="0"/>
          <w:sz w:val="24"/>
          <w:szCs w:val="24"/>
        </w:rPr>
        <w:t xml:space="preserve"> 一般约定</w:t>
      </w:r>
      <w:bookmarkEnd w:id="26"/>
      <w:bookmarkEnd w:id="27"/>
      <w:bookmarkEnd w:id="33"/>
      <w:bookmarkEnd w:id="34"/>
    </w:p>
    <w:p w14:paraId="14FCA350">
      <w:pPr>
        <w:pStyle w:val="7"/>
        <w:spacing w:before="120" w:after="120" w:line="360" w:lineRule="auto"/>
        <w:ind w:firstLine="480" w:firstLineChars="200"/>
        <w:rPr>
          <w:rFonts w:asciiTheme="minorEastAsia" w:hAnsiTheme="minorEastAsia" w:eastAsiaTheme="minorEastAsia"/>
          <w:b w:val="0"/>
          <w:sz w:val="24"/>
          <w:szCs w:val="24"/>
        </w:rPr>
      </w:pPr>
      <w:bookmarkStart w:id="35" w:name="_Toc337558728"/>
      <w:bookmarkStart w:id="36" w:name="_Toc296503028"/>
      <w:bookmarkStart w:id="37" w:name="_Toc296346529"/>
      <w:bookmarkStart w:id="38" w:name="_Toc351203496"/>
      <w:r>
        <w:rPr>
          <w:rFonts w:hint="eastAsia" w:asciiTheme="minorEastAsia" w:hAnsiTheme="minorEastAsia" w:eastAsiaTheme="minorEastAsia"/>
          <w:b w:val="0"/>
          <w:sz w:val="24"/>
          <w:szCs w:val="24"/>
        </w:rPr>
        <w:t>1.1 词语定义</w:t>
      </w:r>
      <w:bookmarkEnd w:id="35"/>
      <w:bookmarkEnd w:id="36"/>
      <w:bookmarkEnd w:id="37"/>
      <w:r>
        <w:rPr>
          <w:rFonts w:hint="eastAsia" w:asciiTheme="minorEastAsia" w:hAnsiTheme="minorEastAsia" w:eastAsiaTheme="minorEastAsia"/>
          <w:b w:val="0"/>
          <w:sz w:val="24"/>
          <w:szCs w:val="24"/>
        </w:rPr>
        <w:t>与解释</w:t>
      </w:r>
      <w:bookmarkEnd w:id="38"/>
    </w:p>
    <w:p w14:paraId="4B9A21B0">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合同协议书、通用合同条款、专用合同条款中的下列词语具有本款所赋予的含义：</w:t>
      </w:r>
    </w:p>
    <w:p w14:paraId="1D23055E">
      <w:pPr>
        <w:autoSpaceDE w:val="0"/>
        <w:autoSpaceDN w:val="0"/>
        <w:adjustRightInd w:val="0"/>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1.1.1 合同</w:t>
      </w:r>
    </w:p>
    <w:p w14:paraId="0A56F229">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1.1.1.1 合同：是指根据法律规定和合同当事人约定具有约束力的文件，构成合同的文件包括合同协议书、专用合同条款</w:t>
      </w:r>
      <w:r>
        <w:rPr>
          <w:rFonts w:hint="eastAsia" w:asciiTheme="minorEastAsia" w:hAnsiTheme="minorEastAsia" w:eastAsiaTheme="minorEastAsia"/>
          <w:sz w:val="24"/>
          <w:szCs w:val="24"/>
        </w:rPr>
        <w:t>及其附件</w:t>
      </w:r>
      <w:r>
        <w:rPr>
          <w:rFonts w:hint="eastAsia" w:asciiTheme="minorEastAsia" w:hAnsiTheme="minorEastAsia" w:eastAsiaTheme="minorEastAsia"/>
          <w:kern w:val="0"/>
          <w:sz w:val="24"/>
          <w:szCs w:val="24"/>
        </w:rPr>
        <w:t>、通用合同条款、中标通知书（如果有）、投标函及其附录（如果有）、发包人要求、技术标准、发包人提供的上一阶段图纸（如果有）以及其他合同文件。</w:t>
      </w:r>
    </w:p>
    <w:p w14:paraId="2DCEBB61">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1.1.1.2 合同协议书：是指构成合同的由发包人和设计人共同签署的称为“合同协议书”的书面文件。</w:t>
      </w:r>
    </w:p>
    <w:p w14:paraId="31CEBF75">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1.1.1.3 中标通知书：是指构成合同的由发包人通知设计人中标的书面文件。</w:t>
      </w:r>
    </w:p>
    <w:p w14:paraId="1C6436E9">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1.1.1.4 投标函：是指构成合同的由设计人填写并签署的用于投标的称为“投标函”的文件。</w:t>
      </w:r>
    </w:p>
    <w:p w14:paraId="277A866C">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1.1.1.5 投标函附录：是指构成合同的附在投标函后的称为“投标函附录”的文件。</w:t>
      </w:r>
    </w:p>
    <w:p w14:paraId="6563D6D5">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1.1.1.6 发包人要求：是指构成合同文件组成部分的，由发包人就工程项目的目的、范围、功能要求及工程设计文件审查的范围和内容等提出相应要求的书面文件，又称设计任务书。</w:t>
      </w:r>
    </w:p>
    <w:p w14:paraId="63B6451D">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1.1.1.7 技术标准：是指构成合同的设计应当遵守的或指导设计的国家、行业或地方的技术标准和要求，以及合同约定的技术标准和要求。</w:t>
      </w:r>
    </w:p>
    <w:p w14:paraId="13ACEA51">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1.1.1.8 其他合同文件：是指经合同当事人约定的与工程设计有关的具有合同约束力的文件或书面协议。合同当事人可以在专用合同条款中进行约定。</w:t>
      </w:r>
    </w:p>
    <w:p w14:paraId="657D8D9C">
      <w:pPr>
        <w:autoSpaceDE w:val="0"/>
        <w:autoSpaceDN w:val="0"/>
        <w:adjustRightInd w:val="0"/>
        <w:spacing w:line="360" w:lineRule="auto"/>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1.1.2 合同当事人及其他相关方</w:t>
      </w:r>
    </w:p>
    <w:p w14:paraId="354D8717">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1.1.2.1 合同当事人：是指发包人和（或）设计人。</w:t>
      </w:r>
    </w:p>
    <w:p w14:paraId="54C310F1">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1.1.2.2 发包人：是指与设计人签订合同协议书的当事人及取得该当事人资格的合法继承人。</w:t>
      </w:r>
    </w:p>
    <w:p w14:paraId="24D744AA">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1.1.2.3 设计人：是指与发包人签订合同协议书的，具有相应工程设计资质的当事人及取得该当事人资格的合法继承人。</w:t>
      </w:r>
    </w:p>
    <w:p w14:paraId="3E0DCFF9">
      <w:pPr>
        <w:spacing w:line="360" w:lineRule="auto"/>
        <w:ind w:firstLine="468" w:firstLineChars="195"/>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1.1.2.4 分包人：</w:t>
      </w:r>
      <w:bookmarkStart w:id="39" w:name="#go5"/>
      <w:bookmarkEnd w:id="39"/>
      <w:r>
        <w:rPr>
          <w:rFonts w:hint="eastAsia" w:asciiTheme="minorEastAsia" w:hAnsiTheme="minorEastAsia" w:eastAsiaTheme="minorEastAsia"/>
          <w:kern w:val="0"/>
          <w:sz w:val="24"/>
          <w:szCs w:val="24"/>
        </w:rPr>
        <w:t>是指按照法律规定和合同约定，分包部分工程设计工作，并与设计人签订分包合同的具有相应资质的法人。</w:t>
      </w:r>
    </w:p>
    <w:p w14:paraId="04ED9327">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1.1.2.5 发包人代表：是指由发包人指定负责工程设计方面在发包人授权范围内行使发包人权利的人。</w:t>
      </w:r>
    </w:p>
    <w:p w14:paraId="1745938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1.1.2.6 项目负责人：是指由设计人任命负责工程设计，在设计人授权范围内负责合同履行，且按照法律规定具有相应资格的项目主持人。</w:t>
      </w:r>
    </w:p>
    <w:p w14:paraId="2328D1F6">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1.1.2.7 联合体：是指两个以上设计人联合，以一个设计人身份为发包人提供工程设计服务的临时性组织。</w:t>
      </w:r>
    </w:p>
    <w:p w14:paraId="00A63DD7">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1.1.3 工程设计服务、资料与文件</w:t>
      </w:r>
    </w:p>
    <w:p w14:paraId="6B7D8D0E">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1.1.3.1 工程设计服务：是指设计人按照合同约定履行的服务，包括工程设计基本服务、工程设计其他服务。</w:t>
      </w:r>
    </w:p>
    <w:p w14:paraId="10A3C2A0">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39A64450">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竣工图编制服务等。</w:t>
      </w:r>
    </w:p>
    <w:p w14:paraId="6823298E">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1.1.3.4 暂停设计：是指发生设计人不能按照合同约定履行全部或部分义务情形而暂时中断工程设计服务的行为。</w:t>
      </w:r>
    </w:p>
    <w:p w14:paraId="25759787">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1.1.3.5 工程设计资料：是指</w:t>
      </w:r>
      <w:r>
        <w:rPr>
          <w:rFonts w:hint="eastAsia" w:cs="Courier New" w:asciiTheme="minorEastAsia" w:hAnsiTheme="minorEastAsia" w:eastAsiaTheme="minorEastAsia"/>
          <w:sz w:val="24"/>
          <w:szCs w:val="24"/>
        </w:rPr>
        <w:t>根据合同约定，发包人向设计人提供的用于完成工程设计范围与内容所需要的资料。</w:t>
      </w:r>
    </w:p>
    <w:p w14:paraId="7F9DC1FD">
      <w:pPr>
        <w:pStyle w:val="33"/>
        <w:spacing w:line="360" w:lineRule="auto"/>
        <w:ind w:left="0" w:leftChars="0" w:firstLine="456" w:firstLineChars="190"/>
        <w:rPr>
          <w:rFonts w:cs="Courier New" w:asciiTheme="minorEastAsia" w:hAnsiTheme="minorEastAsia" w:eastAsiaTheme="minorEastAsia"/>
          <w:sz w:val="24"/>
          <w:szCs w:val="24"/>
        </w:rPr>
      </w:pPr>
      <w:r>
        <w:rPr>
          <w:rFonts w:hint="eastAsia" w:asciiTheme="minorEastAsia" w:hAnsiTheme="minorEastAsia" w:eastAsiaTheme="minorEastAsia"/>
          <w:sz w:val="24"/>
          <w:szCs w:val="24"/>
        </w:rPr>
        <w:t>1.1.3.6 工程</w:t>
      </w:r>
      <w:r>
        <w:rPr>
          <w:rFonts w:hint="eastAsia" w:cs="Courier New" w:asciiTheme="minorEastAsia" w:hAnsiTheme="minorEastAsia" w:eastAsiaTheme="minorEastAsia"/>
          <w:sz w:val="24"/>
          <w:szCs w:val="24"/>
        </w:rPr>
        <w:t>设计文件：指按照合同约定和技术要求，由设计人向发包人提供的阶段性成果、最终工作成果等，且应当采用合同中双方约定的载体。</w:t>
      </w:r>
    </w:p>
    <w:p w14:paraId="1AC5BF53">
      <w:pPr>
        <w:pStyle w:val="33"/>
        <w:spacing w:after="0" w:line="360" w:lineRule="auto"/>
        <w:ind w:left="0" w:leftChars="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1.1.4 日期和期限</w:t>
      </w:r>
    </w:p>
    <w:p w14:paraId="14FDDFEE">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1.1.4.1 开始设计日期：包括计划开始设计日期和实际开始设计日期。计划开始设计日期是指合同协议书约定的开始设计日期；实际开始设计日期是指发包人发出的开始设计通知中载明的开始设计日期。</w:t>
      </w:r>
    </w:p>
    <w:p w14:paraId="1B3DA8E2">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40AD87F9">
      <w:pPr>
        <w:spacing w:line="360" w:lineRule="auto"/>
        <w:ind w:firstLine="487" w:firstLineChars="203"/>
        <w:rPr>
          <w:rFonts w:asciiTheme="minorEastAsia" w:hAnsiTheme="minorEastAsia" w:eastAsiaTheme="minorEastAsia"/>
          <w:sz w:val="24"/>
          <w:szCs w:val="24"/>
        </w:rPr>
      </w:pPr>
      <w:r>
        <w:rPr>
          <w:rFonts w:hint="eastAsia" w:asciiTheme="minorEastAsia" w:hAnsiTheme="minorEastAsia" w:eastAsiaTheme="minorEastAsia"/>
          <w:kern w:val="0"/>
          <w:sz w:val="24"/>
          <w:szCs w:val="24"/>
        </w:rPr>
        <w:t>1.1.4.3 设计周期又称设计工期：是指在合同协议书约定的设计人完成工程设计及相关服务所需的期限，包括按照合同约定所作的期限变更。</w:t>
      </w:r>
    </w:p>
    <w:p w14:paraId="0CBB92BE">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1.1.4.4 基准日期：招标发包的工程设计以投标截止日前28天的日期为基准日期，直接发包的工程设计以合同签订日前28天的日期为基准日期。</w:t>
      </w:r>
    </w:p>
    <w:p w14:paraId="76C30436">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1.1.4.5 天：除特别指明外，均指日历天。合同中按天计算时间的，开始当天不计入，从次日开始计算，期限最后一天的截止时间为当天24:00时。</w:t>
      </w:r>
    </w:p>
    <w:p w14:paraId="3BFE990B">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1.1.5 合同价格</w:t>
      </w:r>
    </w:p>
    <w:p w14:paraId="0CF433A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kern w:val="0"/>
          <w:sz w:val="24"/>
          <w:szCs w:val="24"/>
        </w:rPr>
        <w:t>1.1.5.1 签约合同价：是指</w:t>
      </w:r>
      <w:r>
        <w:rPr>
          <w:rFonts w:hint="eastAsia" w:asciiTheme="minorEastAsia" w:hAnsiTheme="minorEastAsia" w:eastAsiaTheme="minorEastAsia"/>
          <w:sz w:val="24"/>
          <w:szCs w:val="24"/>
        </w:rPr>
        <w:t>发包人和设计人在合同协议书中确定的总金额。</w:t>
      </w:r>
    </w:p>
    <w:p w14:paraId="03E1815A">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1.1.5.2 合同价格又称设计费：是指发包人用于支付设计人按照合同约定完成工程设计范围内全部工作的金额，包括合同履行过程中按合同约定发生的价格变化。</w:t>
      </w:r>
    </w:p>
    <w:p w14:paraId="5DEFC4B1">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1.1.6 其他</w:t>
      </w:r>
    </w:p>
    <w:p w14:paraId="51358EC0">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1.1.6.1 书面形式：是指合同书、信件和数据电文（包括电报、电传、传真、电子数据交换和电子邮件）等可以有形地表现所载内容的形式。</w:t>
      </w:r>
    </w:p>
    <w:p w14:paraId="40C11E53">
      <w:pPr>
        <w:pStyle w:val="7"/>
        <w:spacing w:before="120" w:after="120" w:line="360" w:lineRule="auto"/>
        <w:rPr>
          <w:rFonts w:asciiTheme="minorEastAsia" w:hAnsiTheme="minorEastAsia" w:eastAsiaTheme="minorEastAsia"/>
          <w:b w:val="0"/>
          <w:sz w:val="24"/>
          <w:szCs w:val="24"/>
        </w:rPr>
      </w:pPr>
      <w:bookmarkStart w:id="40" w:name="_Toc351203497"/>
      <w:bookmarkStart w:id="41" w:name="_Toc296346530"/>
      <w:bookmarkStart w:id="42" w:name="_Toc296503029"/>
      <w:bookmarkStart w:id="43" w:name="_Toc337558729"/>
      <w:r>
        <w:rPr>
          <w:rFonts w:hint="eastAsia" w:asciiTheme="minorEastAsia" w:hAnsiTheme="minorEastAsia" w:eastAsiaTheme="minorEastAsia"/>
          <w:b w:val="0"/>
          <w:sz w:val="24"/>
          <w:szCs w:val="24"/>
        </w:rPr>
        <w:t>1.2 语言文字</w:t>
      </w:r>
      <w:bookmarkEnd w:id="40"/>
      <w:bookmarkEnd w:id="41"/>
      <w:bookmarkEnd w:id="42"/>
      <w:bookmarkEnd w:id="43"/>
    </w:p>
    <w:p w14:paraId="120137BA">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合同以中国的汉语简体文字编写、解释和说明。合同当事人在专用合同条款中约定使用两种以上语言时，汉语为优先解释和说明合同的语言。</w:t>
      </w:r>
    </w:p>
    <w:p w14:paraId="70E66995">
      <w:pPr>
        <w:pStyle w:val="7"/>
        <w:spacing w:before="120" w:after="120" w:line="360" w:lineRule="auto"/>
        <w:ind w:firstLine="480" w:firstLineChars="200"/>
        <w:rPr>
          <w:rFonts w:asciiTheme="minorEastAsia" w:hAnsiTheme="minorEastAsia" w:eastAsiaTheme="minorEastAsia"/>
          <w:b w:val="0"/>
          <w:sz w:val="24"/>
          <w:szCs w:val="24"/>
        </w:rPr>
      </w:pPr>
      <w:bookmarkStart w:id="44" w:name="_Toc351203498"/>
      <w:bookmarkStart w:id="45" w:name="_Toc296503030"/>
      <w:bookmarkStart w:id="46" w:name="_Toc337558730"/>
      <w:bookmarkStart w:id="47" w:name="_Toc296346531"/>
      <w:r>
        <w:rPr>
          <w:rFonts w:hint="eastAsia" w:asciiTheme="minorEastAsia" w:hAnsiTheme="minorEastAsia" w:eastAsiaTheme="minorEastAsia"/>
          <w:b w:val="0"/>
          <w:sz w:val="24"/>
          <w:szCs w:val="24"/>
        </w:rPr>
        <w:t>1.3 法律</w:t>
      </w:r>
      <w:bookmarkEnd w:id="44"/>
      <w:bookmarkEnd w:id="45"/>
      <w:bookmarkEnd w:id="46"/>
      <w:bookmarkEnd w:id="47"/>
    </w:p>
    <w:p w14:paraId="6EB361C2">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合同所称法律是指中华人民共和国法律、行政法规、部门规章，以及工程所在地的地方性法规、自治条例、单行条例和地方政府规章等。</w:t>
      </w:r>
    </w:p>
    <w:p w14:paraId="23880611">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合同当事人可以在专用合同条款中约定合同适用的其他规范性文件。</w:t>
      </w:r>
    </w:p>
    <w:p w14:paraId="75A01186">
      <w:pPr>
        <w:pStyle w:val="7"/>
        <w:spacing w:before="120" w:after="120" w:line="360" w:lineRule="auto"/>
        <w:ind w:firstLine="480" w:firstLineChars="200"/>
        <w:rPr>
          <w:rFonts w:asciiTheme="minorEastAsia" w:hAnsiTheme="minorEastAsia" w:eastAsiaTheme="minorEastAsia"/>
          <w:b w:val="0"/>
          <w:sz w:val="24"/>
          <w:szCs w:val="24"/>
        </w:rPr>
      </w:pPr>
      <w:bookmarkStart w:id="48" w:name="_Toc351203499"/>
      <w:r>
        <w:rPr>
          <w:rFonts w:hint="eastAsia" w:asciiTheme="minorEastAsia" w:hAnsiTheme="minorEastAsia" w:eastAsiaTheme="minorEastAsia"/>
          <w:b w:val="0"/>
          <w:sz w:val="24"/>
          <w:szCs w:val="24"/>
        </w:rPr>
        <w:t>1.4 技术标准</w:t>
      </w:r>
      <w:bookmarkEnd w:id="48"/>
    </w:p>
    <w:p w14:paraId="32CE4D5B">
      <w:pPr>
        <w:autoSpaceDE w:val="0"/>
        <w:autoSpaceDN w:val="0"/>
        <w:adjustRightInd w:val="0"/>
        <w:spacing w:line="360" w:lineRule="auto"/>
        <w:ind w:firstLine="64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1.4.1 适用于工程的现行有效的国家标准、行业标准、工程所在地的地方性标准，以及相应的规范、规程等，合同当事人有特别要求的，应在专用合同条款中约定。</w:t>
      </w:r>
    </w:p>
    <w:p w14:paraId="2A43FCA2">
      <w:pPr>
        <w:autoSpaceDE w:val="0"/>
        <w:autoSpaceDN w:val="0"/>
        <w:adjustRightInd w:val="0"/>
        <w:spacing w:line="360" w:lineRule="auto"/>
        <w:ind w:firstLine="64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1.4.2 发包人要求使用国外技术标准的，发包人与设计人在专用合同条款中约定原文版本和中文译本提供方及提供标准的名称、份数、时间及费用承担等事项。</w:t>
      </w:r>
    </w:p>
    <w:p w14:paraId="6291091B">
      <w:pPr>
        <w:autoSpaceDE w:val="0"/>
        <w:autoSpaceDN w:val="0"/>
        <w:adjustRightInd w:val="0"/>
        <w:spacing w:line="360" w:lineRule="auto"/>
        <w:ind w:firstLine="64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7052DEDE">
      <w:pPr>
        <w:pStyle w:val="7"/>
        <w:spacing w:before="120" w:after="120" w:line="360" w:lineRule="auto"/>
        <w:ind w:firstLine="480" w:firstLineChars="200"/>
        <w:rPr>
          <w:rFonts w:asciiTheme="minorEastAsia" w:hAnsiTheme="minorEastAsia" w:eastAsiaTheme="minorEastAsia"/>
          <w:b w:val="0"/>
          <w:sz w:val="24"/>
          <w:szCs w:val="24"/>
        </w:rPr>
      </w:pPr>
      <w:bookmarkStart w:id="49" w:name="_Toc351203500"/>
      <w:r>
        <w:rPr>
          <w:rFonts w:hint="eastAsia" w:asciiTheme="minorEastAsia" w:hAnsiTheme="minorEastAsia" w:eastAsiaTheme="minorEastAsia"/>
          <w:b w:val="0"/>
          <w:sz w:val="24"/>
          <w:szCs w:val="24"/>
        </w:rPr>
        <w:t>1</w:t>
      </w:r>
      <w:bookmarkStart w:id="50" w:name="_Toc337558731"/>
      <w:bookmarkStart w:id="51" w:name="_Toc296346532"/>
      <w:bookmarkStart w:id="52" w:name="_Toc296503031"/>
      <w:r>
        <w:rPr>
          <w:rFonts w:hint="eastAsia" w:asciiTheme="minorEastAsia" w:hAnsiTheme="minorEastAsia" w:eastAsiaTheme="minorEastAsia"/>
          <w:b w:val="0"/>
          <w:sz w:val="24"/>
          <w:szCs w:val="24"/>
        </w:rPr>
        <w:t>.5 合同文件的优先顺序</w:t>
      </w:r>
      <w:bookmarkEnd w:id="49"/>
    </w:p>
    <w:bookmarkEnd w:id="50"/>
    <w:bookmarkEnd w:id="51"/>
    <w:bookmarkEnd w:id="52"/>
    <w:p w14:paraId="490760A8">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组成合同的各项文件应互相解释，互为说明。除专用合同条款另有约定外，解释合同文件的优先顺序如下：</w:t>
      </w:r>
    </w:p>
    <w:p w14:paraId="7A53B984">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（1）合同协议书；</w:t>
      </w:r>
    </w:p>
    <w:p w14:paraId="2CD39406">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（2）专用合同条款</w:t>
      </w:r>
      <w:r>
        <w:rPr>
          <w:rFonts w:hint="eastAsia" w:asciiTheme="minorEastAsia" w:hAnsiTheme="minorEastAsia" w:eastAsiaTheme="minorEastAsia"/>
          <w:sz w:val="24"/>
          <w:szCs w:val="24"/>
        </w:rPr>
        <w:t>及其附件</w:t>
      </w:r>
      <w:r>
        <w:rPr>
          <w:rFonts w:hint="eastAsia" w:asciiTheme="minorEastAsia" w:hAnsiTheme="minorEastAsia" w:eastAsiaTheme="minorEastAsia"/>
          <w:kern w:val="0"/>
          <w:sz w:val="24"/>
          <w:szCs w:val="24"/>
        </w:rPr>
        <w:t xml:space="preserve">； </w:t>
      </w:r>
    </w:p>
    <w:p w14:paraId="11251CCB">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（3）通用合同条款； </w:t>
      </w:r>
    </w:p>
    <w:p w14:paraId="07212957">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（4）中标通知书（如果有）；</w:t>
      </w:r>
    </w:p>
    <w:p w14:paraId="2550256A">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（5）投标函及其附录（如果有）；</w:t>
      </w:r>
    </w:p>
    <w:p w14:paraId="5794376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（6）发包人要求；</w:t>
      </w:r>
    </w:p>
    <w:p w14:paraId="16C031A6">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（7）技术标准；</w:t>
      </w:r>
    </w:p>
    <w:p w14:paraId="5F0378D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（8）发包人提供的上一阶段图纸（如果有）；</w:t>
      </w:r>
    </w:p>
    <w:p w14:paraId="591DFACF">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kern w:val="0"/>
          <w:sz w:val="24"/>
          <w:szCs w:val="24"/>
        </w:rPr>
        <w:t>（9）其他合同文件。</w:t>
      </w:r>
    </w:p>
    <w:p w14:paraId="17DC0A3B">
      <w:pPr>
        <w:spacing w:line="360" w:lineRule="auto"/>
        <w:ind w:firstLine="511" w:firstLineChars="213"/>
        <w:rPr>
          <w:rFonts w:asciiTheme="minorEastAsia" w:hAnsiTheme="minorEastAsia" w:eastAsiaTheme="minorEastAsia"/>
          <w:sz w:val="24"/>
          <w:szCs w:val="24"/>
        </w:rPr>
      </w:pPr>
      <w:r>
        <w:rPr>
          <w:rFonts w:hint="eastAsia" w:asciiTheme="minorEastAsia" w:hAnsiTheme="minorEastAsia" w:eastAsiaTheme="minorEastAsia"/>
          <w:sz w:val="24"/>
          <w:szCs w:val="24"/>
        </w:rPr>
        <w:t>上述各项合同文件包括合同当事人就该项合同文件所作出的补充和修改，属于同一类内容的文件，应以最新签署的为准。</w:t>
      </w:r>
    </w:p>
    <w:p w14:paraId="132EFB41">
      <w:pPr>
        <w:spacing w:line="360" w:lineRule="auto"/>
        <w:ind w:firstLine="511" w:firstLineChars="213"/>
        <w:rPr>
          <w:rFonts w:asciiTheme="minorEastAsia" w:hAnsiTheme="minorEastAsia" w:eastAsiaTheme="minorEastAsia"/>
          <w:sz w:val="24"/>
          <w:szCs w:val="24"/>
        </w:rPr>
      </w:pPr>
      <w:r>
        <w:rPr>
          <w:rFonts w:hint="eastAsia" w:asciiTheme="minorEastAsia" w:hAnsiTheme="minorEastAsia" w:eastAsiaTheme="minorEastAsia"/>
          <w:sz w:val="24"/>
          <w:szCs w:val="24"/>
        </w:rPr>
        <w:t>在合同履行过程中形成的与合同有关的文件均构成合同文件组成部分，并根据其性质确定优先解释顺序。</w:t>
      </w:r>
    </w:p>
    <w:p w14:paraId="61581CFF">
      <w:pPr>
        <w:pStyle w:val="7"/>
        <w:spacing w:before="120" w:after="120" w:line="360" w:lineRule="auto"/>
        <w:ind w:firstLine="480" w:firstLineChars="200"/>
        <w:rPr>
          <w:rFonts w:asciiTheme="minorEastAsia" w:hAnsiTheme="minorEastAsia" w:eastAsiaTheme="minorEastAsia"/>
          <w:b w:val="0"/>
          <w:sz w:val="24"/>
          <w:szCs w:val="24"/>
        </w:rPr>
      </w:pPr>
      <w:bookmarkStart w:id="53" w:name="_Toc351203502"/>
      <w:r>
        <w:rPr>
          <w:rFonts w:hint="eastAsia" w:asciiTheme="minorEastAsia" w:hAnsiTheme="minorEastAsia" w:eastAsiaTheme="minorEastAsia"/>
          <w:b w:val="0"/>
          <w:sz w:val="24"/>
          <w:szCs w:val="24"/>
        </w:rPr>
        <w:t>1</w:t>
      </w:r>
      <w:bookmarkStart w:id="54" w:name="_Toc337558733"/>
      <w:bookmarkStart w:id="55" w:name="_Toc296346534"/>
      <w:bookmarkStart w:id="56" w:name="_Toc296503033"/>
      <w:r>
        <w:rPr>
          <w:rFonts w:hint="eastAsia" w:asciiTheme="minorEastAsia" w:hAnsiTheme="minorEastAsia" w:eastAsiaTheme="minorEastAsia"/>
          <w:b w:val="0"/>
          <w:sz w:val="24"/>
          <w:szCs w:val="24"/>
        </w:rPr>
        <w:t>.6 联络</w:t>
      </w:r>
      <w:bookmarkEnd w:id="53"/>
    </w:p>
    <w:bookmarkEnd w:id="54"/>
    <w:bookmarkEnd w:id="55"/>
    <w:bookmarkEnd w:id="56"/>
    <w:p w14:paraId="40B85831">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1.6.1 与合同有关的通知、批准、证明、证书、指示、指令、要求、请求、同意、确定和决定等，均应采用书面形式，并应在合同约定的期限内送达接收人和送达地点。</w:t>
      </w:r>
    </w:p>
    <w:p w14:paraId="769BF522">
      <w:pPr>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3FA199F5">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1.6.3 发包人和设计人应当及时签收另一方送达至送达地点和指定接收人的来往信函，如确有充分证据证明一方无正当理由拒不签收的，视为拒绝签收一方认可往来信函的内容。</w:t>
      </w:r>
    </w:p>
    <w:p w14:paraId="2107E475">
      <w:pPr>
        <w:pStyle w:val="7"/>
        <w:spacing w:before="120" w:after="120" w:line="360" w:lineRule="auto"/>
        <w:ind w:firstLine="480" w:firstLineChars="200"/>
        <w:rPr>
          <w:rFonts w:asciiTheme="minorEastAsia" w:hAnsiTheme="minorEastAsia" w:eastAsiaTheme="minorEastAsia"/>
          <w:b w:val="0"/>
          <w:sz w:val="24"/>
          <w:szCs w:val="24"/>
        </w:rPr>
      </w:pPr>
      <w:bookmarkStart w:id="57" w:name="_Toc351203503"/>
      <w:r>
        <w:rPr>
          <w:rFonts w:hint="eastAsia" w:asciiTheme="minorEastAsia" w:hAnsiTheme="minorEastAsia" w:eastAsiaTheme="minorEastAsia"/>
          <w:b w:val="0"/>
          <w:sz w:val="24"/>
          <w:szCs w:val="24"/>
        </w:rPr>
        <w:t>1</w:t>
      </w:r>
      <w:bookmarkStart w:id="58" w:name="_Toc296503035"/>
      <w:bookmarkStart w:id="59" w:name="_Toc337558734"/>
      <w:bookmarkStart w:id="60" w:name="_Toc296346536"/>
      <w:r>
        <w:rPr>
          <w:rFonts w:hint="eastAsia" w:asciiTheme="minorEastAsia" w:hAnsiTheme="minorEastAsia" w:eastAsiaTheme="minorEastAsia"/>
          <w:b w:val="0"/>
          <w:sz w:val="24"/>
          <w:szCs w:val="24"/>
        </w:rPr>
        <w:t>.7 严禁贿赂</w:t>
      </w:r>
      <w:bookmarkEnd w:id="57"/>
    </w:p>
    <w:bookmarkEnd w:id="58"/>
    <w:bookmarkEnd w:id="59"/>
    <w:bookmarkEnd w:id="60"/>
    <w:p w14:paraId="519A2853">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合同当事人不得以贿赂或变相贿赂的方式，谋取非法利益或损害对方权益。因一方合同当事人的贿赂造成对方损失的，应赔偿损失，并承担相应的法律责任。</w:t>
      </w:r>
    </w:p>
    <w:p w14:paraId="428E1AD8">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w:t>
      </w:r>
      <w:bookmarkStart w:id="61" w:name="_Toc337558738"/>
      <w:r>
        <w:rPr>
          <w:rFonts w:hint="eastAsia" w:asciiTheme="minorEastAsia" w:hAnsiTheme="minorEastAsia" w:eastAsiaTheme="minorEastAsia"/>
          <w:b w:val="0"/>
          <w:sz w:val="24"/>
          <w:szCs w:val="24"/>
        </w:rPr>
        <w:t>.8 保密</w:t>
      </w:r>
    </w:p>
    <w:bookmarkEnd w:id="61"/>
    <w:p w14:paraId="33D4E93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除法律规定或合同另有约定外，未经发包人同意，设计人不得将发包人提供的图纸、文件以及声明需要保密的资料信息等商业秘密泄露给第三方。</w:t>
      </w:r>
    </w:p>
    <w:p w14:paraId="633203BD">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除法律规定或合同另有约定外，未经设计人同意，发包人不得将设计人提供的技术文件、技术成果、技术秘密及声明需要保密的资料信息等商业秘密泄露给第三方。</w:t>
      </w:r>
    </w:p>
    <w:p w14:paraId="7181B70C">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保密期限由发包人与设计人在专用合同条款中约定。</w:t>
      </w:r>
    </w:p>
    <w:p w14:paraId="3DCC6D13">
      <w:pPr>
        <w:pStyle w:val="6"/>
        <w:spacing w:before="120" w:after="120" w:line="360" w:lineRule="auto"/>
        <w:rPr>
          <w:rFonts w:asciiTheme="minorEastAsia" w:hAnsiTheme="minorEastAsia" w:eastAsiaTheme="minorEastAsia"/>
          <w:b w:val="0"/>
          <w:sz w:val="24"/>
          <w:szCs w:val="24"/>
        </w:rPr>
      </w:pPr>
      <w:bookmarkStart w:id="62" w:name="_Toc351203509"/>
      <w:r>
        <w:rPr>
          <w:rFonts w:hint="eastAsia" w:asciiTheme="minorEastAsia" w:hAnsiTheme="minorEastAsia" w:eastAsiaTheme="minorEastAsia"/>
          <w:b w:val="0"/>
          <w:sz w:val="24"/>
          <w:szCs w:val="24"/>
        </w:rPr>
        <w:t>2</w:t>
      </w:r>
      <w:bookmarkStart w:id="63" w:name="_Toc337558739"/>
      <w:bookmarkStart w:id="64" w:name="_Toc296503038"/>
      <w:bookmarkStart w:id="65" w:name="_Toc296346539"/>
      <w:bookmarkStart w:id="66" w:name="OLE_LINK1"/>
      <w:r>
        <w:rPr>
          <w:rFonts w:hint="eastAsia" w:asciiTheme="minorEastAsia" w:hAnsiTheme="minorEastAsia" w:eastAsiaTheme="minorEastAsia"/>
          <w:b w:val="0"/>
          <w:sz w:val="24"/>
          <w:szCs w:val="24"/>
        </w:rPr>
        <w:t>. 发包人</w:t>
      </w:r>
      <w:bookmarkEnd w:id="62"/>
    </w:p>
    <w:bookmarkEnd w:id="63"/>
    <w:bookmarkEnd w:id="64"/>
    <w:bookmarkEnd w:id="65"/>
    <w:p w14:paraId="2ACDF0E0">
      <w:pPr>
        <w:pStyle w:val="7"/>
        <w:spacing w:before="120" w:after="120" w:line="360" w:lineRule="auto"/>
        <w:ind w:firstLine="480" w:firstLineChars="200"/>
        <w:rPr>
          <w:rFonts w:asciiTheme="minorEastAsia" w:hAnsiTheme="minorEastAsia" w:eastAsiaTheme="minorEastAsia"/>
          <w:b w:val="0"/>
          <w:sz w:val="24"/>
          <w:szCs w:val="24"/>
        </w:rPr>
      </w:pPr>
      <w:bookmarkStart w:id="67" w:name="_Toc351203510"/>
      <w:r>
        <w:rPr>
          <w:rFonts w:hint="eastAsia" w:asciiTheme="minorEastAsia" w:hAnsiTheme="minorEastAsia" w:eastAsiaTheme="minorEastAsia"/>
          <w:b w:val="0"/>
          <w:sz w:val="24"/>
          <w:szCs w:val="24"/>
        </w:rPr>
        <w:t>2</w:t>
      </w:r>
      <w:bookmarkStart w:id="68" w:name="_Toc296503039"/>
      <w:bookmarkStart w:id="69" w:name="_Toc296346540"/>
      <w:bookmarkStart w:id="70" w:name="_Toc337558740"/>
      <w:r>
        <w:rPr>
          <w:rFonts w:hint="eastAsia" w:asciiTheme="minorEastAsia" w:hAnsiTheme="minorEastAsia" w:eastAsiaTheme="minorEastAsia"/>
          <w:b w:val="0"/>
          <w:sz w:val="24"/>
          <w:szCs w:val="24"/>
        </w:rPr>
        <w:t xml:space="preserve">.1 </w:t>
      </w:r>
      <w:bookmarkEnd w:id="67"/>
      <w:r>
        <w:rPr>
          <w:rFonts w:hint="eastAsia" w:asciiTheme="minorEastAsia" w:hAnsiTheme="minorEastAsia" w:eastAsiaTheme="minorEastAsia"/>
          <w:b w:val="0"/>
          <w:sz w:val="24"/>
          <w:szCs w:val="24"/>
        </w:rPr>
        <w:t>发包人一般义务</w:t>
      </w:r>
    </w:p>
    <w:p w14:paraId="5FCF6526">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2.1.1 发包人应遵守法律，并办理法律规定由其办理的许可、核准或备案，包括但不限于建设用地规划许可证、建设工程规划许可证、建设工程方案设计批准、施工图设计审查等许可、核准或备案。</w:t>
      </w:r>
    </w:p>
    <w:p w14:paraId="2F5CEDF0">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cs="Courier New" w:asciiTheme="minorEastAsia" w:hAnsiTheme="minorEastAsia" w:eastAsiaTheme="minorEastAsia"/>
          <w:sz w:val="24"/>
          <w:szCs w:val="24"/>
        </w:rPr>
        <w:t>发包人负责本项目各阶段设计文件向规划设计管理部门的送审报批工作，并负责将报批结果书面通知设计人。</w:t>
      </w:r>
      <w:r>
        <w:rPr>
          <w:rFonts w:hint="eastAsia" w:asciiTheme="minorEastAsia" w:hAnsiTheme="minorEastAsia" w:eastAsiaTheme="minorEastAsia"/>
          <w:kern w:val="0"/>
          <w:sz w:val="24"/>
          <w:szCs w:val="24"/>
        </w:rPr>
        <w:t>因发包人原因未能及时办理完毕前述许可、核准或备案手续，导致设计工作量增加和（或）设计周期延长时，由发包人承担由此增加的设计费用和（或）延长的设计周期。</w:t>
      </w:r>
    </w:p>
    <w:p w14:paraId="48298B4A">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2.1.2 发包人应当负责工程设计的所有外部关系（包括但不限于当地政府主管部门等）的协调，为设计人履行合同提供必要的外部条件。</w:t>
      </w:r>
    </w:p>
    <w:p w14:paraId="213E6DC5">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2.1.3 专用合同条款约定的其他义务。</w:t>
      </w:r>
    </w:p>
    <w:p w14:paraId="4AC7CD47">
      <w:pPr>
        <w:pStyle w:val="7"/>
        <w:spacing w:before="120" w:after="120" w:line="360" w:lineRule="auto"/>
        <w:ind w:firstLine="480" w:firstLineChars="200"/>
        <w:rPr>
          <w:rFonts w:asciiTheme="minorEastAsia" w:hAnsiTheme="minorEastAsia" w:eastAsiaTheme="minorEastAsia"/>
          <w:b w:val="0"/>
          <w:sz w:val="24"/>
          <w:szCs w:val="24"/>
        </w:rPr>
      </w:pPr>
      <w:bookmarkStart w:id="71" w:name="_Toc351203511"/>
      <w:r>
        <w:rPr>
          <w:rFonts w:hint="eastAsia" w:asciiTheme="minorEastAsia" w:hAnsiTheme="minorEastAsia" w:eastAsiaTheme="minorEastAsia"/>
          <w:b w:val="0"/>
          <w:sz w:val="24"/>
          <w:szCs w:val="24"/>
        </w:rPr>
        <w:t>2.2 发包人代表</w:t>
      </w:r>
      <w:bookmarkEnd w:id="71"/>
    </w:p>
    <w:p w14:paraId="01E60A59">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4AB78268">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发包人代表不能按照合同约定履行其职责及义务，并导致合同无法继续正常履行的，设计人可以要求发包人撤换发包人代表。</w:t>
      </w:r>
    </w:p>
    <w:p w14:paraId="24FFE57E">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2.3 发包人决定</w:t>
      </w:r>
    </w:p>
    <w:p w14:paraId="2E54374B">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2.3.1 </w:t>
      </w:r>
      <w:r>
        <w:rPr>
          <w:rFonts w:hint="eastAsia" w:asciiTheme="minorEastAsia" w:hAnsiTheme="minorEastAsia" w:eastAsiaTheme="minorEastAsia"/>
          <w:sz w:val="24"/>
          <w:szCs w:val="24"/>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21821C1A">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2.3.2 发包人应在专用合同条款约定的期限内对设计人书面提出的事项作出书面决定，如发包人不在确定时间内作出书面决定，设计人的设计周期相应延长。</w:t>
      </w:r>
    </w:p>
    <w:bookmarkEnd w:id="66"/>
    <w:bookmarkEnd w:id="68"/>
    <w:bookmarkEnd w:id="69"/>
    <w:bookmarkEnd w:id="70"/>
    <w:p w14:paraId="36644DE8">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2</w:t>
      </w:r>
      <w:bookmarkStart w:id="72" w:name="_Toc296503042"/>
      <w:bookmarkStart w:id="73" w:name="_Toc296346543"/>
      <w:bookmarkStart w:id="74" w:name="_Toc337558745"/>
      <w:r>
        <w:rPr>
          <w:rFonts w:hint="eastAsia" w:asciiTheme="minorEastAsia" w:hAnsiTheme="minorEastAsia" w:eastAsiaTheme="minorEastAsia"/>
          <w:b w:val="0"/>
          <w:sz w:val="24"/>
          <w:szCs w:val="24"/>
        </w:rPr>
        <w:t xml:space="preserve">.4 </w:t>
      </w:r>
      <w:bookmarkEnd w:id="72"/>
      <w:bookmarkEnd w:id="73"/>
      <w:bookmarkEnd w:id="74"/>
      <w:bookmarkStart w:id="75" w:name="_Toc351203515"/>
      <w:r>
        <w:rPr>
          <w:rFonts w:hint="eastAsia" w:asciiTheme="minorEastAsia" w:hAnsiTheme="minorEastAsia" w:eastAsiaTheme="minorEastAsia"/>
          <w:b w:val="0"/>
          <w:sz w:val="24"/>
          <w:szCs w:val="24"/>
        </w:rPr>
        <w:t>支付合同价款</w:t>
      </w:r>
      <w:bookmarkEnd w:id="75"/>
    </w:p>
    <w:p w14:paraId="2EF69313">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发包人应按合同约定向设计人及时足额支付合同价款。</w:t>
      </w:r>
    </w:p>
    <w:p w14:paraId="35E96AD9">
      <w:pPr>
        <w:pStyle w:val="7"/>
        <w:spacing w:before="120" w:after="120" w:line="360" w:lineRule="auto"/>
        <w:ind w:firstLine="480" w:firstLineChars="200"/>
        <w:rPr>
          <w:rFonts w:asciiTheme="minorEastAsia" w:hAnsiTheme="minorEastAsia" w:eastAsiaTheme="minorEastAsia"/>
          <w:b w:val="0"/>
          <w:sz w:val="24"/>
          <w:szCs w:val="24"/>
        </w:rPr>
      </w:pPr>
      <w:bookmarkStart w:id="76" w:name="_Toc351203516"/>
      <w:r>
        <w:rPr>
          <w:rFonts w:hint="eastAsia" w:asciiTheme="minorEastAsia" w:hAnsiTheme="minorEastAsia" w:eastAsiaTheme="minorEastAsia"/>
          <w:b w:val="0"/>
          <w:sz w:val="24"/>
          <w:szCs w:val="24"/>
        </w:rPr>
        <w:t xml:space="preserve">2.5 </w:t>
      </w:r>
      <w:bookmarkEnd w:id="76"/>
      <w:r>
        <w:rPr>
          <w:rFonts w:hint="eastAsia" w:asciiTheme="minorEastAsia" w:hAnsiTheme="minorEastAsia" w:eastAsiaTheme="minorEastAsia"/>
          <w:b w:val="0"/>
          <w:sz w:val="24"/>
          <w:szCs w:val="24"/>
        </w:rPr>
        <w:t>设计文件接收</w:t>
      </w:r>
    </w:p>
    <w:p w14:paraId="600FA9E5">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发包人应按合同约定及时接收设计人提交的工程设计文件。</w:t>
      </w:r>
    </w:p>
    <w:p w14:paraId="342AE117">
      <w:pPr>
        <w:pStyle w:val="6"/>
        <w:keepNext w:val="0"/>
        <w:keepLines w:val="0"/>
        <w:spacing w:before="120" w:after="120" w:line="360" w:lineRule="auto"/>
        <w:rPr>
          <w:rFonts w:asciiTheme="minorEastAsia" w:hAnsiTheme="minorEastAsia" w:eastAsiaTheme="minorEastAsia"/>
          <w:b w:val="0"/>
          <w:sz w:val="24"/>
          <w:szCs w:val="24"/>
        </w:rPr>
      </w:pPr>
      <w:bookmarkStart w:id="77" w:name="_Toc351203518"/>
      <w:r>
        <w:rPr>
          <w:rFonts w:hint="eastAsia" w:asciiTheme="minorEastAsia" w:hAnsiTheme="minorEastAsia" w:eastAsiaTheme="minorEastAsia"/>
          <w:b w:val="0"/>
          <w:sz w:val="24"/>
          <w:szCs w:val="24"/>
        </w:rPr>
        <w:t>3</w:t>
      </w:r>
      <w:bookmarkStart w:id="78" w:name="_Toc337558746"/>
      <w:bookmarkStart w:id="79" w:name="_Toc296503045"/>
      <w:bookmarkStart w:id="80" w:name="_Toc296346546"/>
      <w:r>
        <w:rPr>
          <w:rFonts w:hint="eastAsia" w:asciiTheme="minorEastAsia" w:hAnsiTheme="minorEastAsia" w:eastAsiaTheme="minorEastAsia"/>
          <w:b w:val="0"/>
          <w:sz w:val="24"/>
          <w:szCs w:val="24"/>
        </w:rPr>
        <w:t>. 设计人</w:t>
      </w:r>
      <w:bookmarkEnd w:id="77"/>
    </w:p>
    <w:bookmarkEnd w:id="78"/>
    <w:bookmarkEnd w:id="79"/>
    <w:bookmarkEnd w:id="80"/>
    <w:p w14:paraId="676B3A24">
      <w:pPr>
        <w:pStyle w:val="7"/>
        <w:keepNext w:val="0"/>
        <w:keepLines w:val="0"/>
        <w:spacing w:before="120" w:after="120" w:line="360" w:lineRule="auto"/>
        <w:ind w:firstLine="480" w:firstLineChars="200"/>
        <w:rPr>
          <w:rFonts w:asciiTheme="minorEastAsia" w:hAnsiTheme="minorEastAsia" w:eastAsiaTheme="minorEastAsia"/>
          <w:b w:val="0"/>
          <w:sz w:val="24"/>
          <w:szCs w:val="24"/>
        </w:rPr>
      </w:pPr>
      <w:bookmarkStart w:id="81" w:name="_Toc351203519"/>
      <w:r>
        <w:rPr>
          <w:rFonts w:hint="eastAsia" w:asciiTheme="minorEastAsia" w:hAnsiTheme="minorEastAsia" w:eastAsiaTheme="minorEastAsia"/>
          <w:b w:val="0"/>
          <w:sz w:val="24"/>
          <w:szCs w:val="24"/>
        </w:rPr>
        <w:t>3</w:t>
      </w:r>
      <w:bookmarkStart w:id="82" w:name="_Toc337558747"/>
      <w:bookmarkStart w:id="83" w:name="_Toc296346547"/>
      <w:bookmarkStart w:id="84" w:name="_Toc296503046"/>
      <w:r>
        <w:rPr>
          <w:rFonts w:hint="eastAsia" w:asciiTheme="minorEastAsia" w:hAnsiTheme="minorEastAsia" w:eastAsiaTheme="minorEastAsia"/>
          <w:b w:val="0"/>
          <w:sz w:val="24"/>
          <w:szCs w:val="24"/>
        </w:rPr>
        <w:t>.1 设计人一般义务</w:t>
      </w:r>
      <w:bookmarkEnd w:id="81"/>
    </w:p>
    <w:bookmarkEnd w:id="82"/>
    <w:bookmarkEnd w:id="83"/>
    <w:bookmarkEnd w:id="84"/>
    <w:p w14:paraId="0E5D5B22">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3.1.1 设计人应遵守法律和有关技术标准的强制性规定，完成合同约定范围内的房屋建筑工程方案设计、初步设计、施工图设计，提供符合技术标准及合同要求的工程设计文件，提供施工配合服务。</w:t>
      </w:r>
    </w:p>
    <w:p w14:paraId="627A0740">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32EC5BD0">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3.1.2 设计人应当完成合同约定的工程设计其他服务。</w:t>
      </w:r>
    </w:p>
    <w:p w14:paraId="3A618F77">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3.1.3 专用合同条款约定的其他义务。</w:t>
      </w:r>
    </w:p>
    <w:p w14:paraId="05935960">
      <w:pPr>
        <w:pStyle w:val="7"/>
        <w:spacing w:before="120" w:after="120" w:line="360" w:lineRule="auto"/>
        <w:ind w:firstLine="480" w:firstLineChars="200"/>
        <w:rPr>
          <w:rFonts w:asciiTheme="minorEastAsia" w:hAnsiTheme="minorEastAsia" w:eastAsiaTheme="minorEastAsia"/>
          <w:b w:val="0"/>
          <w:sz w:val="24"/>
          <w:szCs w:val="24"/>
        </w:rPr>
      </w:pPr>
      <w:bookmarkStart w:id="85" w:name="_Toc351203520"/>
      <w:r>
        <w:rPr>
          <w:rFonts w:hint="eastAsia" w:asciiTheme="minorEastAsia" w:hAnsiTheme="minorEastAsia" w:eastAsiaTheme="minorEastAsia"/>
          <w:b w:val="0"/>
          <w:sz w:val="24"/>
          <w:szCs w:val="24"/>
        </w:rPr>
        <w:t>3</w:t>
      </w:r>
      <w:bookmarkStart w:id="86" w:name="_Toc337558748"/>
      <w:bookmarkStart w:id="87" w:name="_Toc296346548"/>
      <w:bookmarkStart w:id="88" w:name="_Toc296503047"/>
      <w:r>
        <w:rPr>
          <w:rFonts w:hint="eastAsia" w:asciiTheme="minorEastAsia" w:hAnsiTheme="minorEastAsia" w:eastAsiaTheme="minorEastAsia"/>
          <w:b w:val="0"/>
          <w:sz w:val="24"/>
          <w:szCs w:val="24"/>
        </w:rPr>
        <w:t xml:space="preserve">.2 </w:t>
      </w:r>
      <w:bookmarkEnd w:id="85"/>
      <w:r>
        <w:rPr>
          <w:rFonts w:hint="eastAsia" w:asciiTheme="minorEastAsia" w:hAnsiTheme="minorEastAsia" w:eastAsiaTheme="minorEastAsia"/>
          <w:b w:val="0"/>
          <w:sz w:val="24"/>
          <w:szCs w:val="24"/>
        </w:rPr>
        <w:t>项目负责人</w:t>
      </w:r>
    </w:p>
    <w:bookmarkEnd w:id="86"/>
    <w:bookmarkEnd w:id="87"/>
    <w:bookmarkEnd w:id="88"/>
    <w:p w14:paraId="1DF35667">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4AAB0A04">
      <w:pPr>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14A0C43E">
      <w:pPr>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52E25AB0">
      <w:pPr>
        <w:pStyle w:val="7"/>
        <w:spacing w:before="120" w:after="120" w:line="360" w:lineRule="auto"/>
        <w:ind w:firstLine="480" w:firstLineChars="200"/>
        <w:rPr>
          <w:rFonts w:asciiTheme="minorEastAsia" w:hAnsiTheme="minorEastAsia" w:eastAsiaTheme="minorEastAsia"/>
          <w:b w:val="0"/>
          <w:sz w:val="24"/>
          <w:szCs w:val="24"/>
        </w:rPr>
      </w:pPr>
      <w:bookmarkStart w:id="89" w:name="_Toc351203521"/>
      <w:r>
        <w:rPr>
          <w:rFonts w:hint="eastAsia" w:asciiTheme="minorEastAsia" w:hAnsiTheme="minorEastAsia" w:eastAsiaTheme="minorEastAsia"/>
          <w:b w:val="0"/>
          <w:sz w:val="24"/>
          <w:szCs w:val="24"/>
        </w:rPr>
        <w:t>3</w:t>
      </w:r>
      <w:bookmarkStart w:id="90" w:name="_Toc296503048"/>
      <w:bookmarkStart w:id="91" w:name="_Toc296346549"/>
      <w:bookmarkStart w:id="92" w:name="_Toc337558749"/>
      <w:r>
        <w:rPr>
          <w:rFonts w:hint="eastAsia" w:asciiTheme="minorEastAsia" w:hAnsiTheme="minorEastAsia" w:eastAsiaTheme="minorEastAsia"/>
          <w:b w:val="0"/>
          <w:sz w:val="24"/>
          <w:szCs w:val="24"/>
        </w:rPr>
        <w:t xml:space="preserve">.3 </w:t>
      </w:r>
      <w:bookmarkEnd w:id="90"/>
      <w:bookmarkEnd w:id="91"/>
      <w:r>
        <w:rPr>
          <w:rFonts w:hint="eastAsia" w:asciiTheme="minorEastAsia" w:hAnsiTheme="minorEastAsia" w:eastAsiaTheme="minorEastAsia"/>
          <w:b w:val="0"/>
          <w:sz w:val="24"/>
          <w:szCs w:val="24"/>
        </w:rPr>
        <w:t>设计人人员</w:t>
      </w:r>
      <w:bookmarkEnd w:id="89"/>
    </w:p>
    <w:bookmarkEnd w:id="92"/>
    <w:p w14:paraId="585FFE1C">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31A92980">
      <w:pPr>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5784FAE4">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51F6F892">
      <w:pPr>
        <w:pStyle w:val="7"/>
        <w:spacing w:before="120" w:after="120" w:line="360" w:lineRule="auto"/>
        <w:ind w:firstLine="480" w:firstLineChars="200"/>
        <w:rPr>
          <w:rFonts w:asciiTheme="minorEastAsia" w:hAnsiTheme="minorEastAsia" w:eastAsiaTheme="minorEastAsia"/>
          <w:b w:val="0"/>
          <w:sz w:val="24"/>
          <w:szCs w:val="24"/>
        </w:rPr>
      </w:pPr>
      <w:bookmarkStart w:id="93" w:name="_Toc351203523"/>
      <w:r>
        <w:rPr>
          <w:rFonts w:hint="eastAsia" w:asciiTheme="minorEastAsia" w:hAnsiTheme="minorEastAsia" w:eastAsiaTheme="minorEastAsia"/>
          <w:b w:val="0"/>
          <w:sz w:val="24"/>
          <w:szCs w:val="24"/>
        </w:rPr>
        <w:t>3</w:t>
      </w:r>
      <w:bookmarkStart w:id="94" w:name="_Toc337558751"/>
      <w:bookmarkStart w:id="95" w:name="_Toc296346552"/>
      <w:bookmarkStart w:id="96" w:name="_Toc296503051"/>
      <w:r>
        <w:rPr>
          <w:rFonts w:hint="eastAsia" w:asciiTheme="minorEastAsia" w:hAnsiTheme="minorEastAsia" w:eastAsiaTheme="minorEastAsia"/>
          <w:b w:val="0"/>
          <w:sz w:val="24"/>
          <w:szCs w:val="24"/>
        </w:rPr>
        <w:t>.4 设计分包</w:t>
      </w:r>
      <w:bookmarkEnd w:id="93"/>
    </w:p>
    <w:bookmarkEnd w:id="94"/>
    <w:bookmarkEnd w:id="95"/>
    <w:bookmarkEnd w:id="96"/>
    <w:p w14:paraId="2E885BC0">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3.4.1 设计分包的一般约定</w:t>
      </w:r>
    </w:p>
    <w:p w14:paraId="7F5A6109">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6CA16E8E">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3.4.2 设计分包的确定</w:t>
      </w:r>
    </w:p>
    <w:p w14:paraId="1C2EF928">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3F0CB4C2">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3.4.3 设计分包管理</w:t>
      </w:r>
    </w:p>
    <w:p w14:paraId="50C6B29A">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设计人应按照专用合同条款的约定向发包人提交分包人的主要工程设计人员名单、注册执业资格及执业经历等。</w:t>
      </w:r>
    </w:p>
    <w:p w14:paraId="38580915">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3.4.4 分包工程设计费</w:t>
      </w:r>
    </w:p>
    <w:p w14:paraId="1A652A6C">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（1）除本项第（2）目约定的情况或专用合同条款另有约定外，分包工程设计费由设计人与分包人结算，未经设计人同意，发包人不得向分包人支付分包工程设计费；</w:t>
      </w:r>
    </w:p>
    <w:p w14:paraId="7E79B067">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（2）生效的法院判决书或仲裁裁决书要求发包人向分包人支付分包工程设计费的，发包人有权从应付设计人合同价款中扣除该部分费用。</w:t>
      </w:r>
    </w:p>
    <w:p w14:paraId="0AFE4063">
      <w:pPr>
        <w:pStyle w:val="7"/>
        <w:spacing w:before="120" w:after="120" w:line="360" w:lineRule="auto"/>
        <w:ind w:firstLine="480" w:firstLineChars="200"/>
        <w:rPr>
          <w:rFonts w:asciiTheme="minorEastAsia" w:hAnsiTheme="minorEastAsia" w:eastAsiaTheme="minorEastAsia"/>
          <w:b w:val="0"/>
          <w:sz w:val="24"/>
          <w:szCs w:val="24"/>
        </w:rPr>
      </w:pPr>
      <w:bookmarkStart w:id="97" w:name="_Toc351203526"/>
      <w:r>
        <w:rPr>
          <w:rFonts w:hint="eastAsia" w:asciiTheme="minorEastAsia" w:hAnsiTheme="minorEastAsia" w:eastAsiaTheme="minorEastAsia"/>
          <w:b w:val="0"/>
          <w:sz w:val="24"/>
          <w:szCs w:val="24"/>
        </w:rPr>
        <w:t>3.5 联合体</w:t>
      </w:r>
      <w:bookmarkEnd w:id="97"/>
    </w:p>
    <w:p w14:paraId="6E73BCF8">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3.5.1 联合体各方应共同与发包人签订合同协议书。联合体各方应为履行合同向发包人承担连带责任。</w:t>
      </w:r>
    </w:p>
    <w:p w14:paraId="0F5A352C">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3.5.2 联合体协议，应当约定联合体各成员工作分工，经发包人确认后作为合同附件。在履行合同过程中，未经发包人同意，不得修改联合体协议。</w:t>
      </w:r>
    </w:p>
    <w:p w14:paraId="1C77A721">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3.5.3 联合体牵头人负责与发包人联系，并接受指示，负责组织联合体各成员全面履行合同。</w:t>
      </w:r>
    </w:p>
    <w:p w14:paraId="10E91F2C">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3.5.4 发包人向联合体支付设计费用的方式在专用合同条款中约定。</w:t>
      </w:r>
    </w:p>
    <w:p w14:paraId="47857059">
      <w:pPr>
        <w:pStyle w:val="6"/>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4. 工程设计资料</w:t>
      </w:r>
    </w:p>
    <w:p w14:paraId="6359B91A">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4.1 提供工程设计资料</w:t>
      </w:r>
    </w:p>
    <w:p w14:paraId="673EC92C">
      <w:pPr>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发包人应当在工程设计前或专用合同条款附件2约定的时间向设计人提供工程设计所必需的工程设计资料，并对所提供资料的真实性、准确性和完整性负责。</w:t>
      </w:r>
    </w:p>
    <w:p w14:paraId="600758F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按照法律规定确需在工程设计开始后方能提供的设计资料，发包人应及时地在相应工程设计文件提交给发包人前的合理期限内提供，合理期限应以不影响设计人的正常设计为限。</w:t>
      </w:r>
    </w:p>
    <w:p w14:paraId="1114D9A6">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bCs/>
          <w:sz w:val="24"/>
          <w:szCs w:val="24"/>
        </w:rPr>
        <w:t>4.2 逾期提供的责任</w:t>
      </w:r>
    </w:p>
    <w:p w14:paraId="2CAF05DA">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sz w:val="24"/>
          <w:szCs w:val="24"/>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4EFF4345">
      <w:pPr>
        <w:pStyle w:val="6"/>
        <w:spacing w:before="120" w:after="120" w:line="360" w:lineRule="auto"/>
        <w:rPr>
          <w:rFonts w:asciiTheme="minorEastAsia" w:hAnsiTheme="minorEastAsia" w:eastAsiaTheme="minorEastAsia"/>
          <w:b w:val="0"/>
          <w:sz w:val="24"/>
          <w:szCs w:val="24"/>
        </w:rPr>
      </w:pPr>
      <w:bookmarkStart w:id="98" w:name="_Toc351203532"/>
      <w:bookmarkStart w:id="99" w:name="_Toc337558758"/>
      <w:r>
        <w:rPr>
          <w:rFonts w:hint="eastAsia" w:asciiTheme="minorEastAsia" w:hAnsiTheme="minorEastAsia" w:eastAsiaTheme="minorEastAsia"/>
          <w:b w:val="0"/>
          <w:sz w:val="24"/>
          <w:szCs w:val="24"/>
        </w:rPr>
        <w:t>5. 工程设计</w:t>
      </w:r>
      <w:bookmarkEnd w:id="98"/>
      <w:r>
        <w:rPr>
          <w:rFonts w:hint="eastAsia" w:asciiTheme="minorEastAsia" w:hAnsiTheme="minorEastAsia" w:eastAsiaTheme="minorEastAsia"/>
          <w:b w:val="0"/>
          <w:sz w:val="24"/>
          <w:szCs w:val="24"/>
        </w:rPr>
        <w:t>要求</w:t>
      </w:r>
    </w:p>
    <w:bookmarkEnd w:id="99"/>
    <w:p w14:paraId="153A7B63">
      <w:pPr>
        <w:pStyle w:val="7"/>
        <w:spacing w:before="120" w:after="120" w:line="360" w:lineRule="auto"/>
        <w:ind w:firstLine="480" w:firstLineChars="200"/>
        <w:rPr>
          <w:rFonts w:asciiTheme="minorEastAsia" w:hAnsiTheme="minorEastAsia" w:eastAsiaTheme="minorEastAsia"/>
          <w:b w:val="0"/>
          <w:bCs w:val="0"/>
          <w:kern w:val="0"/>
          <w:sz w:val="24"/>
          <w:szCs w:val="24"/>
        </w:rPr>
      </w:pPr>
      <w:bookmarkStart w:id="100" w:name="_Toc351203533"/>
      <w:bookmarkStart w:id="101" w:name="_Toc337558759"/>
      <w:r>
        <w:rPr>
          <w:rFonts w:hint="eastAsia" w:asciiTheme="minorEastAsia" w:hAnsiTheme="minorEastAsia" w:eastAsiaTheme="minorEastAsia"/>
          <w:b w:val="0"/>
          <w:sz w:val="24"/>
          <w:szCs w:val="24"/>
        </w:rPr>
        <w:t>5.1 工程设计一般要求</w:t>
      </w:r>
    </w:p>
    <w:p w14:paraId="3BA7AD97">
      <w:pPr>
        <w:pStyle w:val="7"/>
        <w:spacing w:before="0" w:after="0" w:line="360" w:lineRule="auto"/>
        <w:ind w:firstLine="480" w:firstLineChars="20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5.1.1 对发包人的要求</w:t>
      </w:r>
    </w:p>
    <w:p w14:paraId="3DFC3AAE">
      <w:pPr>
        <w:pStyle w:val="7"/>
        <w:spacing w:before="120" w:after="120" w:line="360" w:lineRule="auto"/>
        <w:ind w:firstLine="480" w:firstLineChars="20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5.1.1.1 发包人应当遵守法律和技术标准，不得以任何理由要求设计人违反法律和工程质量、安全标准进行工程设计，降低工程质量。</w:t>
      </w:r>
    </w:p>
    <w:p w14:paraId="4B0B930F">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35C754BC">
      <w:pPr>
        <w:spacing w:line="360" w:lineRule="auto"/>
        <w:ind w:firstLine="562"/>
        <w:rPr>
          <w:rFonts w:asciiTheme="minorEastAsia" w:hAnsiTheme="minorEastAsia" w:eastAsiaTheme="minorEastAsia"/>
          <w:sz w:val="24"/>
          <w:szCs w:val="24"/>
        </w:rPr>
      </w:pPr>
      <w:r>
        <w:rPr>
          <w:rFonts w:hint="eastAsia" w:asciiTheme="minorEastAsia" w:hAnsiTheme="minorEastAsia" w:eastAsiaTheme="minorEastAsia"/>
          <w:kern w:val="0"/>
          <w:sz w:val="24"/>
          <w:szCs w:val="24"/>
        </w:rPr>
        <w:t>5.1.1.3 发包人应当严格遵守主要技术指标控制的前提条件，由于发包人的原因导致工程设计文件超出主要技术指标控制值的，发包人承担相应责任。</w:t>
      </w:r>
    </w:p>
    <w:p w14:paraId="5DB4D8A1">
      <w:pPr>
        <w:pStyle w:val="7"/>
        <w:keepNext w:val="0"/>
        <w:keepLines w:val="0"/>
        <w:spacing w:before="0" w:after="0" w:line="360" w:lineRule="auto"/>
        <w:ind w:firstLine="480" w:firstLineChars="20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5.1.2 对设计人的要求</w:t>
      </w:r>
    </w:p>
    <w:p w14:paraId="59548EC5">
      <w:pPr>
        <w:pStyle w:val="7"/>
        <w:keepNext w:val="0"/>
        <w:keepLines w:val="0"/>
        <w:spacing w:before="0" w:after="0" w:line="360" w:lineRule="auto"/>
        <w:ind w:firstLine="480" w:firstLineChars="20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5.1.2.1 设计人应当按法律和技术标准的强制性规定及发包人要求进行工程设计。有关工程设计的特殊标准或要求由合同当事人在专用合同条款中约定。</w:t>
      </w:r>
      <w:bookmarkEnd w:id="100"/>
    </w:p>
    <w:p w14:paraId="621D2649">
      <w:pPr>
        <w:spacing w:line="360" w:lineRule="auto"/>
        <w:ind w:firstLine="650"/>
        <w:rPr>
          <w:rFonts w:asciiTheme="minorEastAsia" w:hAnsiTheme="minorEastAsia" w:eastAsiaTheme="minorEastAsia"/>
          <w:sz w:val="24"/>
          <w:szCs w:val="24"/>
        </w:rPr>
      </w:pPr>
      <w:r>
        <w:rPr>
          <w:rFonts w:hint="eastAsia" w:asciiTheme="minorEastAsia" w:hAnsiTheme="minorEastAsia" w:eastAsiaTheme="minorEastAsia"/>
          <w:bCs/>
          <w:kern w:val="0"/>
          <w:sz w:val="24"/>
          <w:szCs w:val="24"/>
        </w:rPr>
        <w:t>设计人发现发包人提供的工程设计资料有问题的，设计人应当及时通知发包人并经发包人确认。</w:t>
      </w:r>
    </w:p>
    <w:bookmarkEnd w:id="101"/>
    <w:p w14:paraId="4A8D688D">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3BBFDCB8">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5.1.2.3 设计人应当根据建筑工程的使用功能和专业技术协调要求，合理确定基础类型、结构体系、结构布置、使用荷载及综合管线等。</w:t>
      </w:r>
    </w:p>
    <w:p w14:paraId="7AB79BFC">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5.1.2.4 设计人应当严格执行其双方书面确认的主要技术指标控制值，由于设计人的原因导致工程设计文件超出在专用合同条款中约定的主要技术指标控制值比例的，设计人应当承担相应的违约责任。</w:t>
      </w:r>
    </w:p>
    <w:p w14:paraId="00BA3F27">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5.1.2.5 设计人在工程设计中选用的材料、设备，应当注明其规格、型号、性能等技术指标及适应性，满足质量、安全、节能、环保等要求。</w:t>
      </w:r>
    </w:p>
    <w:p w14:paraId="56BF9C71">
      <w:pPr>
        <w:pStyle w:val="7"/>
        <w:keepNext w:val="0"/>
        <w:keepLines w:val="0"/>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5.2 工程设计保证措施</w:t>
      </w:r>
    </w:p>
    <w:p w14:paraId="50CB4265">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5.2.1 发包人的保证措施</w:t>
      </w:r>
    </w:p>
    <w:p w14:paraId="5A9AAD62">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发包人应按照法律规定及合同约定完成与工程设计有关的各项工作。</w:t>
      </w:r>
    </w:p>
    <w:p w14:paraId="6A2ADBFC">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5.2.2 设计人的保证措施</w:t>
      </w:r>
    </w:p>
    <w:p w14:paraId="45353C11">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设计人应做好工程设计的质量与技术管理工作，建立健全工程设计质量保证体系，加强工程设计全过程的质量控制，建立完整的设计文件的设计、复核、审核、会签和批准制度，明确各阶段的责任人。</w:t>
      </w:r>
    </w:p>
    <w:p w14:paraId="57E57563">
      <w:pPr>
        <w:pStyle w:val="7"/>
        <w:spacing w:before="120" w:after="120" w:line="360" w:lineRule="auto"/>
        <w:ind w:firstLine="480" w:firstLineChars="200"/>
        <w:rPr>
          <w:rFonts w:asciiTheme="minorEastAsia" w:hAnsiTheme="minorEastAsia" w:eastAsiaTheme="minorEastAsia"/>
          <w:b w:val="0"/>
          <w:bCs w:val="0"/>
          <w:kern w:val="0"/>
          <w:sz w:val="24"/>
          <w:szCs w:val="24"/>
        </w:rPr>
      </w:pPr>
      <w:r>
        <w:rPr>
          <w:rFonts w:hint="eastAsia" w:asciiTheme="minorEastAsia" w:hAnsiTheme="minorEastAsia" w:eastAsiaTheme="minorEastAsia"/>
          <w:b w:val="0"/>
          <w:sz w:val="24"/>
          <w:szCs w:val="24"/>
        </w:rPr>
        <w:t>5.3 工程设计文件的要求</w:t>
      </w:r>
    </w:p>
    <w:p w14:paraId="049459BE">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5.3.1 工程设计文件的编制应符合法律、技术标准的强制性规定及合同的要求。</w:t>
      </w:r>
    </w:p>
    <w:p w14:paraId="5BFD546C">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5.3.2 工程设计依据应完整、准确、可靠，设计方案论证充分，计算成果可靠，并能够实施。</w:t>
      </w:r>
    </w:p>
    <w:p w14:paraId="241585B4">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5.3.3 工程设计文件的深度应满足本合同相应设计阶段的规定要求，并符合国家和行业现行有效的相关规定。</w:t>
      </w:r>
    </w:p>
    <w:p w14:paraId="64823F10">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5.3.4 工程设计文件必须保证工程质量和施工安全等方面的要求，按照有关法律法规规定在工程设计文件中提出保障施工作业人员安全和预防生产安全事故的措施建议。</w:t>
      </w:r>
    </w:p>
    <w:p w14:paraId="6D8EF5E0">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5.3.5 应根据法律、技术标准要求，保证房屋建筑工程的合理使用寿命年限，并应在工程设计文件中注明相应的合理使用寿命年限。</w:t>
      </w:r>
    </w:p>
    <w:p w14:paraId="6359B993">
      <w:pPr>
        <w:pStyle w:val="7"/>
        <w:keepNext w:val="0"/>
        <w:keepLines w:val="0"/>
        <w:spacing w:before="120" w:after="120" w:line="360" w:lineRule="auto"/>
        <w:ind w:firstLine="480" w:firstLineChars="200"/>
        <w:rPr>
          <w:rFonts w:asciiTheme="minorEastAsia" w:hAnsiTheme="minorEastAsia" w:eastAsiaTheme="minorEastAsia"/>
          <w:b w:val="0"/>
          <w:bCs w:val="0"/>
          <w:kern w:val="0"/>
          <w:sz w:val="24"/>
          <w:szCs w:val="24"/>
        </w:rPr>
      </w:pPr>
      <w:bookmarkStart w:id="102" w:name="_Toc351203536"/>
      <w:bookmarkStart w:id="103" w:name="_Toc337558762"/>
      <w:r>
        <w:rPr>
          <w:rFonts w:hint="eastAsia" w:asciiTheme="minorEastAsia" w:hAnsiTheme="minorEastAsia" w:eastAsiaTheme="minorEastAsia"/>
          <w:b w:val="0"/>
          <w:sz w:val="24"/>
          <w:szCs w:val="24"/>
        </w:rPr>
        <w:t>5.4 不合格工程设计文件的处理</w:t>
      </w:r>
      <w:bookmarkEnd w:id="102"/>
    </w:p>
    <w:bookmarkEnd w:id="103"/>
    <w:p w14:paraId="23E02EEA">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5.4.1 因设计人原因造成工程设计文件不合格的，发包人有权要求设计人采取补救措施，直至达到合同要求的质量标准，并按第14.2款〔设计人违约责任〕的约定承担责任。 </w:t>
      </w:r>
    </w:p>
    <w:p w14:paraId="1A627DEB">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5.4.2 因发包人原因造成工程设计文件不合格的，设计人应当采取补救措施，直至达到合同要求的质量标准，由此增加的设计费用和（或）设计周期的延长由发包人承担。</w:t>
      </w:r>
    </w:p>
    <w:p w14:paraId="7A0AFBC3">
      <w:pPr>
        <w:pStyle w:val="6"/>
        <w:spacing w:before="120" w:after="120" w:line="360" w:lineRule="auto"/>
        <w:rPr>
          <w:rFonts w:asciiTheme="minorEastAsia" w:hAnsiTheme="minorEastAsia" w:eastAsiaTheme="minorEastAsia"/>
          <w:b w:val="0"/>
          <w:sz w:val="24"/>
          <w:szCs w:val="24"/>
        </w:rPr>
      </w:pPr>
      <w:bookmarkStart w:id="104" w:name="_Toc351203542"/>
      <w:bookmarkStart w:id="105" w:name="_Toc337558767"/>
      <w:r>
        <w:rPr>
          <w:rFonts w:hint="eastAsia" w:asciiTheme="minorEastAsia" w:hAnsiTheme="minorEastAsia" w:eastAsiaTheme="minorEastAsia"/>
          <w:b w:val="0"/>
          <w:sz w:val="24"/>
          <w:szCs w:val="24"/>
        </w:rPr>
        <w:t>6. 工程设计进度</w:t>
      </w:r>
      <w:bookmarkEnd w:id="104"/>
      <w:r>
        <w:rPr>
          <w:rFonts w:hint="eastAsia" w:asciiTheme="minorEastAsia" w:hAnsiTheme="minorEastAsia" w:eastAsiaTheme="minorEastAsia"/>
          <w:b w:val="0"/>
          <w:sz w:val="24"/>
          <w:szCs w:val="24"/>
        </w:rPr>
        <w:t>与周期</w:t>
      </w:r>
    </w:p>
    <w:bookmarkEnd w:id="105"/>
    <w:p w14:paraId="2FA32171">
      <w:pPr>
        <w:pStyle w:val="7"/>
        <w:spacing w:before="120" w:after="120" w:line="360" w:lineRule="auto"/>
        <w:ind w:firstLine="480" w:firstLineChars="200"/>
        <w:rPr>
          <w:rFonts w:asciiTheme="minorEastAsia" w:hAnsiTheme="minorEastAsia" w:eastAsiaTheme="minorEastAsia"/>
          <w:b w:val="0"/>
          <w:sz w:val="24"/>
          <w:szCs w:val="24"/>
        </w:rPr>
      </w:pPr>
      <w:bookmarkStart w:id="106" w:name="_Toc351203544"/>
      <w:bookmarkStart w:id="107" w:name="_Toc337558769"/>
      <w:bookmarkStart w:id="108" w:name="_Toc296346567"/>
      <w:bookmarkStart w:id="109" w:name="_Toc296503066"/>
      <w:r>
        <w:rPr>
          <w:rFonts w:hint="eastAsia" w:asciiTheme="minorEastAsia" w:hAnsiTheme="minorEastAsia" w:eastAsiaTheme="minorEastAsia"/>
          <w:b w:val="0"/>
          <w:sz w:val="24"/>
          <w:szCs w:val="24"/>
        </w:rPr>
        <w:t>6.1 工程设计进度计划</w:t>
      </w:r>
      <w:bookmarkEnd w:id="106"/>
    </w:p>
    <w:bookmarkEnd w:id="107"/>
    <w:p w14:paraId="2B6856D4">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6.1.1 工程设计进度计划的编制</w:t>
      </w:r>
    </w:p>
    <w:p w14:paraId="2719652A">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73D36E01">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工程设计进度计划中的设计周期应由发包人与设计人协商确定，明确约定各阶段设计任务的完成时间区间，</w:t>
      </w:r>
      <w:r>
        <w:rPr>
          <w:rFonts w:hint="eastAsia" w:asciiTheme="minorEastAsia" w:hAnsiTheme="minorEastAsia" w:eastAsiaTheme="minorEastAsia"/>
          <w:sz w:val="24"/>
          <w:szCs w:val="24"/>
        </w:rPr>
        <w:t>包括各阶段设计过程中设计人与发包人的交流时间，但不包括相关政府部门对设计成果的审批时间及发包人的审查时间。</w:t>
      </w:r>
    </w:p>
    <w:p w14:paraId="74C4D6C2">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6.1.2 工程设计进度计划的修订</w:t>
      </w:r>
    </w:p>
    <w:p w14:paraId="79974BBD">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3965FF5C">
      <w:pPr>
        <w:pStyle w:val="7"/>
        <w:spacing w:before="120" w:after="120" w:line="360" w:lineRule="auto"/>
        <w:ind w:firstLine="480" w:firstLineChars="200"/>
        <w:rPr>
          <w:rFonts w:asciiTheme="minorEastAsia" w:hAnsiTheme="minorEastAsia" w:eastAsiaTheme="minorEastAsia"/>
          <w:b w:val="0"/>
          <w:sz w:val="24"/>
          <w:szCs w:val="24"/>
        </w:rPr>
      </w:pPr>
      <w:bookmarkStart w:id="110" w:name="_Toc351203545"/>
      <w:bookmarkStart w:id="111" w:name="_Toc337558770"/>
      <w:r>
        <w:rPr>
          <w:rFonts w:hint="eastAsia" w:asciiTheme="minorEastAsia" w:hAnsiTheme="minorEastAsia" w:eastAsiaTheme="minorEastAsia"/>
          <w:b w:val="0"/>
          <w:sz w:val="24"/>
          <w:szCs w:val="24"/>
        </w:rPr>
        <w:t xml:space="preserve">6.2 </w:t>
      </w:r>
      <w:bookmarkEnd w:id="110"/>
      <w:r>
        <w:rPr>
          <w:rFonts w:hint="eastAsia" w:asciiTheme="minorEastAsia" w:hAnsiTheme="minorEastAsia" w:eastAsiaTheme="minorEastAsia"/>
          <w:b w:val="0"/>
          <w:sz w:val="24"/>
          <w:szCs w:val="24"/>
        </w:rPr>
        <w:t>工程设计开始</w:t>
      </w:r>
    </w:p>
    <w:bookmarkEnd w:id="111"/>
    <w:p w14:paraId="48505C8F">
      <w:pPr>
        <w:adjustRightInd w:val="0"/>
        <w:spacing w:line="360" w:lineRule="auto"/>
        <w:ind w:firstLine="501" w:firstLineChars="209"/>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35B96FE4">
      <w:pPr>
        <w:autoSpaceDE w:val="0"/>
        <w:autoSpaceDN w:val="0"/>
        <w:adjustRightInd w:val="0"/>
        <w:spacing w:line="360" w:lineRule="auto"/>
        <w:ind w:firstLine="504" w:firstLineChars="21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设计人应当在收到发包人提供的工程设计资料及专用合同条款约定的定金或预付款后，开始工程设计工作。</w:t>
      </w:r>
    </w:p>
    <w:p w14:paraId="1305F4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各设计阶段的开始时间均以设计人收到的发包人发出开始设计工作的书面通知书中载明的</w:t>
      </w:r>
      <w:r>
        <w:rPr>
          <w:rFonts w:hint="eastAsia" w:asciiTheme="minorEastAsia" w:hAnsiTheme="minorEastAsia" w:eastAsiaTheme="minorEastAsia"/>
          <w:kern w:val="0"/>
          <w:sz w:val="24"/>
          <w:szCs w:val="24"/>
        </w:rPr>
        <w:t>开始设计的日期起算。</w:t>
      </w:r>
    </w:p>
    <w:bookmarkEnd w:id="108"/>
    <w:bookmarkEnd w:id="109"/>
    <w:p w14:paraId="26700218">
      <w:pPr>
        <w:pStyle w:val="7"/>
        <w:spacing w:before="120" w:after="120" w:line="360" w:lineRule="auto"/>
        <w:ind w:firstLine="480" w:firstLineChars="200"/>
        <w:rPr>
          <w:rFonts w:asciiTheme="minorEastAsia" w:hAnsiTheme="minorEastAsia" w:eastAsiaTheme="minorEastAsia"/>
          <w:b w:val="0"/>
          <w:sz w:val="24"/>
          <w:szCs w:val="24"/>
        </w:rPr>
      </w:pPr>
      <w:bookmarkStart w:id="112" w:name="_Toc351203547"/>
      <w:bookmarkStart w:id="113" w:name="_Toc337558772"/>
      <w:bookmarkStart w:id="114" w:name="_Toc296346574"/>
      <w:bookmarkStart w:id="115" w:name="_Toc296503073"/>
      <w:r>
        <w:rPr>
          <w:rFonts w:hint="eastAsia" w:asciiTheme="minorEastAsia" w:hAnsiTheme="minorEastAsia" w:eastAsiaTheme="minorEastAsia"/>
          <w:b w:val="0"/>
          <w:sz w:val="24"/>
          <w:szCs w:val="24"/>
        </w:rPr>
        <w:t>6.3 工程设计进度延误</w:t>
      </w:r>
      <w:bookmarkEnd w:id="112"/>
    </w:p>
    <w:bookmarkEnd w:id="113"/>
    <w:bookmarkEnd w:id="114"/>
    <w:bookmarkEnd w:id="115"/>
    <w:p w14:paraId="20B1775F">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6.3.1 因发包人原因导致工程设计进度延误</w:t>
      </w:r>
    </w:p>
    <w:p w14:paraId="790DAE2E">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在合同履行过程中，发包人导致工程设计进度延误的情形主要有： </w:t>
      </w:r>
    </w:p>
    <w:p w14:paraId="750FDCEB">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（1）发包人未能按合同约定提供工程设计资料或所提供的工程设计资料不符合合同约定或存在错误或疏漏的；</w:t>
      </w:r>
    </w:p>
    <w:p w14:paraId="45A900C7">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（2）发包人未能按合同约定日期足额支付定金或预付款、进度款的；</w:t>
      </w:r>
    </w:p>
    <w:p w14:paraId="4492B77D">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（3）发包人提出影响设计周期的设计变更要求的；</w:t>
      </w:r>
    </w:p>
    <w:p w14:paraId="68D037BC">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（4）专用合同条款中约定的其他情形。</w:t>
      </w:r>
    </w:p>
    <w:p w14:paraId="13168519">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因发包人原因未按计划开始设计日期开始设计的，发包人应按实际开始设计日期顺延完成设计日期。</w:t>
      </w:r>
    </w:p>
    <w:p w14:paraId="5C812722">
      <w:pPr>
        <w:spacing w:line="360" w:lineRule="auto"/>
        <w:ind w:firstLine="480" w:firstLineChars="200"/>
        <w:rPr>
          <w:rFonts w:cs="Courier New" w:asciiTheme="minorEastAsia" w:hAnsiTheme="minorEastAsia" w:eastAsiaTheme="minorEastAsia"/>
          <w:sz w:val="24"/>
          <w:szCs w:val="24"/>
        </w:rPr>
      </w:pPr>
      <w:r>
        <w:rPr>
          <w:rFonts w:hint="eastAsia" w:asciiTheme="minorEastAsia" w:hAnsiTheme="minorEastAsia" w:eastAsiaTheme="minorEastAsia"/>
          <w:kern w:val="0"/>
          <w:sz w:val="24"/>
          <w:szCs w:val="24"/>
        </w:rPr>
        <w:t>除专用合同条款对期限另有约定外，</w:t>
      </w:r>
      <w:r>
        <w:rPr>
          <w:rFonts w:hint="eastAsia" w:cs="Courier New" w:asciiTheme="minorEastAsia" w:hAnsiTheme="minorEastAsia" w:eastAsiaTheme="minorEastAsia"/>
          <w:sz w:val="24"/>
          <w:szCs w:val="24"/>
        </w:rPr>
        <w:t>设计人应在发生上述情形后5天内向发包人发出要求延期的书面通知，在发生该情形后10天内提交要求延期的详细说明供发包人审查。</w:t>
      </w:r>
      <w:r>
        <w:rPr>
          <w:rFonts w:hint="eastAsia" w:asciiTheme="minorEastAsia" w:hAnsiTheme="minorEastAsia" w:eastAsiaTheme="minorEastAsia"/>
          <w:kern w:val="0"/>
          <w:sz w:val="24"/>
          <w:szCs w:val="24"/>
        </w:rPr>
        <w:t>除专用合同条款对期限另有约定外，</w:t>
      </w:r>
      <w:r>
        <w:rPr>
          <w:rFonts w:hint="eastAsia" w:cs="Courier New" w:asciiTheme="minorEastAsia" w:hAnsiTheme="minorEastAsia" w:eastAsiaTheme="minorEastAsia"/>
          <w:sz w:val="24"/>
          <w:szCs w:val="24"/>
        </w:rPr>
        <w:t>发包人收到设计人要求延期的详细说明后，应在5天内进行审查并就是否延长设计周期及延期天数向设计人进行书面答复。</w:t>
      </w:r>
    </w:p>
    <w:p w14:paraId="296F2F52">
      <w:pPr>
        <w:spacing w:line="360" w:lineRule="auto"/>
        <w:ind w:firstLine="480" w:firstLineChars="200"/>
        <w:jc w:val="left"/>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如果发包人在收到设计人</w:t>
      </w:r>
      <w:r>
        <w:rPr>
          <w:rFonts w:hint="eastAsia" w:asciiTheme="minorEastAsia" w:hAnsiTheme="minorEastAsia" w:eastAsiaTheme="minorEastAsia"/>
          <w:kern w:val="0"/>
          <w:sz w:val="24"/>
          <w:szCs w:val="24"/>
        </w:rPr>
        <w:t>提交要求</w:t>
      </w:r>
      <w:r>
        <w:rPr>
          <w:rFonts w:hint="eastAsia" w:cs="Courier New" w:asciiTheme="minorEastAsia" w:hAnsiTheme="minorEastAsia" w:eastAsiaTheme="minorEastAsia"/>
          <w:sz w:val="24"/>
          <w:szCs w:val="24"/>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175500A1">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发包人上述工程设计进度延误情形</w:t>
      </w:r>
      <w:r>
        <w:rPr>
          <w:rFonts w:hint="eastAsia" w:asciiTheme="minorEastAsia" w:hAnsiTheme="minorEastAsia" w:eastAsiaTheme="minorEastAsia"/>
          <w:sz w:val="24"/>
          <w:szCs w:val="24"/>
        </w:rPr>
        <w:t>导致增加了设计工作量的，发包人应当另行支付相应设计费用。</w:t>
      </w:r>
    </w:p>
    <w:p w14:paraId="376D13AD">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kern w:val="0"/>
          <w:sz w:val="24"/>
          <w:szCs w:val="24"/>
        </w:rPr>
        <w:t>6.3.2 因设计人原因导致工程设计进度延误</w:t>
      </w:r>
    </w:p>
    <w:p w14:paraId="6FAB2A19">
      <w:pPr>
        <w:adjustRightInd w:val="0"/>
        <w:spacing w:line="360" w:lineRule="auto"/>
        <w:ind w:firstLine="480" w:firstLineChars="200"/>
        <w:jc w:val="left"/>
        <w:rPr>
          <w:rFonts w:asciiTheme="minorEastAsia" w:hAnsiTheme="minorEastAsia" w:eastAsiaTheme="minorEastAsia"/>
          <w:kern w:val="0"/>
          <w:sz w:val="24"/>
          <w:szCs w:val="24"/>
        </w:rPr>
      </w:pPr>
      <w:bookmarkStart w:id="116" w:name="_Toc296346577"/>
      <w:bookmarkStart w:id="117" w:name="_Toc296503076"/>
      <w:r>
        <w:rPr>
          <w:rFonts w:hint="eastAsia" w:asciiTheme="minorEastAsia" w:hAnsiTheme="minorEastAsia" w:eastAsiaTheme="minorEastAsia"/>
          <w:kern w:val="0"/>
          <w:sz w:val="24"/>
          <w:szCs w:val="24"/>
        </w:rPr>
        <w:t>因</w:t>
      </w:r>
      <w:bookmarkEnd w:id="116"/>
      <w:bookmarkEnd w:id="117"/>
      <w:r>
        <w:rPr>
          <w:rFonts w:hint="eastAsia" w:asciiTheme="minorEastAsia" w:hAnsiTheme="minorEastAsia" w:eastAsiaTheme="minorEastAsia"/>
          <w:kern w:val="0"/>
          <w:sz w:val="24"/>
          <w:szCs w:val="24"/>
        </w:rPr>
        <w:t>设计人原因导致工程设计进度延误的，设计人应当按照第14.2款〔设计人违约责任〕承担责任。设计人支付逾期完成工程设计违约金后，不免除设计人继续完成工程设计的义务。</w:t>
      </w:r>
    </w:p>
    <w:p w14:paraId="607B08EA">
      <w:pPr>
        <w:pStyle w:val="7"/>
        <w:spacing w:before="120" w:after="120" w:line="360" w:lineRule="auto"/>
        <w:ind w:firstLine="480" w:firstLineChars="200"/>
        <w:rPr>
          <w:rFonts w:asciiTheme="minorEastAsia" w:hAnsiTheme="minorEastAsia" w:eastAsiaTheme="minorEastAsia"/>
          <w:b w:val="0"/>
          <w:sz w:val="24"/>
          <w:szCs w:val="24"/>
        </w:rPr>
      </w:pPr>
      <w:bookmarkStart w:id="118" w:name="_Toc351203550"/>
      <w:bookmarkStart w:id="119" w:name="_Toc296503077"/>
      <w:bookmarkStart w:id="120" w:name="_Toc337558775"/>
      <w:bookmarkStart w:id="121" w:name="_Toc296346578"/>
      <w:r>
        <w:rPr>
          <w:rFonts w:hint="eastAsia" w:asciiTheme="minorEastAsia" w:hAnsiTheme="minorEastAsia" w:eastAsiaTheme="minorEastAsia"/>
          <w:b w:val="0"/>
          <w:sz w:val="24"/>
          <w:szCs w:val="24"/>
        </w:rPr>
        <w:t>6.4 暂停</w:t>
      </w:r>
      <w:bookmarkEnd w:id="118"/>
      <w:r>
        <w:rPr>
          <w:rFonts w:hint="eastAsia" w:asciiTheme="minorEastAsia" w:hAnsiTheme="minorEastAsia" w:eastAsiaTheme="minorEastAsia"/>
          <w:b w:val="0"/>
          <w:sz w:val="24"/>
          <w:szCs w:val="24"/>
        </w:rPr>
        <w:t>设计</w:t>
      </w:r>
    </w:p>
    <w:bookmarkEnd w:id="119"/>
    <w:bookmarkEnd w:id="120"/>
    <w:bookmarkEnd w:id="121"/>
    <w:p w14:paraId="3811ED2B">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6.4.1 发包人原因引起的暂停设计</w:t>
      </w:r>
    </w:p>
    <w:p w14:paraId="368F7359">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因发包人原因引起暂停设计的，发包人应及时下达暂停设计指示。</w:t>
      </w:r>
    </w:p>
    <w:p w14:paraId="12C0FE11">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因发包人原因引起的暂停设计，发包人应承担由此增加的设计费用和（或）延长的设计周期。</w:t>
      </w:r>
    </w:p>
    <w:p w14:paraId="1D780DC5">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6.4.2 设计人原因引起的暂停设计</w:t>
      </w:r>
    </w:p>
    <w:p w14:paraId="643524D7">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2AB0BC60">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6.4.3 其他原因引起的暂停设计</w:t>
      </w:r>
    </w:p>
    <w:p w14:paraId="5F28CFC3">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当出现非设计人原因造成的暂停设计，设计人应当尽快向发包人发出书面通知。</w:t>
      </w:r>
    </w:p>
    <w:p w14:paraId="5C0220B0">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在上述情形下设计人的设计服务暂停，设计人的设计周期应当相应延长，复工应有发包人与设计人共同确认的合理期限。</w:t>
      </w:r>
    </w:p>
    <w:p w14:paraId="450F41A3">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当发生本项约定的情况，导致设计人增加设计工作量的，发包人应当另行支付相应设计费用。</w:t>
      </w:r>
    </w:p>
    <w:p w14:paraId="1BC179B7">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6.4.4 暂停设计后的复工</w:t>
      </w:r>
    </w:p>
    <w:p w14:paraId="43CC4E27">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暂停设计后，发包人和设计人应采取有效措施积极消除暂停设计的影响。当工程具备复工条件时，发包人向设计人发出复工通知，设计人应按照复工通知要求复工。</w:t>
      </w:r>
    </w:p>
    <w:p w14:paraId="0D85B7E4">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除设计人原因导致暂停设计外，设计人暂停设计后复工所增加的设计工作量，发包人应当另行支付相应设计费用。</w:t>
      </w:r>
    </w:p>
    <w:p w14:paraId="2E5ED058">
      <w:pPr>
        <w:pStyle w:val="7"/>
        <w:spacing w:before="120" w:after="120" w:line="360" w:lineRule="auto"/>
        <w:ind w:firstLine="480" w:firstLineChars="200"/>
        <w:rPr>
          <w:rFonts w:asciiTheme="minorEastAsia" w:hAnsiTheme="minorEastAsia" w:eastAsiaTheme="minorEastAsia"/>
          <w:b w:val="0"/>
          <w:sz w:val="24"/>
          <w:szCs w:val="24"/>
        </w:rPr>
      </w:pPr>
      <w:bookmarkStart w:id="122" w:name="_Toc351203551"/>
      <w:r>
        <w:rPr>
          <w:rFonts w:hint="eastAsia" w:asciiTheme="minorEastAsia" w:hAnsiTheme="minorEastAsia" w:eastAsiaTheme="minorEastAsia"/>
          <w:b w:val="0"/>
          <w:sz w:val="24"/>
          <w:szCs w:val="24"/>
        </w:rPr>
        <w:t>6.5 提前</w:t>
      </w:r>
      <w:bookmarkEnd w:id="122"/>
      <w:r>
        <w:rPr>
          <w:rFonts w:hint="eastAsia" w:asciiTheme="minorEastAsia" w:hAnsiTheme="minorEastAsia" w:eastAsiaTheme="minorEastAsia"/>
          <w:b w:val="0"/>
          <w:sz w:val="24"/>
          <w:szCs w:val="24"/>
        </w:rPr>
        <w:t>交付工程设计文件</w:t>
      </w:r>
    </w:p>
    <w:p w14:paraId="6DC65027">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64E1A827">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6.5.2 发包人要求设计人提前交付工程设计文件，或设计人提出提前交付工程设计文件的建议能够给发包人带来效益的，合同当事人可以在专用合同条款中约定提前交付工程设计文件的奖励。</w:t>
      </w:r>
    </w:p>
    <w:p w14:paraId="668AF105">
      <w:pPr>
        <w:pStyle w:val="6"/>
        <w:spacing w:before="120" w:after="120" w:line="360" w:lineRule="auto"/>
        <w:rPr>
          <w:rFonts w:asciiTheme="minorEastAsia" w:hAnsiTheme="minorEastAsia" w:eastAsiaTheme="minorEastAsia"/>
          <w:b w:val="0"/>
          <w:sz w:val="24"/>
          <w:szCs w:val="24"/>
        </w:rPr>
      </w:pPr>
      <w:bookmarkStart w:id="123" w:name="_Toc296346584"/>
      <w:bookmarkStart w:id="124" w:name="_Toc296503083"/>
      <w:r>
        <w:rPr>
          <w:rFonts w:hint="eastAsia" w:asciiTheme="minorEastAsia" w:hAnsiTheme="minorEastAsia" w:eastAsiaTheme="minorEastAsia"/>
          <w:b w:val="0"/>
          <w:sz w:val="24"/>
          <w:szCs w:val="24"/>
        </w:rPr>
        <w:t>7. 工程设计文件交付</w:t>
      </w:r>
    </w:p>
    <w:p w14:paraId="4C2B87E7">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7.1 工程设计文件交付的内容</w:t>
      </w:r>
    </w:p>
    <w:p w14:paraId="1DD9D136">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7.1.1 工程设计图纸及设计说明。</w:t>
      </w:r>
    </w:p>
    <w:p w14:paraId="4BA672B7">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7.1.2 发包人可以要求设计人提交专用合同条款约定的具体形式的</w:t>
      </w:r>
      <w:r>
        <w:rPr>
          <w:rFonts w:hint="eastAsia" w:cs="Courier New" w:asciiTheme="minorEastAsia" w:hAnsiTheme="minorEastAsia" w:eastAsiaTheme="minorEastAsia"/>
          <w:sz w:val="24"/>
          <w:szCs w:val="24"/>
        </w:rPr>
        <w:t>电子版设计文件</w:t>
      </w:r>
      <w:r>
        <w:rPr>
          <w:rFonts w:hint="eastAsia" w:asciiTheme="minorEastAsia" w:hAnsiTheme="minorEastAsia" w:eastAsiaTheme="minorEastAsia"/>
          <w:kern w:val="0"/>
          <w:sz w:val="24"/>
          <w:szCs w:val="24"/>
        </w:rPr>
        <w:t>。</w:t>
      </w:r>
    </w:p>
    <w:p w14:paraId="34795405">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7.2 工程设计文件的交付方式</w:t>
      </w:r>
    </w:p>
    <w:p w14:paraId="04AA2EC2">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设计人交付工程设计文件给发包人，发包人应当出具书面签收单，内容包括图纸名称、图纸内容、图纸形式、份数、提交和签收日期、提交人与接收人的亲笔签名。</w:t>
      </w:r>
    </w:p>
    <w:p w14:paraId="557D6CE5">
      <w:pPr>
        <w:pStyle w:val="7"/>
        <w:keepNext w:val="0"/>
        <w:keepLines w:val="0"/>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7.3 工程设计文件交付的时间和份数</w:t>
      </w:r>
    </w:p>
    <w:p w14:paraId="168D5796">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工程设计文件交付的名称、时间和份数在专用合同条款附件3中约定。</w:t>
      </w:r>
    </w:p>
    <w:p w14:paraId="28EB1B1B">
      <w:pPr>
        <w:pStyle w:val="6"/>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8. 工程设计文件审查</w:t>
      </w:r>
    </w:p>
    <w:p w14:paraId="67591CA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8.1 设计人的工程设计文件应报发包人审查同意。审查的范围和内容在发包人要求中约定。审查的具体标准应符合法律规定、技术标准要求和本合同约定。</w:t>
      </w:r>
    </w:p>
    <w:p w14:paraId="5F0D0F1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除专用合同条款对期限另有约定外，自发包人收到设计人的工程设计文件以及设计人的通知之日起，发包人对设计人的工程设计文件审查期不超过15天。</w:t>
      </w:r>
    </w:p>
    <w:p w14:paraId="5592CA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发包人不同意工程设计文件的，应以书面形式通知设计人，并说明不符合合同要求的具体内容。设计人应根据发包人的书面说明，对工程设计文件进行修改后重新报送发包人审查，审查期重新起算。</w:t>
      </w:r>
    </w:p>
    <w:p w14:paraId="5EAF2D1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合同约定的审查期满，发包人没有做出审查结论也没有提出异议的，视为设计人的工程设计文件已获发包人同意。</w:t>
      </w:r>
    </w:p>
    <w:p w14:paraId="3AA0745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5CEFA1F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8.3 工程</w:t>
      </w:r>
      <w:r>
        <w:rPr>
          <w:rStyle w:val="65"/>
          <w:rFonts w:hint="eastAsia" w:asciiTheme="minorEastAsia" w:hAnsiTheme="minorEastAsia" w:eastAsiaTheme="minorEastAsia"/>
          <w:vanish/>
          <w:sz w:val="24"/>
          <w:szCs w:val="24"/>
        </w:rPr>
        <w:t>（</w:t>
      </w:r>
      <w:r>
        <w:rPr>
          <w:rFonts w:hint="eastAsia" w:asciiTheme="minorEastAsia" w:hAnsiTheme="minorEastAsia" w:eastAsiaTheme="minorEastAsia"/>
          <w:sz w:val="24"/>
          <w:szCs w:val="24"/>
        </w:rPr>
        <w:t>设计文件需政府有关部门审查或批准的，发包人应在审查同意设计人的工程设计文件后在专用合同条款约定的期限内，向政府有关部门报送工程设计文件，设计人应予以协助。</w:t>
      </w:r>
    </w:p>
    <w:p w14:paraId="6027E20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52A7A5E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261A356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设计人按第7条〔工程设计文件交付〕的约定向发包人提交工程设计文件，有义务参加发包人组织的设计审查会议，向审查者介绍、解答、解释其工程设计文件，并提供有关补充资料。</w:t>
      </w:r>
    </w:p>
    <w:p w14:paraId="5584359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发包人有义务向设计人提供设计审查会议的批准文件和纪要。设计人有义务按照相关设计审查会议批准的文件和纪要，并依据合同约定及相关技术标准，对工程设计文件进行修改、补充和完善。</w:t>
      </w:r>
    </w:p>
    <w:p w14:paraId="743459B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Theme="minorEastAsia" w:hAnsiTheme="minorEastAsia" w:eastAsiaTheme="minorEastAsia"/>
          <w:kern w:val="0"/>
          <w:sz w:val="24"/>
          <w:szCs w:val="24"/>
        </w:rPr>
        <w:t>按第14.2款〔设计人违约责任〕的约定承担责任</w:t>
      </w:r>
      <w:r>
        <w:rPr>
          <w:rFonts w:hint="eastAsia" w:asciiTheme="minorEastAsia" w:hAnsiTheme="minorEastAsia" w:eastAsiaTheme="minorEastAsia"/>
          <w:sz w:val="24"/>
          <w:szCs w:val="24"/>
        </w:rPr>
        <w:t>。</w:t>
      </w:r>
    </w:p>
    <w:p w14:paraId="6C04BA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因发包人原因，致使工程设计文件审查无法进行或无法按期进行，造成设计周期延长、窝工损失及设计人增加的费用，由发包人承担。</w:t>
      </w:r>
    </w:p>
    <w:p w14:paraId="71598163">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 xml:space="preserve">8.6 </w:t>
      </w:r>
      <w:r>
        <w:rPr>
          <w:rFonts w:hint="eastAsia" w:asciiTheme="minorEastAsia" w:hAnsiTheme="minorEastAsia" w:eastAsiaTheme="minorEastAsia"/>
          <w:kern w:val="0"/>
          <w:sz w:val="24"/>
          <w:szCs w:val="24"/>
        </w:rPr>
        <w:t xml:space="preserve">因设计人原因造成工程设计文件不合格致使工程设计文件审查无法通过的，发包人有权要求设计人采取补救措施，直至达到合同要求的质量标准，并按第14.2款〔设计人违约责任〕的约定承担责任。 </w:t>
      </w:r>
    </w:p>
    <w:p w14:paraId="663BD17E">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因发包人原因造成工程设计文件不合格致使工程设计文件审查无法通过的，由此增加的设计费用和（或）延长的设计周期由发包人承担。</w:t>
      </w:r>
    </w:p>
    <w:p w14:paraId="6C08873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0"/>
          <w:sz w:val="24"/>
          <w:szCs w:val="24"/>
        </w:rPr>
        <w:t>8.7 工程设计文件的审查，不减轻或免除设计人依据法律应当承担的责任。</w:t>
      </w:r>
    </w:p>
    <w:p w14:paraId="59B3C3C6">
      <w:pPr>
        <w:pStyle w:val="6"/>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9. 施工现场配合服务</w:t>
      </w:r>
    </w:p>
    <w:p w14:paraId="0457391D">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9.1 除专用合同条款另有约定外，发包人应为设计人派赴现场的工作人员提供工作、生活等方面的便利条件。</w:t>
      </w:r>
    </w:p>
    <w:p w14:paraId="44F3616B">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41A49BCA">
      <w:pPr>
        <w:pStyle w:val="6"/>
        <w:keepNext w:val="0"/>
        <w:keepLines w:val="0"/>
        <w:autoSpaceDE w:val="0"/>
        <w:autoSpaceDN w:val="0"/>
        <w:spacing w:before="120" w:after="120" w:line="360" w:lineRule="auto"/>
        <w:rPr>
          <w:rFonts w:asciiTheme="minorEastAsia" w:hAnsiTheme="minorEastAsia" w:eastAsiaTheme="minorEastAsia"/>
          <w:b w:val="0"/>
          <w:sz w:val="24"/>
          <w:szCs w:val="24"/>
        </w:rPr>
      </w:pPr>
      <w:bookmarkStart w:id="125" w:name="_Toc351203567"/>
      <w:r>
        <w:rPr>
          <w:rFonts w:hint="eastAsia" w:asciiTheme="minorEastAsia" w:hAnsiTheme="minorEastAsia" w:eastAsiaTheme="minorEastAsia"/>
          <w:b w:val="0"/>
          <w:sz w:val="24"/>
          <w:szCs w:val="24"/>
        </w:rPr>
        <w:t>10. 合同价款与支付</w:t>
      </w:r>
    </w:p>
    <w:p w14:paraId="7F550F03">
      <w:pPr>
        <w:pStyle w:val="7"/>
        <w:keepNext w:val="0"/>
        <w:keepLines w:val="0"/>
        <w:autoSpaceDE w:val="0"/>
        <w:autoSpaceDN w:val="0"/>
        <w:spacing w:before="120" w:after="120" w:line="360" w:lineRule="auto"/>
        <w:ind w:firstLine="480" w:firstLineChars="200"/>
        <w:rPr>
          <w:rFonts w:asciiTheme="minorEastAsia" w:hAnsiTheme="minorEastAsia" w:eastAsiaTheme="minorEastAsia"/>
          <w:b w:val="0"/>
          <w:bCs w:val="0"/>
          <w:kern w:val="0"/>
          <w:sz w:val="24"/>
          <w:szCs w:val="24"/>
        </w:rPr>
      </w:pPr>
      <w:r>
        <w:rPr>
          <w:rFonts w:hint="eastAsia" w:asciiTheme="minorEastAsia" w:hAnsiTheme="minorEastAsia" w:eastAsiaTheme="minorEastAsia"/>
          <w:b w:val="0"/>
          <w:sz w:val="24"/>
          <w:szCs w:val="24"/>
        </w:rPr>
        <w:t>10.1 合同价款组成</w:t>
      </w:r>
    </w:p>
    <w:p w14:paraId="42FDAAA2">
      <w:pPr>
        <w:pStyle w:val="7"/>
        <w:keepNext w:val="0"/>
        <w:keepLines w:val="0"/>
        <w:spacing w:before="120" w:after="120" w:line="360" w:lineRule="auto"/>
        <w:ind w:firstLine="480" w:firstLineChars="20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发包人和设计人应当在专用合同条款中明确约定合同价款各组成部分的具体数额，主要包括：</w:t>
      </w:r>
    </w:p>
    <w:p w14:paraId="69D1B35C">
      <w:pPr>
        <w:pStyle w:val="7"/>
        <w:keepNext w:val="0"/>
        <w:keepLines w:val="0"/>
        <w:autoSpaceDE w:val="0"/>
        <w:autoSpaceDN w:val="0"/>
        <w:spacing w:before="120" w:after="120" w:line="360" w:lineRule="auto"/>
        <w:ind w:firstLine="480" w:firstLineChars="20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（1）工程设计基本服务费用；</w:t>
      </w:r>
    </w:p>
    <w:p w14:paraId="444E9067">
      <w:pPr>
        <w:pStyle w:val="7"/>
        <w:keepNext w:val="0"/>
        <w:keepLines w:val="0"/>
        <w:autoSpaceDE w:val="0"/>
        <w:autoSpaceDN w:val="0"/>
        <w:spacing w:before="120" w:after="120" w:line="360" w:lineRule="auto"/>
        <w:ind w:firstLine="480" w:firstLineChars="20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（2）工程设计其他服务费用；</w:t>
      </w:r>
    </w:p>
    <w:p w14:paraId="7C936631">
      <w:pPr>
        <w:autoSpaceDE w:val="0"/>
        <w:autoSpaceDN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bCs/>
          <w:kern w:val="0"/>
          <w:sz w:val="24"/>
          <w:szCs w:val="24"/>
        </w:rPr>
        <w:t>（3）</w:t>
      </w:r>
      <w:r>
        <w:rPr>
          <w:rFonts w:hint="eastAsia" w:cs="Courier New" w:asciiTheme="minorEastAsia" w:hAnsiTheme="minorEastAsia" w:eastAsiaTheme="minorEastAsia"/>
          <w:kern w:val="0"/>
          <w:sz w:val="24"/>
          <w:szCs w:val="24"/>
        </w:rPr>
        <w:t>在未签订合同前发包人已经同意或接受或已经使用的设计人为发包人所做的各项工作的相应费用等。</w:t>
      </w:r>
    </w:p>
    <w:p w14:paraId="5350A7DD">
      <w:pPr>
        <w:pStyle w:val="7"/>
        <w:keepNext w:val="0"/>
        <w:keepLines w:val="0"/>
        <w:autoSpaceDE w:val="0"/>
        <w:autoSpaceDN w:val="0"/>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10.2 合同价格形式</w:t>
      </w:r>
    </w:p>
    <w:p w14:paraId="4D268F88">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发包人和设计人应在合同协议书中选择下列一种合同价格形式： </w:t>
      </w:r>
    </w:p>
    <w:p w14:paraId="45BB8D86">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（1）单价合同</w:t>
      </w:r>
    </w:p>
    <w:p w14:paraId="095DFC69">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单价合同是指合同当事人约定以建筑面积（包括地上建筑面积和地下建筑面积）每平方米单价或实际投资总额的一定比例等进行合同价格计算、调整和确认的建设工程设计合同，</w:t>
      </w:r>
      <w:r>
        <w:rPr>
          <w:rFonts w:hint="eastAsia" w:asciiTheme="minorEastAsia" w:hAnsiTheme="minorEastAsia" w:eastAsiaTheme="minorEastAsia"/>
          <w:sz w:val="24"/>
          <w:szCs w:val="24"/>
        </w:rPr>
        <w:t>在约定的范围内合同单价不作调整</w:t>
      </w:r>
      <w:r>
        <w:rPr>
          <w:rFonts w:hint="eastAsia" w:asciiTheme="minorEastAsia" w:hAnsiTheme="minorEastAsia" w:eastAsiaTheme="minorEastAsia"/>
          <w:kern w:val="0"/>
          <w:sz w:val="24"/>
          <w:szCs w:val="24"/>
        </w:rPr>
        <w:t>。合同当事人应在专用合同条款中约定单价包含的风险范围和风险费用的计算方法</w:t>
      </w:r>
      <w:r>
        <w:rPr>
          <w:rFonts w:hint="eastAsia" w:asciiTheme="minorEastAsia" w:hAnsiTheme="minorEastAsia" w:eastAsiaTheme="minorEastAsia"/>
          <w:sz w:val="24"/>
          <w:szCs w:val="24"/>
        </w:rPr>
        <w:t>，</w:t>
      </w:r>
      <w:r>
        <w:rPr>
          <w:rFonts w:hint="eastAsia" w:asciiTheme="minorEastAsia" w:hAnsiTheme="minorEastAsia" w:eastAsiaTheme="minorEastAsia"/>
          <w:kern w:val="0"/>
          <w:sz w:val="24"/>
          <w:szCs w:val="24"/>
        </w:rPr>
        <w:t>并约定风险范围以外的合同价格的调整方法。</w:t>
      </w:r>
    </w:p>
    <w:p w14:paraId="63FE7BC4">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（2）总价合同</w:t>
      </w:r>
    </w:p>
    <w:p w14:paraId="7E6647D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总价合同是指合同当事人约定以发包人提供的上一阶段工程设计文件及有关条件进行合同价格计算、调整和确认的建设工程设计合同，</w:t>
      </w:r>
      <w:r>
        <w:rPr>
          <w:rFonts w:hint="eastAsia" w:asciiTheme="minorEastAsia" w:hAnsiTheme="minorEastAsia" w:eastAsiaTheme="minorEastAsia"/>
          <w:sz w:val="24"/>
          <w:szCs w:val="24"/>
        </w:rPr>
        <w:t>在约定的范围内合同总价不作调整</w:t>
      </w:r>
      <w:r>
        <w:rPr>
          <w:rFonts w:hint="eastAsia" w:asciiTheme="minorEastAsia" w:hAnsiTheme="minorEastAsia" w:eastAsiaTheme="minorEastAsia"/>
          <w:kern w:val="0"/>
          <w:sz w:val="24"/>
          <w:szCs w:val="24"/>
        </w:rPr>
        <w:t>。合同当事人应在专用合同条款中约定总价包含的风险范围和风险费用的计算方法，并约定风险范围以外的合同价格的调整方法。</w:t>
      </w:r>
    </w:p>
    <w:p w14:paraId="0165AAC0">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（3）其它价格形式</w:t>
      </w:r>
    </w:p>
    <w:p w14:paraId="5CB4DCA8">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合同当事人可在专用合同条款中约定其他合同价格形式。</w:t>
      </w:r>
    </w:p>
    <w:p w14:paraId="5F531F08">
      <w:pPr>
        <w:pStyle w:val="7"/>
        <w:keepNext w:val="0"/>
        <w:keepLines w:val="0"/>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10.3 定金或预付款</w:t>
      </w:r>
    </w:p>
    <w:p w14:paraId="7BCA1DFC">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 xml:space="preserve">10.3.1 </w:t>
      </w:r>
      <w:r>
        <w:rPr>
          <w:rFonts w:hint="eastAsia" w:asciiTheme="minorEastAsia" w:hAnsiTheme="minorEastAsia" w:eastAsiaTheme="minorEastAsia"/>
          <w:kern w:val="0"/>
          <w:sz w:val="24"/>
          <w:szCs w:val="24"/>
        </w:rPr>
        <w:t>定金或预付款的比例</w:t>
      </w:r>
    </w:p>
    <w:p w14:paraId="1C76B2CB">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定金或预付款的比例不应超过合同总价款的10%。预付款的比例由发包人与设计人协商确定，一般不低于合同总价款的10%。</w:t>
      </w:r>
    </w:p>
    <w:p w14:paraId="44C1CF23">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10.3.2 定金或预付款的支付</w:t>
      </w:r>
    </w:p>
    <w:p w14:paraId="6F2C5188">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定金或预付款的支付按照专用合同条款约定执行，但最迟应在开始设计通知载明的开始设计日期前专用合同条款约定的期限内支付。</w:t>
      </w:r>
    </w:p>
    <w:p w14:paraId="0DA9A71F">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415551CB">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10.4 进度款支付</w:t>
      </w:r>
    </w:p>
    <w:p w14:paraId="711CFDAF">
      <w:pPr>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10.4.1 发包人应当按照专用合同条款约定的付款条件及时向设计人支付进度款。</w:t>
      </w:r>
    </w:p>
    <w:p w14:paraId="44BE33B0">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10.4.2 进度付款的修正</w:t>
      </w:r>
    </w:p>
    <w:p w14:paraId="3EADE005">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在对已付进度款进行汇总和复核中发现错误、遗漏或重复的，发包人和设计人均有权提出修正申请。经发包人和设计人同意的修正，应在下期进度付款中支付或扣除。</w:t>
      </w:r>
    </w:p>
    <w:p w14:paraId="51B60620">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10.5 合同价款的结算与支付</w:t>
      </w:r>
    </w:p>
    <w:p w14:paraId="109BB03A">
      <w:pPr>
        <w:spacing w:line="360" w:lineRule="auto"/>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10.5.1 对于采取固定总价形式的合同，发包人应当按照专用合同条款约定及时支付尾款。</w:t>
      </w:r>
    </w:p>
    <w:p w14:paraId="719CABA3">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10.5.2 对于采取固定单价形式的合同，发包人与设计人应当按照专用合同条款约定的结算方式及时结清工程设计费，并将结清未支付的款项一次性支付给设计人。</w:t>
      </w:r>
    </w:p>
    <w:p w14:paraId="7927C918">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10.5.3 对于采取其他价格形式的，也应按专用合同条款的约定及时结算和支付。</w:t>
      </w:r>
    </w:p>
    <w:p w14:paraId="027BCDE6">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10.6 支付账户</w:t>
      </w:r>
    </w:p>
    <w:p w14:paraId="10FBB114">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发包人应将合同价款支付至合同协议书中约定的设计人账户。</w:t>
      </w:r>
    </w:p>
    <w:p w14:paraId="63EF6F51">
      <w:pPr>
        <w:pStyle w:val="6"/>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11. 工程设计变更与索赔</w:t>
      </w:r>
    </w:p>
    <w:p w14:paraId="6FA1594F">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11.1 发包人变更工程设计的内容、规模、功能、条件等，应当向设计人提供书面要求，设计人在不违反法律规定以及技术标准强制性规定的前提下应当按照发包人要求变更工程设计。</w:t>
      </w:r>
    </w:p>
    <w:p w14:paraId="25965410">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11.2 </w:t>
      </w:r>
      <w:r>
        <w:rPr>
          <w:rFonts w:hint="eastAsia" w:cs="宋体" w:asciiTheme="minorEastAsia" w:hAnsiTheme="minorEastAsia" w:eastAsiaTheme="minorEastAsia"/>
          <w:kern w:val="0"/>
          <w:sz w:val="24"/>
          <w:szCs w:val="24"/>
        </w:rPr>
        <w:t>发包人变更工程设计的内容、规模、功能、条件或因提交的设计资料存在错误或作较大修改时，发包人应按设计人所耗工作量向设计人增付设计费，</w:t>
      </w:r>
      <w:r>
        <w:rPr>
          <w:rFonts w:hint="eastAsia" w:asciiTheme="minorEastAsia" w:hAnsiTheme="minorEastAsia" w:eastAsiaTheme="minorEastAsia"/>
          <w:kern w:val="0"/>
          <w:sz w:val="24"/>
          <w:szCs w:val="24"/>
        </w:rPr>
        <w:t>设计人可按本条约定和专用合同条款的约定，与发包人协商对合同价格和/或完工时间做可共同接受的修改。</w:t>
      </w:r>
    </w:p>
    <w:p w14:paraId="0AA69FE4">
      <w:pPr>
        <w:spacing w:line="360" w:lineRule="auto"/>
        <w:ind w:firstLine="480" w:firstLineChars="200"/>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11.3 </w:t>
      </w:r>
      <w:r>
        <w:rPr>
          <w:rFonts w:hint="eastAsia" w:asciiTheme="minorEastAsia" w:hAnsiTheme="minorEastAsia" w:eastAsiaTheme="minorEastAsia"/>
          <w:sz w:val="24"/>
          <w:szCs w:val="24"/>
        </w:rPr>
        <w:t>如果由于发包人要求更改而造成的项目复杂性的变更或性质的变更使得设计人的设计工作减少，发包人</w:t>
      </w:r>
      <w:r>
        <w:rPr>
          <w:rFonts w:hint="eastAsia" w:asciiTheme="minorEastAsia" w:hAnsiTheme="minorEastAsia" w:eastAsiaTheme="minorEastAsia"/>
          <w:kern w:val="0"/>
          <w:sz w:val="24"/>
          <w:szCs w:val="24"/>
        </w:rPr>
        <w:t>可按本条约定和专用合同条款的约定，与设计人协商对合同价格和/或完工时间做可共同接受的修改。</w:t>
      </w:r>
    </w:p>
    <w:p w14:paraId="52EB99F0">
      <w:pPr>
        <w:spacing w:line="360" w:lineRule="auto"/>
        <w:ind w:firstLine="480" w:firstLineChars="200"/>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11.4 基准日期后，与工程设计服务有关的法律、技术标准的强制性规定的颁布及修改，由此增加的设计费用和（或）延长的设计周期由发包人承担。</w:t>
      </w:r>
    </w:p>
    <w:p w14:paraId="22ECCF2B">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738AAA5C">
      <w:pPr>
        <w:pStyle w:val="6"/>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12. 专业责任与保险</w:t>
      </w:r>
    </w:p>
    <w:p w14:paraId="64C35AA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12.1 设计人应运用一切合理的专业技术和经验知识，按照公认的职业标准尽其全部职责和谨慎、勤勉地履行其在本合同项下的责任和义务。</w:t>
      </w:r>
    </w:p>
    <w:p w14:paraId="7345C4D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12.2 除专用合同条款另有约定外，设计人应具有发包人认可的、履行本合同所需要的工程设计责任保险并使其于合同责任期内保持有效。</w:t>
      </w:r>
    </w:p>
    <w:p w14:paraId="4BDA66C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12.3 工程设计责任保险应承担由于设计人的疏忽或过失而引发的工程质量事故所造成的建设工程本身的物质损失以及第三者人身伤亡、财产损失或费用的赔偿责任。</w:t>
      </w:r>
    </w:p>
    <w:p w14:paraId="3C0B898F">
      <w:pPr>
        <w:pStyle w:val="6"/>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13. 知识产权</w:t>
      </w:r>
    </w:p>
    <w:p w14:paraId="3028FF3B">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243A0803">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46A9E386">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50E7F72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13.4 合同当事人双方均有权在不损害对方利益和保密约定的前提下，在自己宣传用的印刷品或其他出版物上，或申报奖项时等情形下公布有关项目的文字和图片材料。</w:t>
      </w:r>
    </w:p>
    <w:p w14:paraId="6A115BD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13.5 除专用合同条款另有约定外，设计人在合同签订前和签订时已确定采用的专利、专有技术的使用费应包含在签约合同价中。</w:t>
      </w:r>
    </w:p>
    <w:bookmarkEnd w:id="123"/>
    <w:bookmarkEnd w:id="124"/>
    <w:bookmarkEnd w:id="125"/>
    <w:p w14:paraId="2FC7FDFF">
      <w:pPr>
        <w:pStyle w:val="6"/>
        <w:spacing w:before="120" w:after="120" w:line="360" w:lineRule="auto"/>
        <w:rPr>
          <w:rFonts w:asciiTheme="minorEastAsia" w:hAnsiTheme="minorEastAsia" w:eastAsiaTheme="minorEastAsia"/>
          <w:b w:val="0"/>
          <w:sz w:val="24"/>
          <w:szCs w:val="24"/>
        </w:rPr>
      </w:pPr>
      <w:bookmarkStart w:id="126" w:name="_Toc351203603"/>
      <w:bookmarkStart w:id="127" w:name="_Toc337558820"/>
      <w:r>
        <w:rPr>
          <w:rFonts w:hint="eastAsia" w:asciiTheme="minorEastAsia" w:hAnsiTheme="minorEastAsia" w:eastAsiaTheme="minorEastAsia"/>
          <w:b w:val="0"/>
          <w:sz w:val="24"/>
          <w:szCs w:val="24"/>
        </w:rPr>
        <w:t>14. 违约</w:t>
      </w:r>
      <w:bookmarkEnd w:id="126"/>
      <w:r>
        <w:rPr>
          <w:rFonts w:hint="eastAsia" w:asciiTheme="minorEastAsia" w:hAnsiTheme="minorEastAsia" w:eastAsiaTheme="minorEastAsia"/>
          <w:b w:val="0"/>
          <w:sz w:val="24"/>
          <w:szCs w:val="24"/>
        </w:rPr>
        <w:t>责任</w:t>
      </w:r>
    </w:p>
    <w:bookmarkEnd w:id="127"/>
    <w:p w14:paraId="59568061">
      <w:pPr>
        <w:pStyle w:val="7"/>
        <w:spacing w:before="120" w:after="120" w:line="360" w:lineRule="auto"/>
        <w:ind w:firstLine="480" w:firstLineChars="200"/>
        <w:rPr>
          <w:rFonts w:asciiTheme="minorEastAsia" w:hAnsiTheme="minorEastAsia" w:eastAsiaTheme="minorEastAsia"/>
          <w:b w:val="0"/>
          <w:sz w:val="24"/>
          <w:szCs w:val="24"/>
        </w:rPr>
      </w:pPr>
      <w:bookmarkStart w:id="128" w:name="_Toc296346630"/>
      <w:bookmarkStart w:id="129" w:name="_Toc296503129"/>
      <w:bookmarkStart w:id="130" w:name="_Toc351203604"/>
      <w:bookmarkStart w:id="131" w:name="_Toc337558821"/>
      <w:r>
        <w:rPr>
          <w:rFonts w:hint="eastAsia" w:asciiTheme="minorEastAsia" w:hAnsiTheme="minorEastAsia" w:eastAsiaTheme="minorEastAsia"/>
          <w:b w:val="0"/>
          <w:sz w:val="24"/>
          <w:szCs w:val="24"/>
        </w:rPr>
        <w:t>14.1 发</w:t>
      </w:r>
      <w:bookmarkEnd w:id="128"/>
      <w:bookmarkEnd w:id="129"/>
      <w:r>
        <w:rPr>
          <w:rFonts w:hint="eastAsia" w:asciiTheme="minorEastAsia" w:hAnsiTheme="minorEastAsia" w:eastAsiaTheme="minorEastAsia"/>
          <w:b w:val="0"/>
          <w:sz w:val="24"/>
          <w:szCs w:val="24"/>
        </w:rPr>
        <w:t>包人违约</w:t>
      </w:r>
      <w:bookmarkEnd w:id="130"/>
      <w:r>
        <w:rPr>
          <w:rFonts w:hint="eastAsia" w:asciiTheme="minorEastAsia" w:hAnsiTheme="minorEastAsia" w:eastAsiaTheme="minorEastAsia"/>
          <w:b w:val="0"/>
          <w:sz w:val="24"/>
          <w:szCs w:val="24"/>
        </w:rPr>
        <w:t>责任</w:t>
      </w:r>
    </w:p>
    <w:bookmarkEnd w:id="131"/>
    <w:p w14:paraId="311878B7">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1867068B">
      <w:pPr>
        <w:spacing w:line="360" w:lineRule="auto"/>
        <w:ind w:firstLine="480" w:firstLineChars="200"/>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14.1.2 </w:t>
      </w:r>
      <w:r>
        <w:rPr>
          <w:rFonts w:hint="eastAsia" w:asciiTheme="minorEastAsia" w:hAnsiTheme="minorEastAsia" w:eastAsiaTheme="minorEastAsia"/>
          <w:kern w:val="0"/>
          <w:sz w:val="24"/>
          <w:szCs w:val="24"/>
        </w:rPr>
        <w:t>发包人未按专用合同条款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640E66D9">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14.1.3 发包人的上级或设计审批部门对设计文件不进行审批或本合同工程停建、缓建，发包人应在事件发生之日起15天内按本合同第16条</w:t>
      </w:r>
      <w:r>
        <w:rPr>
          <w:rFonts w:hint="eastAsia" w:asciiTheme="minorEastAsia" w:hAnsiTheme="minorEastAsia" w:eastAsiaTheme="minorEastAsia"/>
          <w:sz w:val="24"/>
          <w:szCs w:val="24"/>
        </w:rPr>
        <w:t>〔合同解除〕</w:t>
      </w:r>
      <w:r>
        <w:rPr>
          <w:rFonts w:hint="eastAsia" w:asciiTheme="minorEastAsia" w:hAnsiTheme="minorEastAsia" w:eastAsiaTheme="minorEastAsia"/>
          <w:kern w:val="0"/>
          <w:sz w:val="24"/>
          <w:szCs w:val="24"/>
        </w:rPr>
        <w:t>的约定向设计人结算并支付设计费。</w:t>
      </w:r>
    </w:p>
    <w:p w14:paraId="6E879258">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14.1.4 发包人擅自将设计人的设计文件用于本工程以外的工程或交第三方使用时，应承担相应法律责任，并应赔偿设计人因此遭受的损失。</w:t>
      </w:r>
    </w:p>
    <w:p w14:paraId="172FD932">
      <w:pPr>
        <w:pStyle w:val="7"/>
        <w:keepNext w:val="0"/>
        <w:keepLines w:val="0"/>
        <w:spacing w:before="120" w:after="120" w:line="360" w:lineRule="auto"/>
        <w:ind w:firstLine="480" w:firstLineChars="200"/>
        <w:rPr>
          <w:rFonts w:asciiTheme="minorEastAsia" w:hAnsiTheme="minorEastAsia" w:eastAsiaTheme="minorEastAsia"/>
          <w:b w:val="0"/>
          <w:sz w:val="24"/>
          <w:szCs w:val="24"/>
        </w:rPr>
      </w:pPr>
      <w:bookmarkStart w:id="132" w:name="_Toc351203605"/>
      <w:bookmarkStart w:id="133" w:name="_Toc296503131"/>
      <w:bookmarkStart w:id="134" w:name="_Toc296346632"/>
      <w:bookmarkStart w:id="135" w:name="_Toc337558822"/>
      <w:r>
        <w:rPr>
          <w:rFonts w:hint="eastAsia" w:asciiTheme="minorEastAsia" w:hAnsiTheme="minorEastAsia" w:eastAsiaTheme="minorEastAsia"/>
          <w:b w:val="0"/>
          <w:sz w:val="24"/>
          <w:szCs w:val="24"/>
        </w:rPr>
        <w:t>14.2 设计人违约</w:t>
      </w:r>
      <w:bookmarkEnd w:id="132"/>
      <w:r>
        <w:rPr>
          <w:rFonts w:hint="eastAsia" w:asciiTheme="minorEastAsia" w:hAnsiTheme="minorEastAsia" w:eastAsiaTheme="minorEastAsia"/>
          <w:b w:val="0"/>
          <w:sz w:val="24"/>
          <w:szCs w:val="24"/>
        </w:rPr>
        <w:t>责任</w:t>
      </w:r>
    </w:p>
    <w:bookmarkEnd w:id="133"/>
    <w:bookmarkEnd w:id="134"/>
    <w:bookmarkEnd w:id="135"/>
    <w:p w14:paraId="17459AF3">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14.2.1 合同生效后，设计人因自身原因要求终止或解除合同，设计人应按发包人已支付的定金金额双倍返还给发包人或设计人按照专用合同条款约定向发包人支付违约金。</w:t>
      </w:r>
    </w:p>
    <w:p w14:paraId="367CDBC3">
      <w:pPr>
        <w:spacing w:line="360" w:lineRule="auto"/>
        <w:ind w:firstLine="480" w:firstLineChars="200"/>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14.2.2 由于设计人原因，未按专用合同条款附件3约定的时间交付工程设计文件的，应按专用合同条款的约定向发包人支付违约金，前述违约金经双方确认后可在发包人应付设计费中扣减。</w:t>
      </w:r>
    </w:p>
    <w:p w14:paraId="7FB6B228">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079F0BDC">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14.2.4 由于设计人原因，工程设计文件超出发包人与设计人书面约定的主要技术指标控制值比例的，设计人应当按照专用合同条款的约定承担违约责任。</w:t>
      </w:r>
    </w:p>
    <w:p w14:paraId="1763D0DF">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14.2.5 设计人未经发包人同意擅自对工程设计进行分包的，发包人有权要求设计人解除未经发包人同意的设计分包合同，设计人应当按照专用合同条款的约定承担违约责任。</w:t>
      </w:r>
    </w:p>
    <w:p w14:paraId="3017D8B1">
      <w:pPr>
        <w:pStyle w:val="6"/>
        <w:keepNext w:val="0"/>
        <w:keepLines w:val="0"/>
        <w:spacing w:before="120" w:after="120" w:line="360" w:lineRule="auto"/>
        <w:rPr>
          <w:rFonts w:asciiTheme="minorEastAsia" w:hAnsiTheme="minorEastAsia" w:eastAsiaTheme="minorEastAsia"/>
          <w:b w:val="0"/>
          <w:sz w:val="24"/>
          <w:szCs w:val="24"/>
        </w:rPr>
      </w:pPr>
      <w:bookmarkStart w:id="136" w:name="_Toc351203607"/>
      <w:bookmarkStart w:id="137" w:name="_Toc337558823"/>
      <w:bookmarkStart w:id="138" w:name="_Toc296346617"/>
      <w:bookmarkStart w:id="139" w:name="_Toc296503116"/>
      <w:r>
        <w:rPr>
          <w:rFonts w:hint="eastAsia" w:asciiTheme="minorEastAsia" w:hAnsiTheme="minorEastAsia" w:eastAsiaTheme="minorEastAsia"/>
          <w:b w:val="0"/>
          <w:sz w:val="24"/>
          <w:szCs w:val="24"/>
        </w:rPr>
        <w:t>15. 不可抗力</w:t>
      </w:r>
      <w:bookmarkEnd w:id="136"/>
      <w:bookmarkEnd w:id="137"/>
      <w:bookmarkEnd w:id="138"/>
      <w:bookmarkEnd w:id="139"/>
    </w:p>
    <w:p w14:paraId="5EF55312">
      <w:pPr>
        <w:pStyle w:val="7"/>
        <w:keepNext w:val="0"/>
        <w:keepLines w:val="0"/>
        <w:spacing w:before="120" w:after="120" w:line="360" w:lineRule="auto"/>
        <w:ind w:firstLine="480" w:firstLineChars="200"/>
        <w:rPr>
          <w:rFonts w:asciiTheme="minorEastAsia" w:hAnsiTheme="minorEastAsia" w:eastAsiaTheme="minorEastAsia"/>
          <w:b w:val="0"/>
          <w:bCs w:val="0"/>
          <w:kern w:val="0"/>
          <w:sz w:val="24"/>
          <w:szCs w:val="24"/>
        </w:rPr>
      </w:pPr>
      <w:bookmarkStart w:id="140" w:name="_Toc351203608"/>
      <w:bookmarkStart w:id="141" w:name="_Toc296346618"/>
      <w:bookmarkStart w:id="142" w:name="_Toc337558824"/>
      <w:bookmarkStart w:id="143" w:name="_Toc296503117"/>
      <w:r>
        <w:rPr>
          <w:rFonts w:hint="eastAsia" w:asciiTheme="minorEastAsia" w:hAnsiTheme="minorEastAsia" w:eastAsiaTheme="minorEastAsia"/>
          <w:b w:val="0"/>
          <w:sz w:val="24"/>
          <w:szCs w:val="24"/>
        </w:rPr>
        <w:t>15.1 不可抗力的确认</w:t>
      </w:r>
      <w:bookmarkEnd w:id="140"/>
    </w:p>
    <w:bookmarkEnd w:id="141"/>
    <w:bookmarkEnd w:id="142"/>
    <w:bookmarkEnd w:id="143"/>
    <w:p w14:paraId="1FF63494">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18D9D8FE">
      <w:pPr>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078E66FD">
      <w:pPr>
        <w:pStyle w:val="7"/>
        <w:spacing w:before="120" w:after="120" w:line="360" w:lineRule="auto"/>
        <w:ind w:firstLine="480" w:firstLineChars="200"/>
        <w:rPr>
          <w:rFonts w:asciiTheme="minorEastAsia" w:hAnsiTheme="minorEastAsia" w:eastAsiaTheme="minorEastAsia"/>
          <w:b w:val="0"/>
          <w:bCs w:val="0"/>
          <w:kern w:val="0"/>
          <w:sz w:val="24"/>
          <w:szCs w:val="24"/>
        </w:rPr>
      </w:pPr>
      <w:bookmarkStart w:id="144" w:name="_Toc351203609"/>
      <w:bookmarkStart w:id="145" w:name="_Toc296346619"/>
      <w:bookmarkStart w:id="146" w:name="_Toc296503118"/>
      <w:bookmarkStart w:id="147" w:name="_Toc337558825"/>
      <w:r>
        <w:rPr>
          <w:rFonts w:hint="eastAsia" w:asciiTheme="minorEastAsia" w:hAnsiTheme="minorEastAsia" w:eastAsiaTheme="minorEastAsia"/>
          <w:b w:val="0"/>
          <w:sz w:val="24"/>
          <w:szCs w:val="24"/>
        </w:rPr>
        <w:t>15.2 不可抗力的通知</w:t>
      </w:r>
      <w:bookmarkEnd w:id="144"/>
    </w:p>
    <w:bookmarkEnd w:id="145"/>
    <w:bookmarkEnd w:id="146"/>
    <w:bookmarkEnd w:id="147"/>
    <w:p w14:paraId="2A471923">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合同一方当事人遇到不可抗力事件，使其履行合同义务受到阻碍时，应立即通知合同另一方当事人，书面说明不可抗力和受阻碍的详细情况，并在合理期限内提供必要的证明。</w:t>
      </w:r>
    </w:p>
    <w:p w14:paraId="121E1997">
      <w:pPr>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14:paraId="60D17630">
      <w:pPr>
        <w:pStyle w:val="7"/>
        <w:spacing w:before="120" w:after="120" w:line="360" w:lineRule="auto"/>
        <w:ind w:firstLine="480" w:firstLineChars="200"/>
        <w:rPr>
          <w:rFonts w:asciiTheme="minorEastAsia" w:hAnsiTheme="minorEastAsia" w:eastAsiaTheme="minorEastAsia"/>
          <w:b w:val="0"/>
          <w:sz w:val="24"/>
          <w:szCs w:val="24"/>
        </w:rPr>
      </w:pPr>
      <w:bookmarkStart w:id="148" w:name="_Toc351203610"/>
      <w:bookmarkStart w:id="149" w:name="_Toc296346620"/>
      <w:bookmarkStart w:id="150" w:name="_Toc296503119"/>
      <w:bookmarkStart w:id="151" w:name="_Toc337558826"/>
      <w:r>
        <w:rPr>
          <w:rFonts w:hint="eastAsia" w:asciiTheme="minorEastAsia" w:hAnsiTheme="minorEastAsia" w:eastAsiaTheme="minorEastAsia"/>
          <w:b w:val="0"/>
          <w:sz w:val="24"/>
          <w:szCs w:val="24"/>
        </w:rPr>
        <w:t>15.3 不可抗力后果的承担</w:t>
      </w:r>
      <w:bookmarkEnd w:id="148"/>
    </w:p>
    <w:bookmarkEnd w:id="149"/>
    <w:bookmarkEnd w:id="150"/>
    <w:bookmarkEnd w:id="151"/>
    <w:p w14:paraId="1BFF434A">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不可抗力引起的后果及造成的损失由合同当事人按照法律规定及合同约定各自承担。不可抗力发生前已完成的工程设计应当按照合同约定进行支付。</w:t>
      </w:r>
    </w:p>
    <w:p w14:paraId="022FF0B4">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不可抗力发生后，合同当事人均应采取措施尽量避免和减少损失的扩大，任何一方当事人没有采取有效措施导致损失扩大的，应对扩大的损失承担责任。</w:t>
      </w:r>
    </w:p>
    <w:p w14:paraId="788AE93B">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因合同一方迟延履行合同义务，在迟延履行期间遭遇不可抗力的，不免除其违约责任。</w:t>
      </w:r>
    </w:p>
    <w:p w14:paraId="5974E45B">
      <w:pPr>
        <w:pStyle w:val="6"/>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16. 合同解除</w:t>
      </w:r>
    </w:p>
    <w:p w14:paraId="27AFBE13">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16.1 发包人与设计人协商一致，可以解除合同。</w:t>
      </w:r>
    </w:p>
    <w:p w14:paraId="0C960E8F">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16.2 有下列情形之一的，合同当事人一方或双方可以解除合同：</w:t>
      </w:r>
    </w:p>
    <w:p w14:paraId="0292129C">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（1）设计人工程设计文件存在重大质量问题，经发包人催告后,在合理期限内修改后仍不能满足国家现行深度要求或不能达到合同约定的设计质量要求的，发包人可以解除合同；</w:t>
      </w:r>
    </w:p>
    <w:p w14:paraId="2B793A95">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（2）发包人未按合同约定支付设计费用，经设计人催告后，在30天内仍未支付的，设计人可以解除合同；</w:t>
      </w:r>
    </w:p>
    <w:p w14:paraId="55A39491">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（3）暂停设计期限已连续超过180天，专用合同条款另有约定的除外；</w:t>
      </w:r>
    </w:p>
    <w:p w14:paraId="58B06E11">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（4）因不可抗力致使合同无法履行；</w:t>
      </w:r>
    </w:p>
    <w:p w14:paraId="3A3DB59E">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（5）因一方违约致使合同无法实际履行或实际履行已无必要；</w:t>
      </w:r>
    </w:p>
    <w:p w14:paraId="00A52F0F">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（6）因本工程项目条件发生重大变化，使合同无法继续履行。</w:t>
      </w:r>
    </w:p>
    <w:p w14:paraId="0B7FDA8F">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16.3 任何一方因故需解除合同时，应提前30天书面通知对方，对合同中的遗留问题应取得一致意见并形成书面协议。</w:t>
      </w:r>
    </w:p>
    <w:p w14:paraId="23E210B5">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56330154">
      <w:pPr>
        <w:pStyle w:val="6"/>
        <w:keepNext w:val="0"/>
        <w:keepLines w:val="0"/>
        <w:spacing w:before="120" w:after="120" w:line="360" w:lineRule="auto"/>
        <w:rPr>
          <w:rFonts w:asciiTheme="minorEastAsia" w:hAnsiTheme="minorEastAsia" w:eastAsiaTheme="minorEastAsia"/>
          <w:b w:val="0"/>
          <w:sz w:val="24"/>
          <w:szCs w:val="24"/>
        </w:rPr>
      </w:pPr>
      <w:bookmarkStart w:id="152" w:name="_Toc351203626"/>
      <w:bookmarkStart w:id="153" w:name="_Toc337558840"/>
      <w:bookmarkStart w:id="154" w:name="_Toc296346647"/>
      <w:bookmarkStart w:id="155" w:name="_Toc296503146"/>
      <w:r>
        <w:rPr>
          <w:rFonts w:hint="eastAsia" w:asciiTheme="minorEastAsia" w:hAnsiTheme="minorEastAsia" w:eastAsiaTheme="minorEastAsia"/>
          <w:b w:val="0"/>
          <w:sz w:val="24"/>
          <w:szCs w:val="24"/>
        </w:rPr>
        <w:t>17. 争议解决</w:t>
      </w:r>
      <w:bookmarkEnd w:id="152"/>
    </w:p>
    <w:bookmarkEnd w:id="153"/>
    <w:bookmarkEnd w:id="154"/>
    <w:bookmarkEnd w:id="155"/>
    <w:p w14:paraId="2B510FCF">
      <w:pPr>
        <w:pStyle w:val="7"/>
        <w:keepNext w:val="0"/>
        <w:keepLines w:val="0"/>
        <w:spacing w:before="120" w:after="120" w:line="360" w:lineRule="auto"/>
        <w:ind w:firstLine="480" w:firstLineChars="200"/>
        <w:rPr>
          <w:rFonts w:asciiTheme="minorEastAsia" w:hAnsiTheme="minorEastAsia" w:eastAsiaTheme="minorEastAsia"/>
          <w:b w:val="0"/>
          <w:sz w:val="24"/>
          <w:szCs w:val="24"/>
        </w:rPr>
      </w:pPr>
      <w:bookmarkStart w:id="156" w:name="_Toc351203627"/>
      <w:bookmarkStart w:id="157" w:name="_Toc296346648"/>
      <w:bookmarkStart w:id="158" w:name="_Toc337558841"/>
      <w:bookmarkStart w:id="159" w:name="_Toc296503147"/>
      <w:r>
        <w:rPr>
          <w:rFonts w:hint="eastAsia" w:asciiTheme="minorEastAsia" w:hAnsiTheme="minorEastAsia" w:eastAsiaTheme="minorEastAsia"/>
          <w:b w:val="0"/>
          <w:sz w:val="24"/>
          <w:szCs w:val="24"/>
        </w:rPr>
        <w:t>17.1 和解</w:t>
      </w:r>
      <w:bookmarkEnd w:id="156"/>
    </w:p>
    <w:bookmarkEnd w:id="157"/>
    <w:bookmarkEnd w:id="158"/>
    <w:bookmarkEnd w:id="159"/>
    <w:p w14:paraId="11B92256">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合同当事人可以就争议自行和解，自行和解达成协议的经双方签字并盖章后作为合同补充文件，双方均应遵照执行。</w:t>
      </w:r>
    </w:p>
    <w:p w14:paraId="5E582293">
      <w:pPr>
        <w:spacing w:line="360" w:lineRule="auto"/>
        <w:ind w:firstLine="480" w:firstLineChars="200"/>
        <w:rPr>
          <w:rFonts w:asciiTheme="minorEastAsia" w:hAnsiTheme="minorEastAsia" w:eastAsiaTheme="minorEastAsia"/>
          <w:kern w:val="0"/>
          <w:sz w:val="24"/>
          <w:szCs w:val="24"/>
        </w:rPr>
      </w:pPr>
      <w:bookmarkStart w:id="160" w:name="_Toc351203628"/>
      <w:bookmarkStart w:id="161" w:name="_Toc296346649"/>
      <w:bookmarkStart w:id="162" w:name="_Toc296503148"/>
      <w:bookmarkStart w:id="163" w:name="_Toc337558842"/>
      <w:r>
        <w:rPr>
          <w:rFonts w:hint="eastAsia" w:asciiTheme="minorEastAsia" w:hAnsiTheme="minorEastAsia" w:eastAsiaTheme="minorEastAsia"/>
          <w:bCs/>
          <w:sz w:val="24"/>
          <w:szCs w:val="24"/>
        </w:rPr>
        <w:t>17.2 调解</w:t>
      </w:r>
      <w:bookmarkEnd w:id="160"/>
    </w:p>
    <w:bookmarkEnd w:id="161"/>
    <w:bookmarkEnd w:id="162"/>
    <w:bookmarkEnd w:id="163"/>
    <w:p w14:paraId="5E552A4F">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合同当事人可以就争议请求相关行政主管部门、行业协会或其他第三方进行调解，调解达成协议的，经双方签字并盖章后作为合同补充文件，双方均应遵照执行。</w:t>
      </w:r>
    </w:p>
    <w:p w14:paraId="1A875E36">
      <w:pPr>
        <w:spacing w:line="360" w:lineRule="auto"/>
        <w:ind w:firstLine="480" w:firstLineChars="200"/>
        <w:rPr>
          <w:rFonts w:asciiTheme="minorEastAsia" w:hAnsiTheme="minorEastAsia" w:eastAsiaTheme="minorEastAsia"/>
          <w:kern w:val="0"/>
          <w:sz w:val="24"/>
          <w:szCs w:val="24"/>
        </w:rPr>
      </w:pPr>
      <w:bookmarkStart w:id="164" w:name="_Toc351203629"/>
      <w:bookmarkStart w:id="165" w:name="_Toc296346650"/>
      <w:bookmarkStart w:id="166" w:name="_Toc296503149"/>
      <w:bookmarkStart w:id="167" w:name="_Toc337558843"/>
      <w:r>
        <w:rPr>
          <w:rFonts w:hint="eastAsia" w:asciiTheme="minorEastAsia" w:hAnsiTheme="minorEastAsia" w:eastAsiaTheme="minorEastAsia"/>
          <w:bCs/>
          <w:sz w:val="24"/>
          <w:szCs w:val="24"/>
        </w:rPr>
        <w:t>17.3 争议评审</w:t>
      </w:r>
      <w:bookmarkEnd w:id="164"/>
    </w:p>
    <w:bookmarkEnd w:id="165"/>
    <w:bookmarkEnd w:id="166"/>
    <w:bookmarkEnd w:id="167"/>
    <w:p w14:paraId="75D575E9">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合同当事人在专用合同条款中约定采取争议评审方式解决争议以及评审规则，并按下列约定执行： </w:t>
      </w:r>
    </w:p>
    <w:p w14:paraId="2BE8B732">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17.3.1 争议评审小组的确定</w:t>
      </w:r>
    </w:p>
    <w:p w14:paraId="792DC7FC">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合同当事人可以共同选择一名或三名争议评审员，组成争议评审小组。除专用合同条款另有约定外，合同当事人应当自合同签订后28天内，或者争议发生后14天内，选定争议评审员。</w:t>
      </w:r>
    </w:p>
    <w:p w14:paraId="393082E5">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F394EDB">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除专用合同条款另有约定外，评审所发生的费用由发包人和设计人各承担一半。</w:t>
      </w:r>
    </w:p>
    <w:p w14:paraId="05BEC071">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17.3.2 争议评审小组的决定</w:t>
      </w:r>
    </w:p>
    <w:p w14:paraId="6CBF48CD">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1B828182">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17.3.3 争议评审小组决定的效力</w:t>
      </w:r>
    </w:p>
    <w:p w14:paraId="2E78D9D2">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争议评审小组作出的书面决定经合同当事人签字确认后，对双方具有约束力，双方应遵照执行。</w:t>
      </w:r>
    </w:p>
    <w:p w14:paraId="66311397">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任何一方当事人不接受争议评审小组决定或不履行争议评审小组决定的，双方可选择采用其他争议解决方式。</w:t>
      </w:r>
    </w:p>
    <w:p w14:paraId="5073DE09">
      <w:pPr>
        <w:spacing w:line="360" w:lineRule="auto"/>
        <w:ind w:firstLine="480" w:firstLineChars="200"/>
        <w:rPr>
          <w:rFonts w:asciiTheme="minorEastAsia" w:hAnsiTheme="minorEastAsia" w:eastAsiaTheme="minorEastAsia"/>
          <w:kern w:val="0"/>
          <w:sz w:val="24"/>
          <w:szCs w:val="24"/>
        </w:rPr>
      </w:pPr>
      <w:bookmarkStart w:id="168" w:name="_Toc351203630"/>
      <w:bookmarkStart w:id="169" w:name="_Toc337558844"/>
      <w:bookmarkStart w:id="170" w:name="_Toc296346651"/>
      <w:bookmarkStart w:id="171" w:name="_Toc296503150"/>
      <w:r>
        <w:rPr>
          <w:rFonts w:hint="eastAsia" w:asciiTheme="minorEastAsia" w:hAnsiTheme="minorEastAsia" w:eastAsiaTheme="minorEastAsia"/>
          <w:bCs/>
          <w:sz w:val="24"/>
          <w:szCs w:val="24"/>
        </w:rPr>
        <w:t>17.4 仲裁或诉讼</w:t>
      </w:r>
      <w:bookmarkEnd w:id="168"/>
    </w:p>
    <w:bookmarkEnd w:id="169"/>
    <w:bookmarkEnd w:id="170"/>
    <w:bookmarkEnd w:id="171"/>
    <w:p w14:paraId="49DA16F6">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因合同及合同有关事项产生的争议，合同当事人可以在专用合同条款中约定以下一种方式解决争议：</w:t>
      </w:r>
    </w:p>
    <w:p w14:paraId="5BF142A4">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（1）向约定的仲裁委员会申请仲裁；</w:t>
      </w:r>
    </w:p>
    <w:p w14:paraId="6D341D09">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（2）向有管辖权的人民法院起诉。</w:t>
      </w:r>
    </w:p>
    <w:p w14:paraId="01FE5887">
      <w:pPr>
        <w:pStyle w:val="7"/>
        <w:spacing w:before="120" w:after="120" w:line="360" w:lineRule="auto"/>
        <w:ind w:firstLine="480" w:firstLineChars="200"/>
        <w:rPr>
          <w:rFonts w:asciiTheme="minorEastAsia" w:hAnsiTheme="minorEastAsia" w:eastAsiaTheme="minorEastAsia"/>
          <w:b w:val="0"/>
          <w:sz w:val="24"/>
          <w:szCs w:val="24"/>
        </w:rPr>
      </w:pPr>
      <w:bookmarkStart w:id="172" w:name="_Toc351203631"/>
      <w:bookmarkStart w:id="173" w:name="_Toc337558845"/>
      <w:bookmarkStart w:id="174" w:name="_Toc296346653"/>
      <w:bookmarkStart w:id="175" w:name="_Toc296503152"/>
      <w:r>
        <w:rPr>
          <w:rFonts w:hint="eastAsia" w:asciiTheme="minorEastAsia" w:hAnsiTheme="minorEastAsia" w:eastAsiaTheme="minorEastAsia"/>
          <w:b w:val="0"/>
          <w:sz w:val="24"/>
          <w:szCs w:val="24"/>
        </w:rPr>
        <w:t>17.5争议解决条款效力</w:t>
      </w:r>
      <w:bookmarkEnd w:id="172"/>
    </w:p>
    <w:bookmarkEnd w:id="173"/>
    <w:bookmarkEnd w:id="174"/>
    <w:bookmarkEnd w:id="175"/>
    <w:p w14:paraId="640DEF03">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合同有关争议解决的条款独立存在，合同的变更、解除、终止、无效或者被撤销均不影响其效力。 </w:t>
      </w:r>
    </w:p>
    <w:p w14:paraId="0C258EFE">
      <w:pPr>
        <w:pStyle w:val="5"/>
        <w:spacing w:line="360" w:lineRule="auto"/>
        <w:jc w:val="center"/>
        <w:rPr>
          <w:rFonts w:asciiTheme="minorEastAsia" w:hAnsiTheme="minorEastAsia" w:eastAsiaTheme="minorEastAsia"/>
          <w:sz w:val="44"/>
          <w:szCs w:val="44"/>
        </w:rPr>
      </w:pPr>
      <w:bookmarkStart w:id="176" w:name="_Toc351203632"/>
      <w:r>
        <w:rPr>
          <w:rFonts w:hint="eastAsia" w:asciiTheme="minorEastAsia" w:hAnsiTheme="minorEastAsia" w:eastAsiaTheme="minorEastAsia"/>
          <w:sz w:val="44"/>
          <w:szCs w:val="44"/>
        </w:rPr>
        <w:br w:type="page"/>
      </w:r>
      <w:r>
        <w:rPr>
          <w:rFonts w:hint="eastAsia" w:asciiTheme="minorEastAsia" w:hAnsiTheme="minorEastAsia" w:eastAsiaTheme="minorEastAsia"/>
          <w:sz w:val="44"/>
          <w:szCs w:val="44"/>
        </w:rPr>
        <w:t>第三部分 专用合同条款</w:t>
      </w:r>
    </w:p>
    <w:p w14:paraId="7590A580">
      <w:pPr>
        <w:pStyle w:val="6"/>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 一般约定</w:t>
      </w:r>
    </w:p>
    <w:p w14:paraId="2BAE51A1">
      <w:pPr>
        <w:tabs>
          <w:tab w:val="center" w:pos="4710"/>
        </w:tabs>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词语定义与解释</w:t>
      </w:r>
    </w:p>
    <w:p w14:paraId="4C95D4E2">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1.1.1 合同</w:t>
      </w:r>
    </w:p>
    <w:p w14:paraId="20D096E8">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kern w:val="0"/>
          <w:sz w:val="24"/>
          <w:szCs w:val="24"/>
        </w:rPr>
        <w:t>1.1.1.8 其他合同文件包括：</w:t>
      </w:r>
      <w:r>
        <w:rPr>
          <w:rFonts w:hint="eastAsia" w:asciiTheme="minorEastAsia" w:hAnsiTheme="minorEastAsia" w:eastAsiaTheme="minorEastAsia"/>
          <w:sz w:val="24"/>
          <w:szCs w:val="24"/>
          <w:u w:val="single"/>
        </w:rPr>
        <w:t xml:space="preserve">  发包人提供的该项目设计任务书、□规划部门出具有规划审批意见及修建性详规   </w:t>
      </w:r>
      <w:r>
        <w:rPr>
          <w:rFonts w:hint="eastAsia" w:asciiTheme="minorEastAsia" w:hAnsiTheme="minorEastAsia" w:eastAsiaTheme="minorEastAsia"/>
          <w:sz w:val="24"/>
          <w:szCs w:val="24"/>
        </w:rPr>
        <w:t>。</w:t>
      </w:r>
    </w:p>
    <w:p w14:paraId="0FF43D79">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1.3 法律 </w:t>
      </w:r>
    </w:p>
    <w:p w14:paraId="78525D9F">
      <w:pPr>
        <w:autoSpaceDE w:val="0"/>
        <w:autoSpaceDN w:val="0"/>
        <w:adjustRightInd w:val="0"/>
        <w:spacing w:line="360" w:lineRule="auto"/>
        <w:ind w:firstLine="595" w:firstLineChars="248"/>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适用于合同的其他规范性文件：</w:t>
      </w:r>
      <w:r>
        <w:rPr>
          <w:rFonts w:hint="eastAsia" w:asciiTheme="minorEastAsia" w:hAnsiTheme="minorEastAsia" w:eastAsiaTheme="minorEastAsia"/>
          <w:sz w:val="24"/>
          <w:szCs w:val="24"/>
          <w:u w:val="single"/>
        </w:rPr>
        <w:t xml:space="preserve">《中华人民共和国招标投标法》、《中华人民共和国合同法》、《中华人民共和国建筑法》。国家、广东省及      市有关建设工程勘察设计管理法规和规章，包括但不限于《建设工程勘察设计管理条例》、《建设工程质量管理条例》、《建设工程设计文件编制深度的规定(2016年版)》等  </w:t>
      </w:r>
      <w:r>
        <w:rPr>
          <w:rFonts w:hint="eastAsia" w:asciiTheme="minorEastAsia" w:hAnsiTheme="minorEastAsia" w:eastAsiaTheme="minorEastAsia"/>
          <w:sz w:val="24"/>
          <w:szCs w:val="24"/>
        </w:rPr>
        <w:t>。</w:t>
      </w:r>
    </w:p>
    <w:p w14:paraId="2CD72CBA">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 技术标准</w:t>
      </w:r>
    </w:p>
    <w:p w14:paraId="61F311B1">
      <w:pPr>
        <w:spacing w:line="360" w:lineRule="auto"/>
        <w:ind w:firstLine="595" w:firstLineChars="248"/>
        <w:rPr>
          <w:rFonts w:asciiTheme="minorEastAsia" w:hAnsiTheme="minorEastAsia" w:eastAsiaTheme="minorEastAsia"/>
          <w:sz w:val="24"/>
          <w:szCs w:val="24"/>
        </w:rPr>
      </w:pPr>
      <w:r>
        <w:rPr>
          <w:rFonts w:hint="eastAsia" w:asciiTheme="minorEastAsia" w:hAnsiTheme="minorEastAsia" w:eastAsiaTheme="minorEastAsia"/>
          <w:sz w:val="24"/>
          <w:szCs w:val="24"/>
        </w:rPr>
        <w:t>1.4.1 适用于工程的技术标准包括：</w:t>
      </w:r>
    </w:p>
    <w:p w14:paraId="4708E3C5">
      <w:pPr>
        <w:spacing w:line="360" w:lineRule="auto"/>
        <w:ind w:firstLine="595" w:firstLineChars="248"/>
        <w:rPr>
          <w:rFonts w:asciiTheme="minorEastAsia" w:hAnsiTheme="minorEastAsia" w:eastAsiaTheme="minorEastAsia"/>
          <w:sz w:val="24"/>
          <w:szCs w:val="24"/>
        </w:rPr>
      </w:pPr>
      <w:r>
        <w:rPr>
          <w:rFonts w:hint="eastAsia" w:asciiTheme="minorEastAsia" w:hAnsiTheme="minorEastAsia" w:eastAsiaTheme="minorEastAsia"/>
          <w:sz w:val="24"/>
          <w:szCs w:val="24"/>
        </w:rPr>
        <w:t>1）工程设计标准：需满足</w:t>
      </w:r>
      <w:r>
        <w:rPr>
          <w:rFonts w:hint="eastAsia" w:asciiTheme="minorEastAsia" w:hAnsiTheme="minorEastAsia" w:eastAsiaTheme="minorEastAsia"/>
          <w:sz w:val="24"/>
          <w:szCs w:val="24"/>
          <w:u w:val="single"/>
        </w:rPr>
        <w:t xml:space="preserve">《建设工程设计文件编制深度的规定(2016年版)》、《市政公用工程设计文件编制深度的规定(2013年版)》和相应设计阶段及其它国家现行规范要求  </w:t>
      </w:r>
      <w:r>
        <w:rPr>
          <w:rFonts w:hint="eastAsia" w:asciiTheme="minorEastAsia" w:hAnsiTheme="minorEastAsia" w:eastAsiaTheme="minorEastAsia"/>
          <w:sz w:val="24"/>
          <w:szCs w:val="24"/>
        </w:rPr>
        <w:t>。</w:t>
      </w:r>
    </w:p>
    <w:p w14:paraId="769F840D">
      <w:pPr>
        <w:spacing w:line="360" w:lineRule="auto"/>
        <w:ind w:left="596" w:leftChars="284"/>
        <w:rPr>
          <w:rFonts w:asciiTheme="minorEastAsia" w:hAnsiTheme="minorEastAsia" w:eastAsiaTheme="minorEastAsia"/>
          <w:sz w:val="24"/>
          <w:szCs w:val="24"/>
        </w:rPr>
      </w:pPr>
    </w:p>
    <w:p w14:paraId="440CA14D">
      <w:pPr>
        <w:spacing w:line="360" w:lineRule="auto"/>
        <w:ind w:firstLine="566" w:firstLineChars="236"/>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1.4.2 国外技术标准原文版本和中文译本的提供方：</w:t>
      </w:r>
      <w:r>
        <w:rPr>
          <w:rFonts w:hint="eastAsia" w:asciiTheme="minorEastAsia" w:hAnsiTheme="minorEastAsia" w:eastAsiaTheme="minorEastAsia"/>
          <w:kern w:val="0"/>
          <w:sz w:val="24"/>
          <w:szCs w:val="24"/>
          <w:u w:val="single"/>
        </w:rPr>
        <w:t xml:space="preserve">  由</w:t>
      </w:r>
      <w:r>
        <w:rPr>
          <w:rFonts w:hint="eastAsia" w:asciiTheme="minorEastAsia" w:hAnsiTheme="minorEastAsia" w:eastAsiaTheme="minorEastAsia"/>
          <w:sz w:val="24"/>
          <w:szCs w:val="24"/>
          <w:u w:val="single"/>
        </w:rPr>
        <w:t xml:space="preserve">设计人提供  </w:t>
      </w:r>
      <w:r>
        <w:rPr>
          <w:rFonts w:hint="eastAsia" w:asciiTheme="minorEastAsia" w:hAnsiTheme="minorEastAsia" w:eastAsiaTheme="minorEastAsia"/>
          <w:sz w:val="24"/>
          <w:szCs w:val="24"/>
        </w:rPr>
        <w:t>；</w:t>
      </w:r>
    </w:p>
    <w:p w14:paraId="0DCB2EFB">
      <w:pPr>
        <w:spacing w:line="360" w:lineRule="auto"/>
        <w:ind w:firstLine="480" w:firstLineChars="200"/>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提供国外技术标准的名称：;</w:t>
      </w:r>
    </w:p>
    <w:p w14:paraId="636D7BA4">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提供国外技术标准的份数：；</w:t>
      </w:r>
    </w:p>
    <w:p w14:paraId="1362EECB">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提供国外技术标准的时间：；</w:t>
      </w:r>
    </w:p>
    <w:p w14:paraId="354C1AC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0"/>
          <w:sz w:val="24"/>
          <w:szCs w:val="24"/>
        </w:rPr>
        <w:t>提供国外技术标准的费用承担：</w:t>
      </w:r>
      <w:r>
        <w:rPr>
          <w:rFonts w:hint="eastAsia" w:asciiTheme="minorEastAsia" w:hAnsiTheme="minorEastAsia" w:eastAsiaTheme="minorEastAsia"/>
          <w:kern w:val="0"/>
          <w:sz w:val="24"/>
          <w:szCs w:val="24"/>
          <w:u w:val="single"/>
        </w:rPr>
        <w:t xml:space="preserve">  由</w:t>
      </w:r>
      <w:r>
        <w:rPr>
          <w:rFonts w:hint="eastAsia" w:asciiTheme="minorEastAsia" w:hAnsiTheme="minorEastAsia" w:eastAsiaTheme="minorEastAsia"/>
          <w:sz w:val="24"/>
          <w:szCs w:val="24"/>
          <w:u w:val="single"/>
        </w:rPr>
        <w:t xml:space="preserve">设计人承担  </w:t>
      </w:r>
      <w:r>
        <w:rPr>
          <w:rFonts w:hint="eastAsia" w:asciiTheme="minorEastAsia" w:hAnsiTheme="minorEastAsia" w:eastAsiaTheme="minorEastAsia"/>
          <w:kern w:val="0"/>
          <w:sz w:val="24"/>
          <w:szCs w:val="24"/>
        </w:rPr>
        <w:t>。</w:t>
      </w:r>
    </w:p>
    <w:p w14:paraId="7AC8F91B">
      <w:pPr>
        <w:spacing w:line="360" w:lineRule="auto"/>
        <w:ind w:firstLine="566" w:firstLineChars="236"/>
        <w:rPr>
          <w:rFonts w:asciiTheme="minorEastAsia" w:hAnsiTheme="minorEastAsia" w:eastAsiaTheme="minorEastAsia"/>
          <w:sz w:val="24"/>
          <w:szCs w:val="24"/>
        </w:rPr>
      </w:pPr>
      <w:r>
        <w:rPr>
          <w:rFonts w:hint="eastAsia" w:asciiTheme="minorEastAsia" w:hAnsiTheme="minorEastAsia" w:eastAsiaTheme="minorEastAsia"/>
          <w:sz w:val="24"/>
          <w:szCs w:val="24"/>
        </w:rPr>
        <w:t>1.4.3 发包人对工程的技术标准和功能要求的特殊要求：</w:t>
      </w:r>
      <w:r>
        <w:rPr>
          <w:rFonts w:hint="eastAsia" w:asciiTheme="minorEastAsia" w:hAnsiTheme="minorEastAsia" w:eastAsiaTheme="minorEastAsia"/>
          <w:sz w:val="24"/>
          <w:szCs w:val="24"/>
          <w:u w:val="single"/>
        </w:rPr>
        <w:t xml:space="preserve">本项目需进行 □绿化设计设计（  星），需满足工程报建及海绵城市的相关要求    </w:t>
      </w:r>
      <w:r>
        <w:rPr>
          <w:rFonts w:hint="eastAsia" w:asciiTheme="minorEastAsia" w:hAnsiTheme="minorEastAsia" w:eastAsiaTheme="minorEastAsia"/>
          <w:sz w:val="24"/>
          <w:szCs w:val="24"/>
        </w:rPr>
        <w:t>。</w:t>
      </w:r>
    </w:p>
    <w:p w14:paraId="36EB0C93">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 合同文件的优先顺序</w:t>
      </w:r>
    </w:p>
    <w:p w14:paraId="15BFCD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合同文件组成及优先顺序为：</w:t>
      </w:r>
    </w:p>
    <w:p w14:paraId="1ECD7ADA">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1、广东省、项目所在地政府及有关主管部门关于      工程的有关文件；</w:t>
      </w:r>
    </w:p>
    <w:p w14:paraId="18EABED7">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2、合同实施期间双方签订的合同补充协议或修正文件；</w:t>
      </w:r>
    </w:p>
    <w:p w14:paraId="05497E5B">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3、合同实施期间，发包人组织的专家研讨论证会的会议纪要或相关汇总文件；</w:t>
      </w:r>
    </w:p>
    <w:p w14:paraId="2B3CA60E">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4、合同书（含附件）</w:t>
      </w:r>
    </w:p>
    <w:p w14:paraId="4426451D">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5、设计方案中标通知书；</w:t>
      </w:r>
    </w:p>
    <w:p w14:paraId="2F30A5E5">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6、设计招标文件及其附件；</w:t>
      </w:r>
    </w:p>
    <w:p w14:paraId="0BE72577">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7、设计方案投标文件及其附件；</w:t>
      </w:r>
    </w:p>
    <w:p w14:paraId="30507EB7">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8、发包人针对本项目工程建设而制订的各项管理制度；</w:t>
      </w:r>
    </w:p>
    <w:p w14:paraId="0F59AA1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9、组成合同的其他文件</w:t>
      </w:r>
      <w:r>
        <w:rPr>
          <w:rFonts w:hint="eastAsia" w:asciiTheme="minorEastAsia" w:hAnsiTheme="minorEastAsia" w:eastAsiaTheme="minorEastAsia"/>
          <w:sz w:val="24"/>
          <w:szCs w:val="24"/>
        </w:rPr>
        <w:t>。</w:t>
      </w:r>
    </w:p>
    <w:p w14:paraId="620FC413">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在合同履行过程中形成的与合同有关的文件均构成合同文件组成部份。</w:t>
      </w:r>
    </w:p>
    <w:p w14:paraId="226D6D5E">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上述各项合同文件包括合同当事人就该项合同文件所作出的补充和修改，属于同一类内容的文件，应以最新签署的为准。</w:t>
      </w:r>
    </w:p>
    <w:p w14:paraId="4F7A0E5F">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1.6 联络</w:t>
      </w:r>
    </w:p>
    <w:p w14:paraId="0A2F5512">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1.6.1 发包人和设计人应当在</w:t>
      </w:r>
      <w:r>
        <w:rPr>
          <w:rFonts w:hint="eastAsia" w:asciiTheme="minorEastAsia" w:hAnsiTheme="minorEastAsia" w:eastAsiaTheme="minorEastAsia"/>
          <w:sz w:val="24"/>
          <w:szCs w:val="24"/>
          <w:u w:val="single"/>
        </w:rPr>
        <w:t> 5   个日历天</w:t>
      </w:r>
      <w:r>
        <w:rPr>
          <w:rFonts w:hint="eastAsia" w:asciiTheme="minorEastAsia" w:hAnsiTheme="minorEastAsia" w:eastAsiaTheme="minorEastAsia"/>
          <w:kern w:val="0"/>
          <w:sz w:val="24"/>
          <w:szCs w:val="24"/>
        </w:rPr>
        <w:t>内将与合同有关的通知、批准、证明、证书、指示、指令、要求、请求、同意、确定和决定等书面函件送达对方当事人。</w:t>
      </w:r>
    </w:p>
    <w:p w14:paraId="483530BB">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1.6.2 发包人与设计人联系信息</w:t>
      </w:r>
    </w:p>
    <w:p w14:paraId="3B15683C">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发包人接收文件的地点：</w:t>
      </w:r>
      <w:r>
        <w:rPr>
          <w:rFonts w:hint="eastAsia" w:asciiTheme="minorEastAsia" w:hAnsiTheme="minorEastAsia" w:eastAsiaTheme="minorEastAsia"/>
          <w:sz w:val="24"/>
          <w:szCs w:val="24"/>
          <w:u w:val="single"/>
        </w:rPr>
        <w:t xml:space="preserve">              </w:t>
      </w:r>
      <w:r>
        <w:rPr>
          <w:rFonts w:hint="eastAsia" w:asciiTheme="minorEastAsia" w:hAnsiTheme="minorEastAsia" w:eastAsiaTheme="minorEastAsia"/>
          <w:kern w:val="0"/>
          <w:sz w:val="24"/>
          <w:szCs w:val="24"/>
        </w:rPr>
        <w:t>；</w:t>
      </w:r>
    </w:p>
    <w:p w14:paraId="3313DDA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kern w:val="0"/>
          <w:sz w:val="24"/>
          <w:szCs w:val="24"/>
        </w:rPr>
        <w:t>发包人指定的接收人为：</w:t>
      </w:r>
      <w:r>
        <w:rPr>
          <w:rFonts w:hint="eastAsia" w:asciiTheme="minorEastAsia" w:hAnsiTheme="minorEastAsia" w:eastAsiaTheme="minorEastAsia"/>
          <w:sz w:val="24"/>
          <w:szCs w:val="24"/>
          <w:u w:val="single"/>
        </w:rPr>
        <w:t xml:space="preserve">                  </w:t>
      </w:r>
      <w:r>
        <w:rPr>
          <w:rFonts w:hint="eastAsia" w:asciiTheme="minorEastAsia" w:hAnsiTheme="minorEastAsia" w:eastAsiaTheme="minorEastAsia"/>
          <w:sz w:val="24"/>
          <w:szCs w:val="24"/>
        </w:rPr>
        <w:t>；</w:t>
      </w:r>
    </w:p>
    <w:p w14:paraId="5DC3715D">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发包人指定的联系电话及传真号码：</w:t>
      </w:r>
      <w:r>
        <w:rPr>
          <w:rFonts w:hint="eastAsia" w:asciiTheme="minorEastAsia" w:hAnsiTheme="minorEastAsia" w:eastAsiaTheme="minorEastAsia"/>
          <w:sz w:val="24"/>
          <w:szCs w:val="24"/>
          <w:u w:val="single"/>
        </w:rPr>
        <w:t xml:space="preserve">              </w:t>
      </w:r>
      <w:r>
        <w:rPr>
          <w:rFonts w:hint="eastAsia" w:asciiTheme="minorEastAsia" w:hAnsiTheme="minorEastAsia" w:eastAsiaTheme="minorEastAsia"/>
          <w:sz w:val="24"/>
          <w:szCs w:val="24"/>
        </w:rPr>
        <w:t>；</w:t>
      </w:r>
    </w:p>
    <w:p w14:paraId="0ED01909">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发包人指定的电子邮箱：。</w:t>
      </w:r>
    </w:p>
    <w:p w14:paraId="5D59C692">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设计人接收文件的地点：</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kern w:val="0"/>
          <w:sz w:val="24"/>
          <w:szCs w:val="24"/>
        </w:rPr>
        <w:t>；</w:t>
      </w:r>
    </w:p>
    <w:p w14:paraId="2A8D841F">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kern w:val="0"/>
          <w:sz w:val="24"/>
          <w:szCs w:val="24"/>
        </w:rPr>
        <w:t>设计人指定的接收人为：</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14:paraId="67966DE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设计人指定的联系电话及传真号码：</w:t>
      </w:r>
      <w:r>
        <w:rPr>
          <w:rFonts w:hint="eastAsia" w:asciiTheme="minorEastAsia" w:hAnsiTheme="minorEastAsia" w:eastAsiaTheme="minorEastAsia"/>
          <w:sz w:val="24"/>
          <w:szCs w:val="24"/>
          <w:u w:val="single"/>
        </w:rPr>
        <w:t xml:space="preserve">              </w:t>
      </w:r>
      <w:r>
        <w:rPr>
          <w:rFonts w:hint="eastAsia" w:asciiTheme="minorEastAsia" w:hAnsiTheme="minorEastAsia" w:eastAsiaTheme="minorEastAsia"/>
          <w:sz w:val="24"/>
          <w:szCs w:val="24"/>
        </w:rPr>
        <w:t>；</w:t>
      </w:r>
    </w:p>
    <w:p w14:paraId="4398CDAE">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sz w:val="24"/>
          <w:szCs w:val="24"/>
        </w:rPr>
        <w:t>设计人</w:t>
      </w:r>
      <w:r>
        <w:rPr>
          <w:rFonts w:hint="eastAsia" w:asciiTheme="minorEastAsia" w:hAnsiTheme="minorEastAsia" w:eastAsiaTheme="minorEastAsia"/>
          <w:kern w:val="0"/>
          <w:sz w:val="24"/>
          <w:szCs w:val="24"/>
        </w:rPr>
        <w:t>指定的电子邮箱：。</w:t>
      </w:r>
    </w:p>
    <w:p w14:paraId="30D19C5D">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 严禁贿赂</w:t>
      </w:r>
    </w:p>
    <w:p w14:paraId="1F2948C5">
      <w:pPr>
        <w:pStyle w:val="7"/>
        <w:spacing w:before="120" w:after="120" w:line="360" w:lineRule="auto"/>
        <w:ind w:firstLine="482"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详见件4：省代建工作人员十不准</w:t>
      </w:r>
    </w:p>
    <w:p w14:paraId="322289CD">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1.8 保密</w:t>
      </w:r>
    </w:p>
    <w:p w14:paraId="20049CC3">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保密期限：</w:t>
      </w:r>
      <w:r>
        <w:rPr>
          <w:rFonts w:hint="eastAsia" w:asciiTheme="minorEastAsia" w:hAnsiTheme="minorEastAsia" w:eastAsiaTheme="minorEastAsia"/>
          <w:kern w:val="0"/>
          <w:sz w:val="24"/>
          <w:szCs w:val="24"/>
          <w:u w:val="single"/>
        </w:rPr>
        <w:t xml:space="preserve">长期，设计人的保密义务在本协议期满、解除或终止后仍然有效。   </w:t>
      </w:r>
      <w:r>
        <w:rPr>
          <w:rFonts w:hint="eastAsia" w:asciiTheme="minorEastAsia" w:hAnsiTheme="minorEastAsia" w:eastAsiaTheme="minorEastAsia"/>
          <w:kern w:val="0"/>
          <w:sz w:val="24"/>
          <w:szCs w:val="24"/>
        </w:rPr>
        <w:t>。</w:t>
      </w:r>
    </w:p>
    <w:p w14:paraId="172B9C06">
      <w:pPr>
        <w:pStyle w:val="6"/>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2. 发包人</w:t>
      </w:r>
    </w:p>
    <w:p w14:paraId="474DB2A7">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 发包人一般义务</w:t>
      </w:r>
    </w:p>
    <w:p w14:paraId="30BB3C5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2.1.3 发包人其他义务：</w:t>
      </w:r>
    </w:p>
    <w:p w14:paraId="6450592A">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1）发包人按本合同规定的内容，在规定的时间内向设计人提交资料及文件，并对其完整性、正确性及时限负责，发包人不得要求设计人违反国家有关标准进行设计。</w:t>
      </w:r>
    </w:p>
    <w:p w14:paraId="5DD71BA6">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2）发包人对设计人提出的付款申请复核无误后进行支付，并按合同指定银行将合同价款分别汇至设计人的账户。</w:t>
      </w:r>
    </w:p>
    <w:p w14:paraId="40F3FD3A">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3）发包人负责组织按基本建设程序规定的外部评审及确认活动，并根据时间表的规定将必要的审批件交付设计人。</w:t>
      </w:r>
    </w:p>
    <w:p w14:paraId="743B38F6">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发包人负责组织设计人、监理单位、施工单位进行施工前的工程设计技术交底（应由监理单位负责组织的活动除外）。发包人应为设计人派驻施工现场的代表及其它赴现场处理有关设计问题的各方工作人员提供必要的现场办公场地。</w:t>
      </w:r>
    </w:p>
    <w:p w14:paraId="574294E8">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发包人驻场代表在发包人授权范围内向设计人发出的任何书面形式的函件，与发包人发出的函件具有同等效力。发包人驻场代表的指令、通知应由其本人签字后，以书面形式交给设计负责人或设计人驻场代表，设计负责人或设计人驻场代表应立即在回执上签署姓名和收到时间，指令、通知同时生效。</w:t>
      </w:r>
    </w:p>
    <w:p w14:paraId="49693DDC">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6）发包人驻场代表是发包人的履约代表，设计人发出的任何书面形式的文件经发包人驻场代表签收后即视为已送达发包人。</w:t>
      </w:r>
    </w:p>
    <w:p w14:paraId="465AE621">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7）发包人参与设计人要求进行的设计协调会议，协助解决设计中出现的商务与技术问题。</w:t>
      </w:r>
    </w:p>
    <w:p w14:paraId="12360325">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8）因发包人原因而造成项目建设内容、建设规模、建设标准发生变化，以致造成设计人设计返工时，发包人承担相应的义务。若发包人负责提供材料的，应根据设计人提出的工程用料计划，按时提供各种材料及其产品合格证明，派人与设计人员一起验收。</w:t>
      </w:r>
    </w:p>
    <w:p w14:paraId="1078A91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9）发包人及设计咨询（监理）单位在收到设计人有关设计问题及确认问题的函件后，应在5个工作日内给予书面答复 </w:t>
      </w:r>
      <w:r>
        <w:rPr>
          <w:rFonts w:hint="eastAsia" w:asciiTheme="minorEastAsia" w:hAnsiTheme="minorEastAsia" w:eastAsiaTheme="minorEastAsia"/>
          <w:sz w:val="24"/>
          <w:szCs w:val="24"/>
        </w:rPr>
        <w:t>。</w:t>
      </w:r>
    </w:p>
    <w:p w14:paraId="70328F7F">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 发包人代表</w:t>
      </w:r>
    </w:p>
    <w:p w14:paraId="5D88B98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按专用条款中“一般约定”中第1.6条规定。</w:t>
      </w:r>
    </w:p>
    <w:p w14:paraId="78050F5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发包人对项目负责人的授权范围如下：</w:t>
      </w:r>
      <w:r>
        <w:rPr>
          <w:rFonts w:hint="eastAsia" w:asciiTheme="minorEastAsia" w:hAnsiTheme="minorEastAsia" w:eastAsiaTheme="minorEastAsia"/>
          <w:sz w:val="24"/>
          <w:szCs w:val="24"/>
          <w:u w:val="single"/>
        </w:rPr>
        <w:t xml:space="preserve">代表发包人行使发包人的权利、责任和义务，在合同范围内沟通与协调发包人与各参建单位的关系，负责对参建单位各类往来文件的签署与确认。    </w:t>
      </w:r>
    </w:p>
    <w:p w14:paraId="454ACB3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发包人更换发包人代表的，应当提前</w:t>
      </w:r>
      <w:r>
        <w:rPr>
          <w:rFonts w:hint="eastAsia" w:asciiTheme="minorEastAsia" w:hAnsiTheme="minorEastAsia" w:eastAsiaTheme="minorEastAsia"/>
          <w:sz w:val="24"/>
          <w:szCs w:val="24"/>
          <w:u w:val="single"/>
        </w:rPr>
        <w:t xml:space="preserve">   5   </w:t>
      </w:r>
      <w:r>
        <w:rPr>
          <w:rFonts w:hint="eastAsia" w:asciiTheme="minorEastAsia" w:hAnsiTheme="minorEastAsia" w:eastAsiaTheme="minorEastAsia"/>
          <w:sz w:val="24"/>
          <w:szCs w:val="24"/>
        </w:rPr>
        <w:t>个日历天书面通知设计人。</w:t>
      </w:r>
    </w:p>
    <w:p w14:paraId="19C12F40">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2.3 发包人决定</w:t>
      </w:r>
    </w:p>
    <w:p w14:paraId="31639D7E">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2.3.2 发包人应在</w:t>
      </w:r>
      <w:r>
        <w:rPr>
          <w:rFonts w:hint="eastAsia" w:asciiTheme="minorEastAsia" w:hAnsiTheme="minorEastAsia" w:eastAsiaTheme="minorEastAsia"/>
          <w:sz w:val="24"/>
          <w:szCs w:val="24"/>
          <w:u w:val="single"/>
        </w:rPr>
        <w:t>5个日历天</w:t>
      </w:r>
      <w:r>
        <w:rPr>
          <w:rFonts w:hint="eastAsia" w:asciiTheme="minorEastAsia" w:hAnsiTheme="minorEastAsia" w:eastAsiaTheme="minorEastAsia"/>
          <w:sz w:val="24"/>
          <w:szCs w:val="24"/>
        </w:rPr>
        <w:t>内对设计人书面提出的事项作出书面决定。</w:t>
      </w:r>
    </w:p>
    <w:p w14:paraId="2EA453D1">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2.4 合同支付价款</w:t>
      </w:r>
    </w:p>
    <w:p w14:paraId="6377FBD2">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按专用条款中“合同价款与支付”中第10.4条规定。</w:t>
      </w:r>
    </w:p>
    <w:p w14:paraId="3C448B65">
      <w:pPr>
        <w:pStyle w:val="6"/>
        <w:keepLines w:val="0"/>
        <w:spacing w:before="120" w:after="120"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 设计人</w:t>
      </w:r>
    </w:p>
    <w:p w14:paraId="564037E1">
      <w:pPr>
        <w:pStyle w:val="7"/>
        <w:keepLines w:val="0"/>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3.1 设计人一般义务</w:t>
      </w:r>
    </w:p>
    <w:p w14:paraId="3429ADAE">
      <w:pPr>
        <w:keepNext/>
        <w:spacing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3.1.1 设计人</w:t>
      </w:r>
      <w:r>
        <w:rPr>
          <w:rFonts w:hint="eastAsia" w:asciiTheme="minorEastAsia" w:hAnsiTheme="minorEastAsia" w:eastAsiaTheme="minorEastAsia"/>
          <w:sz w:val="24"/>
          <w:szCs w:val="24"/>
          <w:u w:val="single"/>
        </w:rPr>
        <w:t xml:space="preserve">   需    </w:t>
      </w:r>
      <w:r>
        <w:rPr>
          <w:rFonts w:hint="eastAsia" w:asciiTheme="minorEastAsia" w:hAnsiTheme="minorEastAsia" w:eastAsiaTheme="minorEastAsia"/>
          <w:sz w:val="24"/>
          <w:szCs w:val="24"/>
        </w:rPr>
        <w:t>（需/不需）</w:t>
      </w:r>
      <w:r>
        <w:rPr>
          <w:rFonts w:hint="eastAsia" w:asciiTheme="minorEastAsia" w:hAnsiTheme="minorEastAsia" w:eastAsiaTheme="minorEastAsia"/>
          <w:kern w:val="0"/>
          <w:sz w:val="24"/>
          <w:szCs w:val="24"/>
        </w:rPr>
        <w:t>配合发包人办理有关许可、批准或备案手续。</w:t>
      </w:r>
    </w:p>
    <w:p w14:paraId="64A0D5B7">
      <w:pPr>
        <w:spacing w:after="120"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3.1.3 设计人其他义务：</w:t>
      </w:r>
    </w:p>
    <w:p w14:paraId="77CFDF93">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设计人交付的成果必须符合本项目所在国家和地区颁发的法律法规、规范、规定、规程、标准、规划和要求，并符合立项文件及招标文件的规定，必须达到《建筑工程设计文件编制深度规定》（2016年版）的要求，设计人须按合同规定的内容、进度及份数向发包人交付质量合格的设计资料并对其负责。</w:t>
      </w:r>
    </w:p>
    <w:p w14:paraId="7B67B9FC">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2）设计人交付的成果必须签署齐全，图文清楚，图面清晰，完整齐全。</w:t>
      </w:r>
    </w:p>
    <w:p w14:paraId="528E2980">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3）设计人提交给发包人的设计成果文件，必须经过有注册资格人员的验证和签名，加盖设计人出图专用章和注册章，必要时须在成果文件上标注专业负责人的身份号码，设计人必须对改造后的结构安全负全责。</w:t>
      </w:r>
    </w:p>
    <w:p w14:paraId="12CF947A">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4）设计人应在各阶段施工开始前，按约定的设计分工，参与组织工程设计图纸技术交底活动，答复有关技术问题。</w:t>
      </w:r>
    </w:p>
    <w:p w14:paraId="14C1B239">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5）设计人应向发包人提供本项目涉及到的详细的设计规范、规定及标准，所需的国家或地方标准图，由发包人进行备案。</w:t>
      </w:r>
    </w:p>
    <w:p w14:paraId="172E72E1">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6）设计人应配合发包人组织各阶段相关专业（课题）的专家研讨论证，配合发包人开展施工招标和设备、材料采购预询价、技术谈判及招标等工作。</w:t>
      </w:r>
    </w:p>
    <w:p w14:paraId="68C20A0C">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7）设计人应积极配合设计咨询（监理）单位开展工作，提供必要的技术和经济资料。</w:t>
      </w:r>
    </w:p>
    <w:p w14:paraId="7F73A39F">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8）设计人交付设计文件后，按规定参加有关的设计审查，并根据审查结论负责作必要调整补充。</w:t>
      </w:r>
    </w:p>
    <w:p w14:paraId="687F5EE3">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9）按发包人的要求完成各项目的工程报批手续所需的设计文件数据。</w:t>
      </w:r>
    </w:p>
    <w:p w14:paraId="1D166384">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10）设计人对于发包人提出的书面意见，应在3个工作日内给予书面答复。</w:t>
      </w:r>
    </w:p>
    <w:p w14:paraId="1FB75586">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11）在设计各阶段，设计人应根据发包人或政府主管部门的意见，5天内修改、完善设计，负责完成由于设计失误未获政府主管部门批准而出现的反复修改的工作。</w:t>
      </w:r>
    </w:p>
    <w:p w14:paraId="7E0BF3D5">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12）设计人应积极主动进行与项目有关的内、外协调工作，积极配合与规划、市政、交通等部门和单位的协调，保证设计文件通过主管部门的审查。</w:t>
      </w:r>
    </w:p>
    <w:p w14:paraId="04F66750">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13）设计人应接受发包人根据合同和进度计划进行的各种设计跟踪、工作检查和协调要求。</w:t>
      </w:r>
    </w:p>
    <w:p w14:paraId="58CA5023">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14）设计人根据设计开展情况编制月工作汇报和下月进度计划，提供有关设计信息，协助发包人掌握设计工作的整体进展情况。发包人有权要求修改、调整进度计划并要求设计人执行。</w:t>
      </w:r>
    </w:p>
    <w:p w14:paraId="7AF13EC7">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15）设计人应按照发包人、设计评标委员会、设计咨询（监理）单位、施工图审查机构及政府审查部门的评审意见修改工作或成果，进行设计深化、优化，不另行收费。</w:t>
      </w:r>
    </w:p>
    <w:p w14:paraId="33475159">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16）施工阶段，设计人应对项目组人员进行适当调整、驻场专业设计人员，及时为施工现场提供服务。</w:t>
      </w:r>
    </w:p>
    <w:p w14:paraId="387D565B">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17）设计人参加现场设计和服务管理的人员要求详见第九章《人员管理》。</w:t>
      </w:r>
    </w:p>
    <w:p w14:paraId="19BD2114">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18）设计人应根据工程进展情况或发包人的要求，派出各专业人员向发包人及施工单位进行设计交底、处理有关设计问题、解决工程中涉及到的与设计有关问题和参加各类验收。设计人提供的现场服务，至工程竣工验收合格止。</w:t>
      </w:r>
    </w:p>
    <w:p w14:paraId="2C397DAE">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19）如果设计人由于自身原因未能在发包人规定的时间内完成，设计人支付误期赔偿费给发包人用于另行聘请设计人员。误期赔偿费按本合同违约责任相关约定处理。这些误期赔偿费不应解除设计人完成合同规定的其他责任、义务和职责。</w:t>
      </w:r>
    </w:p>
    <w:p w14:paraId="1741EEF9">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20）设计项目组必须在发包人指定的办公地点集中办公，服从发包人统一管理。设计项目组办公场所房租、办公设备、交通设备以及设计人员住宿、餐饮等后勤服务均由设计人自行解决。</w:t>
      </w:r>
    </w:p>
    <w:p w14:paraId="49A03BBB">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21） 考虑到该项目的重要性、特殊性、复杂性，发包人将设计人的人员落实、驻场人员的到位作为设计管理工作考核的重点。如设计人的人员投入、驻场工作的安排、落实，未能达到要求，设计人应当承担相应的违约责任。</w:t>
      </w:r>
    </w:p>
    <w:p w14:paraId="6058D508">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22）发包人可以随时指示设计人暂停合同项目的全部或某一部分，在暂停期间，设计人应保护、保管并保证该项目不致产生任何损失和损害。如果设计人因暂停和复工而遭受延误和招致增加费用，设计人应向发包人发出通知。如果暂停是为弥补设计人的缺陷，则设计人无权得到延长期或费用。</w:t>
      </w:r>
    </w:p>
    <w:p w14:paraId="58DBA532">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23）设计项目的缺陷通知期限自工程竣工起计24个月。</w:t>
      </w:r>
    </w:p>
    <w:p w14:paraId="16B2B52C">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24）设计人所用工具、设备及车辆的安全问题，以及这些运输工具停泊在发包人处所、施工现场或沿着这些地方行驶时的安全事宜，概由设计人负责。其间若对上述发包人处所造成任何损失或损坏，设计人须向发包人作出赔偿。</w:t>
      </w:r>
    </w:p>
    <w:p w14:paraId="14F06E36">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25）发包人及其雇员或代理人对设计人或其雇员的受伤或死亡，以及任何财物蒙受损失或损坏无须负上任何法律责任，除非该伤亡事件是由发包人责任所致。</w:t>
      </w:r>
    </w:p>
    <w:p w14:paraId="7DAEB99C">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26）由于设计人或其任何雇员责任，以致第三者蒙受损失、受伤及死亡，概由设计人负赔偿责任（因发包人或其任何雇员责任而引致的受伤或死亡除外）。</w:t>
      </w:r>
    </w:p>
    <w:p w14:paraId="3199462A">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27）若因设计人或其任何雇员的责任，以致发包人或发包人的任何雇员受伤及死亡，以及财物蒙受损失或损坏，设计人必须对发包人作出赔偿。</w:t>
      </w:r>
    </w:p>
    <w:p w14:paraId="7F5398EF">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28）若发包人提出要求，设计人必须针对本合同规定索偿、诉求及责任，向一家发包人认可（即发包人不会无理拒绝认可）的保险公司投保。在合同期内，必须保持保单有效。设计人必须将保单连同已付保金的收据，在合同期内交由发包人代表保管。</w:t>
      </w:r>
    </w:p>
    <w:p w14:paraId="63A39523">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29）保险：为保障本合同的顺利履行，设计人应购买工程的建设工程设计责任保险，并按照法律法规的规定为其工作业人员购买工伤保险、人身意外伤害险和其他保险，确保咨询人员及工作人员在工作时间区域内如遭受意外伤害由商业保险进行理赔，不涉及至发包人；发包人不承担与此相关的任何费用及责任。合同签订后60日内，设计人须把购买的保险单报发包人备案，否则，发包人有权延期支付服务费。</w:t>
      </w:r>
    </w:p>
    <w:p w14:paraId="43369581">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工程设计责任保险应承担由于设计人设计工作的疏忽或过失而引发的工程质量事故所造成的建设工程本身的物质损失以及第三者人身伤亡、财产损失或费用的赔偿责任。</w:t>
      </w:r>
    </w:p>
    <w:p w14:paraId="48E95EB5">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30）当设计人被判破产，发包人可以随时循简易程序，书面通知设计人终止合同，设计人无权获得任何补偿。</w:t>
      </w:r>
    </w:p>
    <w:p w14:paraId="34EAADB2">
      <w:pPr>
        <w:spacing w:line="360" w:lineRule="auto"/>
        <w:ind w:firstLine="480" w:firstLineChars="200"/>
        <w:jc w:val="left"/>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31）设计人应在发出中标通知书</w:t>
      </w:r>
      <w:r>
        <w:rPr>
          <w:rFonts w:asciiTheme="minorEastAsia" w:hAnsiTheme="minorEastAsia" w:eastAsiaTheme="minorEastAsia"/>
          <w:color w:val="000000"/>
          <w:sz w:val="24"/>
          <w:szCs w:val="24"/>
          <w:u w:val="single"/>
        </w:rPr>
        <w:t xml:space="preserve"> 20 </w:t>
      </w:r>
      <w:r>
        <w:rPr>
          <w:rFonts w:hint="eastAsia" w:asciiTheme="minorEastAsia" w:hAnsiTheme="minorEastAsia" w:eastAsiaTheme="minorEastAsia"/>
          <w:color w:val="000000"/>
          <w:sz w:val="24"/>
          <w:szCs w:val="24"/>
          <w:u w:val="single"/>
        </w:rPr>
        <w:t>日内，向委托人提交由在中国注册的银行（或担保公司或保险机构）开出的担保金额为合同价款的</w:t>
      </w:r>
      <w:r>
        <w:rPr>
          <w:rFonts w:asciiTheme="minorEastAsia" w:hAnsiTheme="minorEastAsia" w:eastAsiaTheme="minorEastAsia"/>
          <w:color w:val="000000"/>
          <w:sz w:val="24"/>
          <w:szCs w:val="24"/>
          <w:u w:val="single"/>
        </w:rPr>
        <w:t xml:space="preserve"> </w:t>
      </w:r>
      <w:r>
        <w:rPr>
          <w:rFonts w:hint="eastAsia" w:asciiTheme="minorEastAsia" w:hAnsiTheme="minorEastAsia" w:eastAsiaTheme="minorEastAsia"/>
          <w:color w:val="000000"/>
          <w:sz w:val="24"/>
          <w:szCs w:val="24"/>
          <w:u w:val="single"/>
        </w:rPr>
        <w:t>10％（即人民币</w:t>
      </w:r>
      <w:r>
        <w:rPr>
          <w:rFonts w:asciiTheme="minorEastAsia" w:hAnsiTheme="minorEastAsia" w:eastAsiaTheme="minorEastAsia"/>
          <w:color w:val="000000"/>
          <w:sz w:val="24"/>
          <w:szCs w:val="24"/>
          <w:u w:val="single"/>
        </w:rPr>
        <w:t xml:space="preserve">      </w:t>
      </w:r>
      <w:r>
        <w:rPr>
          <w:rFonts w:hint="eastAsia" w:asciiTheme="minorEastAsia" w:hAnsiTheme="minorEastAsia" w:eastAsiaTheme="minorEastAsia"/>
          <w:color w:val="000000"/>
          <w:sz w:val="24"/>
          <w:szCs w:val="24"/>
          <w:u w:val="single"/>
        </w:rPr>
        <w:t>元）的《履约保函》原件。</w:t>
      </w:r>
    </w:p>
    <w:p w14:paraId="2D964D31">
      <w:pPr>
        <w:spacing w:line="360" w:lineRule="auto"/>
        <w:ind w:firstLine="480" w:firstLineChars="200"/>
        <w:jc w:val="left"/>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设计人在收到中标通知书后</w:t>
      </w:r>
      <w:r>
        <w:rPr>
          <w:rFonts w:asciiTheme="minorEastAsia" w:hAnsiTheme="minorEastAsia" w:eastAsiaTheme="minorEastAsia"/>
          <w:color w:val="000000"/>
          <w:sz w:val="24"/>
          <w:szCs w:val="24"/>
          <w:u w:val="single"/>
        </w:rPr>
        <w:t xml:space="preserve"> </w:t>
      </w:r>
      <w:r>
        <w:rPr>
          <w:rFonts w:hint="eastAsia" w:asciiTheme="minorEastAsia" w:hAnsiTheme="minorEastAsia" w:eastAsiaTheme="minorEastAsia"/>
          <w:color w:val="000000"/>
          <w:sz w:val="24"/>
          <w:szCs w:val="24"/>
          <w:u w:val="single"/>
        </w:rPr>
        <w:t>20天之内并在签订合同协议书之前，应向发包人提交履约担保。履约担保可以采用银行保函或担保公司或保险公司担保等形式，提交履约保函的具体要求应满足发包人要求，符合《省属代建项目履约保函管理办法》（粤代建办〔2024〕28号，以发包人最新文件为准），具体可由合同当事人在专用合同条款中约定。担保的正本由发包人保存，执行本条各项要求所需的费用由承包人承担。</w:t>
      </w:r>
    </w:p>
    <w:p w14:paraId="75C44A7E">
      <w:pPr>
        <w:spacing w:line="360" w:lineRule="auto"/>
        <w:ind w:firstLine="480" w:firstLineChars="200"/>
        <w:jc w:val="left"/>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设计人需对其保函的有效、真实进行承诺。担保期限从提供履约担保之日起至工程竣工（联合）验收合格且缺陷责任期满之日止。履约保函到期但本项目未工程结算的，无论何种原因，投标人承诺无条件续保，如履约担保到期不提供续保则承担一般违约责任。</w:t>
      </w:r>
    </w:p>
    <w:p w14:paraId="2922A4FC">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color w:val="000000"/>
          <w:sz w:val="24"/>
          <w:szCs w:val="24"/>
          <w:u w:val="single"/>
        </w:rPr>
        <w:t>设计人不履行或不完全履行合同义务的行为导致委托人依据履约保函向担保机构索赔履约保函金额的一部分或者全部的，设计人必须在委托人规定的时间内补充提交履约保函，使得本合同履行期间有效的履约保函金额等于设计人第一次提交的履约保函金额。</w:t>
      </w:r>
    </w:p>
    <w:p w14:paraId="67D018AC">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32）设计人应委托经发包人认可的具有造价咨询（管理）专业资质单位编制本项目的估算书、初步设计概算、设计变更预算等；</w:t>
      </w:r>
    </w:p>
    <w:p w14:paraId="587D7555">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33）设计人应提供初步设计与可行性研究报告、施工图与初步设计在建设规模、标准、内容等方面的符合性对比分析报告（含投资差异分析），确保施工图设计符合初步设计要求、初步设计符合可行性研究报告的要求。</w:t>
      </w:r>
    </w:p>
    <w:p w14:paraId="076FD63C">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34）对发包人进行的审计或审计调查工作设计人应配合，并应根据意见和建议作出相应的调整。</w:t>
      </w:r>
    </w:p>
    <w:p w14:paraId="2D33177F">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35）设计人同意遵守并执行发包人制订并颁布代建项目的相关管理办法。</w:t>
      </w:r>
    </w:p>
    <w:p w14:paraId="1B569F67">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36）设计人须参与由发包人组织，使用单位、设计人、施工、监理单位组成固定资产交接小组，先进行项目实物移交，后进行档案资料移交。</w:t>
      </w:r>
    </w:p>
    <w:p w14:paraId="226EDFC1">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37）设计人应按照发包人要求，对发包人的人员以及其他联合体成员（如有）进行BIM模型操作的培训。</w:t>
      </w:r>
    </w:p>
    <w:p w14:paraId="1BC42E91">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38）提供BIM技术的应用服务，包含且不限于核查初步设计和施工图设计、检查管线平衡设计、检查错漏碰缺、检查工程量清单编制、检查设计变更、检查竣工图编制，建立发包人与设计、监理、施工方协同工作模型，将此模型导入发包人委托的第三方平台“BIM协同管理平台”，建立运营维护模型，指导实际运行、维护管理工作。</w:t>
      </w:r>
    </w:p>
    <w:p w14:paraId="62214722">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39）设计单位应在施工图纸会审前完成设计交底，进行设计交底时应提供签字盖章的书面设计交底记录（设计交底书），如交底过程中有调整交底内容须在3个工作日内完成签盖章并提供给各被交底单位，未完成的承担1次一般违约责任。</w:t>
      </w:r>
    </w:p>
    <w:p w14:paraId="3214BAF2">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40）对参建单位提出的图纸会审记录的答疑问题，设计单位须在5个工作日内完成答疑准备。图纸会审会议后，设计单位应在5个工作日内完成图纸会审记录签字盖章工作。未按时限完成的应承担违约责任。</w:t>
      </w:r>
    </w:p>
    <w:p w14:paraId="13769DFB">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3.2 项目负责人</w:t>
      </w:r>
    </w:p>
    <w:p w14:paraId="7F625BD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3.2.1 </w:t>
      </w:r>
      <w:r>
        <w:rPr>
          <w:rFonts w:hint="eastAsia" w:asciiTheme="minorEastAsia" w:hAnsiTheme="minorEastAsia" w:eastAsiaTheme="minorEastAsia"/>
          <w:sz w:val="24"/>
          <w:szCs w:val="24"/>
        </w:rPr>
        <w:t>项目负责人</w:t>
      </w:r>
    </w:p>
    <w:p w14:paraId="652F898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姓    名：</w:t>
      </w:r>
      <w:r>
        <w:rPr>
          <w:rFonts w:hint="eastAsia" w:asciiTheme="minorEastAsia" w:hAnsiTheme="minorEastAsia" w:eastAsiaTheme="minorEastAsia"/>
          <w:sz w:val="24"/>
          <w:szCs w:val="24"/>
          <w:u w:val="single"/>
        </w:rPr>
        <w:t xml:space="preserve">                </w:t>
      </w:r>
      <w:r>
        <w:rPr>
          <w:rFonts w:hint="eastAsia" w:asciiTheme="minorEastAsia" w:hAnsiTheme="minorEastAsia" w:eastAsiaTheme="minorEastAsia"/>
          <w:sz w:val="24"/>
          <w:szCs w:val="24"/>
        </w:rPr>
        <w:t>；</w:t>
      </w:r>
    </w:p>
    <w:p w14:paraId="724BC5B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执业资格及等级：</w:t>
      </w:r>
      <w:r>
        <w:rPr>
          <w:rFonts w:hint="eastAsia" w:asciiTheme="minorEastAsia" w:hAnsiTheme="minorEastAsia" w:eastAsiaTheme="minorEastAsia"/>
          <w:sz w:val="24"/>
          <w:szCs w:val="24"/>
          <w:u w:val="single"/>
        </w:rPr>
        <w:t xml:space="preserve">              </w:t>
      </w:r>
      <w:r>
        <w:rPr>
          <w:rFonts w:hint="eastAsia" w:asciiTheme="minorEastAsia" w:hAnsiTheme="minorEastAsia" w:eastAsiaTheme="minorEastAsia"/>
          <w:sz w:val="24"/>
          <w:szCs w:val="24"/>
        </w:rPr>
        <w:t>；</w:t>
      </w:r>
    </w:p>
    <w:p w14:paraId="6FA508F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注册证书号：</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14:paraId="3E7D722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               </w:t>
      </w:r>
      <w:r>
        <w:rPr>
          <w:rFonts w:hint="eastAsia" w:asciiTheme="minorEastAsia" w:hAnsiTheme="minorEastAsia" w:eastAsiaTheme="minorEastAsia"/>
          <w:sz w:val="24"/>
          <w:szCs w:val="24"/>
        </w:rPr>
        <w:t>；</w:t>
      </w:r>
    </w:p>
    <w:p w14:paraId="55B719E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电子信箱：</w:t>
      </w:r>
      <w:r>
        <w:rPr>
          <w:rFonts w:hint="eastAsia" w:asciiTheme="minorEastAsia" w:hAnsiTheme="minorEastAsia" w:eastAsiaTheme="minorEastAsia"/>
          <w:sz w:val="24"/>
          <w:szCs w:val="24"/>
          <w:u w:val="single"/>
        </w:rPr>
        <w:t xml:space="preserve">                 </w:t>
      </w:r>
      <w:r>
        <w:rPr>
          <w:rFonts w:hint="eastAsia" w:asciiTheme="minorEastAsia" w:hAnsiTheme="minorEastAsia" w:eastAsiaTheme="minorEastAsia"/>
          <w:sz w:val="24"/>
          <w:szCs w:val="24"/>
        </w:rPr>
        <w:t>；</w:t>
      </w:r>
    </w:p>
    <w:p w14:paraId="47EB130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通信地址：</w:t>
      </w:r>
      <w:r>
        <w:rPr>
          <w:rFonts w:hint="eastAsia" w:asciiTheme="minorEastAsia" w:hAnsiTheme="minorEastAsia" w:eastAsiaTheme="minorEastAsia"/>
          <w:sz w:val="24"/>
          <w:szCs w:val="24"/>
          <w:u w:val="single"/>
        </w:rPr>
        <w:t xml:space="preserve">                 </w:t>
      </w:r>
      <w:r>
        <w:rPr>
          <w:rFonts w:hint="eastAsia" w:asciiTheme="minorEastAsia" w:hAnsiTheme="minorEastAsia" w:eastAsiaTheme="minorEastAsia"/>
          <w:sz w:val="24"/>
          <w:szCs w:val="24"/>
        </w:rPr>
        <w:t>；</w:t>
      </w:r>
    </w:p>
    <w:p w14:paraId="0C03D2B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 设计人更换项目负责人的，应提前</w:t>
      </w:r>
      <w:r>
        <w:rPr>
          <w:rFonts w:hint="eastAsia" w:asciiTheme="minorEastAsia" w:hAnsiTheme="minorEastAsia" w:eastAsiaTheme="minorEastAsia"/>
          <w:sz w:val="24"/>
          <w:szCs w:val="24"/>
          <w:u w:val="single"/>
        </w:rPr>
        <w:t xml:space="preserve"> 15  个日历天</w:t>
      </w:r>
      <w:r>
        <w:rPr>
          <w:rFonts w:hint="eastAsia" w:asciiTheme="minorEastAsia" w:hAnsiTheme="minorEastAsia" w:eastAsiaTheme="minorEastAsia"/>
          <w:sz w:val="24"/>
          <w:szCs w:val="24"/>
        </w:rPr>
        <w:t>书面通知发包人。</w:t>
      </w:r>
    </w:p>
    <w:p w14:paraId="0E910C3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设计人擅自更换项目负责人的违约责任：</w:t>
      </w:r>
      <w:r>
        <w:rPr>
          <w:rFonts w:hint="eastAsia" w:asciiTheme="minorEastAsia" w:hAnsiTheme="minorEastAsia" w:eastAsiaTheme="minorEastAsia"/>
          <w:sz w:val="24"/>
          <w:szCs w:val="24"/>
          <w:u w:val="single"/>
        </w:rPr>
        <w:t xml:space="preserve">               </w:t>
      </w:r>
    </w:p>
    <w:p w14:paraId="5004C73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                                      </w:t>
      </w:r>
      <w:r>
        <w:rPr>
          <w:rFonts w:hint="eastAsia" w:asciiTheme="minorEastAsia" w:hAnsiTheme="minorEastAsia" w:eastAsiaTheme="minorEastAsia"/>
          <w:sz w:val="24"/>
          <w:szCs w:val="24"/>
        </w:rPr>
        <w:t>。</w:t>
      </w:r>
    </w:p>
    <w:p w14:paraId="0DBFE40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3.2.3 设计人应在收到书面更换通知后</w:t>
      </w:r>
      <w:r>
        <w:rPr>
          <w:rFonts w:hint="eastAsia" w:asciiTheme="minorEastAsia" w:hAnsiTheme="minorEastAsia" w:eastAsiaTheme="minorEastAsia"/>
          <w:sz w:val="24"/>
          <w:szCs w:val="24"/>
          <w:u w:val="single"/>
        </w:rPr>
        <w:t xml:space="preserve">   5   个日历</w:t>
      </w:r>
      <w:r>
        <w:rPr>
          <w:rFonts w:hint="eastAsia" w:asciiTheme="minorEastAsia" w:hAnsiTheme="minorEastAsia" w:eastAsiaTheme="minorEastAsia"/>
          <w:sz w:val="24"/>
          <w:szCs w:val="24"/>
        </w:rPr>
        <w:t>天内更换项目负责人。</w:t>
      </w:r>
    </w:p>
    <w:p w14:paraId="77DD28AC">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设计人无正当理由拒绝更换项目负责人的违约责任：</w:t>
      </w:r>
    </w:p>
    <w:p w14:paraId="5288CD53">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p>
    <w:p w14:paraId="479EBA1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C05121B">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3.3 设计人人员</w:t>
      </w:r>
    </w:p>
    <w:p w14:paraId="367F33F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详见附件4：专业设计及驻场服务人员表</w:t>
      </w:r>
    </w:p>
    <w:p w14:paraId="631EB2A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3.3.1 设计人提交项目管理机构及人员安排报告的期限</w:t>
      </w:r>
      <w:r>
        <w:rPr>
          <w:rFonts w:hint="eastAsia" w:asciiTheme="minorEastAsia" w:hAnsiTheme="minorEastAsia" w:eastAsiaTheme="minorEastAsia"/>
          <w:sz w:val="24"/>
          <w:szCs w:val="24"/>
          <w:u w:val="single"/>
        </w:rPr>
        <w:t xml:space="preserve">5个日历天 </w:t>
      </w:r>
      <w:r>
        <w:rPr>
          <w:rFonts w:hint="eastAsia" w:asciiTheme="minorEastAsia" w:hAnsiTheme="minorEastAsia" w:eastAsiaTheme="minorEastAsia"/>
          <w:sz w:val="24"/>
          <w:szCs w:val="24"/>
        </w:rPr>
        <w:t>。</w:t>
      </w:r>
    </w:p>
    <w:p w14:paraId="365F00F8">
      <w:pPr>
        <w:spacing w:line="360" w:lineRule="auto"/>
        <w:ind w:left="300" w:leftChars="143"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3.3.4 对设计人人员的其它要求：</w:t>
      </w:r>
    </w:p>
    <w:p w14:paraId="08B2F87A">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专业设计人员和驻场服务人员必须根据本项目设计工作的进展情况，按照发包人的指令在发包人规定的时间和指定的场所集中设计和提供驻场服务，凡人员不到位或不完全到位的，设计单位应按本合同的约定承担违约责任。</w:t>
      </w:r>
    </w:p>
    <w:p w14:paraId="253D5E4E">
      <w:pPr>
        <w:spacing w:line="360" w:lineRule="auto"/>
        <w:ind w:firstLine="420" w:firstLineChars="200"/>
        <w:rPr>
          <w:rFonts w:asciiTheme="minorEastAsia" w:hAnsiTheme="minorEastAsia" w:eastAsiaTheme="minorEastAsia"/>
          <w:sz w:val="24"/>
          <w:szCs w:val="24"/>
          <w:u w:val="single"/>
        </w:rPr>
      </w:pPr>
      <w:r>
        <w:rPr>
          <w:rFonts w:hint="eastAsia" w:asciiTheme="minorEastAsia" w:hAnsiTheme="minorEastAsia" w:eastAsiaTheme="minorEastAsia"/>
        </w:rPr>
        <w:t>□</w:t>
      </w:r>
      <w:r>
        <w:rPr>
          <w:rFonts w:hint="eastAsia" w:asciiTheme="minorEastAsia" w:hAnsiTheme="minorEastAsia" w:eastAsiaTheme="minorEastAsia"/>
          <w:sz w:val="24"/>
          <w:szCs w:val="24"/>
          <w:u w:val="single"/>
        </w:rPr>
        <w:t>2）在本合同履行期间，设计人在明确分工各负其责的基础上，设计人承诺为本合同约定项目指定的项目负责人为从事本专业工作10年以上。设计人保证驻场设计代表能够全权代表设计人，并向发包人出具相应的授权文件。合同履行期间不得更换项目负责人，如更换项目负责人必须经发包人批准。</w:t>
      </w:r>
    </w:p>
    <w:p w14:paraId="3993E708">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3）项目设计负责人、各专业设计负责人、驻场设计代表的经验、能力和健康状况应能胜任所承担任务的设计、组织、计划、协调工作。</w:t>
      </w:r>
    </w:p>
    <w:p w14:paraId="409E9B0D">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 设计人必须保证参与本合同约定项目设计人员的稳定性，在本合同履行期内，设计人在合同附件中承诺投入的人员原则上不得更换，确须更换的应事先征得发包人同意后方可撤回，并按本合同得有关约定承担违约责任。</w:t>
      </w:r>
    </w:p>
    <w:p w14:paraId="341F7463">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发包人认为项目设计负责人、各专业之间负责人、驻场设计代表不称职时，可向设计人发出书面更换人员通知，设计人应当在收到发包人的书面通知后5天内更换，更换人员的资历不得低于本合同相应条款对各类设计人员资历规定的要求，且更换人员须先经过发包人确认。若设计人对发包人要求更换人员有异议时，可申请复议一次，若经复议后发包人仍然要求更换，则设计人应无条件进行更换，否则视设计人该人员从发包人发出更换通知的时间开始擅自离岗。</w:t>
      </w:r>
    </w:p>
    <w:p w14:paraId="59BD4E8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6）设计人必须加强设计人员职业操守的教育，本合同约定项目设计人员需共同遵守设计人员职业道德守则，并严格遵守以下规定：</w:t>
      </w:r>
    </w:p>
    <w:p w14:paraId="3DB8E48C">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（1）严防重产值、轻质量倾向，确保公众人身及财产安全；</w:t>
      </w:r>
    </w:p>
    <w:p w14:paraId="0A67AA56">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 禁止向发包人及施工单位推销材料、设备，或以倾向性、排他性设计变相推销；</w:t>
      </w:r>
    </w:p>
    <w:p w14:paraId="48F6243D">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（3）禁止与材料、设备供应商串通，设计中选用价高质次的材料、设备；</w:t>
      </w:r>
    </w:p>
    <w:p w14:paraId="7797EF48">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（4）禁止与材料、设备供应商串通，在材料、设备的监造或调试过程中对不合格材料、设备产品进行包庇或以次充好，提高产品验收级别；</w:t>
      </w:r>
    </w:p>
    <w:p w14:paraId="3466E4BB">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（5）禁止与施工单位串通，对不合格材料、设备、产品、工程进行包庇及验收；</w:t>
      </w:r>
    </w:p>
    <w:p w14:paraId="5D1B127D">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（6）禁止与施工单位串通，对材料用量、工程量进行虚假签认；</w:t>
      </w:r>
    </w:p>
    <w:p w14:paraId="698C675B">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（7）禁止与施工单位串通，不合理提高施工难度及增加材料用量，以增大施工费用，获取不正当收益。</w:t>
      </w:r>
    </w:p>
    <w:p w14:paraId="102D951D">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8）凡违背以上规定者，一经查实，发包人有权向有关部门反映情况，追究设计人及有关责任人相关责任，要求赔偿相关损失。</w:t>
      </w:r>
    </w:p>
    <w:p w14:paraId="29C2DD9F">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9) 项目设计负责人的姓名、职务、职责应在设计人设计人员架构表内明确。</w:t>
      </w:r>
    </w:p>
    <w:p w14:paraId="3D474F31">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10)  设计人依据合同发出的通知，以书面形式由项目设计负责人和设计负责人签字后送交发包人驻场代表，发包人驻场代表在回执上签署姓名和收到时间，通知同时生效。</w:t>
      </w:r>
    </w:p>
    <w:p w14:paraId="7DAA7D91">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11) 项目设计负责人和驻场设计代表按发包人认可的设计详细进度计划和发包人依据合同付出的指令要求组织设计，并应保证设计信息的准确、安全。</w:t>
      </w:r>
    </w:p>
    <w:p w14:paraId="7317CEE7">
      <w:pPr>
        <w:spacing w:line="360" w:lineRule="auto"/>
        <w:ind w:left="300" w:leftChars="143" w:firstLine="240" w:firstLineChars="1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12) 每一项目设计负责人和驻场代表均是设计人的履约代表，发包人发出的任何书面形式的文件经任一项目设计负责人和驻场设计代表签收，即视为已送达设计人。</w:t>
      </w:r>
    </w:p>
    <w:p w14:paraId="06CA1E1D">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3.4 设计分包</w:t>
      </w:r>
    </w:p>
    <w:p w14:paraId="1CD62E5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3.4.1 设计分包的一般约定</w:t>
      </w:r>
    </w:p>
    <w:p w14:paraId="703B21EB">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禁止设计分包的工程包括：</w:t>
      </w:r>
      <w:r>
        <w:rPr>
          <w:rFonts w:hint="eastAsia" w:asciiTheme="minorEastAsia" w:hAnsiTheme="minorEastAsia" w:eastAsiaTheme="minorEastAsia"/>
          <w:sz w:val="24"/>
          <w:szCs w:val="24"/>
          <w:u w:val="single"/>
        </w:rPr>
        <w:t xml:space="preserve">主体结构、关键性工作  </w:t>
      </w:r>
      <w:r>
        <w:rPr>
          <w:rFonts w:hint="eastAsia" w:asciiTheme="minorEastAsia" w:hAnsiTheme="minorEastAsia" w:eastAsiaTheme="minorEastAsia"/>
          <w:sz w:val="24"/>
          <w:szCs w:val="24"/>
        </w:rPr>
        <w:t>。</w:t>
      </w:r>
    </w:p>
    <w:p w14:paraId="08310861">
      <w:pPr>
        <w:spacing w:line="360" w:lineRule="auto"/>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主体结构、关键性工作的范围：</w:t>
      </w:r>
      <w:r>
        <w:rPr>
          <w:rFonts w:hint="eastAsia" w:asciiTheme="minorEastAsia" w:hAnsiTheme="minorEastAsia" w:eastAsiaTheme="minorEastAsia"/>
          <w:sz w:val="24"/>
          <w:szCs w:val="24"/>
          <w:u w:val="single"/>
        </w:rPr>
        <w:t xml:space="preserve">包含并不限于建筑、结构等符合设计人专业设计资质要求或设计能力的工作   </w:t>
      </w:r>
      <w:r>
        <w:rPr>
          <w:rFonts w:hint="eastAsia" w:asciiTheme="minorEastAsia" w:hAnsiTheme="minorEastAsia" w:eastAsiaTheme="minorEastAsia"/>
          <w:sz w:val="24"/>
          <w:szCs w:val="24"/>
        </w:rPr>
        <w:t>。</w:t>
      </w:r>
    </w:p>
    <w:p w14:paraId="427A0F6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3.4.2设计分包的确定</w:t>
      </w:r>
    </w:p>
    <w:p w14:paraId="417EC501">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允许分包的专业工程包括：</w:t>
      </w:r>
      <w:r>
        <w:rPr>
          <w:rFonts w:hint="eastAsia" w:asciiTheme="minorEastAsia" w:hAnsiTheme="minorEastAsia" w:eastAsiaTheme="minorEastAsia"/>
          <w:sz w:val="24"/>
          <w:szCs w:val="24"/>
          <w:u w:val="single"/>
        </w:rPr>
        <w:t xml:space="preserve">设计人所承接的专项设计内容，由于设计人本身的资质及所属设计人员的限制，经发包人认可，由设计人直接将该项设计内容分包给专业设计单位     </w:t>
      </w:r>
      <w:r>
        <w:rPr>
          <w:rFonts w:hint="eastAsia" w:asciiTheme="minorEastAsia" w:hAnsiTheme="minorEastAsia" w:eastAsiaTheme="minorEastAsia"/>
          <w:sz w:val="24"/>
          <w:szCs w:val="24"/>
        </w:rPr>
        <w:t>。</w:t>
      </w:r>
    </w:p>
    <w:p w14:paraId="410C731C">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其他关于分包的约定：</w:t>
      </w:r>
    </w:p>
    <w:p w14:paraId="0826E0E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1）由设计人与专项设计分包单位签订设计分包合同，并报发包人备案 。</w:t>
      </w:r>
    </w:p>
    <w:p w14:paraId="629CAD5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专项施工图设计阶段，实行专项设计分包方自身管理、设计人总协调管理、发包人管理的三级管理模式。在此管理阶段专项分包方为主设计方，承担主要的设计责任，设计人为协作设计方，承担次要的设计责任，设计人就该部分对总体设计方案设计思想及技术路线贯彻与总体设计的协调负责出具施工图的审核意见，并报发包人备案，设计人承担相应连带管理责任。在此设计阶段的违约及绩效考核方面相应地按此设计责任进行比例划分。</w:t>
      </w:r>
    </w:p>
    <w:p w14:paraId="66EDC133">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3）在施工图设计阶段、施工招标及施工阶段，专项设计分包单位要接受发包人对其进行管理和协调。</w:t>
      </w:r>
    </w:p>
    <w:p w14:paraId="5781401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本项目中，设计人应保证按规划及建筑功能要求、配套设施要求完成合同约定的专业专项设计。限于专业资质、业务范围问题不能设计人进行的专项设计，由设计人在本设计合同签订前报发包人同意后进行分包，专项分包设计费由设计人按设计合作协议承担。</w:t>
      </w:r>
    </w:p>
    <w:p w14:paraId="035B206E">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5）专项分包施工图设计文件中，需设计人校核确认的部分由设计人及专项分包人员进行会签并盖经授权的图纸审核专用章或公章。</w:t>
      </w:r>
    </w:p>
    <w:p w14:paraId="3553C06C">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6）设计人应在本合同生效后十日内将所有专业分包单位的基本情况、资质、分包内容、费用等列表报发包人审查及备案。</w:t>
      </w:r>
    </w:p>
    <w:p w14:paraId="2393AAB4">
      <w:pPr>
        <w:spacing w:line="360" w:lineRule="auto"/>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3.4.3 设计人向发包人提交有关分包人资料包括：</w:t>
      </w:r>
      <w:r>
        <w:rPr>
          <w:rFonts w:hint="eastAsia" w:asciiTheme="minorEastAsia" w:hAnsiTheme="minorEastAsia" w:eastAsiaTheme="minorEastAsia"/>
          <w:sz w:val="24"/>
          <w:szCs w:val="24"/>
          <w:u w:val="single"/>
        </w:rPr>
        <w:t xml:space="preserve">  分包人的企业资质以及相关人员安排等  </w:t>
      </w:r>
      <w:r>
        <w:rPr>
          <w:rFonts w:hint="eastAsia" w:asciiTheme="minorEastAsia" w:hAnsiTheme="minorEastAsia" w:eastAsiaTheme="minorEastAsia"/>
          <w:sz w:val="24"/>
          <w:szCs w:val="24"/>
        </w:rPr>
        <w:t>。</w:t>
      </w:r>
    </w:p>
    <w:p w14:paraId="6A39BFB6">
      <w:pPr>
        <w:spacing w:line="360" w:lineRule="auto"/>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3.4.4 分包工程设计费支付方式： </w:t>
      </w:r>
      <w:r>
        <w:rPr>
          <w:rFonts w:hint="eastAsia" w:asciiTheme="minorEastAsia" w:hAnsiTheme="minorEastAsia" w:eastAsiaTheme="minorEastAsia"/>
          <w:sz w:val="24"/>
          <w:szCs w:val="24"/>
          <w:u w:val="single"/>
        </w:rPr>
        <w:t xml:space="preserve">  分包工程费用包含在合同价中，由设计人支付给分包人，如设计人未按期支付，发包人有权停止下期设计费支付并有权对设计人进行处罚，并可从未支付的设计费中扣除费用支付给分包人</w:t>
      </w:r>
      <w:r>
        <w:rPr>
          <w:rFonts w:hint="eastAsia" w:asciiTheme="minorEastAsia" w:hAnsiTheme="minorEastAsia" w:eastAsiaTheme="minorEastAsia"/>
          <w:sz w:val="24"/>
          <w:szCs w:val="24"/>
        </w:rPr>
        <w:t>。</w:t>
      </w:r>
    </w:p>
    <w:p w14:paraId="38FEA61C">
      <w:pPr>
        <w:pStyle w:val="7"/>
        <w:keepNext w:val="0"/>
        <w:keepLines w:val="0"/>
        <w:spacing w:before="120" w:after="120" w:line="360" w:lineRule="auto"/>
        <w:ind w:firstLine="424" w:firstLineChars="177"/>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3.5 联合体</w:t>
      </w:r>
    </w:p>
    <w:p w14:paraId="21536412">
      <w:pPr>
        <w:spacing w:line="360" w:lineRule="auto"/>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3.5.4 发包人向联合体支付设计费用的方式：</w:t>
      </w:r>
      <w:r>
        <w:rPr>
          <w:rFonts w:hint="eastAsia" w:asciiTheme="minorEastAsia" w:hAnsiTheme="minorEastAsia" w:eastAsiaTheme="minorEastAsia"/>
          <w:sz w:val="24"/>
          <w:szCs w:val="24"/>
          <w:u w:val="single"/>
        </w:rPr>
        <w:t xml:space="preserve">  按通用条款    </w:t>
      </w:r>
      <w:r>
        <w:rPr>
          <w:rFonts w:hint="eastAsia" w:asciiTheme="minorEastAsia" w:hAnsiTheme="minorEastAsia" w:eastAsiaTheme="minorEastAsia"/>
          <w:sz w:val="24"/>
          <w:szCs w:val="24"/>
        </w:rPr>
        <w:t>。</w:t>
      </w:r>
    </w:p>
    <w:p w14:paraId="4502D133">
      <w:pPr>
        <w:pStyle w:val="6"/>
        <w:spacing w:before="120" w:after="120" w:line="360" w:lineRule="auto"/>
        <w:ind w:firstLine="424" w:firstLineChars="177"/>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5. 工程设计要求</w:t>
      </w:r>
    </w:p>
    <w:p w14:paraId="1D326353">
      <w:pPr>
        <w:pStyle w:val="7"/>
        <w:spacing w:before="120" w:after="120" w:line="360" w:lineRule="auto"/>
        <w:ind w:firstLine="424" w:firstLineChars="177"/>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5.1 工程设计一般要求</w:t>
      </w:r>
    </w:p>
    <w:p w14:paraId="3C0C36D6">
      <w:pPr>
        <w:spacing w:line="360" w:lineRule="auto"/>
        <w:ind w:firstLine="424" w:firstLineChars="177"/>
        <w:jc w:val="left"/>
        <w:rPr>
          <w:rFonts w:asciiTheme="minorEastAsia" w:hAnsiTheme="minorEastAsia" w:eastAsiaTheme="minorEastAsia"/>
          <w:sz w:val="24"/>
          <w:szCs w:val="24"/>
        </w:rPr>
      </w:pPr>
      <w:r>
        <w:rPr>
          <w:rFonts w:hint="eastAsia" w:asciiTheme="minorEastAsia" w:hAnsiTheme="minorEastAsia" w:eastAsiaTheme="minorEastAsia"/>
          <w:sz w:val="24"/>
          <w:szCs w:val="24"/>
        </w:rPr>
        <w:t>5.1.2.1 工程设计的特殊标准或要求：。</w:t>
      </w:r>
    </w:p>
    <w:p w14:paraId="038D282F">
      <w:pPr>
        <w:spacing w:line="360" w:lineRule="auto"/>
        <w:ind w:firstLine="424" w:firstLineChars="177"/>
        <w:jc w:val="left"/>
        <w:rPr>
          <w:rFonts w:asciiTheme="minorEastAsia" w:hAnsiTheme="minorEastAsia" w:eastAsiaTheme="minorEastAsia"/>
          <w:sz w:val="24"/>
          <w:szCs w:val="24"/>
        </w:rPr>
      </w:pPr>
      <w:r>
        <w:rPr>
          <w:rFonts w:hint="eastAsia" w:asciiTheme="minorEastAsia" w:hAnsiTheme="minorEastAsia" w:eastAsiaTheme="minorEastAsia"/>
          <w:sz w:val="24"/>
          <w:szCs w:val="24"/>
        </w:rPr>
        <w:t>5.1.2.2 工程设计适用的技术标准：。</w:t>
      </w:r>
    </w:p>
    <w:p w14:paraId="5DB250EB">
      <w:pPr>
        <w:spacing w:line="360" w:lineRule="auto"/>
        <w:ind w:firstLine="424" w:firstLineChars="177"/>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5.1.2.4 工程设计文件的</w:t>
      </w:r>
      <w:r>
        <w:rPr>
          <w:rFonts w:hint="eastAsia" w:asciiTheme="minorEastAsia" w:hAnsiTheme="minorEastAsia" w:eastAsiaTheme="minorEastAsia"/>
          <w:kern w:val="0"/>
          <w:sz w:val="24"/>
          <w:szCs w:val="24"/>
        </w:rPr>
        <w:t>主要技术指标控制值</w:t>
      </w:r>
      <w:r>
        <w:rPr>
          <w:rFonts w:hint="eastAsia" w:asciiTheme="minorEastAsia" w:hAnsiTheme="minorEastAsia" w:eastAsiaTheme="minorEastAsia"/>
          <w:sz w:val="24"/>
          <w:szCs w:val="24"/>
        </w:rPr>
        <w:t>及比例：</w:t>
      </w:r>
      <w:r>
        <w:rPr>
          <w:rFonts w:hint="eastAsia" w:asciiTheme="minorEastAsia" w:hAnsiTheme="minorEastAsia" w:eastAsiaTheme="minorEastAsia"/>
          <w:sz w:val="24"/>
          <w:szCs w:val="24"/>
          <w:u w:val="single"/>
        </w:rPr>
        <w:t xml:space="preserve">在保证设计质量的前提下，全过程实行限额设计,在包含完整批复初步设计概算全部建设内容的前提下，必须按照政府主管部门确定的投资额度和要求严格控制，进行投资分解和分析，实行投资控制，严格控制方案设计阶段、初步设计阶段和施工图设计阶段及施工阶段等，确保工程概、预算不突破投资目标。 </w:t>
      </w:r>
    </w:p>
    <w:p w14:paraId="5DE73ACF">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1）方案设计阶段：设计人依据设计方案成果编制造价估算文件，完成估算编制后，方案阶段成果应与可行性研究成果进行对比和分析，对超出限额的部分进行说明和分析，提出修改指引和意见并报送发包人。 </w:t>
      </w:r>
    </w:p>
    <w:p w14:paraId="54958949">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初步设计阶段：初步设计过程中，设计人应对主要总规划、建筑方案、结构形式、工艺流程、主要设备指标等提出技术和经济方面的比选方案。用以制定专业设计原则进行方案设计及材料设备选型，以单位工程作为评价，做好专业内的平衡和调整，提出节约投资的措施。初步设计文件确定后，设计人对概算文件进行对比和分析，对超出限额的部分进行说明和分析，提出修改指引和意见供发包人参考。</w:t>
      </w:r>
    </w:p>
    <w:p w14:paraId="39632925">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施工图阶段：施工图预算完成编制后，由造价咨询单位负责预算与初步设计概算进行对比和分析，设计人应对超出或需要调整的设计内容，在不影响工程功能水平、工程质量、工程运营维护成本、全寿命周期费用等情况下，进行设计优化，确保预算不超出设计限额和工程总投资额。</w:t>
      </w:r>
    </w:p>
    <w:p w14:paraId="55E644BF">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4）施工阶段：加强设计变更管理，应严格控制变更的发生，对非发生不可的变更，应尽量提前。设计人应先对工程重大设计变更方案进行造价估算，开展价值工程研究，向发包人报送新旧设计方案行造价估算、施工工艺、功能等方面对比分析，供发包人参考使用。发包人同意后，设计人才可以出正式设计变更文件。并由造价咨询单位对设计变更造价进行动态管理 </w:t>
      </w:r>
      <w:r>
        <w:rPr>
          <w:rFonts w:hint="eastAsia" w:asciiTheme="minorEastAsia" w:hAnsiTheme="minorEastAsia" w:eastAsiaTheme="minorEastAsia"/>
          <w:sz w:val="24"/>
          <w:szCs w:val="24"/>
        </w:rPr>
        <w:t xml:space="preserve">。 </w:t>
      </w:r>
    </w:p>
    <w:p w14:paraId="5CAB9E2E">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5.1.2.8其它要求：BIM应用技术要求</w:t>
      </w:r>
    </w:p>
    <w:p w14:paraId="6828E07F">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（1）按《省属代建项目设计阶段BIM应用管理指引》要求，通过各专业施工图汇总来模拟建造实体，提前检查初步设计、施工图设计中存在的错、漏、碰、缺，减少返工、误工，实现工程多专业协同工作；</w:t>
      </w:r>
    </w:p>
    <w:p w14:paraId="5E7F00A8">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（2）编制工程量清单，为工程招投标提供合理的参考依据；</w:t>
      </w:r>
    </w:p>
    <w:p w14:paraId="7DEDB00F">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（3）施工阶段，通过模型与实际施工情况的对比，迅速了解项目进度及成本的偏差情况，评估变更可行性，实现对工程的精确管控；</w:t>
      </w:r>
    </w:p>
    <w:p w14:paraId="16358CFD">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（4）用于运营维护管理工作。</w:t>
      </w:r>
    </w:p>
    <w:p w14:paraId="350EE024">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5.3 工程设计文件的要求</w:t>
      </w:r>
    </w:p>
    <w:p w14:paraId="694C0B8F">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5.3.3 工程设计文件深度规定：</w:t>
      </w:r>
      <w:r>
        <w:rPr>
          <w:rFonts w:hint="eastAsia" w:asciiTheme="minorEastAsia" w:hAnsiTheme="minorEastAsia" w:eastAsiaTheme="minorEastAsia"/>
          <w:sz w:val="24"/>
          <w:szCs w:val="24"/>
          <w:u w:val="single"/>
        </w:rPr>
        <w:t xml:space="preserve">   需满足《建设工程设计文件编制深度的规定(2016年版)》、《市政公用工程设计文件编制深度的规定(2013年版)》，若设计期间国家执地新的标准，则按国家现行的相关规定执行    </w:t>
      </w:r>
      <w:r>
        <w:rPr>
          <w:rFonts w:hint="eastAsia" w:asciiTheme="minorEastAsia" w:hAnsiTheme="minorEastAsia" w:eastAsiaTheme="minorEastAsia"/>
          <w:sz w:val="24"/>
          <w:szCs w:val="24"/>
        </w:rPr>
        <w:t xml:space="preserve">。 </w:t>
      </w:r>
    </w:p>
    <w:p w14:paraId="04852CEF">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5.3.5 建筑物及其功能设施的合理使用寿命年限：</w:t>
      </w:r>
      <w:r>
        <w:rPr>
          <w:rFonts w:hint="eastAsia" w:asciiTheme="minorEastAsia" w:hAnsiTheme="minorEastAsia" w:eastAsiaTheme="minorEastAsia"/>
          <w:sz w:val="24"/>
          <w:szCs w:val="24"/>
          <w:u w:val="single"/>
        </w:rPr>
        <w:t xml:space="preserve">  按国家现和行相关规定执行   </w:t>
      </w:r>
      <w:r>
        <w:rPr>
          <w:rFonts w:hint="eastAsia" w:asciiTheme="minorEastAsia" w:hAnsiTheme="minorEastAsia" w:eastAsiaTheme="minorEastAsia"/>
          <w:sz w:val="24"/>
          <w:szCs w:val="24"/>
        </w:rPr>
        <w:t>。</w:t>
      </w:r>
    </w:p>
    <w:p w14:paraId="36464F86">
      <w:pPr>
        <w:pStyle w:val="6"/>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6. 工程设计进度与周期</w:t>
      </w:r>
    </w:p>
    <w:p w14:paraId="5475C153">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6.1 工程设计进度计划</w:t>
      </w:r>
    </w:p>
    <w:p w14:paraId="0C83C128">
      <w:pPr>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6.1.1 工程设计进度计划的编制</w:t>
      </w:r>
    </w:p>
    <w:p w14:paraId="37320060">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合</w:t>
      </w:r>
      <w:r>
        <w:rPr>
          <w:rFonts w:hint="eastAsia" w:asciiTheme="minorEastAsia" w:hAnsiTheme="minorEastAsia" w:eastAsiaTheme="minorEastAsia"/>
          <w:kern w:val="0"/>
          <w:sz w:val="24"/>
          <w:szCs w:val="24"/>
        </w:rPr>
        <w:t>同当事人约定的工程设计进度计划提交的时间：</w:t>
      </w:r>
      <w:r>
        <w:rPr>
          <w:rFonts w:hint="eastAsia" w:asciiTheme="minorEastAsia" w:hAnsiTheme="minorEastAsia" w:eastAsiaTheme="minorEastAsia"/>
          <w:kern w:val="0"/>
          <w:sz w:val="24"/>
          <w:szCs w:val="24"/>
          <w:u w:val="single"/>
        </w:rPr>
        <w:t>设计人应在合同签订后7天内向发包人提交一份详细的进度计划。当进度计划与实际进度不符时，设计人还应提交一份修订的进度计划</w:t>
      </w:r>
      <w:r>
        <w:rPr>
          <w:rFonts w:hint="eastAsia" w:asciiTheme="minorEastAsia" w:hAnsiTheme="minorEastAsia" w:eastAsiaTheme="minorEastAsia"/>
          <w:kern w:val="0"/>
          <w:sz w:val="24"/>
          <w:szCs w:val="24"/>
        </w:rPr>
        <w:t>。</w:t>
      </w:r>
    </w:p>
    <w:p w14:paraId="5F447A51">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合</w:t>
      </w:r>
      <w:r>
        <w:rPr>
          <w:rFonts w:hint="eastAsia" w:asciiTheme="minorEastAsia" w:hAnsiTheme="minorEastAsia" w:eastAsiaTheme="minorEastAsia"/>
          <w:kern w:val="0"/>
          <w:sz w:val="24"/>
          <w:szCs w:val="24"/>
        </w:rPr>
        <w:t>同当事人约定的工程设计进度计划应包括的内容：</w:t>
      </w:r>
    </w:p>
    <w:p w14:paraId="162D4F95">
      <w:pPr>
        <w:autoSpaceDE w:val="0"/>
        <w:autoSpaceDN w:val="0"/>
        <w:adjustRightInd w:val="0"/>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1）工作顺序和各个阶段的预期时间安排、出图计划；</w:t>
      </w:r>
    </w:p>
    <w:p w14:paraId="4AB3F514">
      <w:pPr>
        <w:autoSpaceDE w:val="0"/>
        <w:autoSpaceDN w:val="0"/>
        <w:adjustRightInd w:val="0"/>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2）需要设计咨询（监理）单位、发包人、施工图审查机构、政府审查部门进行审查、批准的期限；</w:t>
      </w:r>
    </w:p>
    <w:p w14:paraId="7E74F8D8">
      <w:pPr>
        <w:autoSpaceDE w:val="0"/>
        <w:autoSpaceDN w:val="0"/>
        <w:adjustRightInd w:val="0"/>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3）合同和技术规范中规定的各项检验和试验的顺序和时间安排</w:t>
      </w:r>
      <w:r>
        <w:rPr>
          <w:rFonts w:hint="eastAsia" w:asciiTheme="minorEastAsia" w:hAnsiTheme="minorEastAsia" w:eastAsiaTheme="minorEastAsia"/>
          <w:sz w:val="24"/>
          <w:szCs w:val="24"/>
        </w:rPr>
        <w:t>。</w:t>
      </w:r>
    </w:p>
    <w:p w14:paraId="7771FD32">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 xml:space="preserve">6.1.2 </w:t>
      </w:r>
      <w:r>
        <w:rPr>
          <w:rFonts w:hint="eastAsia" w:asciiTheme="minorEastAsia" w:hAnsiTheme="minorEastAsia" w:eastAsiaTheme="minorEastAsia"/>
          <w:kern w:val="0"/>
          <w:sz w:val="24"/>
          <w:szCs w:val="24"/>
        </w:rPr>
        <w:t>工程设计进度计划的修订</w:t>
      </w:r>
    </w:p>
    <w:p w14:paraId="7F74F8B7">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发包人在收到工程设计进度计划后确认或提出修改意见的期限：</w:t>
      </w:r>
      <w:r>
        <w:rPr>
          <w:rFonts w:hint="eastAsia" w:asciiTheme="minorEastAsia" w:hAnsiTheme="minorEastAsia" w:eastAsiaTheme="minorEastAsia"/>
          <w:kern w:val="0"/>
          <w:sz w:val="24"/>
          <w:szCs w:val="24"/>
          <w:u w:val="single"/>
        </w:rPr>
        <w:t>5个日历天</w:t>
      </w:r>
      <w:r>
        <w:rPr>
          <w:rFonts w:hint="eastAsia" w:asciiTheme="minorEastAsia" w:hAnsiTheme="minorEastAsia" w:eastAsiaTheme="minorEastAsia"/>
          <w:sz w:val="24"/>
          <w:szCs w:val="24"/>
        </w:rPr>
        <w:t>。</w:t>
      </w:r>
    </w:p>
    <w:p w14:paraId="016CB9D2">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6.3 工程设计进度延误</w:t>
      </w:r>
    </w:p>
    <w:p w14:paraId="000AE64F">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6.3.1 </w:t>
      </w:r>
      <w:r>
        <w:rPr>
          <w:rFonts w:hint="eastAsia" w:asciiTheme="minorEastAsia" w:hAnsiTheme="minorEastAsia" w:eastAsiaTheme="minorEastAsia"/>
          <w:kern w:val="0"/>
          <w:sz w:val="24"/>
          <w:szCs w:val="24"/>
        </w:rPr>
        <w:t>因发包人原因导致工程设计进度延误</w:t>
      </w:r>
    </w:p>
    <w:p w14:paraId="69E6A752">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（4）因发包人原因导致工程设计进度延误的其他情形：</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14:paraId="7E5E6EC0">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设计人应在发生</w:t>
      </w:r>
      <w:r>
        <w:rPr>
          <w:rFonts w:hint="eastAsia" w:asciiTheme="minorEastAsia" w:hAnsiTheme="minorEastAsia" w:eastAsiaTheme="minorEastAsia"/>
          <w:kern w:val="0"/>
          <w:sz w:val="24"/>
          <w:szCs w:val="24"/>
        </w:rPr>
        <w:t>进度延误的情形</w:t>
      </w:r>
      <w:r>
        <w:rPr>
          <w:rFonts w:hint="eastAsia" w:asciiTheme="minorEastAsia" w:hAnsiTheme="minorEastAsia" w:eastAsiaTheme="minorEastAsia"/>
          <w:sz w:val="24"/>
          <w:szCs w:val="24"/>
        </w:rPr>
        <w:t>后</w:t>
      </w:r>
      <w:r>
        <w:rPr>
          <w:rFonts w:hint="eastAsia" w:asciiTheme="minorEastAsia" w:hAnsiTheme="minorEastAsia" w:eastAsiaTheme="minorEastAsia"/>
          <w:sz w:val="24"/>
          <w:szCs w:val="24"/>
          <w:u w:val="single"/>
        </w:rPr>
        <w:t xml:space="preserve"> 2  </w:t>
      </w:r>
      <w:r>
        <w:rPr>
          <w:rFonts w:hint="eastAsia" w:asciiTheme="minorEastAsia" w:hAnsiTheme="minorEastAsia" w:eastAsiaTheme="minorEastAsia"/>
          <w:sz w:val="24"/>
          <w:szCs w:val="24"/>
        </w:rPr>
        <w:t>个日历天内向发包人发出要求延期的书面通知，在发生该情形后</w:t>
      </w:r>
      <w:r>
        <w:rPr>
          <w:rFonts w:hint="eastAsia" w:asciiTheme="minorEastAsia" w:hAnsiTheme="minorEastAsia" w:eastAsiaTheme="minorEastAsia"/>
          <w:sz w:val="24"/>
          <w:szCs w:val="24"/>
          <w:u w:val="single"/>
        </w:rPr>
        <w:t xml:space="preserve">  2  </w:t>
      </w:r>
      <w:r>
        <w:rPr>
          <w:rFonts w:hint="eastAsia" w:asciiTheme="minorEastAsia" w:hAnsiTheme="minorEastAsia" w:eastAsiaTheme="minorEastAsia"/>
          <w:sz w:val="24"/>
          <w:szCs w:val="24"/>
        </w:rPr>
        <w:t>个日历天内提交要求延期的详细说明。</w:t>
      </w:r>
    </w:p>
    <w:p w14:paraId="158B1FED">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发包人收到设计人要求延期的详细说明后，应在</w:t>
      </w:r>
      <w:r>
        <w:rPr>
          <w:rFonts w:hint="eastAsia" w:asciiTheme="minorEastAsia" w:hAnsiTheme="minorEastAsia" w:eastAsiaTheme="minorEastAsia"/>
          <w:sz w:val="24"/>
          <w:szCs w:val="24"/>
          <w:u w:val="single"/>
        </w:rPr>
        <w:t xml:space="preserve">  5  </w:t>
      </w:r>
      <w:r>
        <w:rPr>
          <w:rFonts w:hint="eastAsia" w:asciiTheme="minorEastAsia" w:hAnsiTheme="minorEastAsia" w:eastAsiaTheme="minorEastAsia"/>
          <w:sz w:val="24"/>
          <w:szCs w:val="24"/>
        </w:rPr>
        <w:t>个日历天内进行审查并书面答复。</w:t>
      </w:r>
    </w:p>
    <w:p w14:paraId="15DC12A6">
      <w:pPr>
        <w:pStyle w:val="7"/>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6.5 提前交付工程设计文件</w:t>
      </w:r>
    </w:p>
    <w:p w14:paraId="2755373F">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6.5.2 提前交付工程设计文件的奖励：</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14:paraId="11FA149C">
      <w:pPr>
        <w:spacing w:before="120" w:after="120"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 工程设计文件交付</w:t>
      </w:r>
    </w:p>
    <w:p w14:paraId="0328B07E">
      <w:pPr>
        <w:spacing w:before="120" w:after="12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7.1 工程设计文件交付的内容</w:t>
      </w:r>
    </w:p>
    <w:p w14:paraId="492C840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7.1.2 发包人要求设计人提交电子版设计文件的具体形式为：</w:t>
      </w:r>
      <w:r>
        <w:rPr>
          <w:rFonts w:hint="eastAsia" w:asciiTheme="minorEastAsia" w:hAnsiTheme="minorEastAsia" w:eastAsiaTheme="minorEastAsia"/>
          <w:sz w:val="24"/>
          <w:szCs w:val="24"/>
          <w:u w:val="single"/>
        </w:rPr>
        <w:t>详见附件 ：《各阶段、各版次设计成果文件组成及要求》</w:t>
      </w:r>
      <w:r>
        <w:rPr>
          <w:rFonts w:hint="eastAsia" w:asciiTheme="minorEastAsia" w:hAnsiTheme="minorEastAsia" w:eastAsiaTheme="minorEastAsia"/>
          <w:sz w:val="24"/>
          <w:szCs w:val="24"/>
        </w:rPr>
        <w:t xml:space="preserve">。 </w:t>
      </w:r>
    </w:p>
    <w:p w14:paraId="78DB7106">
      <w:pPr>
        <w:pStyle w:val="6"/>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8. 工程设计文件审查</w:t>
      </w:r>
    </w:p>
    <w:p w14:paraId="1E6617E8">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8.1 发包人对设计人的设计文件审查期限不超过</w:t>
      </w:r>
      <w:r>
        <w:rPr>
          <w:rFonts w:hint="eastAsia" w:asciiTheme="minorEastAsia" w:hAnsiTheme="minorEastAsia" w:eastAsiaTheme="minorEastAsia"/>
          <w:sz w:val="24"/>
          <w:szCs w:val="24"/>
          <w:u w:val="single"/>
        </w:rPr>
        <w:t>20个日历天（因设计人原因导致审查不能通过审查的，设计人的设计周期不调整，且根据合同条款追究设计人的设计责任）</w:t>
      </w:r>
      <w:r>
        <w:rPr>
          <w:rFonts w:hint="eastAsia" w:asciiTheme="minorEastAsia" w:hAnsiTheme="minorEastAsia" w:eastAsiaTheme="minorEastAsia"/>
          <w:sz w:val="24"/>
          <w:szCs w:val="24"/>
        </w:rPr>
        <w:t>。</w:t>
      </w:r>
    </w:p>
    <w:p w14:paraId="01540135">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 工程设计审查形式及时间安排：</w:t>
      </w:r>
      <w:r>
        <w:rPr>
          <w:rFonts w:hint="eastAsia" w:asciiTheme="minorEastAsia" w:hAnsiTheme="minorEastAsia" w:eastAsiaTheme="minorEastAsia"/>
          <w:sz w:val="24"/>
          <w:szCs w:val="24"/>
          <w:u w:val="single"/>
        </w:rPr>
        <w:t xml:space="preserve">根据设计的不同阶段，由发包人提供资料委托查关专业的专家或专业的审图机构对设计人提交的设计文件进行审查，具体时间安排由发包人确定后通知设计人，设计人不得有异议  </w:t>
      </w:r>
      <w:r>
        <w:rPr>
          <w:rFonts w:hint="eastAsia" w:asciiTheme="minorEastAsia" w:hAnsiTheme="minorEastAsia" w:eastAsiaTheme="minorEastAsia"/>
          <w:sz w:val="24"/>
          <w:szCs w:val="24"/>
        </w:rPr>
        <w:t>。</w:t>
      </w:r>
    </w:p>
    <w:p w14:paraId="44B565FF">
      <w:pPr>
        <w:spacing w:before="120" w:after="120"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9. 施工现场配合服务</w:t>
      </w:r>
    </w:p>
    <w:p w14:paraId="479E47E0">
      <w:pPr>
        <w:spacing w:line="360" w:lineRule="auto"/>
        <w:ind w:left="210" w:leftChars="100"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9.1 发包人为设计人派赴现场的工作人员提供便利条件的内包括：。</w:t>
      </w:r>
    </w:p>
    <w:p w14:paraId="3BF47D48">
      <w:pPr>
        <w:spacing w:line="360" w:lineRule="auto"/>
        <w:ind w:firstLine="720" w:firstLineChars="3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9.2 设计人应当在交付施工图设计文件并经审查合格后</w:t>
      </w:r>
      <w:r>
        <w:rPr>
          <w:rFonts w:hint="eastAsia" w:asciiTheme="minorEastAsia" w:hAnsiTheme="minorEastAsia" w:eastAsiaTheme="minorEastAsia"/>
          <w:sz w:val="24"/>
          <w:szCs w:val="24"/>
          <w:u w:val="single"/>
        </w:rPr>
        <w:t>直至该项目竣工验收</w:t>
      </w:r>
      <w:r>
        <w:rPr>
          <w:rFonts w:hint="eastAsia" w:asciiTheme="minorEastAsia" w:hAnsiTheme="minorEastAsia" w:eastAsiaTheme="minorEastAsia"/>
          <w:sz w:val="24"/>
          <w:szCs w:val="24"/>
        </w:rPr>
        <w:t>时间内提供施工现场配合服务。</w:t>
      </w:r>
    </w:p>
    <w:p w14:paraId="3212603C">
      <w:pPr>
        <w:pStyle w:val="6"/>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10. 合同价款与支付</w:t>
      </w:r>
    </w:p>
    <w:p w14:paraId="470587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10.1设计取费标准</w:t>
      </w:r>
    </w:p>
    <w:p w14:paraId="684ED866">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工程设计费计费方式为总价包干。合同设计费已包含本合同约定项目的全部设计费用，设计文件修改费用，招标配合费用，驻场服务费用，设计调研费，各类报建、报审、报验收的费用，竣工图审查费用，设计变更费用以及设计人委托有工程造价咨询资质单位编制估算、初步设计概算的费用等。发包人不再支付合同中指明费用内的任何其他费用。如发包人要求设计人提供本合同外的服务，费用另行协商。</w:t>
      </w:r>
    </w:p>
    <w:p w14:paraId="49414047">
      <w:pPr>
        <w:spacing w:line="360" w:lineRule="auto"/>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10.4</w:t>
      </w:r>
      <w:r>
        <w:rPr>
          <w:rFonts w:hint="eastAsia" w:asciiTheme="minorEastAsia" w:hAnsiTheme="minorEastAsia" w:eastAsiaTheme="minorEastAsia"/>
          <w:b/>
          <w:sz w:val="24"/>
          <w:szCs w:val="24"/>
        </w:rPr>
        <w:t>进度款支付</w:t>
      </w:r>
    </w:p>
    <w:p w14:paraId="075900D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10.4.1方案设计</w:t>
      </w:r>
      <w:r>
        <w:rPr>
          <w:rFonts w:hint="eastAsia" w:cs="宋体" w:asciiTheme="minorEastAsia" w:hAnsiTheme="minorEastAsia" w:eastAsiaTheme="minorEastAsia"/>
          <w:kern w:val="1"/>
          <w:sz w:val="24"/>
          <w:szCs w:val="24"/>
        </w:rPr>
        <w:t>投标经济补偿费</w:t>
      </w:r>
      <w:r>
        <w:rPr>
          <w:rFonts w:hint="eastAsia" w:asciiTheme="minorEastAsia" w:hAnsiTheme="minorEastAsia" w:eastAsiaTheme="minorEastAsia"/>
          <w:sz w:val="24"/>
          <w:szCs w:val="24"/>
        </w:rPr>
        <w:t>合计人民币万元，其中：</w:t>
      </w:r>
    </w:p>
    <w:p w14:paraId="39550465">
      <w:pPr>
        <w:spacing w:line="360" w:lineRule="auto"/>
        <w:ind w:firstLine="480" w:firstLineChars="200"/>
        <w:rPr>
          <w:rFonts w:cs="宋体" w:asciiTheme="minorEastAsia" w:hAnsiTheme="minorEastAsia" w:eastAsiaTheme="minorEastAsia"/>
          <w:kern w:val="1"/>
          <w:sz w:val="24"/>
          <w:szCs w:val="24"/>
        </w:rPr>
      </w:pPr>
      <w:r>
        <w:rPr>
          <w:rFonts w:hint="eastAsia" w:cs="宋体" w:asciiTheme="minorEastAsia" w:hAnsiTheme="minorEastAsia" w:eastAsiaTheme="minorEastAsia"/>
          <w:kern w:val="1"/>
          <w:sz w:val="24"/>
          <w:szCs w:val="24"/>
        </w:rPr>
        <w:t>□本项目不设投标补偿。</w:t>
      </w:r>
    </w:p>
    <w:p w14:paraId="6FF01511">
      <w:pPr>
        <w:spacing w:line="360" w:lineRule="auto"/>
        <w:ind w:firstLine="480" w:firstLineChars="200"/>
        <w:rPr>
          <w:rFonts w:cs="宋体" w:asciiTheme="minorEastAsia" w:hAnsiTheme="minorEastAsia" w:eastAsiaTheme="minorEastAsia"/>
          <w:kern w:val="1"/>
          <w:sz w:val="24"/>
          <w:szCs w:val="24"/>
        </w:rPr>
      </w:pPr>
      <w:r>
        <w:rPr>
          <w:rFonts w:hint="eastAsia" w:cs="宋体" w:asciiTheme="minorEastAsia" w:hAnsiTheme="minorEastAsia" w:eastAsiaTheme="minorEastAsia"/>
          <w:kern w:val="1"/>
          <w:sz w:val="24"/>
          <w:szCs w:val="24"/>
        </w:rPr>
        <w:t>√适用于中标人支付经济补偿：</w:t>
      </w:r>
    </w:p>
    <w:p w14:paraId="03941D70">
      <w:pPr>
        <w:spacing w:line="360" w:lineRule="auto"/>
        <w:ind w:firstLine="480" w:firstLineChars="200"/>
        <w:rPr>
          <w:rFonts w:cs="宋体" w:asciiTheme="minorEastAsia" w:hAnsiTheme="minorEastAsia" w:eastAsiaTheme="minorEastAsia"/>
          <w:kern w:val="1"/>
          <w:sz w:val="24"/>
          <w:szCs w:val="24"/>
        </w:rPr>
      </w:pPr>
      <w:r>
        <w:rPr>
          <w:rFonts w:hint="eastAsia" w:cs="宋体" w:asciiTheme="minorEastAsia" w:hAnsiTheme="minorEastAsia" w:eastAsiaTheme="minorEastAsia"/>
          <w:kern w:val="1"/>
          <w:sz w:val="24"/>
          <w:szCs w:val="24"/>
        </w:rPr>
        <w:t>(1) 全部的投标经济补偿费包含在本项目设计费中，承包人在签订合同后，由承包人向发包人申请，</w:t>
      </w:r>
      <w:r>
        <w:rPr>
          <w:rFonts w:hint="eastAsia" w:cs="宋体" w:asciiTheme="minorEastAsia" w:hAnsiTheme="minorEastAsia" w:eastAsiaTheme="minorEastAsia"/>
          <w:kern w:val="1"/>
          <w:sz w:val="24"/>
          <w:szCs w:val="24"/>
          <w:u w:val="single"/>
        </w:rPr>
        <w:t>承包人</w:t>
      </w:r>
      <w:r>
        <w:rPr>
          <w:rFonts w:hint="eastAsia" w:asciiTheme="minorEastAsia" w:hAnsiTheme="minorEastAsia" w:eastAsiaTheme="minorEastAsia"/>
          <w:sz w:val="24"/>
          <w:u w:val="single"/>
        </w:rPr>
        <w:t>在收到招标人的第一笔付款后</w:t>
      </w:r>
      <w:r>
        <w:rPr>
          <w:rFonts w:hint="eastAsia" w:cs="宋体" w:asciiTheme="minorEastAsia" w:hAnsiTheme="minorEastAsia" w:eastAsiaTheme="minorEastAsia"/>
          <w:kern w:val="1"/>
          <w:sz w:val="24"/>
          <w:szCs w:val="24"/>
        </w:rPr>
        <w:t>，对2-3名未中标人的设计方案给予补偿。其余未中标人费用自理，发包人不再给予未中标人投标补偿。 (2)方案设计投标经济补偿费总额元，其补偿方式如下：</w:t>
      </w:r>
    </w:p>
    <w:tbl>
      <w:tblPr>
        <w:tblStyle w:val="54"/>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813"/>
        <w:gridCol w:w="1581"/>
        <w:gridCol w:w="3037"/>
      </w:tblGrid>
      <w:tr w14:paraId="578B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14:paraId="71F3DB07">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排列名次</w:t>
            </w:r>
          </w:p>
        </w:tc>
        <w:tc>
          <w:tcPr>
            <w:tcW w:w="2813" w:type="dxa"/>
          </w:tcPr>
          <w:p w14:paraId="5CE1F2AA">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w:t>
            </w:r>
          </w:p>
        </w:tc>
        <w:tc>
          <w:tcPr>
            <w:tcW w:w="1581" w:type="dxa"/>
          </w:tcPr>
          <w:p w14:paraId="142645CE">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补偿金额（元）</w:t>
            </w:r>
          </w:p>
        </w:tc>
        <w:tc>
          <w:tcPr>
            <w:tcW w:w="3037" w:type="dxa"/>
          </w:tcPr>
          <w:p w14:paraId="13956A9C">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2435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3" w:type="dxa"/>
            <w:vAlign w:val="center"/>
          </w:tcPr>
          <w:p w14:paraId="139E316A">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                                                                                                                                                                                                                                                                                                                                                                                                                                                                                                                                                                                                                                                                                                                                                                                                                                                                                                                                                                                                                                                                                                                                                                                                                                                                                                                                                                                                                       </w:t>
            </w:r>
          </w:p>
        </w:tc>
        <w:tc>
          <w:tcPr>
            <w:tcW w:w="2813" w:type="dxa"/>
            <w:vAlign w:val="center"/>
          </w:tcPr>
          <w:p w14:paraId="5A00541B">
            <w:pPr>
              <w:spacing w:line="360" w:lineRule="auto"/>
              <w:jc w:val="center"/>
              <w:rPr>
                <w:rFonts w:asciiTheme="minorEastAsia" w:hAnsiTheme="minorEastAsia" w:eastAsiaTheme="minorEastAsia"/>
                <w:sz w:val="24"/>
                <w:szCs w:val="24"/>
              </w:rPr>
            </w:pPr>
          </w:p>
        </w:tc>
        <w:tc>
          <w:tcPr>
            <w:tcW w:w="1581" w:type="dxa"/>
            <w:vAlign w:val="center"/>
          </w:tcPr>
          <w:p w14:paraId="65D085F6">
            <w:pPr>
              <w:spacing w:line="360" w:lineRule="auto"/>
              <w:jc w:val="center"/>
              <w:rPr>
                <w:rFonts w:asciiTheme="minorEastAsia" w:hAnsiTheme="minorEastAsia" w:eastAsiaTheme="minorEastAsia"/>
                <w:sz w:val="24"/>
                <w:szCs w:val="24"/>
              </w:rPr>
            </w:pPr>
          </w:p>
        </w:tc>
        <w:tc>
          <w:tcPr>
            <w:tcW w:w="3037" w:type="dxa"/>
            <w:vAlign w:val="center"/>
          </w:tcPr>
          <w:p w14:paraId="72B9A0CB">
            <w:pPr>
              <w:spacing w:line="360" w:lineRule="auto"/>
              <w:jc w:val="center"/>
              <w:rPr>
                <w:rFonts w:asciiTheme="minorEastAsia" w:hAnsiTheme="minorEastAsia" w:eastAsiaTheme="minorEastAsia"/>
                <w:sz w:val="24"/>
                <w:szCs w:val="24"/>
              </w:rPr>
            </w:pPr>
          </w:p>
        </w:tc>
      </w:tr>
      <w:tr w14:paraId="4119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3" w:type="dxa"/>
            <w:vAlign w:val="center"/>
          </w:tcPr>
          <w:p w14:paraId="5FDAE045">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813" w:type="dxa"/>
            <w:vAlign w:val="center"/>
          </w:tcPr>
          <w:p w14:paraId="3BBBFFF0">
            <w:pPr>
              <w:spacing w:line="360" w:lineRule="auto"/>
              <w:jc w:val="center"/>
              <w:rPr>
                <w:rFonts w:asciiTheme="minorEastAsia" w:hAnsiTheme="minorEastAsia" w:eastAsiaTheme="minorEastAsia"/>
                <w:sz w:val="24"/>
                <w:szCs w:val="24"/>
              </w:rPr>
            </w:pPr>
          </w:p>
        </w:tc>
        <w:tc>
          <w:tcPr>
            <w:tcW w:w="1581" w:type="dxa"/>
            <w:vAlign w:val="center"/>
          </w:tcPr>
          <w:p w14:paraId="49C85B85">
            <w:pPr>
              <w:spacing w:line="360" w:lineRule="auto"/>
              <w:jc w:val="center"/>
              <w:rPr>
                <w:rFonts w:asciiTheme="minorEastAsia" w:hAnsiTheme="minorEastAsia" w:eastAsiaTheme="minorEastAsia"/>
                <w:sz w:val="24"/>
                <w:szCs w:val="24"/>
              </w:rPr>
            </w:pPr>
          </w:p>
        </w:tc>
        <w:tc>
          <w:tcPr>
            <w:tcW w:w="3037" w:type="dxa"/>
            <w:vAlign w:val="center"/>
          </w:tcPr>
          <w:p w14:paraId="3F21D53D">
            <w:pPr>
              <w:spacing w:line="360" w:lineRule="auto"/>
              <w:jc w:val="center"/>
              <w:rPr>
                <w:rFonts w:asciiTheme="minorEastAsia" w:hAnsiTheme="minorEastAsia" w:eastAsiaTheme="minorEastAsia"/>
                <w:sz w:val="24"/>
                <w:szCs w:val="24"/>
              </w:rPr>
            </w:pPr>
          </w:p>
        </w:tc>
      </w:tr>
      <w:tr w14:paraId="3566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3" w:type="dxa"/>
            <w:vAlign w:val="center"/>
          </w:tcPr>
          <w:p w14:paraId="70BDC95C">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813" w:type="dxa"/>
            <w:vAlign w:val="center"/>
          </w:tcPr>
          <w:p w14:paraId="59843DC2">
            <w:pPr>
              <w:spacing w:line="360" w:lineRule="auto"/>
              <w:jc w:val="center"/>
              <w:rPr>
                <w:rFonts w:asciiTheme="minorEastAsia" w:hAnsiTheme="minorEastAsia" w:eastAsiaTheme="minorEastAsia"/>
                <w:sz w:val="24"/>
                <w:szCs w:val="24"/>
              </w:rPr>
            </w:pPr>
          </w:p>
        </w:tc>
        <w:tc>
          <w:tcPr>
            <w:tcW w:w="1581" w:type="dxa"/>
            <w:vAlign w:val="center"/>
          </w:tcPr>
          <w:p w14:paraId="2843B653">
            <w:pPr>
              <w:spacing w:line="360" w:lineRule="auto"/>
              <w:jc w:val="center"/>
              <w:rPr>
                <w:rFonts w:asciiTheme="minorEastAsia" w:hAnsiTheme="minorEastAsia" w:eastAsiaTheme="minorEastAsia"/>
                <w:sz w:val="24"/>
                <w:szCs w:val="24"/>
              </w:rPr>
            </w:pPr>
          </w:p>
        </w:tc>
        <w:tc>
          <w:tcPr>
            <w:tcW w:w="3037" w:type="dxa"/>
            <w:vAlign w:val="center"/>
          </w:tcPr>
          <w:p w14:paraId="24B17BD9">
            <w:pPr>
              <w:spacing w:line="360" w:lineRule="auto"/>
              <w:jc w:val="center"/>
              <w:rPr>
                <w:rFonts w:asciiTheme="minorEastAsia" w:hAnsiTheme="minorEastAsia" w:eastAsiaTheme="minorEastAsia"/>
                <w:sz w:val="24"/>
                <w:szCs w:val="24"/>
              </w:rPr>
            </w:pPr>
          </w:p>
        </w:tc>
      </w:tr>
      <w:tr w14:paraId="1A9A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63" w:type="dxa"/>
            <w:vAlign w:val="center"/>
          </w:tcPr>
          <w:p w14:paraId="7311AE24">
            <w:pPr>
              <w:spacing w:line="360" w:lineRule="auto"/>
              <w:jc w:val="center"/>
              <w:rPr>
                <w:rFonts w:asciiTheme="minorEastAsia" w:hAnsiTheme="minorEastAsia" w:eastAsiaTheme="minorEastAsia"/>
                <w:sz w:val="24"/>
                <w:szCs w:val="24"/>
              </w:rPr>
            </w:pPr>
          </w:p>
        </w:tc>
        <w:tc>
          <w:tcPr>
            <w:tcW w:w="2813" w:type="dxa"/>
            <w:vAlign w:val="center"/>
          </w:tcPr>
          <w:p w14:paraId="2A68282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  计</w:t>
            </w:r>
          </w:p>
        </w:tc>
        <w:tc>
          <w:tcPr>
            <w:tcW w:w="1581" w:type="dxa"/>
            <w:vAlign w:val="center"/>
          </w:tcPr>
          <w:p w14:paraId="1BAECE03">
            <w:pPr>
              <w:spacing w:line="360" w:lineRule="auto"/>
              <w:jc w:val="center"/>
              <w:rPr>
                <w:rFonts w:asciiTheme="minorEastAsia" w:hAnsiTheme="minorEastAsia" w:eastAsiaTheme="minorEastAsia"/>
                <w:sz w:val="24"/>
                <w:szCs w:val="24"/>
              </w:rPr>
            </w:pPr>
          </w:p>
        </w:tc>
        <w:tc>
          <w:tcPr>
            <w:tcW w:w="3037" w:type="dxa"/>
            <w:vAlign w:val="center"/>
          </w:tcPr>
          <w:p w14:paraId="09F027A6">
            <w:pPr>
              <w:spacing w:line="360" w:lineRule="auto"/>
              <w:jc w:val="center"/>
              <w:rPr>
                <w:rFonts w:asciiTheme="minorEastAsia" w:hAnsiTheme="minorEastAsia" w:eastAsiaTheme="minorEastAsia"/>
                <w:sz w:val="24"/>
                <w:szCs w:val="24"/>
              </w:rPr>
            </w:pPr>
          </w:p>
        </w:tc>
      </w:tr>
    </w:tbl>
    <w:p w14:paraId="6B69DB87">
      <w:pPr>
        <w:spacing w:line="360" w:lineRule="auto"/>
        <w:ind w:left="480" w:hanging="480" w:hangingChars="200"/>
        <w:rPr>
          <w:rFonts w:cs="宋体" w:asciiTheme="minorEastAsia" w:hAnsiTheme="minorEastAsia" w:eastAsiaTheme="minorEastAsia"/>
          <w:kern w:val="1"/>
          <w:sz w:val="24"/>
          <w:szCs w:val="24"/>
        </w:rPr>
      </w:pPr>
    </w:p>
    <w:p w14:paraId="6AE18DE5">
      <w:pPr>
        <w:spacing w:line="360" w:lineRule="auto"/>
        <w:ind w:left="479" w:leftChars="202" w:hanging="55" w:hangingChars="23"/>
        <w:rPr>
          <w:rFonts w:ascii="宋体" w:hAnsi="宋体"/>
          <w:b/>
          <w:sz w:val="24"/>
          <w:szCs w:val="24"/>
        </w:rPr>
      </w:pPr>
      <w:r>
        <w:rPr>
          <w:rFonts w:hint="eastAsia" w:ascii="宋体" w:hAnsi="宋体"/>
          <w:b/>
          <w:sz w:val="24"/>
          <w:szCs w:val="24"/>
        </w:rPr>
        <w:t>10.4.2设计费（含投标经济补偿费部分）支付进度详见下表：</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36"/>
        <w:gridCol w:w="1984"/>
        <w:gridCol w:w="1610"/>
      </w:tblGrid>
      <w:tr w14:paraId="74AC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14:paraId="6AE373E1">
            <w:pPr>
              <w:adjustRightInd w:val="0"/>
              <w:snapToGrid w:val="0"/>
              <w:jc w:val="center"/>
              <w:rPr>
                <w:rFonts w:hint="eastAsia" w:ascii="仿宋_GB2312" w:hAnsi="宋体" w:eastAsia="仿宋_GB2312"/>
                <w:sz w:val="28"/>
                <w:szCs w:val="28"/>
              </w:rPr>
            </w:pPr>
            <w:r>
              <w:rPr>
                <w:rFonts w:hint="eastAsia" w:ascii="仿宋_GB2312" w:hAnsi="宋体" w:eastAsia="仿宋_GB2312"/>
                <w:sz w:val="28"/>
                <w:szCs w:val="28"/>
              </w:rPr>
              <w:t>支付节点</w:t>
            </w:r>
          </w:p>
        </w:tc>
        <w:tc>
          <w:tcPr>
            <w:tcW w:w="4136" w:type="dxa"/>
            <w:tcBorders>
              <w:top w:val="single" w:color="auto" w:sz="4" w:space="0"/>
              <w:left w:val="single" w:color="auto" w:sz="4" w:space="0"/>
              <w:bottom w:val="single" w:color="auto" w:sz="4" w:space="0"/>
              <w:right w:val="single" w:color="auto" w:sz="4" w:space="0"/>
            </w:tcBorders>
            <w:vAlign w:val="center"/>
          </w:tcPr>
          <w:p w14:paraId="7F992345">
            <w:pPr>
              <w:adjustRightInd w:val="0"/>
              <w:snapToGrid w:val="0"/>
              <w:ind w:firstLine="549"/>
              <w:jc w:val="center"/>
              <w:rPr>
                <w:rFonts w:hint="eastAsia" w:ascii="仿宋_GB2312" w:hAnsi="宋体" w:eastAsia="仿宋_GB2312"/>
                <w:sz w:val="28"/>
                <w:szCs w:val="28"/>
              </w:rPr>
            </w:pPr>
            <w:r>
              <w:rPr>
                <w:rFonts w:hint="eastAsia" w:ascii="仿宋_GB2312" w:hAnsi="宋体" w:eastAsia="仿宋_GB2312"/>
                <w:sz w:val="28"/>
                <w:szCs w:val="28"/>
              </w:rPr>
              <w:t>支付条件</w:t>
            </w:r>
          </w:p>
        </w:tc>
        <w:tc>
          <w:tcPr>
            <w:tcW w:w="1984" w:type="dxa"/>
            <w:tcBorders>
              <w:top w:val="single" w:color="auto" w:sz="4" w:space="0"/>
              <w:left w:val="single" w:color="auto" w:sz="4" w:space="0"/>
              <w:bottom w:val="single" w:color="auto" w:sz="4" w:space="0"/>
              <w:right w:val="single" w:color="auto" w:sz="4" w:space="0"/>
            </w:tcBorders>
            <w:vAlign w:val="center"/>
          </w:tcPr>
          <w:p w14:paraId="2C734BC5">
            <w:pPr>
              <w:adjustRightInd w:val="0"/>
              <w:snapToGrid w:val="0"/>
              <w:ind w:firstLine="549"/>
              <w:jc w:val="center"/>
              <w:rPr>
                <w:rFonts w:hint="eastAsia" w:ascii="仿宋_GB2312" w:hAnsi="宋体" w:eastAsia="仿宋_GB2312"/>
                <w:sz w:val="28"/>
                <w:szCs w:val="28"/>
              </w:rPr>
            </w:pPr>
            <w:r>
              <w:rPr>
                <w:rFonts w:hint="eastAsia" w:ascii="仿宋_GB2312" w:hAnsi="宋体" w:eastAsia="仿宋_GB2312"/>
                <w:sz w:val="28"/>
                <w:szCs w:val="28"/>
              </w:rPr>
              <w:t>支付金额</w:t>
            </w:r>
          </w:p>
        </w:tc>
        <w:tc>
          <w:tcPr>
            <w:tcW w:w="1610" w:type="dxa"/>
            <w:tcBorders>
              <w:top w:val="single" w:color="auto" w:sz="4" w:space="0"/>
              <w:left w:val="single" w:color="auto" w:sz="4" w:space="0"/>
              <w:bottom w:val="single" w:color="auto" w:sz="4" w:space="0"/>
              <w:right w:val="single" w:color="auto" w:sz="4" w:space="0"/>
            </w:tcBorders>
            <w:vAlign w:val="center"/>
          </w:tcPr>
          <w:p w14:paraId="674ADB0B">
            <w:pPr>
              <w:adjustRightInd w:val="0"/>
              <w:snapToGrid w:val="0"/>
              <w:jc w:val="center"/>
              <w:rPr>
                <w:rFonts w:hint="eastAsia" w:ascii="仿宋_GB2312" w:hAnsi="宋体" w:eastAsia="仿宋_GB2312"/>
                <w:sz w:val="28"/>
                <w:szCs w:val="28"/>
              </w:rPr>
            </w:pPr>
            <w:r>
              <w:rPr>
                <w:rFonts w:hint="eastAsia" w:ascii="仿宋_GB2312" w:hAnsi="宋体" w:eastAsia="仿宋_GB2312"/>
                <w:sz w:val="28"/>
                <w:szCs w:val="28"/>
              </w:rPr>
              <w:t>考评标准</w:t>
            </w:r>
          </w:p>
        </w:tc>
      </w:tr>
      <w:tr w14:paraId="0C34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14:paraId="321DFB87">
            <w:pPr>
              <w:adjustRightInd w:val="0"/>
              <w:snapToGrid w:val="0"/>
              <w:ind w:firstLine="315" w:firstLineChars="150"/>
              <w:rPr>
                <w:rFonts w:hint="eastAsia" w:ascii="仿宋_GB2312" w:hAnsi="宋体" w:eastAsia="仿宋_GB2312"/>
                <w:szCs w:val="21"/>
              </w:rPr>
            </w:pPr>
            <w:r>
              <w:rPr>
                <w:rFonts w:hint="eastAsia" w:ascii="仿宋_GB2312" w:hAnsi="宋体" w:eastAsia="仿宋_GB2312"/>
                <w:szCs w:val="21"/>
              </w:rPr>
              <w:t>1</w:t>
            </w:r>
          </w:p>
        </w:tc>
        <w:tc>
          <w:tcPr>
            <w:tcW w:w="4136" w:type="dxa"/>
            <w:tcBorders>
              <w:top w:val="single" w:color="auto" w:sz="4" w:space="0"/>
              <w:left w:val="single" w:color="auto" w:sz="4" w:space="0"/>
              <w:bottom w:val="single" w:color="auto" w:sz="4" w:space="0"/>
              <w:right w:val="single" w:color="auto" w:sz="4" w:space="0"/>
            </w:tcBorders>
            <w:vAlign w:val="center"/>
          </w:tcPr>
          <w:p w14:paraId="6077E3EA">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签订合同并提交履约保函</w:t>
            </w:r>
          </w:p>
        </w:tc>
        <w:tc>
          <w:tcPr>
            <w:tcW w:w="1984" w:type="dxa"/>
            <w:tcBorders>
              <w:top w:val="single" w:color="auto" w:sz="4" w:space="0"/>
              <w:left w:val="single" w:color="auto" w:sz="4" w:space="0"/>
              <w:bottom w:val="single" w:color="auto" w:sz="4" w:space="0"/>
              <w:right w:val="single" w:color="auto" w:sz="4" w:space="0"/>
            </w:tcBorders>
            <w:vAlign w:val="center"/>
          </w:tcPr>
          <w:p w14:paraId="2367C9F1">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基数×10%</w:t>
            </w:r>
          </w:p>
        </w:tc>
        <w:tc>
          <w:tcPr>
            <w:tcW w:w="1610" w:type="dxa"/>
            <w:tcBorders>
              <w:top w:val="single" w:color="auto" w:sz="4" w:space="0"/>
              <w:left w:val="single" w:color="auto" w:sz="4" w:space="0"/>
              <w:bottom w:val="single" w:color="auto" w:sz="4" w:space="0"/>
              <w:right w:val="single" w:color="auto" w:sz="4" w:space="0"/>
            </w:tcBorders>
            <w:vAlign w:val="center"/>
          </w:tcPr>
          <w:p w14:paraId="656DAB37">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w:t>
            </w:r>
          </w:p>
        </w:tc>
      </w:tr>
      <w:tr w14:paraId="39FE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14:paraId="3B23ACBA">
            <w:pPr>
              <w:adjustRightInd w:val="0"/>
              <w:snapToGrid w:val="0"/>
              <w:ind w:firstLine="315" w:firstLineChars="150"/>
              <w:rPr>
                <w:rFonts w:hint="eastAsia" w:ascii="仿宋_GB2312" w:hAnsi="宋体" w:eastAsia="仿宋_GB2312"/>
                <w:szCs w:val="21"/>
              </w:rPr>
            </w:pPr>
            <w:r>
              <w:rPr>
                <w:rFonts w:hint="eastAsia" w:ascii="仿宋_GB2312" w:hAnsi="宋体" w:eastAsia="仿宋_GB2312"/>
                <w:szCs w:val="21"/>
              </w:rPr>
              <w:t>2</w:t>
            </w:r>
          </w:p>
        </w:tc>
        <w:tc>
          <w:tcPr>
            <w:tcW w:w="4136" w:type="dxa"/>
            <w:tcBorders>
              <w:top w:val="single" w:color="auto" w:sz="4" w:space="0"/>
              <w:left w:val="single" w:color="auto" w:sz="4" w:space="0"/>
              <w:bottom w:val="single" w:color="auto" w:sz="4" w:space="0"/>
              <w:right w:val="single" w:color="auto" w:sz="4" w:space="0"/>
            </w:tcBorders>
            <w:vAlign w:val="center"/>
          </w:tcPr>
          <w:p w14:paraId="1A56A18C">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取得规划部门对工程方案或修规的批复</w:t>
            </w:r>
          </w:p>
        </w:tc>
        <w:tc>
          <w:tcPr>
            <w:tcW w:w="1984" w:type="dxa"/>
            <w:tcBorders>
              <w:top w:val="single" w:color="auto" w:sz="4" w:space="0"/>
              <w:left w:val="single" w:color="auto" w:sz="4" w:space="0"/>
              <w:bottom w:val="single" w:color="auto" w:sz="4" w:space="0"/>
              <w:right w:val="single" w:color="auto" w:sz="4" w:space="0"/>
            </w:tcBorders>
            <w:vAlign w:val="center"/>
          </w:tcPr>
          <w:p w14:paraId="6552FBC2">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基数×15%×A</w:t>
            </w:r>
          </w:p>
        </w:tc>
        <w:tc>
          <w:tcPr>
            <w:tcW w:w="1610" w:type="dxa"/>
            <w:tcBorders>
              <w:top w:val="single" w:color="auto" w:sz="4" w:space="0"/>
              <w:left w:val="single" w:color="auto" w:sz="4" w:space="0"/>
              <w:bottom w:val="single" w:color="auto" w:sz="4" w:space="0"/>
              <w:right w:val="single" w:color="auto" w:sz="4" w:space="0"/>
            </w:tcBorders>
            <w:vAlign w:val="center"/>
          </w:tcPr>
          <w:p w14:paraId="3A5C5D1E">
            <w:pPr>
              <w:adjustRightInd w:val="0"/>
              <w:snapToGrid w:val="0"/>
              <w:jc w:val="center"/>
              <w:rPr>
                <w:rFonts w:hint="eastAsia" w:ascii="仿宋_GB2312" w:hAnsi="宋体" w:eastAsia="仿宋_GB2312"/>
                <w:szCs w:val="21"/>
              </w:rPr>
            </w:pPr>
            <w:r>
              <w:rPr>
                <w:rFonts w:hint="eastAsia" w:ascii="仿宋_GB2312" w:hAnsi="宋体" w:eastAsia="仿宋_GB2312"/>
                <w:szCs w:val="21"/>
              </w:rPr>
              <w:t>按附件一</w:t>
            </w:r>
          </w:p>
        </w:tc>
      </w:tr>
      <w:tr w14:paraId="085A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14:paraId="674C0CB5">
            <w:pPr>
              <w:adjustRightInd w:val="0"/>
              <w:snapToGrid w:val="0"/>
              <w:ind w:firstLine="210" w:firstLineChars="100"/>
              <w:rPr>
                <w:rFonts w:hint="eastAsia" w:ascii="仿宋_GB2312" w:hAnsi="宋体" w:eastAsia="仿宋_GB2312"/>
                <w:szCs w:val="21"/>
              </w:rPr>
            </w:pPr>
            <w:r>
              <w:rPr>
                <w:rFonts w:hint="eastAsia" w:ascii="仿宋_GB2312" w:hAnsi="宋体" w:eastAsia="仿宋_GB2312"/>
                <w:szCs w:val="21"/>
              </w:rPr>
              <w:t>3</w:t>
            </w:r>
          </w:p>
        </w:tc>
        <w:tc>
          <w:tcPr>
            <w:tcW w:w="4136" w:type="dxa"/>
            <w:tcBorders>
              <w:top w:val="single" w:color="auto" w:sz="4" w:space="0"/>
              <w:left w:val="single" w:color="auto" w:sz="4" w:space="0"/>
              <w:bottom w:val="single" w:color="auto" w:sz="4" w:space="0"/>
              <w:right w:val="single" w:color="auto" w:sz="4" w:space="0"/>
            </w:tcBorders>
            <w:vAlign w:val="center"/>
          </w:tcPr>
          <w:p w14:paraId="3AA17B9C">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取得发改部门对初步设计概算的批复</w:t>
            </w:r>
          </w:p>
        </w:tc>
        <w:tc>
          <w:tcPr>
            <w:tcW w:w="1984" w:type="dxa"/>
            <w:tcBorders>
              <w:top w:val="single" w:color="auto" w:sz="4" w:space="0"/>
              <w:left w:val="single" w:color="auto" w:sz="4" w:space="0"/>
              <w:bottom w:val="single" w:color="auto" w:sz="4" w:space="0"/>
              <w:right w:val="single" w:color="auto" w:sz="4" w:space="0"/>
            </w:tcBorders>
            <w:vAlign w:val="center"/>
          </w:tcPr>
          <w:p w14:paraId="3DF39603">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基数×20%×A</w:t>
            </w:r>
          </w:p>
        </w:tc>
        <w:tc>
          <w:tcPr>
            <w:tcW w:w="1610" w:type="dxa"/>
            <w:tcBorders>
              <w:top w:val="single" w:color="auto" w:sz="4" w:space="0"/>
              <w:left w:val="single" w:color="auto" w:sz="4" w:space="0"/>
              <w:bottom w:val="single" w:color="auto" w:sz="4" w:space="0"/>
              <w:right w:val="single" w:color="auto" w:sz="4" w:space="0"/>
            </w:tcBorders>
            <w:vAlign w:val="center"/>
          </w:tcPr>
          <w:p w14:paraId="0AFB2C21">
            <w:pPr>
              <w:adjustRightInd w:val="0"/>
              <w:snapToGrid w:val="0"/>
              <w:jc w:val="center"/>
              <w:rPr>
                <w:rFonts w:hint="eastAsia" w:ascii="仿宋_GB2312" w:hAnsi="宋体" w:eastAsia="仿宋_GB2312"/>
                <w:szCs w:val="21"/>
              </w:rPr>
            </w:pPr>
            <w:r>
              <w:rPr>
                <w:rFonts w:hint="eastAsia" w:ascii="仿宋_GB2312" w:hAnsi="宋体" w:eastAsia="仿宋_GB2312"/>
                <w:szCs w:val="21"/>
              </w:rPr>
              <w:t>按附件二</w:t>
            </w:r>
          </w:p>
        </w:tc>
      </w:tr>
      <w:tr w14:paraId="7D69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14:paraId="1581B98B">
            <w:pPr>
              <w:adjustRightInd w:val="0"/>
              <w:snapToGrid w:val="0"/>
              <w:ind w:firstLine="210" w:firstLineChars="100"/>
              <w:rPr>
                <w:rFonts w:hint="eastAsia" w:ascii="仿宋_GB2312" w:hAnsi="宋体" w:eastAsia="仿宋_GB2312"/>
                <w:szCs w:val="21"/>
              </w:rPr>
            </w:pPr>
            <w:r>
              <w:rPr>
                <w:rFonts w:hint="eastAsia" w:ascii="仿宋_GB2312" w:hAnsi="宋体" w:eastAsia="仿宋_GB2312"/>
                <w:szCs w:val="21"/>
              </w:rPr>
              <w:t>4</w:t>
            </w:r>
          </w:p>
        </w:tc>
        <w:tc>
          <w:tcPr>
            <w:tcW w:w="4136" w:type="dxa"/>
            <w:tcBorders>
              <w:top w:val="single" w:color="auto" w:sz="4" w:space="0"/>
              <w:left w:val="single" w:color="auto" w:sz="4" w:space="0"/>
              <w:bottom w:val="single" w:color="auto" w:sz="4" w:space="0"/>
              <w:right w:val="single" w:color="auto" w:sz="4" w:space="0"/>
            </w:tcBorders>
            <w:vAlign w:val="center"/>
          </w:tcPr>
          <w:p w14:paraId="3F843416">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取得施工图审查合格报告，且完成施工图预算审定（EPC模式），或完成工程量清单编制并确定招标控制价（传统模式）</w:t>
            </w:r>
          </w:p>
        </w:tc>
        <w:tc>
          <w:tcPr>
            <w:tcW w:w="1984" w:type="dxa"/>
            <w:tcBorders>
              <w:top w:val="single" w:color="auto" w:sz="4" w:space="0"/>
              <w:left w:val="single" w:color="auto" w:sz="4" w:space="0"/>
              <w:bottom w:val="single" w:color="auto" w:sz="4" w:space="0"/>
              <w:right w:val="single" w:color="auto" w:sz="4" w:space="0"/>
            </w:tcBorders>
            <w:vAlign w:val="center"/>
          </w:tcPr>
          <w:p w14:paraId="41527664">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基数×20%×A+F</w:t>
            </w:r>
          </w:p>
        </w:tc>
        <w:tc>
          <w:tcPr>
            <w:tcW w:w="1610" w:type="dxa"/>
            <w:tcBorders>
              <w:top w:val="single" w:color="auto" w:sz="4" w:space="0"/>
              <w:left w:val="single" w:color="auto" w:sz="4" w:space="0"/>
              <w:bottom w:val="single" w:color="auto" w:sz="4" w:space="0"/>
              <w:right w:val="single" w:color="auto" w:sz="4" w:space="0"/>
            </w:tcBorders>
            <w:vAlign w:val="center"/>
          </w:tcPr>
          <w:p w14:paraId="6F47B01F">
            <w:pPr>
              <w:adjustRightInd w:val="0"/>
              <w:snapToGrid w:val="0"/>
              <w:jc w:val="center"/>
              <w:rPr>
                <w:rFonts w:hint="eastAsia" w:ascii="仿宋_GB2312" w:hAnsi="宋体" w:eastAsia="仿宋_GB2312"/>
                <w:szCs w:val="21"/>
              </w:rPr>
            </w:pPr>
            <w:r>
              <w:rPr>
                <w:rFonts w:hint="eastAsia" w:ascii="仿宋_GB2312" w:hAnsi="宋体" w:eastAsia="仿宋_GB2312"/>
                <w:szCs w:val="21"/>
              </w:rPr>
              <w:t>按附件三</w:t>
            </w:r>
          </w:p>
        </w:tc>
      </w:tr>
      <w:tr w14:paraId="2AF2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14:paraId="5DCC7B3C">
            <w:pPr>
              <w:adjustRightInd w:val="0"/>
              <w:snapToGrid w:val="0"/>
              <w:ind w:firstLine="210" w:firstLineChars="100"/>
              <w:rPr>
                <w:rFonts w:hint="eastAsia" w:ascii="仿宋_GB2312" w:hAnsi="宋体" w:eastAsia="仿宋_GB2312"/>
                <w:szCs w:val="21"/>
              </w:rPr>
            </w:pPr>
            <w:r>
              <w:rPr>
                <w:rFonts w:hint="eastAsia" w:ascii="仿宋_GB2312" w:hAnsi="宋体" w:eastAsia="仿宋_GB2312"/>
                <w:szCs w:val="21"/>
              </w:rPr>
              <w:t>5</w:t>
            </w:r>
          </w:p>
        </w:tc>
        <w:tc>
          <w:tcPr>
            <w:tcW w:w="4136" w:type="dxa"/>
            <w:tcBorders>
              <w:top w:val="single" w:color="auto" w:sz="4" w:space="0"/>
              <w:left w:val="single" w:color="auto" w:sz="4" w:space="0"/>
              <w:bottom w:val="single" w:color="auto" w:sz="4" w:space="0"/>
              <w:right w:val="single" w:color="auto" w:sz="4" w:space="0"/>
            </w:tcBorders>
            <w:vAlign w:val="center"/>
          </w:tcPr>
          <w:p w14:paraId="4D86E916">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向城建档案管理部门移交全套工程资料并取得相关证明，并完成所有设计变更审批手续</w:t>
            </w:r>
          </w:p>
        </w:tc>
        <w:tc>
          <w:tcPr>
            <w:tcW w:w="1984" w:type="dxa"/>
            <w:tcBorders>
              <w:top w:val="single" w:color="auto" w:sz="4" w:space="0"/>
              <w:left w:val="single" w:color="auto" w:sz="4" w:space="0"/>
              <w:bottom w:val="single" w:color="auto" w:sz="4" w:space="0"/>
              <w:right w:val="single" w:color="auto" w:sz="4" w:space="0"/>
            </w:tcBorders>
            <w:vAlign w:val="center"/>
          </w:tcPr>
          <w:p w14:paraId="1E95DDCF">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基数×20%×B</w:t>
            </w:r>
          </w:p>
        </w:tc>
        <w:tc>
          <w:tcPr>
            <w:tcW w:w="1610" w:type="dxa"/>
            <w:tcBorders>
              <w:top w:val="single" w:color="auto" w:sz="4" w:space="0"/>
              <w:left w:val="single" w:color="auto" w:sz="4" w:space="0"/>
              <w:bottom w:val="single" w:color="auto" w:sz="4" w:space="0"/>
              <w:right w:val="single" w:color="auto" w:sz="4" w:space="0"/>
            </w:tcBorders>
            <w:vAlign w:val="center"/>
          </w:tcPr>
          <w:p w14:paraId="5A4508FF">
            <w:pPr>
              <w:adjustRightInd w:val="0"/>
              <w:snapToGrid w:val="0"/>
              <w:jc w:val="center"/>
              <w:rPr>
                <w:rFonts w:hint="eastAsia" w:ascii="仿宋_GB2312" w:hAnsi="宋体" w:eastAsia="仿宋_GB2312"/>
                <w:szCs w:val="21"/>
              </w:rPr>
            </w:pPr>
            <w:r>
              <w:rPr>
                <w:rFonts w:hint="eastAsia" w:ascii="仿宋_GB2312" w:hAnsi="宋体" w:eastAsia="仿宋_GB2312"/>
                <w:szCs w:val="21"/>
              </w:rPr>
              <w:t>按附件四</w:t>
            </w:r>
          </w:p>
        </w:tc>
      </w:tr>
      <w:tr w14:paraId="21CD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14:paraId="7BBFDA03">
            <w:pPr>
              <w:adjustRightInd w:val="0"/>
              <w:snapToGrid w:val="0"/>
              <w:ind w:firstLine="210" w:firstLineChars="100"/>
              <w:rPr>
                <w:rFonts w:hint="eastAsia" w:ascii="仿宋_GB2312" w:hAnsi="宋体" w:eastAsia="仿宋_GB2312"/>
                <w:szCs w:val="21"/>
              </w:rPr>
            </w:pPr>
            <w:r>
              <w:rPr>
                <w:rFonts w:hint="eastAsia" w:ascii="仿宋_GB2312" w:hAnsi="宋体" w:eastAsia="仿宋_GB2312"/>
                <w:szCs w:val="21"/>
              </w:rPr>
              <w:t>6</w:t>
            </w:r>
          </w:p>
        </w:tc>
        <w:tc>
          <w:tcPr>
            <w:tcW w:w="4136" w:type="dxa"/>
            <w:tcBorders>
              <w:top w:val="single" w:color="auto" w:sz="4" w:space="0"/>
              <w:left w:val="single" w:color="auto" w:sz="4" w:space="0"/>
              <w:bottom w:val="single" w:color="auto" w:sz="4" w:space="0"/>
              <w:right w:val="single" w:color="auto" w:sz="4" w:space="0"/>
            </w:tcBorders>
            <w:vAlign w:val="center"/>
          </w:tcPr>
          <w:p w14:paraId="32B26D0A">
            <w:pPr>
              <w:adjustRightInd w:val="0"/>
              <w:snapToGrid w:val="0"/>
              <w:ind w:firstLine="549"/>
              <w:jc w:val="center"/>
              <w:rPr>
                <w:rFonts w:hint="eastAsia" w:ascii="仿宋_GB2312" w:hAnsi="宋体" w:eastAsia="仿宋_GB2312"/>
                <w:szCs w:val="21"/>
                <w:lang w:eastAsia="zh-CN"/>
              </w:rPr>
            </w:pPr>
            <w:r>
              <w:rPr>
                <w:rFonts w:hint="eastAsia" w:ascii="仿宋_GB2312" w:hAnsi="宋体" w:eastAsia="仿宋_GB2312"/>
                <w:szCs w:val="21"/>
                <w:lang w:eastAsia="zh-CN"/>
              </w:rPr>
              <w:t>项目完成竣工验收交付使用，设计单位完成全部竣工图交付义务，并经甲方、监理单位共同确认后</w:t>
            </w:r>
          </w:p>
        </w:tc>
        <w:tc>
          <w:tcPr>
            <w:tcW w:w="1984" w:type="dxa"/>
            <w:tcBorders>
              <w:top w:val="single" w:color="auto" w:sz="4" w:space="0"/>
              <w:left w:val="single" w:color="auto" w:sz="4" w:space="0"/>
              <w:bottom w:val="single" w:color="auto" w:sz="4" w:space="0"/>
              <w:right w:val="single" w:color="auto" w:sz="4" w:space="0"/>
            </w:tcBorders>
            <w:vAlign w:val="center"/>
          </w:tcPr>
          <w:p w14:paraId="69FD5247">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基数×1</w:t>
            </w:r>
            <w:r>
              <w:rPr>
                <w:rFonts w:hint="eastAsia" w:ascii="仿宋_GB2312" w:hAnsi="宋体" w:eastAsia="仿宋_GB2312"/>
                <w:szCs w:val="21"/>
                <w:lang w:val="en-US" w:eastAsia="zh-CN"/>
              </w:rPr>
              <w:t>2</w:t>
            </w:r>
            <w:r>
              <w:rPr>
                <w:rFonts w:hint="eastAsia" w:ascii="仿宋_GB2312" w:hAnsi="宋体" w:eastAsia="仿宋_GB2312"/>
                <w:szCs w:val="21"/>
              </w:rPr>
              <w:t>%或按省政府财政部门审定应付金额</w:t>
            </w:r>
          </w:p>
        </w:tc>
        <w:tc>
          <w:tcPr>
            <w:tcW w:w="1610" w:type="dxa"/>
            <w:tcBorders>
              <w:top w:val="single" w:color="auto" w:sz="4" w:space="0"/>
              <w:left w:val="single" w:color="auto" w:sz="4" w:space="0"/>
              <w:bottom w:val="single" w:color="auto" w:sz="4" w:space="0"/>
              <w:right w:val="single" w:color="auto" w:sz="4" w:space="0"/>
            </w:tcBorders>
            <w:vAlign w:val="center"/>
          </w:tcPr>
          <w:p w14:paraId="28744278">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w:t>
            </w:r>
          </w:p>
        </w:tc>
      </w:tr>
      <w:tr w14:paraId="2DDB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vAlign w:val="center"/>
          </w:tcPr>
          <w:p w14:paraId="0AAB8B34">
            <w:pPr>
              <w:adjustRightInd w:val="0"/>
              <w:snapToGrid w:val="0"/>
              <w:ind w:firstLine="210" w:firstLineChars="100"/>
              <w:rPr>
                <w:rFonts w:hint="eastAsia" w:ascii="仿宋_GB2312" w:hAnsi="宋体" w:eastAsia="仿宋_GB2312"/>
                <w:szCs w:val="21"/>
              </w:rPr>
            </w:pPr>
            <w:r>
              <w:rPr>
                <w:rFonts w:hint="eastAsia" w:ascii="仿宋_GB2312" w:hAnsi="宋体" w:eastAsia="仿宋_GB2312"/>
                <w:szCs w:val="21"/>
              </w:rPr>
              <w:t>7</w:t>
            </w:r>
          </w:p>
        </w:tc>
        <w:tc>
          <w:tcPr>
            <w:tcW w:w="4136" w:type="dxa"/>
            <w:tcBorders>
              <w:top w:val="single" w:color="auto" w:sz="4" w:space="0"/>
              <w:left w:val="single" w:color="auto" w:sz="4" w:space="0"/>
              <w:bottom w:val="single" w:color="auto" w:sz="4" w:space="0"/>
              <w:right w:val="single" w:color="auto" w:sz="4" w:space="0"/>
            </w:tcBorders>
            <w:vAlign w:val="center"/>
          </w:tcPr>
          <w:p w14:paraId="51584C60">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lang w:eastAsia="zh-CN"/>
              </w:rPr>
              <w:t>项目财务决算</w:t>
            </w:r>
          </w:p>
        </w:tc>
        <w:tc>
          <w:tcPr>
            <w:tcW w:w="1984" w:type="dxa"/>
            <w:tcBorders>
              <w:top w:val="single" w:color="auto" w:sz="4" w:space="0"/>
              <w:left w:val="single" w:color="auto" w:sz="4" w:space="0"/>
              <w:bottom w:val="single" w:color="auto" w:sz="4" w:space="0"/>
              <w:right w:val="single" w:color="auto" w:sz="4" w:space="0"/>
            </w:tcBorders>
            <w:vAlign w:val="center"/>
          </w:tcPr>
          <w:p w14:paraId="44A1A61B">
            <w:pPr>
              <w:adjustRightInd w:val="0"/>
              <w:snapToGrid w:val="0"/>
              <w:ind w:firstLine="549"/>
              <w:jc w:val="center"/>
              <w:rPr>
                <w:rFonts w:hint="eastAsia" w:ascii="仿宋_GB2312" w:hAnsi="宋体" w:eastAsia="仿宋_GB2312"/>
                <w:szCs w:val="21"/>
              </w:rPr>
            </w:pPr>
            <w:r>
              <w:rPr>
                <w:rFonts w:hint="eastAsia" w:ascii="仿宋_GB2312" w:hAnsi="宋体" w:eastAsia="仿宋_GB2312"/>
                <w:szCs w:val="21"/>
              </w:rPr>
              <w:t>基数×</w:t>
            </w:r>
            <w:r>
              <w:rPr>
                <w:rFonts w:hint="eastAsia" w:ascii="仿宋_GB2312" w:hAnsi="宋体" w:eastAsia="仿宋_GB2312"/>
                <w:szCs w:val="21"/>
                <w:lang w:val="en-US" w:eastAsia="zh-CN"/>
              </w:rPr>
              <w:t>3</w:t>
            </w:r>
            <w:r>
              <w:rPr>
                <w:rFonts w:hint="eastAsia" w:ascii="仿宋_GB2312" w:hAnsi="宋体" w:eastAsia="仿宋_GB2312"/>
                <w:szCs w:val="21"/>
              </w:rPr>
              <w:t>%×C</w:t>
            </w:r>
          </w:p>
        </w:tc>
        <w:tc>
          <w:tcPr>
            <w:tcW w:w="1610" w:type="dxa"/>
            <w:tcBorders>
              <w:top w:val="single" w:color="auto" w:sz="4" w:space="0"/>
              <w:left w:val="single" w:color="auto" w:sz="4" w:space="0"/>
              <w:bottom w:val="single" w:color="auto" w:sz="4" w:space="0"/>
              <w:right w:val="single" w:color="auto" w:sz="4" w:space="0"/>
            </w:tcBorders>
            <w:vAlign w:val="center"/>
          </w:tcPr>
          <w:p w14:paraId="5AB1F87D">
            <w:pPr>
              <w:adjustRightInd w:val="0"/>
              <w:snapToGrid w:val="0"/>
              <w:jc w:val="center"/>
              <w:rPr>
                <w:rFonts w:hint="eastAsia" w:ascii="仿宋_GB2312" w:hAnsi="宋体" w:eastAsia="仿宋_GB2312"/>
                <w:szCs w:val="21"/>
              </w:rPr>
            </w:pPr>
            <w:r>
              <w:rPr>
                <w:rFonts w:hint="eastAsia" w:ascii="仿宋_GB2312" w:hAnsi="宋体" w:eastAsia="仿宋_GB2312"/>
                <w:szCs w:val="21"/>
              </w:rPr>
              <w:t>按附件五</w:t>
            </w:r>
          </w:p>
        </w:tc>
      </w:tr>
    </w:tbl>
    <w:p w14:paraId="17855D69">
      <w:pPr>
        <w:pStyle w:val="359"/>
        <w:rPr>
          <w:rFonts w:hint="eastAsia" w:ascii="宋体" w:hAnsi="宋体" w:eastAsia="宋体"/>
          <w:b w:val="0"/>
          <w:lang w:eastAsia="zh-CN"/>
        </w:rPr>
      </w:pPr>
      <w:r>
        <w:rPr>
          <w:rFonts w:hint="eastAsia" w:ascii="宋体" w:hAnsi="宋体"/>
          <w:b w:val="0"/>
          <w:lang w:eastAsia="zh-Hans"/>
        </w:rPr>
        <w:t>设计</w:t>
      </w:r>
      <w:r>
        <w:rPr>
          <w:rFonts w:hint="eastAsia" w:ascii="宋体" w:hAnsi="宋体" w:eastAsia="宋体"/>
          <w:b w:val="0"/>
          <w:lang w:eastAsia="zh-CN"/>
        </w:rPr>
        <w:t>费</w:t>
      </w:r>
      <w:r>
        <w:rPr>
          <w:rFonts w:hint="eastAsia" w:ascii="宋体" w:hAnsi="宋体" w:eastAsia="宋体"/>
          <w:b w:val="0"/>
          <w:sz w:val="24"/>
          <w:szCs w:val="24"/>
        </w:rPr>
        <w:t>支付条件</w:t>
      </w:r>
      <w:r>
        <w:rPr>
          <w:rFonts w:hint="eastAsia" w:ascii="宋体" w:hAnsi="宋体" w:eastAsia="宋体"/>
          <w:b w:val="0"/>
          <w:sz w:val="24"/>
          <w:szCs w:val="24"/>
          <w:lang w:eastAsia="zh-CN"/>
        </w:rPr>
        <w:t>及金额与</w:t>
      </w:r>
      <w:r>
        <w:rPr>
          <w:rFonts w:hint="eastAsia" w:ascii="宋体" w:hAnsi="宋体"/>
          <w:b w:val="0"/>
          <w:lang w:eastAsia="zh-Hans"/>
        </w:rPr>
        <w:t>《</w:t>
      </w:r>
      <w:r>
        <w:rPr>
          <w:rFonts w:hint="eastAsia" w:ascii="宋体" w:hAnsi="宋体"/>
          <w:b w:val="0"/>
        </w:rPr>
        <w:t>省代建局直接管理项目设计单位履约评价实施细则</w:t>
      </w:r>
      <w:r>
        <w:rPr>
          <w:rFonts w:hint="eastAsia" w:ascii="宋体" w:hAnsi="宋体"/>
          <w:b w:val="0"/>
          <w:lang w:eastAsia="zh-Hans"/>
        </w:rPr>
        <w:t>》</w:t>
      </w:r>
      <w:r>
        <w:rPr>
          <w:rFonts w:hint="eastAsia" w:ascii="宋体" w:hAnsi="宋体"/>
          <w:b w:val="0"/>
          <w:lang w:eastAsia="zh-CN"/>
        </w:rPr>
        <w:t>不一致之处，以上述表格内容为准。</w:t>
      </w:r>
    </w:p>
    <w:p w14:paraId="32C58CC8">
      <w:pPr>
        <w:pStyle w:val="359"/>
        <w:rPr>
          <w:b w:val="0"/>
          <w:lang w:eastAsia="zh-Hans"/>
        </w:rPr>
      </w:pPr>
      <w:r>
        <w:rPr>
          <w:rFonts w:hint="eastAsia"/>
          <w:b w:val="0"/>
          <w:lang w:eastAsia="zh-Hans"/>
        </w:rPr>
        <w:t>注</w:t>
      </w:r>
      <w:r>
        <w:rPr>
          <w:b w:val="0"/>
          <w:lang w:eastAsia="zh-Hans"/>
        </w:rPr>
        <w:t>:</w:t>
      </w:r>
    </w:p>
    <w:p w14:paraId="7171B666">
      <w:pPr>
        <w:pStyle w:val="359"/>
        <w:rPr>
          <w:b w:val="0"/>
          <w:lang w:eastAsia="zh-Hans"/>
        </w:rPr>
      </w:pPr>
      <w:r>
        <w:rPr>
          <w:rFonts w:hint="eastAsia"/>
          <w:b w:val="0"/>
          <w:lang w:eastAsia="zh-Hans"/>
        </w:rPr>
        <w:t>①基数为合同设计费总额（不含</w:t>
      </w:r>
      <w:r>
        <w:rPr>
          <w:b w:val="0"/>
          <w:lang w:eastAsia="zh-Hans"/>
        </w:rPr>
        <w:t>BIM</w:t>
      </w:r>
      <w:r>
        <w:rPr>
          <w:rFonts w:hint="eastAsia"/>
          <w:b w:val="0"/>
          <w:lang w:eastAsia="zh-Hans"/>
        </w:rPr>
        <w:t>设计费、竣工图编制费、投标经济补偿费部分）。</w:t>
      </w:r>
    </w:p>
    <w:p w14:paraId="0FD9A0E6">
      <w:pPr>
        <w:pStyle w:val="359"/>
        <w:rPr>
          <w:b w:val="0"/>
          <w:lang w:eastAsia="zh-Hans"/>
        </w:rPr>
      </w:pPr>
      <w:r>
        <w:rPr>
          <w:rFonts w:hint="eastAsia"/>
          <w:b w:val="0"/>
          <w:lang w:eastAsia="zh-Hans"/>
        </w:rPr>
        <w:t>②</w:t>
      </w:r>
      <w:r>
        <w:rPr>
          <w:b w:val="0"/>
          <w:lang w:eastAsia="zh-Hans"/>
        </w:rPr>
        <w:t>A</w:t>
      </w:r>
      <w:r>
        <w:rPr>
          <w:rFonts w:hint="eastAsia"/>
          <w:b w:val="0"/>
          <w:lang w:eastAsia="zh-Hans"/>
        </w:rPr>
        <w:t>为设计阶段合同履约评价得分对应的暂付设计费支付比例。</w:t>
      </w:r>
    </w:p>
    <w:p w14:paraId="7ED4E350">
      <w:pPr>
        <w:pStyle w:val="359"/>
        <w:rPr>
          <w:b w:val="0"/>
          <w:lang w:eastAsia="zh-Hans"/>
        </w:rPr>
      </w:pPr>
      <w:r>
        <w:rPr>
          <w:rFonts w:hint="eastAsia"/>
          <w:b w:val="0"/>
          <w:lang w:eastAsia="zh-Hans"/>
        </w:rPr>
        <w:t>③</w:t>
      </w:r>
      <w:r>
        <w:rPr>
          <w:b w:val="0"/>
          <w:lang w:eastAsia="zh-Hans"/>
        </w:rPr>
        <w:t>F</w:t>
      </w:r>
      <w:r>
        <w:rPr>
          <w:rFonts w:hint="eastAsia"/>
          <w:b w:val="0"/>
          <w:lang w:eastAsia="zh-Hans"/>
        </w:rPr>
        <w:t>为设计阶段合同履约评价综合得分对应的暂付设计费余额应返还金额。暂付设计费余额为设计阶段全额设计费与该阶段暂付设计费的差额。</w:t>
      </w:r>
    </w:p>
    <w:p w14:paraId="508E76E3">
      <w:pPr>
        <w:pStyle w:val="359"/>
        <w:rPr>
          <w:b w:val="0"/>
          <w:lang w:eastAsia="zh-Hans"/>
        </w:rPr>
      </w:pPr>
      <w:r>
        <w:rPr>
          <w:rFonts w:hint="eastAsia"/>
          <w:b w:val="0"/>
          <w:lang w:eastAsia="zh-Hans"/>
        </w:rPr>
        <w:t>④</w:t>
      </w:r>
      <w:r>
        <w:rPr>
          <w:b w:val="0"/>
          <w:lang w:eastAsia="zh-Hans"/>
        </w:rPr>
        <w:t>B</w:t>
      </w:r>
      <w:r>
        <w:rPr>
          <w:rFonts w:hint="eastAsia"/>
          <w:b w:val="0"/>
          <w:lang w:eastAsia="zh-Hans"/>
        </w:rPr>
        <w:t>为施工阶段合同履约评价综合得分对应的设计费支付比例。</w:t>
      </w:r>
    </w:p>
    <w:p w14:paraId="194616AE">
      <w:pPr>
        <w:pStyle w:val="359"/>
        <w:rPr>
          <w:b w:val="0"/>
          <w:lang w:eastAsia="zh-Hans"/>
        </w:rPr>
      </w:pPr>
      <w:r>
        <w:rPr>
          <w:rFonts w:hint="eastAsia"/>
          <w:b w:val="0"/>
          <w:lang w:eastAsia="zh-Hans"/>
        </w:rPr>
        <w:t>⑤</w:t>
      </w:r>
      <w:r>
        <w:rPr>
          <w:b w:val="0"/>
          <w:lang w:eastAsia="zh-Hans"/>
        </w:rPr>
        <w:t>C</w:t>
      </w:r>
      <w:r>
        <w:rPr>
          <w:rFonts w:hint="eastAsia"/>
          <w:b w:val="0"/>
          <w:lang w:eastAsia="zh-Hans"/>
        </w:rPr>
        <w:t>为缺陷责任期阶段合同履约评价综合得分对应的设计费支付比例。</w:t>
      </w:r>
    </w:p>
    <w:p w14:paraId="032DE3BA">
      <w:pPr>
        <w:pStyle w:val="359"/>
        <w:rPr>
          <w:b w:val="0"/>
          <w:lang w:eastAsia="zh-Hans"/>
        </w:rPr>
      </w:pPr>
      <w:r>
        <w:rPr>
          <w:rFonts w:hint="eastAsia"/>
          <w:b w:val="0"/>
          <w:lang w:eastAsia="zh-Hans"/>
        </w:rPr>
        <w:t>具体详见《</w:t>
      </w:r>
      <w:r>
        <w:rPr>
          <w:rFonts w:hint="eastAsia" w:ascii="宋体" w:hAnsi="宋体"/>
          <w:b w:val="0"/>
          <w:lang w:eastAsia="zh-Hans"/>
        </w:rPr>
        <w:t>附件1</w:t>
      </w:r>
      <w:r>
        <w:rPr>
          <w:rFonts w:hint="eastAsia" w:ascii="宋体" w:hAnsi="宋体"/>
          <w:b w:val="0"/>
        </w:rPr>
        <w:t>3：省代建局直接管理项目设计单位履约评价实施细则</w:t>
      </w:r>
      <w:r>
        <w:rPr>
          <w:rFonts w:hint="eastAsia"/>
          <w:b w:val="0"/>
          <w:lang w:eastAsia="zh-Hans"/>
        </w:rPr>
        <w:t>》。</w:t>
      </w:r>
    </w:p>
    <w:p w14:paraId="2125BF62">
      <w:pPr>
        <w:pStyle w:val="359"/>
        <w:ind w:firstLine="472"/>
        <w:rPr>
          <w:b w:val="0"/>
          <w:lang w:eastAsia="zh-Hans"/>
        </w:rPr>
      </w:pPr>
    </w:p>
    <w:p w14:paraId="6FA1F41A">
      <w:pPr>
        <w:pStyle w:val="14"/>
        <w:spacing w:line="360" w:lineRule="auto"/>
        <w:ind w:firstLine="480" w:firstLineChars="200"/>
        <w:jc w:val="left"/>
        <w:rPr>
          <w:rFonts w:hAnsi="宋体"/>
          <w:bCs/>
          <w:sz w:val="24"/>
          <w:szCs w:val="24"/>
        </w:rPr>
      </w:pPr>
      <w:bookmarkStart w:id="177" w:name="OLE_LINK2"/>
      <w:r>
        <w:rPr>
          <w:rFonts w:hint="eastAsia" w:hAnsi="宋体"/>
          <w:kern w:val="2"/>
          <w:sz w:val="24"/>
          <w:szCs w:val="24"/>
        </w:rPr>
        <w:t>10.4.3  BIM成果提交时间和支付条款</w:t>
      </w:r>
      <w:r>
        <w:rPr>
          <w:rFonts w:hint="eastAsia" w:hAnsi="宋体"/>
          <w:bCs/>
          <w:sz w:val="24"/>
          <w:szCs w:val="24"/>
        </w:rPr>
        <w:t xml:space="preserve"> </w:t>
      </w:r>
      <w:bookmarkEnd w:id="177"/>
    </w:p>
    <w:tbl>
      <w:tblPr>
        <w:tblStyle w:val="54"/>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388"/>
        <w:gridCol w:w="3033"/>
        <w:gridCol w:w="1644"/>
        <w:gridCol w:w="642"/>
      </w:tblGrid>
      <w:tr w14:paraId="642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jc w:val="center"/>
        </w:trPr>
        <w:tc>
          <w:tcPr>
            <w:tcW w:w="1760" w:type="dxa"/>
            <w:tcBorders>
              <w:top w:val="single" w:color="auto" w:sz="4" w:space="0"/>
              <w:left w:val="single" w:color="auto" w:sz="4" w:space="0"/>
              <w:bottom w:val="single" w:color="auto" w:sz="4" w:space="0"/>
              <w:right w:val="single" w:color="auto" w:sz="4" w:space="0"/>
            </w:tcBorders>
            <w:vAlign w:val="center"/>
          </w:tcPr>
          <w:p w14:paraId="302349E4">
            <w:pPr>
              <w:widowControl/>
              <w:topLinePunct/>
              <w:adjustRightInd w:val="0"/>
              <w:snapToGrid w:val="0"/>
              <w:spacing w:after="156" w:afterLines="50"/>
              <w:jc w:val="center"/>
              <w:rPr>
                <w:rFonts w:ascii="仿宋_GB2312" w:hAnsi="仿宋" w:eastAsia="仿宋_GB2312" w:cs="仿宋"/>
                <w:kern w:val="0"/>
                <w:szCs w:val="21"/>
              </w:rPr>
            </w:pPr>
            <w:r>
              <w:rPr>
                <w:rFonts w:hint="eastAsia" w:ascii="仿宋_GB2312" w:hAnsi="仿宋" w:eastAsia="仿宋_GB2312" w:cs="仿宋"/>
                <w:kern w:val="0"/>
                <w:szCs w:val="21"/>
              </w:rPr>
              <w:t>设计阶段</w:t>
            </w:r>
          </w:p>
        </w:tc>
        <w:tc>
          <w:tcPr>
            <w:tcW w:w="2390" w:type="dxa"/>
            <w:tcBorders>
              <w:top w:val="single" w:color="auto" w:sz="4" w:space="0"/>
              <w:left w:val="single" w:color="auto" w:sz="4" w:space="0"/>
              <w:bottom w:val="single" w:color="auto" w:sz="4" w:space="0"/>
              <w:right w:val="single" w:color="auto" w:sz="4" w:space="0"/>
            </w:tcBorders>
            <w:vAlign w:val="center"/>
          </w:tcPr>
          <w:p w14:paraId="16E5983D">
            <w:pPr>
              <w:widowControl/>
              <w:topLinePunct/>
              <w:adjustRightInd w:val="0"/>
              <w:snapToGrid w:val="0"/>
              <w:spacing w:after="156" w:afterLines="50"/>
              <w:jc w:val="center"/>
              <w:rPr>
                <w:rFonts w:ascii="仿宋_GB2312" w:hAnsi="仿宋" w:eastAsia="仿宋_GB2312" w:cs="仿宋"/>
                <w:kern w:val="0"/>
                <w:szCs w:val="21"/>
              </w:rPr>
            </w:pPr>
            <w:r>
              <w:rPr>
                <w:rFonts w:hint="eastAsia" w:ascii="仿宋_GB2312" w:hAnsi="仿宋" w:eastAsia="仿宋_GB2312" w:cs="仿宋"/>
                <w:kern w:val="0"/>
                <w:szCs w:val="21"/>
              </w:rPr>
              <w:t>设计BIM关键节点</w:t>
            </w:r>
          </w:p>
        </w:tc>
        <w:tc>
          <w:tcPr>
            <w:tcW w:w="3035" w:type="dxa"/>
            <w:tcBorders>
              <w:top w:val="single" w:color="auto" w:sz="4" w:space="0"/>
              <w:left w:val="single" w:color="auto" w:sz="4" w:space="0"/>
              <w:bottom w:val="single" w:color="auto" w:sz="4" w:space="0"/>
              <w:right w:val="single" w:color="auto" w:sz="4" w:space="0"/>
            </w:tcBorders>
            <w:vAlign w:val="center"/>
          </w:tcPr>
          <w:p w14:paraId="5624EEA7">
            <w:pPr>
              <w:widowControl/>
              <w:topLinePunct/>
              <w:adjustRightInd w:val="0"/>
              <w:snapToGrid w:val="0"/>
              <w:spacing w:after="156" w:afterLines="50"/>
              <w:jc w:val="center"/>
              <w:rPr>
                <w:rFonts w:ascii="仿宋_GB2312" w:hAnsi="仿宋" w:eastAsia="仿宋_GB2312" w:cs="仿宋"/>
                <w:kern w:val="0"/>
                <w:szCs w:val="21"/>
              </w:rPr>
            </w:pPr>
            <w:r>
              <w:rPr>
                <w:rFonts w:hint="eastAsia" w:ascii="仿宋_GB2312" w:hAnsi="仿宋" w:eastAsia="仿宋_GB2312" w:cs="仿宋"/>
                <w:kern w:val="0"/>
                <w:szCs w:val="21"/>
              </w:rPr>
              <w:t>具体BIM成果内容</w:t>
            </w:r>
          </w:p>
        </w:tc>
        <w:tc>
          <w:tcPr>
            <w:tcW w:w="1645" w:type="dxa"/>
            <w:tcBorders>
              <w:top w:val="single" w:color="auto" w:sz="4" w:space="0"/>
              <w:left w:val="single" w:color="auto" w:sz="4" w:space="0"/>
              <w:bottom w:val="single" w:color="auto" w:sz="4" w:space="0"/>
              <w:right w:val="single" w:color="auto" w:sz="4" w:space="0"/>
            </w:tcBorders>
            <w:vAlign w:val="center"/>
          </w:tcPr>
          <w:p w14:paraId="077C0C4F">
            <w:pPr>
              <w:widowControl/>
              <w:topLinePunct/>
              <w:adjustRightInd w:val="0"/>
              <w:snapToGrid w:val="0"/>
              <w:spacing w:after="156" w:afterLines="50"/>
              <w:jc w:val="center"/>
              <w:rPr>
                <w:rFonts w:ascii="仿宋_GB2312" w:hAnsi="仿宋" w:eastAsia="仿宋_GB2312" w:cs="仿宋"/>
                <w:kern w:val="0"/>
                <w:szCs w:val="21"/>
              </w:rPr>
            </w:pPr>
            <w:r>
              <w:rPr>
                <w:rFonts w:hint="eastAsia" w:ascii="仿宋_GB2312" w:hAnsi="仿宋" w:eastAsia="仿宋_GB2312" w:cs="仿宋"/>
                <w:kern w:val="0"/>
                <w:szCs w:val="21"/>
              </w:rPr>
              <w:t>BIM成果</w:t>
            </w:r>
          </w:p>
          <w:p w14:paraId="7AB7CBBD">
            <w:pPr>
              <w:widowControl/>
              <w:topLinePunct/>
              <w:adjustRightInd w:val="0"/>
              <w:snapToGrid w:val="0"/>
              <w:spacing w:after="156" w:afterLines="50"/>
              <w:jc w:val="center"/>
              <w:rPr>
                <w:rFonts w:ascii="仿宋_GB2312" w:hAnsi="仿宋" w:eastAsia="仿宋_GB2312" w:cs="仿宋"/>
                <w:kern w:val="0"/>
                <w:szCs w:val="21"/>
              </w:rPr>
            </w:pPr>
            <w:r>
              <w:rPr>
                <w:rFonts w:hint="eastAsia" w:ascii="仿宋_GB2312" w:hAnsi="仿宋" w:eastAsia="仿宋_GB2312" w:cs="仿宋"/>
                <w:kern w:val="0"/>
                <w:szCs w:val="21"/>
              </w:rPr>
              <w:t>时间要求</w:t>
            </w:r>
          </w:p>
        </w:tc>
        <w:tc>
          <w:tcPr>
            <w:tcW w:w="642" w:type="dxa"/>
            <w:tcBorders>
              <w:top w:val="single" w:color="auto" w:sz="4" w:space="0"/>
              <w:left w:val="single" w:color="auto" w:sz="4" w:space="0"/>
              <w:bottom w:val="single" w:color="auto" w:sz="4" w:space="0"/>
              <w:right w:val="single" w:color="auto" w:sz="4" w:space="0"/>
            </w:tcBorders>
          </w:tcPr>
          <w:p w14:paraId="5C4D01BA">
            <w:pPr>
              <w:widowControl/>
              <w:wordWrap w:val="0"/>
              <w:topLinePunct/>
              <w:adjustRightInd w:val="0"/>
              <w:snapToGrid w:val="0"/>
              <w:spacing w:after="156" w:afterLines="50"/>
              <w:jc w:val="center"/>
              <w:rPr>
                <w:rFonts w:ascii="仿宋_GB2312" w:hAnsi="仿宋" w:eastAsia="仿宋_GB2312" w:cs="仿宋"/>
                <w:kern w:val="0"/>
                <w:szCs w:val="21"/>
              </w:rPr>
            </w:pPr>
            <w:r>
              <w:rPr>
                <w:rFonts w:hint="eastAsia" w:ascii="仿宋_GB2312" w:hAnsi="仿宋" w:eastAsia="仿宋_GB2312" w:cs="仿宋"/>
                <w:kern w:val="0"/>
                <w:szCs w:val="21"/>
              </w:rPr>
              <w:t>比例</w:t>
            </w:r>
          </w:p>
        </w:tc>
      </w:tr>
      <w:tr w14:paraId="1101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14:paraId="6FD8DFC9">
            <w:pPr>
              <w:widowControl/>
              <w:topLinePunct/>
              <w:adjustRightInd w:val="0"/>
              <w:snapToGrid w:val="0"/>
              <w:spacing w:after="156" w:afterLines="50"/>
              <w:jc w:val="center"/>
              <w:rPr>
                <w:rFonts w:ascii="仿宋_GB2312" w:hAnsi="仿宋" w:eastAsia="仿宋_GB2312" w:cs="仿宋"/>
                <w:kern w:val="0"/>
                <w:szCs w:val="21"/>
              </w:rPr>
            </w:pPr>
            <w:r>
              <w:rPr>
                <w:rFonts w:hint="eastAsia" w:ascii="仿宋_GB2312" w:hAnsi="仿宋" w:eastAsia="仿宋_GB2312" w:cs="仿宋"/>
                <w:kern w:val="0"/>
                <w:szCs w:val="21"/>
              </w:rPr>
              <w:t>设计阶段</w:t>
            </w:r>
          </w:p>
          <w:p w14:paraId="486E9C57">
            <w:pPr>
              <w:widowControl/>
              <w:wordWrap w:val="0"/>
              <w:topLinePunct/>
              <w:adjustRightInd w:val="0"/>
              <w:snapToGrid w:val="0"/>
              <w:spacing w:after="156" w:afterLines="50"/>
              <w:jc w:val="center"/>
              <w:rPr>
                <w:rFonts w:ascii="仿宋_GB2312" w:hAnsi="仿宋" w:eastAsia="仿宋_GB2312" w:cs="仿宋"/>
                <w:kern w:val="0"/>
                <w:szCs w:val="21"/>
              </w:rPr>
            </w:pPr>
            <w:r>
              <w:rPr>
                <w:rFonts w:hint="eastAsia" w:ascii="仿宋_GB2312" w:hAnsi="仿宋" w:eastAsia="仿宋_GB2312" w:cs="仿宋"/>
                <w:kern w:val="0"/>
                <w:szCs w:val="21"/>
              </w:rPr>
              <w:t>BIM策划</w:t>
            </w:r>
          </w:p>
        </w:tc>
        <w:tc>
          <w:tcPr>
            <w:tcW w:w="2390" w:type="dxa"/>
            <w:tcBorders>
              <w:top w:val="single" w:color="auto" w:sz="4" w:space="0"/>
              <w:left w:val="single" w:color="auto" w:sz="4" w:space="0"/>
              <w:bottom w:val="single" w:color="auto" w:sz="4" w:space="0"/>
              <w:right w:val="single" w:color="auto" w:sz="4" w:space="0"/>
            </w:tcBorders>
            <w:vAlign w:val="center"/>
          </w:tcPr>
          <w:p w14:paraId="0D7D895F">
            <w:pPr>
              <w:widowControl/>
              <w:wordWrap w:val="0"/>
              <w:topLinePunct/>
              <w:adjustRightInd w:val="0"/>
              <w:snapToGrid w:val="0"/>
              <w:spacing w:after="156" w:afterLines="50"/>
              <w:jc w:val="left"/>
              <w:rPr>
                <w:rFonts w:ascii="仿宋_GB2312" w:hAnsi="仿宋" w:eastAsia="仿宋_GB2312" w:cs="仿宋"/>
                <w:kern w:val="0"/>
                <w:szCs w:val="21"/>
              </w:rPr>
            </w:pPr>
            <w:r>
              <w:rPr>
                <w:rFonts w:hint="eastAsia" w:ascii="仿宋_GB2312" w:hAnsi="仿宋" w:eastAsia="仿宋_GB2312" w:cs="Arial"/>
                <w:kern w:val="0"/>
                <w:szCs w:val="21"/>
              </w:rPr>
              <w:t>提交本项目设计阶段BIM实施方案，经甲方相关部门或甲方委托的第三方BIM顾问确认后。</w:t>
            </w:r>
          </w:p>
        </w:tc>
        <w:tc>
          <w:tcPr>
            <w:tcW w:w="3035" w:type="dxa"/>
            <w:tcBorders>
              <w:top w:val="single" w:color="auto" w:sz="4" w:space="0"/>
              <w:left w:val="single" w:color="auto" w:sz="4" w:space="0"/>
              <w:bottom w:val="single" w:color="auto" w:sz="4" w:space="0"/>
              <w:right w:val="single" w:color="auto" w:sz="4" w:space="0"/>
            </w:tcBorders>
            <w:vAlign w:val="center"/>
          </w:tcPr>
          <w:p w14:paraId="7F9CC75B">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《设计阶段BIM实施方案》</w:t>
            </w:r>
          </w:p>
        </w:tc>
        <w:tc>
          <w:tcPr>
            <w:tcW w:w="1645" w:type="dxa"/>
            <w:tcBorders>
              <w:top w:val="single" w:color="auto" w:sz="4" w:space="0"/>
              <w:left w:val="single" w:color="auto" w:sz="4" w:space="0"/>
              <w:bottom w:val="single" w:color="auto" w:sz="4" w:space="0"/>
              <w:right w:val="single" w:color="auto" w:sz="4" w:space="0"/>
            </w:tcBorders>
            <w:vAlign w:val="center"/>
          </w:tcPr>
          <w:p w14:paraId="2AC129A2">
            <w:pPr>
              <w:widowControl/>
              <w:wordWrap w:val="0"/>
              <w:topLinePunct/>
              <w:adjustRightInd w:val="0"/>
              <w:snapToGrid w:val="0"/>
              <w:spacing w:after="156" w:afterLines="50"/>
              <w:jc w:val="left"/>
              <w:rPr>
                <w:rFonts w:ascii="仿宋_GB2312" w:hAnsi="仿宋" w:eastAsia="仿宋_GB2312" w:cs="Arial"/>
                <w:kern w:val="0"/>
                <w:szCs w:val="21"/>
              </w:rPr>
            </w:pPr>
            <w:r>
              <w:rPr>
                <w:rFonts w:hint="eastAsia" w:ascii="仿宋_GB2312" w:hAnsi="仿宋" w:eastAsia="仿宋_GB2312" w:cs="Arial"/>
                <w:kern w:val="0"/>
                <w:szCs w:val="21"/>
              </w:rPr>
              <w:t>合同签订后2周内</w:t>
            </w:r>
          </w:p>
        </w:tc>
        <w:tc>
          <w:tcPr>
            <w:tcW w:w="642" w:type="dxa"/>
            <w:tcBorders>
              <w:top w:val="single" w:color="auto" w:sz="4" w:space="0"/>
              <w:left w:val="single" w:color="auto" w:sz="4" w:space="0"/>
              <w:bottom w:val="single" w:color="auto" w:sz="4" w:space="0"/>
              <w:right w:val="single" w:color="auto" w:sz="4" w:space="0"/>
            </w:tcBorders>
            <w:vAlign w:val="center"/>
          </w:tcPr>
          <w:p w14:paraId="248E4179">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10%</w:t>
            </w:r>
          </w:p>
        </w:tc>
      </w:tr>
      <w:tr w14:paraId="0E78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14:paraId="5092ED14">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方案设计</w:t>
            </w:r>
          </w:p>
        </w:tc>
        <w:tc>
          <w:tcPr>
            <w:tcW w:w="2390" w:type="dxa"/>
            <w:tcBorders>
              <w:top w:val="single" w:color="auto" w:sz="4" w:space="0"/>
              <w:left w:val="single" w:color="auto" w:sz="4" w:space="0"/>
              <w:bottom w:val="single" w:color="auto" w:sz="4" w:space="0"/>
              <w:right w:val="single" w:color="auto" w:sz="4" w:space="0"/>
            </w:tcBorders>
            <w:vAlign w:val="center"/>
          </w:tcPr>
          <w:p w14:paraId="3BE7CFB5">
            <w:pPr>
              <w:widowControl/>
              <w:wordWrap w:val="0"/>
              <w:topLinePunct/>
              <w:adjustRightInd w:val="0"/>
              <w:snapToGrid w:val="0"/>
              <w:spacing w:after="156" w:afterLines="50"/>
              <w:jc w:val="left"/>
              <w:rPr>
                <w:rFonts w:ascii="仿宋_GB2312" w:hAnsi="仿宋" w:eastAsia="仿宋_GB2312" w:cs="Arial"/>
                <w:kern w:val="0"/>
                <w:szCs w:val="21"/>
              </w:rPr>
            </w:pPr>
            <w:r>
              <w:rPr>
                <w:rFonts w:hint="eastAsia" w:ascii="仿宋_GB2312" w:hAnsi="仿宋" w:eastAsia="仿宋_GB2312" w:cs="Arial"/>
                <w:szCs w:val="21"/>
              </w:rPr>
              <w:t>提交本项目方案设计阶段BIM模型及应用成果，完成数据与BIM平台对接，满足协同管理的工作要求，</w:t>
            </w:r>
            <w:r>
              <w:rPr>
                <w:rFonts w:hint="eastAsia" w:ascii="仿宋_GB2312" w:hAnsi="仿宋" w:eastAsia="仿宋_GB2312" w:cs="Arial"/>
                <w:kern w:val="0"/>
                <w:szCs w:val="21"/>
              </w:rPr>
              <w:t>经甲方相关部门或甲方委托的第三方BIM顾问确认后</w:t>
            </w:r>
            <w:r>
              <w:rPr>
                <w:rFonts w:hint="eastAsia" w:ascii="仿宋_GB2312" w:hAnsi="仿宋" w:eastAsia="仿宋_GB2312" w:cs="Arial"/>
                <w:szCs w:val="21"/>
              </w:rPr>
              <w:t>。</w:t>
            </w:r>
          </w:p>
        </w:tc>
        <w:tc>
          <w:tcPr>
            <w:tcW w:w="3035" w:type="dxa"/>
            <w:tcBorders>
              <w:top w:val="single" w:color="auto" w:sz="4" w:space="0"/>
              <w:left w:val="single" w:color="auto" w:sz="4" w:space="0"/>
              <w:bottom w:val="single" w:color="auto" w:sz="4" w:space="0"/>
              <w:right w:val="single" w:color="auto" w:sz="4" w:space="0"/>
            </w:tcBorders>
            <w:vAlign w:val="center"/>
          </w:tcPr>
          <w:p w14:paraId="4EA31269">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方案设计阶段BIM模型</w:t>
            </w:r>
          </w:p>
          <w:p w14:paraId="61AE43DD">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BIM应用报告及对应成果材料等</w:t>
            </w:r>
          </w:p>
        </w:tc>
        <w:tc>
          <w:tcPr>
            <w:tcW w:w="1645" w:type="dxa"/>
            <w:tcBorders>
              <w:top w:val="single" w:color="auto" w:sz="4" w:space="0"/>
              <w:left w:val="single" w:color="auto" w:sz="4" w:space="0"/>
              <w:bottom w:val="single" w:color="auto" w:sz="4" w:space="0"/>
              <w:right w:val="single" w:color="auto" w:sz="4" w:space="0"/>
            </w:tcBorders>
            <w:vAlign w:val="center"/>
          </w:tcPr>
          <w:p w14:paraId="4B16F38B">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与方案设计同步</w:t>
            </w:r>
          </w:p>
        </w:tc>
        <w:tc>
          <w:tcPr>
            <w:tcW w:w="642" w:type="dxa"/>
            <w:tcBorders>
              <w:top w:val="single" w:color="auto" w:sz="4" w:space="0"/>
              <w:left w:val="single" w:color="auto" w:sz="4" w:space="0"/>
              <w:bottom w:val="single" w:color="auto" w:sz="4" w:space="0"/>
              <w:right w:val="single" w:color="auto" w:sz="4" w:space="0"/>
            </w:tcBorders>
            <w:vAlign w:val="center"/>
          </w:tcPr>
          <w:p w14:paraId="1C9FF825">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10%</w:t>
            </w:r>
          </w:p>
        </w:tc>
      </w:tr>
      <w:tr w14:paraId="7806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14:paraId="0A7DA311">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初步设计</w:t>
            </w:r>
          </w:p>
        </w:tc>
        <w:tc>
          <w:tcPr>
            <w:tcW w:w="2390" w:type="dxa"/>
            <w:tcBorders>
              <w:top w:val="single" w:color="auto" w:sz="4" w:space="0"/>
              <w:left w:val="single" w:color="auto" w:sz="4" w:space="0"/>
              <w:bottom w:val="single" w:color="auto" w:sz="4" w:space="0"/>
              <w:right w:val="single" w:color="auto" w:sz="4" w:space="0"/>
            </w:tcBorders>
            <w:vAlign w:val="center"/>
          </w:tcPr>
          <w:p w14:paraId="7C4141D1">
            <w:pPr>
              <w:widowControl/>
              <w:wordWrap w:val="0"/>
              <w:topLinePunct/>
              <w:adjustRightInd w:val="0"/>
              <w:snapToGrid w:val="0"/>
              <w:spacing w:after="156" w:afterLines="50"/>
              <w:jc w:val="left"/>
              <w:rPr>
                <w:rFonts w:ascii="仿宋_GB2312" w:hAnsi="仿宋" w:eastAsia="仿宋_GB2312" w:cs="Arial"/>
                <w:kern w:val="0"/>
                <w:szCs w:val="21"/>
              </w:rPr>
            </w:pPr>
            <w:r>
              <w:rPr>
                <w:rFonts w:hint="eastAsia" w:ascii="仿宋_GB2312" w:hAnsi="仿宋" w:eastAsia="仿宋_GB2312" w:cs="Arial"/>
                <w:szCs w:val="21"/>
              </w:rPr>
              <w:t>提交本项目初步设计阶段BIM模型及应用成果，完成数据与BIM平台对接，满足协同管理的工作要求，</w:t>
            </w:r>
            <w:r>
              <w:rPr>
                <w:rFonts w:hint="eastAsia" w:ascii="仿宋_GB2312" w:hAnsi="仿宋" w:eastAsia="仿宋_GB2312" w:cs="Arial"/>
                <w:kern w:val="0"/>
                <w:szCs w:val="21"/>
              </w:rPr>
              <w:t>经甲方相关部门或甲方委托的第三方BIM顾问确认后</w:t>
            </w:r>
            <w:r>
              <w:rPr>
                <w:rFonts w:hint="eastAsia" w:ascii="仿宋_GB2312" w:hAnsi="仿宋" w:eastAsia="仿宋_GB2312" w:cs="Arial"/>
                <w:szCs w:val="21"/>
              </w:rPr>
              <w:t>。</w:t>
            </w:r>
          </w:p>
        </w:tc>
        <w:tc>
          <w:tcPr>
            <w:tcW w:w="3035" w:type="dxa"/>
            <w:tcBorders>
              <w:top w:val="single" w:color="auto" w:sz="4" w:space="0"/>
              <w:left w:val="single" w:color="auto" w:sz="4" w:space="0"/>
              <w:bottom w:val="single" w:color="auto" w:sz="4" w:space="0"/>
              <w:right w:val="single" w:color="auto" w:sz="4" w:space="0"/>
            </w:tcBorders>
            <w:vAlign w:val="center"/>
          </w:tcPr>
          <w:p w14:paraId="13899958">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初步设计阶段BIM模型</w:t>
            </w:r>
          </w:p>
          <w:p w14:paraId="747328B3">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模型工程量与清单量对比分析，设计概算工程量取min{模型量，清单量}</w:t>
            </w:r>
          </w:p>
          <w:p w14:paraId="59058220">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BIM应用报告及对应成果材料等</w:t>
            </w:r>
          </w:p>
          <w:p w14:paraId="16323872">
            <w:pPr>
              <w:widowControl/>
              <w:wordWrap w:val="0"/>
              <w:topLinePunct/>
              <w:adjustRightInd w:val="0"/>
              <w:snapToGrid w:val="0"/>
              <w:spacing w:after="156" w:afterLines="50"/>
              <w:jc w:val="center"/>
              <w:rPr>
                <w:rFonts w:ascii="仿宋_GB2312" w:hAnsi="仿宋" w:eastAsia="仿宋_GB2312" w:cs="Arial"/>
                <w:szCs w:val="21"/>
              </w:rPr>
            </w:pPr>
          </w:p>
        </w:tc>
        <w:tc>
          <w:tcPr>
            <w:tcW w:w="1645" w:type="dxa"/>
            <w:tcBorders>
              <w:top w:val="single" w:color="auto" w:sz="4" w:space="0"/>
              <w:left w:val="single" w:color="auto" w:sz="4" w:space="0"/>
              <w:bottom w:val="single" w:color="auto" w:sz="4" w:space="0"/>
              <w:right w:val="single" w:color="auto" w:sz="4" w:space="0"/>
            </w:tcBorders>
            <w:vAlign w:val="center"/>
          </w:tcPr>
          <w:p w14:paraId="7D2A32E1">
            <w:pPr>
              <w:widowControl/>
              <w:wordWrap w:val="0"/>
              <w:topLinePunct/>
              <w:adjustRightInd w:val="0"/>
              <w:snapToGrid w:val="0"/>
              <w:spacing w:after="156" w:afterLines="50"/>
              <w:jc w:val="left"/>
              <w:rPr>
                <w:rFonts w:ascii="仿宋_GB2312" w:hAnsi="仿宋" w:eastAsia="仿宋_GB2312" w:cs="Arial"/>
                <w:szCs w:val="21"/>
              </w:rPr>
            </w:pPr>
            <w:r>
              <w:rPr>
                <w:rFonts w:hint="eastAsia" w:ascii="仿宋_GB2312" w:hAnsi="仿宋" w:eastAsia="仿宋_GB2312" w:cs="Arial"/>
                <w:kern w:val="0"/>
                <w:szCs w:val="21"/>
              </w:rPr>
              <w:t>与初步设计同步</w:t>
            </w:r>
          </w:p>
        </w:tc>
        <w:tc>
          <w:tcPr>
            <w:tcW w:w="642" w:type="dxa"/>
            <w:tcBorders>
              <w:top w:val="single" w:color="auto" w:sz="4" w:space="0"/>
              <w:left w:val="single" w:color="auto" w:sz="4" w:space="0"/>
              <w:bottom w:val="single" w:color="auto" w:sz="4" w:space="0"/>
              <w:right w:val="single" w:color="auto" w:sz="4" w:space="0"/>
            </w:tcBorders>
            <w:vAlign w:val="center"/>
          </w:tcPr>
          <w:p w14:paraId="3242C9E6">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10%</w:t>
            </w:r>
          </w:p>
        </w:tc>
      </w:tr>
      <w:tr w14:paraId="41A2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14:paraId="76FDF295">
            <w:pPr>
              <w:widowControl/>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施工图设计</w:t>
            </w:r>
          </w:p>
        </w:tc>
        <w:tc>
          <w:tcPr>
            <w:tcW w:w="2390" w:type="dxa"/>
            <w:tcBorders>
              <w:top w:val="single" w:color="auto" w:sz="4" w:space="0"/>
              <w:left w:val="single" w:color="auto" w:sz="4" w:space="0"/>
              <w:bottom w:val="single" w:color="auto" w:sz="4" w:space="0"/>
              <w:right w:val="single" w:color="auto" w:sz="4" w:space="0"/>
            </w:tcBorders>
            <w:vAlign w:val="center"/>
          </w:tcPr>
          <w:p w14:paraId="13958AA8">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提交本项目建筑、结构专业施工图设计阶段BIM模型及应用成果，完成数据与BIM平台对接，满足协同管理的工作要求，经甲方相关部门或甲方委托的第三方BIM顾问确认后。</w:t>
            </w:r>
          </w:p>
        </w:tc>
        <w:tc>
          <w:tcPr>
            <w:tcW w:w="3035" w:type="dxa"/>
            <w:tcBorders>
              <w:top w:val="single" w:color="auto" w:sz="4" w:space="0"/>
              <w:left w:val="single" w:color="auto" w:sz="4" w:space="0"/>
              <w:bottom w:val="single" w:color="auto" w:sz="4" w:space="0"/>
              <w:right w:val="single" w:color="auto" w:sz="4" w:space="0"/>
            </w:tcBorders>
            <w:vAlign w:val="center"/>
          </w:tcPr>
          <w:p w14:paraId="61572B07">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建筑、结构模型</w:t>
            </w:r>
          </w:p>
          <w:p w14:paraId="590B2856">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模型工程量与清单量对比分析，施工图预算工程量取min{模型量，清单量}</w:t>
            </w:r>
          </w:p>
          <w:p w14:paraId="5A897B4C">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BIM应用报告及对应成果材料等</w:t>
            </w:r>
          </w:p>
        </w:tc>
        <w:tc>
          <w:tcPr>
            <w:tcW w:w="1645" w:type="dxa"/>
            <w:tcBorders>
              <w:top w:val="single" w:color="auto" w:sz="4" w:space="0"/>
              <w:left w:val="single" w:color="auto" w:sz="4" w:space="0"/>
              <w:bottom w:val="single" w:color="auto" w:sz="4" w:space="0"/>
              <w:right w:val="single" w:color="auto" w:sz="4" w:space="0"/>
            </w:tcBorders>
            <w:vAlign w:val="center"/>
          </w:tcPr>
          <w:p w14:paraId="54B7D73C">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与建筑、结构施工图设计同步</w:t>
            </w:r>
          </w:p>
        </w:tc>
        <w:tc>
          <w:tcPr>
            <w:tcW w:w="642" w:type="dxa"/>
            <w:tcBorders>
              <w:top w:val="single" w:color="auto" w:sz="4" w:space="0"/>
              <w:left w:val="single" w:color="auto" w:sz="4" w:space="0"/>
              <w:bottom w:val="single" w:color="auto" w:sz="4" w:space="0"/>
              <w:right w:val="single" w:color="auto" w:sz="4" w:space="0"/>
            </w:tcBorders>
            <w:vAlign w:val="center"/>
          </w:tcPr>
          <w:p w14:paraId="4E67A890">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30%</w:t>
            </w:r>
          </w:p>
        </w:tc>
      </w:tr>
      <w:tr w14:paraId="3547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14:paraId="5D6DAB12">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施工图设计</w:t>
            </w:r>
          </w:p>
        </w:tc>
        <w:tc>
          <w:tcPr>
            <w:tcW w:w="2390" w:type="dxa"/>
            <w:tcBorders>
              <w:top w:val="single" w:color="auto" w:sz="4" w:space="0"/>
              <w:left w:val="single" w:color="auto" w:sz="4" w:space="0"/>
              <w:bottom w:val="single" w:color="auto" w:sz="4" w:space="0"/>
              <w:right w:val="single" w:color="auto" w:sz="4" w:space="0"/>
            </w:tcBorders>
            <w:vAlign w:val="center"/>
          </w:tcPr>
          <w:p w14:paraId="2729CFD3">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提交本项目机电、装饰等其他专业施工图设计阶段BIM模型及应用成果，完成数据与BIM平台对接，满足协同管理的工作要求，经甲方相关部门或甲方委托的第三方BIM顾问确认后。</w:t>
            </w:r>
          </w:p>
        </w:tc>
        <w:tc>
          <w:tcPr>
            <w:tcW w:w="3035" w:type="dxa"/>
            <w:tcBorders>
              <w:top w:val="single" w:color="auto" w:sz="4" w:space="0"/>
              <w:left w:val="single" w:color="auto" w:sz="4" w:space="0"/>
              <w:bottom w:val="single" w:color="auto" w:sz="4" w:space="0"/>
              <w:right w:val="single" w:color="auto" w:sz="4" w:space="0"/>
            </w:tcBorders>
            <w:vAlign w:val="center"/>
          </w:tcPr>
          <w:p w14:paraId="3B986BCD">
            <w:pPr>
              <w:widowControl/>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机电、装饰等模型</w:t>
            </w:r>
          </w:p>
          <w:p w14:paraId="4CB503AE">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模型工程量与清单量对比分析，施工图预算工程量取min{模型量，清单量}</w:t>
            </w:r>
          </w:p>
          <w:p w14:paraId="1B89CF57">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BIM应用报告及对应成果材料等</w:t>
            </w:r>
          </w:p>
        </w:tc>
        <w:tc>
          <w:tcPr>
            <w:tcW w:w="1645" w:type="dxa"/>
            <w:tcBorders>
              <w:top w:val="single" w:color="auto" w:sz="4" w:space="0"/>
              <w:left w:val="single" w:color="auto" w:sz="4" w:space="0"/>
              <w:bottom w:val="single" w:color="auto" w:sz="4" w:space="0"/>
              <w:right w:val="single" w:color="auto" w:sz="4" w:space="0"/>
            </w:tcBorders>
            <w:vAlign w:val="center"/>
          </w:tcPr>
          <w:p w14:paraId="4B2316C2">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与机电、装饰等其他专业施工图设计同步</w:t>
            </w:r>
          </w:p>
        </w:tc>
        <w:tc>
          <w:tcPr>
            <w:tcW w:w="642" w:type="dxa"/>
            <w:tcBorders>
              <w:top w:val="single" w:color="auto" w:sz="4" w:space="0"/>
              <w:left w:val="single" w:color="auto" w:sz="4" w:space="0"/>
              <w:bottom w:val="single" w:color="auto" w:sz="4" w:space="0"/>
              <w:right w:val="single" w:color="auto" w:sz="4" w:space="0"/>
            </w:tcBorders>
            <w:vAlign w:val="center"/>
          </w:tcPr>
          <w:p w14:paraId="7552B001">
            <w:pPr>
              <w:widowControl/>
              <w:wordWrap w:val="0"/>
              <w:topLinePunct/>
              <w:adjustRightInd w:val="0"/>
              <w:snapToGrid w:val="0"/>
              <w:spacing w:after="156" w:afterLines="50"/>
              <w:jc w:val="center"/>
              <w:rPr>
                <w:rFonts w:ascii="仿宋_GB2312" w:hAnsi="仿宋" w:eastAsia="仿宋_GB2312" w:cs="Arial"/>
                <w:kern w:val="0"/>
                <w:szCs w:val="21"/>
              </w:rPr>
            </w:pPr>
            <w:r>
              <w:rPr>
                <w:rFonts w:hint="eastAsia" w:ascii="仿宋_GB2312" w:hAnsi="仿宋" w:eastAsia="仿宋_GB2312" w:cs="Arial"/>
                <w:kern w:val="0"/>
                <w:szCs w:val="21"/>
              </w:rPr>
              <w:t>40%</w:t>
            </w:r>
          </w:p>
        </w:tc>
      </w:tr>
    </w:tbl>
    <w:p w14:paraId="6FDC66A3">
      <w:pPr>
        <w:pStyle w:val="359"/>
        <w:ind w:firstLine="480" w:firstLineChars="200"/>
        <w:rPr>
          <w:rFonts w:ascii="宋体" w:hAnsi="宋体"/>
          <w:b w:val="0"/>
          <w:bCs/>
        </w:rPr>
      </w:pPr>
      <w:r>
        <w:rPr>
          <w:rFonts w:hint="eastAsia" w:ascii="宋体" w:hAnsi="宋体"/>
          <w:b w:val="0"/>
        </w:rPr>
        <w:t>备注：</w:t>
      </w:r>
      <w:r>
        <w:rPr>
          <w:rFonts w:hint="eastAsia" w:ascii="宋体" w:hAnsi="宋体" w:cs="宋体"/>
          <w:b w:val="0"/>
          <w:spacing w:val="4"/>
          <w:szCs w:val="21"/>
        </w:rPr>
        <w:t>BIM技术费用</w:t>
      </w:r>
      <w:r>
        <w:rPr>
          <w:rFonts w:hint="eastAsia" w:ascii="宋体" w:hAnsi="宋体"/>
          <w:b w:val="0"/>
        </w:rPr>
        <w:t>计费方式为总价包干。</w:t>
      </w:r>
    </w:p>
    <w:p w14:paraId="59661D42">
      <w:pPr>
        <w:pStyle w:val="359"/>
        <w:rPr>
          <w:rFonts w:asciiTheme="minorEastAsia" w:hAnsiTheme="minorEastAsia" w:eastAsiaTheme="minorEastAsia"/>
          <w:bCs/>
        </w:rPr>
      </w:pPr>
      <w:r>
        <w:rPr>
          <w:rFonts w:hint="eastAsia" w:ascii="宋体" w:hAnsi="宋体"/>
          <w:bCs/>
        </w:rPr>
        <w:t>竣工图编制费付款，编制完成并经发包人审核通过后支付。</w:t>
      </w:r>
      <w:r>
        <w:rPr>
          <w:rFonts w:hint="eastAsia" w:asciiTheme="minorEastAsia" w:hAnsiTheme="minorEastAsia" w:eastAsiaTheme="minorEastAsia"/>
          <w:bCs/>
        </w:rPr>
        <w:t>说明：</w:t>
      </w:r>
    </w:p>
    <w:p w14:paraId="460EEA12">
      <w:pPr>
        <w:spacing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asciiTheme="minorEastAsia" w:hAnsiTheme="minorEastAsia" w:eastAsiaTheme="minorEastAsia"/>
          <w:sz w:val="24"/>
          <w:szCs w:val="24"/>
        </w:rPr>
        <w:t>1本项目设计费总额中包括投标时对投标单位的投标补偿费用及最终选定未中标人设计方案的补偿费用，详见本项目的设计招标文件。本条中所指最终设计费及其比例均包含中标单位的投标补偿费用及未中标人设计方案的补偿费用。</w:t>
      </w:r>
    </w:p>
    <w:p w14:paraId="71D8B2B4">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2发包人支付的设计费中包含了设计人履行合同所需的所有支出，设计人每次办理款项申请时须开据发票（税金由设计人自理），并按发包人的要求提供进度款申请资料。</w:t>
      </w:r>
    </w:p>
    <w:p w14:paraId="1DCF43C7">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 设计费结算以广东省财政厅审定为准。</w:t>
      </w:r>
    </w:p>
    <w:p w14:paraId="31DB7E86">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4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14:paraId="4689487C">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5上述所有的支付时间不包含政府部门审批时间，设计人已清楚明白本项目工程款的拨付程序，并理解因政府部门审核请款手续对时间等方面的影响与发包人无关，故非发包人原因造成的工程款支付拖延，不得向发包人要求计付拖延工程款期间的利息及因此导致的其他损失。设计人应委派专人负责跟进报酬支付呈批过程的相关事务。</w:t>
      </w:r>
    </w:p>
    <w:p w14:paraId="50CFBA87">
      <w:pPr>
        <w:spacing w:line="360" w:lineRule="auto"/>
        <w:ind w:firstLine="424" w:firstLineChars="177"/>
        <w:jc w:val="left"/>
        <w:rPr>
          <w:rFonts w:asciiTheme="minorEastAsia" w:hAnsiTheme="minorEastAsia" w:eastAsiaTheme="minorEastAsia"/>
          <w:sz w:val="24"/>
          <w:szCs w:val="24"/>
        </w:rPr>
      </w:pPr>
      <w:r>
        <w:rPr>
          <w:rFonts w:hint="eastAsia" w:asciiTheme="minorEastAsia" w:hAnsiTheme="minorEastAsia" w:eastAsiaTheme="minorEastAsia"/>
          <w:sz w:val="24"/>
          <w:szCs w:val="24"/>
        </w:rPr>
        <w:t>6本项目如发生因为规划或其他政策因素导致的部分内容不实施或延期实施，已实施部分按完成工作量计算；在服务期内需要延期的，不增加延期设计费。</w:t>
      </w:r>
    </w:p>
    <w:p w14:paraId="53A60934">
      <w:pPr>
        <w:pStyle w:val="2"/>
        <w:ind w:firstLine="372"/>
      </w:pPr>
      <w:r>
        <w:rPr>
          <w:rFonts w:hint="eastAsia" w:hAnsi="宋体" w:eastAsia="宋体"/>
          <w:sz w:val="24"/>
          <w:szCs w:val="24"/>
        </w:rPr>
        <w:t>7</w:t>
      </w:r>
      <w:r>
        <w:rPr>
          <w:rFonts w:hint="eastAsia" w:hAnsi="宋体" w:eastAsia="宋体"/>
          <w:sz w:val="24"/>
        </w:rPr>
        <w:t>若设计过程中发包人要求设计人员一同前往外地考察，承包人应予以配合，考察费用按本合同所列设计费的5%列支，如有结余则归承包人所有。</w:t>
      </w:r>
    </w:p>
    <w:p w14:paraId="20B2900B">
      <w:pPr>
        <w:spacing w:line="360" w:lineRule="auto"/>
        <w:ind w:firstLine="424" w:firstLineChars="177"/>
        <w:jc w:val="left"/>
        <w:rPr>
          <w:rFonts w:asciiTheme="minorEastAsia" w:hAnsiTheme="minorEastAsia" w:eastAsiaTheme="minorEastAsia"/>
          <w:b/>
          <w:sz w:val="24"/>
          <w:szCs w:val="24"/>
        </w:rPr>
      </w:pPr>
      <w:r>
        <w:rPr>
          <w:rFonts w:hint="eastAsia" w:asciiTheme="minorEastAsia" w:hAnsiTheme="minorEastAsia" w:eastAsiaTheme="minorEastAsia"/>
          <w:kern w:val="0"/>
          <w:sz w:val="24"/>
          <w:szCs w:val="24"/>
        </w:rPr>
        <w:t>10.5</w:t>
      </w:r>
      <w:r>
        <w:rPr>
          <w:rFonts w:hint="eastAsia" w:asciiTheme="minorEastAsia" w:hAnsiTheme="minorEastAsia" w:eastAsiaTheme="minorEastAsia"/>
          <w:b/>
          <w:sz w:val="24"/>
          <w:szCs w:val="24"/>
        </w:rPr>
        <w:t>合同价款的结算与支付</w:t>
      </w:r>
    </w:p>
    <w:p w14:paraId="4A3B9EE2">
      <w:pPr>
        <w:spacing w:line="360" w:lineRule="auto"/>
        <w:ind w:firstLine="424" w:firstLineChars="177"/>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10.5.1</w:t>
      </w:r>
      <w:r>
        <w:rPr>
          <w:rFonts w:hint="eastAsia" w:asciiTheme="minorEastAsia" w:hAnsiTheme="minorEastAsia" w:eastAsiaTheme="minorEastAsia"/>
          <w:sz w:val="24"/>
          <w:szCs w:val="24"/>
          <w:u w:val="single"/>
        </w:rPr>
        <w:t>工程设计费计费方式为总价包干，设计费已包含了完成本项目设计工作内容的全部费用，包含并不限于后续项目变更的设计工作量，项目概算内产生的变更调整等均不再另行增加设计费。设计费最终结算价须经省政府财政部门审核。</w:t>
      </w:r>
    </w:p>
    <w:p w14:paraId="379A4C99">
      <w:pPr>
        <w:spacing w:before="120" w:after="120" w:line="360" w:lineRule="auto"/>
        <w:ind w:firstLine="426" w:firstLineChars="177"/>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11. 工程设计变更与索赔</w:t>
      </w:r>
    </w:p>
    <w:p w14:paraId="012060C0">
      <w:pPr>
        <w:spacing w:line="360" w:lineRule="auto"/>
        <w:ind w:firstLine="424" w:firstLineChars="177"/>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11.5 设计人应于认为有理由提出增加合同价款或延长设计周期的要求事项发生后</w:t>
      </w:r>
      <w:r>
        <w:rPr>
          <w:rFonts w:hint="eastAsia" w:asciiTheme="minorEastAsia" w:hAnsiTheme="minorEastAsia" w:eastAsiaTheme="minorEastAsia"/>
          <w:kern w:val="0"/>
          <w:sz w:val="24"/>
          <w:szCs w:val="24"/>
          <w:u w:val="single"/>
        </w:rPr>
        <w:t xml:space="preserve">  5  </w:t>
      </w:r>
      <w:r>
        <w:rPr>
          <w:rFonts w:hint="eastAsia" w:asciiTheme="minorEastAsia" w:hAnsiTheme="minorEastAsia" w:eastAsiaTheme="minorEastAsia"/>
          <w:kern w:val="0"/>
          <w:sz w:val="24"/>
          <w:szCs w:val="24"/>
        </w:rPr>
        <w:t>个日历天内书面通知发包人。</w:t>
      </w:r>
    </w:p>
    <w:p w14:paraId="0E7C9A78">
      <w:pPr>
        <w:spacing w:line="360" w:lineRule="auto"/>
        <w:ind w:firstLine="424" w:firstLineChars="177"/>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设计人应在该事项发生后</w:t>
      </w:r>
      <w:r>
        <w:rPr>
          <w:rFonts w:hint="eastAsia" w:asciiTheme="minorEastAsia" w:hAnsiTheme="minorEastAsia" w:eastAsiaTheme="minorEastAsia"/>
          <w:kern w:val="0"/>
          <w:sz w:val="24"/>
          <w:szCs w:val="24"/>
          <w:u w:val="single"/>
        </w:rPr>
        <w:t xml:space="preserve">  5  </w:t>
      </w:r>
      <w:r>
        <w:rPr>
          <w:rFonts w:hint="eastAsia" w:asciiTheme="minorEastAsia" w:hAnsiTheme="minorEastAsia" w:eastAsiaTheme="minorEastAsia"/>
          <w:kern w:val="0"/>
          <w:sz w:val="24"/>
          <w:szCs w:val="24"/>
        </w:rPr>
        <w:t>个日历天内向发包人提供证明设计人要求的书面声明。</w:t>
      </w:r>
    </w:p>
    <w:p w14:paraId="45851259">
      <w:pPr>
        <w:spacing w:line="360" w:lineRule="auto"/>
        <w:ind w:firstLine="424" w:firstLineChars="177"/>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发包人应在接到设计人书面声明后的</w:t>
      </w:r>
      <w:r>
        <w:rPr>
          <w:rFonts w:hint="eastAsia" w:asciiTheme="minorEastAsia" w:hAnsiTheme="minorEastAsia" w:eastAsiaTheme="minorEastAsia"/>
          <w:kern w:val="0"/>
          <w:sz w:val="24"/>
          <w:szCs w:val="24"/>
          <w:u w:val="single"/>
        </w:rPr>
        <w:t xml:space="preserve">  5  </w:t>
      </w:r>
      <w:r>
        <w:rPr>
          <w:rFonts w:hint="eastAsia" w:asciiTheme="minorEastAsia" w:hAnsiTheme="minorEastAsia" w:eastAsiaTheme="minorEastAsia"/>
          <w:kern w:val="0"/>
          <w:sz w:val="24"/>
          <w:szCs w:val="24"/>
        </w:rPr>
        <w:t>个日历天内，予以书面答复。</w:t>
      </w:r>
    </w:p>
    <w:p w14:paraId="23804AAD">
      <w:pPr>
        <w:spacing w:line="360" w:lineRule="auto"/>
        <w:ind w:firstLine="424" w:firstLineChars="177"/>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11.6</w:t>
      </w:r>
      <w:r>
        <w:rPr>
          <w:rFonts w:hint="eastAsia" w:asciiTheme="minorEastAsia" w:hAnsiTheme="minorEastAsia" w:eastAsiaTheme="minorEastAsia"/>
          <w:sz w:val="24"/>
          <w:szCs w:val="24"/>
          <w:u w:val="single"/>
        </w:rPr>
        <w:t>发包人</w:t>
      </w:r>
      <w:r>
        <w:rPr>
          <w:rFonts w:hint="eastAsia" w:asciiTheme="minorEastAsia" w:hAnsiTheme="minorEastAsia" w:eastAsiaTheme="minorEastAsia"/>
          <w:kern w:val="0"/>
          <w:sz w:val="24"/>
          <w:szCs w:val="24"/>
        </w:rPr>
        <w:t>索赔</w:t>
      </w:r>
    </w:p>
    <w:p w14:paraId="4FA86D2E">
      <w:pPr>
        <w:spacing w:line="360" w:lineRule="auto"/>
        <w:ind w:firstLine="424" w:firstLineChars="177"/>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11.6.1设计未能按合同约定履行自己的各项义务或发生错误，发包人按如下约定向设计人索赔：</w:t>
      </w:r>
    </w:p>
    <w:p w14:paraId="20C935AC">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1）发包人将自己的索赔意向书面通知设计人，并要求设计人在限期内纠正自己的违约行为，否则，发包人将考虑启用履约保函。</w:t>
      </w:r>
    </w:p>
    <w:p w14:paraId="5002683D">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2）限期届满，设计人没有采取纠正行为或者纠正行为不能使发包人满意的，发包人将索赔意向书面通知约定的保函出函银行。</w:t>
      </w:r>
    </w:p>
    <w:p w14:paraId="24DEAA60">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3）发包人向银行发出书面索赔意向七天内，设计人依然没有用实际行动纠正自己的违约行为或者纠正行为不能使发包人满意或者纠正行为无法弥补发包人的损失，则发包人直接向银行发出正式书面索赔通知。</w:t>
      </w:r>
    </w:p>
    <w:p w14:paraId="70821636">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4）如果通过向银行索赔的方式依然不能完全弥补发包人的损失，则发包人有权在应支付给设计人的设计费中直接扣取。</w:t>
      </w:r>
    </w:p>
    <w:p w14:paraId="19756917">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5）如果通过向银行索赔以及直接扣取设计费等方式依然不能完全弥补发包人损失的，设计人必须在发包人规定的时间内以现金形式支付剩余索赔额。</w:t>
      </w:r>
    </w:p>
    <w:p w14:paraId="7B8AE7C2">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11.6.2在任何索赔期间，不论索赔是否有据，均不能免除设计人按合同约定应履行的合同义务。设计人不得以此为借口，拒不履行或拖延合同的履行，否则发包人有权终止合同并要求设计人赔偿由此而给发包人造成的全部损失。</w:t>
      </w:r>
    </w:p>
    <w:p w14:paraId="30149028">
      <w:pPr>
        <w:spacing w:before="120" w:after="12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 专业责任与保险</w:t>
      </w:r>
    </w:p>
    <w:p w14:paraId="105BA5C0">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12.2 设计人</w:t>
      </w:r>
      <w:r>
        <w:rPr>
          <w:rFonts w:hint="eastAsia" w:asciiTheme="minorEastAsia" w:hAnsiTheme="minorEastAsia" w:eastAsiaTheme="minorEastAsia"/>
          <w:sz w:val="24"/>
          <w:szCs w:val="24"/>
          <w:u w:val="single"/>
        </w:rPr>
        <w:t xml:space="preserve"> 需   </w:t>
      </w:r>
      <w:r>
        <w:rPr>
          <w:rFonts w:hint="eastAsia" w:asciiTheme="minorEastAsia" w:hAnsiTheme="minorEastAsia" w:eastAsiaTheme="minorEastAsia"/>
          <w:sz w:val="24"/>
          <w:szCs w:val="24"/>
        </w:rPr>
        <w:t>（需/不需）有发包人认可的工程设计责任保险。</w:t>
      </w:r>
    </w:p>
    <w:p w14:paraId="53670180">
      <w:pPr>
        <w:pStyle w:val="6"/>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13. 知识产权</w:t>
      </w:r>
    </w:p>
    <w:p w14:paraId="69D19C47">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13.1 关于发包人提供给设计人的图纸、发包人为实施工程自行编制或委托编制的技术规格以及反映发包人关于合同要求或其他类似性质的文件的著作权的归属：</w:t>
      </w:r>
      <w:r>
        <w:rPr>
          <w:rFonts w:hint="eastAsia" w:asciiTheme="minorEastAsia" w:hAnsiTheme="minorEastAsia" w:eastAsiaTheme="minorEastAsia"/>
          <w:sz w:val="24"/>
          <w:szCs w:val="24"/>
          <w:u w:val="single"/>
        </w:rPr>
        <w:t xml:space="preserve">归发包人所有    </w:t>
      </w:r>
      <w:r>
        <w:rPr>
          <w:rFonts w:hint="eastAsia" w:asciiTheme="minorEastAsia" w:hAnsiTheme="minorEastAsia" w:eastAsiaTheme="minorEastAsia"/>
          <w:sz w:val="24"/>
          <w:szCs w:val="24"/>
        </w:rPr>
        <w:t>。</w:t>
      </w:r>
    </w:p>
    <w:p w14:paraId="6DD1E23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关于发包人提供的上述文件的使用限制的要求：</w:t>
      </w:r>
      <w:r>
        <w:rPr>
          <w:rFonts w:hint="eastAsia" w:asciiTheme="minorEastAsia" w:hAnsiTheme="minorEastAsia" w:eastAsiaTheme="minorEastAsia"/>
          <w:sz w:val="24"/>
          <w:szCs w:val="24"/>
          <w:u w:val="single"/>
        </w:rPr>
        <w:t xml:space="preserve"> 设计人仅可以在实施项目时使用，合同履行完成后，设计人不再拥有使用上述文件的权利   </w:t>
      </w:r>
      <w:r>
        <w:rPr>
          <w:rFonts w:hint="eastAsia" w:asciiTheme="minorEastAsia" w:hAnsiTheme="minorEastAsia" w:eastAsiaTheme="minorEastAsia"/>
          <w:sz w:val="24"/>
          <w:szCs w:val="24"/>
        </w:rPr>
        <w:t>。</w:t>
      </w:r>
    </w:p>
    <w:p w14:paraId="7880784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13.2 关于设计人为实施工程所编制文件的著作权的归属：</w:t>
      </w:r>
      <w:r>
        <w:rPr>
          <w:rFonts w:hint="eastAsia" w:asciiTheme="minorEastAsia" w:hAnsiTheme="minorEastAsia" w:eastAsiaTheme="minorEastAsia"/>
          <w:sz w:val="24"/>
          <w:szCs w:val="24"/>
          <w:u w:val="single"/>
        </w:rPr>
        <w:t>知识产权归发包人和设计人共有，其中设计署名权归设计人所有；设计人可在展览或书刊中进行展示、介绍及讨论其设计模型、外观图片、装饰效果图，但不得享有知识产权中的其他权利。设计人承诺自本合同签订之日起，为本项目所做的全部工作的成果，包括方案设计、初步设计、施工图设计及其他设计文件、资料等不再用于其他任何项目的设计，否则发包人有权向设计人追究相关责任。发包人在出版作品的书刊或展览时，如有需要表明设计者，引用上述署名格式。发包人全部设计文件、资料等的完全使用权，并在本合同执行完毕后继续拥有合法使用以上设计文件、资料等的权利</w:t>
      </w:r>
      <w:r>
        <w:rPr>
          <w:rFonts w:hint="eastAsia" w:asciiTheme="minorEastAsia" w:hAnsiTheme="minorEastAsia" w:eastAsiaTheme="minorEastAsia"/>
          <w:sz w:val="24"/>
          <w:szCs w:val="24"/>
        </w:rPr>
        <w:t>。</w:t>
      </w:r>
    </w:p>
    <w:p w14:paraId="16511FC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关于设计人提供的上述文件的使用限制的要求：</w:t>
      </w:r>
      <w:r>
        <w:rPr>
          <w:rFonts w:hint="eastAsia" w:asciiTheme="minorEastAsia" w:hAnsiTheme="minorEastAsia" w:eastAsiaTheme="minorEastAsia"/>
          <w:sz w:val="24"/>
          <w:szCs w:val="24"/>
          <w:u w:val="single"/>
        </w:rPr>
        <w:t xml:space="preserve">无  </w:t>
      </w:r>
      <w:r>
        <w:rPr>
          <w:rFonts w:hint="eastAsia" w:asciiTheme="minorEastAsia" w:hAnsiTheme="minorEastAsia" w:eastAsiaTheme="minorEastAsia"/>
          <w:sz w:val="24"/>
          <w:szCs w:val="24"/>
        </w:rPr>
        <w:t>。</w:t>
      </w:r>
    </w:p>
    <w:p w14:paraId="1FB100F1">
      <w:pPr>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sz w:val="24"/>
          <w:szCs w:val="24"/>
        </w:rPr>
        <w:t>13.5 设计人在设计过程中所采用的专利、专有技术的使用费的承担方式：</w:t>
      </w:r>
      <w:r>
        <w:rPr>
          <w:rFonts w:hint="eastAsia" w:asciiTheme="minorEastAsia" w:hAnsiTheme="minorEastAsia" w:eastAsiaTheme="minorEastAsia"/>
          <w:sz w:val="24"/>
          <w:szCs w:val="24"/>
          <w:u w:val="single"/>
        </w:rPr>
        <w:t xml:space="preserve">由设计人自行承担   </w:t>
      </w:r>
      <w:r>
        <w:rPr>
          <w:rFonts w:hint="eastAsia" w:asciiTheme="minorEastAsia" w:hAnsiTheme="minorEastAsia" w:eastAsiaTheme="minorEastAsia"/>
          <w:kern w:val="0"/>
          <w:sz w:val="24"/>
          <w:szCs w:val="24"/>
        </w:rPr>
        <w:t>。</w:t>
      </w:r>
    </w:p>
    <w:p w14:paraId="0FCD621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13.6 </w:t>
      </w:r>
      <w:r>
        <w:rPr>
          <w:rFonts w:hint="eastAsia" w:asciiTheme="minorEastAsia" w:hAnsiTheme="minorEastAsia" w:eastAsiaTheme="minorEastAsia"/>
          <w:sz w:val="24"/>
          <w:szCs w:val="24"/>
          <w:u w:val="single"/>
        </w:rPr>
        <w:t>设计人应保护发包人的知识产权，不得向第三人泄漏、转让发包人提交的产品图纸等技术经济资料。如发生以上情况并给发包人造成经济损失，设计人应负法律责任，发包人有权向设计人索赔。</w:t>
      </w:r>
    </w:p>
    <w:p w14:paraId="6499956F">
      <w:pPr>
        <w:pStyle w:val="6"/>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14. 违约责任</w:t>
      </w:r>
    </w:p>
    <w:p w14:paraId="447A0A0E">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14.1 发包人违约责任</w:t>
      </w:r>
    </w:p>
    <w:p w14:paraId="60B7911D">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14.1.1 发包人支付设计人的违约金：</w:t>
      </w:r>
    </w:p>
    <w:p w14:paraId="49F478C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1）限期改正。设计人未履行或未按时履行或未按质履行义务时，必须在发包人限定的时间内履行义务。</w:t>
      </w:r>
    </w:p>
    <w:p w14:paraId="6CA0D5CD">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2）一般违约责任。设计人被发包人要求按本合同约定承担一般违约责任时，必须向发包人交纳违约金人民币2万元/次。</w:t>
      </w:r>
    </w:p>
    <w:p w14:paraId="4B981B6C">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u w:val="single"/>
        </w:rPr>
        <w:t>3）严重违约责任。设计人被发包人要求按本合同约定承担严重违约责任时，必须向发包人交纳违约金人民币6万元/次。</w:t>
      </w:r>
    </w:p>
    <w:p w14:paraId="0EE01D6C">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14.2 设计人违约责任</w:t>
      </w:r>
    </w:p>
    <w:p w14:paraId="20C02329">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14.1.1</w:t>
      </w:r>
      <w:r>
        <w:rPr>
          <w:rFonts w:hint="eastAsia" w:asciiTheme="minorEastAsia" w:hAnsiTheme="minorEastAsia" w:eastAsiaTheme="minorEastAsia"/>
          <w:sz w:val="24"/>
          <w:szCs w:val="24"/>
          <w:u w:val="single"/>
        </w:rPr>
        <w:t>设计人违反本合同的约定，应当按约定向发包人承担相应的违约责任。设计人承担违约责任的形式包括：</w:t>
      </w:r>
    </w:p>
    <w:p w14:paraId="34369E5B">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1）限期改正。设计人未履行或未按时履行或未按质履行义务时，必须在发包人限定的时间内履行义务。</w:t>
      </w:r>
    </w:p>
    <w:p w14:paraId="5B325929">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2）一般违约责任。设计人被发包人要求按本合同约定承担一般违约责任时，必须向发包人交纳违约金人民币1万元/次。</w:t>
      </w:r>
    </w:p>
    <w:p w14:paraId="248381F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3）严重违约责任。设计人被发包人要求按本合同约定承担严重违约责任时，必须向发包人交纳违约金人民币3万元/次。</w:t>
      </w:r>
    </w:p>
    <w:p w14:paraId="22E5700F">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部分解除合同。发包人向设计人发出部分解除合同的通知后，本合同部分解除即生效，设计人必须在三天内停止被解除部分合同的工作，五天内配合发包人完成现场工作和有关资料的交接，所交接资料必须完整。设计人无特殊原因未在规定期限内完成交接和离场，或交接资料不完整的，发包人有权视情况全部解除合同；因设计人拒交或延误交接现场工作和有关资料而引致发包人工期延误及其他方面的损失，发包人有权拒绝支付本合同价款并要求设计人赔偿实际损失。</w:t>
      </w:r>
    </w:p>
    <w:p w14:paraId="64389B54">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解除合同。发包人向设计人发出解除合同的通知后，本合同即解除，设计人必须在三天内停止全部工作，五天内配合发包人完成现场工作和有关资料的交接，并于完成交接工作当天内离场。设计人应保证所移交的资料齐全完整，设计人无特殊原因未在规定期限内完成交接和离场或所移交的资料不完整的，引致发包人工期延误和其他方面的损失，发包人有权拒绝支付本合同价款并要求设计人赔偿损失。</w:t>
      </w:r>
    </w:p>
    <w:p w14:paraId="03BABA87">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6）赔偿损失。因设计人违约或工作失误给发包人造成损失的，由设计人向发包人赔偿与违约有直接或间接因果关系的所有损失，赔偿金为实际损失的100％。但不超过发包人支付给设计人费用的2倍。</w:t>
      </w:r>
    </w:p>
    <w:p w14:paraId="1505A07F">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14.1.2</w:t>
      </w:r>
      <w:r>
        <w:rPr>
          <w:rFonts w:hint="eastAsia" w:asciiTheme="minorEastAsia" w:hAnsiTheme="minorEastAsia" w:eastAsiaTheme="minorEastAsia"/>
          <w:sz w:val="24"/>
          <w:szCs w:val="24"/>
          <w:u w:val="single"/>
        </w:rPr>
        <w:t>累计出现三次限期纠正责任，发包人有权追加设计人一次一般违约责任；累计出现三次一般违约责任，发包人有权追加设计人一次严重违约责任；累计三次严重违约责任，发包人有权单方面部分或全部解除合同。</w:t>
      </w:r>
    </w:p>
    <w:p w14:paraId="7B4D7693">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14.1.3</w:t>
      </w:r>
      <w:r>
        <w:rPr>
          <w:rFonts w:hint="eastAsia" w:asciiTheme="minorEastAsia" w:hAnsiTheme="minorEastAsia" w:eastAsiaTheme="minorEastAsia"/>
          <w:sz w:val="24"/>
          <w:szCs w:val="24"/>
          <w:u w:val="single"/>
        </w:rPr>
        <w:t>本合同解除后，设计人已经完成的设计成果在发包人支付于工作量对应的设计费后，全部归发包人享有，发包人有权于其他设计人签订设计协议，其他设计人可以取代设计人在本合同中的地位，承接设计人的一切权利义务，有权在设计人已经完成设计成果的基础上继续设计，设计人不得有异议，其他设计人不必支付设计人任何报酬。</w:t>
      </w:r>
    </w:p>
    <w:p w14:paraId="1FB90CA5">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14.1.4</w:t>
      </w:r>
      <w:r>
        <w:rPr>
          <w:rFonts w:hint="eastAsia" w:asciiTheme="minorEastAsia" w:hAnsiTheme="minorEastAsia" w:eastAsiaTheme="minorEastAsia"/>
          <w:sz w:val="24"/>
          <w:szCs w:val="24"/>
          <w:u w:val="single"/>
        </w:rPr>
        <w:t>当发包人认为设计人无正当理由而不履行或没有充分履行其相关义务时，发包人有权书面通知设计人，指明设计人无履行的内容并要求设计人按如下约定承担违约责任：</w:t>
      </w:r>
    </w:p>
    <w:p w14:paraId="3C1853DB">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1）设计管理方面的违约责任：</w:t>
      </w:r>
    </w:p>
    <w:p w14:paraId="2FE1ECAC">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①设计人无故要求终止或解除合同，按严重违约处理，赔偿相当于约定的设计费总额两倍的损失给发包人，并承担由此造成的拖延工期的损失。</w:t>
      </w:r>
    </w:p>
    <w:p w14:paraId="13D27A5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②设计人转包和私自分包设计任务，按严重违约处理。情节严重的，发包人有权单方面解除合同，赔偿相当于约定的设计费总额两倍的损失给发包人，并承担由此造成的拖延工期的损失。同时，发包人将扣除转包（分包）部分的全额设计费用，设计人应承担由此造成的工期、技术及其他一切损失。</w:t>
      </w:r>
    </w:p>
    <w:p w14:paraId="447F1ECF">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③设计人承诺主动支持发包人及设计咨询（监理）单位的工作，对发包人及设计咨询（监理）单位的指令和书面通知，若无正当理由又未提前报告、得到认可，而公开或变相拒不执行，第一次按一般违约处理；第二次以后，每违反一次按一次严重违约处理。同时，设计人还要承担由此造成的一切经济损失。</w:t>
      </w:r>
    </w:p>
    <w:p w14:paraId="7EC2CB0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④设计人没有按照合同的约定做好设计协调工作，发包人有权根据实际情况决定其承担违约责任的形式并要求其承担比原来计划多开支的费用，设计人不得提出任何异议。</w:t>
      </w:r>
    </w:p>
    <w:p w14:paraId="09E72B9B">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2）设计成果方面的违约责任：</w:t>
      </w:r>
    </w:p>
    <w:p w14:paraId="6D10495B">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①设计人由于自身原因造成逾期交付设计文件的处理：</w:t>
      </w:r>
    </w:p>
    <w:p w14:paraId="3A84DAFE">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A）一次性逾期2天以内的，给予书面通报批评并限期改正；一次性逾期3天以内（或累计达5天以内）的，记一次一般违约，并向发包人交纳违约金人民币1万元/次；一次性逾期5天以内（或累计达10天以内）的，记一次严重违约，并向发包人交纳违约金人民币6万元/次；一次性逾期10天以内（或累计达15天以内）的，发包人有权部分解除合同；一次性逾期超过10（或累计超过15天）的，发包人有权全部解除合同，设计人赔偿相当于约定的设计费总额两倍的损失给发包人，并赔偿由此造成发包人的一切损失。</w:t>
      </w:r>
    </w:p>
    <w:p w14:paraId="3343942E">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B）设计人未能按合同约定及工作计划完成“五图一书”、建筑方案设计、初步设计、施工图设计，每逾期一天，需向发包人交纳违约金人民币1万元/天。设计人必须根据实际情况调整工作计划，并报发包人审批，如在后续工作中，设计人能按调整的计划完成，已赔偿金额可作为奖金返还给设计人。逾期超过30天发包人有权全部解除合同，设计人赔偿相当于约定的设计费总额两倍的损失给发包人，并赔偿由此造成发包人的一切损失。</w:t>
      </w:r>
    </w:p>
    <w:p w14:paraId="7A6AEB57">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②因建设规划方案重大功能性调整造成逾期交付设计文件处理：</w:t>
      </w:r>
    </w:p>
    <w:p w14:paraId="5D0287F4">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一次性逾期不超过20天（或累计达30天以内）的，发包人或设计咨询（监理）单位予以书面确认，但发包人不予支付赶工费，工期不得顺延；一次性逾期超过20天（或累计超过40天）的，设计人应优先采用追回工期的办法，赶工费用双方另行协商。</w:t>
      </w:r>
    </w:p>
    <w:p w14:paraId="0AA20DC7">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③设计人的设计质量不符合合同约定或设计文件出现遗漏或错误，按如下约定处理：</w:t>
      </w:r>
    </w:p>
    <w:p w14:paraId="0EC27BA2">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A)在设计过程中发现设计人的设计质量不符合合同约定或设计文件出现遗漏或错误的，给予限期改正，并按附件5《设计错误分类》中</w:t>
      </w:r>
      <w:r>
        <w:rPr>
          <w:rFonts w:hint="eastAsia" w:cs="宋体" w:asciiTheme="minorEastAsia" w:hAnsiTheme="minorEastAsia" w:eastAsiaTheme="minorEastAsia"/>
          <w:spacing w:val="1"/>
          <w:sz w:val="24"/>
          <w:szCs w:val="24"/>
          <w:u w:val="single"/>
        </w:rPr>
        <w:t>Ⅰ类</w:t>
      </w:r>
      <w:r>
        <w:rPr>
          <w:rFonts w:hint="eastAsia" w:cs="宋体" w:asciiTheme="minorEastAsia" w:hAnsiTheme="minorEastAsia" w:eastAsiaTheme="minorEastAsia"/>
          <w:sz w:val="24"/>
          <w:szCs w:val="24"/>
          <w:u w:val="single"/>
        </w:rPr>
        <w:t>错误对应2次</w:t>
      </w:r>
      <w:r>
        <w:rPr>
          <w:rFonts w:hint="eastAsia" w:asciiTheme="minorEastAsia" w:hAnsiTheme="minorEastAsia" w:eastAsiaTheme="minorEastAsia"/>
          <w:sz w:val="24"/>
          <w:szCs w:val="24"/>
          <w:u w:val="single"/>
        </w:rPr>
        <w:t>严重违约责任，</w:t>
      </w:r>
      <w:r>
        <w:rPr>
          <w:rFonts w:hint="eastAsia" w:cs="宋体" w:asciiTheme="minorEastAsia" w:hAnsiTheme="minorEastAsia" w:eastAsiaTheme="minorEastAsia"/>
          <w:spacing w:val="1"/>
          <w:sz w:val="24"/>
          <w:szCs w:val="24"/>
          <w:u w:val="single"/>
        </w:rPr>
        <w:t>Ⅱ</w:t>
      </w:r>
      <w:r>
        <w:rPr>
          <w:rFonts w:hint="eastAsia" w:cs="宋体" w:asciiTheme="minorEastAsia" w:hAnsiTheme="minorEastAsia" w:eastAsiaTheme="minorEastAsia"/>
          <w:sz w:val="24"/>
          <w:szCs w:val="24"/>
          <w:u w:val="single"/>
        </w:rPr>
        <w:t>类错对应1次</w:t>
      </w:r>
      <w:r>
        <w:rPr>
          <w:rFonts w:hint="eastAsia" w:asciiTheme="minorEastAsia" w:hAnsiTheme="minorEastAsia" w:eastAsiaTheme="minorEastAsia"/>
          <w:sz w:val="24"/>
          <w:szCs w:val="24"/>
          <w:u w:val="single"/>
        </w:rPr>
        <w:t>严重违约责任，</w:t>
      </w:r>
      <w:r>
        <w:rPr>
          <w:rFonts w:hint="eastAsia" w:cs="宋体" w:asciiTheme="minorEastAsia" w:hAnsiTheme="minorEastAsia" w:eastAsiaTheme="minorEastAsia"/>
          <w:spacing w:val="1"/>
          <w:sz w:val="24"/>
          <w:szCs w:val="24"/>
          <w:u w:val="single"/>
        </w:rPr>
        <w:t>Ⅲ类</w:t>
      </w:r>
      <w:r>
        <w:rPr>
          <w:rFonts w:hint="eastAsia" w:cs="宋体" w:asciiTheme="minorEastAsia" w:hAnsiTheme="minorEastAsia" w:eastAsiaTheme="minorEastAsia"/>
          <w:sz w:val="24"/>
          <w:szCs w:val="24"/>
          <w:u w:val="single"/>
        </w:rPr>
        <w:t>错误对应2次一般</w:t>
      </w:r>
      <w:r>
        <w:rPr>
          <w:rFonts w:hint="eastAsia" w:asciiTheme="minorEastAsia" w:hAnsiTheme="minorEastAsia" w:eastAsiaTheme="minorEastAsia"/>
          <w:sz w:val="24"/>
          <w:szCs w:val="24"/>
          <w:u w:val="single"/>
        </w:rPr>
        <w:t>违约责任，</w:t>
      </w:r>
      <w:r>
        <w:rPr>
          <w:rFonts w:hint="eastAsia" w:cs="宋体" w:asciiTheme="minorEastAsia" w:hAnsiTheme="minorEastAsia" w:eastAsiaTheme="minorEastAsia"/>
          <w:spacing w:val="1"/>
          <w:sz w:val="24"/>
          <w:szCs w:val="24"/>
          <w:u w:val="single"/>
        </w:rPr>
        <w:t>Ⅳ类</w:t>
      </w:r>
      <w:r>
        <w:rPr>
          <w:rFonts w:hint="eastAsia" w:cs="宋体" w:asciiTheme="minorEastAsia" w:hAnsiTheme="minorEastAsia" w:eastAsiaTheme="minorEastAsia"/>
          <w:sz w:val="24"/>
          <w:szCs w:val="24"/>
          <w:u w:val="single"/>
        </w:rPr>
        <w:t>错误对应1次一般</w:t>
      </w:r>
      <w:r>
        <w:rPr>
          <w:rFonts w:hint="eastAsia" w:asciiTheme="minorEastAsia" w:hAnsiTheme="minorEastAsia" w:eastAsiaTheme="minorEastAsia"/>
          <w:sz w:val="24"/>
          <w:szCs w:val="24"/>
          <w:u w:val="single"/>
        </w:rPr>
        <w:t>违约责任。由此造成设计文件逾期交付的，按本章5.2.1条的约定处理。</w:t>
      </w:r>
    </w:p>
    <w:p w14:paraId="650AA610">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B）在对设计文件进行评审或审查时发现设计人的设计质量不符合合同约定或设计文件出现遗漏或错误的，并按附件5《设计错误分类》中</w:t>
      </w:r>
      <w:r>
        <w:rPr>
          <w:rFonts w:hint="eastAsia" w:cs="宋体" w:asciiTheme="minorEastAsia" w:hAnsiTheme="minorEastAsia" w:eastAsiaTheme="minorEastAsia"/>
          <w:spacing w:val="1"/>
          <w:sz w:val="24"/>
          <w:szCs w:val="24"/>
          <w:u w:val="single"/>
        </w:rPr>
        <w:t>Ⅰ类</w:t>
      </w:r>
      <w:r>
        <w:rPr>
          <w:rFonts w:hint="eastAsia" w:cs="宋体" w:asciiTheme="minorEastAsia" w:hAnsiTheme="minorEastAsia" w:eastAsiaTheme="minorEastAsia"/>
          <w:sz w:val="24"/>
          <w:szCs w:val="24"/>
          <w:u w:val="single"/>
        </w:rPr>
        <w:t>错误对应2次</w:t>
      </w:r>
      <w:r>
        <w:rPr>
          <w:rFonts w:hint="eastAsia" w:asciiTheme="minorEastAsia" w:hAnsiTheme="minorEastAsia" w:eastAsiaTheme="minorEastAsia"/>
          <w:sz w:val="24"/>
          <w:szCs w:val="24"/>
          <w:u w:val="single"/>
        </w:rPr>
        <w:t>严重违约责任，</w:t>
      </w:r>
      <w:r>
        <w:rPr>
          <w:rFonts w:hint="eastAsia" w:cs="宋体" w:asciiTheme="minorEastAsia" w:hAnsiTheme="minorEastAsia" w:eastAsiaTheme="minorEastAsia"/>
          <w:spacing w:val="1"/>
          <w:sz w:val="24"/>
          <w:szCs w:val="24"/>
          <w:u w:val="single"/>
        </w:rPr>
        <w:t>Ⅱ</w:t>
      </w:r>
      <w:r>
        <w:rPr>
          <w:rFonts w:hint="eastAsia" w:cs="宋体" w:asciiTheme="minorEastAsia" w:hAnsiTheme="minorEastAsia" w:eastAsiaTheme="minorEastAsia"/>
          <w:sz w:val="24"/>
          <w:szCs w:val="24"/>
          <w:u w:val="single"/>
        </w:rPr>
        <w:t>类错对应1次</w:t>
      </w:r>
      <w:r>
        <w:rPr>
          <w:rFonts w:hint="eastAsia" w:asciiTheme="minorEastAsia" w:hAnsiTheme="minorEastAsia" w:eastAsiaTheme="minorEastAsia"/>
          <w:sz w:val="24"/>
          <w:szCs w:val="24"/>
          <w:u w:val="single"/>
        </w:rPr>
        <w:t>严重违约责任，</w:t>
      </w:r>
      <w:r>
        <w:rPr>
          <w:rFonts w:hint="eastAsia" w:cs="宋体" w:asciiTheme="minorEastAsia" w:hAnsiTheme="minorEastAsia" w:eastAsiaTheme="minorEastAsia"/>
          <w:spacing w:val="1"/>
          <w:sz w:val="24"/>
          <w:szCs w:val="24"/>
          <w:u w:val="single"/>
        </w:rPr>
        <w:t>Ⅲ类</w:t>
      </w:r>
      <w:r>
        <w:rPr>
          <w:rFonts w:hint="eastAsia" w:cs="宋体" w:asciiTheme="minorEastAsia" w:hAnsiTheme="minorEastAsia" w:eastAsiaTheme="minorEastAsia"/>
          <w:sz w:val="24"/>
          <w:szCs w:val="24"/>
          <w:u w:val="single"/>
        </w:rPr>
        <w:t>错误对应2次一般</w:t>
      </w:r>
      <w:r>
        <w:rPr>
          <w:rFonts w:hint="eastAsia" w:asciiTheme="minorEastAsia" w:hAnsiTheme="minorEastAsia" w:eastAsiaTheme="minorEastAsia"/>
          <w:sz w:val="24"/>
          <w:szCs w:val="24"/>
          <w:u w:val="single"/>
        </w:rPr>
        <w:t>违约责任，</w:t>
      </w:r>
      <w:r>
        <w:rPr>
          <w:rFonts w:hint="eastAsia" w:cs="宋体" w:asciiTheme="minorEastAsia" w:hAnsiTheme="minorEastAsia" w:eastAsiaTheme="minorEastAsia"/>
          <w:spacing w:val="1"/>
          <w:sz w:val="24"/>
          <w:szCs w:val="24"/>
          <w:u w:val="single"/>
        </w:rPr>
        <w:t>Ⅳ类</w:t>
      </w:r>
      <w:r>
        <w:rPr>
          <w:rFonts w:hint="eastAsia" w:cs="宋体" w:asciiTheme="minorEastAsia" w:hAnsiTheme="minorEastAsia" w:eastAsiaTheme="minorEastAsia"/>
          <w:sz w:val="24"/>
          <w:szCs w:val="24"/>
          <w:u w:val="single"/>
        </w:rPr>
        <w:t>错误对应1次一般</w:t>
      </w:r>
      <w:r>
        <w:rPr>
          <w:rFonts w:hint="eastAsia" w:asciiTheme="minorEastAsia" w:hAnsiTheme="minorEastAsia" w:eastAsiaTheme="minorEastAsia"/>
          <w:sz w:val="24"/>
          <w:szCs w:val="24"/>
          <w:u w:val="single"/>
        </w:rPr>
        <w:t>违约责任；因此造成设计文件逾期交付的，按本章5.2.1条的约定处理。</w:t>
      </w:r>
    </w:p>
    <w:p w14:paraId="2D1D8720">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C）在后续设计或施工时发现设计人的设计质量不符合合同约定或设计文件出现遗漏或错误的，发包人有权根据实际情况决定其承担违约责任的形式并要求设计人赔偿损失，并按附件5《设计错误分类》中</w:t>
      </w:r>
      <w:r>
        <w:rPr>
          <w:rFonts w:hint="eastAsia" w:cs="宋体" w:asciiTheme="minorEastAsia" w:hAnsiTheme="minorEastAsia" w:eastAsiaTheme="minorEastAsia"/>
          <w:spacing w:val="1"/>
          <w:sz w:val="24"/>
          <w:szCs w:val="24"/>
          <w:u w:val="single"/>
        </w:rPr>
        <w:t>Ⅰ类</w:t>
      </w:r>
      <w:r>
        <w:rPr>
          <w:rFonts w:hint="eastAsia" w:cs="宋体" w:asciiTheme="minorEastAsia" w:hAnsiTheme="minorEastAsia" w:eastAsiaTheme="minorEastAsia"/>
          <w:sz w:val="24"/>
          <w:szCs w:val="24"/>
          <w:u w:val="single"/>
        </w:rPr>
        <w:t>错误对应2次</w:t>
      </w:r>
      <w:r>
        <w:rPr>
          <w:rFonts w:hint="eastAsia" w:asciiTheme="minorEastAsia" w:hAnsiTheme="minorEastAsia" w:eastAsiaTheme="minorEastAsia"/>
          <w:sz w:val="24"/>
          <w:szCs w:val="24"/>
          <w:u w:val="single"/>
        </w:rPr>
        <w:t>严重违约责任，</w:t>
      </w:r>
      <w:r>
        <w:rPr>
          <w:rFonts w:hint="eastAsia" w:cs="宋体" w:asciiTheme="minorEastAsia" w:hAnsiTheme="minorEastAsia" w:eastAsiaTheme="minorEastAsia"/>
          <w:spacing w:val="1"/>
          <w:sz w:val="24"/>
          <w:szCs w:val="24"/>
          <w:u w:val="single"/>
        </w:rPr>
        <w:t>Ⅱ</w:t>
      </w:r>
      <w:r>
        <w:rPr>
          <w:rFonts w:hint="eastAsia" w:cs="宋体" w:asciiTheme="minorEastAsia" w:hAnsiTheme="minorEastAsia" w:eastAsiaTheme="minorEastAsia"/>
          <w:sz w:val="24"/>
          <w:szCs w:val="24"/>
          <w:u w:val="single"/>
        </w:rPr>
        <w:t>类错对应1次</w:t>
      </w:r>
      <w:r>
        <w:rPr>
          <w:rFonts w:hint="eastAsia" w:asciiTheme="minorEastAsia" w:hAnsiTheme="minorEastAsia" w:eastAsiaTheme="minorEastAsia"/>
          <w:sz w:val="24"/>
          <w:szCs w:val="24"/>
          <w:u w:val="single"/>
        </w:rPr>
        <w:t>严重违约责任，</w:t>
      </w:r>
      <w:r>
        <w:rPr>
          <w:rFonts w:hint="eastAsia" w:cs="宋体" w:asciiTheme="minorEastAsia" w:hAnsiTheme="minorEastAsia" w:eastAsiaTheme="minorEastAsia"/>
          <w:spacing w:val="1"/>
          <w:sz w:val="24"/>
          <w:szCs w:val="24"/>
          <w:u w:val="single"/>
        </w:rPr>
        <w:t>Ⅲ类</w:t>
      </w:r>
      <w:r>
        <w:rPr>
          <w:rFonts w:hint="eastAsia" w:cs="宋体" w:asciiTheme="minorEastAsia" w:hAnsiTheme="minorEastAsia" w:eastAsiaTheme="minorEastAsia"/>
          <w:sz w:val="24"/>
          <w:szCs w:val="24"/>
          <w:u w:val="single"/>
        </w:rPr>
        <w:t>错误对应2次一般</w:t>
      </w:r>
      <w:r>
        <w:rPr>
          <w:rFonts w:hint="eastAsia" w:asciiTheme="minorEastAsia" w:hAnsiTheme="minorEastAsia" w:eastAsiaTheme="minorEastAsia"/>
          <w:sz w:val="24"/>
          <w:szCs w:val="24"/>
          <w:u w:val="single"/>
        </w:rPr>
        <w:t>违约责任，</w:t>
      </w:r>
      <w:r>
        <w:rPr>
          <w:rFonts w:hint="eastAsia" w:cs="宋体" w:asciiTheme="minorEastAsia" w:hAnsiTheme="minorEastAsia" w:eastAsiaTheme="minorEastAsia"/>
          <w:spacing w:val="1"/>
          <w:sz w:val="24"/>
          <w:szCs w:val="24"/>
          <w:u w:val="single"/>
        </w:rPr>
        <w:t>Ⅳ类</w:t>
      </w:r>
      <w:r>
        <w:rPr>
          <w:rFonts w:hint="eastAsia" w:cs="宋体" w:asciiTheme="minorEastAsia" w:hAnsiTheme="minorEastAsia" w:eastAsiaTheme="minorEastAsia"/>
          <w:sz w:val="24"/>
          <w:szCs w:val="24"/>
          <w:u w:val="single"/>
        </w:rPr>
        <w:t>错误对应1次一般</w:t>
      </w:r>
      <w:r>
        <w:rPr>
          <w:rFonts w:hint="eastAsia" w:asciiTheme="minorEastAsia" w:hAnsiTheme="minorEastAsia" w:eastAsiaTheme="minorEastAsia"/>
          <w:sz w:val="24"/>
          <w:szCs w:val="24"/>
          <w:u w:val="single"/>
        </w:rPr>
        <w:t>违约责任。</w:t>
      </w:r>
    </w:p>
    <w:p w14:paraId="33160113">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D）因设计人的设计质量不符合合同约定或设计文件出现遗漏或错误造成一般质量事故或工期延误3天以上5天以内的，按一般违约处理，设计人应负责修改或补充设计文件并免收直接受影响工程部分的设计费。</w:t>
      </w:r>
    </w:p>
    <w:p w14:paraId="70C73C17">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E）由于设计人设计错误造成工程严重质量事故或工期延误超过5天的，按严重违约处理，设计人除负责采取补救措施外，应免收直接受影响工程部分的设计费，给发包人造成损失的，应全额向发包人支付赔偿金。</w:t>
      </w:r>
    </w:p>
    <w:p w14:paraId="22E48064">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3）投资控制方面的违约责任：</w:t>
      </w:r>
    </w:p>
    <w:p w14:paraId="5F0A930A">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①设计人未取得发包人同意超投资限额设计的，超过30万元须限期改正，超过50万元须承担一般违约责任，超过100万元须承担严重违约责任，超过200万元按部分解除合同处理，超过400万元按解除合同处理。此外，扣减等同超限额部分金额设计费，同时设计人还要承担由此造成的一切经济责任和法律责任。</w:t>
      </w:r>
    </w:p>
    <w:p w14:paraId="214B4C1C">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4）人员投入方面的违约责任：</w:t>
      </w:r>
    </w:p>
    <w:p w14:paraId="583D2D25">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①设计人在合同附件中承诺投入的人员没有按发包人的指令按时到位的，必须在发包人规定的时间限期到位，如不在发包人规定的时间到位，发包人有权根据实际情况决定设计人承担违约责任的形式，设计人不得提出任何异议。</w:t>
      </w:r>
    </w:p>
    <w:p w14:paraId="28EA7E39">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②在本合同履行期内设计人要求更换人员的，按以下约定处理：</w:t>
      </w:r>
    </w:p>
    <w:p w14:paraId="37675FA9">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A）未经发包人同意的，更换一般设计人员须向发包人支付违约金人民币20万元/人次；更换专业设计负责人须向发包人支付违约金人民币30万元/人次；擅自更换驻场设计代表须向发包人支付违约金人民币40万元/人次；更换项目总负责人（或设计负责人）须向发包人支付违约金人民币50万元/人次。</w:t>
      </w:r>
    </w:p>
    <w:p w14:paraId="193826AD">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B）发包人有权书面通知设计人更换其认为不称职的一般设计人员、专业设计负责人、驻场设计代表和项目总负责人（或设计负责人），虽发包人提出更换上述人员，但不免除设计人的违约责任，发包人有权要求设计人分别按10万元/人次（一般设计人）、20万元/人次（专业设计负责人）、30万元/人次（驻场设计代表）和40万元/人次项目总负责人（或设计负责人）承担违约赔偿。设计人收到发包人通知后5天内更换上述人员，如不及时更换，发包人有权要求设计人按上述对应人员双倍的处罚金额承担违约赔偿。</w:t>
      </w:r>
    </w:p>
    <w:p w14:paraId="5AFCB1BD">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C）设计人可以向发包人书面提出更换一般设计人员、专业设计负责人、驻场设计代表和项目总负责人（或设计负责人），虽经发包人同意，但不免除设计人的违约责任，除死亡、因重病或重伤（持有县、区以上医院证明），两个月以上不能履行职责的等不可抗力的情况外，发包人有权要求设计人分别按5万元/人次（一般设计人）、10万元/人次（专业设计负责人）、20万元/人次（驻场设计代表）和30万元/人次项目总负责人（或设计负责人）承担违约赔偿。</w:t>
      </w:r>
    </w:p>
    <w:p w14:paraId="5B4F74F1">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D）因不可抗力事件（如重病、重伤、失踪、死亡等）造成设计人员岗位空缺的，设计人必须在出现空缺之日起五日内予以补充，但无须向发包人支付违约金。逾期未予以补充的，按照本章14.1.4，4）② A）条处理。</w:t>
      </w:r>
    </w:p>
    <w:p w14:paraId="5025B297">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5）其他方面的违约责任：</w:t>
      </w:r>
    </w:p>
    <w:p w14:paraId="3B749F45">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设计人违反本合同其他条款的约定或者履约时与其承诺不符，发包人有权根据实际情况决定其承担违约责任的形式，设计人不得提出任何异议。</w:t>
      </w:r>
    </w:p>
    <w:p w14:paraId="13E48939">
      <w:pPr>
        <w:spacing w:line="360" w:lineRule="auto"/>
        <w:ind w:firstLine="480" w:firstLineChars="200"/>
        <w:rPr>
          <w:rFonts w:cs="宋体" w:asciiTheme="minorEastAsia" w:hAnsiTheme="minorEastAsia" w:eastAsiaTheme="minorEastAsia"/>
          <w:snapToGrid w:val="0"/>
          <w:sz w:val="24"/>
          <w:szCs w:val="24"/>
          <w:u w:val="single"/>
        </w:rPr>
      </w:pPr>
      <w:r>
        <w:rPr>
          <w:rFonts w:hint="eastAsia" w:asciiTheme="minorEastAsia" w:hAnsiTheme="minorEastAsia" w:eastAsiaTheme="minorEastAsia"/>
          <w:sz w:val="24"/>
          <w:szCs w:val="24"/>
          <w:u w:val="single"/>
        </w:rPr>
        <w:t>①</w:t>
      </w:r>
      <w:r>
        <w:rPr>
          <w:rFonts w:hint="eastAsia" w:cs="宋体" w:asciiTheme="minorEastAsia" w:hAnsiTheme="minorEastAsia" w:eastAsiaTheme="minorEastAsia"/>
          <w:snapToGrid w:val="0"/>
          <w:sz w:val="24"/>
          <w:szCs w:val="24"/>
          <w:u w:val="single"/>
        </w:rPr>
        <w:t>设计人应支持、服从发包人的管理工作，对发包人的指令和书面通知，若无正当理由又未提前报告、得到认可，而公开或变相拒不执行的，第一次承担一般违约责任1次；第三次以后，每发生一次承担严重违约1次，</w:t>
      </w:r>
      <w:r>
        <w:rPr>
          <w:rFonts w:hint="eastAsia" w:cs="宋体" w:asciiTheme="minorEastAsia" w:hAnsiTheme="minorEastAsia" w:eastAsiaTheme="minorEastAsia"/>
          <w:bCs/>
          <w:snapToGrid w:val="0"/>
          <w:sz w:val="24"/>
          <w:szCs w:val="24"/>
          <w:u w:val="single"/>
        </w:rPr>
        <w:t>情节特别严重的，发包人有权部分解除合同或解除合同</w:t>
      </w:r>
      <w:r>
        <w:rPr>
          <w:rFonts w:hint="eastAsia" w:cs="宋体" w:asciiTheme="minorEastAsia" w:hAnsiTheme="minorEastAsia" w:eastAsiaTheme="minorEastAsia"/>
          <w:snapToGrid w:val="0"/>
          <w:sz w:val="24"/>
          <w:szCs w:val="24"/>
          <w:u w:val="single"/>
        </w:rPr>
        <w:t>。</w:t>
      </w:r>
    </w:p>
    <w:p w14:paraId="5F1CA11E">
      <w:pPr>
        <w:spacing w:line="360" w:lineRule="auto"/>
        <w:ind w:firstLine="480" w:firstLineChars="200"/>
        <w:rPr>
          <w:rFonts w:cs="宋体" w:asciiTheme="minorEastAsia" w:hAnsiTheme="minorEastAsia" w:eastAsiaTheme="minorEastAsia"/>
          <w:snapToGrid w:val="0"/>
          <w:sz w:val="24"/>
          <w:szCs w:val="24"/>
          <w:u w:val="single"/>
        </w:rPr>
      </w:pPr>
      <w:r>
        <w:rPr>
          <w:rFonts w:hint="eastAsia" w:cs="宋体" w:asciiTheme="minorEastAsia" w:hAnsiTheme="minorEastAsia" w:eastAsiaTheme="minorEastAsia"/>
          <w:snapToGrid w:val="0"/>
          <w:sz w:val="24"/>
          <w:szCs w:val="24"/>
          <w:u w:val="single"/>
        </w:rPr>
        <w:t>②对于发包人通知设计人（包括设计人分包单位）参加的会议（包括但不限于进场会、现场问题处理会议、工程验收会议、结算问题处理会议、质保期工作的相关会议等），被通知人员（包括但不限于设计人法定代表人、经报发包人批准同意的设计人法定代表人授权人、项目负责人等）未经发包人书面同意自行缺席的，每缺席一人次设计人承担1次一般违约责任。</w:t>
      </w:r>
    </w:p>
    <w:p w14:paraId="18905DF0">
      <w:pPr>
        <w:spacing w:line="360" w:lineRule="auto"/>
        <w:ind w:firstLine="480" w:firstLineChars="200"/>
        <w:rPr>
          <w:rFonts w:cs="宋体" w:asciiTheme="minorEastAsia" w:hAnsiTheme="minorEastAsia" w:eastAsiaTheme="minorEastAsia"/>
          <w:snapToGrid w:val="0"/>
          <w:sz w:val="24"/>
          <w:szCs w:val="24"/>
          <w:u w:val="single"/>
        </w:rPr>
      </w:pPr>
      <w:r>
        <w:rPr>
          <w:rFonts w:hint="eastAsia" w:cs="宋体" w:asciiTheme="minorEastAsia" w:hAnsiTheme="minorEastAsia" w:eastAsiaTheme="minorEastAsia"/>
          <w:snapToGrid w:val="0"/>
          <w:sz w:val="24"/>
          <w:szCs w:val="24"/>
          <w:u w:val="single"/>
        </w:rPr>
        <w:t>③设计人未能按合同约定及时提供招标配合服务，或其招标配合服务未能达到合同约定的要求，导致发包人的招标工作不能按时顺利进行的，每确认1次，设计人承担一般违约责任1次。</w:t>
      </w:r>
    </w:p>
    <w:p w14:paraId="2C7FDD6F">
      <w:pPr>
        <w:spacing w:line="360" w:lineRule="auto"/>
        <w:ind w:firstLine="480" w:firstLineChars="200"/>
        <w:rPr>
          <w:rFonts w:asciiTheme="minorEastAsia" w:hAnsiTheme="minorEastAsia" w:eastAsiaTheme="minorEastAsia"/>
          <w:sz w:val="24"/>
          <w:szCs w:val="24"/>
          <w:u w:val="single"/>
        </w:rPr>
      </w:pPr>
      <w:r>
        <w:rPr>
          <w:rFonts w:hint="eastAsia" w:cs="宋体" w:asciiTheme="minorEastAsia" w:hAnsiTheme="minorEastAsia" w:eastAsiaTheme="minorEastAsia"/>
          <w:snapToGrid w:val="0"/>
          <w:sz w:val="24"/>
          <w:szCs w:val="24"/>
          <w:u w:val="single"/>
        </w:rPr>
        <w:t>④设计人未能按合同约定投入人员或投入人员没有按时到位的人员为一般设计人员的，每出现1人次，设计人承担一般违约责任1次；如该没有投入或者没有按时到位的人员为设计专业负责人的，每出现1人次，设计人承担严重违约责任1次。设计人要求更换人员的，需征得发包人同意。设计人在发包人规定的宽限期内仍未将人员投入到位的，发包人有权另请他人接替其工作并书面通知设计人，另请他人的费用从应支付给设计人的设计费中扣减。</w:t>
      </w:r>
      <w:r>
        <w:rPr>
          <w:rFonts w:hint="eastAsia" w:cs="宋体" w:asciiTheme="minorEastAsia" w:hAnsiTheme="minorEastAsia" w:eastAsiaTheme="minorEastAsia"/>
          <w:kern w:val="1"/>
          <w:sz w:val="24"/>
          <w:szCs w:val="24"/>
          <w:u w:val="single"/>
        </w:rPr>
        <w:t>因不可抗力事件（如重病、重伤、失踪、死亡等）造成设计人员岗位空缺的，设计人必须在出现空缺之日起五日内予以补充，但无须向发包人支付违约金。逾期未予以补充的，按照</w:t>
      </w:r>
      <w:r>
        <w:rPr>
          <w:rFonts w:hint="eastAsia" w:cs="宋体" w:asciiTheme="minorEastAsia" w:hAnsiTheme="minorEastAsia" w:eastAsiaTheme="minorEastAsia"/>
          <w:snapToGrid w:val="0"/>
          <w:sz w:val="24"/>
          <w:szCs w:val="24"/>
          <w:u w:val="single"/>
        </w:rPr>
        <w:t>没有按时到位</w:t>
      </w:r>
      <w:r>
        <w:rPr>
          <w:rFonts w:hint="eastAsia" w:cs="宋体" w:asciiTheme="minorEastAsia" w:hAnsiTheme="minorEastAsia" w:eastAsiaTheme="minorEastAsia"/>
          <w:kern w:val="1"/>
          <w:sz w:val="24"/>
          <w:szCs w:val="24"/>
          <w:u w:val="single"/>
        </w:rPr>
        <w:t>处理。</w:t>
      </w:r>
    </w:p>
    <w:p w14:paraId="551858A0">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6）违约金从履约担保中扣除。履约担保不足的，相应扣减项目设计费。项目设计费不足的，发包人可继续向设计人提出索赔要求。</w:t>
      </w:r>
    </w:p>
    <w:p w14:paraId="3D3D60B0">
      <w:pPr>
        <w:pStyle w:val="6"/>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 xml:space="preserve">15. 不可抗力 </w:t>
      </w:r>
    </w:p>
    <w:p w14:paraId="6914F023">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15.1 不可抗力的确认</w:t>
      </w:r>
    </w:p>
    <w:p w14:paraId="6DC3302F">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除通用合同条款约定的不可抗力事件之外，视为不可抗力的其他情形：</w:t>
      </w:r>
      <w:r>
        <w:rPr>
          <w:rFonts w:hint="eastAsia" w:asciiTheme="minorEastAsia" w:hAnsiTheme="minorEastAsia" w:eastAsiaTheme="minorEastAsia"/>
          <w:kern w:val="0"/>
          <w:sz w:val="24"/>
          <w:szCs w:val="24"/>
          <w:u w:val="single"/>
        </w:rPr>
        <w:t xml:space="preserve">  重病、重伤、失踪、死亡等       </w:t>
      </w:r>
      <w:r>
        <w:rPr>
          <w:rFonts w:hint="eastAsia" w:asciiTheme="minorEastAsia" w:hAnsiTheme="minorEastAsia" w:eastAsiaTheme="minorEastAsia"/>
          <w:kern w:val="0"/>
          <w:sz w:val="24"/>
          <w:szCs w:val="24"/>
        </w:rPr>
        <w:t>。</w:t>
      </w:r>
    </w:p>
    <w:p w14:paraId="06C4ACC2">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15.3不可抗力后果的承担</w:t>
      </w:r>
    </w:p>
    <w:p w14:paraId="30B3C0BA">
      <w:pPr>
        <w:spacing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因不可抗力事件导致的费用损失，由甲、乙双方各自承担自己的损失；对不可抗力事件导致的工期延误，除非一次影响工期延误大于30天，否则竣工日期不变，分段工期或者节点工期可以延误，但设计人应当在下一个节点或分段竣工日前赶回。</w:t>
      </w:r>
    </w:p>
    <w:p w14:paraId="3E14FBE8">
      <w:pPr>
        <w:spacing w:before="120" w:after="120"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 xml:space="preserve">16. 合同解除 </w:t>
      </w:r>
    </w:p>
    <w:p w14:paraId="73AC3F42">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16.2 </w:t>
      </w:r>
      <w:r>
        <w:rPr>
          <w:rFonts w:hint="eastAsia" w:cs="Courier New" w:asciiTheme="minorEastAsia" w:hAnsiTheme="minorEastAsia" w:eastAsiaTheme="minorEastAsia"/>
          <w:sz w:val="24"/>
          <w:szCs w:val="24"/>
        </w:rPr>
        <w:t>有下列情形之一的，可以解除合同：</w:t>
      </w:r>
    </w:p>
    <w:p w14:paraId="407DD894">
      <w:pPr>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（3）暂停设计期限已连续超过</w:t>
      </w:r>
      <w:r>
        <w:rPr>
          <w:rFonts w:hint="eastAsia" w:asciiTheme="minorEastAsia" w:hAnsiTheme="minorEastAsia" w:eastAsiaTheme="minorEastAsia"/>
          <w:kern w:val="0"/>
          <w:sz w:val="24"/>
          <w:szCs w:val="24"/>
          <w:u w:val="single"/>
        </w:rPr>
        <w:t xml:space="preserve">  180  </w:t>
      </w:r>
      <w:r>
        <w:rPr>
          <w:rFonts w:hint="eastAsia" w:asciiTheme="minorEastAsia" w:hAnsiTheme="minorEastAsia" w:eastAsiaTheme="minorEastAsia"/>
          <w:kern w:val="0"/>
          <w:sz w:val="24"/>
          <w:szCs w:val="24"/>
        </w:rPr>
        <w:t>个日历天。</w:t>
      </w:r>
    </w:p>
    <w:p w14:paraId="7926138C">
      <w:pPr>
        <w:spacing w:line="360" w:lineRule="auto"/>
        <w:ind w:firstLine="480" w:firstLineChars="200"/>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 xml:space="preserve">16.4 </w:t>
      </w:r>
      <w:r>
        <w:rPr>
          <w:rFonts w:hint="eastAsia" w:cs="Courier New" w:asciiTheme="minorEastAsia" w:hAnsiTheme="minorEastAsia" w:eastAsiaTheme="minorEastAsia"/>
          <w:sz w:val="24"/>
          <w:szCs w:val="24"/>
        </w:rPr>
        <w:t>发包人向设计人支付已完工作设计费的期限为</w:t>
      </w:r>
      <w:r>
        <w:rPr>
          <w:rFonts w:hint="eastAsia" w:cs="Courier New" w:asciiTheme="minorEastAsia" w:hAnsiTheme="minorEastAsia" w:eastAsiaTheme="minorEastAsia"/>
          <w:sz w:val="24"/>
          <w:szCs w:val="24"/>
          <w:u w:val="single"/>
        </w:rPr>
        <w:t xml:space="preserve">  180  </w:t>
      </w:r>
      <w:r>
        <w:rPr>
          <w:rFonts w:hint="eastAsia" w:asciiTheme="minorEastAsia" w:hAnsiTheme="minorEastAsia" w:eastAsiaTheme="minorEastAsia"/>
          <w:kern w:val="0"/>
          <w:sz w:val="24"/>
          <w:szCs w:val="24"/>
        </w:rPr>
        <w:t>个日历天</w:t>
      </w:r>
      <w:r>
        <w:rPr>
          <w:rFonts w:hint="eastAsia" w:cs="Courier New" w:asciiTheme="minorEastAsia" w:hAnsiTheme="minorEastAsia" w:eastAsiaTheme="minorEastAsia"/>
          <w:sz w:val="24"/>
          <w:szCs w:val="24"/>
        </w:rPr>
        <w:t>内。</w:t>
      </w:r>
    </w:p>
    <w:p w14:paraId="44FD4F4E">
      <w:pPr>
        <w:pStyle w:val="6"/>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17. 争议解决</w:t>
      </w:r>
    </w:p>
    <w:p w14:paraId="2BB7D1FA">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17.4 仲裁或诉讼</w:t>
      </w:r>
    </w:p>
    <w:p w14:paraId="7378B1EF">
      <w:pPr>
        <w:spacing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因合同及合同有关事项发生的争议，按下列第</w:t>
      </w:r>
      <w:r>
        <w:rPr>
          <w:rFonts w:hint="eastAsia" w:asciiTheme="minorEastAsia" w:hAnsiTheme="minorEastAsia" w:eastAsiaTheme="minorEastAsia"/>
          <w:sz w:val="24"/>
          <w:szCs w:val="24"/>
          <w:u w:val="single"/>
        </w:rPr>
        <w:t xml:space="preserve">   （1）  </w:t>
      </w:r>
      <w:r>
        <w:rPr>
          <w:rFonts w:hint="eastAsia" w:asciiTheme="minorEastAsia" w:hAnsiTheme="minorEastAsia" w:eastAsiaTheme="minorEastAsia"/>
          <w:sz w:val="24"/>
          <w:szCs w:val="24"/>
        </w:rPr>
        <w:t>种方式解决：</w:t>
      </w:r>
    </w:p>
    <w:p w14:paraId="7A6A3D83">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（1）向</w:t>
      </w:r>
      <w:r>
        <w:rPr>
          <w:rFonts w:hint="eastAsia" w:asciiTheme="minorEastAsia" w:hAnsiTheme="minorEastAsia" w:eastAsiaTheme="minorEastAsia"/>
          <w:sz w:val="24"/>
          <w:szCs w:val="24"/>
          <w:u w:val="single"/>
        </w:rPr>
        <w:t xml:space="preserve">    广州市   </w:t>
      </w:r>
      <w:r>
        <w:rPr>
          <w:rFonts w:hint="eastAsia" w:asciiTheme="minorEastAsia" w:hAnsiTheme="minorEastAsia" w:eastAsiaTheme="minorEastAsia"/>
          <w:sz w:val="24"/>
          <w:szCs w:val="24"/>
        </w:rPr>
        <w:t>人民法院起诉；</w:t>
      </w:r>
    </w:p>
    <w:p w14:paraId="1954DB1D">
      <w:pPr>
        <w:pStyle w:val="6"/>
        <w:spacing w:before="120" w:after="120"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18. 其他（如果没有，填“无”）</w:t>
      </w:r>
    </w:p>
    <w:bookmarkEnd w:id="176"/>
    <w:p w14:paraId="3D246249">
      <w:pPr>
        <w:spacing w:line="360" w:lineRule="auto"/>
        <w:jc w:val="left"/>
        <w:rPr>
          <w:rFonts w:asciiTheme="minorEastAsia" w:hAnsiTheme="minorEastAsia" w:eastAsiaTheme="minorEastAsia"/>
          <w:b/>
          <w:sz w:val="24"/>
          <w:szCs w:val="24"/>
        </w:rPr>
      </w:pPr>
      <w:bookmarkStart w:id="178" w:name="_Toc351203652"/>
      <w:r>
        <w:rPr>
          <w:rFonts w:hint="eastAsia" w:asciiTheme="minorEastAsia" w:hAnsiTheme="minorEastAsia" w:eastAsiaTheme="minorEastAsia"/>
          <w:b/>
          <w:sz w:val="24"/>
          <w:szCs w:val="24"/>
        </w:rPr>
        <w:t>附件</w:t>
      </w:r>
      <w:bookmarkEnd w:id="178"/>
    </w:p>
    <w:p w14:paraId="2C77BA41">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附件1：工程设计范围、阶段与服务内容</w:t>
      </w:r>
    </w:p>
    <w:p w14:paraId="6B7F41B3">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附件2：发包人向设计人提交的有关资料及文件一览表</w:t>
      </w:r>
    </w:p>
    <w:p w14:paraId="2DFACA6B">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附件3：设计人向发包人交付的工程设计文件目录</w:t>
      </w:r>
    </w:p>
    <w:p w14:paraId="4BE7760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附件4：专业设计及驻场服务人员表</w:t>
      </w:r>
    </w:p>
    <w:p w14:paraId="2B052A88">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 设计错误分类</w:t>
      </w:r>
    </w:p>
    <w:p w14:paraId="5A160E60">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附件6: 廉政合同</w:t>
      </w:r>
    </w:p>
    <w:p w14:paraId="54EFA6E0">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附件7: 银行保函格式</w:t>
      </w:r>
    </w:p>
    <w:p w14:paraId="5AE149C1">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附件8：担保公司保函格式</w:t>
      </w:r>
    </w:p>
    <w:p w14:paraId="2A204280">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附件9: </w:t>
      </w:r>
      <w:r>
        <w:rPr>
          <w:rFonts w:hint="eastAsia" w:ascii="宋体" w:hAnsi="宋体"/>
          <w:bCs/>
          <w:sz w:val="24"/>
          <w:szCs w:val="24"/>
        </w:rPr>
        <w:t>省代建局直接管理项目设计单位履约评价实施细则</w:t>
      </w:r>
    </w:p>
    <w:p w14:paraId="4E114A0D">
      <w:pPr>
        <w:spacing w:line="360" w:lineRule="auto"/>
        <w:jc w:val="left"/>
        <w:rPr>
          <w:rFonts w:hint="eastAsia" w:asciiTheme="minorEastAsia" w:hAnsiTheme="minorEastAsia" w:eastAsiaTheme="minorEastAsia"/>
          <w:b/>
          <w:sz w:val="24"/>
          <w:szCs w:val="24"/>
        </w:rPr>
      </w:pPr>
      <w:bookmarkStart w:id="179" w:name="_Toc278309716"/>
      <w:bookmarkStart w:id="180" w:name="_Toc278231956"/>
    </w:p>
    <w:p w14:paraId="0C5C38BE">
      <w:pPr>
        <w:spacing w:line="360" w:lineRule="auto"/>
        <w:jc w:val="left"/>
        <w:rPr>
          <w:rFonts w:hint="eastAsia" w:asciiTheme="minorEastAsia" w:hAnsiTheme="minorEastAsia" w:eastAsiaTheme="minorEastAsia"/>
          <w:b/>
          <w:sz w:val="24"/>
          <w:szCs w:val="24"/>
        </w:rPr>
      </w:pPr>
    </w:p>
    <w:p w14:paraId="4C717F85">
      <w:pPr>
        <w:spacing w:line="360" w:lineRule="auto"/>
        <w:jc w:val="left"/>
        <w:rPr>
          <w:rFonts w:hint="eastAsia" w:asciiTheme="minorEastAsia" w:hAnsiTheme="minorEastAsia" w:eastAsiaTheme="minorEastAsia"/>
          <w:b/>
          <w:sz w:val="24"/>
          <w:szCs w:val="24"/>
        </w:rPr>
      </w:pPr>
    </w:p>
    <w:p w14:paraId="0CE13E3F">
      <w:pPr>
        <w:spacing w:line="360" w:lineRule="auto"/>
        <w:jc w:val="left"/>
        <w:rPr>
          <w:rFonts w:hint="eastAsia" w:asciiTheme="minorEastAsia" w:hAnsiTheme="minorEastAsia" w:eastAsiaTheme="minorEastAsia"/>
          <w:b/>
          <w:sz w:val="24"/>
          <w:szCs w:val="24"/>
        </w:rPr>
      </w:pPr>
    </w:p>
    <w:p w14:paraId="782CC4CB">
      <w:pPr>
        <w:spacing w:line="360" w:lineRule="auto"/>
        <w:jc w:val="left"/>
        <w:rPr>
          <w:rFonts w:hint="eastAsia" w:asciiTheme="minorEastAsia" w:hAnsiTheme="minorEastAsia" w:eastAsiaTheme="minorEastAsia"/>
          <w:b/>
          <w:sz w:val="24"/>
          <w:szCs w:val="24"/>
        </w:rPr>
      </w:pPr>
    </w:p>
    <w:p w14:paraId="31D8A994">
      <w:pPr>
        <w:spacing w:line="360" w:lineRule="auto"/>
        <w:jc w:val="left"/>
        <w:rPr>
          <w:rFonts w:hint="eastAsia" w:asciiTheme="minorEastAsia" w:hAnsiTheme="minorEastAsia" w:eastAsiaTheme="minorEastAsia"/>
          <w:b/>
          <w:sz w:val="24"/>
          <w:szCs w:val="24"/>
        </w:rPr>
      </w:pPr>
    </w:p>
    <w:p w14:paraId="41B0934A">
      <w:pPr>
        <w:spacing w:line="360" w:lineRule="auto"/>
        <w:jc w:val="left"/>
        <w:rPr>
          <w:rFonts w:hint="eastAsia" w:asciiTheme="minorEastAsia" w:hAnsiTheme="minorEastAsia" w:eastAsiaTheme="minorEastAsia"/>
          <w:b/>
          <w:sz w:val="24"/>
          <w:szCs w:val="24"/>
        </w:rPr>
      </w:pPr>
    </w:p>
    <w:p w14:paraId="0ADCCF8C">
      <w:pPr>
        <w:spacing w:line="360" w:lineRule="auto"/>
        <w:jc w:val="left"/>
        <w:rPr>
          <w:rFonts w:hint="eastAsia" w:asciiTheme="minorEastAsia" w:hAnsiTheme="minorEastAsia" w:eastAsiaTheme="minorEastAsia"/>
          <w:b/>
          <w:sz w:val="24"/>
          <w:szCs w:val="24"/>
        </w:rPr>
      </w:pPr>
    </w:p>
    <w:p w14:paraId="4E44A8CA">
      <w:pPr>
        <w:spacing w:line="360" w:lineRule="auto"/>
        <w:jc w:val="left"/>
        <w:rPr>
          <w:rFonts w:hint="eastAsia" w:asciiTheme="minorEastAsia" w:hAnsiTheme="minorEastAsia" w:eastAsiaTheme="minorEastAsia"/>
          <w:b/>
          <w:sz w:val="24"/>
          <w:szCs w:val="24"/>
        </w:rPr>
      </w:pPr>
    </w:p>
    <w:p w14:paraId="17FFF05F">
      <w:pPr>
        <w:spacing w:line="360" w:lineRule="auto"/>
        <w:jc w:val="left"/>
        <w:rPr>
          <w:rFonts w:hint="eastAsia" w:asciiTheme="minorEastAsia" w:hAnsiTheme="minorEastAsia" w:eastAsiaTheme="minorEastAsia"/>
          <w:b/>
          <w:sz w:val="24"/>
          <w:szCs w:val="24"/>
        </w:rPr>
      </w:pPr>
    </w:p>
    <w:p w14:paraId="2A4FF7E0">
      <w:pPr>
        <w:spacing w:line="360" w:lineRule="auto"/>
        <w:jc w:val="left"/>
        <w:rPr>
          <w:rFonts w:hint="eastAsia" w:asciiTheme="minorEastAsia" w:hAnsiTheme="minorEastAsia" w:eastAsiaTheme="minorEastAsia"/>
          <w:b/>
          <w:sz w:val="24"/>
          <w:szCs w:val="24"/>
        </w:rPr>
      </w:pPr>
    </w:p>
    <w:p w14:paraId="7845B16B">
      <w:pPr>
        <w:spacing w:line="360" w:lineRule="auto"/>
        <w:jc w:val="left"/>
        <w:rPr>
          <w:rFonts w:hint="eastAsia" w:asciiTheme="minorEastAsia" w:hAnsiTheme="minorEastAsia" w:eastAsiaTheme="minorEastAsia"/>
          <w:b/>
          <w:sz w:val="24"/>
          <w:szCs w:val="24"/>
        </w:rPr>
      </w:pPr>
    </w:p>
    <w:p w14:paraId="43A28976">
      <w:pPr>
        <w:spacing w:line="360" w:lineRule="auto"/>
        <w:jc w:val="left"/>
        <w:rPr>
          <w:rFonts w:hint="eastAsia" w:asciiTheme="minorEastAsia" w:hAnsiTheme="minorEastAsia" w:eastAsiaTheme="minorEastAsia"/>
          <w:b/>
          <w:sz w:val="24"/>
          <w:szCs w:val="24"/>
        </w:rPr>
      </w:pPr>
    </w:p>
    <w:p w14:paraId="7AD702D4">
      <w:pPr>
        <w:spacing w:line="360" w:lineRule="auto"/>
        <w:jc w:val="left"/>
        <w:rPr>
          <w:rFonts w:hint="eastAsia" w:asciiTheme="minorEastAsia" w:hAnsiTheme="minorEastAsia" w:eastAsiaTheme="minorEastAsia"/>
          <w:b/>
          <w:sz w:val="24"/>
          <w:szCs w:val="24"/>
        </w:rPr>
      </w:pPr>
    </w:p>
    <w:p w14:paraId="263C02E6">
      <w:pPr>
        <w:spacing w:line="360" w:lineRule="auto"/>
        <w:jc w:val="left"/>
        <w:rPr>
          <w:rFonts w:hint="eastAsia" w:asciiTheme="minorEastAsia" w:hAnsiTheme="minorEastAsia" w:eastAsiaTheme="minorEastAsia"/>
          <w:b/>
          <w:sz w:val="24"/>
          <w:szCs w:val="24"/>
        </w:rPr>
      </w:pPr>
    </w:p>
    <w:p w14:paraId="42841210">
      <w:pPr>
        <w:pStyle w:val="2"/>
        <w:rPr>
          <w:rFonts w:hint="eastAsia"/>
        </w:rPr>
      </w:pPr>
    </w:p>
    <w:p w14:paraId="52EA4B05">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附件1：工程设计范围、阶段与服务内容</w:t>
      </w:r>
    </w:p>
    <w:p w14:paraId="02908F41">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工程设计范围、阶段与服务内容</w:t>
      </w:r>
      <w:bookmarkEnd w:id="179"/>
      <w:bookmarkEnd w:id="180"/>
    </w:p>
    <w:p w14:paraId="49A3F000">
      <w:pPr>
        <w:spacing w:line="360" w:lineRule="auto"/>
        <w:ind w:firstLine="451" w:firstLineChars="187"/>
        <w:rPr>
          <w:rFonts w:asciiTheme="minorEastAsia" w:hAnsiTheme="minorEastAsia" w:eastAsiaTheme="minorEastAsia"/>
          <w:b/>
          <w:sz w:val="24"/>
          <w:szCs w:val="24"/>
        </w:rPr>
      </w:pPr>
    </w:p>
    <w:p w14:paraId="0E35DD9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发包人与设计人可根据项目的具体情况，选择确定本附件内容。</w:t>
      </w:r>
    </w:p>
    <w:p w14:paraId="540D25BD">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一、本工程设计范围</w:t>
      </w:r>
    </w:p>
    <w:p w14:paraId="0DA21F5F">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（1）方案修改及完善：根据现行《建筑工程设计文件编制深度规定》</w:t>
      </w:r>
      <w:r>
        <w:rPr>
          <w:rFonts w:hint="eastAsia" w:asciiTheme="minorEastAsia" w:hAnsiTheme="minorEastAsia" w:eastAsiaTheme="minorEastAsia"/>
          <w:snapToGrid w:val="0"/>
          <w:kern w:val="0"/>
          <w:sz w:val="24"/>
          <w:szCs w:val="24"/>
          <w:u w:val="single"/>
        </w:rPr>
        <w:t>、《市政公用工程设计文件编制深度规定》</w:t>
      </w:r>
      <w:r>
        <w:rPr>
          <w:rFonts w:hint="eastAsia" w:asciiTheme="minorEastAsia" w:hAnsiTheme="minorEastAsia" w:eastAsiaTheme="minorEastAsia"/>
          <w:snapToGrid w:val="0"/>
          <w:kern w:val="0"/>
          <w:sz w:val="24"/>
          <w:szCs w:val="24"/>
        </w:rPr>
        <w:t>中关于方案设计应达到的设计深度要求，同时根据专家评审意见及有关职能部门提出的修改意见，对发包人选定的设计方案进行修改和完善。</w:t>
      </w:r>
    </w:p>
    <w:p w14:paraId="7A1E358A">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（2）规划方案审查：</w:t>
      </w:r>
      <w:r>
        <w:rPr>
          <w:rFonts w:hint="eastAsia" w:asciiTheme="minorEastAsia" w:hAnsiTheme="minorEastAsia" w:eastAsiaTheme="minorEastAsia"/>
          <w:snapToGrid w:val="0"/>
          <w:kern w:val="0"/>
          <w:sz w:val="24"/>
          <w:szCs w:val="24"/>
          <w:u w:val="single"/>
        </w:rPr>
        <w:t xml:space="preserve">         红线 </w:t>
      </w:r>
      <w:r>
        <w:rPr>
          <w:rFonts w:hint="eastAsia" w:asciiTheme="minorEastAsia" w:hAnsiTheme="minorEastAsia" w:eastAsiaTheme="minorEastAsia"/>
          <w:snapToGrid w:val="0"/>
          <w:kern w:val="0"/>
          <w:sz w:val="24"/>
          <w:szCs w:val="24"/>
        </w:rPr>
        <w:t>范围内</w:t>
      </w:r>
      <w:r>
        <w:rPr>
          <w:rFonts w:hint="eastAsia" w:asciiTheme="minorEastAsia" w:hAnsiTheme="minorEastAsia" w:eastAsiaTheme="minorEastAsia"/>
          <w:b/>
          <w:snapToGrid w:val="0"/>
          <w:kern w:val="0"/>
          <w:sz w:val="24"/>
          <w:szCs w:val="24"/>
          <w:u w:val="single"/>
        </w:rPr>
        <w:t>（具体以发包人书面要求为准）</w:t>
      </w:r>
      <w:r>
        <w:rPr>
          <w:rFonts w:hint="eastAsia" w:asciiTheme="minorEastAsia" w:hAnsiTheme="minorEastAsia" w:eastAsiaTheme="minorEastAsia"/>
          <w:snapToGrid w:val="0"/>
          <w:kern w:val="0"/>
          <w:sz w:val="24"/>
          <w:szCs w:val="24"/>
        </w:rPr>
        <w:t>总平面及竖向规划设计、管线综合设计、建筑布局、交通组织、景观绿化、建筑立面、环境节能保护等。</w:t>
      </w:r>
    </w:p>
    <w:p w14:paraId="14A48206">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（3）室外市政、园林工程设计：</w:t>
      </w:r>
      <w:r>
        <w:rPr>
          <w:rFonts w:hint="eastAsia" w:asciiTheme="minorEastAsia" w:hAnsiTheme="minorEastAsia" w:eastAsiaTheme="minorEastAsia"/>
          <w:bCs/>
          <w:snapToGrid w:val="0"/>
          <w:kern w:val="0"/>
          <w:sz w:val="24"/>
          <w:szCs w:val="24"/>
        </w:rPr>
        <w:t>本项目</w:t>
      </w:r>
      <w:r>
        <w:rPr>
          <w:rFonts w:hint="eastAsia" w:asciiTheme="minorEastAsia" w:hAnsiTheme="minorEastAsia" w:eastAsiaTheme="minorEastAsia"/>
          <w:snapToGrid w:val="0"/>
          <w:kern w:val="0"/>
          <w:sz w:val="24"/>
          <w:szCs w:val="24"/>
        </w:rPr>
        <w:t>范围内的道路、园林景观绿化、停车场、供电系统、照明系统、广播音响系统、安全防范监视系统、大屏幕显示系统、标识系统、室外给排水系统、自动喷淋系统、消防系统等的设计，以及室外各种管线综合平衡设计。</w:t>
      </w:r>
    </w:p>
    <w:p w14:paraId="56476A1C">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（4）建筑设计：本项目范围内的建筑设计、室内装修设计（含标识系统）。</w:t>
      </w:r>
    </w:p>
    <w:p w14:paraId="5788257A">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（5）结构设计：本项目范围内建筑体的结构设计、基坑支护设计、幕墙等装修工程的结构设计等。大、中型项目要做装配式建筑的方案比选。</w:t>
      </w:r>
    </w:p>
    <w:p w14:paraId="352AD1BC">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6）电气设计：建筑内部高低压变配电系统、动力、照明配电、消防应急照明和疏散指示系统采用智能消防应急照明疏散指示逃生系统、防雷及接地等，室外配套工程配电和照明工程（含泛光照明），红线内电力等管线平衡等。</w:t>
      </w:r>
    </w:p>
    <w:p w14:paraId="3A3D7858">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（7）建筑智能化系统设计：</w:t>
      </w:r>
    </w:p>
    <w:p w14:paraId="033D1995">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1）通信网络系统：包括计算机网络系统、电话（语音）网络系统、综合布线系统、有线电视及卫星电视接收系统、公共广播及消防广播系统、信息发布（含大屏幕电子公告）、引导系统、手机信号覆盖系统、室内手机信号屏蔽系统、无线上网系统等；</w:t>
      </w:r>
    </w:p>
    <w:p w14:paraId="529419F2">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2）电子会议系统； </w:t>
      </w:r>
    </w:p>
    <w:p w14:paraId="4156D521">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3）新闻发布系统；</w:t>
      </w:r>
    </w:p>
    <w:p w14:paraId="0606DD00">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4）建筑设备监控系统；</w:t>
      </w:r>
    </w:p>
    <w:p w14:paraId="51696DE4">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5）安全防范系统：包括入侵报警系统、视频监控系统、出入口控制系统、电子巡更系统、停车场管理系统、智能卡系统、安全防范系统集成（设计范围内的所有建筑、公众区域、停车场、出入口通道等区域的安保设计）等；</w:t>
      </w:r>
    </w:p>
    <w:p w14:paraId="704617A5">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6）智能化系统集成；</w:t>
      </w:r>
    </w:p>
    <w:p w14:paraId="28D2E5D5">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7）弱电防雷系统；</w:t>
      </w:r>
    </w:p>
    <w:p w14:paraId="2F0CD7F8">
      <w:pPr>
        <w:adjustRightInd w:val="0"/>
        <w:snapToGrid w:val="0"/>
        <w:spacing w:line="360" w:lineRule="auto"/>
        <w:ind w:firstLine="480" w:firstLineChars="200"/>
        <w:rPr>
          <w:rFonts w:asciiTheme="minorEastAsia" w:hAnsiTheme="minorEastAsia" w:eastAsiaTheme="minorEastAsia"/>
          <w:bCs/>
          <w:snapToGrid w:val="0"/>
          <w:kern w:val="0"/>
          <w:sz w:val="24"/>
          <w:szCs w:val="24"/>
          <w:bdr w:val="single" w:color="auto" w:sz="4" w:space="0"/>
        </w:rPr>
      </w:pPr>
      <w:r>
        <w:rPr>
          <w:rFonts w:hint="eastAsia" w:asciiTheme="minorEastAsia" w:hAnsiTheme="minorEastAsia" w:eastAsiaTheme="minorEastAsia"/>
          <w:snapToGrid w:val="0"/>
          <w:kern w:val="0"/>
          <w:sz w:val="24"/>
          <w:szCs w:val="24"/>
        </w:rPr>
        <w:t xml:space="preserve">  8）机房工程；</w:t>
      </w:r>
    </w:p>
    <w:p w14:paraId="30E5531C">
      <w:pPr>
        <w:adjustRightInd w:val="0"/>
        <w:snapToGrid w:val="0"/>
        <w:spacing w:line="360" w:lineRule="auto"/>
        <w:ind w:firstLine="480" w:firstLineChars="200"/>
        <w:rPr>
          <w:rFonts w:asciiTheme="minorEastAsia" w:hAnsiTheme="minorEastAsia" w:eastAsiaTheme="minorEastAsia"/>
          <w:bCs/>
          <w:snapToGrid w:val="0"/>
          <w:kern w:val="0"/>
          <w:sz w:val="24"/>
          <w:szCs w:val="24"/>
          <w:bdr w:val="single" w:color="auto" w:sz="4" w:space="0"/>
        </w:rPr>
      </w:pPr>
      <w:r>
        <w:rPr>
          <w:rFonts w:hint="eastAsia" w:asciiTheme="minorEastAsia" w:hAnsiTheme="minorEastAsia" w:eastAsiaTheme="minorEastAsia"/>
          <w:snapToGrid w:val="0"/>
          <w:kern w:val="0"/>
          <w:sz w:val="24"/>
          <w:szCs w:val="24"/>
        </w:rPr>
        <w:t xml:space="preserve">  9）监控中心。</w:t>
      </w:r>
    </w:p>
    <w:p w14:paraId="443DB5AA">
      <w:pPr>
        <w:adjustRightInd w:val="0"/>
        <w:snapToGrid w:val="0"/>
        <w:spacing w:line="360" w:lineRule="auto"/>
        <w:ind w:firstLine="480" w:firstLineChars="200"/>
        <w:rPr>
          <w:rFonts w:asciiTheme="minorEastAsia" w:hAnsiTheme="minorEastAsia" w:eastAsiaTheme="minorEastAsia"/>
          <w:snapToGrid w:val="0"/>
          <w:kern w:val="0"/>
          <w:sz w:val="24"/>
          <w:szCs w:val="24"/>
          <w:u w:val="single"/>
        </w:rPr>
      </w:pPr>
      <w:r>
        <w:rPr>
          <w:rFonts w:hint="eastAsia" w:asciiTheme="minorEastAsia" w:hAnsiTheme="minorEastAsia" w:eastAsiaTheme="minorEastAsia"/>
          <w:snapToGrid w:val="0"/>
          <w:kern w:val="0"/>
          <w:sz w:val="24"/>
          <w:szCs w:val="24"/>
        </w:rPr>
        <w:t>（8）给排水设计</w:t>
      </w:r>
      <w:r>
        <w:rPr>
          <w:rFonts w:hint="eastAsia" w:asciiTheme="minorEastAsia" w:hAnsiTheme="minorEastAsia" w:eastAsiaTheme="minorEastAsia"/>
          <w:snapToGrid w:val="0"/>
          <w:kern w:val="0"/>
          <w:sz w:val="24"/>
          <w:szCs w:val="24"/>
          <w:u w:val="single"/>
        </w:rPr>
        <w:t>（含外水接入、接出部分，需设计接至主管部门指定接口）</w:t>
      </w:r>
      <w:r>
        <w:rPr>
          <w:rFonts w:hint="eastAsia" w:asciiTheme="minorEastAsia" w:hAnsiTheme="minorEastAsia" w:eastAsiaTheme="minorEastAsia"/>
          <w:snapToGrid w:val="0"/>
          <w:kern w:val="0"/>
          <w:sz w:val="24"/>
          <w:szCs w:val="24"/>
        </w:rPr>
        <w:t>：建筑给水、排水系统设计（包含直饮水供水系统）、</w:t>
      </w:r>
      <w:r>
        <w:rPr>
          <w:rFonts w:hint="eastAsia" w:asciiTheme="minorEastAsia" w:hAnsiTheme="minorEastAsia" w:eastAsiaTheme="minorEastAsia"/>
          <w:snapToGrid w:val="0"/>
          <w:kern w:val="0"/>
          <w:sz w:val="24"/>
          <w:szCs w:val="24"/>
          <w:u w:val="single"/>
        </w:rPr>
        <w:t>集中热水供应系统、用地内外与市政管线接驳等设计</w:t>
      </w:r>
      <w:r>
        <w:rPr>
          <w:rFonts w:hint="eastAsia" w:asciiTheme="minorEastAsia" w:hAnsiTheme="minorEastAsia" w:eastAsiaTheme="minorEastAsia"/>
          <w:snapToGrid w:val="0"/>
          <w:kern w:val="0"/>
          <w:sz w:val="24"/>
          <w:szCs w:val="24"/>
        </w:rPr>
        <w:t>。</w:t>
      </w:r>
    </w:p>
    <w:p w14:paraId="13843471">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（9）空调通风设计：包括不限于建筑物内部通风系统、建筑物内部空气调节系统、中央洗尘系统、集中供冷供热系统等的设计。</w:t>
      </w:r>
    </w:p>
    <w:p w14:paraId="22FAF9C6">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（10）消防设计：消火栓系统、自动喷淋系统、气体灭火系统、防排烟系统、火灾自动报警及联动控制系统。</w:t>
      </w:r>
    </w:p>
    <w:p w14:paraId="034FCCE1">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（11）人防工程设计。</w:t>
      </w:r>
    </w:p>
    <w:p w14:paraId="5701A85F">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（12）电梯工程设计与相关配合。</w:t>
      </w:r>
    </w:p>
    <w:p w14:paraId="30788E68">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（13）市政道路专业设计。</w:t>
      </w:r>
    </w:p>
    <w:p w14:paraId="6603BB1F">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（14）市政管线专业设计。</w:t>
      </w:r>
    </w:p>
    <w:p w14:paraId="13DD400F">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（15）按照项目的灯光、声学等特殊工艺设计要求进行建筑、结构及其配套设备专业的设计与相关配合。</w:t>
      </w:r>
    </w:p>
    <w:p w14:paraId="7478AFC3">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（16）管线综合平衡设计：各种专业设备、系统的管线在建筑物内、外的路由平衡设计。建筑物内、外的管线综合平衡设计以专篇形式提交。</w:t>
      </w:r>
    </w:p>
    <w:p w14:paraId="6B3EE3E4">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（17）设备选型意见：就拟采用的专用机电设备、专用电子设备（如大屏幕显示系统、广播音响系统等）的选型于施工图设计开始前向发包人提出书面意见并提供相关设备的技术参数规格书，但不设计专用设备。</w:t>
      </w:r>
    </w:p>
    <w:p w14:paraId="77E3924E">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（18）建筑节能、绿色建筑设计和申报、验收，以及新技术应用的研究和设计。</w:t>
      </w:r>
    </w:p>
    <w:p w14:paraId="6D62045C">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（19）编制方案设计投资估算。</w:t>
      </w:r>
    </w:p>
    <w:p w14:paraId="5EB85587">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（20）编制初步设计概算。</w:t>
      </w:r>
    </w:p>
    <w:p w14:paraId="76E22A0A">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（21）编制设计变更预算。</w:t>
      </w:r>
    </w:p>
    <w:p w14:paraId="360C5A64">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（22）编制施工图预算。</w:t>
      </w:r>
    </w:p>
    <w:p w14:paraId="015E5552">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（23）在规划红线范围内，设计人应保证按规划及建筑功能要求、配套设施要求完成本合同工程造价中包含的全部项目的专业专项设计。</w:t>
      </w:r>
    </w:p>
    <w:p w14:paraId="46944266">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（24）对于专项分包设计文件，须由设计人及专项分包单位人员校核并会签盖章确认。</w:t>
      </w:r>
    </w:p>
    <w:p w14:paraId="67DD768F">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（25）提供主要设备材料表及技术要求书，配合发包人的招标工作。</w:t>
      </w:r>
    </w:p>
    <w:p w14:paraId="3AE1E3C6">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地震评估、环境评估、防雷评估、风洞试验、振动台试验、点试验、消防性能化分析及有关专项试验、研究与论证不在设计人设计范畴内，但设计人应配合发包人工作。</w:t>
      </w:r>
    </w:p>
    <w:p w14:paraId="66699B28">
      <w:pPr>
        <w:adjustRightInd w:val="0"/>
        <w:snapToGrid w:val="0"/>
        <w:spacing w:line="360" w:lineRule="auto"/>
        <w:ind w:firstLine="480" w:firstLineChars="200"/>
        <w:rPr>
          <w:rFonts w:asciiTheme="minorEastAsia" w:hAnsiTheme="minorEastAsia" w:eastAsiaTheme="minorEastAsia"/>
          <w:snapToGrid w:val="0"/>
          <w:kern w:val="0"/>
          <w:sz w:val="24"/>
          <w:szCs w:val="24"/>
          <w:u w:val="single"/>
        </w:rPr>
      </w:pPr>
      <w:r>
        <w:rPr>
          <w:rFonts w:hint="eastAsia" w:asciiTheme="minorEastAsia" w:hAnsiTheme="minorEastAsia" w:eastAsiaTheme="minorEastAsia"/>
          <w:snapToGrid w:val="0"/>
          <w:kern w:val="0"/>
          <w:sz w:val="24"/>
          <w:szCs w:val="24"/>
        </w:rPr>
        <w:t>（26）幕墙工程</w:t>
      </w:r>
      <w:r>
        <w:rPr>
          <w:rFonts w:hint="eastAsia" w:asciiTheme="minorEastAsia" w:hAnsiTheme="minorEastAsia" w:eastAsiaTheme="minorEastAsia"/>
          <w:snapToGrid w:val="0"/>
          <w:kern w:val="0"/>
          <w:sz w:val="24"/>
          <w:szCs w:val="24"/>
          <w:u w:val="single"/>
        </w:rPr>
        <w:t>（如有）。</w:t>
      </w:r>
    </w:p>
    <w:p w14:paraId="1582F2F7">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（27）</w:t>
      </w:r>
      <w:r>
        <w:rPr>
          <w:rFonts w:hint="eastAsia" w:asciiTheme="minorEastAsia" w:hAnsiTheme="minorEastAsia" w:eastAsiaTheme="minorEastAsia"/>
          <w:sz w:val="24"/>
          <w:szCs w:val="24"/>
        </w:rPr>
        <w:t>环保工程设计。</w:t>
      </w:r>
    </w:p>
    <w:p w14:paraId="7885852C">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（28）防雷设计。</w:t>
      </w:r>
    </w:p>
    <w:p w14:paraId="4DE0E041">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（29）</w:t>
      </w:r>
      <w:r>
        <w:rPr>
          <w:rFonts w:hint="eastAsia" w:asciiTheme="minorEastAsia" w:hAnsiTheme="minorEastAsia" w:eastAsiaTheme="minorEastAsia"/>
          <w:sz w:val="24"/>
          <w:szCs w:val="24"/>
        </w:rPr>
        <w:t>标识导引系统设计</w:t>
      </w:r>
      <w:r>
        <w:rPr>
          <w:rFonts w:hint="eastAsia" w:asciiTheme="minorEastAsia" w:hAnsiTheme="minorEastAsia" w:eastAsiaTheme="minorEastAsia"/>
          <w:snapToGrid w:val="0"/>
          <w:kern w:val="0"/>
          <w:sz w:val="24"/>
          <w:szCs w:val="24"/>
        </w:rPr>
        <w:t>。</w:t>
      </w:r>
    </w:p>
    <w:p w14:paraId="2330DA7A">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（30）擦窗机设计。</w:t>
      </w:r>
    </w:p>
    <w:p w14:paraId="1A9EFAB4">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（31）临水、临电、施工围墙、施工便道、施工总平面等工程设计。</w:t>
      </w:r>
    </w:p>
    <w:p w14:paraId="44B3ECED">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（32）建设单位的驻地办公场所设计（临时板房、景观绿化、旗杆等）。</w:t>
      </w:r>
    </w:p>
    <w:p w14:paraId="608FAF96">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（33）本项目实施过程中所涉及的现有设施拆除、管线迁改等内容的设计。</w:t>
      </w:r>
    </w:p>
    <w:p w14:paraId="5C102F54">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（34）机械停车设计。</w:t>
      </w:r>
    </w:p>
    <w:p w14:paraId="4F8390AF">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（35）厨房设计。</w:t>
      </w:r>
    </w:p>
    <w:p w14:paraId="6FEE3579">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（36）项目前期摸查报告编制（</w:t>
      </w:r>
      <w:r>
        <w:rPr>
          <w:rFonts w:hint="eastAsia" w:asciiTheme="minorEastAsia" w:hAnsiTheme="minorEastAsia" w:eastAsiaTheme="minorEastAsia"/>
          <w:sz w:val="24"/>
          <w:szCs w:val="24"/>
        </w:rPr>
        <w:t>项目建设范围内及周边管线、地上建（构）筑物、交通、市政配套、地形地貌等前期摸查</w:t>
      </w:r>
      <w:r>
        <w:rPr>
          <w:rFonts w:hint="eastAsia" w:asciiTheme="minorEastAsia" w:hAnsiTheme="minorEastAsia" w:eastAsiaTheme="minorEastAsia"/>
          <w:snapToGrid w:val="0"/>
          <w:kern w:val="0"/>
          <w:sz w:val="24"/>
          <w:szCs w:val="24"/>
        </w:rPr>
        <w:t>），项目各阶段设计重点、难点分析报告。</w:t>
      </w:r>
    </w:p>
    <w:p w14:paraId="49AF93AF">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（37）其他：</w:t>
      </w:r>
    </w:p>
    <w:p w14:paraId="13CDCC72">
      <w:pPr>
        <w:adjustRightInd w:val="0"/>
        <w:snapToGrid w:val="0"/>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1）需进行装配式建筑设计，装配率需满足</w:t>
      </w:r>
      <w:r>
        <w:rPr>
          <w:rFonts w:hint="eastAsia" w:cs="Courier New" w:asciiTheme="minorEastAsia" w:hAnsiTheme="minorEastAsia" w:eastAsiaTheme="minorEastAsia"/>
          <w:sz w:val="24"/>
          <w:szCs w:val="24"/>
        </w:rPr>
        <w:t>广州市住房和城乡建设局相关规定的要求；</w:t>
      </w:r>
    </w:p>
    <w:p w14:paraId="3E8403B0">
      <w:pPr>
        <w:adjustRightInd w:val="0"/>
        <w:snapToGrid w:val="0"/>
        <w:spacing w:line="360" w:lineRule="auto"/>
        <w:ind w:firstLine="480" w:firstLineChars="200"/>
        <w:rPr>
          <w:rFonts w:asciiTheme="minorEastAsia" w:hAnsiTheme="minorEastAsia" w:eastAsiaTheme="minorEastAsia"/>
          <w:i/>
          <w:snapToGrid w:val="0"/>
          <w:kern w:val="0"/>
          <w:sz w:val="24"/>
          <w:szCs w:val="24"/>
        </w:rPr>
      </w:pPr>
      <w:r>
        <w:rPr>
          <w:rFonts w:hint="eastAsia" w:asciiTheme="minorEastAsia" w:hAnsiTheme="minorEastAsia" w:eastAsiaTheme="minorEastAsia"/>
          <w:snapToGrid w:val="0"/>
          <w:kern w:val="0"/>
          <w:sz w:val="24"/>
          <w:szCs w:val="24"/>
        </w:rPr>
        <w:t>2）需进行全过程BIM设计，并在BIM模型的基础上导出全部图纸，并需无偿向发包人提供相应格式的电子文件（BIM费用包含于设计费中，不另行支付）；</w:t>
      </w:r>
    </w:p>
    <w:p w14:paraId="09E190C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napToGrid w:val="0"/>
          <w:kern w:val="0"/>
          <w:sz w:val="24"/>
          <w:szCs w:val="24"/>
        </w:rPr>
        <w:t>3）负责网上填报各阶段报建相关资料，并负责纸质报送材料的整理组卷盖章工作。</w:t>
      </w:r>
    </w:p>
    <w:p w14:paraId="52C9BF8F">
      <w:pPr>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二、本工程设计阶段划分</w:t>
      </w:r>
    </w:p>
    <w:p w14:paraId="2764598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□方案设计阶段、□初步设计、施工图设计及施工配合四个阶段。</w:t>
      </w:r>
    </w:p>
    <w:p w14:paraId="0A121CD7">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三、各阶段服务内容</w:t>
      </w:r>
    </w:p>
    <w:p w14:paraId="197A51E8">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1.方案设计阶段</w:t>
      </w:r>
    </w:p>
    <w:p w14:paraId="419409E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（1）与发包人及发包人聘用的顾问充分沟通，深入研究项目基础资料，协助发包人提出本项目的发展规划和市场潜力； </w:t>
      </w:r>
    </w:p>
    <w:p w14:paraId="101BDDF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（2）完成总体规划和方案设计，提供满足深度的方案设计图纸，并制作符合政府部门要求的规划意见书与设计方案报批文件，协助发包人进行报批工作； </w:t>
      </w:r>
    </w:p>
    <w:p w14:paraId="5ACA868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（3）根据政府部门的审批意见在本合同约定的范围内对设计方案进行修改和必要的调整，以通过政府部门审查批准； </w:t>
      </w:r>
    </w:p>
    <w:p w14:paraId="63724410">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4）设计人依据设计方案成果编制造价估算文件，完成估算编制后，方案阶段成果应与可行性研究成果进行对比和分析，对超出限额的部分进行说明和分析，提出修改指引和意见并报送</w:t>
      </w:r>
      <w:r>
        <w:rPr>
          <w:rFonts w:hint="eastAsia" w:asciiTheme="minorEastAsia" w:hAnsiTheme="minorEastAsia" w:eastAsiaTheme="minorEastAsia"/>
          <w:b/>
          <w:sz w:val="24"/>
          <w:szCs w:val="24"/>
        </w:rPr>
        <w:t>发包人</w:t>
      </w:r>
    </w:p>
    <w:p w14:paraId="7E2E659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5）协调景观、交通、精装修等各专业顾问公司的工作，对其设计方案和技术经济指标进行审核，提供咨询意见。在保证与该项目总体方案设计相一致的情况下，接受经发包人确认的顾问公司的合理化建议并对方案进行调整； </w:t>
      </w:r>
    </w:p>
    <w:p w14:paraId="0C2ACB8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（6）配合发包人进行人防、消防、交通、绿化及市政管网等方面的咨询工作；</w:t>
      </w:r>
    </w:p>
    <w:p w14:paraId="150447A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（7）负责完成人防、消防等规划方案，协助发包人完成报批工作。</w:t>
      </w:r>
    </w:p>
    <w:p w14:paraId="3A923C7A">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2.初步设计阶段</w:t>
      </w:r>
    </w:p>
    <w:p w14:paraId="03E2D7C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（1）负责完成并制作建筑、结构、给排水、暖通空调、电气、动力、室外管线综合等专业的初步设计文件，设计内容和深度应满足政府相关规定； </w:t>
      </w:r>
    </w:p>
    <w:p w14:paraId="1EE059EB">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sz w:val="24"/>
          <w:szCs w:val="24"/>
        </w:rPr>
        <w:t>初步设计过程中，设计人应对主要总规划、建筑方案、结构形式、工艺流程、主要设备指标等提出技术和经济方面的比选方案。用以制定专业设计原则进行方案设计及材料设备选型，以单位工程作为评价，做好专业内的平衡和调整，提出节约投资的措施。初步设计文件确定后，设计人对概算文件进行对比和分析，对超出限额的部分进行说明和分析，提出修改指引和意见供发包人参考。</w:t>
      </w:r>
    </w:p>
    <w:p w14:paraId="3205BE1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（3）制作报政府相关部门进行初步设计审查的设计图纸，配合发包人进行交通、园林、人防、消防、供电、市政、气象等各部门的报审工作，提供相关的工程用量参数，并负责有关解释和修改。</w:t>
      </w:r>
    </w:p>
    <w:p w14:paraId="6C0CCE44">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3.施工图设计阶段</w:t>
      </w:r>
    </w:p>
    <w:p w14:paraId="395780C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（1）负责完成并制作总图、建筑、结构、机电、室外管线综合等全部专业的施工图设计文件； </w:t>
      </w:r>
    </w:p>
    <w:p w14:paraId="4CED785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（2）对发包人的审核修改意见进行修改、完善，保证其设计意图的最终实现；</w:t>
      </w:r>
    </w:p>
    <w:p w14:paraId="77E4D53D">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施工图预算完成编制后，由造价咨询单位负责预算与初步设计概算进行对比和分析，设计人应对超出或需要调整的设计内容，在不影响工程功能水平、工程质量、工程运营维护成本、全寿命周期费用等情况下，进行设计优化，确保预算不超出设计限额和工程总投资额。</w:t>
      </w:r>
    </w:p>
    <w:p w14:paraId="42316AF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（4）根据项目开发进度要求及时提供各阶段报审图纸，协助发包人进行报审工作，根据审查结果在本合同约定的范围内进行修改调整，直至审查通过，并最终向发包人提交正式的施工图设计文件； </w:t>
      </w:r>
    </w:p>
    <w:p w14:paraId="30C1D34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（5）协助发包人进行工程招标答疑。</w:t>
      </w:r>
    </w:p>
    <w:p w14:paraId="3BAA020E">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4.施工配合阶段</w:t>
      </w:r>
    </w:p>
    <w:p w14:paraId="27500F5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（1）负责工程设计交底，解答施工过程中施工承包人有关施工图的问题，项目负责人及各专业设计负责人，及时对施工中与设计有关的问题做出回应，保证设计满足施工要求； </w:t>
      </w:r>
    </w:p>
    <w:p w14:paraId="63A058A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（2）根据发包人要求，及时参加与设计有关的专题会，现场解决技术问题； </w:t>
      </w:r>
    </w:p>
    <w:p w14:paraId="73FBEE4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（3）协助发包人处理工程洽商和设计变更，负责有关设计修改，及时办理相关手续； </w:t>
      </w:r>
    </w:p>
    <w:p w14:paraId="48CB382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（4）参与与设计人相关的必要的验收以及项目竣工验收工作，并及时办理相关手续； </w:t>
      </w:r>
    </w:p>
    <w:p w14:paraId="261BB95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（5）提供产品选型、设备加工订货、建筑材料选择以及分包商考察等技术咨询工作； </w:t>
      </w:r>
    </w:p>
    <w:p w14:paraId="2B5ABC1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（6）应发包人要求协助审核各分包商的设计文件是否满足接口条件并签署意见，以保证其与总体设计协调一致，并满足工程要求。</w:t>
      </w:r>
    </w:p>
    <w:p w14:paraId="028D426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（7）现场服务：</w:t>
      </w:r>
      <w:r>
        <w:rPr>
          <w:rFonts w:hint="eastAsia" w:asciiTheme="minorEastAsia" w:hAnsiTheme="minorEastAsia" w:eastAsiaTheme="minorEastAsia"/>
          <w:sz w:val="24"/>
          <w:szCs w:val="24"/>
          <w:u w:val="single"/>
        </w:rPr>
        <w:t>指派设计人员常驻</w:t>
      </w:r>
      <w:r>
        <w:rPr>
          <w:rFonts w:hint="eastAsia" w:asciiTheme="minorEastAsia" w:hAnsiTheme="minorEastAsia" w:eastAsiaTheme="minorEastAsia"/>
          <w:bCs/>
          <w:sz w:val="24"/>
          <w:szCs w:val="24"/>
          <w:u w:val="single"/>
        </w:rPr>
        <w:t>项目</w:t>
      </w:r>
      <w:r>
        <w:rPr>
          <w:rFonts w:hint="eastAsia" w:asciiTheme="minorEastAsia" w:hAnsiTheme="minorEastAsia" w:eastAsiaTheme="minorEastAsia"/>
          <w:sz w:val="24"/>
          <w:szCs w:val="24"/>
        </w:rPr>
        <w:t>，按设计方分工责任分配组织进行，配合发包人进行现场巡查，直至工程竣工验收合格为止。当建设过程中对设计文件有疑问，设计方在接到通知后，应及时派出专业工程师解决。属于一般设计问题，若无特殊情况，应在一天内解决。属于重大设计问题，可在5天内书面提出解决意见。对设计图纸与现场不符之处，应及时提出解决办法。</w:t>
      </w:r>
    </w:p>
    <w:p w14:paraId="1CB6905A">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8）</w:t>
      </w:r>
      <w:r>
        <w:rPr>
          <w:rFonts w:hint="eastAsia" w:asciiTheme="minorEastAsia" w:hAnsiTheme="minorEastAsia" w:eastAsiaTheme="minorEastAsia"/>
          <w:b/>
          <w:sz w:val="24"/>
          <w:szCs w:val="24"/>
        </w:rPr>
        <w:t>加强设计变更管理，应严格控制变更的发生，对非发生不可的变更，应尽量提前。设计人应先对工程重大设计变更方案进行造价估算，开展价值工程研究，向发包人报送新旧设计方案行造价估算、施工工艺、功能等方面对比分析，供发包人参考使用。发包人同意后，设计人才可以出正式设计变更文件。并由造价咨询单位对设计变更造价进行动态管理。</w:t>
      </w:r>
    </w:p>
    <w:p w14:paraId="34F8BB2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配合发包人进行施工招标和设备、材料采购招标工作，要考虑工程实施的需要，在计划、工期上要根据工程总体策划考虑工程招投标、设备采购、施工组织所需要的时间，提前交付设计文件。其招标文件技术部分由设计人负责编写。</w:t>
      </w:r>
    </w:p>
    <w:p w14:paraId="1A1B5E1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（9）提供设备、材料订货清单，同时原则上须向发包人推荐三家以上供应商及提供相关资料，所提供的供应商和相关资料不能带有倾向性和排他性。</w:t>
      </w:r>
    </w:p>
    <w:p w14:paraId="238C10B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（10）对设备、材料订货有关性能、参数、规格确认，以及协助参与对已订设备、材料的验收工作。</w:t>
      </w:r>
    </w:p>
    <w:p w14:paraId="7EAA9D5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（11）协助制订设备系统的调试计划和参与设备试车调试。</w:t>
      </w:r>
    </w:p>
    <w:p w14:paraId="0CC67A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（12）参与工程的报建与各类验收，参与编写工程总结。</w:t>
      </w:r>
    </w:p>
    <w:p w14:paraId="0A931FE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（13）项目负责人应该参加发包人或监理单位召开的协调会、调度会。</w:t>
      </w:r>
    </w:p>
    <w:p w14:paraId="12C92C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 根据工程进展情况和需要，对一些特殊工程，设计方向发包人提供施工组织设计的书面建议，配合编写工程施工技术标准（施工作业指导书），对设计各部分所应满足的规范、标准进行总说明，对各条文进行摘录汇编。若对超规范（标准）之处，应初拟技术标准，以供专家论证后执行。</w:t>
      </w:r>
    </w:p>
    <w:p w14:paraId="335DE04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（15）施工单位编制竣工图完成后，设计方应组织各专业人员审核竣工图纸的完整性和准确性，各级审核人员应签名确认。</w:t>
      </w:r>
    </w:p>
    <w:p w14:paraId="12799AE3">
      <w:pPr>
        <w:spacing w:before="156" w:beforeLines="50" w:after="156" w:afterLines="50" w:line="360" w:lineRule="auto"/>
        <w:jc w:val="left"/>
        <w:rPr>
          <w:rFonts w:asciiTheme="minorEastAsia" w:hAnsiTheme="minorEastAsia" w:eastAsiaTheme="minorEastAsia"/>
          <w:sz w:val="24"/>
          <w:szCs w:val="24"/>
        </w:rPr>
      </w:pPr>
    </w:p>
    <w:p w14:paraId="1A891513">
      <w:pPr>
        <w:spacing w:line="360" w:lineRule="auto"/>
        <w:jc w:val="left"/>
        <w:rPr>
          <w:rFonts w:asciiTheme="minorEastAsia" w:hAnsiTheme="minorEastAsia" w:eastAsiaTheme="minorEastAsia"/>
          <w:b/>
          <w:sz w:val="24"/>
          <w:szCs w:val="24"/>
        </w:rPr>
      </w:pPr>
      <w:bookmarkStart w:id="181" w:name="_Toc278309718"/>
      <w:bookmarkStart w:id="182" w:name="_Toc278231958"/>
      <w:r>
        <w:rPr>
          <w:rFonts w:hint="eastAsia" w:asciiTheme="minorEastAsia" w:hAnsiTheme="minorEastAsia" w:eastAsiaTheme="minorEastAsia"/>
          <w:b/>
          <w:sz w:val="24"/>
          <w:szCs w:val="24"/>
        </w:rPr>
        <w:br w:type="page"/>
      </w:r>
      <w:r>
        <w:rPr>
          <w:rFonts w:hint="eastAsia" w:asciiTheme="minorEastAsia" w:hAnsiTheme="minorEastAsia" w:eastAsiaTheme="minorEastAsia"/>
          <w:b/>
          <w:sz w:val="24"/>
          <w:szCs w:val="24"/>
        </w:rPr>
        <w:t>附件2：发包人向设计人提交有关资料及文件一览表</w:t>
      </w:r>
    </w:p>
    <w:p w14:paraId="787BA5B2">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发包人向设计人提交有关资料及文件</w:t>
      </w:r>
      <w:bookmarkEnd w:id="181"/>
      <w:bookmarkEnd w:id="182"/>
      <w:r>
        <w:rPr>
          <w:rFonts w:hint="eastAsia" w:asciiTheme="minorEastAsia" w:hAnsiTheme="minorEastAsia" w:eastAsiaTheme="minorEastAsia"/>
          <w:sz w:val="24"/>
          <w:szCs w:val="24"/>
        </w:rPr>
        <w:t>一览表</w:t>
      </w:r>
    </w:p>
    <w:p w14:paraId="069E0E60">
      <w:pPr>
        <w:spacing w:after="156" w:afterLines="50" w:line="360" w:lineRule="auto"/>
        <w:rPr>
          <w:rFonts w:cs="Courier New" w:asciiTheme="minorEastAsia" w:hAnsiTheme="minorEastAsia" w:eastAsiaTheme="minorEastAsia"/>
          <w:sz w:val="24"/>
          <w:szCs w:val="24"/>
        </w:rPr>
      </w:pPr>
    </w:p>
    <w:tbl>
      <w:tblPr>
        <w:tblStyle w:val="54"/>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56C4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67503CEC">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3785" w:type="dxa"/>
            <w:vAlign w:val="center"/>
          </w:tcPr>
          <w:p w14:paraId="33223E07">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资料及文件名称</w:t>
            </w:r>
          </w:p>
        </w:tc>
        <w:tc>
          <w:tcPr>
            <w:tcW w:w="720" w:type="dxa"/>
            <w:vAlign w:val="center"/>
          </w:tcPr>
          <w:p w14:paraId="06A02FF4">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份数</w:t>
            </w:r>
          </w:p>
        </w:tc>
        <w:tc>
          <w:tcPr>
            <w:tcW w:w="2885" w:type="dxa"/>
            <w:vAlign w:val="center"/>
          </w:tcPr>
          <w:p w14:paraId="3C3BF4F6">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提交日期</w:t>
            </w:r>
          </w:p>
        </w:tc>
        <w:tc>
          <w:tcPr>
            <w:tcW w:w="1087" w:type="dxa"/>
            <w:vAlign w:val="center"/>
          </w:tcPr>
          <w:p w14:paraId="7F0AD8EE">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有关事宜</w:t>
            </w:r>
          </w:p>
        </w:tc>
      </w:tr>
      <w:tr w14:paraId="5667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611B052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3785" w:type="dxa"/>
            <w:vAlign w:val="center"/>
          </w:tcPr>
          <w:p w14:paraId="723C3D8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项目立项报告和审批文件</w:t>
            </w:r>
          </w:p>
        </w:tc>
        <w:tc>
          <w:tcPr>
            <w:tcW w:w="720" w:type="dxa"/>
            <w:vAlign w:val="center"/>
          </w:tcPr>
          <w:p w14:paraId="6036DC2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各1</w:t>
            </w:r>
          </w:p>
        </w:tc>
        <w:tc>
          <w:tcPr>
            <w:tcW w:w="2885" w:type="dxa"/>
            <w:vAlign w:val="center"/>
          </w:tcPr>
          <w:p w14:paraId="4D006B5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方案开始3天前</w:t>
            </w:r>
          </w:p>
        </w:tc>
        <w:tc>
          <w:tcPr>
            <w:tcW w:w="1087" w:type="dxa"/>
            <w:vMerge w:val="restart"/>
            <w:vAlign w:val="center"/>
          </w:tcPr>
          <w:p w14:paraId="3D8246F8">
            <w:pPr>
              <w:spacing w:line="360" w:lineRule="auto"/>
              <w:jc w:val="center"/>
              <w:rPr>
                <w:rFonts w:asciiTheme="minorEastAsia" w:hAnsiTheme="minorEastAsia" w:eastAsiaTheme="minorEastAsia"/>
                <w:sz w:val="24"/>
                <w:szCs w:val="24"/>
              </w:rPr>
            </w:pPr>
          </w:p>
        </w:tc>
      </w:tr>
      <w:tr w14:paraId="00FB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78BB6E2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3785" w:type="dxa"/>
            <w:vAlign w:val="center"/>
          </w:tcPr>
          <w:p w14:paraId="02E3BA8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发包人要求即设计任务书（含对建筑、结构、给水排水、暖通空调、建筑电气、总图等专业的具体要求）</w:t>
            </w:r>
          </w:p>
        </w:tc>
        <w:tc>
          <w:tcPr>
            <w:tcW w:w="720" w:type="dxa"/>
            <w:vAlign w:val="center"/>
          </w:tcPr>
          <w:p w14:paraId="443D8A2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885" w:type="dxa"/>
            <w:vAlign w:val="center"/>
          </w:tcPr>
          <w:p w14:paraId="2248E09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方案开始3天前</w:t>
            </w:r>
          </w:p>
        </w:tc>
        <w:tc>
          <w:tcPr>
            <w:tcW w:w="1087" w:type="dxa"/>
            <w:vMerge w:val="continue"/>
            <w:vAlign w:val="center"/>
          </w:tcPr>
          <w:p w14:paraId="01BE6C32">
            <w:pPr>
              <w:spacing w:line="360" w:lineRule="auto"/>
              <w:jc w:val="center"/>
              <w:rPr>
                <w:rFonts w:asciiTheme="minorEastAsia" w:hAnsiTheme="minorEastAsia" w:eastAsiaTheme="minorEastAsia"/>
                <w:sz w:val="24"/>
                <w:szCs w:val="24"/>
              </w:rPr>
            </w:pPr>
          </w:p>
        </w:tc>
      </w:tr>
      <w:tr w14:paraId="6E8A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672D47F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3785" w:type="dxa"/>
            <w:vAlign w:val="center"/>
          </w:tcPr>
          <w:p w14:paraId="7BA942A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建筑红线图，建筑钉桩图</w:t>
            </w:r>
          </w:p>
        </w:tc>
        <w:tc>
          <w:tcPr>
            <w:tcW w:w="720" w:type="dxa"/>
            <w:vAlign w:val="center"/>
          </w:tcPr>
          <w:p w14:paraId="77BC38B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各1</w:t>
            </w:r>
          </w:p>
        </w:tc>
        <w:tc>
          <w:tcPr>
            <w:tcW w:w="2885" w:type="dxa"/>
            <w:vAlign w:val="center"/>
          </w:tcPr>
          <w:p w14:paraId="7BA8849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方案开始3天前</w:t>
            </w:r>
          </w:p>
        </w:tc>
        <w:tc>
          <w:tcPr>
            <w:tcW w:w="1087" w:type="dxa"/>
            <w:vMerge w:val="continue"/>
            <w:vAlign w:val="center"/>
          </w:tcPr>
          <w:p w14:paraId="5F341C93">
            <w:pPr>
              <w:spacing w:line="360" w:lineRule="auto"/>
              <w:jc w:val="center"/>
              <w:rPr>
                <w:rFonts w:asciiTheme="minorEastAsia" w:hAnsiTheme="minorEastAsia" w:eastAsiaTheme="minorEastAsia"/>
                <w:sz w:val="24"/>
                <w:szCs w:val="24"/>
              </w:rPr>
            </w:pPr>
          </w:p>
        </w:tc>
      </w:tr>
      <w:tr w14:paraId="4F0A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60AEFFF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3785" w:type="dxa"/>
            <w:vAlign w:val="center"/>
          </w:tcPr>
          <w:p w14:paraId="4D6BCEF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当地规划部门的规划意见书</w:t>
            </w:r>
          </w:p>
        </w:tc>
        <w:tc>
          <w:tcPr>
            <w:tcW w:w="720" w:type="dxa"/>
            <w:vAlign w:val="center"/>
          </w:tcPr>
          <w:p w14:paraId="3AFE915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885" w:type="dxa"/>
            <w:vAlign w:val="center"/>
          </w:tcPr>
          <w:p w14:paraId="2736C17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方案开始3天前</w:t>
            </w:r>
          </w:p>
        </w:tc>
        <w:tc>
          <w:tcPr>
            <w:tcW w:w="1087" w:type="dxa"/>
            <w:vMerge w:val="continue"/>
            <w:vAlign w:val="center"/>
          </w:tcPr>
          <w:p w14:paraId="4945C07C">
            <w:pPr>
              <w:spacing w:line="360" w:lineRule="auto"/>
              <w:jc w:val="center"/>
              <w:rPr>
                <w:rFonts w:asciiTheme="minorEastAsia" w:hAnsiTheme="minorEastAsia" w:eastAsiaTheme="minorEastAsia"/>
                <w:sz w:val="24"/>
                <w:szCs w:val="24"/>
              </w:rPr>
            </w:pPr>
          </w:p>
        </w:tc>
      </w:tr>
      <w:tr w14:paraId="6137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10AD972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785" w:type="dxa"/>
            <w:vAlign w:val="center"/>
          </w:tcPr>
          <w:p w14:paraId="53E1FB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各阶段主管部门的审批意见</w:t>
            </w:r>
          </w:p>
        </w:tc>
        <w:tc>
          <w:tcPr>
            <w:tcW w:w="720" w:type="dxa"/>
            <w:vAlign w:val="center"/>
          </w:tcPr>
          <w:p w14:paraId="4E58621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885" w:type="dxa"/>
            <w:vAlign w:val="center"/>
          </w:tcPr>
          <w:p w14:paraId="66F2DEB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下一个阶段设计开始3天前提供上一个阶段审批意见</w:t>
            </w:r>
          </w:p>
        </w:tc>
        <w:tc>
          <w:tcPr>
            <w:tcW w:w="1087" w:type="dxa"/>
            <w:vMerge w:val="continue"/>
            <w:vAlign w:val="center"/>
          </w:tcPr>
          <w:p w14:paraId="46D3700A">
            <w:pPr>
              <w:spacing w:line="360" w:lineRule="auto"/>
              <w:jc w:val="center"/>
              <w:rPr>
                <w:rFonts w:asciiTheme="minorEastAsia" w:hAnsiTheme="minorEastAsia" w:eastAsiaTheme="minorEastAsia"/>
                <w:sz w:val="24"/>
                <w:szCs w:val="24"/>
              </w:rPr>
            </w:pPr>
          </w:p>
        </w:tc>
      </w:tr>
      <w:tr w14:paraId="6FBC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49EFBEFE">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3785" w:type="dxa"/>
            <w:vAlign w:val="center"/>
          </w:tcPr>
          <w:p w14:paraId="2479F4F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方案设计确认单（含初设开工令）</w:t>
            </w:r>
          </w:p>
        </w:tc>
        <w:tc>
          <w:tcPr>
            <w:tcW w:w="720" w:type="dxa"/>
            <w:vAlign w:val="center"/>
          </w:tcPr>
          <w:p w14:paraId="07A671C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885" w:type="dxa"/>
            <w:vAlign w:val="center"/>
          </w:tcPr>
          <w:p w14:paraId="4C78F6F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初步设计开始3天前</w:t>
            </w:r>
          </w:p>
        </w:tc>
        <w:tc>
          <w:tcPr>
            <w:tcW w:w="1087" w:type="dxa"/>
            <w:vMerge w:val="continue"/>
            <w:vAlign w:val="center"/>
          </w:tcPr>
          <w:p w14:paraId="334B7E1E">
            <w:pPr>
              <w:spacing w:line="360" w:lineRule="auto"/>
              <w:jc w:val="center"/>
              <w:rPr>
                <w:rFonts w:asciiTheme="minorEastAsia" w:hAnsiTheme="minorEastAsia" w:eastAsiaTheme="minorEastAsia"/>
                <w:sz w:val="24"/>
                <w:szCs w:val="24"/>
              </w:rPr>
            </w:pPr>
          </w:p>
        </w:tc>
      </w:tr>
      <w:tr w14:paraId="697E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B83EF0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3785" w:type="dxa"/>
            <w:vAlign w:val="center"/>
          </w:tcPr>
          <w:p w14:paraId="1728EC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工程所在地地形图（1/500）电子版及区域位置图</w:t>
            </w:r>
          </w:p>
        </w:tc>
        <w:tc>
          <w:tcPr>
            <w:tcW w:w="720" w:type="dxa"/>
            <w:vAlign w:val="center"/>
          </w:tcPr>
          <w:p w14:paraId="50CEC1B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885" w:type="dxa"/>
            <w:vAlign w:val="center"/>
          </w:tcPr>
          <w:p w14:paraId="22C2FAF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初步设计开始3天前</w:t>
            </w:r>
          </w:p>
        </w:tc>
        <w:tc>
          <w:tcPr>
            <w:tcW w:w="1087" w:type="dxa"/>
            <w:vMerge w:val="continue"/>
            <w:vAlign w:val="center"/>
          </w:tcPr>
          <w:p w14:paraId="542C0F80">
            <w:pPr>
              <w:spacing w:line="360" w:lineRule="auto"/>
              <w:jc w:val="center"/>
              <w:rPr>
                <w:rFonts w:asciiTheme="minorEastAsia" w:hAnsiTheme="minorEastAsia" w:eastAsiaTheme="minorEastAsia"/>
                <w:sz w:val="24"/>
                <w:szCs w:val="24"/>
              </w:rPr>
            </w:pPr>
          </w:p>
        </w:tc>
      </w:tr>
      <w:tr w14:paraId="1AE0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2C16B44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3785" w:type="dxa"/>
            <w:vAlign w:val="center"/>
          </w:tcPr>
          <w:p w14:paraId="0F4E8D8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初步设计确认单（含施工图开工令）</w:t>
            </w:r>
          </w:p>
        </w:tc>
        <w:tc>
          <w:tcPr>
            <w:tcW w:w="720" w:type="dxa"/>
            <w:vAlign w:val="center"/>
          </w:tcPr>
          <w:p w14:paraId="5FA6196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885" w:type="dxa"/>
            <w:vAlign w:val="center"/>
          </w:tcPr>
          <w:p w14:paraId="2C42829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施工图设计开始3天前</w:t>
            </w:r>
          </w:p>
        </w:tc>
        <w:tc>
          <w:tcPr>
            <w:tcW w:w="1087" w:type="dxa"/>
            <w:vMerge w:val="continue"/>
            <w:vAlign w:val="center"/>
          </w:tcPr>
          <w:p w14:paraId="49C0FF5E">
            <w:pPr>
              <w:spacing w:line="360" w:lineRule="auto"/>
              <w:jc w:val="center"/>
              <w:rPr>
                <w:rFonts w:asciiTheme="minorEastAsia" w:hAnsiTheme="minorEastAsia" w:eastAsiaTheme="minorEastAsia"/>
                <w:sz w:val="24"/>
                <w:szCs w:val="24"/>
              </w:rPr>
            </w:pPr>
          </w:p>
        </w:tc>
      </w:tr>
      <w:tr w14:paraId="6588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4C5E9AD">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3785" w:type="dxa"/>
            <w:vAlign w:val="center"/>
          </w:tcPr>
          <w:p w14:paraId="314E1D9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施工图审查合格意见书</w:t>
            </w:r>
          </w:p>
        </w:tc>
        <w:tc>
          <w:tcPr>
            <w:tcW w:w="720" w:type="dxa"/>
            <w:vAlign w:val="center"/>
          </w:tcPr>
          <w:p w14:paraId="53CD73A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885" w:type="dxa"/>
            <w:vAlign w:val="center"/>
          </w:tcPr>
          <w:p w14:paraId="35C1F4C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施工图审查通过后5天内</w:t>
            </w:r>
          </w:p>
        </w:tc>
        <w:tc>
          <w:tcPr>
            <w:tcW w:w="1087" w:type="dxa"/>
            <w:vMerge w:val="continue"/>
            <w:vAlign w:val="center"/>
          </w:tcPr>
          <w:p w14:paraId="090BED23">
            <w:pPr>
              <w:spacing w:line="360" w:lineRule="auto"/>
              <w:jc w:val="center"/>
              <w:rPr>
                <w:rFonts w:asciiTheme="minorEastAsia" w:hAnsiTheme="minorEastAsia" w:eastAsiaTheme="minorEastAsia"/>
                <w:sz w:val="24"/>
                <w:szCs w:val="24"/>
              </w:rPr>
            </w:pPr>
          </w:p>
        </w:tc>
      </w:tr>
      <w:tr w14:paraId="35A9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3015F3E2">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3785" w:type="dxa"/>
            <w:vAlign w:val="center"/>
          </w:tcPr>
          <w:p w14:paraId="117BB27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市政条件（包括给排水、暖通、电力、道路、热力、通讯等）</w:t>
            </w:r>
          </w:p>
        </w:tc>
        <w:tc>
          <w:tcPr>
            <w:tcW w:w="720" w:type="dxa"/>
            <w:vAlign w:val="center"/>
          </w:tcPr>
          <w:p w14:paraId="5E14BA3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885" w:type="dxa"/>
            <w:vAlign w:val="center"/>
          </w:tcPr>
          <w:p w14:paraId="3A7BBF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方案设计开始3天前</w:t>
            </w:r>
          </w:p>
        </w:tc>
        <w:tc>
          <w:tcPr>
            <w:tcW w:w="1087" w:type="dxa"/>
            <w:vMerge w:val="continue"/>
            <w:vAlign w:val="center"/>
          </w:tcPr>
          <w:p w14:paraId="43C4589F">
            <w:pPr>
              <w:spacing w:line="360" w:lineRule="auto"/>
              <w:jc w:val="center"/>
              <w:rPr>
                <w:rFonts w:asciiTheme="minorEastAsia" w:hAnsiTheme="minorEastAsia" w:eastAsiaTheme="minorEastAsia"/>
                <w:sz w:val="24"/>
                <w:szCs w:val="24"/>
              </w:rPr>
            </w:pPr>
          </w:p>
        </w:tc>
      </w:tr>
      <w:tr w14:paraId="7D32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6BC5CB2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3785" w:type="dxa"/>
            <w:vAlign w:val="center"/>
          </w:tcPr>
          <w:p w14:paraId="3A8ADF2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其它设计资料</w:t>
            </w:r>
          </w:p>
        </w:tc>
        <w:tc>
          <w:tcPr>
            <w:tcW w:w="720" w:type="dxa"/>
            <w:vAlign w:val="center"/>
          </w:tcPr>
          <w:p w14:paraId="781E5B3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885" w:type="dxa"/>
            <w:vAlign w:val="center"/>
          </w:tcPr>
          <w:p w14:paraId="0DA2C98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各设计阶段设计开始3天前</w:t>
            </w:r>
          </w:p>
        </w:tc>
        <w:tc>
          <w:tcPr>
            <w:tcW w:w="1087" w:type="dxa"/>
            <w:vMerge w:val="continue"/>
            <w:vAlign w:val="center"/>
          </w:tcPr>
          <w:p w14:paraId="4B03B2F3">
            <w:pPr>
              <w:spacing w:line="360" w:lineRule="auto"/>
              <w:jc w:val="center"/>
              <w:rPr>
                <w:rFonts w:asciiTheme="minorEastAsia" w:hAnsiTheme="minorEastAsia" w:eastAsiaTheme="minorEastAsia"/>
                <w:sz w:val="24"/>
                <w:szCs w:val="24"/>
              </w:rPr>
            </w:pPr>
          </w:p>
        </w:tc>
      </w:tr>
      <w:tr w14:paraId="6809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33C2213">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3785" w:type="dxa"/>
            <w:vAlign w:val="center"/>
          </w:tcPr>
          <w:p w14:paraId="420E3AC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竣工验收报告</w:t>
            </w:r>
          </w:p>
        </w:tc>
        <w:tc>
          <w:tcPr>
            <w:tcW w:w="720" w:type="dxa"/>
            <w:vAlign w:val="center"/>
          </w:tcPr>
          <w:p w14:paraId="4F43807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885" w:type="dxa"/>
            <w:vAlign w:val="center"/>
          </w:tcPr>
          <w:p w14:paraId="2ADEDC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工程竣工验收通过后5天内</w:t>
            </w:r>
          </w:p>
        </w:tc>
        <w:tc>
          <w:tcPr>
            <w:tcW w:w="1087" w:type="dxa"/>
            <w:vMerge w:val="continue"/>
            <w:vAlign w:val="center"/>
          </w:tcPr>
          <w:p w14:paraId="1AF8170F">
            <w:pPr>
              <w:spacing w:line="360" w:lineRule="auto"/>
              <w:jc w:val="center"/>
              <w:rPr>
                <w:rFonts w:asciiTheme="minorEastAsia" w:hAnsiTheme="minorEastAsia" w:eastAsiaTheme="minorEastAsia"/>
                <w:sz w:val="24"/>
                <w:szCs w:val="24"/>
              </w:rPr>
            </w:pPr>
          </w:p>
        </w:tc>
      </w:tr>
    </w:tbl>
    <w:p w14:paraId="72698F68">
      <w:pPr>
        <w:spacing w:after="156" w:afterLines="50" w:line="360" w:lineRule="auto"/>
        <w:rPr>
          <w:rFonts w:asciiTheme="minorEastAsia" w:hAnsiTheme="minorEastAsia" w:eastAsiaTheme="minorEastAsia"/>
          <w:bCs/>
          <w:kern w:val="0"/>
          <w:sz w:val="24"/>
          <w:szCs w:val="24"/>
        </w:rPr>
      </w:pPr>
      <w:bookmarkStart w:id="183" w:name="_Toc278309719"/>
      <w:bookmarkStart w:id="184" w:name="_Toc278231959"/>
      <w:r>
        <w:rPr>
          <w:rFonts w:hint="eastAsia" w:cs="Courier New" w:asciiTheme="minorEastAsia" w:hAnsiTheme="minorEastAsia" w:eastAsiaTheme="minorEastAsia"/>
          <w:kern w:val="0"/>
          <w:sz w:val="24"/>
          <w:szCs w:val="24"/>
        </w:rPr>
        <w:t>（上表内容仅供参考，发包人和设计人应当根据项目具体情况详细列举）</w:t>
      </w:r>
    </w:p>
    <w:p w14:paraId="6920C39D">
      <w:pPr>
        <w:widowControl/>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14:paraId="0BB2A670">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附件3 ：各阶段、各版次设计成果文件组成及要求</w:t>
      </w:r>
    </w:p>
    <w:p w14:paraId="4DF6AE6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各阶段、各版次设计成果文件组成及要求</w:t>
      </w:r>
      <w:bookmarkEnd w:id="183"/>
      <w:bookmarkEnd w:id="184"/>
    </w:p>
    <w:p w14:paraId="1905A1C7">
      <w:pPr>
        <w:spacing w:line="360" w:lineRule="auto"/>
        <w:ind w:firstLine="480" w:firstLineChars="200"/>
        <w:rPr>
          <w:rFonts w:asciiTheme="minorEastAsia" w:hAnsiTheme="minorEastAsia" w:eastAsiaTheme="minorEastAsia"/>
          <w:sz w:val="24"/>
          <w:szCs w:val="24"/>
        </w:rPr>
      </w:pPr>
    </w:p>
    <w:p w14:paraId="75AC3A6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一、版次1设计成果文件</w:t>
      </w:r>
    </w:p>
    <w:p w14:paraId="19BC59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1文件：方案的修改和完善（包括估算书），为根据中华人民共和国建设部颁布的《建筑工程设计文件编制深度规定》（2016年版）中关于方案设计应达到的设计深度要求，同时根据专家评审意见及政府职能部门提出的修改意见，对在设计招标阶段最终选定的设计方案进行修改和完善，最终完成的经发包人确认的方案设计成果文件。为发包人组织政府有关部门、各专业相关专家、设计人共同参与的论证后，经政府和发包方最终确定的方案设计文件，由设计说明书、设计图纸及其电子文件、透视图（效果图）及其电子文件、模型等五部分组成。文件（不限于此）按照下列次序编排：</w:t>
      </w:r>
    </w:p>
    <w:p w14:paraId="58827D81">
      <w:pPr>
        <w:numPr>
          <w:ilvl w:val="0"/>
          <w:numId w:val="3"/>
        </w:numPr>
        <w:tabs>
          <w:tab w:val="left" w:pos="420"/>
          <w:tab w:val="clear" w:pos="644"/>
        </w:tabs>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封面（写明方案的名称、方案编制单位、编制时间）。</w:t>
      </w:r>
    </w:p>
    <w:p w14:paraId="4D9ADD66">
      <w:pPr>
        <w:numPr>
          <w:ilvl w:val="0"/>
          <w:numId w:val="3"/>
        </w:numPr>
        <w:tabs>
          <w:tab w:val="left" w:pos="420"/>
          <w:tab w:val="clear" w:pos="644"/>
        </w:tabs>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扉页（写明方案编制单位法定代表人、技术总负责人、项目总负责人（或设计负责人）的姓名，并经上述人员签署或授权盖章）。</w:t>
      </w:r>
    </w:p>
    <w:p w14:paraId="61EE3643">
      <w:pPr>
        <w:numPr>
          <w:ilvl w:val="0"/>
          <w:numId w:val="3"/>
        </w:numPr>
        <w:tabs>
          <w:tab w:val="left" w:pos="420"/>
          <w:tab w:val="clear" w:pos="644"/>
        </w:tabs>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方案设计文件目录。</w:t>
      </w:r>
    </w:p>
    <w:p w14:paraId="7B984F4F">
      <w:pPr>
        <w:numPr>
          <w:ilvl w:val="0"/>
          <w:numId w:val="3"/>
        </w:numPr>
        <w:tabs>
          <w:tab w:val="left" w:pos="420"/>
          <w:tab w:val="clear" w:pos="644"/>
        </w:tabs>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方案设计说明书，内容包括工程规模和设计标准、建筑总平面设计说明、单体建筑方案设计构思说明、结构选型方案说明、消防安全系统说明、主要内外建筑与装饰材料说明和主要技术经济指标说明等。</w:t>
      </w:r>
    </w:p>
    <w:p w14:paraId="51CEE54F">
      <w:pPr>
        <w:numPr>
          <w:ilvl w:val="0"/>
          <w:numId w:val="3"/>
        </w:numPr>
        <w:tabs>
          <w:tab w:val="left" w:pos="420"/>
          <w:tab w:val="clear" w:pos="644"/>
        </w:tabs>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方案设计图纸，图纸内容为总平面规划图、</w:t>
      </w:r>
      <w:r>
        <w:rPr>
          <w:rFonts w:hint="eastAsia" w:asciiTheme="minorEastAsia" w:hAnsiTheme="minorEastAsia" w:eastAsiaTheme="minorEastAsia"/>
          <w:bCs/>
          <w:sz w:val="24"/>
          <w:szCs w:val="24"/>
        </w:rPr>
        <w:t>项目</w:t>
      </w:r>
      <w:r>
        <w:rPr>
          <w:rFonts w:hint="eastAsia" w:asciiTheme="minorEastAsia" w:hAnsiTheme="minorEastAsia" w:eastAsiaTheme="minorEastAsia"/>
          <w:sz w:val="24"/>
          <w:szCs w:val="24"/>
        </w:rPr>
        <w:t>总平面设计图、交通分析图、绿化及环境设计图；建筑各层平面图、建筑各主要立面图与剖面图，；室内外装修设计方案图；下述展板中的图纸缩印本；其他在方案论证过程中提出的需补充说明的图纸。</w:t>
      </w:r>
    </w:p>
    <w:p w14:paraId="03EDA635">
      <w:pPr>
        <w:numPr>
          <w:ilvl w:val="0"/>
          <w:numId w:val="3"/>
        </w:numPr>
        <w:tabs>
          <w:tab w:val="left" w:pos="420"/>
          <w:tab w:val="clear" w:pos="644"/>
        </w:tabs>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方案投资估算（含非标设备、材料、构配件的报价）。</w:t>
      </w:r>
    </w:p>
    <w:p w14:paraId="2CF5B005">
      <w:pPr>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上述1～6部分装订成册（下称方案文本），方案文本规格为A2。</w:t>
      </w:r>
    </w:p>
    <w:p w14:paraId="7708D580">
      <w:pPr>
        <w:numPr>
          <w:ilvl w:val="0"/>
          <w:numId w:val="3"/>
        </w:numPr>
        <w:tabs>
          <w:tab w:val="left" w:pos="420"/>
          <w:tab w:val="clear" w:pos="644"/>
        </w:tabs>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展示图规格为A1(594mm×841mm)，展示图均应贴裱在1000mm×700mm的轻质板上。</w:t>
      </w:r>
      <w:r>
        <w:rPr>
          <w:rFonts w:hint="eastAsia" w:asciiTheme="minorEastAsia" w:hAnsiTheme="minorEastAsia" w:eastAsiaTheme="minorEastAsia"/>
          <w:sz w:val="24"/>
          <w:szCs w:val="24"/>
          <w:u w:val="single"/>
        </w:rPr>
        <w:t>图纸内容为</w:t>
      </w:r>
      <w:r>
        <w:rPr>
          <w:rFonts w:hint="eastAsia" w:asciiTheme="minorEastAsia" w:hAnsiTheme="minorEastAsia" w:eastAsiaTheme="minorEastAsia"/>
          <w:bCs/>
          <w:sz w:val="24"/>
          <w:szCs w:val="24"/>
          <w:u w:val="single"/>
        </w:rPr>
        <w:t>项目</w:t>
      </w:r>
      <w:r>
        <w:rPr>
          <w:rFonts w:hint="eastAsia" w:asciiTheme="minorEastAsia" w:hAnsiTheme="minorEastAsia" w:eastAsiaTheme="minorEastAsia"/>
          <w:sz w:val="24"/>
          <w:szCs w:val="24"/>
          <w:u w:val="single"/>
        </w:rPr>
        <w:t>鸟瞰透视图</w:t>
      </w:r>
      <w:r>
        <w:rPr>
          <w:rFonts w:hint="eastAsia" w:asciiTheme="minorEastAsia" w:hAnsiTheme="minorEastAsia" w:eastAsiaTheme="minorEastAsia"/>
          <w:sz w:val="24"/>
          <w:szCs w:val="24"/>
        </w:rPr>
        <w:t>、建筑透视图、夜景透视图、总平面规划图、总平面设计图、主要平面图（4张）、立面图（4张）和剖面图（4张），设计概念分析图（2张）等，以能清晰表达设计意图为原则。</w:t>
      </w:r>
    </w:p>
    <w:p w14:paraId="0EEA5B80">
      <w:pPr>
        <w:numPr>
          <w:ilvl w:val="0"/>
          <w:numId w:val="3"/>
        </w:numPr>
        <w:tabs>
          <w:tab w:val="left" w:pos="420"/>
          <w:tab w:val="clear" w:pos="644"/>
        </w:tabs>
        <w:spacing w:line="360" w:lineRule="auto"/>
        <w:ind w:left="17" w:leftChars="8" w:firstLine="456" w:firstLineChars="19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包括建筑总平面设计和单体建筑方案设计的实体模型，比例1：500为宜。</w:t>
      </w:r>
    </w:p>
    <w:p w14:paraId="4EB18C81">
      <w:pPr>
        <w:numPr>
          <w:ilvl w:val="0"/>
          <w:numId w:val="3"/>
        </w:numPr>
        <w:tabs>
          <w:tab w:val="left" w:pos="420"/>
          <w:tab w:val="clear" w:pos="644"/>
        </w:tabs>
        <w:spacing w:line="360" w:lineRule="auto"/>
        <w:ind w:left="17" w:leftChars="8" w:firstLine="456" w:firstLineChars="190"/>
        <w:rPr>
          <w:rFonts w:asciiTheme="minorEastAsia" w:hAnsiTheme="minorEastAsia" w:eastAsiaTheme="minorEastAsia"/>
          <w:sz w:val="24"/>
          <w:szCs w:val="24"/>
          <w:u w:val="single"/>
        </w:rPr>
      </w:pPr>
      <w:r>
        <w:rPr>
          <w:rFonts w:hint="eastAsia" w:cs="宋体" w:asciiTheme="minorEastAsia" w:hAnsiTheme="minorEastAsia" w:eastAsiaTheme="minorEastAsia"/>
          <w:snapToGrid w:val="0"/>
          <w:kern w:val="0"/>
          <w:sz w:val="24"/>
          <w:szCs w:val="24"/>
        </w:rPr>
        <w:t>设计人应向发包人提交方案设计报建所需要的设计成果文件图纸及文本文件、电子文档光盘；文件均须加盖</w:t>
      </w:r>
      <w:r>
        <w:rPr>
          <w:rFonts w:hint="eastAsia" w:cs="宋体" w:asciiTheme="minorEastAsia" w:hAnsiTheme="minorEastAsia" w:eastAsiaTheme="minorEastAsia"/>
          <w:b/>
          <w:snapToGrid w:val="0"/>
          <w:kern w:val="0"/>
          <w:sz w:val="24"/>
          <w:szCs w:val="24"/>
        </w:rPr>
        <w:t>设计单位出图章、注册建筑师章</w:t>
      </w:r>
      <w:r>
        <w:rPr>
          <w:rFonts w:hint="eastAsia" w:cs="宋体" w:asciiTheme="minorEastAsia" w:hAnsiTheme="minorEastAsia" w:eastAsiaTheme="minorEastAsia"/>
          <w:snapToGrid w:val="0"/>
          <w:kern w:val="0"/>
          <w:sz w:val="24"/>
          <w:szCs w:val="24"/>
        </w:rPr>
        <w:t>。</w:t>
      </w:r>
    </w:p>
    <w:p w14:paraId="5AD38FD2">
      <w:pPr>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版次1设计成果文件的份数要求：</w:t>
      </w:r>
    </w:p>
    <w:p w14:paraId="738E00D0">
      <w:pPr>
        <w:numPr>
          <w:ilvl w:val="0"/>
          <w:numId w:val="4"/>
        </w:numPr>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方案论证过程中，设计人按每次专家的论证意见调整优化设计方案，按上述方案文本要求制作方案文本12份/次，电子文档光盘（含方案文本的全部内容）4份/次。</w:t>
      </w:r>
    </w:p>
    <w:p w14:paraId="653208DF">
      <w:pPr>
        <w:numPr>
          <w:ilvl w:val="0"/>
          <w:numId w:val="4"/>
        </w:numPr>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方案最终确认后，设计人最终制作方案文本12份，及过程文件（如有）电子文档光盘（含方案文本的全部内容）4份，第7项的展示图各4份，模型1个。</w:t>
      </w:r>
    </w:p>
    <w:p w14:paraId="5B26CFE4">
      <w:pPr>
        <w:numPr>
          <w:ilvl w:val="0"/>
          <w:numId w:val="4"/>
        </w:numPr>
        <w:spacing w:line="360" w:lineRule="auto"/>
        <w:ind w:left="17" w:leftChars="8" w:firstLine="456" w:firstLineChars="190"/>
        <w:rPr>
          <w:rFonts w:asciiTheme="minorEastAsia" w:hAnsiTheme="minorEastAsia" w:eastAsiaTheme="minorEastAsia"/>
          <w:sz w:val="24"/>
          <w:szCs w:val="24"/>
        </w:rPr>
      </w:pPr>
      <w:r>
        <w:rPr>
          <w:rFonts w:hint="eastAsia" w:asciiTheme="minorEastAsia" w:hAnsiTheme="minorEastAsia" w:eastAsiaTheme="minorEastAsia"/>
          <w:sz w:val="24"/>
          <w:szCs w:val="24"/>
        </w:rPr>
        <w:t>上述设计成果份数若不足使用，可根据发包人需求增加，最终份数以25份为限（相关费用包含在总费用中，不做增加）。</w:t>
      </w:r>
    </w:p>
    <w:p w14:paraId="66701278">
      <w:pPr>
        <w:numPr>
          <w:ilvl w:val="255"/>
          <w:numId w:val="0"/>
        </w:numPr>
        <w:spacing w:line="360" w:lineRule="auto"/>
        <w:ind w:firstLine="480" w:firstLineChars="200"/>
        <w:rPr>
          <w:rFonts w:asciiTheme="minorEastAsia" w:hAnsiTheme="minorEastAsia" w:eastAsiaTheme="minorEastAsia"/>
          <w:sz w:val="24"/>
          <w:szCs w:val="24"/>
        </w:rPr>
      </w:pPr>
    </w:p>
    <w:p w14:paraId="65D18E0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二、版次2设计成果文件</w:t>
      </w:r>
    </w:p>
    <w:p w14:paraId="274984C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2文件：为向项目所在地规划局进行规划报建的“五图一书”，以及专项设计/咨询专项分包人提交的前期咨询文件等设计成果文件。为向项目所在地规划局进行规划报建的文件，按照项目所在地规划局的规划报建要求和报审图纸深度要求进行编制，提供如下文件（不限于此）（文件需按项目所在地规划局的要求加盖相应的图章，如规划报建章、设计单位规划出图章等）：</w:t>
      </w:r>
    </w:p>
    <w:p w14:paraId="40BD64F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1、总平面规划图（包括基地区位图和各项技术经济指标等）。</w:t>
      </w:r>
    </w:p>
    <w:p w14:paraId="1D5678B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2、绿地系统规划图。</w:t>
      </w:r>
    </w:p>
    <w:p w14:paraId="075C70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3、道路交通系统规划图。</w:t>
      </w:r>
    </w:p>
    <w:p w14:paraId="5C75A8C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4、竖向规划图。</w:t>
      </w:r>
    </w:p>
    <w:p w14:paraId="4BFDD4F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5、《规划方案说明书》（含估算书）。</w:t>
      </w:r>
    </w:p>
    <w:p w14:paraId="3C09A59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6、管线综合规划图。</w:t>
      </w:r>
    </w:p>
    <w:p w14:paraId="5B6CF1A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7、电子磁盘报批文件。</w:t>
      </w:r>
    </w:p>
    <w:p w14:paraId="295A348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版次2设计成果文件的份数要求：</w:t>
      </w:r>
    </w:p>
    <w:p w14:paraId="2035489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按“五图一书”的报建要求，提交第1～5项成果各8份/次（每次指报审过程中的换图或重报，下同），第7项成果4份/次，报审批出后制作本版次最终设计成果的电子文档光盘4份。</w:t>
      </w:r>
    </w:p>
    <w:p w14:paraId="0BBBAFE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按“管线综合规划报建”（如有）的要求，提交第6项成果各8份/次，第7项成果4份/次, 报审批出后制作本版次最终设计成果的电子文档光盘4份。</w:t>
      </w:r>
    </w:p>
    <w:p w14:paraId="3C484778">
      <w:pPr>
        <w:spacing w:line="360" w:lineRule="auto"/>
        <w:ind w:firstLine="480" w:firstLineChars="200"/>
        <w:rPr>
          <w:rFonts w:asciiTheme="minorEastAsia" w:hAnsiTheme="minorEastAsia" w:eastAsiaTheme="minorEastAsia"/>
          <w:sz w:val="24"/>
          <w:szCs w:val="24"/>
        </w:rPr>
      </w:pPr>
    </w:p>
    <w:p w14:paraId="01870D26">
      <w:pPr>
        <w:spacing w:line="360" w:lineRule="auto"/>
        <w:ind w:firstLine="480" w:firstLineChars="200"/>
        <w:rPr>
          <w:rFonts w:asciiTheme="minorEastAsia" w:hAnsiTheme="minorEastAsia" w:eastAsiaTheme="minorEastAsia"/>
          <w:i/>
          <w:sz w:val="24"/>
          <w:szCs w:val="24"/>
        </w:rPr>
      </w:pPr>
      <w:r>
        <w:rPr>
          <w:rFonts w:hint="eastAsia" w:asciiTheme="minorEastAsia" w:hAnsiTheme="minorEastAsia" w:eastAsiaTheme="minorEastAsia"/>
          <w:sz w:val="24"/>
          <w:szCs w:val="24"/>
        </w:rPr>
        <w:t>三、版次3设计成果文件</w:t>
      </w:r>
    </w:p>
    <w:p w14:paraId="63ECDEB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3文件：为向项目所在地规划局和相关政府主管部门进行单体方案报建（专业报建）的设计成果文件（包括估算书）。为向项目所在地规划局和相关政府主管部门进行单体方案报建（专业报建）所需要的文件，按照项目所在地规划局和相关政府主管部门的报建要求和报审图纸深度要求进行编制，提供如下文件（不限于此）（文件需按项目所在地规划局或相关政府主管部门的要求加盖相应的图章，如设计单位出图章、报建特许人章、注册建筑师章等）：</w:t>
      </w:r>
    </w:p>
    <w:p w14:paraId="428A7E3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1、现况地形图上绘制的总平面图。</w:t>
      </w:r>
    </w:p>
    <w:p w14:paraId="4AB4184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2、总平面（包括各项技术经济指标）。</w:t>
      </w:r>
    </w:p>
    <w:p w14:paraId="69FDF3A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3、建筑平、立、剖面图。</w:t>
      </w:r>
    </w:p>
    <w:p w14:paraId="4124BEE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4、设计说明。</w:t>
      </w:r>
    </w:p>
    <w:p w14:paraId="6AC77B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5、电子磁盘报批文件。</w:t>
      </w:r>
    </w:p>
    <w:p w14:paraId="1094CB3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6、工程估算书。</w:t>
      </w:r>
    </w:p>
    <w:p w14:paraId="7C11330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版次3设计成果文件的份数要求：</w:t>
      </w:r>
    </w:p>
    <w:p w14:paraId="4689677E">
      <w:pPr>
        <w:numPr>
          <w:ilvl w:val="0"/>
          <w:numId w:val="5"/>
        </w:num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按“建筑方案报建”的要求，提交第1～4项成果各份8/次，第5项成果4份/次，报建批出后制作最终设计成果的电子文档光盘4份。</w:t>
      </w:r>
    </w:p>
    <w:p w14:paraId="00FE91B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专业报建（交通、市政、人防、消防、环保、卫生、绿化、防雷等）所需设计成果文件各专业部门4份/次。各专业部门报建批出后制作最终设计成果的电子文档光盘每专业报建部门成果各4份。</w:t>
      </w:r>
    </w:p>
    <w:p w14:paraId="2D496F69">
      <w:pPr>
        <w:spacing w:line="360" w:lineRule="auto"/>
        <w:ind w:firstLine="480" w:firstLineChars="200"/>
        <w:rPr>
          <w:rFonts w:asciiTheme="minorEastAsia" w:hAnsiTheme="minorEastAsia" w:eastAsiaTheme="minorEastAsia"/>
          <w:sz w:val="24"/>
          <w:szCs w:val="24"/>
        </w:rPr>
      </w:pPr>
    </w:p>
    <w:p w14:paraId="0CD97453">
      <w:pPr>
        <w:spacing w:line="360" w:lineRule="auto"/>
        <w:ind w:firstLine="480" w:firstLineChars="200"/>
        <w:rPr>
          <w:rFonts w:asciiTheme="minorEastAsia" w:hAnsiTheme="minorEastAsia" w:eastAsiaTheme="minorEastAsia"/>
          <w:i/>
          <w:sz w:val="24"/>
          <w:szCs w:val="24"/>
        </w:rPr>
      </w:pPr>
      <w:r>
        <w:rPr>
          <w:rFonts w:hint="eastAsia" w:asciiTheme="minorEastAsia" w:hAnsiTheme="minorEastAsia" w:eastAsiaTheme="minorEastAsia"/>
          <w:sz w:val="24"/>
          <w:szCs w:val="24"/>
        </w:rPr>
        <w:t>四、版次4设计成果文件</w:t>
      </w:r>
    </w:p>
    <w:p w14:paraId="7D15F5F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4文件：为初步设计成果文件（包括文本说明、图纸、工程造价控制所需的工程量分解文件及概算书），根据中华人民共和国建设部颁布的《建筑工程设计文件编制深度规定》（2016年版）中关于初步设计应达到的设计深度要求进行编制，且此文件符合初步设计审查的各项要求。初步设计文件按建设部批准的《建筑工程设计文件编制深度规定》和广东省住房和城乡建设厅行政主管部门对初步设计文件审查的要求进行编制，提供如下文件（不限于此）（文件需按广东省住房和城乡建设厅的要求装订和加盖相应的图章和签名，如设计单位出图章、注册建筑师章、注册结构工程师章等），为满足项目初步设计概算审批的政府部门要求，发包人有权要求设计人增加设计深度，设计人必须无条件配合。另包括发包方需要的招投标技术文件：</w:t>
      </w:r>
    </w:p>
    <w:p w14:paraId="38576B4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1、设计说明书（由设计总说明、各专业的说明书组成）。</w:t>
      </w:r>
    </w:p>
    <w:p w14:paraId="37FB04F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2、设计图纸（由各专业设计图纸组成，且包含本项目室内外各工程初步设计、特殊专业初步设计图。</w:t>
      </w:r>
    </w:p>
    <w:p w14:paraId="398B1B9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3、设计概算、工程量清单。</w:t>
      </w:r>
    </w:p>
    <w:p w14:paraId="55C4E27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4、结构计算书。</w:t>
      </w:r>
    </w:p>
    <w:p w14:paraId="4200F28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5、效果图（包括各主要部位室内外效果图）。</w:t>
      </w:r>
    </w:p>
    <w:p w14:paraId="4D93F03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版次4设计成果文件的份数要求：</w:t>
      </w:r>
    </w:p>
    <w:p w14:paraId="5C98486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1、第1～3项成果按广东省住房和城乡建设厅的要求装订成册（下称初步设计文本）12份/次。</w:t>
      </w:r>
    </w:p>
    <w:p w14:paraId="3B62831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2、第4项独立成册12份/次。</w:t>
      </w:r>
    </w:p>
    <w:p w14:paraId="10F92B1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3、效果图各一式3份/次。</w:t>
      </w:r>
    </w:p>
    <w:p w14:paraId="4A5917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4、初步设计报审批出后制作本版次最终设计成果的电子文档光盘4份。</w:t>
      </w:r>
    </w:p>
    <w:p w14:paraId="5B6A9247">
      <w:pPr>
        <w:spacing w:line="360" w:lineRule="auto"/>
        <w:ind w:firstLine="480" w:firstLineChars="200"/>
        <w:rPr>
          <w:rFonts w:asciiTheme="minorEastAsia" w:hAnsiTheme="minorEastAsia" w:eastAsiaTheme="minorEastAsia"/>
          <w:sz w:val="24"/>
          <w:szCs w:val="24"/>
        </w:rPr>
      </w:pPr>
    </w:p>
    <w:p w14:paraId="222F2E71">
      <w:pPr>
        <w:spacing w:line="360" w:lineRule="auto"/>
        <w:ind w:firstLine="480" w:firstLineChars="200"/>
        <w:rPr>
          <w:rFonts w:asciiTheme="minorEastAsia" w:hAnsiTheme="minorEastAsia" w:eastAsiaTheme="minorEastAsia"/>
          <w:i/>
          <w:sz w:val="24"/>
          <w:szCs w:val="24"/>
        </w:rPr>
      </w:pPr>
      <w:r>
        <w:rPr>
          <w:rFonts w:hint="eastAsia" w:asciiTheme="minorEastAsia" w:hAnsiTheme="minorEastAsia" w:eastAsiaTheme="minorEastAsia"/>
          <w:sz w:val="24"/>
          <w:szCs w:val="24"/>
        </w:rPr>
        <w:t>五、版次5设计成果文件</w:t>
      </w:r>
    </w:p>
    <w:p w14:paraId="4349856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版次5文件：为初步设计修改文件（包括文本说明、图纸、工程造价控制所需的工程量分解文件及概算书）</w:t>
      </w:r>
      <w:r>
        <w:rPr>
          <w:rFonts w:hint="eastAsia" w:asciiTheme="minorEastAsia" w:hAnsiTheme="minorEastAsia" w:eastAsiaTheme="minorEastAsia"/>
          <w:sz w:val="24"/>
          <w:szCs w:val="24"/>
        </w:rPr>
        <w:t>，以及发包人需要的招标技术文件</w:t>
      </w:r>
      <w:r>
        <w:rPr>
          <w:rFonts w:hint="eastAsia" w:asciiTheme="minorEastAsia" w:hAnsiTheme="minorEastAsia" w:eastAsiaTheme="minorEastAsia"/>
          <w:bCs/>
          <w:sz w:val="24"/>
          <w:szCs w:val="24"/>
        </w:rPr>
        <w:t>。</w:t>
      </w:r>
      <w:r>
        <w:rPr>
          <w:rFonts w:hint="eastAsia" w:asciiTheme="minorEastAsia" w:hAnsiTheme="minorEastAsia" w:eastAsiaTheme="minorEastAsia"/>
          <w:sz w:val="24"/>
          <w:szCs w:val="24"/>
        </w:rPr>
        <w:t>该版次在版次4设计成果文件的基础上进行修改深化，以及对初步设计审批意见的修改、修正概算文件等（不限于此）。修正概算深度参照预算的格式执行。</w:t>
      </w:r>
    </w:p>
    <w:p w14:paraId="09F2ADB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版次5设计成果文件的份数要求：</w:t>
      </w:r>
    </w:p>
    <w:p w14:paraId="171A446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1、修正后的初步设计文本（发包人需要的招标技术文件）12份（内容及要求同版次4）。</w:t>
      </w:r>
    </w:p>
    <w:p w14:paraId="39FCDCC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初步设计概算经局内定稿并征求使用单位意见后，需向省发展改革委报送纸质概算2份、电子光盘1套（光盘中含初步设计，初步设计概算，询价文件、合同扫描件等相关依据文件电子版）。报送省发展改革委审批后，前期工作部需留存初步设计及概算文本4套、概算审核报告文本2份、电子光盘各1套，其中2套初步设计及概算、1份概算审核报告及光盘移交局档案室存档，1套初步设计及概算文本移交计划财务部，1套初步设计及概算、概算审核报告文本由前期工作部统筹使用。</w:t>
      </w:r>
    </w:p>
    <w:p w14:paraId="6EC4A3A2">
      <w:pPr>
        <w:spacing w:line="360" w:lineRule="auto"/>
        <w:ind w:firstLine="480" w:firstLineChars="200"/>
        <w:rPr>
          <w:rFonts w:asciiTheme="minorEastAsia" w:hAnsiTheme="minorEastAsia" w:eastAsiaTheme="minorEastAsia"/>
          <w:sz w:val="24"/>
          <w:szCs w:val="24"/>
        </w:rPr>
      </w:pPr>
    </w:p>
    <w:p w14:paraId="703F967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六、版次6设计成果文件</w:t>
      </w:r>
    </w:p>
    <w:p w14:paraId="167CE99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版次6文件：</w:t>
      </w:r>
      <w:r>
        <w:rPr>
          <w:rFonts w:hint="eastAsia" w:asciiTheme="minorEastAsia" w:hAnsiTheme="minorEastAsia" w:eastAsiaTheme="minorEastAsia"/>
          <w:sz w:val="24"/>
          <w:szCs w:val="24"/>
        </w:rPr>
        <w:t>为施工图设计文件（包括图纸、计算书、工程造价控制所需的工程量分解文件和工程量清单），根据中华人民共和国建设部颁布的《建筑工程设计文件编制深度规定》（2016年版）中关于施工图设计应达到的设计深度要求进行编制，且此文件符合</w:t>
      </w:r>
      <w:r>
        <w:rPr>
          <w:rFonts w:hint="eastAsia" w:asciiTheme="minorEastAsia" w:hAnsiTheme="minorEastAsia" w:eastAsiaTheme="minorEastAsia"/>
          <w:bCs/>
          <w:sz w:val="24"/>
          <w:szCs w:val="24"/>
        </w:rPr>
        <w:t>向</w:t>
      </w:r>
      <w:r>
        <w:rPr>
          <w:rFonts w:hint="eastAsia" w:asciiTheme="minorEastAsia" w:hAnsiTheme="minorEastAsia" w:eastAsiaTheme="minorEastAsia"/>
          <w:sz w:val="24"/>
          <w:szCs w:val="24"/>
        </w:rPr>
        <w:t>项目所在地规划局</w:t>
      </w:r>
      <w:r>
        <w:rPr>
          <w:rFonts w:hint="eastAsia" w:asciiTheme="minorEastAsia" w:hAnsiTheme="minorEastAsia" w:eastAsiaTheme="minorEastAsia"/>
          <w:bCs/>
          <w:sz w:val="24"/>
          <w:szCs w:val="24"/>
        </w:rPr>
        <w:t>和相关政府主管部门提交的施工图报建（专业报建）所需的设计成果文件及</w:t>
      </w:r>
      <w:r>
        <w:rPr>
          <w:rFonts w:hint="eastAsia" w:asciiTheme="minorEastAsia" w:hAnsiTheme="minorEastAsia" w:eastAsiaTheme="minorEastAsia"/>
          <w:sz w:val="24"/>
          <w:szCs w:val="24"/>
        </w:rPr>
        <w:t>施工图设计审查的各项要求。为向项目所在地规划局及相关政府主管部门进行单体施工图报建（专业报建）所需要的文件，按照项目所在地规划局和相关政府主管部门的报建要求和报审图纸深度要求进行编制，提供如下文件（不限于此）（文件需按项目所在地规划局和相关政府主管部门的要求加盖相应的图章，如设计单位出图章、报建特许人章、注册建筑师章等）：</w:t>
      </w:r>
    </w:p>
    <w:p w14:paraId="476A61A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1、总平面（包括各项技术经济指标）。</w:t>
      </w:r>
    </w:p>
    <w:p w14:paraId="266ABC3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2、建筑构造说明。</w:t>
      </w:r>
    </w:p>
    <w:p w14:paraId="5EB3E3C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3、建筑平、立、剖面图，</w:t>
      </w:r>
      <w:r>
        <w:rPr>
          <w:rFonts w:hint="eastAsia" w:asciiTheme="minorEastAsia" w:hAnsiTheme="minorEastAsia" w:eastAsiaTheme="minorEastAsia"/>
          <w:sz w:val="24"/>
          <w:szCs w:val="24"/>
          <w:u w:val="single"/>
        </w:rPr>
        <w:t>施工用地围蔽设计图</w:t>
      </w:r>
      <w:r>
        <w:rPr>
          <w:rFonts w:hint="eastAsia" w:asciiTheme="minorEastAsia" w:hAnsiTheme="minorEastAsia" w:eastAsiaTheme="minorEastAsia"/>
          <w:sz w:val="24"/>
          <w:szCs w:val="24"/>
        </w:rPr>
        <w:t>。</w:t>
      </w:r>
    </w:p>
    <w:p w14:paraId="4751924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4、各专业报批设计文件。</w:t>
      </w:r>
    </w:p>
    <w:p w14:paraId="108CA4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5、电子磁盘报批文件。</w:t>
      </w:r>
    </w:p>
    <w:p w14:paraId="3E3713C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6、基坑支护施工图（包含主管部门技术审查所需的说明书、计算书及其它必要文件）</w:t>
      </w:r>
    </w:p>
    <w:p w14:paraId="3EAE6D2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版次5设计成果文件的份数要求：</w:t>
      </w:r>
    </w:p>
    <w:p w14:paraId="53DD851D">
      <w:pPr>
        <w:numPr>
          <w:ilvl w:val="0"/>
          <w:numId w:val="6"/>
        </w:num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按“建筑施工图报建”的要求，提交第1～4项成果各份8/次，第4项成果4份/次, 规划局报建批出后制作最终设计成果的电子文档光盘4份。</w:t>
      </w:r>
    </w:p>
    <w:p w14:paraId="3238FE63">
      <w:pPr>
        <w:numPr>
          <w:ilvl w:val="0"/>
          <w:numId w:val="6"/>
        </w:num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专业报建（交通、市政、人防、消防、环保、卫生、绿化、防雷等）所需设计成果文件各专业部门4份/次。各专业部门报建批出后制作最终设计成果的电子文档光盘每专业报建部门成果各4份。</w:t>
      </w:r>
    </w:p>
    <w:p w14:paraId="748F41A1">
      <w:pPr>
        <w:numPr>
          <w:ilvl w:val="0"/>
          <w:numId w:val="6"/>
        </w:num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按施工图深度标准设计的基坑支护施工图及相关技术文件用于论证及审查12份/次。</w:t>
      </w:r>
    </w:p>
    <w:p w14:paraId="096FDF34">
      <w:pPr>
        <w:spacing w:line="360" w:lineRule="auto"/>
        <w:ind w:firstLine="480" w:firstLineChars="200"/>
        <w:rPr>
          <w:rFonts w:asciiTheme="minorEastAsia" w:hAnsiTheme="minorEastAsia" w:eastAsiaTheme="minorEastAsia"/>
          <w:sz w:val="24"/>
          <w:szCs w:val="24"/>
        </w:rPr>
      </w:pPr>
    </w:p>
    <w:p w14:paraId="04B14A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七、版次7设计成果文件</w:t>
      </w:r>
    </w:p>
    <w:p w14:paraId="0081F15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7文件：经政府主管部门审批备案和发包方确认，用于现场施工的施工图为施工图修改设计文件，按建设部批准的《建筑工程设计文件编制深度规定》和项目所在地建委对施工图审查的要求进行编制，提供如下文件（不限于此）（文件需按市建委的要求加盖相应的图章和签名，如设计单位出图章、注册建筑师章、注册结构工程师章等）：</w:t>
      </w:r>
    </w:p>
    <w:p w14:paraId="650D6C9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1、总平面。</w:t>
      </w:r>
    </w:p>
    <w:p w14:paraId="265DDE5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2、建筑、节能、结构、给排水、电气、空调等各专业设计图纸（含室内外各项工程设计、各专项专业设计施工图、施工深化图和室内外装修设计）及设计说明（设计内容按本合同相关条款的约定）。</w:t>
      </w:r>
    </w:p>
    <w:p w14:paraId="72F9BD9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3、结构、空调等各专业计算书及相关的设计计算、试验等设计文件资料。</w:t>
      </w:r>
    </w:p>
    <w:p w14:paraId="29946395">
      <w:pPr>
        <w:spacing w:line="360" w:lineRule="auto"/>
        <w:ind w:firstLine="480" w:firstLineChars="200"/>
        <w:rPr>
          <w:rFonts w:asciiTheme="minorEastAsia" w:hAnsiTheme="minorEastAsia" w:eastAsiaTheme="minorEastAsia"/>
          <w:sz w:val="24"/>
          <w:szCs w:val="24"/>
        </w:rPr>
      </w:pPr>
    </w:p>
    <w:p w14:paraId="544B52F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版次7设计成果文件的份数要求：</w:t>
      </w:r>
    </w:p>
    <w:p w14:paraId="79471C0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1、在报送施工图审查时提供第1～3项成果10份/次，及过程文件（如有）电子文档光盘4份。</w:t>
      </w:r>
    </w:p>
    <w:p w14:paraId="1A2D320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施工图审查及备案通过后，提供用于现场施工的施工图，前期工作部原则上留存加盖施工图审查章的第1～2项成果14份/次，第3项成果4份/次，电子文档光盘4份（每次是指不同专业或同一专业不同阶段提交的不同部位的施工图）。其中对所提交的图纸提出以下的要求</w:t>
      </w:r>
    </w:p>
    <w:p w14:paraId="229F381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套图纸、光盘加盖省代建局设计专用章后移交局档案室存档，1套图纸加盖使用单位公章后报送住建部门进行消防设计审查，其余施工图根据项目建设管理模式开展移交工作。若使用单位根据自身工作需要提出图纸留存需求，总份数根据使用单位需求另行增加，总体不超18套。归档的必须按市城市建设档案馆有关《建设工程文件的整理及档案移交规定》的折叠方法及归档要求装订移交；</w:t>
      </w:r>
    </w:p>
    <w:p w14:paraId="2F75EF5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对于传统模式的直管项目，在取得施工图审查合格书后，先将2套图纸、2套光盘移交计划财务部编制工程量清单与招标控制价；施工总承包单位产生后，由项目建设管理部结合自身工作进度提出移交时间需求，前期工作部根据需求将剩余10套图纸、1套光盘一次性移交项目建设管理部。若需加晒图纸，由所需部室自行与设计单位协商解决</w:t>
      </w:r>
    </w:p>
    <w:p w14:paraId="292CDCC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对于EPC模式的直管项目，在取得施工图审查合格书后，由前期工作部将施工图纸同步移交计划财务部与项目建设管理部，其中2套图纸、2套光盘移交计划财务部，10套图纸、1套光盘移交项目建设管理部。若需加晒图纸，由所需部室自行与设计单位协商解决。</w:t>
      </w:r>
    </w:p>
    <w:p w14:paraId="749E6CA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施工图设计全部完成后制作本版次设计成果（包括计算书和各项测试文件书面资料）及最终模型（如有）的电子文档光盘4份。</w:t>
      </w:r>
    </w:p>
    <w:p w14:paraId="7043905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八、版次8设计成果文件</w:t>
      </w:r>
    </w:p>
    <w:p w14:paraId="6032F51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版次8文件：设计人将编制竣工图所需的电子版图纸（包括报政府竣工备案的电子文件、设计变更电子文件等）提供给发包方及本项目的施工单位，并对施工单位编制的竣工图纸进行签字盖章确认。其中项目所有专项验收所需的设计文件（包括图纸、设计说明等）由设计人编制，具体数量按相关验收部门要求。</w:t>
      </w:r>
    </w:p>
    <w:p w14:paraId="3BAE3AE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注：报建报批所需设计文件由发包人根据工程进度和相关主管部门要求通知设计人提交，设计人需确保相关资料在2天内备齐。</w:t>
      </w:r>
    </w:p>
    <w:p w14:paraId="2E265802">
      <w:pPr>
        <w:spacing w:before="156" w:beforeLines="50" w:after="156" w:afterLines="5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九、上述设计成果份数若不足使用，可根据发包人需求增加，最终份数以20份为限（相关费用包含在总费用中，不做增加）</w:t>
      </w:r>
    </w:p>
    <w:p w14:paraId="24BE011A">
      <w:pPr>
        <w:spacing w:before="156" w:beforeLines="50" w:after="156" w:afterLines="50" w:line="360" w:lineRule="auto"/>
        <w:jc w:val="left"/>
        <w:rPr>
          <w:rFonts w:asciiTheme="minorEastAsia" w:hAnsiTheme="minorEastAsia" w:eastAsiaTheme="minorEastAsia"/>
          <w:sz w:val="24"/>
          <w:szCs w:val="24"/>
        </w:rPr>
      </w:pPr>
    </w:p>
    <w:p w14:paraId="2698638D">
      <w:pPr>
        <w:spacing w:before="156" w:beforeLines="50" w:after="156" w:afterLines="50" w:line="360" w:lineRule="auto"/>
        <w:jc w:val="left"/>
        <w:rPr>
          <w:rFonts w:asciiTheme="minorEastAsia" w:hAnsiTheme="minorEastAsia" w:eastAsiaTheme="minorEastAsia"/>
          <w:sz w:val="24"/>
          <w:szCs w:val="24"/>
        </w:rPr>
      </w:pPr>
    </w:p>
    <w:p w14:paraId="1E4FA7F7">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br w:type="page"/>
      </w:r>
      <w:r>
        <w:rPr>
          <w:rFonts w:hint="eastAsia" w:asciiTheme="minorEastAsia" w:hAnsiTheme="minorEastAsia" w:eastAsiaTheme="minorEastAsia"/>
          <w:b/>
          <w:sz w:val="24"/>
          <w:szCs w:val="24"/>
        </w:rPr>
        <w:t xml:space="preserve">附件4 ：专业设计及驻场服务人员表              </w:t>
      </w:r>
    </w:p>
    <w:p w14:paraId="1BEB95AE">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专业设计及驻场服务人员表</w:t>
      </w:r>
    </w:p>
    <w:p w14:paraId="44E8B074">
      <w:pPr>
        <w:spacing w:line="360" w:lineRule="auto"/>
        <w:rPr>
          <w:rFonts w:asciiTheme="minorEastAsia" w:hAnsiTheme="minorEastAsia" w:eastAsiaTheme="minorEastAsia"/>
          <w:sz w:val="24"/>
          <w:szCs w:val="24"/>
        </w:rPr>
      </w:pPr>
    </w:p>
    <w:p w14:paraId="1C788C8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设计人承诺投入的人员为专业设计人员或驻场服务人员。</w:t>
      </w:r>
    </w:p>
    <w:p w14:paraId="39E5C5A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1）方案深化设计阶段需要委派主要驻场技术人员不少于名工程师。</w:t>
      </w:r>
    </w:p>
    <w:p w14:paraId="7D19E84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2）初步设计、施工图纸设计阶段需要委派各专业主要驻场技术人员不少于名工程师。</w:t>
      </w:r>
    </w:p>
    <w:p w14:paraId="13D2EAD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3）施工阶段需要委派各专业主要驻场技术人员不少于名。</w:t>
      </w:r>
    </w:p>
    <w:p w14:paraId="7EC2272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其中：</w:t>
      </w:r>
    </w:p>
    <w:p w14:paraId="066E0B1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建筑\结构工程专业工程师1名；</w:t>
      </w:r>
    </w:p>
    <w:p w14:paraId="2E6EC6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机电工程专业工程师1名。</w:t>
      </w:r>
    </w:p>
    <w:p w14:paraId="0735C5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各阶段拟委派本项目的主要驻场技术人员应在设计合同签订后7天内书面提供，同阶段派驻人员可以填写1～4人轮班替换，未经发包人同意，设计人不得随意变更驻场人员及数量。报送表格形式参照下表：</w:t>
      </w:r>
    </w:p>
    <w:tbl>
      <w:tblPr>
        <w:tblStyle w:val="5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50"/>
        <w:gridCol w:w="658"/>
        <w:gridCol w:w="735"/>
        <w:gridCol w:w="1868"/>
        <w:gridCol w:w="1597"/>
        <w:gridCol w:w="761"/>
        <w:gridCol w:w="1181"/>
        <w:gridCol w:w="788"/>
      </w:tblGrid>
      <w:tr w14:paraId="46B8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3C2C8822">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850" w:type="dxa"/>
            <w:tcBorders>
              <w:top w:val="single" w:color="auto" w:sz="4" w:space="0"/>
              <w:left w:val="single" w:color="auto" w:sz="4" w:space="0"/>
              <w:bottom w:val="single" w:color="auto" w:sz="4" w:space="0"/>
              <w:right w:val="single" w:color="auto" w:sz="4" w:space="0"/>
            </w:tcBorders>
            <w:vAlign w:val="center"/>
          </w:tcPr>
          <w:p w14:paraId="71489289">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658" w:type="dxa"/>
            <w:tcBorders>
              <w:top w:val="single" w:color="auto" w:sz="4" w:space="0"/>
              <w:left w:val="single" w:color="auto" w:sz="4" w:space="0"/>
              <w:bottom w:val="single" w:color="auto" w:sz="4" w:space="0"/>
              <w:right w:val="single" w:color="auto" w:sz="4" w:space="0"/>
            </w:tcBorders>
            <w:vAlign w:val="center"/>
          </w:tcPr>
          <w:p w14:paraId="1D0FA840">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735" w:type="dxa"/>
            <w:tcBorders>
              <w:top w:val="single" w:color="auto" w:sz="4" w:space="0"/>
              <w:left w:val="single" w:color="auto" w:sz="4" w:space="0"/>
              <w:bottom w:val="single" w:color="auto" w:sz="4" w:space="0"/>
              <w:right w:val="single" w:color="auto" w:sz="4" w:space="0"/>
            </w:tcBorders>
            <w:vAlign w:val="center"/>
          </w:tcPr>
          <w:p w14:paraId="2BA9FA9D">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868" w:type="dxa"/>
            <w:tcBorders>
              <w:top w:val="single" w:color="auto" w:sz="4" w:space="0"/>
              <w:left w:val="single" w:color="auto" w:sz="4" w:space="0"/>
              <w:bottom w:val="single" w:color="auto" w:sz="4" w:space="0"/>
              <w:right w:val="single" w:color="auto" w:sz="4" w:space="0"/>
            </w:tcBorders>
            <w:vAlign w:val="center"/>
          </w:tcPr>
          <w:p w14:paraId="72393E81">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在本项目担任职务</w:t>
            </w:r>
          </w:p>
        </w:tc>
        <w:tc>
          <w:tcPr>
            <w:tcW w:w="1597" w:type="dxa"/>
            <w:tcBorders>
              <w:top w:val="single" w:color="auto" w:sz="4" w:space="0"/>
              <w:left w:val="single" w:color="auto" w:sz="4" w:space="0"/>
              <w:bottom w:val="single" w:color="auto" w:sz="4" w:space="0"/>
              <w:right w:val="single" w:color="auto" w:sz="4" w:space="0"/>
            </w:tcBorders>
            <w:vAlign w:val="center"/>
          </w:tcPr>
          <w:p w14:paraId="3DEDF559">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技术职称</w:t>
            </w:r>
          </w:p>
        </w:tc>
        <w:tc>
          <w:tcPr>
            <w:tcW w:w="761" w:type="dxa"/>
            <w:tcBorders>
              <w:top w:val="single" w:color="auto" w:sz="4" w:space="0"/>
              <w:left w:val="single" w:color="auto" w:sz="4" w:space="0"/>
              <w:bottom w:val="single" w:color="auto" w:sz="4" w:space="0"/>
              <w:right w:val="single" w:color="auto" w:sz="4" w:space="0"/>
            </w:tcBorders>
            <w:vAlign w:val="center"/>
          </w:tcPr>
          <w:p w14:paraId="2BA22EB6">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专业</w:t>
            </w:r>
          </w:p>
        </w:tc>
        <w:tc>
          <w:tcPr>
            <w:tcW w:w="1181" w:type="dxa"/>
            <w:tcBorders>
              <w:top w:val="single" w:color="auto" w:sz="4" w:space="0"/>
              <w:left w:val="single" w:color="auto" w:sz="4" w:space="0"/>
              <w:bottom w:val="single" w:color="auto" w:sz="4" w:space="0"/>
              <w:right w:val="single" w:color="auto" w:sz="4" w:space="0"/>
            </w:tcBorders>
            <w:vAlign w:val="center"/>
          </w:tcPr>
          <w:p w14:paraId="2315634F">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驻场阶段</w:t>
            </w:r>
          </w:p>
        </w:tc>
        <w:tc>
          <w:tcPr>
            <w:tcW w:w="788" w:type="dxa"/>
            <w:tcBorders>
              <w:top w:val="single" w:color="auto" w:sz="4" w:space="0"/>
              <w:left w:val="single" w:color="auto" w:sz="4" w:space="0"/>
              <w:bottom w:val="single" w:color="auto" w:sz="4" w:space="0"/>
              <w:right w:val="single" w:color="auto" w:sz="4" w:space="0"/>
            </w:tcBorders>
            <w:vAlign w:val="center"/>
          </w:tcPr>
          <w:p w14:paraId="4B330499">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260D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14:paraId="6E654495">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0" w:type="dxa"/>
            <w:tcBorders>
              <w:top w:val="single" w:color="auto" w:sz="4" w:space="0"/>
              <w:left w:val="single" w:color="auto" w:sz="4" w:space="0"/>
              <w:bottom w:val="single" w:color="auto" w:sz="4" w:space="0"/>
              <w:right w:val="single" w:color="auto" w:sz="4" w:space="0"/>
            </w:tcBorders>
          </w:tcPr>
          <w:p w14:paraId="66D70677">
            <w:pPr>
              <w:spacing w:line="360" w:lineRule="auto"/>
              <w:ind w:left="-105" w:leftChars="-50" w:right="-105" w:rightChars="-50"/>
              <w:rPr>
                <w:rFonts w:asciiTheme="minorEastAsia" w:hAnsiTheme="minorEastAsia" w:eastAsiaTheme="minorEastAsia"/>
                <w:sz w:val="24"/>
                <w:szCs w:val="24"/>
              </w:rPr>
            </w:pPr>
          </w:p>
        </w:tc>
        <w:tc>
          <w:tcPr>
            <w:tcW w:w="658" w:type="dxa"/>
            <w:tcBorders>
              <w:top w:val="single" w:color="auto" w:sz="4" w:space="0"/>
              <w:left w:val="single" w:color="auto" w:sz="4" w:space="0"/>
              <w:bottom w:val="single" w:color="auto" w:sz="4" w:space="0"/>
              <w:right w:val="single" w:color="auto" w:sz="4" w:space="0"/>
            </w:tcBorders>
          </w:tcPr>
          <w:p w14:paraId="4C35C052">
            <w:pPr>
              <w:spacing w:line="360" w:lineRule="auto"/>
              <w:ind w:left="-105" w:leftChars="-50" w:right="-105" w:rightChars="-50"/>
              <w:rPr>
                <w:rFonts w:asciiTheme="minorEastAsia" w:hAnsiTheme="minorEastAsia" w:eastAsiaTheme="minorEastAsia"/>
                <w:sz w:val="24"/>
                <w:szCs w:val="24"/>
              </w:rPr>
            </w:pPr>
          </w:p>
        </w:tc>
        <w:tc>
          <w:tcPr>
            <w:tcW w:w="735" w:type="dxa"/>
            <w:tcBorders>
              <w:top w:val="single" w:color="auto" w:sz="4" w:space="0"/>
              <w:left w:val="single" w:color="auto" w:sz="4" w:space="0"/>
              <w:bottom w:val="single" w:color="auto" w:sz="4" w:space="0"/>
              <w:right w:val="single" w:color="auto" w:sz="4" w:space="0"/>
            </w:tcBorders>
          </w:tcPr>
          <w:p w14:paraId="7A660982">
            <w:pPr>
              <w:spacing w:line="360" w:lineRule="auto"/>
              <w:ind w:left="-105" w:leftChars="-50" w:right="-105" w:rightChars="-50"/>
              <w:rPr>
                <w:rFonts w:asciiTheme="minorEastAsia" w:hAnsiTheme="minorEastAsia" w:eastAsiaTheme="minorEastAsia"/>
                <w:sz w:val="24"/>
                <w:szCs w:val="24"/>
              </w:rPr>
            </w:pPr>
          </w:p>
        </w:tc>
        <w:tc>
          <w:tcPr>
            <w:tcW w:w="1868" w:type="dxa"/>
            <w:tcBorders>
              <w:top w:val="single" w:color="auto" w:sz="4" w:space="0"/>
              <w:left w:val="single" w:color="auto" w:sz="4" w:space="0"/>
              <w:bottom w:val="single" w:color="auto" w:sz="4" w:space="0"/>
              <w:right w:val="single" w:color="auto" w:sz="4" w:space="0"/>
            </w:tcBorders>
          </w:tcPr>
          <w:p w14:paraId="4315DCA6">
            <w:pPr>
              <w:spacing w:line="360" w:lineRule="auto"/>
              <w:ind w:left="-105" w:leftChars="-50" w:right="-105" w:rightChars="-50"/>
              <w:rPr>
                <w:rFonts w:asciiTheme="minorEastAsia" w:hAnsiTheme="minorEastAsia" w:eastAsiaTheme="minorEastAsia"/>
                <w:sz w:val="24"/>
                <w:szCs w:val="24"/>
              </w:rPr>
            </w:pPr>
          </w:p>
        </w:tc>
        <w:tc>
          <w:tcPr>
            <w:tcW w:w="1597" w:type="dxa"/>
            <w:tcBorders>
              <w:top w:val="single" w:color="auto" w:sz="4" w:space="0"/>
              <w:left w:val="single" w:color="auto" w:sz="4" w:space="0"/>
              <w:bottom w:val="single" w:color="auto" w:sz="4" w:space="0"/>
              <w:right w:val="single" w:color="auto" w:sz="4" w:space="0"/>
            </w:tcBorders>
          </w:tcPr>
          <w:p w14:paraId="36F5B4DC">
            <w:pPr>
              <w:spacing w:line="360" w:lineRule="auto"/>
              <w:ind w:left="-105" w:leftChars="-50" w:right="-105" w:rightChars="-50"/>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14:paraId="35DB821D">
            <w:pPr>
              <w:spacing w:line="360" w:lineRule="auto"/>
              <w:ind w:left="-105" w:leftChars="-50" w:right="-105" w:rightChars="-50"/>
              <w:rPr>
                <w:rFonts w:asciiTheme="minorEastAsia" w:hAnsiTheme="minorEastAsia" w:eastAsiaTheme="minorEastAsia"/>
                <w:sz w:val="24"/>
                <w:szCs w:val="24"/>
              </w:rPr>
            </w:pPr>
          </w:p>
        </w:tc>
        <w:tc>
          <w:tcPr>
            <w:tcW w:w="1181" w:type="dxa"/>
            <w:tcBorders>
              <w:top w:val="single" w:color="auto" w:sz="4" w:space="0"/>
              <w:left w:val="single" w:color="auto" w:sz="4" w:space="0"/>
              <w:bottom w:val="single" w:color="auto" w:sz="4" w:space="0"/>
              <w:right w:val="single" w:color="auto" w:sz="4" w:space="0"/>
            </w:tcBorders>
          </w:tcPr>
          <w:p w14:paraId="325D0062">
            <w:pPr>
              <w:spacing w:line="360" w:lineRule="auto"/>
              <w:ind w:left="-105" w:leftChars="-50" w:right="-105" w:rightChars="-50"/>
              <w:rPr>
                <w:rFonts w:asciiTheme="minorEastAsia" w:hAnsiTheme="minorEastAsia" w:eastAsiaTheme="minorEastAsia"/>
                <w:sz w:val="24"/>
                <w:szCs w:val="24"/>
              </w:rPr>
            </w:pPr>
          </w:p>
        </w:tc>
        <w:tc>
          <w:tcPr>
            <w:tcW w:w="788" w:type="dxa"/>
            <w:tcBorders>
              <w:top w:val="single" w:color="auto" w:sz="4" w:space="0"/>
              <w:left w:val="single" w:color="auto" w:sz="4" w:space="0"/>
              <w:bottom w:val="single" w:color="auto" w:sz="4" w:space="0"/>
              <w:right w:val="single" w:color="auto" w:sz="4" w:space="0"/>
            </w:tcBorders>
          </w:tcPr>
          <w:p w14:paraId="1233E00C">
            <w:pPr>
              <w:spacing w:line="360" w:lineRule="auto"/>
              <w:ind w:left="-105" w:leftChars="-50" w:right="-105" w:rightChars="-50"/>
              <w:rPr>
                <w:rFonts w:asciiTheme="minorEastAsia" w:hAnsiTheme="minorEastAsia" w:eastAsiaTheme="minorEastAsia"/>
                <w:sz w:val="24"/>
                <w:szCs w:val="24"/>
              </w:rPr>
            </w:pPr>
          </w:p>
        </w:tc>
      </w:tr>
      <w:tr w14:paraId="192C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0" w:type="dxa"/>
            <w:tcBorders>
              <w:top w:val="single" w:color="auto" w:sz="4" w:space="0"/>
              <w:left w:val="single" w:color="auto" w:sz="4" w:space="0"/>
              <w:bottom w:val="single" w:color="auto" w:sz="4" w:space="0"/>
              <w:right w:val="single" w:color="auto" w:sz="4" w:space="0"/>
            </w:tcBorders>
          </w:tcPr>
          <w:p w14:paraId="12F1E29D">
            <w:pPr>
              <w:spacing w:line="360" w:lineRule="auto"/>
              <w:ind w:left="-105" w:leftChars="-50" w:right="-105" w:rightChars="-50"/>
              <w:rPr>
                <w:rFonts w:asciiTheme="minorEastAsia" w:hAnsiTheme="minorEastAsia" w:eastAsiaTheme="minorEastAsia"/>
                <w:sz w:val="24"/>
                <w:szCs w:val="24"/>
              </w:rPr>
            </w:pPr>
          </w:p>
        </w:tc>
        <w:tc>
          <w:tcPr>
            <w:tcW w:w="850" w:type="dxa"/>
            <w:tcBorders>
              <w:top w:val="single" w:color="auto" w:sz="4" w:space="0"/>
              <w:left w:val="single" w:color="auto" w:sz="4" w:space="0"/>
              <w:bottom w:val="single" w:color="auto" w:sz="4" w:space="0"/>
              <w:right w:val="single" w:color="auto" w:sz="4" w:space="0"/>
            </w:tcBorders>
          </w:tcPr>
          <w:p w14:paraId="65333888">
            <w:pPr>
              <w:spacing w:line="360" w:lineRule="auto"/>
              <w:ind w:left="-105" w:leftChars="-50" w:right="-105" w:rightChars="-50"/>
              <w:rPr>
                <w:rFonts w:asciiTheme="minorEastAsia" w:hAnsiTheme="minorEastAsia" w:eastAsiaTheme="minorEastAsia"/>
                <w:sz w:val="24"/>
                <w:szCs w:val="24"/>
              </w:rPr>
            </w:pPr>
          </w:p>
        </w:tc>
        <w:tc>
          <w:tcPr>
            <w:tcW w:w="658" w:type="dxa"/>
            <w:tcBorders>
              <w:top w:val="single" w:color="auto" w:sz="4" w:space="0"/>
              <w:left w:val="single" w:color="auto" w:sz="4" w:space="0"/>
              <w:bottom w:val="single" w:color="auto" w:sz="4" w:space="0"/>
              <w:right w:val="single" w:color="auto" w:sz="4" w:space="0"/>
            </w:tcBorders>
          </w:tcPr>
          <w:p w14:paraId="101DF699">
            <w:pPr>
              <w:spacing w:line="360" w:lineRule="auto"/>
              <w:ind w:left="-105" w:leftChars="-50" w:right="-105" w:rightChars="-50"/>
              <w:rPr>
                <w:rFonts w:asciiTheme="minorEastAsia" w:hAnsiTheme="minorEastAsia" w:eastAsiaTheme="minorEastAsia"/>
                <w:sz w:val="24"/>
                <w:szCs w:val="24"/>
              </w:rPr>
            </w:pPr>
          </w:p>
        </w:tc>
        <w:tc>
          <w:tcPr>
            <w:tcW w:w="735" w:type="dxa"/>
            <w:tcBorders>
              <w:top w:val="single" w:color="auto" w:sz="4" w:space="0"/>
              <w:left w:val="single" w:color="auto" w:sz="4" w:space="0"/>
              <w:bottom w:val="single" w:color="auto" w:sz="4" w:space="0"/>
              <w:right w:val="single" w:color="auto" w:sz="4" w:space="0"/>
            </w:tcBorders>
          </w:tcPr>
          <w:p w14:paraId="67CCF5E0">
            <w:pPr>
              <w:spacing w:line="360" w:lineRule="auto"/>
              <w:ind w:left="-105" w:leftChars="-50" w:right="-105" w:rightChars="-50"/>
              <w:rPr>
                <w:rFonts w:asciiTheme="minorEastAsia" w:hAnsiTheme="minorEastAsia" w:eastAsiaTheme="minorEastAsia"/>
                <w:sz w:val="24"/>
                <w:szCs w:val="24"/>
              </w:rPr>
            </w:pPr>
          </w:p>
        </w:tc>
        <w:tc>
          <w:tcPr>
            <w:tcW w:w="1868" w:type="dxa"/>
            <w:tcBorders>
              <w:top w:val="single" w:color="auto" w:sz="4" w:space="0"/>
              <w:left w:val="single" w:color="auto" w:sz="4" w:space="0"/>
              <w:bottom w:val="single" w:color="auto" w:sz="4" w:space="0"/>
              <w:right w:val="single" w:color="auto" w:sz="4" w:space="0"/>
            </w:tcBorders>
          </w:tcPr>
          <w:p w14:paraId="1188D535">
            <w:pPr>
              <w:spacing w:line="360" w:lineRule="auto"/>
              <w:ind w:left="-105" w:leftChars="-50" w:right="-105" w:rightChars="-50"/>
              <w:rPr>
                <w:rFonts w:asciiTheme="minorEastAsia" w:hAnsiTheme="minorEastAsia" w:eastAsiaTheme="minorEastAsia"/>
                <w:sz w:val="24"/>
                <w:szCs w:val="24"/>
              </w:rPr>
            </w:pPr>
          </w:p>
        </w:tc>
        <w:tc>
          <w:tcPr>
            <w:tcW w:w="1597" w:type="dxa"/>
            <w:tcBorders>
              <w:top w:val="single" w:color="auto" w:sz="4" w:space="0"/>
              <w:left w:val="single" w:color="auto" w:sz="4" w:space="0"/>
              <w:bottom w:val="single" w:color="auto" w:sz="4" w:space="0"/>
              <w:right w:val="single" w:color="auto" w:sz="4" w:space="0"/>
            </w:tcBorders>
          </w:tcPr>
          <w:p w14:paraId="5CD60E48">
            <w:pPr>
              <w:spacing w:line="360" w:lineRule="auto"/>
              <w:ind w:left="-105" w:leftChars="-50" w:right="-105" w:rightChars="-50"/>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14:paraId="3FC5C231">
            <w:pPr>
              <w:spacing w:line="360" w:lineRule="auto"/>
              <w:ind w:left="-105" w:leftChars="-50" w:right="-105" w:rightChars="-50"/>
              <w:rPr>
                <w:rFonts w:asciiTheme="minorEastAsia" w:hAnsiTheme="minorEastAsia" w:eastAsiaTheme="minorEastAsia"/>
                <w:sz w:val="24"/>
                <w:szCs w:val="24"/>
              </w:rPr>
            </w:pPr>
          </w:p>
        </w:tc>
        <w:tc>
          <w:tcPr>
            <w:tcW w:w="1181" w:type="dxa"/>
            <w:tcBorders>
              <w:top w:val="single" w:color="auto" w:sz="4" w:space="0"/>
              <w:left w:val="single" w:color="auto" w:sz="4" w:space="0"/>
              <w:bottom w:val="single" w:color="auto" w:sz="4" w:space="0"/>
              <w:right w:val="single" w:color="auto" w:sz="4" w:space="0"/>
            </w:tcBorders>
          </w:tcPr>
          <w:p w14:paraId="36D890E5">
            <w:pPr>
              <w:spacing w:line="360" w:lineRule="auto"/>
              <w:ind w:left="-105" w:leftChars="-50" w:right="-105" w:rightChars="-50"/>
              <w:rPr>
                <w:rFonts w:asciiTheme="minorEastAsia" w:hAnsiTheme="minorEastAsia" w:eastAsiaTheme="minorEastAsia"/>
                <w:sz w:val="24"/>
                <w:szCs w:val="24"/>
              </w:rPr>
            </w:pPr>
          </w:p>
        </w:tc>
        <w:tc>
          <w:tcPr>
            <w:tcW w:w="788" w:type="dxa"/>
            <w:tcBorders>
              <w:top w:val="single" w:color="auto" w:sz="4" w:space="0"/>
              <w:left w:val="single" w:color="auto" w:sz="4" w:space="0"/>
              <w:bottom w:val="single" w:color="auto" w:sz="4" w:space="0"/>
              <w:right w:val="single" w:color="auto" w:sz="4" w:space="0"/>
            </w:tcBorders>
          </w:tcPr>
          <w:p w14:paraId="5D98629A">
            <w:pPr>
              <w:spacing w:line="360" w:lineRule="auto"/>
              <w:ind w:left="-105" w:leftChars="-50" w:right="-105" w:rightChars="-50"/>
              <w:rPr>
                <w:rFonts w:asciiTheme="minorEastAsia" w:hAnsiTheme="minorEastAsia" w:eastAsiaTheme="minorEastAsia"/>
                <w:sz w:val="24"/>
                <w:szCs w:val="24"/>
              </w:rPr>
            </w:pPr>
          </w:p>
        </w:tc>
      </w:tr>
      <w:tr w14:paraId="02EC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0" w:type="dxa"/>
            <w:tcBorders>
              <w:top w:val="single" w:color="auto" w:sz="4" w:space="0"/>
              <w:left w:val="single" w:color="auto" w:sz="4" w:space="0"/>
              <w:bottom w:val="single" w:color="auto" w:sz="4" w:space="0"/>
              <w:right w:val="single" w:color="auto" w:sz="4" w:space="0"/>
            </w:tcBorders>
          </w:tcPr>
          <w:p w14:paraId="611A990C">
            <w:pPr>
              <w:spacing w:line="360" w:lineRule="auto"/>
              <w:ind w:left="-105" w:leftChars="-50" w:right="-105" w:rightChars="-50"/>
              <w:rPr>
                <w:rFonts w:asciiTheme="minorEastAsia" w:hAnsiTheme="minorEastAsia" w:eastAsiaTheme="minorEastAsia"/>
                <w:sz w:val="24"/>
                <w:szCs w:val="24"/>
              </w:rPr>
            </w:pPr>
          </w:p>
        </w:tc>
        <w:tc>
          <w:tcPr>
            <w:tcW w:w="850" w:type="dxa"/>
            <w:tcBorders>
              <w:top w:val="single" w:color="auto" w:sz="4" w:space="0"/>
              <w:left w:val="single" w:color="auto" w:sz="4" w:space="0"/>
              <w:bottom w:val="single" w:color="auto" w:sz="4" w:space="0"/>
              <w:right w:val="single" w:color="auto" w:sz="4" w:space="0"/>
            </w:tcBorders>
          </w:tcPr>
          <w:p w14:paraId="2CA0840A">
            <w:pPr>
              <w:spacing w:line="360" w:lineRule="auto"/>
              <w:ind w:left="-105" w:leftChars="-50" w:right="-105" w:rightChars="-50"/>
              <w:rPr>
                <w:rFonts w:asciiTheme="minorEastAsia" w:hAnsiTheme="minorEastAsia" w:eastAsiaTheme="minorEastAsia"/>
                <w:sz w:val="24"/>
                <w:szCs w:val="24"/>
              </w:rPr>
            </w:pPr>
          </w:p>
        </w:tc>
        <w:tc>
          <w:tcPr>
            <w:tcW w:w="658" w:type="dxa"/>
            <w:tcBorders>
              <w:top w:val="single" w:color="auto" w:sz="4" w:space="0"/>
              <w:left w:val="single" w:color="auto" w:sz="4" w:space="0"/>
              <w:bottom w:val="single" w:color="auto" w:sz="4" w:space="0"/>
              <w:right w:val="single" w:color="auto" w:sz="4" w:space="0"/>
            </w:tcBorders>
          </w:tcPr>
          <w:p w14:paraId="34BAB480">
            <w:pPr>
              <w:spacing w:line="360" w:lineRule="auto"/>
              <w:ind w:left="-105" w:leftChars="-50" w:right="-105" w:rightChars="-50"/>
              <w:rPr>
                <w:rFonts w:asciiTheme="minorEastAsia" w:hAnsiTheme="minorEastAsia" w:eastAsiaTheme="minorEastAsia"/>
                <w:sz w:val="24"/>
                <w:szCs w:val="24"/>
              </w:rPr>
            </w:pPr>
          </w:p>
        </w:tc>
        <w:tc>
          <w:tcPr>
            <w:tcW w:w="735" w:type="dxa"/>
            <w:tcBorders>
              <w:top w:val="single" w:color="auto" w:sz="4" w:space="0"/>
              <w:left w:val="single" w:color="auto" w:sz="4" w:space="0"/>
              <w:bottom w:val="single" w:color="auto" w:sz="4" w:space="0"/>
              <w:right w:val="single" w:color="auto" w:sz="4" w:space="0"/>
            </w:tcBorders>
          </w:tcPr>
          <w:p w14:paraId="2C74E3EA">
            <w:pPr>
              <w:spacing w:line="360" w:lineRule="auto"/>
              <w:ind w:left="-105" w:leftChars="-50" w:right="-105" w:rightChars="-50"/>
              <w:rPr>
                <w:rFonts w:asciiTheme="minorEastAsia" w:hAnsiTheme="minorEastAsia" w:eastAsiaTheme="minorEastAsia"/>
                <w:sz w:val="24"/>
                <w:szCs w:val="24"/>
              </w:rPr>
            </w:pPr>
          </w:p>
        </w:tc>
        <w:tc>
          <w:tcPr>
            <w:tcW w:w="1868" w:type="dxa"/>
            <w:tcBorders>
              <w:top w:val="single" w:color="auto" w:sz="4" w:space="0"/>
              <w:left w:val="single" w:color="auto" w:sz="4" w:space="0"/>
              <w:bottom w:val="single" w:color="auto" w:sz="4" w:space="0"/>
              <w:right w:val="single" w:color="auto" w:sz="4" w:space="0"/>
            </w:tcBorders>
          </w:tcPr>
          <w:p w14:paraId="102F71E3">
            <w:pPr>
              <w:spacing w:line="360" w:lineRule="auto"/>
              <w:ind w:left="-105" w:leftChars="-50" w:right="-105" w:rightChars="-50"/>
              <w:rPr>
                <w:rFonts w:asciiTheme="minorEastAsia" w:hAnsiTheme="minorEastAsia" w:eastAsiaTheme="minorEastAsia"/>
                <w:sz w:val="24"/>
                <w:szCs w:val="24"/>
              </w:rPr>
            </w:pPr>
          </w:p>
        </w:tc>
        <w:tc>
          <w:tcPr>
            <w:tcW w:w="1597" w:type="dxa"/>
            <w:tcBorders>
              <w:top w:val="single" w:color="auto" w:sz="4" w:space="0"/>
              <w:left w:val="single" w:color="auto" w:sz="4" w:space="0"/>
              <w:bottom w:val="single" w:color="auto" w:sz="4" w:space="0"/>
              <w:right w:val="single" w:color="auto" w:sz="4" w:space="0"/>
            </w:tcBorders>
          </w:tcPr>
          <w:p w14:paraId="3CD2E251">
            <w:pPr>
              <w:spacing w:line="360" w:lineRule="auto"/>
              <w:ind w:left="-105" w:leftChars="-50" w:right="-105" w:rightChars="-50"/>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14:paraId="1D2CE41F">
            <w:pPr>
              <w:spacing w:line="360" w:lineRule="auto"/>
              <w:ind w:left="-105" w:leftChars="-50" w:right="-105" w:rightChars="-50"/>
              <w:rPr>
                <w:rFonts w:asciiTheme="minorEastAsia" w:hAnsiTheme="minorEastAsia" w:eastAsiaTheme="minorEastAsia"/>
                <w:sz w:val="24"/>
                <w:szCs w:val="24"/>
              </w:rPr>
            </w:pPr>
          </w:p>
        </w:tc>
        <w:tc>
          <w:tcPr>
            <w:tcW w:w="1181" w:type="dxa"/>
            <w:tcBorders>
              <w:top w:val="single" w:color="auto" w:sz="4" w:space="0"/>
              <w:left w:val="single" w:color="auto" w:sz="4" w:space="0"/>
              <w:bottom w:val="single" w:color="auto" w:sz="4" w:space="0"/>
              <w:right w:val="single" w:color="auto" w:sz="4" w:space="0"/>
            </w:tcBorders>
          </w:tcPr>
          <w:p w14:paraId="074054F0">
            <w:pPr>
              <w:spacing w:line="360" w:lineRule="auto"/>
              <w:ind w:left="-105" w:leftChars="-50" w:right="-105" w:rightChars="-50"/>
              <w:rPr>
                <w:rFonts w:asciiTheme="minorEastAsia" w:hAnsiTheme="minorEastAsia" w:eastAsiaTheme="minorEastAsia"/>
                <w:sz w:val="24"/>
                <w:szCs w:val="24"/>
              </w:rPr>
            </w:pPr>
          </w:p>
        </w:tc>
        <w:tc>
          <w:tcPr>
            <w:tcW w:w="788" w:type="dxa"/>
            <w:tcBorders>
              <w:top w:val="single" w:color="auto" w:sz="4" w:space="0"/>
              <w:left w:val="single" w:color="auto" w:sz="4" w:space="0"/>
              <w:bottom w:val="single" w:color="auto" w:sz="4" w:space="0"/>
              <w:right w:val="single" w:color="auto" w:sz="4" w:space="0"/>
            </w:tcBorders>
          </w:tcPr>
          <w:p w14:paraId="30438DA8">
            <w:pPr>
              <w:spacing w:line="360" w:lineRule="auto"/>
              <w:ind w:left="-105" w:leftChars="-50" w:right="-105" w:rightChars="-50"/>
              <w:rPr>
                <w:rFonts w:asciiTheme="minorEastAsia" w:hAnsiTheme="minorEastAsia" w:eastAsiaTheme="minorEastAsia"/>
                <w:sz w:val="24"/>
                <w:szCs w:val="24"/>
              </w:rPr>
            </w:pPr>
          </w:p>
        </w:tc>
      </w:tr>
      <w:tr w14:paraId="1A5D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14:paraId="0B76E3AF">
            <w:pPr>
              <w:spacing w:line="360" w:lineRule="auto"/>
              <w:ind w:left="-105" w:leftChars="-50" w:right="-105" w:rightChars="-50"/>
              <w:rPr>
                <w:rFonts w:asciiTheme="minorEastAsia" w:hAnsiTheme="minorEastAsia" w:eastAsiaTheme="minorEastAsia"/>
                <w:sz w:val="24"/>
                <w:szCs w:val="24"/>
              </w:rPr>
            </w:pPr>
          </w:p>
        </w:tc>
        <w:tc>
          <w:tcPr>
            <w:tcW w:w="850" w:type="dxa"/>
            <w:tcBorders>
              <w:top w:val="single" w:color="auto" w:sz="4" w:space="0"/>
              <w:left w:val="single" w:color="auto" w:sz="4" w:space="0"/>
              <w:bottom w:val="single" w:color="auto" w:sz="4" w:space="0"/>
              <w:right w:val="single" w:color="auto" w:sz="4" w:space="0"/>
            </w:tcBorders>
          </w:tcPr>
          <w:p w14:paraId="6A5606B9">
            <w:pPr>
              <w:spacing w:line="360" w:lineRule="auto"/>
              <w:ind w:left="-105" w:leftChars="-50" w:right="-105" w:rightChars="-50"/>
              <w:rPr>
                <w:rFonts w:asciiTheme="minorEastAsia" w:hAnsiTheme="minorEastAsia" w:eastAsiaTheme="minorEastAsia"/>
                <w:sz w:val="24"/>
                <w:szCs w:val="24"/>
              </w:rPr>
            </w:pPr>
          </w:p>
        </w:tc>
        <w:tc>
          <w:tcPr>
            <w:tcW w:w="658" w:type="dxa"/>
            <w:tcBorders>
              <w:top w:val="single" w:color="auto" w:sz="4" w:space="0"/>
              <w:left w:val="single" w:color="auto" w:sz="4" w:space="0"/>
              <w:bottom w:val="single" w:color="auto" w:sz="4" w:space="0"/>
              <w:right w:val="single" w:color="auto" w:sz="4" w:space="0"/>
            </w:tcBorders>
          </w:tcPr>
          <w:p w14:paraId="79D915B1">
            <w:pPr>
              <w:spacing w:line="360" w:lineRule="auto"/>
              <w:ind w:left="-105" w:leftChars="-50" w:right="-105" w:rightChars="-50"/>
              <w:rPr>
                <w:rFonts w:asciiTheme="minorEastAsia" w:hAnsiTheme="minorEastAsia" w:eastAsiaTheme="minorEastAsia"/>
                <w:sz w:val="24"/>
                <w:szCs w:val="24"/>
              </w:rPr>
            </w:pPr>
          </w:p>
        </w:tc>
        <w:tc>
          <w:tcPr>
            <w:tcW w:w="735" w:type="dxa"/>
            <w:tcBorders>
              <w:top w:val="single" w:color="auto" w:sz="4" w:space="0"/>
              <w:left w:val="single" w:color="auto" w:sz="4" w:space="0"/>
              <w:bottom w:val="single" w:color="auto" w:sz="4" w:space="0"/>
              <w:right w:val="single" w:color="auto" w:sz="4" w:space="0"/>
            </w:tcBorders>
          </w:tcPr>
          <w:p w14:paraId="60D0C8D4">
            <w:pPr>
              <w:spacing w:line="360" w:lineRule="auto"/>
              <w:ind w:left="-105" w:leftChars="-50" w:right="-105" w:rightChars="-50"/>
              <w:rPr>
                <w:rFonts w:asciiTheme="minorEastAsia" w:hAnsiTheme="minorEastAsia" w:eastAsiaTheme="minorEastAsia"/>
                <w:sz w:val="24"/>
                <w:szCs w:val="24"/>
              </w:rPr>
            </w:pPr>
          </w:p>
        </w:tc>
        <w:tc>
          <w:tcPr>
            <w:tcW w:w="1868" w:type="dxa"/>
            <w:tcBorders>
              <w:top w:val="single" w:color="auto" w:sz="4" w:space="0"/>
              <w:left w:val="single" w:color="auto" w:sz="4" w:space="0"/>
              <w:bottom w:val="single" w:color="auto" w:sz="4" w:space="0"/>
              <w:right w:val="single" w:color="auto" w:sz="4" w:space="0"/>
            </w:tcBorders>
          </w:tcPr>
          <w:p w14:paraId="353F5F77">
            <w:pPr>
              <w:spacing w:line="360" w:lineRule="auto"/>
              <w:ind w:left="-105" w:leftChars="-50" w:right="-105" w:rightChars="-50"/>
              <w:rPr>
                <w:rFonts w:asciiTheme="minorEastAsia" w:hAnsiTheme="minorEastAsia" w:eastAsiaTheme="minorEastAsia"/>
                <w:sz w:val="24"/>
                <w:szCs w:val="24"/>
              </w:rPr>
            </w:pPr>
          </w:p>
        </w:tc>
        <w:tc>
          <w:tcPr>
            <w:tcW w:w="1597" w:type="dxa"/>
            <w:tcBorders>
              <w:top w:val="single" w:color="auto" w:sz="4" w:space="0"/>
              <w:left w:val="single" w:color="auto" w:sz="4" w:space="0"/>
              <w:bottom w:val="single" w:color="auto" w:sz="4" w:space="0"/>
              <w:right w:val="single" w:color="auto" w:sz="4" w:space="0"/>
            </w:tcBorders>
          </w:tcPr>
          <w:p w14:paraId="5EC026F7">
            <w:pPr>
              <w:spacing w:line="360" w:lineRule="auto"/>
              <w:ind w:left="-105" w:leftChars="-50" w:right="-105" w:rightChars="-50"/>
              <w:rPr>
                <w:rFonts w:asciiTheme="minorEastAsia" w:hAnsiTheme="minorEastAsia" w:eastAsiaTheme="minorEastAsia"/>
                <w:sz w:val="24"/>
                <w:szCs w:val="24"/>
              </w:rPr>
            </w:pPr>
          </w:p>
        </w:tc>
        <w:tc>
          <w:tcPr>
            <w:tcW w:w="761" w:type="dxa"/>
            <w:tcBorders>
              <w:top w:val="single" w:color="auto" w:sz="4" w:space="0"/>
              <w:left w:val="single" w:color="auto" w:sz="4" w:space="0"/>
              <w:bottom w:val="single" w:color="auto" w:sz="4" w:space="0"/>
              <w:right w:val="single" w:color="auto" w:sz="4" w:space="0"/>
            </w:tcBorders>
          </w:tcPr>
          <w:p w14:paraId="3BB7C1FB">
            <w:pPr>
              <w:spacing w:line="360" w:lineRule="auto"/>
              <w:ind w:left="-105" w:leftChars="-50" w:right="-105" w:rightChars="-50"/>
              <w:rPr>
                <w:rFonts w:asciiTheme="minorEastAsia" w:hAnsiTheme="minorEastAsia" w:eastAsiaTheme="minorEastAsia"/>
                <w:sz w:val="24"/>
                <w:szCs w:val="24"/>
              </w:rPr>
            </w:pPr>
          </w:p>
        </w:tc>
        <w:tc>
          <w:tcPr>
            <w:tcW w:w="1181" w:type="dxa"/>
            <w:tcBorders>
              <w:top w:val="single" w:color="auto" w:sz="4" w:space="0"/>
              <w:left w:val="single" w:color="auto" w:sz="4" w:space="0"/>
              <w:bottom w:val="single" w:color="auto" w:sz="4" w:space="0"/>
              <w:right w:val="single" w:color="auto" w:sz="4" w:space="0"/>
            </w:tcBorders>
          </w:tcPr>
          <w:p w14:paraId="5857ABA6">
            <w:pPr>
              <w:spacing w:line="360" w:lineRule="auto"/>
              <w:ind w:left="-105" w:leftChars="-50" w:right="-105" w:rightChars="-50"/>
              <w:rPr>
                <w:rFonts w:asciiTheme="minorEastAsia" w:hAnsiTheme="minorEastAsia" w:eastAsiaTheme="minorEastAsia"/>
                <w:sz w:val="24"/>
                <w:szCs w:val="24"/>
              </w:rPr>
            </w:pPr>
          </w:p>
        </w:tc>
        <w:tc>
          <w:tcPr>
            <w:tcW w:w="788" w:type="dxa"/>
            <w:tcBorders>
              <w:top w:val="single" w:color="auto" w:sz="4" w:space="0"/>
              <w:left w:val="single" w:color="auto" w:sz="4" w:space="0"/>
              <w:bottom w:val="single" w:color="auto" w:sz="4" w:space="0"/>
              <w:right w:val="single" w:color="auto" w:sz="4" w:space="0"/>
            </w:tcBorders>
          </w:tcPr>
          <w:p w14:paraId="5C0CB33E">
            <w:pPr>
              <w:spacing w:line="360" w:lineRule="auto"/>
              <w:ind w:left="-105" w:leftChars="-50" w:right="-105" w:rightChars="-50"/>
              <w:rPr>
                <w:rFonts w:asciiTheme="minorEastAsia" w:hAnsiTheme="minorEastAsia" w:eastAsiaTheme="minorEastAsia"/>
                <w:sz w:val="24"/>
                <w:szCs w:val="24"/>
              </w:rPr>
            </w:pPr>
          </w:p>
        </w:tc>
      </w:tr>
    </w:tbl>
    <w:p w14:paraId="2021336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各阶段拟委派本项目的主要技术人员及个人业绩、资历情况，按下列格式提供作为合同的附件二：拟委派本项目主要技术人员一览表（按投标文件填写）</w:t>
      </w:r>
    </w:p>
    <w:tbl>
      <w:tblPr>
        <w:tblStyle w:val="5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619"/>
        <w:gridCol w:w="5435"/>
      </w:tblGrid>
      <w:tr w14:paraId="0DDA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84" w:type="dxa"/>
            <w:vAlign w:val="center"/>
          </w:tcPr>
          <w:p w14:paraId="416155CC">
            <w:pPr>
              <w:spacing w:line="360" w:lineRule="auto"/>
              <w:ind w:left="-105" w:leftChars="-50" w:right="-105" w:rightChars="-50"/>
              <w:rPr>
                <w:rFonts w:asciiTheme="minorEastAsia" w:hAnsiTheme="minorEastAsia" w:eastAsiaTheme="minorEastAsia"/>
                <w:b/>
                <w:sz w:val="24"/>
                <w:szCs w:val="24"/>
              </w:rPr>
            </w:pPr>
            <w:r>
              <w:rPr>
                <w:rFonts w:hint="eastAsia" w:asciiTheme="minorEastAsia" w:hAnsiTheme="minorEastAsia" w:eastAsiaTheme="minorEastAsia"/>
                <w:b/>
                <w:sz w:val="24"/>
                <w:szCs w:val="24"/>
              </w:rPr>
              <w:t>姓名</w:t>
            </w:r>
          </w:p>
        </w:tc>
        <w:tc>
          <w:tcPr>
            <w:tcW w:w="2619" w:type="dxa"/>
            <w:vAlign w:val="center"/>
          </w:tcPr>
          <w:p w14:paraId="0FE3367D">
            <w:pPr>
              <w:pStyle w:val="32"/>
              <w:spacing w:line="360" w:lineRule="auto"/>
              <w:ind w:left="-105" w:leftChars="-50" w:right="-105" w:rightChars="-50"/>
              <w:jc w:val="center"/>
              <w:rPr>
                <w:rFonts w:asciiTheme="minorEastAsia" w:hAnsiTheme="minorEastAsia" w:eastAsiaTheme="minorEastAsia"/>
                <w:b/>
                <w:szCs w:val="24"/>
              </w:rPr>
            </w:pPr>
            <w:r>
              <w:rPr>
                <w:rFonts w:hint="eastAsia" w:asciiTheme="minorEastAsia" w:hAnsiTheme="minorEastAsia" w:eastAsiaTheme="minorEastAsia"/>
                <w:b/>
                <w:szCs w:val="24"/>
              </w:rPr>
              <w:t>专业</w:t>
            </w:r>
          </w:p>
        </w:tc>
        <w:tc>
          <w:tcPr>
            <w:tcW w:w="5435" w:type="dxa"/>
            <w:vAlign w:val="center"/>
          </w:tcPr>
          <w:p w14:paraId="6DF9877B">
            <w:pPr>
              <w:spacing w:line="360" w:lineRule="auto"/>
              <w:ind w:left="11" w:leftChars="-50" w:right="-105" w:rightChars="-50" w:hanging="116" w:hangingChars="48"/>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资格</w:t>
            </w:r>
          </w:p>
        </w:tc>
      </w:tr>
      <w:tr w14:paraId="74D5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84" w:type="dxa"/>
            <w:vAlign w:val="center"/>
          </w:tcPr>
          <w:p w14:paraId="0C9190ED">
            <w:pPr>
              <w:spacing w:line="360" w:lineRule="auto"/>
              <w:ind w:left="-105" w:leftChars="-50" w:right="-105" w:rightChars="-50"/>
              <w:rPr>
                <w:rFonts w:asciiTheme="minorEastAsia" w:hAnsiTheme="minorEastAsia" w:eastAsiaTheme="minorEastAsia"/>
                <w:sz w:val="24"/>
                <w:szCs w:val="24"/>
              </w:rPr>
            </w:pPr>
          </w:p>
        </w:tc>
        <w:tc>
          <w:tcPr>
            <w:tcW w:w="2619" w:type="dxa"/>
            <w:vAlign w:val="center"/>
          </w:tcPr>
          <w:p w14:paraId="1311AB1E">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项目负责人</w:t>
            </w:r>
          </w:p>
        </w:tc>
        <w:tc>
          <w:tcPr>
            <w:tcW w:w="5435" w:type="dxa"/>
            <w:vAlign w:val="center"/>
          </w:tcPr>
          <w:p w14:paraId="3785989B">
            <w:pPr>
              <w:spacing w:line="360" w:lineRule="auto"/>
              <w:ind w:left="-105" w:leftChars="-50" w:right="-105" w:rightChars="-50"/>
              <w:rPr>
                <w:rFonts w:asciiTheme="minorEastAsia" w:hAnsiTheme="minorEastAsia" w:eastAsiaTheme="minorEastAsia"/>
                <w:sz w:val="24"/>
                <w:szCs w:val="24"/>
              </w:rPr>
            </w:pPr>
          </w:p>
        </w:tc>
      </w:tr>
      <w:tr w14:paraId="551B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84" w:type="dxa"/>
            <w:vAlign w:val="center"/>
          </w:tcPr>
          <w:p w14:paraId="3200036F">
            <w:pPr>
              <w:spacing w:line="360" w:lineRule="auto"/>
              <w:ind w:left="-105" w:leftChars="-50" w:right="-105" w:rightChars="-50"/>
              <w:rPr>
                <w:rFonts w:asciiTheme="minorEastAsia" w:hAnsiTheme="minorEastAsia" w:eastAsiaTheme="minorEastAsia"/>
                <w:sz w:val="24"/>
                <w:szCs w:val="24"/>
              </w:rPr>
            </w:pPr>
          </w:p>
        </w:tc>
        <w:tc>
          <w:tcPr>
            <w:tcW w:w="2619" w:type="dxa"/>
            <w:vAlign w:val="center"/>
          </w:tcPr>
          <w:p w14:paraId="6FACD47E">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建筑专业负责人（可由项目负责人兼任）</w:t>
            </w:r>
          </w:p>
        </w:tc>
        <w:tc>
          <w:tcPr>
            <w:tcW w:w="5435" w:type="dxa"/>
            <w:vAlign w:val="center"/>
          </w:tcPr>
          <w:p w14:paraId="58D12CE0">
            <w:pPr>
              <w:spacing w:line="360" w:lineRule="auto"/>
              <w:ind w:left="-105" w:leftChars="-50" w:right="-105" w:rightChars="-50"/>
              <w:rPr>
                <w:rFonts w:asciiTheme="minorEastAsia" w:hAnsiTheme="minorEastAsia" w:eastAsiaTheme="minorEastAsia"/>
                <w:sz w:val="24"/>
                <w:szCs w:val="24"/>
              </w:rPr>
            </w:pPr>
          </w:p>
        </w:tc>
      </w:tr>
      <w:tr w14:paraId="5532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4" w:type="dxa"/>
            <w:vAlign w:val="center"/>
          </w:tcPr>
          <w:p w14:paraId="442607E0">
            <w:pPr>
              <w:spacing w:line="360" w:lineRule="auto"/>
              <w:ind w:left="-105" w:leftChars="-50" w:right="-105" w:rightChars="-50"/>
              <w:rPr>
                <w:rFonts w:asciiTheme="minorEastAsia" w:hAnsiTheme="minorEastAsia" w:eastAsiaTheme="minorEastAsia"/>
                <w:sz w:val="24"/>
                <w:szCs w:val="24"/>
              </w:rPr>
            </w:pPr>
          </w:p>
        </w:tc>
        <w:tc>
          <w:tcPr>
            <w:tcW w:w="2619" w:type="dxa"/>
            <w:vAlign w:val="center"/>
          </w:tcPr>
          <w:p w14:paraId="112F7EFF">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结构专业负责人</w:t>
            </w:r>
          </w:p>
        </w:tc>
        <w:tc>
          <w:tcPr>
            <w:tcW w:w="5435" w:type="dxa"/>
            <w:vAlign w:val="center"/>
          </w:tcPr>
          <w:p w14:paraId="1D23A47E">
            <w:pPr>
              <w:spacing w:line="360" w:lineRule="auto"/>
              <w:ind w:left="-105" w:leftChars="-50" w:right="-105" w:rightChars="-50"/>
              <w:rPr>
                <w:rFonts w:asciiTheme="minorEastAsia" w:hAnsiTheme="minorEastAsia" w:eastAsiaTheme="minorEastAsia"/>
                <w:sz w:val="24"/>
                <w:szCs w:val="24"/>
              </w:rPr>
            </w:pPr>
          </w:p>
        </w:tc>
      </w:tr>
      <w:tr w14:paraId="3E2A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4" w:type="dxa"/>
            <w:vAlign w:val="center"/>
          </w:tcPr>
          <w:p w14:paraId="2BB6A792">
            <w:pPr>
              <w:spacing w:line="360" w:lineRule="auto"/>
              <w:ind w:left="-105" w:leftChars="-50" w:right="-105" w:rightChars="-50"/>
              <w:rPr>
                <w:rFonts w:asciiTheme="minorEastAsia" w:hAnsiTheme="minorEastAsia" w:eastAsiaTheme="minorEastAsia"/>
                <w:sz w:val="24"/>
                <w:szCs w:val="24"/>
              </w:rPr>
            </w:pPr>
          </w:p>
        </w:tc>
        <w:tc>
          <w:tcPr>
            <w:tcW w:w="2619" w:type="dxa"/>
            <w:vAlign w:val="center"/>
          </w:tcPr>
          <w:p w14:paraId="0AAA768F">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基坑支护技术负责人</w:t>
            </w:r>
          </w:p>
        </w:tc>
        <w:tc>
          <w:tcPr>
            <w:tcW w:w="5435" w:type="dxa"/>
            <w:vAlign w:val="center"/>
          </w:tcPr>
          <w:p w14:paraId="53470701">
            <w:pPr>
              <w:spacing w:line="360" w:lineRule="auto"/>
              <w:ind w:left="-105" w:leftChars="-50" w:right="-105" w:rightChars="-50"/>
              <w:rPr>
                <w:rFonts w:asciiTheme="minorEastAsia" w:hAnsiTheme="minorEastAsia" w:eastAsiaTheme="minorEastAsia"/>
                <w:sz w:val="24"/>
                <w:szCs w:val="24"/>
              </w:rPr>
            </w:pPr>
          </w:p>
        </w:tc>
      </w:tr>
      <w:tr w14:paraId="7BC1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84" w:type="dxa"/>
            <w:vAlign w:val="center"/>
          </w:tcPr>
          <w:p w14:paraId="17C631C4">
            <w:pPr>
              <w:spacing w:line="360" w:lineRule="auto"/>
              <w:ind w:left="-105" w:leftChars="-50" w:right="-105" w:rightChars="-50"/>
              <w:rPr>
                <w:rFonts w:asciiTheme="minorEastAsia" w:hAnsiTheme="minorEastAsia" w:eastAsiaTheme="minorEastAsia"/>
                <w:sz w:val="24"/>
                <w:szCs w:val="24"/>
              </w:rPr>
            </w:pPr>
          </w:p>
        </w:tc>
        <w:tc>
          <w:tcPr>
            <w:tcW w:w="2619" w:type="dxa"/>
            <w:vAlign w:val="center"/>
          </w:tcPr>
          <w:p w14:paraId="45870188">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给排水专业负责人</w:t>
            </w:r>
          </w:p>
        </w:tc>
        <w:tc>
          <w:tcPr>
            <w:tcW w:w="5435" w:type="dxa"/>
            <w:vAlign w:val="center"/>
          </w:tcPr>
          <w:p w14:paraId="7995DAC9">
            <w:pPr>
              <w:spacing w:line="360" w:lineRule="auto"/>
              <w:ind w:left="-105" w:leftChars="-50" w:right="-105" w:rightChars="-50"/>
              <w:rPr>
                <w:rFonts w:asciiTheme="minorEastAsia" w:hAnsiTheme="minorEastAsia" w:eastAsiaTheme="minorEastAsia"/>
                <w:sz w:val="24"/>
                <w:szCs w:val="24"/>
              </w:rPr>
            </w:pPr>
          </w:p>
        </w:tc>
      </w:tr>
      <w:tr w14:paraId="520F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4" w:type="dxa"/>
            <w:vAlign w:val="center"/>
          </w:tcPr>
          <w:p w14:paraId="1B5A347B">
            <w:pPr>
              <w:spacing w:line="360" w:lineRule="auto"/>
              <w:ind w:left="-105" w:leftChars="-50" w:right="-105" w:rightChars="-50"/>
              <w:rPr>
                <w:rFonts w:asciiTheme="minorEastAsia" w:hAnsiTheme="minorEastAsia" w:eastAsiaTheme="minorEastAsia"/>
                <w:sz w:val="24"/>
                <w:szCs w:val="24"/>
              </w:rPr>
            </w:pPr>
          </w:p>
        </w:tc>
        <w:tc>
          <w:tcPr>
            <w:tcW w:w="2619" w:type="dxa"/>
            <w:vAlign w:val="center"/>
          </w:tcPr>
          <w:p w14:paraId="564EC689">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电气专业负责人</w:t>
            </w:r>
          </w:p>
        </w:tc>
        <w:tc>
          <w:tcPr>
            <w:tcW w:w="5435" w:type="dxa"/>
            <w:vAlign w:val="center"/>
          </w:tcPr>
          <w:p w14:paraId="6BF9DF81">
            <w:pPr>
              <w:spacing w:line="360" w:lineRule="auto"/>
              <w:ind w:left="-105" w:leftChars="-50" w:right="-105" w:rightChars="-50"/>
              <w:rPr>
                <w:rFonts w:asciiTheme="minorEastAsia" w:hAnsiTheme="minorEastAsia" w:eastAsiaTheme="minorEastAsia"/>
                <w:sz w:val="24"/>
                <w:szCs w:val="24"/>
              </w:rPr>
            </w:pPr>
          </w:p>
        </w:tc>
      </w:tr>
      <w:tr w14:paraId="64BC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4" w:type="dxa"/>
            <w:vAlign w:val="center"/>
          </w:tcPr>
          <w:p w14:paraId="77595E32">
            <w:pPr>
              <w:spacing w:line="360" w:lineRule="auto"/>
              <w:ind w:left="-105" w:leftChars="-50" w:right="-105" w:rightChars="-50"/>
              <w:rPr>
                <w:rFonts w:asciiTheme="minorEastAsia" w:hAnsiTheme="minorEastAsia" w:eastAsiaTheme="minorEastAsia"/>
                <w:sz w:val="24"/>
                <w:szCs w:val="24"/>
              </w:rPr>
            </w:pPr>
          </w:p>
        </w:tc>
        <w:tc>
          <w:tcPr>
            <w:tcW w:w="2619" w:type="dxa"/>
            <w:vAlign w:val="center"/>
          </w:tcPr>
          <w:p w14:paraId="30C9762C">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暖通空调专业负责人</w:t>
            </w:r>
          </w:p>
        </w:tc>
        <w:tc>
          <w:tcPr>
            <w:tcW w:w="5435" w:type="dxa"/>
            <w:vAlign w:val="center"/>
          </w:tcPr>
          <w:p w14:paraId="60B81E4B">
            <w:pPr>
              <w:spacing w:line="360" w:lineRule="auto"/>
              <w:ind w:left="-105" w:leftChars="-50" w:right="-105" w:rightChars="-50"/>
              <w:rPr>
                <w:rFonts w:asciiTheme="minorEastAsia" w:hAnsiTheme="minorEastAsia" w:eastAsiaTheme="minorEastAsia"/>
                <w:sz w:val="24"/>
                <w:szCs w:val="24"/>
              </w:rPr>
            </w:pPr>
          </w:p>
        </w:tc>
      </w:tr>
      <w:tr w14:paraId="7D81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4" w:type="dxa"/>
            <w:vAlign w:val="center"/>
          </w:tcPr>
          <w:p w14:paraId="4152762D">
            <w:pPr>
              <w:spacing w:line="360" w:lineRule="auto"/>
              <w:ind w:left="-105" w:leftChars="-50" w:right="-105" w:rightChars="-50"/>
              <w:rPr>
                <w:rFonts w:asciiTheme="minorEastAsia" w:hAnsiTheme="minorEastAsia" w:eastAsiaTheme="minorEastAsia"/>
                <w:sz w:val="24"/>
                <w:szCs w:val="24"/>
              </w:rPr>
            </w:pPr>
          </w:p>
        </w:tc>
        <w:tc>
          <w:tcPr>
            <w:tcW w:w="2619" w:type="dxa"/>
            <w:vAlign w:val="center"/>
          </w:tcPr>
          <w:p w14:paraId="45D9A89C">
            <w:pPr>
              <w:spacing w:line="360" w:lineRule="auto"/>
              <w:ind w:left="-105" w:leftChars="-50" w:right="-105" w:rightChars="-50"/>
              <w:rPr>
                <w:rFonts w:asciiTheme="minorEastAsia" w:hAnsiTheme="minorEastAsia" w:eastAsiaTheme="minorEastAsia"/>
                <w:sz w:val="24"/>
                <w:szCs w:val="24"/>
              </w:rPr>
            </w:pPr>
            <w:r>
              <w:rPr>
                <w:rFonts w:hint="eastAsia" w:asciiTheme="minorEastAsia" w:hAnsiTheme="minorEastAsia" w:eastAsiaTheme="minorEastAsia"/>
                <w:sz w:val="24"/>
                <w:szCs w:val="24"/>
              </w:rPr>
              <w:t>概预算专业负责人</w:t>
            </w:r>
          </w:p>
        </w:tc>
        <w:tc>
          <w:tcPr>
            <w:tcW w:w="5435" w:type="dxa"/>
            <w:vAlign w:val="center"/>
          </w:tcPr>
          <w:p w14:paraId="70F7FF5E">
            <w:pPr>
              <w:spacing w:line="360" w:lineRule="auto"/>
              <w:ind w:left="-105" w:leftChars="-50" w:right="-105" w:rightChars="-50"/>
              <w:rPr>
                <w:rFonts w:asciiTheme="minorEastAsia" w:hAnsiTheme="minorEastAsia" w:eastAsiaTheme="minorEastAsia"/>
                <w:sz w:val="24"/>
                <w:szCs w:val="24"/>
              </w:rPr>
            </w:pPr>
          </w:p>
        </w:tc>
      </w:tr>
    </w:tbl>
    <w:p w14:paraId="41F774CC">
      <w:pPr>
        <w:spacing w:line="360" w:lineRule="auto"/>
        <w:rPr>
          <w:rFonts w:asciiTheme="minorEastAsia" w:hAnsiTheme="minorEastAsia" w:eastAsiaTheme="minorEastAsia"/>
          <w:sz w:val="24"/>
          <w:szCs w:val="24"/>
        </w:rPr>
      </w:pPr>
    </w:p>
    <w:p w14:paraId="74CD6EC3">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br w:type="page"/>
      </w:r>
      <w:r>
        <w:rPr>
          <w:rFonts w:hint="eastAsia" w:asciiTheme="minorEastAsia" w:hAnsiTheme="minorEastAsia" w:eastAsiaTheme="minorEastAsia"/>
          <w:b/>
          <w:sz w:val="24"/>
          <w:szCs w:val="24"/>
        </w:rPr>
        <w:t xml:space="preserve"> 附件5：设计错误分类</w:t>
      </w:r>
    </w:p>
    <w:p w14:paraId="51FE260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设计错误分类</w:t>
      </w:r>
    </w:p>
    <w:p w14:paraId="68E43BC3">
      <w:pPr>
        <w:spacing w:line="360" w:lineRule="auto"/>
        <w:jc w:val="center"/>
        <w:rPr>
          <w:rFonts w:asciiTheme="minorEastAsia" w:hAnsiTheme="minorEastAsia" w:eastAsiaTheme="minorEastAsia"/>
          <w:sz w:val="24"/>
          <w:szCs w:val="24"/>
        </w:rPr>
      </w:pPr>
    </w:p>
    <w:p w14:paraId="7A04BF7D">
      <w:pPr>
        <w:spacing w:line="360" w:lineRule="auto"/>
        <w:ind w:firstLine="488" w:firstLineChars="201"/>
        <w:rPr>
          <w:rFonts w:cs="宋体" w:asciiTheme="minorEastAsia" w:hAnsiTheme="minorEastAsia" w:eastAsiaTheme="minorEastAsia"/>
          <w:b/>
          <w:sz w:val="24"/>
          <w:szCs w:val="24"/>
        </w:rPr>
      </w:pPr>
      <w:r>
        <w:rPr>
          <w:rFonts w:hint="eastAsia" w:cs="宋体" w:asciiTheme="minorEastAsia" w:hAnsiTheme="minorEastAsia" w:eastAsiaTheme="minorEastAsia"/>
          <w:b/>
          <w:spacing w:val="1"/>
          <w:sz w:val="24"/>
          <w:szCs w:val="24"/>
        </w:rPr>
        <w:t>Ⅰ类</w:t>
      </w:r>
      <w:r>
        <w:rPr>
          <w:rFonts w:hint="eastAsia" w:cs="宋体" w:asciiTheme="minorEastAsia" w:hAnsiTheme="minorEastAsia" w:eastAsiaTheme="minorEastAsia"/>
          <w:b/>
          <w:sz w:val="24"/>
          <w:szCs w:val="24"/>
        </w:rPr>
        <w:t>错误</w:t>
      </w:r>
    </w:p>
    <w:p w14:paraId="24344AC8">
      <w:pPr>
        <w:spacing w:line="360" w:lineRule="auto"/>
        <w:ind w:firstLine="478" w:firstLineChars="201"/>
        <w:rPr>
          <w:rFonts w:cs="宋体" w:asciiTheme="minorEastAsia" w:hAnsiTheme="minorEastAsia" w:eastAsiaTheme="minorEastAsia"/>
          <w:sz w:val="24"/>
          <w:szCs w:val="24"/>
        </w:rPr>
      </w:pPr>
      <w:r>
        <w:rPr>
          <w:rFonts w:hint="eastAsia" w:cs="宋体" w:asciiTheme="minorEastAsia" w:hAnsiTheme="minorEastAsia" w:eastAsiaTheme="minorEastAsia"/>
          <w:spacing w:val="-1"/>
          <w:sz w:val="24"/>
          <w:szCs w:val="24"/>
        </w:rPr>
        <w:t>指设计文</w:t>
      </w:r>
      <w:r>
        <w:rPr>
          <w:rFonts w:hint="eastAsia" w:cs="宋体" w:asciiTheme="minorEastAsia" w:hAnsiTheme="minorEastAsia" w:eastAsiaTheme="minorEastAsia"/>
          <w:sz w:val="24"/>
          <w:szCs w:val="24"/>
        </w:rPr>
        <w:t>件中存在原则性或方案性的错误，并将导致工程决策错误，或造成不能正常使用、</w:t>
      </w:r>
      <w:r>
        <w:rPr>
          <w:rFonts w:hint="eastAsia" w:cs="宋体" w:asciiTheme="minorEastAsia" w:hAnsiTheme="minorEastAsia" w:eastAsiaTheme="minorEastAsia"/>
          <w:spacing w:val="-2"/>
          <w:sz w:val="24"/>
          <w:szCs w:val="24"/>
        </w:rPr>
        <w:t>返工，或造成重大经济损失，或造成安全事故，如：</w:t>
      </w:r>
      <w:r>
        <w:rPr>
          <w:rFonts w:hint="eastAsia" w:cs="宋体" w:asciiTheme="minorEastAsia" w:hAnsiTheme="minorEastAsia" w:eastAsiaTheme="minorEastAsia"/>
          <w:spacing w:val="-9"/>
          <w:sz w:val="24"/>
          <w:szCs w:val="24"/>
        </w:rPr>
        <w:t>1</w:t>
      </w:r>
      <w:r>
        <w:rPr>
          <w:rFonts w:hint="eastAsia" w:cs="宋体" w:asciiTheme="minorEastAsia" w:hAnsiTheme="minorEastAsia" w:eastAsiaTheme="minorEastAsia"/>
          <w:spacing w:val="-3"/>
          <w:sz w:val="24"/>
          <w:szCs w:val="24"/>
        </w:rPr>
        <w:t>、违反国家有关</w:t>
      </w:r>
      <w:r>
        <w:rPr>
          <w:rFonts w:hint="eastAsia" w:cs="宋体" w:asciiTheme="minorEastAsia" w:hAnsiTheme="minorEastAsia" w:eastAsiaTheme="minorEastAsia"/>
          <w:spacing w:val="-2"/>
          <w:sz w:val="24"/>
          <w:szCs w:val="24"/>
        </w:rPr>
        <w:t>法律、法规及政策，或选用</w:t>
      </w:r>
      <w:r>
        <w:rPr>
          <w:rFonts w:hint="eastAsia" w:cs="宋体" w:asciiTheme="minorEastAsia" w:hAnsiTheme="minorEastAsia" w:eastAsiaTheme="minorEastAsia"/>
          <w:sz w:val="24"/>
          <w:szCs w:val="24"/>
        </w:rPr>
        <w:t>无效的标准规范；</w:t>
      </w:r>
      <w:r>
        <w:rPr>
          <w:rFonts w:hint="eastAsia" w:cs="宋体" w:asciiTheme="minorEastAsia" w:hAnsiTheme="minorEastAsia" w:eastAsiaTheme="minorEastAsia"/>
          <w:spacing w:val="1"/>
          <w:sz w:val="24"/>
          <w:szCs w:val="24"/>
        </w:rPr>
        <w:t>2</w:t>
      </w:r>
      <w:r>
        <w:rPr>
          <w:rFonts w:hint="eastAsia" w:cs="宋体" w:asciiTheme="minorEastAsia" w:hAnsiTheme="minorEastAsia" w:eastAsiaTheme="minorEastAsia"/>
          <w:sz w:val="24"/>
          <w:szCs w:val="24"/>
        </w:rPr>
        <w:t>、不符合合同要求的用途或目的或规定的规模；</w:t>
      </w:r>
      <w:r>
        <w:rPr>
          <w:rFonts w:hint="eastAsia" w:cs="宋体" w:asciiTheme="minorEastAsia" w:hAnsiTheme="minorEastAsia" w:eastAsiaTheme="minorEastAsia"/>
          <w:spacing w:val="3"/>
          <w:sz w:val="24"/>
          <w:szCs w:val="24"/>
        </w:rPr>
        <w:t>3</w:t>
      </w:r>
      <w:r>
        <w:rPr>
          <w:rFonts w:hint="eastAsia" w:cs="宋体" w:asciiTheme="minorEastAsia" w:hAnsiTheme="minorEastAsia" w:eastAsiaTheme="minorEastAsia"/>
          <w:spacing w:val="1"/>
          <w:sz w:val="24"/>
          <w:szCs w:val="24"/>
        </w:rPr>
        <w:t>、不</w:t>
      </w:r>
      <w:r>
        <w:rPr>
          <w:rFonts w:hint="eastAsia" w:cs="宋体" w:asciiTheme="minorEastAsia" w:hAnsiTheme="minorEastAsia" w:eastAsiaTheme="minorEastAsia"/>
          <w:sz w:val="24"/>
          <w:szCs w:val="24"/>
        </w:rPr>
        <w:t>满足城市规划对项目控制性指标的规定和要求；</w:t>
      </w:r>
      <w:r>
        <w:rPr>
          <w:rFonts w:hint="eastAsia" w:cs="宋体" w:asciiTheme="minorEastAsia" w:hAnsiTheme="minorEastAsia" w:eastAsiaTheme="minorEastAsia"/>
          <w:spacing w:val="2"/>
          <w:sz w:val="24"/>
          <w:szCs w:val="24"/>
        </w:rPr>
        <w:t>4</w:t>
      </w:r>
      <w:r>
        <w:rPr>
          <w:rFonts w:hint="eastAsia" w:cs="宋体" w:asciiTheme="minorEastAsia" w:hAnsiTheme="minorEastAsia" w:eastAsiaTheme="minorEastAsia"/>
          <w:sz w:val="24"/>
          <w:szCs w:val="24"/>
        </w:rPr>
        <w:t>、违反国家现行技术规范、规定、标准的强制性条文；</w:t>
      </w:r>
      <w:r>
        <w:rPr>
          <w:rFonts w:hint="eastAsia" w:cs="宋体" w:asciiTheme="minorEastAsia" w:hAnsiTheme="minorEastAsia" w:eastAsiaTheme="minorEastAsia"/>
          <w:spacing w:val="5"/>
          <w:sz w:val="24"/>
          <w:szCs w:val="24"/>
        </w:rPr>
        <w:t>5</w:t>
      </w:r>
      <w:r>
        <w:rPr>
          <w:rFonts w:hint="eastAsia" w:cs="宋体" w:asciiTheme="minorEastAsia" w:hAnsiTheme="minorEastAsia" w:eastAsiaTheme="minorEastAsia"/>
          <w:spacing w:val="1"/>
          <w:sz w:val="24"/>
          <w:szCs w:val="24"/>
        </w:rPr>
        <w:t>、设</w:t>
      </w:r>
      <w:r>
        <w:rPr>
          <w:rFonts w:hint="eastAsia" w:cs="宋体" w:asciiTheme="minorEastAsia" w:hAnsiTheme="minorEastAsia" w:eastAsiaTheme="minorEastAsia"/>
          <w:sz w:val="24"/>
          <w:szCs w:val="24"/>
        </w:rPr>
        <w:t>计方案不正确；6、主要部位设计错误并影响安全性能或使用功能，或结构施工图设计没有计算书；</w:t>
      </w:r>
      <w:r>
        <w:rPr>
          <w:rFonts w:hint="eastAsia" w:cs="宋体" w:asciiTheme="minorEastAsia" w:hAnsiTheme="minorEastAsia" w:eastAsiaTheme="minorEastAsia"/>
          <w:spacing w:val="7"/>
          <w:sz w:val="24"/>
          <w:szCs w:val="24"/>
        </w:rPr>
        <w:t>7</w:t>
      </w:r>
      <w:r>
        <w:rPr>
          <w:rFonts w:hint="eastAsia" w:cs="宋体" w:asciiTheme="minorEastAsia" w:hAnsiTheme="minorEastAsia" w:eastAsiaTheme="minorEastAsia"/>
          <w:sz w:val="24"/>
          <w:szCs w:val="24"/>
        </w:rPr>
        <w:t>、出现因设计责任引起的一类变更；</w:t>
      </w:r>
      <w:r>
        <w:rPr>
          <w:rFonts w:hint="eastAsia" w:cs="宋体" w:asciiTheme="minorEastAsia" w:hAnsiTheme="minorEastAsia" w:eastAsiaTheme="minorEastAsia"/>
          <w:spacing w:val="1"/>
          <w:sz w:val="24"/>
          <w:szCs w:val="24"/>
        </w:rPr>
        <w:t>8、</w:t>
      </w:r>
      <w:r>
        <w:rPr>
          <w:rFonts w:hint="eastAsia" w:cs="宋体" w:asciiTheme="minorEastAsia" w:hAnsiTheme="minorEastAsia" w:eastAsiaTheme="minorEastAsia"/>
          <w:sz w:val="24"/>
          <w:szCs w:val="24"/>
        </w:rPr>
        <w:t>造价文件严重失实。</w:t>
      </w:r>
    </w:p>
    <w:p w14:paraId="6527FE83">
      <w:pPr>
        <w:spacing w:line="360" w:lineRule="auto"/>
        <w:ind w:firstLine="486" w:firstLineChars="201"/>
        <w:rPr>
          <w:rFonts w:cs="宋体" w:asciiTheme="minorEastAsia" w:hAnsiTheme="minorEastAsia" w:eastAsiaTheme="minorEastAsia"/>
          <w:sz w:val="24"/>
          <w:szCs w:val="24"/>
        </w:rPr>
      </w:pPr>
      <w:r>
        <w:rPr>
          <w:rFonts w:hint="eastAsia" w:cs="宋体" w:asciiTheme="minorEastAsia" w:hAnsiTheme="minorEastAsia" w:eastAsiaTheme="minorEastAsia"/>
          <w:spacing w:val="1"/>
          <w:sz w:val="24"/>
          <w:szCs w:val="24"/>
        </w:rPr>
        <w:t>具体</w:t>
      </w:r>
      <w:r>
        <w:rPr>
          <w:rFonts w:hint="eastAsia" w:cs="宋体" w:asciiTheme="minorEastAsia" w:hAnsiTheme="minorEastAsia" w:eastAsiaTheme="minorEastAsia"/>
          <w:sz w:val="24"/>
          <w:szCs w:val="24"/>
        </w:rPr>
        <w:t>按照专业又可分为：</w:t>
      </w:r>
    </w:p>
    <w:p w14:paraId="138FB94B">
      <w:pPr>
        <w:spacing w:line="360" w:lineRule="auto"/>
        <w:ind w:firstLine="482" w:firstLineChars="20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严重违反规范</w:t>
      </w:r>
      <w:r>
        <w:rPr>
          <w:rFonts w:hint="eastAsia" w:cs="宋体" w:asciiTheme="minorEastAsia" w:hAnsiTheme="minorEastAsia" w:eastAsiaTheme="minorEastAsia"/>
          <w:spacing w:val="1"/>
          <w:sz w:val="24"/>
          <w:szCs w:val="24"/>
        </w:rPr>
        <w:t>、标准、规</w:t>
      </w:r>
      <w:r>
        <w:rPr>
          <w:rFonts w:hint="eastAsia" w:cs="宋体" w:asciiTheme="minorEastAsia" w:hAnsiTheme="minorEastAsia" w:eastAsiaTheme="minorEastAsia"/>
          <w:sz w:val="24"/>
          <w:szCs w:val="24"/>
        </w:rPr>
        <w:t>定，有可能造成严重影响安全和使用的错误，如：</w:t>
      </w:r>
    </w:p>
    <w:p w14:paraId="50BAFA0B">
      <w:pPr>
        <w:autoSpaceDE w:val="0"/>
        <w:autoSpaceDN w:val="0"/>
        <w:spacing w:line="360" w:lineRule="auto"/>
        <w:ind w:firstLine="470" w:firstLineChars="201"/>
        <w:rPr>
          <w:rFonts w:asciiTheme="minorEastAsia" w:hAnsiTheme="minorEastAsia" w:eastAsiaTheme="minorEastAsia"/>
          <w:sz w:val="24"/>
          <w:szCs w:val="24"/>
        </w:rPr>
      </w:pPr>
      <w:r>
        <w:rPr>
          <w:rFonts w:hint="eastAsia" w:cs="宋体" w:asciiTheme="minorEastAsia" w:hAnsiTheme="minorEastAsia" w:eastAsiaTheme="minorEastAsia"/>
          <w:spacing w:val="-3"/>
          <w:sz w:val="24"/>
          <w:szCs w:val="24"/>
        </w:rPr>
        <w:t>建筑专业：规范中消防间距不够，而又未采取措施</w:t>
      </w:r>
      <w:r>
        <w:rPr>
          <w:rFonts w:hint="eastAsia" w:cs="宋体" w:asciiTheme="minorEastAsia" w:hAnsiTheme="minorEastAsia" w:eastAsiaTheme="minorEastAsia"/>
          <w:spacing w:val="-2"/>
          <w:sz w:val="24"/>
          <w:szCs w:val="24"/>
        </w:rPr>
        <w:t>；规划中日照间距不够；防火分区面积超</w:t>
      </w:r>
      <w:r>
        <w:rPr>
          <w:rFonts w:hint="eastAsia" w:cs="宋体" w:asciiTheme="minorEastAsia" w:hAnsiTheme="minorEastAsia" w:eastAsiaTheme="minorEastAsia"/>
          <w:sz w:val="24"/>
          <w:szCs w:val="24"/>
        </w:rPr>
        <w:t>规定，电梯/</w:t>
      </w:r>
      <w:r>
        <w:rPr>
          <w:rFonts w:hint="eastAsia" w:cs="宋体" w:asciiTheme="minorEastAsia" w:hAnsiTheme="minorEastAsia" w:eastAsiaTheme="minorEastAsia"/>
          <w:spacing w:val="1"/>
          <w:sz w:val="24"/>
          <w:szCs w:val="24"/>
        </w:rPr>
        <w:t>楼</w:t>
      </w:r>
      <w:r>
        <w:rPr>
          <w:rFonts w:hint="eastAsia" w:cs="宋体" w:asciiTheme="minorEastAsia" w:hAnsiTheme="minorEastAsia" w:eastAsiaTheme="minorEastAsia"/>
          <w:sz w:val="24"/>
          <w:szCs w:val="24"/>
        </w:rPr>
        <w:t>梯厅不符合防火要求等。</w:t>
      </w:r>
    </w:p>
    <w:p w14:paraId="644BEA58">
      <w:pPr>
        <w:autoSpaceDE w:val="0"/>
        <w:autoSpaceDN w:val="0"/>
        <w:spacing w:line="360" w:lineRule="auto"/>
        <w:ind w:firstLine="470" w:firstLineChars="201"/>
        <w:rPr>
          <w:rFonts w:asciiTheme="minorEastAsia" w:hAnsiTheme="minorEastAsia" w:eastAsiaTheme="minorEastAsia"/>
          <w:sz w:val="24"/>
          <w:szCs w:val="24"/>
        </w:rPr>
      </w:pPr>
      <w:r>
        <w:rPr>
          <w:rFonts w:hint="eastAsia" w:cs="宋体" w:asciiTheme="minorEastAsia" w:hAnsiTheme="minorEastAsia" w:eastAsiaTheme="minorEastAsia"/>
          <w:spacing w:val="-3"/>
          <w:sz w:val="24"/>
          <w:szCs w:val="24"/>
        </w:rPr>
        <w:t>结构专业：结构</w:t>
      </w:r>
      <w:r>
        <w:rPr>
          <w:rFonts w:hint="eastAsia" w:cs="宋体" w:asciiTheme="minorEastAsia" w:hAnsiTheme="minorEastAsia" w:eastAsiaTheme="minorEastAsia"/>
          <w:spacing w:val="2"/>
          <w:sz w:val="24"/>
          <w:szCs w:val="24"/>
        </w:rPr>
        <w:t>(</w:t>
      </w:r>
      <w:r>
        <w:rPr>
          <w:rFonts w:hint="eastAsia" w:cs="宋体" w:asciiTheme="minorEastAsia" w:hAnsiTheme="minorEastAsia" w:eastAsiaTheme="minorEastAsia"/>
          <w:spacing w:val="-3"/>
          <w:sz w:val="24"/>
          <w:szCs w:val="24"/>
        </w:rPr>
        <w:t>含基础</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pacing w:val="-3"/>
          <w:sz w:val="24"/>
          <w:szCs w:val="24"/>
        </w:rPr>
        <w:t>选型错误；计算原则错误；未考虑抗</w:t>
      </w:r>
      <w:r>
        <w:rPr>
          <w:rFonts w:hint="eastAsia" w:cs="宋体" w:asciiTheme="minorEastAsia" w:hAnsiTheme="minorEastAsia" w:eastAsiaTheme="minorEastAsia"/>
          <w:spacing w:val="-2"/>
          <w:sz w:val="24"/>
          <w:szCs w:val="24"/>
        </w:rPr>
        <w:t>震设计；建筑物长度超过规范</w:t>
      </w:r>
      <w:r>
        <w:rPr>
          <w:rFonts w:hint="eastAsia" w:cs="宋体" w:asciiTheme="minorEastAsia" w:hAnsiTheme="minorEastAsia" w:eastAsiaTheme="minorEastAsia"/>
          <w:spacing w:val="1"/>
          <w:sz w:val="24"/>
          <w:szCs w:val="24"/>
        </w:rPr>
        <w:t>要</w:t>
      </w:r>
      <w:r>
        <w:rPr>
          <w:rFonts w:hint="eastAsia" w:cs="宋体" w:asciiTheme="minorEastAsia" w:hAnsiTheme="minorEastAsia" w:eastAsiaTheme="minorEastAsia"/>
          <w:sz w:val="24"/>
          <w:szCs w:val="24"/>
        </w:rPr>
        <w:t>求而未采取任何措施等。</w:t>
      </w:r>
    </w:p>
    <w:p w14:paraId="10765949">
      <w:pPr>
        <w:autoSpaceDE w:val="0"/>
        <w:autoSpaceDN w:val="0"/>
        <w:spacing w:line="360" w:lineRule="auto"/>
        <w:ind w:firstLine="450" w:firstLineChars="201"/>
        <w:rPr>
          <w:rFonts w:asciiTheme="minorEastAsia" w:hAnsiTheme="minorEastAsia" w:eastAsiaTheme="minorEastAsia"/>
          <w:sz w:val="24"/>
          <w:szCs w:val="24"/>
        </w:rPr>
      </w:pPr>
      <w:r>
        <w:rPr>
          <w:rFonts w:hint="eastAsia" w:cs="宋体" w:asciiTheme="minorEastAsia" w:hAnsiTheme="minorEastAsia" w:eastAsiaTheme="minorEastAsia"/>
          <w:spacing w:val="-8"/>
          <w:sz w:val="24"/>
          <w:szCs w:val="24"/>
        </w:rPr>
        <w:t>给排水专业：</w:t>
      </w:r>
      <w:r>
        <w:rPr>
          <w:rFonts w:hint="eastAsia" w:cs="宋体" w:asciiTheme="minorEastAsia" w:hAnsiTheme="minorEastAsia" w:eastAsiaTheme="minorEastAsia"/>
          <w:spacing w:val="-7"/>
          <w:sz w:val="24"/>
          <w:szCs w:val="24"/>
        </w:rPr>
        <w:t>规范要求的消防设施未设计；</w:t>
      </w:r>
      <w:r>
        <w:rPr>
          <w:rFonts w:hint="eastAsia" w:cs="宋体" w:asciiTheme="minorEastAsia" w:hAnsiTheme="minorEastAsia" w:eastAsiaTheme="minorEastAsia"/>
          <w:spacing w:val="-9"/>
          <w:sz w:val="24"/>
          <w:szCs w:val="24"/>
        </w:rPr>
        <w:t>消防水量、</w:t>
      </w:r>
      <w:r>
        <w:rPr>
          <w:rFonts w:hint="eastAsia" w:cs="宋体" w:asciiTheme="minorEastAsia" w:hAnsiTheme="minorEastAsia" w:eastAsiaTheme="minorEastAsia"/>
          <w:spacing w:val="-7"/>
          <w:sz w:val="24"/>
          <w:szCs w:val="24"/>
        </w:rPr>
        <w:t>水压达不到规范要求；</w:t>
      </w:r>
      <w:r>
        <w:rPr>
          <w:rFonts w:hint="eastAsia" w:cs="宋体" w:asciiTheme="minorEastAsia" w:hAnsiTheme="minorEastAsia" w:eastAsiaTheme="minorEastAsia"/>
          <w:spacing w:val="-9"/>
          <w:sz w:val="24"/>
          <w:szCs w:val="24"/>
        </w:rPr>
        <w:t>生活</w:t>
      </w:r>
      <w:r>
        <w:rPr>
          <w:rFonts w:hint="eastAsia" w:cs="宋体" w:asciiTheme="minorEastAsia" w:hAnsiTheme="minorEastAsia" w:eastAsiaTheme="minorEastAsia"/>
          <w:spacing w:val="-8"/>
          <w:sz w:val="24"/>
          <w:szCs w:val="24"/>
        </w:rPr>
        <w:t>给水水量、</w:t>
      </w:r>
      <w:r>
        <w:rPr>
          <w:rFonts w:hint="eastAsia" w:cs="宋体" w:asciiTheme="minorEastAsia" w:hAnsiTheme="minorEastAsia" w:eastAsiaTheme="minorEastAsia"/>
          <w:spacing w:val="1"/>
          <w:sz w:val="24"/>
          <w:szCs w:val="24"/>
        </w:rPr>
        <w:t>水压</w:t>
      </w:r>
      <w:r>
        <w:rPr>
          <w:rFonts w:hint="eastAsia" w:cs="宋体" w:asciiTheme="minorEastAsia" w:hAnsiTheme="minorEastAsia" w:eastAsiaTheme="minorEastAsia"/>
          <w:sz w:val="24"/>
          <w:szCs w:val="24"/>
        </w:rPr>
        <w:t>达不到规范要求等。</w:t>
      </w:r>
    </w:p>
    <w:p w14:paraId="17DCA935">
      <w:pPr>
        <w:autoSpaceDE w:val="0"/>
        <w:autoSpaceDN w:val="0"/>
        <w:spacing w:line="360" w:lineRule="auto"/>
        <w:ind w:firstLine="470" w:firstLineChars="201"/>
        <w:rPr>
          <w:rFonts w:asciiTheme="minorEastAsia" w:hAnsiTheme="minorEastAsia" w:eastAsiaTheme="minorEastAsia"/>
          <w:sz w:val="24"/>
          <w:szCs w:val="24"/>
        </w:rPr>
      </w:pPr>
      <w:r>
        <w:rPr>
          <w:rFonts w:hint="eastAsia" w:cs="宋体" w:asciiTheme="minorEastAsia" w:hAnsiTheme="minorEastAsia" w:eastAsiaTheme="minorEastAsia"/>
          <w:spacing w:val="-3"/>
          <w:sz w:val="24"/>
          <w:szCs w:val="24"/>
        </w:rPr>
        <w:t>暖通专业：规范要求的防火排烟设施未设计，排烟</w:t>
      </w:r>
      <w:r>
        <w:rPr>
          <w:rFonts w:hint="eastAsia" w:cs="宋体" w:asciiTheme="minorEastAsia" w:hAnsiTheme="minorEastAsia" w:eastAsiaTheme="minorEastAsia"/>
          <w:spacing w:val="-2"/>
          <w:sz w:val="24"/>
          <w:szCs w:val="24"/>
        </w:rPr>
        <w:t>风量达不到规范要求，又未采取必要的措</w:t>
      </w:r>
      <w:r>
        <w:rPr>
          <w:rFonts w:hint="eastAsia" w:cs="宋体" w:asciiTheme="minorEastAsia" w:hAnsiTheme="minorEastAsia" w:eastAsiaTheme="minorEastAsia"/>
          <w:sz w:val="24"/>
          <w:szCs w:val="24"/>
        </w:rPr>
        <w:t>施等。</w:t>
      </w:r>
    </w:p>
    <w:p w14:paraId="08F5D760">
      <w:pPr>
        <w:autoSpaceDE w:val="0"/>
        <w:autoSpaceDN w:val="0"/>
        <w:spacing w:line="360" w:lineRule="auto"/>
        <w:ind w:firstLine="470" w:firstLineChars="201"/>
        <w:rPr>
          <w:rFonts w:asciiTheme="minorEastAsia" w:hAnsiTheme="minorEastAsia" w:eastAsiaTheme="minorEastAsia"/>
          <w:sz w:val="24"/>
          <w:szCs w:val="24"/>
        </w:rPr>
      </w:pPr>
      <w:r>
        <w:rPr>
          <w:rFonts w:hint="eastAsia" w:cs="宋体" w:asciiTheme="minorEastAsia" w:hAnsiTheme="minorEastAsia" w:eastAsiaTheme="minorEastAsia"/>
          <w:spacing w:val="-3"/>
          <w:sz w:val="24"/>
          <w:szCs w:val="24"/>
        </w:rPr>
        <w:t>电气专业：变配电、电话、电视、消防、广播音响</w:t>
      </w:r>
      <w:r>
        <w:rPr>
          <w:rFonts w:hint="eastAsia" w:cs="宋体" w:asciiTheme="minorEastAsia" w:hAnsiTheme="minorEastAsia" w:eastAsiaTheme="minorEastAsia"/>
          <w:spacing w:val="-2"/>
          <w:sz w:val="24"/>
          <w:szCs w:val="24"/>
        </w:rPr>
        <w:t>等系统及各种机房平、剖面设备布置等严</w:t>
      </w:r>
      <w:r>
        <w:rPr>
          <w:rFonts w:hint="eastAsia" w:cs="宋体" w:asciiTheme="minorEastAsia" w:hAnsiTheme="minorEastAsia" w:eastAsiaTheme="minorEastAsia"/>
          <w:spacing w:val="1"/>
          <w:sz w:val="24"/>
          <w:szCs w:val="24"/>
        </w:rPr>
        <w:t>重违反</w:t>
      </w:r>
      <w:r>
        <w:rPr>
          <w:rFonts w:hint="eastAsia" w:cs="宋体" w:asciiTheme="minorEastAsia" w:hAnsiTheme="minorEastAsia" w:eastAsiaTheme="minorEastAsia"/>
          <w:sz w:val="24"/>
          <w:szCs w:val="24"/>
        </w:rPr>
        <w:t>规范、标准、规定；配电方案有严重缺陷等。</w:t>
      </w:r>
    </w:p>
    <w:p w14:paraId="1C52D835">
      <w:pPr>
        <w:autoSpaceDE w:val="0"/>
        <w:autoSpaceDN w:val="0"/>
        <w:spacing w:line="360" w:lineRule="auto"/>
        <w:ind w:firstLine="482" w:firstLineChars="201"/>
        <w:rPr>
          <w:rFonts w:cs="宋体" w:asciiTheme="minorEastAsia" w:hAnsiTheme="minorEastAsia" w:eastAsiaTheme="minorEastAsia"/>
          <w:spacing w:val="-1"/>
          <w:sz w:val="24"/>
          <w:szCs w:val="24"/>
        </w:rPr>
      </w:pPr>
      <w:r>
        <w:rPr>
          <w:rFonts w:hint="eastAsia" w:cs="宋体" w:asciiTheme="minorEastAsia" w:hAnsiTheme="minorEastAsia" w:eastAsiaTheme="minorEastAsia"/>
          <w:sz w:val="24"/>
          <w:szCs w:val="24"/>
        </w:rPr>
        <w:t>造价专业：提交给发包人的造价文件，经核查后，偏差大于±</w:t>
      </w:r>
      <w:r>
        <w:rPr>
          <w:rFonts w:hint="eastAsia" w:cs="宋体" w:asciiTheme="minorEastAsia" w:hAnsiTheme="minorEastAsia" w:eastAsiaTheme="minorEastAsia"/>
          <w:spacing w:val="-1"/>
          <w:sz w:val="24"/>
          <w:szCs w:val="24"/>
        </w:rPr>
        <w:t>30%的。</w:t>
      </w:r>
    </w:p>
    <w:p w14:paraId="301E2C57">
      <w:pPr>
        <w:autoSpaceDE w:val="0"/>
        <w:autoSpaceDN w:val="0"/>
        <w:spacing w:line="360" w:lineRule="auto"/>
        <w:ind w:firstLine="488" w:firstLineChars="201"/>
        <w:rPr>
          <w:rFonts w:asciiTheme="minorEastAsia" w:hAnsiTheme="minorEastAsia" w:eastAsiaTheme="minorEastAsia"/>
          <w:b/>
          <w:sz w:val="24"/>
          <w:szCs w:val="24"/>
        </w:rPr>
      </w:pPr>
      <w:r>
        <w:rPr>
          <w:rFonts w:hint="eastAsia" w:cs="宋体" w:asciiTheme="minorEastAsia" w:hAnsiTheme="minorEastAsia" w:eastAsiaTheme="minorEastAsia"/>
          <w:b/>
          <w:spacing w:val="1"/>
          <w:sz w:val="24"/>
          <w:szCs w:val="24"/>
        </w:rPr>
        <w:t>Ⅱ</w:t>
      </w:r>
      <w:r>
        <w:rPr>
          <w:rFonts w:hint="eastAsia" w:cs="宋体" w:asciiTheme="minorEastAsia" w:hAnsiTheme="minorEastAsia" w:eastAsiaTheme="minorEastAsia"/>
          <w:b/>
          <w:sz w:val="24"/>
          <w:szCs w:val="24"/>
        </w:rPr>
        <w:t>类错误</w:t>
      </w:r>
    </w:p>
    <w:p w14:paraId="0C69E1A9">
      <w:pPr>
        <w:autoSpaceDE w:val="0"/>
        <w:autoSpaceDN w:val="0"/>
        <w:spacing w:line="360" w:lineRule="auto"/>
        <w:ind w:firstLine="470" w:firstLineChars="201"/>
        <w:rPr>
          <w:rFonts w:cs="宋体" w:asciiTheme="minorEastAsia" w:hAnsiTheme="minorEastAsia" w:eastAsiaTheme="minorEastAsia"/>
          <w:sz w:val="24"/>
          <w:szCs w:val="24"/>
        </w:rPr>
      </w:pPr>
      <w:r>
        <w:rPr>
          <w:rFonts w:hint="eastAsia" w:cs="宋体" w:asciiTheme="minorEastAsia" w:hAnsiTheme="minorEastAsia" w:eastAsiaTheme="minorEastAsia"/>
          <w:spacing w:val="-3"/>
          <w:sz w:val="24"/>
          <w:szCs w:val="24"/>
        </w:rPr>
        <w:t>指设计文件中存在错误，有可能造成施工困难、使用困难或较大经济损失</w:t>
      </w:r>
      <w:r>
        <w:rPr>
          <w:rFonts w:hint="eastAsia" w:cs="宋体" w:asciiTheme="minorEastAsia" w:hAnsiTheme="minorEastAsia" w:eastAsiaTheme="minorEastAsia"/>
          <w:spacing w:val="7"/>
          <w:sz w:val="24"/>
          <w:szCs w:val="24"/>
        </w:rPr>
        <w:t>,</w:t>
      </w:r>
      <w:r>
        <w:rPr>
          <w:rFonts w:hint="eastAsia" w:cs="宋体" w:asciiTheme="minorEastAsia" w:hAnsiTheme="minorEastAsia" w:eastAsiaTheme="minorEastAsia"/>
          <w:spacing w:val="-3"/>
          <w:sz w:val="24"/>
          <w:szCs w:val="24"/>
        </w:rPr>
        <w:t>如：</w:t>
      </w:r>
      <w:r>
        <w:rPr>
          <w:rFonts w:hint="eastAsia" w:cs="宋体" w:asciiTheme="minorEastAsia" w:hAnsiTheme="minorEastAsia" w:eastAsiaTheme="minorEastAsia"/>
          <w:sz w:val="24"/>
          <w:szCs w:val="24"/>
        </w:rPr>
        <w:t>1</w:t>
      </w:r>
      <w:r>
        <w:rPr>
          <w:rFonts w:hint="eastAsia" w:cs="宋体" w:asciiTheme="minorEastAsia" w:hAnsiTheme="minorEastAsia" w:eastAsiaTheme="minorEastAsia"/>
          <w:spacing w:val="-4"/>
          <w:sz w:val="24"/>
          <w:szCs w:val="24"/>
        </w:rPr>
        <w:t>、违反</w:t>
      </w:r>
      <w:r>
        <w:rPr>
          <w:rFonts w:hint="eastAsia" w:cs="宋体" w:asciiTheme="minorEastAsia" w:hAnsiTheme="minorEastAsia" w:eastAsiaTheme="minorEastAsia"/>
          <w:spacing w:val="-2"/>
          <w:sz w:val="24"/>
          <w:szCs w:val="24"/>
        </w:rPr>
        <w:t>国家</w:t>
      </w:r>
      <w:r>
        <w:rPr>
          <w:rFonts w:hint="eastAsia" w:cs="宋体" w:asciiTheme="minorEastAsia" w:hAnsiTheme="minorEastAsia" w:eastAsiaTheme="minorEastAsia"/>
          <w:spacing w:val="-1"/>
          <w:sz w:val="24"/>
          <w:szCs w:val="24"/>
        </w:rPr>
        <w:t>现行技术规范、规定、标准的重要条文；</w:t>
      </w:r>
      <w:r>
        <w:rPr>
          <w:rFonts w:hint="eastAsia" w:cs="宋体" w:asciiTheme="minorEastAsia" w:hAnsiTheme="minorEastAsia" w:eastAsiaTheme="minorEastAsia"/>
          <w:spacing w:val="-8"/>
          <w:sz w:val="24"/>
          <w:szCs w:val="24"/>
        </w:rPr>
        <w:t>2</w:t>
      </w:r>
      <w:r>
        <w:rPr>
          <w:rFonts w:hint="eastAsia" w:cs="宋体" w:asciiTheme="minorEastAsia" w:hAnsiTheme="minorEastAsia" w:eastAsiaTheme="minorEastAsia"/>
          <w:spacing w:val="-1"/>
          <w:sz w:val="24"/>
          <w:szCs w:val="24"/>
        </w:rPr>
        <w:t>、设计漏项；</w:t>
      </w:r>
      <w:r>
        <w:rPr>
          <w:rFonts w:hint="eastAsia" w:cs="宋体" w:asciiTheme="minorEastAsia" w:hAnsiTheme="minorEastAsia" w:eastAsiaTheme="minorEastAsia"/>
          <w:spacing w:val="-3"/>
          <w:sz w:val="24"/>
          <w:szCs w:val="24"/>
        </w:rPr>
        <w:t>3</w:t>
      </w:r>
      <w:r>
        <w:rPr>
          <w:rFonts w:hint="eastAsia" w:cs="宋体" w:asciiTheme="minorEastAsia" w:hAnsiTheme="minorEastAsia" w:eastAsiaTheme="minorEastAsia"/>
          <w:spacing w:val="-1"/>
          <w:sz w:val="24"/>
          <w:szCs w:val="24"/>
        </w:rPr>
        <w:t>、选用淘汰的设备</w:t>
      </w:r>
      <w:r>
        <w:rPr>
          <w:rFonts w:hint="eastAsia" w:cs="宋体" w:asciiTheme="minorEastAsia" w:hAnsiTheme="minorEastAsia" w:eastAsiaTheme="minorEastAsia"/>
          <w:spacing w:val="-4"/>
          <w:sz w:val="24"/>
          <w:szCs w:val="24"/>
        </w:rPr>
        <w:t>;</w:t>
      </w:r>
      <w:r>
        <w:rPr>
          <w:rFonts w:hint="eastAsia" w:cs="宋体" w:asciiTheme="minorEastAsia" w:hAnsiTheme="minorEastAsia" w:eastAsiaTheme="minorEastAsia"/>
          <w:spacing w:val="-1"/>
          <w:sz w:val="24"/>
          <w:szCs w:val="24"/>
        </w:rPr>
        <w:t>4、出现因设计责任</w:t>
      </w:r>
      <w:r>
        <w:rPr>
          <w:rFonts w:hint="eastAsia" w:cs="宋体" w:asciiTheme="minorEastAsia" w:hAnsiTheme="minorEastAsia" w:eastAsiaTheme="minorEastAsia"/>
          <w:sz w:val="24"/>
          <w:szCs w:val="24"/>
        </w:rPr>
        <w:t>引起的二类变更；5</w:t>
      </w:r>
      <w:r>
        <w:rPr>
          <w:rFonts w:hint="eastAsia" w:cs="宋体" w:asciiTheme="minorEastAsia" w:hAnsiTheme="minorEastAsia" w:eastAsiaTheme="minorEastAsia"/>
          <w:spacing w:val="1"/>
          <w:sz w:val="24"/>
          <w:szCs w:val="24"/>
        </w:rPr>
        <w:t>、</w:t>
      </w:r>
      <w:r>
        <w:rPr>
          <w:rFonts w:hint="eastAsia" w:cs="宋体" w:asciiTheme="minorEastAsia" w:hAnsiTheme="minorEastAsia" w:eastAsiaTheme="minorEastAsia"/>
          <w:sz w:val="24"/>
          <w:szCs w:val="24"/>
        </w:rPr>
        <w:t>造价文件失实较严重。</w:t>
      </w:r>
    </w:p>
    <w:p w14:paraId="202AC661">
      <w:pPr>
        <w:autoSpaceDE w:val="0"/>
        <w:autoSpaceDN w:val="0"/>
        <w:spacing w:line="360" w:lineRule="auto"/>
        <w:ind w:firstLine="486" w:firstLineChars="201"/>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具体</w:t>
      </w:r>
      <w:r>
        <w:rPr>
          <w:rFonts w:hint="eastAsia" w:cs="宋体" w:asciiTheme="minorEastAsia" w:hAnsiTheme="minorEastAsia" w:eastAsiaTheme="minorEastAsia"/>
          <w:sz w:val="24"/>
          <w:szCs w:val="24"/>
        </w:rPr>
        <w:t>按照专业又可分为：</w:t>
      </w:r>
    </w:p>
    <w:p w14:paraId="5C828590">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A</w:t>
      </w:r>
      <w:r>
        <w:rPr>
          <w:rFonts w:hint="eastAsia" w:cs="宋体" w:asciiTheme="minorEastAsia" w:hAnsiTheme="minorEastAsia" w:eastAsiaTheme="minorEastAsia"/>
          <w:spacing w:val="1"/>
          <w:sz w:val="24"/>
          <w:szCs w:val="24"/>
        </w:rPr>
        <w:t>、设计</w:t>
      </w:r>
      <w:r>
        <w:rPr>
          <w:rFonts w:hint="eastAsia" w:cs="宋体" w:asciiTheme="minorEastAsia" w:hAnsiTheme="minorEastAsia" w:eastAsiaTheme="minorEastAsia"/>
          <w:sz w:val="24"/>
          <w:szCs w:val="24"/>
        </w:rPr>
        <w:t>存在错误，有可能造成施工困难、使用困难或较大经济损失，如：</w:t>
      </w:r>
    </w:p>
    <w:p w14:paraId="4EA5727F">
      <w:pPr>
        <w:autoSpaceDE w:val="0"/>
        <w:autoSpaceDN w:val="0"/>
        <w:spacing w:line="360" w:lineRule="auto"/>
        <w:ind w:firstLine="486" w:firstLineChars="201"/>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建筑专业：总</w:t>
      </w:r>
      <w:r>
        <w:rPr>
          <w:rFonts w:hint="eastAsia" w:cs="宋体" w:asciiTheme="minorEastAsia" w:hAnsiTheme="minorEastAsia" w:eastAsiaTheme="minorEastAsia"/>
          <w:sz w:val="24"/>
          <w:szCs w:val="24"/>
        </w:rPr>
        <w:t>平面竖向设计错误；轴线错误或对不上，楼梯碰头；视线计算错误等。</w:t>
      </w:r>
    </w:p>
    <w:p w14:paraId="4F741E10">
      <w:pPr>
        <w:autoSpaceDE w:val="0"/>
        <w:autoSpaceDN w:val="0"/>
        <w:spacing w:line="360" w:lineRule="auto"/>
        <w:ind w:firstLine="486" w:firstLineChars="201"/>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结构专业：计算</w:t>
      </w:r>
      <w:r>
        <w:rPr>
          <w:rFonts w:hint="eastAsia" w:cs="宋体" w:asciiTheme="minorEastAsia" w:hAnsiTheme="minorEastAsia" w:eastAsiaTheme="minorEastAsia"/>
          <w:sz w:val="24"/>
          <w:szCs w:val="24"/>
        </w:rPr>
        <w:t>书未经校对；结构构件安全储备不足；结构与建筑节点不一致等。</w:t>
      </w:r>
    </w:p>
    <w:p w14:paraId="2EC404F3">
      <w:pPr>
        <w:autoSpaceDE w:val="0"/>
        <w:autoSpaceDN w:val="0"/>
        <w:spacing w:line="360" w:lineRule="auto"/>
        <w:ind w:firstLine="486" w:firstLineChars="201"/>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给排水专业</w:t>
      </w:r>
      <w:r>
        <w:rPr>
          <w:rFonts w:hint="eastAsia" w:cs="宋体" w:asciiTheme="minorEastAsia" w:hAnsiTheme="minorEastAsia" w:eastAsiaTheme="minorEastAsia"/>
          <w:sz w:val="24"/>
          <w:szCs w:val="24"/>
        </w:rPr>
        <w:t>：由于设计的水塔或水箱高度不够，造成水压不足，出水量不能满足使用要求；</w:t>
      </w:r>
      <w:r>
        <w:rPr>
          <w:rFonts w:hint="eastAsia" w:cs="宋体" w:asciiTheme="minorEastAsia" w:hAnsiTheme="minorEastAsia" w:eastAsiaTheme="minorEastAsia"/>
          <w:spacing w:val="1"/>
          <w:sz w:val="24"/>
          <w:szCs w:val="24"/>
        </w:rPr>
        <w:t>高层建筑</w:t>
      </w:r>
      <w:r>
        <w:rPr>
          <w:rFonts w:hint="eastAsia" w:cs="宋体" w:asciiTheme="minorEastAsia" w:hAnsiTheme="minorEastAsia" w:eastAsiaTheme="minorEastAsia"/>
          <w:sz w:val="24"/>
          <w:szCs w:val="24"/>
        </w:rPr>
        <w:t>消防减压、止回等设计不当等。</w:t>
      </w:r>
    </w:p>
    <w:p w14:paraId="78297F4B">
      <w:pPr>
        <w:autoSpaceDE w:val="0"/>
        <w:autoSpaceDN w:val="0"/>
        <w:spacing w:line="360" w:lineRule="auto"/>
        <w:ind w:firstLine="486" w:firstLineChars="201"/>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暖通专业：冷</w:t>
      </w:r>
      <w:r>
        <w:rPr>
          <w:rFonts w:hint="eastAsia" w:cs="宋体" w:asciiTheme="minorEastAsia" w:hAnsiTheme="minorEastAsia" w:eastAsiaTheme="minorEastAsia"/>
          <w:sz w:val="24"/>
          <w:szCs w:val="24"/>
        </w:rPr>
        <w:t>、热负荷计算有重大错误或系统选择不当；膨胀水箱高度低于采暖系统等。</w:t>
      </w:r>
    </w:p>
    <w:p w14:paraId="2FD54566">
      <w:pPr>
        <w:autoSpaceDE w:val="0"/>
        <w:autoSpaceDN w:val="0"/>
        <w:spacing w:line="360" w:lineRule="auto"/>
        <w:ind w:firstLine="470" w:firstLineChars="201"/>
        <w:rPr>
          <w:rFonts w:cs="宋体" w:asciiTheme="minorEastAsia" w:hAnsiTheme="minorEastAsia" w:eastAsiaTheme="minorEastAsia"/>
          <w:sz w:val="24"/>
          <w:szCs w:val="24"/>
        </w:rPr>
      </w:pPr>
      <w:r>
        <w:rPr>
          <w:rFonts w:hint="eastAsia" w:cs="宋体" w:asciiTheme="minorEastAsia" w:hAnsiTheme="minorEastAsia" w:eastAsiaTheme="minorEastAsia"/>
          <w:spacing w:val="-3"/>
          <w:sz w:val="24"/>
          <w:szCs w:val="24"/>
        </w:rPr>
        <w:t>电气专业：选用国家已公布的机电淘汰产品；供配电系统的控制保护</w:t>
      </w:r>
      <w:r>
        <w:rPr>
          <w:rFonts w:hint="eastAsia" w:cs="宋体" w:asciiTheme="minorEastAsia" w:hAnsiTheme="minorEastAsia" w:eastAsiaTheme="minorEastAsia"/>
          <w:spacing w:val="-2"/>
          <w:sz w:val="24"/>
          <w:szCs w:val="24"/>
        </w:rPr>
        <w:t>，自动控制和自动调节</w:t>
      </w:r>
      <w:r>
        <w:rPr>
          <w:rFonts w:hint="eastAsia" w:cs="宋体" w:asciiTheme="minorEastAsia" w:hAnsiTheme="minorEastAsia" w:eastAsiaTheme="minorEastAsia"/>
          <w:spacing w:val="-1"/>
          <w:sz w:val="24"/>
          <w:szCs w:val="24"/>
        </w:rPr>
        <w:t>原理图，</w:t>
      </w:r>
      <w:r>
        <w:rPr>
          <w:rFonts w:hint="eastAsia" w:cs="宋体" w:asciiTheme="minorEastAsia" w:hAnsiTheme="minorEastAsia" w:eastAsiaTheme="minorEastAsia"/>
          <w:sz w:val="24"/>
          <w:szCs w:val="24"/>
        </w:rPr>
        <w:t>各站弱电设备之间线路连接图等设计不周或有严重错误；低压配电柜开关与所保护电缆</w:t>
      </w:r>
      <w:r>
        <w:rPr>
          <w:rFonts w:hint="eastAsia" w:cs="宋体" w:asciiTheme="minorEastAsia" w:hAnsiTheme="minorEastAsia" w:eastAsiaTheme="minorEastAsia"/>
          <w:spacing w:val="1"/>
          <w:sz w:val="24"/>
          <w:szCs w:val="24"/>
        </w:rPr>
        <w:t>选型不</w:t>
      </w:r>
      <w:r>
        <w:rPr>
          <w:rFonts w:hint="eastAsia" w:cs="宋体" w:asciiTheme="minorEastAsia" w:hAnsiTheme="minorEastAsia" w:eastAsiaTheme="minorEastAsia"/>
          <w:sz w:val="24"/>
          <w:szCs w:val="24"/>
        </w:rPr>
        <w:t>匹配，电缆母线容量不匹配等。</w:t>
      </w:r>
    </w:p>
    <w:p w14:paraId="47DE6735">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造价专业：提交给发包人的造价文件，经核查后，偏差大于±20%</w:t>
      </w:r>
      <w:r>
        <w:rPr>
          <w:rFonts w:hint="eastAsia" w:cs="宋体" w:asciiTheme="minorEastAsia" w:hAnsiTheme="minorEastAsia" w:eastAsiaTheme="minorEastAsia"/>
          <w:spacing w:val="1"/>
          <w:sz w:val="24"/>
          <w:szCs w:val="24"/>
        </w:rPr>
        <w:t>的。</w:t>
      </w:r>
    </w:p>
    <w:p w14:paraId="7DE43A68">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B</w:t>
      </w:r>
      <w:r>
        <w:rPr>
          <w:rFonts w:hint="eastAsia" w:cs="宋体" w:asciiTheme="minorEastAsia" w:hAnsiTheme="minorEastAsia" w:eastAsiaTheme="minorEastAsia"/>
          <w:spacing w:val="1"/>
          <w:sz w:val="24"/>
          <w:szCs w:val="24"/>
        </w:rPr>
        <w:t>、严重影</w:t>
      </w:r>
      <w:r>
        <w:rPr>
          <w:rFonts w:hint="eastAsia" w:cs="宋体" w:asciiTheme="minorEastAsia" w:hAnsiTheme="minorEastAsia" w:eastAsiaTheme="minorEastAsia"/>
          <w:sz w:val="24"/>
          <w:szCs w:val="24"/>
        </w:rPr>
        <w:t>响报建：如计容积率面积（包含各个分部）超过允许的误差范围；平立剖面对不</w:t>
      </w:r>
      <w:r>
        <w:rPr>
          <w:rFonts w:hint="eastAsia" w:cs="宋体" w:asciiTheme="minorEastAsia" w:hAnsiTheme="minorEastAsia" w:eastAsiaTheme="minorEastAsia"/>
          <w:spacing w:val="1"/>
          <w:sz w:val="24"/>
          <w:szCs w:val="24"/>
        </w:rPr>
        <w:t>上；</w:t>
      </w:r>
      <w:r>
        <w:rPr>
          <w:rFonts w:hint="eastAsia" w:cs="宋体" w:asciiTheme="minorEastAsia" w:hAnsiTheme="minorEastAsia" w:eastAsiaTheme="minorEastAsia"/>
          <w:sz w:val="24"/>
          <w:szCs w:val="24"/>
        </w:rPr>
        <w:t>民防单元面积超过规范。</w:t>
      </w:r>
    </w:p>
    <w:p w14:paraId="3B1FFE61">
      <w:pPr>
        <w:autoSpaceDE w:val="0"/>
        <w:autoSpaceDN w:val="0"/>
        <w:spacing w:line="360" w:lineRule="auto"/>
        <w:ind w:firstLine="488" w:firstLineChars="201"/>
        <w:rPr>
          <w:rFonts w:asciiTheme="minorEastAsia" w:hAnsiTheme="minorEastAsia" w:eastAsiaTheme="minorEastAsia"/>
          <w:b/>
          <w:sz w:val="24"/>
          <w:szCs w:val="24"/>
        </w:rPr>
      </w:pPr>
      <w:r>
        <w:rPr>
          <w:rFonts w:hint="eastAsia" w:cs="宋体" w:asciiTheme="minorEastAsia" w:hAnsiTheme="minorEastAsia" w:eastAsiaTheme="minorEastAsia"/>
          <w:b/>
          <w:spacing w:val="1"/>
          <w:sz w:val="24"/>
          <w:szCs w:val="24"/>
        </w:rPr>
        <w:t>Ⅲ类</w:t>
      </w:r>
      <w:r>
        <w:rPr>
          <w:rFonts w:hint="eastAsia" w:cs="宋体" w:asciiTheme="minorEastAsia" w:hAnsiTheme="minorEastAsia" w:eastAsiaTheme="minorEastAsia"/>
          <w:b/>
          <w:sz w:val="24"/>
          <w:szCs w:val="24"/>
        </w:rPr>
        <w:t>错误：</w:t>
      </w:r>
    </w:p>
    <w:p w14:paraId="0CA6710B">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设计中局部细节存在不合理或缺点，但对工程决策和质量无重大影响，如：</w:t>
      </w:r>
      <w:r>
        <w:rPr>
          <w:rFonts w:hint="eastAsia" w:cs="宋体" w:asciiTheme="minorEastAsia" w:hAnsiTheme="minorEastAsia" w:eastAsiaTheme="minorEastAsia"/>
          <w:spacing w:val="-3"/>
          <w:sz w:val="24"/>
          <w:szCs w:val="24"/>
        </w:rPr>
        <w:t>1</w:t>
      </w:r>
      <w:r>
        <w:rPr>
          <w:rFonts w:hint="eastAsia" w:cs="宋体" w:asciiTheme="minorEastAsia" w:hAnsiTheme="minorEastAsia" w:eastAsiaTheme="minorEastAsia"/>
          <w:spacing w:val="-1"/>
          <w:sz w:val="24"/>
          <w:szCs w:val="24"/>
        </w:rPr>
        <w:t>、违</w:t>
      </w:r>
      <w:r>
        <w:rPr>
          <w:rFonts w:hint="eastAsia" w:cs="宋体" w:asciiTheme="minorEastAsia" w:hAnsiTheme="minorEastAsia" w:eastAsiaTheme="minorEastAsia"/>
          <w:sz w:val="24"/>
          <w:szCs w:val="24"/>
        </w:rPr>
        <w:t>反国家现行技术规范、规定、标准的一般条文；</w:t>
      </w:r>
      <w:r>
        <w:rPr>
          <w:rFonts w:hint="eastAsia" w:cs="宋体" w:asciiTheme="minorEastAsia" w:hAnsiTheme="minorEastAsia" w:eastAsiaTheme="minorEastAsia"/>
          <w:spacing w:val="-1"/>
          <w:sz w:val="24"/>
          <w:szCs w:val="24"/>
        </w:rPr>
        <w:t>2</w:t>
      </w:r>
      <w:r>
        <w:rPr>
          <w:rFonts w:hint="eastAsia" w:cs="宋体" w:asciiTheme="minorEastAsia" w:hAnsiTheme="minorEastAsia" w:eastAsiaTheme="minorEastAsia"/>
          <w:sz w:val="24"/>
          <w:szCs w:val="24"/>
        </w:rPr>
        <w:t>、设计的流程、系统、平面布置不够合理；</w:t>
      </w:r>
      <w:r>
        <w:rPr>
          <w:rFonts w:hint="eastAsia" w:cs="宋体" w:asciiTheme="minorEastAsia" w:hAnsiTheme="minorEastAsia" w:eastAsiaTheme="minorEastAsia"/>
          <w:spacing w:val="-2"/>
          <w:sz w:val="24"/>
          <w:szCs w:val="24"/>
        </w:rPr>
        <w:t>3</w:t>
      </w:r>
      <w:r>
        <w:rPr>
          <w:rFonts w:hint="eastAsia" w:cs="宋体" w:asciiTheme="minorEastAsia" w:hAnsiTheme="minorEastAsia" w:eastAsiaTheme="minorEastAsia"/>
          <w:spacing w:val="-1"/>
          <w:sz w:val="24"/>
          <w:szCs w:val="24"/>
        </w:rPr>
        <w:t>、</w:t>
      </w:r>
      <w:r>
        <w:rPr>
          <w:rFonts w:hint="eastAsia" w:cs="宋体" w:asciiTheme="minorEastAsia" w:hAnsiTheme="minorEastAsia" w:eastAsiaTheme="minorEastAsia"/>
          <w:sz w:val="24"/>
          <w:szCs w:val="24"/>
        </w:rPr>
        <w:t>设备、构造、材料等选用不当；</w:t>
      </w:r>
      <w:r>
        <w:rPr>
          <w:rFonts w:hint="eastAsia" w:cs="宋体" w:asciiTheme="minorEastAsia" w:hAnsiTheme="minorEastAsia" w:eastAsiaTheme="minorEastAsia"/>
          <w:spacing w:val="-2"/>
          <w:sz w:val="24"/>
          <w:szCs w:val="24"/>
        </w:rPr>
        <w:t>4</w:t>
      </w:r>
      <w:r>
        <w:rPr>
          <w:rFonts w:hint="eastAsia" w:cs="宋体" w:asciiTheme="minorEastAsia" w:hAnsiTheme="minorEastAsia" w:eastAsiaTheme="minorEastAsia"/>
          <w:sz w:val="24"/>
          <w:szCs w:val="24"/>
        </w:rPr>
        <w:t>、重要的数据、计量单位、尺寸出错；</w:t>
      </w:r>
      <w:r>
        <w:rPr>
          <w:rFonts w:hint="eastAsia" w:cs="宋体" w:asciiTheme="minorEastAsia" w:hAnsiTheme="minorEastAsia" w:eastAsiaTheme="minorEastAsia"/>
          <w:spacing w:val="-2"/>
          <w:sz w:val="24"/>
          <w:szCs w:val="24"/>
        </w:rPr>
        <w:t>5</w:t>
      </w:r>
      <w:r>
        <w:rPr>
          <w:rFonts w:hint="eastAsia" w:cs="宋体" w:asciiTheme="minorEastAsia" w:hAnsiTheme="minorEastAsia" w:eastAsiaTheme="minorEastAsia"/>
          <w:spacing w:val="-1"/>
          <w:sz w:val="24"/>
          <w:szCs w:val="24"/>
        </w:rPr>
        <w:t>、不符</w:t>
      </w:r>
      <w:r>
        <w:rPr>
          <w:rFonts w:hint="eastAsia" w:cs="宋体" w:asciiTheme="minorEastAsia" w:hAnsiTheme="minorEastAsia" w:eastAsiaTheme="minorEastAsia"/>
          <w:sz w:val="24"/>
          <w:szCs w:val="24"/>
        </w:rPr>
        <w:t>合国家对工程设计文件内容深度及格式的规定要求;6、出现因设计责任引起的三类变更；6</w:t>
      </w:r>
      <w:r>
        <w:rPr>
          <w:rFonts w:hint="eastAsia" w:cs="宋体" w:asciiTheme="minorEastAsia" w:hAnsiTheme="minorEastAsia" w:eastAsiaTheme="minorEastAsia"/>
          <w:spacing w:val="-1"/>
          <w:sz w:val="24"/>
          <w:szCs w:val="24"/>
        </w:rPr>
        <w:t>、</w:t>
      </w:r>
      <w:r>
        <w:rPr>
          <w:rFonts w:hint="eastAsia" w:cs="宋体" w:asciiTheme="minorEastAsia" w:hAnsiTheme="minorEastAsia" w:eastAsiaTheme="minorEastAsia"/>
          <w:sz w:val="24"/>
          <w:szCs w:val="24"/>
        </w:rPr>
        <w:t>造价文件失实。</w:t>
      </w:r>
    </w:p>
    <w:p w14:paraId="063B8A1E">
      <w:pPr>
        <w:autoSpaceDE w:val="0"/>
        <w:autoSpaceDN w:val="0"/>
        <w:spacing w:line="360" w:lineRule="auto"/>
        <w:ind w:firstLine="486" w:firstLineChars="201"/>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具体</w:t>
      </w:r>
      <w:r>
        <w:rPr>
          <w:rFonts w:hint="eastAsia" w:cs="宋体" w:asciiTheme="minorEastAsia" w:hAnsiTheme="minorEastAsia" w:eastAsiaTheme="minorEastAsia"/>
          <w:sz w:val="24"/>
          <w:szCs w:val="24"/>
        </w:rPr>
        <w:t>按照专业又可分为：</w:t>
      </w:r>
    </w:p>
    <w:p w14:paraId="2DF63DD6">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A</w:t>
      </w:r>
      <w:r>
        <w:rPr>
          <w:rFonts w:hint="eastAsia" w:cs="宋体" w:asciiTheme="minorEastAsia" w:hAnsiTheme="minorEastAsia" w:eastAsiaTheme="minorEastAsia"/>
          <w:spacing w:val="1"/>
          <w:sz w:val="24"/>
          <w:szCs w:val="24"/>
        </w:rPr>
        <w:t>、局部违</w:t>
      </w:r>
      <w:r>
        <w:rPr>
          <w:rFonts w:hint="eastAsia" w:cs="宋体" w:asciiTheme="minorEastAsia" w:hAnsiTheme="minorEastAsia" w:eastAsiaTheme="minorEastAsia"/>
          <w:sz w:val="24"/>
          <w:szCs w:val="24"/>
        </w:rPr>
        <w:t>反规范、标准、规定，但容易修正、且返工量不大，如：</w:t>
      </w:r>
    </w:p>
    <w:p w14:paraId="4A87D163">
      <w:pPr>
        <w:autoSpaceDE w:val="0"/>
        <w:autoSpaceDN w:val="0"/>
        <w:spacing w:line="360" w:lineRule="auto"/>
        <w:ind w:firstLine="470" w:firstLineChars="201"/>
        <w:rPr>
          <w:rFonts w:asciiTheme="minorEastAsia" w:hAnsiTheme="minorEastAsia" w:eastAsiaTheme="minorEastAsia"/>
          <w:sz w:val="24"/>
          <w:szCs w:val="24"/>
        </w:rPr>
      </w:pPr>
      <w:r>
        <w:rPr>
          <w:rFonts w:hint="eastAsia" w:cs="宋体" w:asciiTheme="minorEastAsia" w:hAnsiTheme="minorEastAsia" w:eastAsiaTheme="minorEastAsia"/>
          <w:spacing w:val="-3"/>
          <w:sz w:val="24"/>
          <w:szCs w:val="24"/>
        </w:rPr>
        <w:t>建筑专业：栏杆的高度及强度不符合要求；消防电</w:t>
      </w:r>
      <w:r>
        <w:rPr>
          <w:rFonts w:hint="eastAsia" w:cs="宋体" w:asciiTheme="minorEastAsia" w:hAnsiTheme="minorEastAsia" w:eastAsiaTheme="minorEastAsia"/>
          <w:spacing w:val="-2"/>
          <w:sz w:val="24"/>
          <w:szCs w:val="24"/>
        </w:rPr>
        <w:t>梯不合防火要求，疏散门宽度不够、管道</w:t>
      </w:r>
      <w:r>
        <w:rPr>
          <w:rFonts w:hint="eastAsia" w:cs="宋体" w:asciiTheme="minorEastAsia" w:hAnsiTheme="minorEastAsia" w:eastAsiaTheme="minorEastAsia"/>
          <w:spacing w:val="1"/>
          <w:sz w:val="24"/>
          <w:szCs w:val="24"/>
        </w:rPr>
        <w:t>井不</w:t>
      </w:r>
      <w:r>
        <w:rPr>
          <w:rFonts w:hint="eastAsia" w:cs="宋体" w:asciiTheme="minorEastAsia" w:hAnsiTheme="minorEastAsia" w:eastAsiaTheme="minorEastAsia"/>
          <w:sz w:val="24"/>
          <w:szCs w:val="24"/>
        </w:rPr>
        <w:t>合防火规范等。</w:t>
      </w:r>
    </w:p>
    <w:p w14:paraId="10057646">
      <w:pPr>
        <w:autoSpaceDE w:val="0"/>
        <w:autoSpaceDN w:val="0"/>
        <w:spacing w:line="360" w:lineRule="auto"/>
        <w:ind w:firstLine="486" w:firstLineChars="201"/>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结构</w:t>
      </w:r>
      <w:r>
        <w:rPr>
          <w:rFonts w:hint="eastAsia" w:cs="宋体" w:asciiTheme="minorEastAsia" w:hAnsiTheme="minorEastAsia" w:eastAsiaTheme="minorEastAsia"/>
          <w:sz w:val="24"/>
          <w:szCs w:val="24"/>
        </w:rPr>
        <w:t>专业：按简支计算的梁、支座与梁柱整体连接构造用负筋不够；悬挑构件配筋错误等。</w:t>
      </w:r>
    </w:p>
    <w:p w14:paraId="3B0E28E8">
      <w:pPr>
        <w:autoSpaceDE w:val="0"/>
        <w:autoSpaceDN w:val="0"/>
        <w:spacing w:line="360" w:lineRule="auto"/>
        <w:ind w:firstLine="486" w:firstLineChars="201"/>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给排水专</w:t>
      </w:r>
      <w:r>
        <w:rPr>
          <w:rFonts w:hint="eastAsia" w:cs="宋体" w:asciiTheme="minorEastAsia" w:hAnsiTheme="minorEastAsia" w:eastAsiaTheme="minorEastAsia"/>
          <w:sz w:val="24"/>
          <w:szCs w:val="24"/>
        </w:rPr>
        <w:t>业：生活饮用水管理与非饮用水道连接，未采取防回流污染措施等。</w:t>
      </w:r>
    </w:p>
    <w:p w14:paraId="21C243B5">
      <w:pPr>
        <w:autoSpaceDE w:val="0"/>
        <w:autoSpaceDN w:val="0"/>
        <w:spacing w:line="360" w:lineRule="auto"/>
        <w:ind w:firstLine="470" w:firstLineChars="201"/>
        <w:rPr>
          <w:rFonts w:asciiTheme="minorEastAsia" w:hAnsiTheme="minorEastAsia" w:eastAsiaTheme="minorEastAsia"/>
          <w:sz w:val="24"/>
          <w:szCs w:val="24"/>
        </w:rPr>
      </w:pPr>
      <w:r>
        <w:rPr>
          <w:rFonts w:hint="eastAsia" w:cs="宋体" w:asciiTheme="minorEastAsia" w:hAnsiTheme="minorEastAsia" w:eastAsiaTheme="minorEastAsia"/>
          <w:spacing w:val="-3"/>
          <w:sz w:val="24"/>
          <w:szCs w:val="24"/>
        </w:rPr>
        <w:t>暖通专业：管道井不符合防火规定；穿越防火墙未</w:t>
      </w:r>
      <w:r>
        <w:rPr>
          <w:rFonts w:hint="eastAsia" w:cs="宋体" w:asciiTheme="minorEastAsia" w:hAnsiTheme="minorEastAsia" w:eastAsiaTheme="minorEastAsia"/>
          <w:spacing w:val="-2"/>
          <w:sz w:val="24"/>
          <w:szCs w:val="24"/>
        </w:rPr>
        <w:t>装防火阀；风管材料及保温材料不符合防</w:t>
      </w:r>
      <w:r>
        <w:rPr>
          <w:rFonts w:hint="eastAsia" w:cs="宋体" w:asciiTheme="minorEastAsia" w:hAnsiTheme="minorEastAsia" w:eastAsiaTheme="minorEastAsia"/>
          <w:spacing w:val="1"/>
          <w:sz w:val="24"/>
          <w:szCs w:val="24"/>
        </w:rPr>
        <w:t>火要</w:t>
      </w:r>
      <w:r>
        <w:rPr>
          <w:rFonts w:hint="eastAsia" w:cs="宋体" w:asciiTheme="minorEastAsia" w:hAnsiTheme="minorEastAsia" w:eastAsiaTheme="minorEastAsia"/>
          <w:sz w:val="24"/>
          <w:szCs w:val="24"/>
        </w:rPr>
        <w:t>求等。</w:t>
      </w:r>
    </w:p>
    <w:p w14:paraId="220F69AA">
      <w:pPr>
        <w:autoSpaceDE w:val="0"/>
        <w:autoSpaceDN w:val="0"/>
        <w:spacing w:line="360" w:lineRule="auto"/>
        <w:ind w:firstLine="470" w:firstLineChars="201"/>
        <w:rPr>
          <w:rFonts w:asciiTheme="minorEastAsia" w:hAnsiTheme="minorEastAsia" w:eastAsiaTheme="minorEastAsia"/>
          <w:sz w:val="24"/>
          <w:szCs w:val="24"/>
        </w:rPr>
      </w:pPr>
      <w:r>
        <w:rPr>
          <w:rFonts w:hint="eastAsia" w:cs="宋体" w:asciiTheme="minorEastAsia" w:hAnsiTheme="minorEastAsia" w:eastAsiaTheme="minorEastAsia"/>
          <w:spacing w:val="-3"/>
          <w:sz w:val="24"/>
          <w:szCs w:val="24"/>
        </w:rPr>
        <w:t>电气专业：低压配电级数超过三级；照明系统中单</w:t>
      </w:r>
      <w:r>
        <w:rPr>
          <w:rFonts w:hint="eastAsia" w:cs="宋体" w:asciiTheme="minorEastAsia" w:hAnsiTheme="minorEastAsia" w:eastAsiaTheme="minorEastAsia"/>
          <w:spacing w:val="-2"/>
          <w:sz w:val="24"/>
          <w:szCs w:val="24"/>
        </w:rPr>
        <w:t xml:space="preserve">向回路灯和插座数量超过 </w:t>
      </w:r>
      <w:r>
        <w:rPr>
          <w:rFonts w:hint="eastAsia" w:cs="宋体" w:asciiTheme="minorEastAsia" w:hAnsiTheme="minorEastAsia" w:eastAsiaTheme="minorEastAsia"/>
          <w:spacing w:val="1"/>
          <w:sz w:val="24"/>
          <w:szCs w:val="24"/>
        </w:rPr>
        <w:t>25</w:t>
      </w:r>
      <w:r>
        <w:rPr>
          <w:rFonts w:hint="eastAsia" w:cs="宋体" w:asciiTheme="minorEastAsia" w:hAnsiTheme="minorEastAsia" w:eastAsiaTheme="minorEastAsia"/>
          <w:spacing w:val="-2"/>
          <w:sz w:val="24"/>
          <w:szCs w:val="24"/>
        </w:rPr>
        <w:t>个；烟、温</w:t>
      </w:r>
      <w:r>
        <w:rPr>
          <w:rFonts w:hint="eastAsia" w:cs="宋体" w:asciiTheme="minorEastAsia" w:hAnsiTheme="minorEastAsia" w:eastAsiaTheme="minorEastAsia"/>
          <w:spacing w:val="1"/>
          <w:sz w:val="24"/>
          <w:szCs w:val="24"/>
        </w:rPr>
        <w:t>感探测器位</w:t>
      </w:r>
      <w:r>
        <w:rPr>
          <w:rFonts w:hint="eastAsia" w:cs="宋体" w:asciiTheme="minorEastAsia" w:hAnsiTheme="minorEastAsia" w:eastAsiaTheme="minorEastAsia"/>
          <w:sz w:val="24"/>
          <w:szCs w:val="24"/>
        </w:rPr>
        <w:t>置；自动喷淋、排烟防火等系统连锁方式局部违反规范、标准、规定；双电源未考虑</w:t>
      </w:r>
      <w:r>
        <w:rPr>
          <w:rFonts w:hint="eastAsia" w:cs="宋体" w:asciiTheme="minorEastAsia" w:hAnsiTheme="minorEastAsia" w:eastAsiaTheme="minorEastAsia"/>
          <w:spacing w:val="1"/>
          <w:sz w:val="24"/>
          <w:szCs w:val="24"/>
        </w:rPr>
        <w:t>末</w:t>
      </w:r>
      <w:r>
        <w:rPr>
          <w:rFonts w:hint="eastAsia" w:cs="宋体" w:asciiTheme="minorEastAsia" w:hAnsiTheme="minorEastAsia" w:eastAsiaTheme="minorEastAsia"/>
          <w:sz w:val="24"/>
          <w:szCs w:val="24"/>
        </w:rPr>
        <w:t>端切换等。</w:t>
      </w:r>
    </w:p>
    <w:p w14:paraId="0B609800">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造价专业：提交给发包人的造价文件，经核查后，偏差大于±10%</w:t>
      </w:r>
      <w:r>
        <w:rPr>
          <w:rFonts w:hint="eastAsia" w:cs="宋体" w:asciiTheme="minorEastAsia" w:hAnsiTheme="minorEastAsia" w:eastAsiaTheme="minorEastAsia"/>
          <w:spacing w:val="1"/>
          <w:sz w:val="24"/>
          <w:szCs w:val="24"/>
        </w:rPr>
        <w:t>的。</w:t>
      </w:r>
    </w:p>
    <w:p w14:paraId="617B4BD4">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B</w:t>
      </w:r>
      <w:r>
        <w:rPr>
          <w:rFonts w:hint="eastAsia" w:cs="宋体" w:asciiTheme="minorEastAsia" w:hAnsiTheme="minorEastAsia" w:eastAsiaTheme="minorEastAsia"/>
          <w:spacing w:val="1"/>
          <w:sz w:val="24"/>
          <w:szCs w:val="24"/>
        </w:rPr>
        <w:t>、设计不</w:t>
      </w:r>
      <w:r>
        <w:rPr>
          <w:rFonts w:hint="eastAsia" w:cs="宋体" w:asciiTheme="minorEastAsia" w:hAnsiTheme="minorEastAsia" w:eastAsiaTheme="minorEastAsia"/>
          <w:sz w:val="24"/>
          <w:szCs w:val="24"/>
        </w:rPr>
        <w:t>周、构造或用料不当，有可能造成影响局部使用效果，或重要部位尺寸错误，有</w:t>
      </w:r>
      <w:r>
        <w:rPr>
          <w:rFonts w:hint="eastAsia" w:cs="宋体" w:asciiTheme="minorEastAsia" w:hAnsiTheme="minorEastAsia" w:eastAsiaTheme="minorEastAsia"/>
          <w:spacing w:val="1"/>
          <w:sz w:val="24"/>
          <w:szCs w:val="24"/>
        </w:rPr>
        <w:t>可能</w:t>
      </w:r>
      <w:r>
        <w:rPr>
          <w:rFonts w:hint="eastAsia" w:cs="宋体" w:asciiTheme="minorEastAsia" w:hAnsiTheme="minorEastAsia" w:eastAsiaTheme="minorEastAsia"/>
          <w:sz w:val="24"/>
          <w:szCs w:val="24"/>
        </w:rPr>
        <w:t>造成严重后果，如：</w:t>
      </w:r>
    </w:p>
    <w:p w14:paraId="6B1143BA">
      <w:pPr>
        <w:autoSpaceDE w:val="0"/>
        <w:autoSpaceDN w:val="0"/>
        <w:spacing w:line="360" w:lineRule="auto"/>
        <w:ind w:firstLine="470" w:firstLineChars="201"/>
        <w:rPr>
          <w:rFonts w:asciiTheme="minorEastAsia" w:hAnsiTheme="minorEastAsia" w:eastAsiaTheme="minorEastAsia"/>
          <w:sz w:val="24"/>
          <w:szCs w:val="24"/>
        </w:rPr>
      </w:pPr>
      <w:r>
        <w:rPr>
          <w:rFonts w:hint="eastAsia" w:cs="宋体" w:asciiTheme="minorEastAsia" w:hAnsiTheme="minorEastAsia" w:eastAsiaTheme="minorEastAsia"/>
          <w:spacing w:val="-3"/>
          <w:sz w:val="24"/>
          <w:szCs w:val="24"/>
        </w:rPr>
        <w:t>建筑专业：</w:t>
      </w:r>
      <w:r>
        <w:rPr>
          <w:rFonts w:hint="eastAsia" w:cs="宋体" w:asciiTheme="minorEastAsia" w:hAnsiTheme="minorEastAsia" w:eastAsiaTheme="minorEastAsia"/>
          <w:spacing w:val="-2"/>
          <w:sz w:val="24"/>
          <w:szCs w:val="24"/>
        </w:rPr>
        <w:t>结构承重部分在建筑图中未完全反映或错误；</w:t>
      </w:r>
      <w:r>
        <w:rPr>
          <w:rFonts w:hint="eastAsia" w:cs="宋体" w:asciiTheme="minorEastAsia" w:hAnsiTheme="minorEastAsia" w:eastAsiaTheme="minorEastAsia"/>
          <w:spacing w:val="-4"/>
          <w:sz w:val="24"/>
          <w:szCs w:val="24"/>
        </w:rPr>
        <w:t>声光</w:t>
      </w:r>
      <w:r>
        <w:rPr>
          <w:rFonts w:hint="eastAsia" w:cs="宋体" w:asciiTheme="minorEastAsia" w:hAnsiTheme="minorEastAsia" w:eastAsiaTheme="minorEastAsia"/>
          <w:spacing w:val="-3"/>
          <w:sz w:val="24"/>
          <w:szCs w:val="24"/>
        </w:rPr>
        <w:t>热防水防潮等的技术处理欠妥</w:t>
      </w:r>
      <w:r>
        <w:rPr>
          <w:rFonts w:hint="eastAsia" w:cs="宋体" w:asciiTheme="minorEastAsia" w:hAnsiTheme="minorEastAsia" w:eastAsiaTheme="minorEastAsia"/>
          <w:sz w:val="24"/>
          <w:szCs w:val="24"/>
        </w:rPr>
        <w:t>等。</w:t>
      </w:r>
    </w:p>
    <w:p w14:paraId="49DF092D">
      <w:pPr>
        <w:autoSpaceDE w:val="0"/>
        <w:autoSpaceDN w:val="0"/>
        <w:spacing w:line="360" w:lineRule="auto"/>
        <w:ind w:firstLine="470" w:firstLineChars="201"/>
        <w:rPr>
          <w:rFonts w:asciiTheme="minorEastAsia" w:hAnsiTheme="minorEastAsia" w:eastAsiaTheme="minorEastAsia"/>
          <w:sz w:val="24"/>
          <w:szCs w:val="24"/>
        </w:rPr>
      </w:pPr>
      <w:r>
        <w:rPr>
          <w:rFonts w:hint="eastAsia" w:cs="宋体" w:asciiTheme="minorEastAsia" w:hAnsiTheme="minorEastAsia" w:eastAsiaTheme="minorEastAsia"/>
          <w:spacing w:val="-3"/>
          <w:sz w:val="24"/>
          <w:szCs w:val="24"/>
        </w:rPr>
        <w:t>结构专业</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pacing w:val="-3"/>
          <w:sz w:val="24"/>
          <w:szCs w:val="24"/>
        </w:rPr>
        <w:t>各种门</w:t>
      </w:r>
      <w:r>
        <w:rPr>
          <w:rFonts w:hint="eastAsia" w:cs="宋体" w:asciiTheme="minorEastAsia" w:hAnsiTheme="minorEastAsia" w:eastAsiaTheme="minorEastAsia"/>
          <w:spacing w:val="-1"/>
          <w:sz w:val="24"/>
          <w:szCs w:val="24"/>
        </w:rPr>
        <w:t>/</w:t>
      </w:r>
      <w:r>
        <w:rPr>
          <w:rFonts w:hint="eastAsia" w:cs="宋体" w:asciiTheme="minorEastAsia" w:hAnsiTheme="minorEastAsia" w:eastAsiaTheme="minorEastAsia"/>
          <w:spacing w:val="-3"/>
          <w:sz w:val="24"/>
          <w:szCs w:val="24"/>
        </w:rPr>
        <w:t>窗洞高度不符合建筑设计要求，</w:t>
      </w:r>
      <w:r>
        <w:rPr>
          <w:rFonts w:hint="eastAsia" w:cs="宋体" w:asciiTheme="minorEastAsia" w:hAnsiTheme="minorEastAsia" w:eastAsiaTheme="minorEastAsia"/>
          <w:spacing w:val="-2"/>
          <w:sz w:val="24"/>
          <w:szCs w:val="24"/>
        </w:rPr>
        <w:t>严重影响使用要求；</w:t>
      </w:r>
      <w:r>
        <w:rPr>
          <w:rFonts w:hint="eastAsia" w:cs="宋体" w:asciiTheme="minorEastAsia" w:hAnsiTheme="minorEastAsia" w:eastAsiaTheme="minorEastAsia"/>
          <w:spacing w:val="-4"/>
          <w:sz w:val="24"/>
          <w:szCs w:val="24"/>
        </w:rPr>
        <w:t>存</w:t>
      </w:r>
      <w:r>
        <w:rPr>
          <w:rFonts w:hint="eastAsia" w:cs="宋体" w:asciiTheme="minorEastAsia" w:hAnsiTheme="minorEastAsia" w:eastAsiaTheme="minorEastAsia"/>
          <w:spacing w:val="-3"/>
          <w:sz w:val="24"/>
          <w:szCs w:val="24"/>
        </w:rPr>
        <w:t>在明显的未设计部</w:t>
      </w:r>
      <w:r>
        <w:rPr>
          <w:rFonts w:hint="eastAsia" w:cs="宋体" w:asciiTheme="minorEastAsia" w:hAnsiTheme="minorEastAsia" w:eastAsiaTheme="minorEastAsia"/>
          <w:sz w:val="24"/>
          <w:szCs w:val="24"/>
        </w:rPr>
        <w:t>分，影响现场进度；结构标高与建筑面层要求不</w:t>
      </w:r>
      <w:r>
        <w:rPr>
          <w:rFonts w:hint="eastAsia" w:cs="宋体" w:asciiTheme="minorEastAsia" w:hAnsiTheme="minorEastAsia" w:eastAsiaTheme="minorEastAsia"/>
          <w:spacing w:val="-1"/>
          <w:sz w:val="24"/>
          <w:szCs w:val="24"/>
        </w:rPr>
        <w:t>符；阳台</w:t>
      </w:r>
      <w:r>
        <w:rPr>
          <w:rFonts w:hint="eastAsia" w:cs="宋体" w:asciiTheme="minorEastAsia" w:hAnsiTheme="minorEastAsia" w:eastAsiaTheme="minorEastAsia"/>
          <w:sz w:val="24"/>
          <w:szCs w:val="24"/>
        </w:rPr>
        <w:t>、雨蓬的倾覆安全不够，钢筋混凝土构</w:t>
      </w:r>
      <w:r>
        <w:rPr>
          <w:rFonts w:hint="eastAsia" w:cs="宋体" w:asciiTheme="minorEastAsia" w:hAnsiTheme="minorEastAsia" w:eastAsiaTheme="minorEastAsia"/>
          <w:spacing w:val="1"/>
          <w:sz w:val="24"/>
          <w:szCs w:val="24"/>
        </w:rPr>
        <w:t>件配筋与</w:t>
      </w:r>
      <w:r>
        <w:rPr>
          <w:rFonts w:hint="eastAsia" w:cs="宋体" w:asciiTheme="minorEastAsia" w:hAnsiTheme="minorEastAsia" w:eastAsiaTheme="minorEastAsia"/>
          <w:sz w:val="24"/>
          <w:szCs w:val="24"/>
        </w:rPr>
        <w:t>计算书不符；应设置构造钢筋的部位不设或少设。</w:t>
      </w:r>
    </w:p>
    <w:p w14:paraId="2C7BC758">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给排水专业:</w:t>
      </w:r>
      <w:r>
        <w:rPr>
          <w:rFonts w:hint="eastAsia" w:cs="宋体" w:asciiTheme="minorEastAsia" w:hAnsiTheme="minorEastAsia" w:eastAsiaTheme="minorEastAsia"/>
          <w:spacing w:val="1"/>
          <w:sz w:val="24"/>
          <w:szCs w:val="24"/>
        </w:rPr>
        <w:t>选用</w:t>
      </w:r>
      <w:r>
        <w:rPr>
          <w:rFonts w:hint="eastAsia" w:cs="宋体" w:asciiTheme="minorEastAsia" w:hAnsiTheme="minorEastAsia" w:eastAsiaTheme="minorEastAsia"/>
          <w:sz w:val="24"/>
          <w:szCs w:val="24"/>
        </w:rPr>
        <w:t>了已淘汰的耗能大的设备。热交换间未考虑检修条件等。</w:t>
      </w:r>
    </w:p>
    <w:p w14:paraId="2758711B">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暖通专业:</w:t>
      </w:r>
      <w:r>
        <w:rPr>
          <w:rFonts w:hint="eastAsia" w:cs="宋体" w:asciiTheme="minorEastAsia" w:hAnsiTheme="minorEastAsia" w:eastAsiaTheme="minorEastAsia"/>
          <w:spacing w:val="1"/>
          <w:sz w:val="24"/>
          <w:szCs w:val="24"/>
        </w:rPr>
        <w:t>选用了已</w:t>
      </w:r>
      <w:r>
        <w:rPr>
          <w:rFonts w:hint="eastAsia" w:cs="宋体" w:asciiTheme="minorEastAsia" w:hAnsiTheme="minorEastAsia" w:eastAsiaTheme="minorEastAsia"/>
          <w:sz w:val="24"/>
          <w:szCs w:val="24"/>
        </w:rPr>
        <w:t>淘汰的产品；机房布置未考虑检修条件；地下室的机房未考虑设备进出</w:t>
      </w:r>
      <w:r>
        <w:rPr>
          <w:rFonts w:hint="eastAsia" w:cs="宋体" w:asciiTheme="minorEastAsia" w:hAnsiTheme="minorEastAsia" w:eastAsiaTheme="minorEastAsia"/>
          <w:spacing w:val="1"/>
          <w:sz w:val="24"/>
          <w:szCs w:val="24"/>
        </w:rPr>
        <w:t>孔；风机</w:t>
      </w:r>
      <w:r>
        <w:rPr>
          <w:rFonts w:hint="eastAsia" w:cs="宋体" w:asciiTheme="minorEastAsia" w:hAnsiTheme="minorEastAsia" w:eastAsiaTheme="minorEastAsia"/>
          <w:sz w:val="24"/>
          <w:szCs w:val="24"/>
        </w:rPr>
        <w:t>的消声、减震处理不当等。</w:t>
      </w:r>
    </w:p>
    <w:p w14:paraId="071A77F0">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电气专业:</w:t>
      </w:r>
      <w:r>
        <w:rPr>
          <w:rFonts w:hint="eastAsia" w:cs="宋体" w:asciiTheme="minorEastAsia" w:hAnsiTheme="minorEastAsia" w:eastAsiaTheme="minorEastAsia"/>
          <w:spacing w:val="1"/>
          <w:sz w:val="24"/>
          <w:szCs w:val="24"/>
        </w:rPr>
        <w:t>强、弱电</w:t>
      </w:r>
      <w:r>
        <w:rPr>
          <w:rFonts w:hint="eastAsia" w:cs="宋体" w:asciiTheme="minorEastAsia" w:hAnsiTheme="minorEastAsia" w:eastAsiaTheme="minorEastAsia"/>
          <w:sz w:val="24"/>
          <w:szCs w:val="24"/>
        </w:rPr>
        <w:t>各种线路布局，设备选型不当，安装图和非标准图制作尺寸以及安装不符等。</w:t>
      </w:r>
    </w:p>
    <w:p w14:paraId="207F2656">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C</w:t>
      </w:r>
      <w:r>
        <w:rPr>
          <w:rFonts w:hint="eastAsia" w:cs="宋体" w:asciiTheme="minorEastAsia" w:hAnsiTheme="minorEastAsia" w:eastAsiaTheme="minorEastAsia"/>
          <w:spacing w:val="1"/>
          <w:sz w:val="24"/>
          <w:szCs w:val="24"/>
        </w:rPr>
        <w:t>、工种配</w:t>
      </w:r>
      <w:r>
        <w:rPr>
          <w:rFonts w:hint="eastAsia" w:cs="宋体" w:asciiTheme="minorEastAsia" w:hAnsiTheme="minorEastAsia" w:eastAsiaTheme="minorEastAsia"/>
          <w:sz w:val="24"/>
          <w:szCs w:val="24"/>
        </w:rPr>
        <w:t>合严重错误或局部遗漏有可能造成影响使用，或造成施工返工，如梁上预埋孔洞</w:t>
      </w:r>
      <w:r>
        <w:rPr>
          <w:rFonts w:hint="eastAsia" w:cs="宋体" w:asciiTheme="minorEastAsia" w:hAnsiTheme="minorEastAsia" w:eastAsiaTheme="minorEastAsia"/>
          <w:spacing w:val="1"/>
          <w:sz w:val="24"/>
          <w:szCs w:val="24"/>
        </w:rPr>
        <w:t>严重</w:t>
      </w:r>
      <w:r>
        <w:rPr>
          <w:rFonts w:hint="eastAsia" w:cs="宋体" w:asciiTheme="minorEastAsia" w:hAnsiTheme="minorEastAsia" w:eastAsiaTheme="minorEastAsia"/>
          <w:sz w:val="24"/>
          <w:szCs w:val="24"/>
        </w:rPr>
        <w:t>影响结构安全。</w:t>
      </w:r>
    </w:p>
    <w:p w14:paraId="3D181AF1">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D</w:t>
      </w:r>
      <w:r>
        <w:rPr>
          <w:rFonts w:hint="eastAsia" w:cs="宋体" w:asciiTheme="minorEastAsia" w:hAnsiTheme="minorEastAsia" w:eastAsiaTheme="minorEastAsia"/>
          <w:spacing w:val="1"/>
          <w:sz w:val="24"/>
          <w:szCs w:val="24"/>
        </w:rPr>
        <w:t>、结构专</w:t>
      </w:r>
      <w:r>
        <w:rPr>
          <w:rFonts w:hint="eastAsia" w:cs="宋体" w:asciiTheme="minorEastAsia" w:hAnsiTheme="minorEastAsia" w:eastAsiaTheme="minorEastAsia"/>
          <w:sz w:val="24"/>
          <w:szCs w:val="24"/>
        </w:rPr>
        <w:t>业计算、构造层层加码，造成严重浪费者。如设计荷载取用过大，实际配筋又大</w:t>
      </w:r>
      <w:r>
        <w:rPr>
          <w:rFonts w:hint="eastAsia" w:cs="宋体" w:asciiTheme="minorEastAsia" w:hAnsiTheme="minorEastAsia" w:eastAsiaTheme="minorEastAsia"/>
          <w:spacing w:val="1"/>
          <w:sz w:val="24"/>
          <w:szCs w:val="24"/>
        </w:rPr>
        <w:t>于计</w:t>
      </w:r>
      <w:r>
        <w:rPr>
          <w:rFonts w:hint="eastAsia" w:cs="宋体" w:asciiTheme="minorEastAsia" w:hAnsiTheme="minorEastAsia" w:eastAsiaTheme="minorEastAsia"/>
          <w:sz w:val="24"/>
          <w:szCs w:val="24"/>
        </w:rPr>
        <w:t>算要求很多等。</w:t>
      </w:r>
    </w:p>
    <w:p w14:paraId="44619329">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E</w:t>
      </w:r>
      <w:r>
        <w:rPr>
          <w:rFonts w:hint="eastAsia" w:cs="宋体" w:asciiTheme="minorEastAsia" w:hAnsiTheme="minorEastAsia" w:eastAsiaTheme="minorEastAsia"/>
          <w:spacing w:val="1"/>
          <w:sz w:val="24"/>
          <w:szCs w:val="24"/>
        </w:rPr>
        <w:t>、影响报</w:t>
      </w:r>
      <w:r>
        <w:rPr>
          <w:rFonts w:hint="eastAsia" w:cs="宋体" w:asciiTheme="minorEastAsia" w:hAnsiTheme="minorEastAsia" w:eastAsiaTheme="minorEastAsia"/>
          <w:sz w:val="24"/>
          <w:szCs w:val="24"/>
        </w:rPr>
        <w:t>建工作的进行；各配套设施建筑或功能区未详细标明或建筑标识不清，影响面积</w:t>
      </w:r>
      <w:r>
        <w:rPr>
          <w:rFonts w:hint="eastAsia" w:cs="宋体" w:asciiTheme="minorEastAsia" w:hAnsiTheme="minorEastAsia" w:eastAsiaTheme="minorEastAsia"/>
          <w:spacing w:val="1"/>
          <w:sz w:val="24"/>
          <w:szCs w:val="24"/>
        </w:rPr>
        <w:t>查</w:t>
      </w:r>
      <w:r>
        <w:rPr>
          <w:rFonts w:hint="eastAsia" w:cs="宋体" w:asciiTheme="minorEastAsia" w:hAnsiTheme="minorEastAsia" w:eastAsiaTheme="minorEastAsia"/>
          <w:sz w:val="24"/>
          <w:szCs w:val="24"/>
        </w:rPr>
        <w:t>丈及验收。</w:t>
      </w:r>
    </w:p>
    <w:p w14:paraId="7C1C84C6">
      <w:pPr>
        <w:autoSpaceDE w:val="0"/>
        <w:autoSpaceDN w:val="0"/>
        <w:spacing w:line="360" w:lineRule="auto"/>
        <w:ind w:firstLine="488" w:firstLineChars="201"/>
        <w:rPr>
          <w:rFonts w:asciiTheme="minorEastAsia" w:hAnsiTheme="minorEastAsia" w:eastAsiaTheme="minorEastAsia"/>
          <w:b/>
          <w:sz w:val="24"/>
          <w:szCs w:val="24"/>
        </w:rPr>
      </w:pPr>
      <w:r>
        <w:rPr>
          <w:rFonts w:hint="eastAsia" w:cs="宋体" w:asciiTheme="minorEastAsia" w:hAnsiTheme="minorEastAsia" w:eastAsiaTheme="minorEastAsia"/>
          <w:b/>
          <w:spacing w:val="1"/>
          <w:sz w:val="24"/>
          <w:szCs w:val="24"/>
        </w:rPr>
        <w:t>Ⅳ类</w:t>
      </w:r>
      <w:r>
        <w:rPr>
          <w:rFonts w:hint="eastAsia" w:cs="宋体" w:asciiTheme="minorEastAsia" w:hAnsiTheme="minorEastAsia" w:eastAsiaTheme="minorEastAsia"/>
          <w:b/>
          <w:sz w:val="24"/>
          <w:szCs w:val="24"/>
        </w:rPr>
        <w:t>错误：</w:t>
      </w:r>
    </w:p>
    <w:p w14:paraId="5513685E">
      <w:pPr>
        <w:autoSpaceDE w:val="0"/>
        <w:autoSpaceDN w:val="0"/>
        <w:spacing w:line="360" w:lineRule="auto"/>
        <w:ind w:firstLine="466" w:firstLineChars="201"/>
        <w:rPr>
          <w:rFonts w:asciiTheme="minorEastAsia" w:hAnsiTheme="minorEastAsia" w:eastAsiaTheme="minorEastAsia"/>
          <w:sz w:val="24"/>
          <w:szCs w:val="24"/>
        </w:rPr>
      </w:pPr>
      <w:r>
        <w:rPr>
          <w:rFonts w:hint="eastAsia" w:cs="宋体" w:asciiTheme="minorEastAsia" w:hAnsiTheme="minorEastAsia" w:eastAsiaTheme="minorEastAsia"/>
          <w:spacing w:val="-4"/>
          <w:sz w:val="24"/>
          <w:szCs w:val="24"/>
        </w:rPr>
        <w:t>指设计文件编制上的差错，如</w:t>
      </w:r>
      <w:r>
        <w:rPr>
          <w:rFonts w:hint="eastAsia" w:cs="宋体" w:asciiTheme="minorEastAsia" w:hAnsiTheme="minorEastAsia" w:eastAsiaTheme="minorEastAsia"/>
          <w:sz w:val="24"/>
          <w:szCs w:val="24"/>
        </w:rPr>
        <w:t>1</w:t>
      </w:r>
      <w:r>
        <w:rPr>
          <w:rFonts w:hint="eastAsia" w:cs="宋体" w:asciiTheme="minorEastAsia" w:hAnsiTheme="minorEastAsia" w:eastAsiaTheme="minorEastAsia"/>
          <w:spacing w:val="-4"/>
          <w:sz w:val="24"/>
          <w:szCs w:val="24"/>
        </w:rPr>
        <w:t>、说明表达错误；</w:t>
      </w:r>
      <w:r>
        <w:rPr>
          <w:rFonts w:hint="eastAsia" w:cs="宋体" w:asciiTheme="minorEastAsia" w:hAnsiTheme="minorEastAsia" w:eastAsiaTheme="minorEastAsia"/>
          <w:spacing w:val="-1"/>
          <w:sz w:val="24"/>
          <w:szCs w:val="24"/>
        </w:rPr>
        <w:t>2</w:t>
      </w:r>
      <w:r>
        <w:rPr>
          <w:rFonts w:hint="eastAsia" w:cs="宋体" w:asciiTheme="minorEastAsia" w:hAnsiTheme="minorEastAsia" w:eastAsiaTheme="minorEastAsia"/>
          <w:spacing w:val="-4"/>
          <w:sz w:val="24"/>
          <w:szCs w:val="24"/>
        </w:rPr>
        <w:t>、不重要的数据、计量单位、尺寸出错；</w:t>
      </w:r>
    </w:p>
    <w:p w14:paraId="73631228">
      <w:pPr>
        <w:autoSpaceDE w:val="0"/>
        <w:autoSpaceDN w:val="0"/>
        <w:spacing w:line="360" w:lineRule="auto"/>
        <w:ind w:firstLine="478" w:firstLineChars="201"/>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3</w:t>
      </w:r>
      <w:r>
        <w:rPr>
          <w:rFonts w:hint="eastAsia" w:cs="宋体" w:asciiTheme="minorEastAsia" w:hAnsiTheme="minorEastAsia" w:eastAsiaTheme="minorEastAsia"/>
          <w:spacing w:val="-2"/>
          <w:sz w:val="24"/>
          <w:szCs w:val="24"/>
        </w:rPr>
        <w:t>、不重要的尺寸线、剖面线、引出线等漏划；</w:t>
      </w:r>
      <w:r>
        <w:rPr>
          <w:rFonts w:hint="eastAsia" w:cs="宋体" w:asciiTheme="minorEastAsia" w:hAnsiTheme="minorEastAsia" w:eastAsiaTheme="minorEastAsia"/>
          <w:spacing w:val="-9"/>
          <w:sz w:val="24"/>
          <w:szCs w:val="24"/>
        </w:rPr>
        <w:t>4</w:t>
      </w:r>
      <w:r>
        <w:rPr>
          <w:rFonts w:hint="eastAsia" w:cs="宋体" w:asciiTheme="minorEastAsia" w:hAnsiTheme="minorEastAsia" w:eastAsiaTheme="minorEastAsia"/>
          <w:spacing w:val="-2"/>
          <w:sz w:val="24"/>
          <w:szCs w:val="24"/>
        </w:rPr>
        <w:t>、出现因设计责任引起的四类变更；</w:t>
      </w:r>
      <w:r>
        <w:rPr>
          <w:rFonts w:hint="eastAsia" w:cs="宋体" w:asciiTheme="minorEastAsia" w:hAnsiTheme="minorEastAsia" w:eastAsiaTheme="minorEastAsia"/>
          <w:spacing w:val="-7"/>
          <w:sz w:val="24"/>
          <w:szCs w:val="24"/>
        </w:rPr>
        <w:t>5</w:t>
      </w:r>
      <w:r>
        <w:rPr>
          <w:rFonts w:hint="eastAsia" w:cs="宋体" w:asciiTheme="minorEastAsia" w:hAnsiTheme="minorEastAsia" w:eastAsiaTheme="minorEastAsia"/>
          <w:spacing w:val="-3"/>
          <w:sz w:val="24"/>
          <w:szCs w:val="24"/>
        </w:rPr>
        <w:t>、造</w:t>
      </w:r>
      <w:r>
        <w:rPr>
          <w:rFonts w:hint="eastAsia" w:cs="宋体" w:asciiTheme="minorEastAsia" w:hAnsiTheme="minorEastAsia" w:eastAsiaTheme="minorEastAsia"/>
          <w:spacing w:val="-2"/>
          <w:sz w:val="24"/>
          <w:szCs w:val="24"/>
        </w:rPr>
        <w:t>价文件</w:t>
      </w:r>
      <w:r>
        <w:rPr>
          <w:rFonts w:hint="eastAsia" w:cs="宋体" w:asciiTheme="minorEastAsia" w:hAnsiTheme="minorEastAsia" w:eastAsiaTheme="minorEastAsia"/>
          <w:spacing w:val="1"/>
          <w:sz w:val="24"/>
          <w:szCs w:val="24"/>
        </w:rPr>
        <w:t>失实</w:t>
      </w:r>
      <w:r>
        <w:rPr>
          <w:rFonts w:hint="eastAsia" w:cs="宋体" w:asciiTheme="minorEastAsia" w:hAnsiTheme="minorEastAsia" w:eastAsiaTheme="minorEastAsia"/>
          <w:sz w:val="24"/>
          <w:szCs w:val="24"/>
        </w:rPr>
        <w:t>较轻。</w:t>
      </w:r>
    </w:p>
    <w:p w14:paraId="01605E4B">
      <w:pPr>
        <w:autoSpaceDE w:val="0"/>
        <w:autoSpaceDN w:val="0"/>
        <w:spacing w:line="360" w:lineRule="auto"/>
        <w:ind w:firstLine="486" w:firstLineChars="201"/>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按照</w:t>
      </w:r>
      <w:r>
        <w:rPr>
          <w:rFonts w:hint="eastAsia" w:cs="宋体" w:asciiTheme="minorEastAsia" w:hAnsiTheme="minorEastAsia" w:eastAsiaTheme="minorEastAsia"/>
          <w:sz w:val="24"/>
          <w:szCs w:val="24"/>
        </w:rPr>
        <w:t>专业具体分为：</w:t>
      </w:r>
    </w:p>
    <w:p w14:paraId="0E97875B">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A</w:t>
      </w:r>
      <w:r>
        <w:rPr>
          <w:rFonts w:hint="eastAsia" w:cs="宋体" w:asciiTheme="minorEastAsia" w:hAnsiTheme="minorEastAsia" w:eastAsiaTheme="minorEastAsia"/>
          <w:spacing w:val="1"/>
          <w:sz w:val="24"/>
          <w:szCs w:val="24"/>
        </w:rPr>
        <w:t>、容易修</w:t>
      </w:r>
      <w:r>
        <w:rPr>
          <w:rFonts w:hint="eastAsia" w:cs="宋体" w:asciiTheme="minorEastAsia" w:hAnsiTheme="minorEastAsia" w:eastAsiaTheme="minorEastAsia"/>
          <w:sz w:val="24"/>
          <w:szCs w:val="24"/>
        </w:rPr>
        <w:t>正、且不造成使用或安全缺陷，但会给建设单位、施工单位带来麻烦，如：</w:t>
      </w:r>
    </w:p>
    <w:p w14:paraId="475A3DA7">
      <w:pPr>
        <w:autoSpaceDE w:val="0"/>
        <w:autoSpaceDN w:val="0"/>
        <w:spacing w:line="360" w:lineRule="auto"/>
        <w:ind w:firstLine="470" w:firstLineChars="201"/>
        <w:rPr>
          <w:rFonts w:cs="宋体" w:asciiTheme="minorEastAsia" w:hAnsiTheme="minorEastAsia" w:eastAsiaTheme="minorEastAsia"/>
          <w:sz w:val="24"/>
          <w:szCs w:val="24"/>
        </w:rPr>
      </w:pPr>
      <w:r>
        <w:rPr>
          <w:rFonts w:hint="eastAsia" w:cs="宋体" w:asciiTheme="minorEastAsia" w:hAnsiTheme="minorEastAsia" w:eastAsiaTheme="minorEastAsia"/>
          <w:spacing w:val="-3"/>
          <w:sz w:val="24"/>
          <w:szCs w:val="24"/>
        </w:rPr>
        <w:t>建筑、结构、水、暖、电各专业；图纸目录不全、表达不够清楚、平</w:t>
      </w:r>
      <w:r>
        <w:rPr>
          <w:rFonts w:hint="eastAsia" w:cs="宋体" w:asciiTheme="minorEastAsia" w:hAnsiTheme="minorEastAsia" w:eastAsiaTheme="minorEastAsia"/>
          <w:spacing w:val="-2"/>
          <w:sz w:val="24"/>
          <w:szCs w:val="24"/>
        </w:rPr>
        <w:t>立剖面图不一致、一般</w:t>
      </w:r>
      <w:r>
        <w:rPr>
          <w:rFonts w:hint="eastAsia" w:cs="宋体" w:asciiTheme="minorEastAsia" w:hAnsiTheme="minorEastAsia" w:eastAsiaTheme="minorEastAsia"/>
          <w:spacing w:val="-1"/>
          <w:sz w:val="24"/>
          <w:szCs w:val="24"/>
        </w:rPr>
        <w:t>性尺寸错</w:t>
      </w:r>
      <w:r>
        <w:rPr>
          <w:rFonts w:hint="eastAsia" w:cs="宋体" w:asciiTheme="minorEastAsia" w:hAnsiTheme="minorEastAsia" w:eastAsiaTheme="minorEastAsia"/>
          <w:sz w:val="24"/>
          <w:szCs w:val="24"/>
        </w:rPr>
        <w:t>误或不全、图例或符号不合规定、平面图与系统图不一致等。又如：设计文件、计算书</w:t>
      </w:r>
      <w:r>
        <w:rPr>
          <w:rFonts w:hint="eastAsia" w:cs="宋体" w:asciiTheme="minorEastAsia" w:hAnsiTheme="minorEastAsia" w:eastAsiaTheme="minorEastAsia"/>
          <w:spacing w:val="-1"/>
          <w:sz w:val="24"/>
          <w:szCs w:val="24"/>
        </w:rPr>
        <w:t>及存档材</w:t>
      </w:r>
      <w:r>
        <w:rPr>
          <w:rFonts w:hint="eastAsia" w:cs="宋体" w:asciiTheme="minorEastAsia" w:hAnsiTheme="minorEastAsia" w:eastAsiaTheme="minorEastAsia"/>
          <w:sz w:val="24"/>
          <w:szCs w:val="24"/>
        </w:rPr>
        <w:t>料的完整性不够；设计说明、图纸目录不全、图例符号表达不合规定；系统图与平面图</w:t>
      </w:r>
      <w:r>
        <w:rPr>
          <w:rFonts w:hint="eastAsia" w:cs="宋体" w:asciiTheme="minorEastAsia" w:hAnsiTheme="minorEastAsia" w:eastAsiaTheme="minorEastAsia"/>
          <w:spacing w:val="1"/>
          <w:sz w:val="24"/>
          <w:szCs w:val="24"/>
        </w:rPr>
        <w:t>的一致性</w:t>
      </w:r>
      <w:r>
        <w:rPr>
          <w:rFonts w:hint="eastAsia" w:cs="宋体" w:asciiTheme="minorEastAsia" w:hAnsiTheme="minorEastAsia" w:eastAsiaTheme="minorEastAsia"/>
          <w:sz w:val="24"/>
          <w:szCs w:val="24"/>
        </w:rPr>
        <w:t>的错、漏、碰、缺等。</w:t>
      </w:r>
    </w:p>
    <w:p w14:paraId="205E3482">
      <w:pPr>
        <w:autoSpaceDE w:val="0"/>
        <w:autoSpaceDN w:val="0"/>
        <w:spacing w:line="360" w:lineRule="auto"/>
        <w:ind w:firstLine="482" w:firstLineChars="201"/>
        <w:rPr>
          <w:rFonts w:asciiTheme="minorEastAsia" w:hAnsiTheme="minorEastAsia" w:eastAsiaTheme="minorEastAsia"/>
          <w:sz w:val="24"/>
          <w:szCs w:val="24"/>
        </w:rPr>
      </w:pPr>
      <w:r>
        <w:rPr>
          <w:rFonts w:hint="eastAsia" w:cs="宋体" w:asciiTheme="minorEastAsia" w:hAnsiTheme="minorEastAsia" w:eastAsiaTheme="minorEastAsia"/>
          <w:sz w:val="24"/>
          <w:szCs w:val="24"/>
        </w:rPr>
        <w:t>造价专业：提交给发包人的造价文件，经核查后，偏差大于±50%</w:t>
      </w:r>
      <w:r>
        <w:rPr>
          <w:rFonts w:hint="eastAsia" w:cs="宋体" w:asciiTheme="minorEastAsia" w:hAnsiTheme="minorEastAsia" w:eastAsiaTheme="minorEastAsia"/>
          <w:spacing w:val="1"/>
          <w:sz w:val="24"/>
          <w:szCs w:val="24"/>
        </w:rPr>
        <w:t>的。</w:t>
      </w:r>
    </w:p>
    <w:p w14:paraId="3E4C2B82">
      <w:pPr>
        <w:spacing w:line="360" w:lineRule="auto"/>
        <w:rPr>
          <w:rFonts w:asciiTheme="minorEastAsia" w:hAnsiTheme="minorEastAsia" w:eastAsiaTheme="minorEastAsia"/>
          <w:sz w:val="24"/>
          <w:szCs w:val="24"/>
        </w:rPr>
      </w:pPr>
      <w:r>
        <w:rPr>
          <w:rFonts w:hint="eastAsia" w:cs="宋体" w:asciiTheme="minorEastAsia" w:hAnsiTheme="minorEastAsia" w:eastAsiaTheme="minorEastAsia"/>
          <w:sz w:val="24"/>
          <w:szCs w:val="24"/>
        </w:rPr>
        <w:t>B</w:t>
      </w:r>
      <w:r>
        <w:rPr>
          <w:rFonts w:hint="eastAsia" w:cs="宋体" w:asciiTheme="minorEastAsia" w:hAnsiTheme="minorEastAsia" w:eastAsiaTheme="minorEastAsia"/>
          <w:spacing w:val="1"/>
          <w:sz w:val="24"/>
          <w:szCs w:val="24"/>
        </w:rPr>
        <w:t>、工种配</w:t>
      </w:r>
      <w:r>
        <w:rPr>
          <w:rFonts w:hint="eastAsia" w:cs="宋体" w:asciiTheme="minorEastAsia" w:hAnsiTheme="minorEastAsia" w:eastAsiaTheme="minorEastAsia"/>
          <w:sz w:val="24"/>
          <w:szCs w:val="24"/>
        </w:rPr>
        <w:t>合中的一般性错误，容易修正，且不致造成影响使用效果或安全。</w:t>
      </w:r>
    </w:p>
    <w:p w14:paraId="518C0BAF">
      <w:pPr>
        <w:spacing w:line="440" w:lineRule="exact"/>
        <w:rPr>
          <w:rFonts w:eastAsia="仿宋_GB2312"/>
          <w:sz w:val="30"/>
          <w:szCs w:val="30"/>
        </w:rPr>
      </w:pPr>
      <w:r>
        <w:rPr>
          <w:rFonts w:hint="eastAsia" w:asciiTheme="minorEastAsia" w:hAnsiTheme="minorEastAsia" w:eastAsiaTheme="minorEastAsia"/>
          <w:b/>
          <w:sz w:val="24"/>
          <w:szCs w:val="24"/>
        </w:rPr>
        <w:br w:type="page"/>
      </w:r>
      <w:r>
        <w:rPr>
          <w:rFonts w:hint="eastAsia" w:asciiTheme="minorEastAsia" w:hAnsiTheme="minorEastAsia" w:eastAsiaTheme="minorEastAsia"/>
          <w:b/>
          <w:sz w:val="24"/>
          <w:szCs w:val="24"/>
        </w:rPr>
        <w:t>附件6：</w:t>
      </w:r>
      <w:r>
        <w:rPr>
          <w:rFonts w:hint="eastAsia" w:eastAsia="仿宋_GB2312"/>
          <w:sz w:val="30"/>
          <w:szCs w:val="30"/>
        </w:rPr>
        <w:t> </w:t>
      </w:r>
      <w:r>
        <w:rPr>
          <w:rFonts w:hint="eastAsia" w:asciiTheme="minorEastAsia" w:hAnsiTheme="minorEastAsia" w:eastAsiaTheme="minorEastAsia"/>
          <w:b/>
          <w:sz w:val="24"/>
          <w:szCs w:val="24"/>
        </w:rPr>
        <w:t>廉政合同</w:t>
      </w:r>
      <w:r>
        <w:rPr>
          <w:rFonts w:hint="eastAsia" w:eastAsia="仿宋_GB2312"/>
          <w:sz w:val="30"/>
          <w:szCs w:val="30"/>
        </w:rPr>
        <w:t> </w:t>
      </w:r>
    </w:p>
    <w:p w14:paraId="31E1698D">
      <w:r>
        <w:rPr>
          <w:rFonts w:hint="eastAsia"/>
        </w:rPr>
        <w:t>  </w:t>
      </w:r>
    </w:p>
    <w:p w14:paraId="15B36150">
      <w:pPr>
        <w:adjustRightInd w:val="0"/>
        <w:snapToGrid w:val="0"/>
        <w:spacing w:line="300" w:lineRule="exact"/>
        <w:jc w:val="center"/>
        <w:outlineLvl w:val="1"/>
        <w:rPr>
          <w:rFonts w:ascii="宋体" w:hAnsi="宋体"/>
          <w:b/>
          <w:snapToGrid w:val="0"/>
          <w:kern w:val="0"/>
          <w:sz w:val="32"/>
          <w:szCs w:val="32"/>
        </w:rPr>
      </w:pPr>
      <w:r>
        <w:rPr>
          <w:rFonts w:hint="eastAsia" w:ascii="宋体" w:hAnsi="宋体"/>
          <w:b/>
          <w:snapToGrid w:val="0"/>
          <w:kern w:val="0"/>
          <w:sz w:val="32"/>
          <w:szCs w:val="32"/>
        </w:rPr>
        <w:t>廉洁合同</w:t>
      </w:r>
    </w:p>
    <w:p w14:paraId="75316A6E">
      <w:pPr>
        <w:adjustRightInd w:val="0"/>
        <w:snapToGrid w:val="0"/>
        <w:spacing w:line="300" w:lineRule="exact"/>
        <w:rPr>
          <w:rFonts w:ascii="宋体" w:hAnsi="宋体"/>
          <w:snapToGrid w:val="0"/>
          <w:kern w:val="0"/>
          <w:szCs w:val="32"/>
        </w:rPr>
      </w:pPr>
    </w:p>
    <w:p w14:paraId="789CD6BE">
      <w:pPr>
        <w:adjustRightInd w:val="0"/>
        <w:snapToGrid w:val="0"/>
        <w:spacing w:line="300" w:lineRule="exact"/>
        <w:rPr>
          <w:rFonts w:ascii="宋体" w:hAnsi="宋体"/>
          <w:snapToGrid w:val="0"/>
          <w:kern w:val="0"/>
          <w:sz w:val="24"/>
          <w:szCs w:val="24"/>
        </w:rPr>
      </w:pPr>
      <w:r>
        <w:rPr>
          <w:rFonts w:hint="eastAsia" w:ascii="宋体" w:hAnsi="宋体"/>
          <w:snapToGrid w:val="0"/>
          <w:kern w:val="0"/>
          <w:sz w:val="24"/>
          <w:szCs w:val="24"/>
        </w:rPr>
        <w:t>甲方（发包人）：</w:t>
      </w:r>
      <w:r>
        <w:rPr>
          <w:rFonts w:hint="eastAsia" w:ascii="宋体" w:hAnsi="宋体"/>
          <w:snapToGrid w:val="0"/>
          <w:kern w:val="0"/>
          <w:sz w:val="24"/>
          <w:szCs w:val="24"/>
          <w:u w:val="single"/>
        </w:rPr>
        <w:t>广东省代建项目管理局</w:t>
      </w:r>
    </w:p>
    <w:p w14:paraId="54AE4F23">
      <w:pPr>
        <w:adjustRightInd w:val="0"/>
        <w:snapToGrid w:val="0"/>
        <w:spacing w:line="300" w:lineRule="exact"/>
        <w:rPr>
          <w:rFonts w:ascii="宋体" w:hAnsi="宋体"/>
          <w:snapToGrid w:val="0"/>
          <w:kern w:val="0"/>
          <w:sz w:val="24"/>
          <w:szCs w:val="24"/>
          <w:u w:val="single"/>
        </w:rPr>
      </w:pPr>
      <w:r>
        <w:rPr>
          <w:rFonts w:hint="eastAsia" w:ascii="宋体" w:hAnsi="宋体"/>
          <w:snapToGrid w:val="0"/>
          <w:kern w:val="0"/>
          <w:sz w:val="24"/>
          <w:szCs w:val="24"/>
        </w:rPr>
        <w:t>乙方（承包人）：</w:t>
      </w:r>
    </w:p>
    <w:p w14:paraId="32602EB5">
      <w:pPr>
        <w:adjustRightInd w:val="0"/>
        <w:snapToGrid w:val="0"/>
        <w:spacing w:line="300" w:lineRule="exact"/>
        <w:rPr>
          <w:rFonts w:ascii="宋体" w:hAnsi="宋体"/>
          <w:snapToGrid w:val="0"/>
          <w:kern w:val="0"/>
          <w:sz w:val="24"/>
          <w:szCs w:val="24"/>
        </w:rPr>
      </w:pPr>
    </w:p>
    <w:p w14:paraId="5ABE2C2F">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为切实规范甲乙双方的各项建筑活动，预防本工程违法违纪等腐败现象的发生，保障工程建设优质、安全和廉洁，根据</w:t>
      </w:r>
      <w:r>
        <w:rPr>
          <w:rFonts w:hint="eastAsia"/>
          <w:sz w:val="24"/>
        </w:rPr>
        <w:t>国家</w:t>
      </w:r>
      <w:r>
        <w:rPr>
          <w:rFonts w:hint="eastAsia" w:ascii="宋体" w:hAnsi="宋体"/>
          <w:snapToGrid w:val="0"/>
          <w:kern w:val="0"/>
          <w:sz w:val="24"/>
          <w:szCs w:val="24"/>
        </w:rPr>
        <w:t>和省、市</w:t>
      </w:r>
      <w:r>
        <w:rPr>
          <w:rFonts w:hint="eastAsia"/>
          <w:sz w:val="24"/>
        </w:rPr>
        <w:t>工程建设相关法律法规和廉政建设责任制规定</w:t>
      </w:r>
      <w:r>
        <w:rPr>
          <w:rFonts w:hint="eastAsia" w:ascii="宋体" w:hAnsi="宋体"/>
          <w:sz w:val="24"/>
        </w:rPr>
        <w:t>，特订立协议书。</w:t>
      </w:r>
    </w:p>
    <w:p w14:paraId="756B1F8C">
      <w:pPr>
        <w:adjustRightInd w:val="0"/>
        <w:snapToGrid w:val="0"/>
        <w:spacing w:line="300" w:lineRule="exact"/>
        <w:ind w:firstLine="470" w:firstLineChars="196"/>
        <w:rPr>
          <w:rFonts w:ascii="宋体" w:hAnsi="宋体"/>
          <w:snapToGrid w:val="0"/>
          <w:kern w:val="0"/>
          <w:sz w:val="24"/>
          <w:szCs w:val="24"/>
        </w:rPr>
      </w:pPr>
      <w:r>
        <w:rPr>
          <w:rFonts w:hint="eastAsia" w:ascii="宋体" w:hAnsi="宋体"/>
          <w:snapToGrid w:val="0"/>
          <w:kern w:val="0"/>
          <w:sz w:val="24"/>
          <w:szCs w:val="24"/>
        </w:rPr>
        <w:t>第一条 甲乙双方责任</w:t>
      </w:r>
    </w:p>
    <w:p w14:paraId="5972FFCC">
      <w:pPr>
        <w:adjustRightInd w:val="0"/>
        <w:snapToGrid w:val="0"/>
        <w:spacing w:line="300" w:lineRule="exact"/>
        <w:ind w:firstLine="470" w:firstLineChars="196"/>
        <w:rPr>
          <w:rFonts w:ascii="宋体" w:hAnsi="宋体"/>
          <w:snapToGrid w:val="0"/>
          <w:kern w:val="0"/>
          <w:sz w:val="24"/>
          <w:szCs w:val="24"/>
        </w:rPr>
      </w:pPr>
      <w:r>
        <w:rPr>
          <w:rFonts w:hint="eastAsia" w:ascii="宋体" w:hAnsi="宋体"/>
          <w:snapToGrid w:val="0"/>
          <w:kern w:val="0"/>
          <w:sz w:val="24"/>
          <w:szCs w:val="24"/>
        </w:rPr>
        <w:t>（一）严格遵守国家和省、市有关法律法规、相关政策，以及廉政建设的各项约定。</w:t>
      </w:r>
    </w:p>
    <w:p w14:paraId="122B9F61">
      <w:pPr>
        <w:adjustRightInd w:val="0"/>
        <w:snapToGrid w:val="0"/>
        <w:spacing w:line="300" w:lineRule="exact"/>
        <w:ind w:firstLine="470" w:firstLineChars="196"/>
        <w:rPr>
          <w:rFonts w:ascii="宋体" w:hAnsi="宋体"/>
          <w:snapToGrid w:val="0"/>
          <w:kern w:val="0"/>
          <w:sz w:val="24"/>
          <w:szCs w:val="24"/>
        </w:rPr>
      </w:pPr>
      <w:r>
        <w:rPr>
          <w:rFonts w:hint="eastAsia" w:ascii="宋体" w:hAnsi="宋体"/>
          <w:snapToGrid w:val="0"/>
          <w:kern w:val="0"/>
          <w:sz w:val="24"/>
          <w:szCs w:val="24"/>
        </w:rPr>
        <w:t>（二）严格执行建设工程项目承发包合同文件，自觉按合同办事。</w:t>
      </w:r>
    </w:p>
    <w:p w14:paraId="6E7848C2">
      <w:pPr>
        <w:adjustRightInd w:val="0"/>
        <w:snapToGrid w:val="0"/>
        <w:spacing w:line="300" w:lineRule="exact"/>
        <w:ind w:firstLine="470" w:firstLineChars="196"/>
        <w:rPr>
          <w:rFonts w:ascii="宋体" w:hAnsi="宋体"/>
          <w:snapToGrid w:val="0"/>
          <w:kern w:val="0"/>
          <w:sz w:val="24"/>
          <w:szCs w:val="24"/>
        </w:rPr>
      </w:pPr>
      <w:r>
        <w:rPr>
          <w:rFonts w:hint="eastAsia" w:ascii="宋体" w:hAnsi="宋体"/>
          <w:snapToGrid w:val="0"/>
          <w:kern w:val="0"/>
          <w:sz w:val="24"/>
          <w:szCs w:val="24"/>
        </w:rPr>
        <w:t>（三）建筑活动必须坚持公开、公平、公正、诚信、透明的原则（除法律法规另有规定者外），不得为获取不正当的利益，损害国家、集体和对方利益，不得违反国家、省、市和甲方有关工程建设管理的规章制度。</w:t>
      </w:r>
    </w:p>
    <w:p w14:paraId="2392D708">
      <w:pPr>
        <w:adjustRightInd w:val="0"/>
        <w:snapToGrid w:val="0"/>
        <w:spacing w:line="300" w:lineRule="exact"/>
        <w:ind w:firstLine="470" w:firstLineChars="196"/>
        <w:rPr>
          <w:rFonts w:ascii="宋体" w:hAnsi="宋体"/>
          <w:snapToGrid w:val="0"/>
          <w:kern w:val="0"/>
          <w:sz w:val="24"/>
          <w:szCs w:val="24"/>
        </w:rPr>
      </w:pPr>
      <w:r>
        <w:rPr>
          <w:rFonts w:hint="eastAsia" w:ascii="宋体" w:hAnsi="宋体"/>
          <w:snapToGrid w:val="0"/>
          <w:kern w:val="0"/>
          <w:sz w:val="24"/>
          <w:szCs w:val="24"/>
        </w:rPr>
        <w:t>（四）发现对方在建筑活动中存在违规、违纪、违法行为的，有权向其上级主管部门或纪检监察、检察等有关机关举报。</w:t>
      </w:r>
    </w:p>
    <w:p w14:paraId="7D4D6C28">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（五）甲乙双方单位监督部门应充分发挥各自职能作用，积极互动形成纵向监督合力，依照本协议书规定，对本工程廉洁从业情况实施监督，及时制止不廉洁行为的发生。</w:t>
      </w:r>
    </w:p>
    <w:p w14:paraId="484B4A09">
      <w:pPr>
        <w:adjustRightInd w:val="0"/>
        <w:snapToGrid w:val="0"/>
        <w:spacing w:line="300" w:lineRule="exact"/>
        <w:ind w:firstLine="470" w:firstLineChars="196"/>
        <w:rPr>
          <w:rFonts w:ascii="宋体" w:hAnsi="宋体"/>
          <w:snapToGrid w:val="0"/>
          <w:kern w:val="0"/>
          <w:sz w:val="24"/>
          <w:szCs w:val="24"/>
        </w:rPr>
      </w:pPr>
      <w:r>
        <w:rPr>
          <w:rFonts w:hint="eastAsia" w:ascii="宋体" w:hAnsi="宋体"/>
          <w:snapToGrid w:val="0"/>
          <w:kern w:val="0"/>
          <w:sz w:val="24"/>
          <w:szCs w:val="24"/>
        </w:rPr>
        <w:t>第二条 甲方责任</w:t>
      </w:r>
    </w:p>
    <w:p w14:paraId="4B31ADD7">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甲方领导干部和从事该工程建设的管理人员，在建筑活动中须严格遵守以下廉洁从业规定：</w:t>
      </w:r>
    </w:p>
    <w:p w14:paraId="3FFDA9DD">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1.不准向乙方和相关单位或个人索取钱物或接受回扣、礼金、各种有价证券、信用卡和好处费、感谢费以及其它支付凭证等。</w:t>
      </w:r>
    </w:p>
    <w:p w14:paraId="62B454AB">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2.不准接受可能影响公正执行公务的乙方和相关单位或个人的礼物馈赠、宴请、各种形式俱乐部会员资格、高消费娱乐活动。</w:t>
      </w:r>
    </w:p>
    <w:p w14:paraId="15EAD8DF">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3.不准在乙方和相关单位报销任何应由甲方或个人负担的费用。</w:t>
      </w:r>
    </w:p>
    <w:p w14:paraId="75155D9A">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4.不准要求、暗示或接受乙方和相关单位或个人为自己、配偶、子女、其他亲属朋友及身边工作人员的装修住房、婚丧嫁娶、工作安排、学习培训、经商办企业以及出国（境）、旅游、度假等支付费用。</w:t>
      </w:r>
    </w:p>
    <w:p w14:paraId="74B11036">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5.不准向乙方介绍配偶、子女、其他亲属朋友及身边工作人员参与同甲方项目工程合同有关的设备、材料、工程分包、劳务等经济活动。</w:t>
      </w:r>
    </w:p>
    <w:p w14:paraId="606EA4C3">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6.不得以任何理由向乙方和相关单位推荐分包单位和要求或暗示乙方购买项目工程合同规定外的材料、设备等。</w:t>
      </w:r>
    </w:p>
    <w:p w14:paraId="69CF2EAD">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第三条 乙方责任</w:t>
      </w:r>
    </w:p>
    <w:p w14:paraId="104A5EF8">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与甲方保持正常的业务交往，遵守以下规定：</w:t>
      </w:r>
    </w:p>
    <w:p w14:paraId="08810673">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1.不准以任何理由向甲方人员行贿或赠送回扣、礼金、各种有价证券、信用卡和好处费、感谢费及其它支付凭证等。</w:t>
      </w:r>
    </w:p>
    <w:p w14:paraId="53DF4713">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2.不准以任何理由为甲方人员组织有可能影响公正执行公务的宴请、各种形式俱乐部及高消费娱乐等活动。</w:t>
      </w:r>
    </w:p>
    <w:p w14:paraId="138DEE2F">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3.不准以任何理由为甲方或个人报销应由对方或个人支付的费用。</w:t>
      </w:r>
    </w:p>
    <w:p w14:paraId="4F6FD12E">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4.不准暗示或要求为甲方人员及其配偶、子女、其他亲属朋友及身边工作人员的装修住房、婚丧嫁娶、工作安排、学习培训、经商办企业以及出国（境）、旅游、度假提供方便和支付费用。</w:t>
      </w:r>
    </w:p>
    <w:p w14:paraId="21FFAB63">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5.不准介绍和安排甲方人员及其配偶、子女、其他亲属朋友及身边工作人员参与同甲方工程项目有关的设备、材料、工程分包、劳务等经济活动。</w:t>
      </w:r>
    </w:p>
    <w:p w14:paraId="6DA0FB0E">
      <w:pPr>
        <w:adjustRightInd w:val="0"/>
        <w:snapToGrid w:val="0"/>
        <w:spacing w:line="300" w:lineRule="exact"/>
        <w:ind w:firstLine="480" w:firstLineChars="200"/>
        <w:rPr>
          <w:rFonts w:ascii="宋体" w:hAnsi="宋体"/>
          <w:snapToGrid w:val="0"/>
          <w:kern w:val="0"/>
          <w:sz w:val="24"/>
          <w:szCs w:val="24"/>
        </w:rPr>
      </w:pPr>
      <w:r>
        <w:rPr>
          <w:rFonts w:ascii="宋体" w:hAnsi="宋体" w:cs="宋体"/>
          <w:sz w:val="24"/>
          <w:szCs w:val="24"/>
        </w:rPr>
        <w:t>6.乙方不得与甲方及其工作人员亲属经营的企业存在业务关联或利益输送。</w:t>
      </w:r>
    </w:p>
    <w:p w14:paraId="4B58973D">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第四条 违约责任</w:t>
      </w:r>
    </w:p>
    <w:p w14:paraId="7D6D3537">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（一）甲方违约责任</w:t>
      </w:r>
    </w:p>
    <w:p w14:paraId="6C14D3DF">
      <w:pPr>
        <w:adjustRightInd w:val="0"/>
        <w:snapToGrid w:val="0"/>
        <w:spacing w:line="300" w:lineRule="exact"/>
        <w:ind w:firstLine="480" w:firstLineChars="200"/>
        <w:rPr>
          <w:rFonts w:ascii="宋体" w:hAnsi="宋体"/>
          <w:bCs/>
          <w:snapToGrid w:val="0"/>
          <w:kern w:val="0"/>
          <w:sz w:val="24"/>
          <w:szCs w:val="24"/>
        </w:rPr>
      </w:pPr>
      <w:r>
        <w:rPr>
          <w:rFonts w:hint="eastAsia" w:ascii="宋体" w:hAnsi="宋体"/>
          <w:snapToGrid w:val="0"/>
          <w:kern w:val="0"/>
          <w:sz w:val="24"/>
          <w:szCs w:val="24"/>
        </w:rPr>
        <w:t>1.甲方</w:t>
      </w:r>
      <w:r>
        <w:rPr>
          <w:rFonts w:hint="eastAsia" w:ascii="宋体" w:hAnsi="宋体"/>
          <w:bCs/>
          <w:snapToGrid w:val="0"/>
          <w:kern w:val="0"/>
          <w:sz w:val="24"/>
          <w:szCs w:val="24"/>
        </w:rPr>
        <w:t>不履行或不完全履行本协议书有关责任义务给乙方造成损失的，在乙方提交足够证据并经查证属实的情况下，甲方赔偿其直接经济损失。</w:t>
      </w:r>
    </w:p>
    <w:p w14:paraId="071BBA94">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2.甲方人员出现受贿等严重违法违纪违规行为的，按照管理权限，依据有关法律法规和规定给予党纪、政纪处分或组织处理；涉嫌犯罪的，移交司法机关追究刑事责任。</w:t>
      </w:r>
    </w:p>
    <w:p w14:paraId="00D94553">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（二）乙方违约责任</w:t>
      </w:r>
    </w:p>
    <w:p w14:paraId="2CC3FA1D">
      <w:pPr>
        <w:adjustRightInd w:val="0"/>
        <w:snapToGrid w:val="0"/>
        <w:spacing w:line="300" w:lineRule="exact"/>
        <w:ind w:firstLine="480" w:firstLineChars="200"/>
        <w:rPr>
          <w:rFonts w:ascii="宋体" w:hAnsi="宋体"/>
          <w:bCs/>
          <w:snapToGrid w:val="0"/>
          <w:kern w:val="0"/>
          <w:sz w:val="24"/>
          <w:szCs w:val="24"/>
        </w:rPr>
      </w:pPr>
      <w:r>
        <w:rPr>
          <w:rFonts w:hint="eastAsia" w:ascii="宋体" w:hAnsi="宋体"/>
          <w:snapToGrid w:val="0"/>
          <w:kern w:val="0"/>
          <w:sz w:val="24"/>
          <w:szCs w:val="24"/>
        </w:rPr>
        <w:t>1.</w:t>
      </w:r>
      <w:r>
        <w:rPr>
          <w:rFonts w:hint="eastAsia" w:ascii="宋体" w:hAnsi="宋体"/>
          <w:bCs/>
          <w:snapToGrid w:val="0"/>
          <w:kern w:val="0"/>
          <w:sz w:val="24"/>
          <w:szCs w:val="24"/>
        </w:rPr>
        <w:t>乙方不履行或不完全履行本协议书有关责任义务的，</w:t>
      </w:r>
      <w:r>
        <w:rPr>
          <w:rFonts w:hint="eastAsia" w:ascii="宋体" w:hAnsi="宋体"/>
          <w:snapToGrid w:val="0"/>
          <w:kern w:val="0"/>
          <w:sz w:val="24"/>
          <w:szCs w:val="24"/>
        </w:rPr>
        <w:t>按本工程合同</w:t>
      </w:r>
      <w:r>
        <w:rPr>
          <w:rFonts w:hint="eastAsia" w:ascii="宋体" w:hAnsi="宋体"/>
          <w:bCs/>
          <w:snapToGrid w:val="0"/>
          <w:kern w:val="0"/>
          <w:sz w:val="24"/>
          <w:szCs w:val="24"/>
        </w:rPr>
        <w:t>规定须承担一次一般违约责任。情节较轻的，可给予书面警告；情节较重的，须承担一次严重违约责任。</w:t>
      </w:r>
    </w:p>
    <w:p w14:paraId="6B84B222">
      <w:pPr>
        <w:adjustRightInd w:val="0"/>
        <w:snapToGrid w:val="0"/>
        <w:spacing w:line="300" w:lineRule="exact"/>
        <w:ind w:firstLine="480" w:firstLineChars="200"/>
        <w:rPr>
          <w:rFonts w:ascii="宋体" w:hAnsi="宋体"/>
          <w:snapToGrid w:val="0"/>
          <w:kern w:val="0"/>
          <w:sz w:val="24"/>
          <w:szCs w:val="24"/>
        </w:rPr>
      </w:pPr>
      <w:r>
        <w:rPr>
          <w:rFonts w:hint="eastAsia" w:ascii="宋体" w:hAnsi="宋体"/>
          <w:bCs/>
          <w:snapToGrid w:val="0"/>
          <w:kern w:val="0"/>
          <w:sz w:val="24"/>
          <w:szCs w:val="24"/>
        </w:rPr>
        <w:t>2.乙方</w:t>
      </w:r>
      <w:r>
        <w:rPr>
          <w:rFonts w:hint="eastAsia" w:ascii="宋体" w:hAnsi="宋体"/>
          <w:snapToGrid w:val="0"/>
          <w:kern w:val="0"/>
          <w:sz w:val="24"/>
          <w:szCs w:val="24"/>
        </w:rPr>
        <w:t>出现严重违法违纪违规行为的，甲方将上报检察或监察机关依法查处，并提请建设行政主管部门根据相关规定给予限制或者取消其从事建筑活动的资格等处罚。</w:t>
      </w:r>
    </w:p>
    <w:p w14:paraId="32A7B1DC">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第五条 本协议书作为工程设计合同的附件，与工程设计合同具有同等法律效力。经双方签字盖章后生效。</w:t>
      </w:r>
    </w:p>
    <w:p w14:paraId="7A73F8A0">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第六条 本协议书有效期为双方签字盖章之日起至所属工程项目设计合同履行完毕时止。</w:t>
      </w:r>
    </w:p>
    <w:p w14:paraId="0BB75647">
      <w:pPr>
        <w:adjustRightInd w:val="0"/>
        <w:snapToGrid w:val="0"/>
        <w:spacing w:line="300" w:lineRule="exact"/>
        <w:ind w:firstLine="480" w:firstLineChars="200"/>
        <w:rPr>
          <w:rFonts w:ascii="宋体" w:hAnsi="宋体"/>
          <w:snapToGrid w:val="0"/>
          <w:kern w:val="0"/>
          <w:sz w:val="24"/>
          <w:szCs w:val="24"/>
        </w:rPr>
      </w:pPr>
      <w:r>
        <w:rPr>
          <w:rFonts w:hint="eastAsia" w:ascii="宋体" w:hAnsi="宋体"/>
          <w:snapToGrid w:val="0"/>
          <w:kern w:val="0"/>
          <w:sz w:val="24"/>
          <w:szCs w:val="24"/>
        </w:rPr>
        <w:t>第七条 未尽事宜，由双方协商解决。</w:t>
      </w:r>
    </w:p>
    <w:p w14:paraId="7A038450">
      <w:pPr>
        <w:adjustRightInd w:val="0"/>
        <w:snapToGrid w:val="0"/>
        <w:spacing w:line="300" w:lineRule="exact"/>
        <w:rPr>
          <w:rFonts w:ascii="宋体" w:hAnsi="宋体"/>
          <w:snapToGrid w:val="0"/>
          <w:kern w:val="0"/>
          <w:sz w:val="24"/>
          <w:szCs w:val="24"/>
        </w:rPr>
      </w:pPr>
    </w:p>
    <w:p w14:paraId="46546F10">
      <w:pPr>
        <w:adjustRightInd w:val="0"/>
        <w:snapToGrid w:val="0"/>
        <w:spacing w:line="300" w:lineRule="exact"/>
        <w:rPr>
          <w:rFonts w:ascii="宋体" w:hAnsi="宋体"/>
          <w:snapToGrid w:val="0"/>
          <w:kern w:val="0"/>
          <w:sz w:val="24"/>
          <w:szCs w:val="24"/>
        </w:rPr>
      </w:pPr>
    </w:p>
    <w:p w14:paraId="596DCD3F">
      <w:pPr>
        <w:adjustRightInd w:val="0"/>
        <w:snapToGrid w:val="0"/>
        <w:spacing w:line="300" w:lineRule="exact"/>
        <w:ind w:firstLine="1500"/>
        <w:rPr>
          <w:rFonts w:ascii="宋体" w:hAnsi="宋体"/>
          <w:snapToGrid w:val="0"/>
          <w:kern w:val="0"/>
          <w:sz w:val="24"/>
          <w:szCs w:val="24"/>
        </w:rPr>
      </w:pPr>
      <w:r>
        <w:rPr>
          <w:rFonts w:hint="eastAsia" w:ascii="宋体" w:hAnsi="宋体"/>
          <w:snapToGrid w:val="0"/>
          <w:spacing w:val="-20"/>
          <w:kern w:val="0"/>
          <w:sz w:val="24"/>
          <w:szCs w:val="24"/>
        </w:rPr>
        <w:t>甲方：                                                  乙方：</w:t>
      </w:r>
      <w:r>
        <w:rPr>
          <w:rFonts w:hint="eastAsia" w:ascii="宋体" w:hAnsi="宋体"/>
          <w:snapToGrid w:val="0"/>
          <w:kern w:val="0"/>
          <w:sz w:val="24"/>
          <w:szCs w:val="24"/>
        </w:rPr>
        <w:t xml:space="preserve">                      </w:t>
      </w:r>
    </w:p>
    <w:p w14:paraId="01F206A2">
      <w:pPr>
        <w:adjustRightInd w:val="0"/>
        <w:snapToGrid w:val="0"/>
        <w:spacing w:line="300" w:lineRule="exact"/>
        <w:rPr>
          <w:rFonts w:ascii="宋体" w:hAnsi="宋体"/>
          <w:snapToGrid w:val="0"/>
          <w:kern w:val="0"/>
          <w:sz w:val="24"/>
          <w:szCs w:val="24"/>
        </w:rPr>
      </w:pPr>
      <w:r>
        <w:rPr>
          <w:rFonts w:hint="eastAsia" w:ascii="宋体" w:hAnsi="宋体"/>
          <w:snapToGrid w:val="0"/>
          <w:kern w:val="0"/>
          <w:sz w:val="24"/>
          <w:szCs w:val="24"/>
        </w:rPr>
        <w:t>（盖章）                            （盖章）</w:t>
      </w:r>
    </w:p>
    <w:p w14:paraId="162B46B9">
      <w:pPr>
        <w:adjustRightInd w:val="0"/>
        <w:snapToGrid w:val="0"/>
        <w:spacing w:line="300" w:lineRule="exact"/>
        <w:rPr>
          <w:rFonts w:ascii="宋体" w:hAnsi="宋体"/>
          <w:snapToGrid w:val="0"/>
          <w:kern w:val="0"/>
          <w:sz w:val="24"/>
          <w:szCs w:val="24"/>
        </w:rPr>
      </w:pPr>
    </w:p>
    <w:p w14:paraId="3431AED4">
      <w:pPr>
        <w:adjustRightInd w:val="0"/>
        <w:snapToGrid w:val="0"/>
        <w:spacing w:line="300" w:lineRule="exact"/>
        <w:rPr>
          <w:rFonts w:ascii="宋体" w:hAnsi="宋体"/>
          <w:snapToGrid w:val="0"/>
          <w:kern w:val="0"/>
          <w:sz w:val="24"/>
          <w:szCs w:val="24"/>
        </w:rPr>
      </w:pPr>
      <w:r>
        <w:rPr>
          <w:rFonts w:hint="eastAsia" w:ascii="宋体" w:hAnsi="宋体"/>
          <w:snapToGrid w:val="0"/>
          <w:kern w:val="0"/>
          <w:sz w:val="24"/>
          <w:szCs w:val="24"/>
        </w:rPr>
        <w:t>法定代表人：                          法定代表人：</w:t>
      </w:r>
    </w:p>
    <w:p w14:paraId="737C8D61">
      <w:pPr>
        <w:adjustRightInd w:val="0"/>
        <w:snapToGrid w:val="0"/>
        <w:spacing w:line="300" w:lineRule="exact"/>
        <w:rPr>
          <w:rFonts w:ascii="宋体" w:hAnsi="宋体"/>
          <w:snapToGrid w:val="0"/>
          <w:kern w:val="0"/>
          <w:sz w:val="24"/>
          <w:szCs w:val="24"/>
        </w:rPr>
      </w:pPr>
    </w:p>
    <w:p w14:paraId="7F4EE020">
      <w:pPr>
        <w:adjustRightInd w:val="0"/>
        <w:snapToGrid w:val="0"/>
        <w:spacing w:line="300" w:lineRule="exact"/>
        <w:rPr>
          <w:rFonts w:ascii="宋体" w:hAnsi="宋体"/>
          <w:snapToGrid w:val="0"/>
          <w:kern w:val="0"/>
          <w:sz w:val="24"/>
          <w:szCs w:val="24"/>
        </w:rPr>
      </w:pPr>
    </w:p>
    <w:p w14:paraId="559D8E80">
      <w:pPr>
        <w:adjustRightInd w:val="0"/>
        <w:snapToGrid w:val="0"/>
        <w:spacing w:line="300" w:lineRule="exact"/>
        <w:rPr>
          <w:rFonts w:ascii="宋体" w:hAnsi="宋体"/>
          <w:snapToGrid w:val="0"/>
          <w:kern w:val="0"/>
          <w:sz w:val="24"/>
          <w:szCs w:val="24"/>
        </w:rPr>
      </w:pPr>
      <w:r>
        <w:rPr>
          <w:rFonts w:hint="eastAsia" w:ascii="宋体" w:hAnsi="宋体"/>
          <w:snapToGrid w:val="0"/>
          <w:kern w:val="0"/>
          <w:sz w:val="24"/>
          <w:szCs w:val="24"/>
        </w:rPr>
        <w:t>或委托代理人：                         或委托代理人：</w:t>
      </w:r>
    </w:p>
    <w:p w14:paraId="6CD659E1">
      <w:pPr>
        <w:adjustRightInd w:val="0"/>
        <w:snapToGrid w:val="0"/>
        <w:spacing w:line="300" w:lineRule="exact"/>
        <w:rPr>
          <w:rFonts w:ascii="宋体" w:hAnsi="宋体"/>
          <w:snapToGrid w:val="0"/>
          <w:kern w:val="0"/>
          <w:sz w:val="24"/>
          <w:szCs w:val="24"/>
        </w:rPr>
      </w:pPr>
    </w:p>
    <w:p w14:paraId="70B17D07">
      <w:pPr>
        <w:adjustRightInd w:val="0"/>
        <w:snapToGrid w:val="0"/>
        <w:spacing w:line="300" w:lineRule="exact"/>
        <w:rPr>
          <w:rFonts w:ascii="宋体" w:hAnsi="宋体"/>
          <w:snapToGrid w:val="0"/>
          <w:kern w:val="0"/>
          <w:sz w:val="24"/>
          <w:szCs w:val="24"/>
        </w:rPr>
      </w:pPr>
    </w:p>
    <w:p w14:paraId="0579120E">
      <w:pPr>
        <w:adjustRightInd w:val="0"/>
        <w:snapToGrid w:val="0"/>
        <w:spacing w:line="300" w:lineRule="exact"/>
        <w:rPr>
          <w:rFonts w:ascii="宋体" w:hAnsi="宋体"/>
          <w:snapToGrid w:val="0"/>
          <w:kern w:val="0"/>
          <w:sz w:val="24"/>
          <w:szCs w:val="24"/>
        </w:rPr>
      </w:pPr>
      <w:r>
        <w:rPr>
          <w:rFonts w:hint="eastAsia" w:ascii="宋体" w:hAnsi="宋体"/>
          <w:snapToGrid w:val="0"/>
          <w:kern w:val="0"/>
          <w:sz w:val="24"/>
          <w:szCs w:val="24"/>
        </w:rPr>
        <w:t>20  年  月  日                       20  年  月  日</w:t>
      </w:r>
    </w:p>
    <w:p w14:paraId="7369CE0A">
      <w:pPr>
        <w:adjustRightInd w:val="0"/>
        <w:snapToGrid w:val="0"/>
        <w:spacing w:line="360" w:lineRule="auto"/>
        <w:rPr>
          <w:rFonts w:ascii="宋体" w:hAnsi="宋体"/>
          <w:snapToGrid w:val="0"/>
          <w:kern w:val="0"/>
          <w:sz w:val="24"/>
          <w:szCs w:val="24"/>
        </w:rPr>
      </w:pPr>
    </w:p>
    <w:p w14:paraId="7904B9BF">
      <w:pPr>
        <w:spacing w:line="360" w:lineRule="auto"/>
        <w:rPr>
          <w:rFonts w:asciiTheme="minorEastAsia" w:hAnsiTheme="minorEastAsia" w:eastAsiaTheme="minorEastAsia"/>
          <w:b/>
          <w:sz w:val="24"/>
          <w:szCs w:val="24"/>
        </w:rPr>
      </w:pPr>
    </w:p>
    <w:p w14:paraId="1D8FAA24">
      <w:pPr>
        <w:spacing w:line="360" w:lineRule="auto"/>
        <w:rPr>
          <w:rFonts w:asciiTheme="minorEastAsia" w:hAnsiTheme="minorEastAsia" w:eastAsiaTheme="minorEastAsia"/>
          <w:b/>
          <w:sz w:val="24"/>
          <w:szCs w:val="24"/>
        </w:rPr>
      </w:pPr>
    </w:p>
    <w:p w14:paraId="1BE335E8">
      <w:pPr>
        <w:spacing w:line="360" w:lineRule="auto"/>
        <w:rPr>
          <w:rFonts w:asciiTheme="minorEastAsia" w:hAnsiTheme="minorEastAsia" w:eastAsiaTheme="minorEastAsia"/>
          <w:b/>
          <w:sz w:val="24"/>
          <w:szCs w:val="24"/>
        </w:rPr>
      </w:pPr>
    </w:p>
    <w:p w14:paraId="7C0EC1CC">
      <w:pPr>
        <w:spacing w:line="360" w:lineRule="auto"/>
        <w:rPr>
          <w:rFonts w:asciiTheme="minorEastAsia" w:hAnsiTheme="minorEastAsia" w:eastAsiaTheme="minorEastAsia"/>
          <w:b/>
          <w:sz w:val="24"/>
          <w:szCs w:val="24"/>
        </w:rPr>
      </w:pPr>
    </w:p>
    <w:p w14:paraId="6E0F675B">
      <w:pPr>
        <w:spacing w:line="360" w:lineRule="auto"/>
        <w:rPr>
          <w:rFonts w:asciiTheme="minorEastAsia" w:hAnsiTheme="minorEastAsia" w:eastAsiaTheme="minorEastAsia"/>
          <w:b/>
          <w:sz w:val="24"/>
          <w:szCs w:val="24"/>
        </w:rPr>
      </w:pPr>
    </w:p>
    <w:p w14:paraId="26B70A2F">
      <w:pPr>
        <w:spacing w:line="360" w:lineRule="auto"/>
        <w:rPr>
          <w:rFonts w:asciiTheme="minorEastAsia" w:hAnsiTheme="minorEastAsia" w:eastAsiaTheme="minorEastAsia"/>
          <w:b/>
          <w:sz w:val="24"/>
          <w:szCs w:val="24"/>
        </w:rPr>
      </w:pPr>
    </w:p>
    <w:p w14:paraId="1ECC97DB">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附件7：银行保函格式              </w:t>
      </w:r>
    </w:p>
    <w:p w14:paraId="17F94D26">
      <w:pPr>
        <w:adjustRightInd w:val="0"/>
        <w:snapToGrid w:val="0"/>
        <w:spacing w:line="360" w:lineRule="auto"/>
        <w:ind w:firstLine="482" w:firstLineChars="200"/>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（独立）履约保函</w:t>
      </w:r>
    </w:p>
    <w:p w14:paraId="645024C0">
      <w:pPr>
        <w:adjustRightInd w:val="0"/>
        <w:snapToGrid w:val="0"/>
        <w:spacing w:line="360" w:lineRule="auto"/>
        <w:ind w:firstLine="480" w:firstLineChars="20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保函编号：</w:t>
      </w:r>
    </w:p>
    <w:p w14:paraId="5ACD2863">
      <w:pPr>
        <w:adjustRightInd w:val="0"/>
        <w:snapToGrid w:val="0"/>
        <w:spacing w:line="360" w:lineRule="auto"/>
        <w:ind w:firstLine="480" w:firstLineChars="200"/>
        <w:rPr>
          <w:rFonts w:cs="宋体" w:asciiTheme="minorEastAsia" w:hAnsiTheme="minorEastAsia" w:eastAsiaTheme="minorEastAsia"/>
          <w:sz w:val="24"/>
          <w:szCs w:val="24"/>
        </w:rPr>
      </w:pPr>
    </w:p>
    <w:p w14:paraId="4D0DA6CB">
      <w:pPr>
        <w:adjustRightInd w:val="0"/>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致：广东省代建项目管理局</w:t>
      </w:r>
    </w:p>
    <w:p w14:paraId="43A35BF2">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鉴于****（下称“委托人”）在贵单位的*****项目中标，我行同意为委托人出具履约保函，为委托人履行****合同（以下称“合同”）担保，以使你方得到履约保函的保障。</w:t>
      </w:r>
    </w:p>
    <w:p w14:paraId="7E428774">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一、本保函为见索即付保函。我行保证在收到贵单位于保函担保期间内送达的依本保函约定的索赔文件后，在 7 个工作日内无条件和不可改变地向贵单位支付金额最高不超过人民币（币种）****元（大写）的履约担保金（索赔可分次索赔，累计金额不超过最高金额），并放弃向你方提出任何异议和追索的权利。</w:t>
      </w:r>
    </w:p>
    <w:p w14:paraId="6832591A">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二、贵单位的索赔文件应符合下述条件：</w:t>
      </w:r>
    </w:p>
    <w:p w14:paraId="451FF863">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（一）贵单位法定代表人或其授权代表签字并加盖单位公章；</w:t>
      </w:r>
    </w:p>
    <w:p w14:paraId="34FED83A">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（二）在保函担保期间内送达我行；</w:t>
      </w:r>
    </w:p>
    <w:p w14:paraId="0F9E12CC">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（三）明确的索赔金额（不得超过本保函第一条所列之限额）；</w:t>
      </w:r>
    </w:p>
    <w:p w14:paraId="2FD70D36">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（四）贵单位出具的委托人违约事项说明。</w:t>
      </w:r>
    </w:p>
    <w:p w14:paraId="6CCBBFA5">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三、本保函担保期间为 年 月 日至 年 月 日，除非你方提前终止或解除本保函，本保函于下述任一事项发生之时立即失效，我行在本保函项下的担保义务即刻解除：</w:t>
      </w:r>
    </w:p>
    <w:p w14:paraId="59B7A29D">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（一）本保函担保期间届满；</w:t>
      </w:r>
    </w:p>
    <w:p w14:paraId="33D7B07C">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（二）委托人履行了合同项下全部义务；</w:t>
      </w:r>
    </w:p>
    <w:p w14:paraId="767C5CC5">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（三）我行担保的义务履行完毕。</w:t>
      </w:r>
    </w:p>
    <w:p w14:paraId="2BF34600">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我行受本保函制约的责任是延续的、独立的和无条件的，合同的任何修改、变更、解释或不可执行都不能改变我行受本保函制约的责任，委托人在合同项下对你方的任何抗辩也不能改变我行在本保函项下的付款责任。若贵单位与委托人协商变更合同，应督促委托人书面告知我行并将变更后的合同送一份给我行备案。</w:t>
      </w:r>
    </w:p>
    <w:p w14:paraId="3FA570B4">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五、保函失效后请将本保函退回我行注销。无论正本最终退回与否，不影响本保函依上述约定自动失效。</w:t>
      </w:r>
    </w:p>
    <w:p w14:paraId="60F4B5B3">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六、本保函项下的所有权利和义务受中华人民共和国法律管辖和制约，我行在保函项下做出的付款承诺决不反悔。</w:t>
      </w:r>
    </w:p>
    <w:p w14:paraId="190E64DE">
      <w:pPr>
        <w:adjustRightInd w:val="0"/>
        <w:snapToGrid w:val="0"/>
        <w:spacing w:line="360" w:lineRule="auto"/>
        <w:ind w:firstLine="480" w:firstLineChars="200"/>
        <w:rPr>
          <w:rFonts w:cs="宋体" w:asciiTheme="minorEastAsia" w:hAnsiTheme="minorEastAsia" w:eastAsiaTheme="minorEastAsia"/>
          <w:sz w:val="24"/>
          <w:szCs w:val="24"/>
        </w:rPr>
      </w:pPr>
    </w:p>
    <w:p w14:paraId="051ADE68">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担保银行（公章）：              负责人（签章）：</w:t>
      </w:r>
    </w:p>
    <w:p w14:paraId="2DEA6757">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单位地址：                     传真： </w:t>
      </w:r>
    </w:p>
    <w:p w14:paraId="4B08F4A3">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                       联系电话：</w:t>
      </w:r>
    </w:p>
    <w:p w14:paraId="2D1EC2E9">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开立日期：     年     月    日</w:t>
      </w:r>
    </w:p>
    <w:p w14:paraId="17BA7FC8">
      <w:pPr>
        <w:widowControl/>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br w:type="page"/>
      </w:r>
    </w:p>
    <w:p w14:paraId="63E1F6A7">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附件8：担保公司保函格式</w:t>
      </w:r>
    </w:p>
    <w:p w14:paraId="1D5F4519">
      <w:pPr>
        <w:adjustRightInd w:val="0"/>
        <w:snapToGrid w:val="0"/>
        <w:spacing w:line="360" w:lineRule="auto"/>
        <w:ind w:firstLine="480" w:firstLineChars="2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（独立）履约保函</w:t>
      </w:r>
    </w:p>
    <w:p w14:paraId="28503687">
      <w:pPr>
        <w:adjustRightInd w:val="0"/>
        <w:snapToGrid w:val="0"/>
        <w:spacing w:line="360" w:lineRule="auto"/>
        <w:ind w:firstLine="480" w:firstLineChars="20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保函编号：</w:t>
      </w:r>
    </w:p>
    <w:p w14:paraId="32E21DDD">
      <w:pPr>
        <w:adjustRightInd w:val="0"/>
        <w:snapToGrid w:val="0"/>
        <w:spacing w:line="360" w:lineRule="auto"/>
        <w:ind w:firstLine="480" w:firstLineChars="200"/>
        <w:rPr>
          <w:rFonts w:cs="宋体" w:asciiTheme="minorEastAsia" w:hAnsiTheme="minorEastAsia" w:eastAsiaTheme="minorEastAsia"/>
          <w:sz w:val="24"/>
          <w:szCs w:val="24"/>
        </w:rPr>
      </w:pPr>
    </w:p>
    <w:p w14:paraId="07E912C8">
      <w:pPr>
        <w:adjustRightInd w:val="0"/>
        <w:snapToGri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致：广东省代建项目管理局</w:t>
      </w:r>
    </w:p>
    <w:p w14:paraId="19ACB632">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鉴于****（下称“委托人”）在贵单位的*****项目中标，我方同意为委托人出具履约保函，为委托人履行****合同（以下称“合同”）担保，以使你方得到履约保函的保障。</w:t>
      </w:r>
    </w:p>
    <w:p w14:paraId="55AC0D13">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一、本保函为见索即付保函。我方保证在收到贵单位于保函担保期间内送达的依本保函约定的索赔文件后，在 7 个工作日内无条件和不可改变地向贵单位支付金额最高不超过人民币（币种）****元（大写）的履约担保金（索赔可分次索赔，累计金额不超过最高金额），并放弃向你方提出任何异议和追索的权利。</w:t>
      </w:r>
    </w:p>
    <w:p w14:paraId="2E770DBB">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二、贵单位的索赔文件应符合下述条件：</w:t>
      </w:r>
    </w:p>
    <w:p w14:paraId="75F34D1C">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（一）贵单位法定代表人或其授权代表签字并加盖单位公章；</w:t>
      </w:r>
    </w:p>
    <w:p w14:paraId="4B623A55">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（二）在保函担保期间内送达我方；</w:t>
      </w:r>
    </w:p>
    <w:p w14:paraId="652C810C">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（三）明确的索赔金额（不得超过本保函第一条所列之限额）；</w:t>
      </w:r>
    </w:p>
    <w:p w14:paraId="488BC32E">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（四）贵单位出具的委托人违约事项说明。</w:t>
      </w:r>
    </w:p>
    <w:p w14:paraId="0A54CA15">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三、本保函担保期间为 年 月 日至 年 月 日，除非你方提前终止或解除本保函，本保函于下述任一事项发生之时立即失效，我方在本保函项下的担保义务即刻解除：</w:t>
      </w:r>
    </w:p>
    <w:p w14:paraId="130D1F85">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（一）本保函担保期间届满；</w:t>
      </w:r>
    </w:p>
    <w:p w14:paraId="37E57E23">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（二）委托人履行了合同项下全部义务；</w:t>
      </w:r>
    </w:p>
    <w:p w14:paraId="7858F016">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（三）我方担保的义务履行完毕。</w:t>
      </w:r>
    </w:p>
    <w:p w14:paraId="0FF3EB5E">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我方受本保函制约的责任是延续的、独立的和无条件的，合同的任何修改、变更、解释或不可执行都不能改变我方受本保函制约的责任，委托人在合同项下对你方的任何抗辩也不能改变我方在本保函项下的付款责任。若贵单位与委托人协商变更合同，应督促委托人书面告知我方并将变更后的合同送一份给我方备案。</w:t>
      </w:r>
    </w:p>
    <w:p w14:paraId="0D682916">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五、保函失效后请将本保函退回我方注销。无论正本最终退回与否，不影响本保函依上述约定自动失效。</w:t>
      </w:r>
    </w:p>
    <w:p w14:paraId="5BD4FFA4">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六、本保函项下的所有权利和义务受中华人民共和国法律管辖和制约，我方在保函项下做出的付款承诺决不反悔。</w:t>
      </w:r>
    </w:p>
    <w:p w14:paraId="63EA3F4D">
      <w:pPr>
        <w:adjustRightInd w:val="0"/>
        <w:snapToGrid w:val="0"/>
        <w:spacing w:line="360" w:lineRule="auto"/>
        <w:ind w:firstLine="480" w:firstLineChars="200"/>
        <w:rPr>
          <w:rFonts w:cs="宋体" w:asciiTheme="minorEastAsia" w:hAnsiTheme="minorEastAsia" w:eastAsiaTheme="minorEastAsia"/>
          <w:sz w:val="24"/>
          <w:szCs w:val="24"/>
        </w:rPr>
      </w:pPr>
    </w:p>
    <w:p w14:paraId="0296D64E">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担保公司（公章）：              法定代表人（签章）：</w:t>
      </w:r>
    </w:p>
    <w:p w14:paraId="3FE2E842">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单位地址：                     传真：</w:t>
      </w:r>
    </w:p>
    <w:p w14:paraId="00DB1852">
      <w:pPr>
        <w:adjustRightInd w:val="0"/>
        <w:snapToGrid w:val="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                       联系电话：</w:t>
      </w:r>
    </w:p>
    <w:p w14:paraId="4445E099">
      <w:pPr>
        <w:adjustRightInd w:val="0"/>
        <w:snapToGrid w:val="0"/>
        <w:spacing w:line="360" w:lineRule="auto"/>
        <w:ind w:firstLine="480" w:firstLineChars="200"/>
        <w:rPr>
          <w:rFonts w:cs="宋体" w:asciiTheme="minorEastAsia" w:hAnsiTheme="minorEastAsia" w:eastAsiaTheme="minorEastAsia"/>
          <w:snapToGrid w:val="0"/>
          <w:kern w:val="0"/>
          <w:sz w:val="24"/>
          <w:szCs w:val="24"/>
          <w:lang w:val="zh-CN"/>
        </w:rPr>
      </w:pPr>
      <w:r>
        <w:rPr>
          <w:rFonts w:hint="eastAsia" w:cs="宋体" w:asciiTheme="minorEastAsia" w:hAnsiTheme="minorEastAsia" w:eastAsiaTheme="minorEastAsia"/>
          <w:sz w:val="24"/>
          <w:szCs w:val="24"/>
        </w:rPr>
        <w:t>开立日期：     年     月    日</w:t>
      </w:r>
    </w:p>
    <w:p w14:paraId="6B76823E">
      <w:pPr>
        <w:adjustRightInd w:val="0"/>
        <w:snapToGrid w:val="0"/>
        <w:spacing w:line="360" w:lineRule="auto"/>
        <w:rPr>
          <w:rFonts w:cs="宋体" w:asciiTheme="minorEastAsia" w:hAnsiTheme="minorEastAsia" w:eastAsiaTheme="minorEastAsia"/>
          <w:snapToGrid w:val="0"/>
          <w:kern w:val="0"/>
          <w:sz w:val="24"/>
          <w:szCs w:val="24"/>
          <w:lang w:val="zh-CN"/>
        </w:rPr>
      </w:pPr>
    </w:p>
    <w:p w14:paraId="688D6114">
      <w:pPr>
        <w:spacing w:line="360" w:lineRule="auto"/>
        <w:rPr>
          <w:rFonts w:asciiTheme="minorEastAsia" w:hAnsiTheme="minorEastAsia" w:eastAsiaTheme="minorEastAsia"/>
          <w:sz w:val="24"/>
          <w:szCs w:val="24"/>
        </w:rPr>
      </w:pPr>
    </w:p>
    <w:p w14:paraId="6C87B095">
      <w:pPr>
        <w:spacing w:line="360" w:lineRule="auto"/>
        <w:rPr>
          <w:rFonts w:asciiTheme="minorEastAsia" w:hAnsiTheme="minorEastAsia" w:eastAsiaTheme="minorEastAsia"/>
          <w:sz w:val="24"/>
          <w:szCs w:val="24"/>
        </w:rPr>
      </w:pPr>
    </w:p>
    <w:p w14:paraId="1630F951">
      <w:pPr>
        <w:widowControl/>
        <w:jc w:val="left"/>
        <w:rPr>
          <w:rFonts w:asciiTheme="minorEastAsia" w:hAnsiTheme="minorEastAsia" w:eastAsiaTheme="minorEastAsia"/>
          <w:b/>
          <w:sz w:val="28"/>
        </w:rPr>
      </w:pPr>
      <w:r>
        <w:rPr>
          <w:rFonts w:hint="eastAsia" w:asciiTheme="minorEastAsia" w:hAnsiTheme="minorEastAsia" w:eastAsiaTheme="minorEastAsia"/>
          <w:b/>
          <w:sz w:val="28"/>
        </w:rPr>
        <w:br w:type="page"/>
      </w:r>
    </w:p>
    <w:p w14:paraId="2E2D0C74">
      <w:pPr>
        <w:jc w:val="center"/>
        <w:rPr>
          <w:rFonts w:asciiTheme="minorEastAsia" w:hAnsiTheme="minorEastAsia" w:eastAsiaTheme="minorEastAsia"/>
          <w:sz w:val="24"/>
          <w:szCs w:val="24"/>
        </w:rPr>
        <w:sectPr>
          <w:footerReference r:id="rId3" w:type="default"/>
          <w:pgSz w:w="11906" w:h="16838"/>
          <w:pgMar w:top="1440" w:right="1800" w:bottom="1440" w:left="1800" w:header="851" w:footer="992" w:gutter="0"/>
          <w:cols w:space="425" w:num="1"/>
          <w:docGrid w:type="lines" w:linePitch="312" w:charSpace="0"/>
        </w:sectPr>
      </w:pPr>
    </w:p>
    <w:p w14:paraId="4B32BBB9">
      <w:pPr>
        <w:spacing w:line="560" w:lineRule="exact"/>
        <w:rPr>
          <w:rFonts w:ascii="仿宋_GB2312" w:eastAsia="仿宋_GB2312"/>
          <w:bCs/>
          <w:sz w:val="32"/>
          <w:szCs w:val="32"/>
        </w:rPr>
      </w:pPr>
      <w:bookmarkStart w:id="185" w:name="_Toc453116766"/>
      <w:bookmarkEnd w:id="185"/>
      <w:r>
        <w:rPr>
          <w:rFonts w:hint="eastAsia" w:ascii="宋体" w:hAnsi="宋体"/>
          <w:bCs/>
          <w:sz w:val="24"/>
          <w:szCs w:val="24"/>
          <w:lang w:eastAsia="zh-Hans"/>
        </w:rPr>
        <w:t>附件</w:t>
      </w:r>
      <w:r>
        <w:rPr>
          <w:rFonts w:hint="eastAsia" w:ascii="宋体" w:hAnsi="宋体"/>
          <w:bCs/>
          <w:sz w:val="24"/>
          <w:szCs w:val="24"/>
        </w:rPr>
        <w:t>9</w:t>
      </w:r>
      <w:r>
        <w:rPr>
          <w:rFonts w:ascii="宋体" w:hAnsi="宋体"/>
          <w:bCs/>
          <w:sz w:val="24"/>
          <w:szCs w:val="24"/>
        </w:rPr>
        <w:t xml:space="preserve">: </w:t>
      </w:r>
      <w:bookmarkStart w:id="186" w:name="OLE_LINK3"/>
      <w:r>
        <w:rPr>
          <w:rFonts w:hint="eastAsia" w:ascii="宋体" w:hAnsi="宋体"/>
          <w:bCs/>
          <w:sz w:val="24"/>
          <w:szCs w:val="24"/>
        </w:rPr>
        <w:t>省代建局直接管理项目设计单位履约评价实施细则</w:t>
      </w:r>
      <w:bookmarkEnd w:id="186"/>
    </w:p>
    <w:p w14:paraId="599D2C64">
      <w:pPr>
        <w:pStyle w:val="3"/>
        <w:spacing w:line="240" w:lineRule="auto"/>
        <w:ind w:firstLine="866"/>
        <w:jc w:val="center"/>
        <w:rPr>
          <w:b w:val="0"/>
          <w:sz w:val="28"/>
          <w:szCs w:val="28"/>
        </w:rPr>
      </w:pPr>
      <w:r>
        <w:rPr>
          <w:rFonts w:hint="eastAsia"/>
          <w:b w:val="0"/>
          <w:sz w:val="28"/>
          <w:szCs w:val="28"/>
        </w:rPr>
        <w:t>省代建局直接管理项目设计单位履约评价实施细则</w:t>
      </w:r>
    </w:p>
    <w:p w14:paraId="738C49D3">
      <w:pPr>
        <w:adjustRightInd w:val="0"/>
        <w:snapToGrid w:val="0"/>
        <w:rPr>
          <w:rFonts w:ascii="宋体" w:hAnsi="宋体"/>
          <w:szCs w:val="21"/>
        </w:rPr>
      </w:pPr>
      <w:r>
        <w:rPr>
          <w:rFonts w:hint="eastAsia" w:ascii="宋体" w:hAnsi="宋体"/>
          <w:szCs w:val="21"/>
        </w:rPr>
        <w:t xml:space="preserve">    </w:t>
      </w:r>
    </w:p>
    <w:p w14:paraId="1B225E49">
      <w:pPr>
        <w:spacing w:line="560" w:lineRule="exact"/>
        <w:ind w:firstLine="480" w:firstLineChars="200"/>
        <w:rPr>
          <w:rFonts w:ascii="仿宋_GB2312" w:eastAsia="仿宋_GB2312"/>
          <w:sz w:val="24"/>
          <w:szCs w:val="24"/>
        </w:rPr>
      </w:pPr>
      <w:r>
        <w:rPr>
          <w:rFonts w:hint="eastAsia" w:ascii="仿宋_GB2312" w:eastAsia="仿宋_GB2312"/>
          <w:sz w:val="24"/>
          <w:szCs w:val="24"/>
        </w:rPr>
        <w:t>第一条 根据《省代建局直接管理项目合同履约评价管理办法（试行）》的有关规定，</w:t>
      </w:r>
      <w:r>
        <w:rPr>
          <w:rFonts w:ascii="仿宋_GB2312" w:eastAsia="仿宋_GB2312"/>
          <w:sz w:val="24"/>
          <w:szCs w:val="24"/>
        </w:rPr>
        <w:t>为</w:t>
      </w:r>
      <w:r>
        <w:rPr>
          <w:rFonts w:hint="eastAsia" w:ascii="仿宋_GB2312" w:eastAsia="仿宋_GB2312"/>
          <w:sz w:val="24"/>
          <w:szCs w:val="24"/>
        </w:rPr>
        <w:t>规范建设工程设计管理工作，激励设计</w:t>
      </w:r>
      <w:r>
        <w:rPr>
          <w:rFonts w:ascii="仿宋_GB2312" w:eastAsia="仿宋_GB2312"/>
          <w:sz w:val="24"/>
          <w:szCs w:val="24"/>
        </w:rPr>
        <w:t>单位加强</w:t>
      </w:r>
      <w:r>
        <w:rPr>
          <w:rFonts w:hint="eastAsia" w:ascii="仿宋_GB2312" w:eastAsia="仿宋_GB2312"/>
          <w:sz w:val="24"/>
          <w:szCs w:val="24"/>
        </w:rPr>
        <w:t>内部</w:t>
      </w:r>
      <w:r>
        <w:rPr>
          <w:rFonts w:ascii="仿宋_GB2312" w:eastAsia="仿宋_GB2312"/>
          <w:sz w:val="24"/>
          <w:szCs w:val="24"/>
        </w:rPr>
        <w:t>管理，</w:t>
      </w:r>
      <w:r>
        <w:rPr>
          <w:rFonts w:hint="eastAsia" w:ascii="仿宋_GB2312" w:eastAsia="仿宋_GB2312"/>
          <w:sz w:val="24"/>
          <w:szCs w:val="24"/>
        </w:rPr>
        <w:t>提高服务意识和设计质量，</w:t>
      </w:r>
      <w:r>
        <w:rPr>
          <w:rFonts w:ascii="仿宋_GB2312" w:eastAsia="仿宋_GB2312"/>
          <w:sz w:val="24"/>
          <w:szCs w:val="24"/>
        </w:rPr>
        <w:t>认真履行合同</w:t>
      </w:r>
      <w:r>
        <w:rPr>
          <w:rFonts w:hint="eastAsia" w:ascii="仿宋_GB2312" w:eastAsia="仿宋_GB2312"/>
          <w:sz w:val="24"/>
          <w:szCs w:val="24"/>
        </w:rPr>
        <w:t>条款</w:t>
      </w:r>
      <w:r>
        <w:rPr>
          <w:rFonts w:ascii="仿宋_GB2312" w:eastAsia="仿宋_GB2312"/>
          <w:sz w:val="24"/>
          <w:szCs w:val="24"/>
        </w:rPr>
        <w:t>，严格控制建设投资，</w:t>
      </w:r>
      <w:r>
        <w:rPr>
          <w:rFonts w:hint="eastAsia" w:ascii="仿宋_GB2312" w:eastAsia="仿宋_GB2312"/>
          <w:sz w:val="24"/>
          <w:szCs w:val="24"/>
        </w:rPr>
        <w:t>满足</w:t>
      </w:r>
      <w:r>
        <w:rPr>
          <w:rFonts w:ascii="仿宋_GB2312" w:eastAsia="仿宋_GB2312"/>
          <w:sz w:val="24"/>
          <w:szCs w:val="24"/>
        </w:rPr>
        <w:t>工程建设质量、安全、工期</w:t>
      </w:r>
      <w:r>
        <w:rPr>
          <w:rFonts w:hint="eastAsia" w:ascii="仿宋_GB2312" w:eastAsia="仿宋_GB2312"/>
          <w:sz w:val="24"/>
          <w:szCs w:val="24"/>
        </w:rPr>
        <w:t>等要求</w:t>
      </w:r>
      <w:r>
        <w:rPr>
          <w:rFonts w:ascii="仿宋_GB2312" w:eastAsia="仿宋_GB2312"/>
          <w:sz w:val="24"/>
          <w:szCs w:val="24"/>
        </w:rPr>
        <w:t>，</w:t>
      </w:r>
      <w:r>
        <w:rPr>
          <w:rFonts w:hint="eastAsia" w:ascii="仿宋_GB2312" w:eastAsia="仿宋_GB2312"/>
          <w:sz w:val="24"/>
          <w:szCs w:val="24"/>
        </w:rPr>
        <w:t>在符合有关规范和标准的前提下</w:t>
      </w:r>
      <w:r>
        <w:rPr>
          <w:rFonts w:ascii="仿宋_GB2312" w:eastAsia="仿宋_GB2312"/>
          <w:sz w:val="24"/>
          <w:szCs w:val="24"/>
        </w:rPr>
        <w:t>，快速、有序、优质、高效地完成</w:t>
      </w:r>
      <w:r>
        <w:rPr>
          <w:rFonts w:hint="eastAsia" w:ascii="仿宋_GB2312" w:eastAsia="仿宋_GB2312"/>
          <w:sz w:val="24"/>
          <w:szCs w:val="24"/>
        </w:rPr>
        <w:t>合同约定</w:t>
      </w:r>
      <w:r>
        <w:rPr>
          <w:rFonts w:ascii="仿宋_GB2312" w:eastAsia="仿宋_GB2312"/>
          <w:sz w:val="24"/>
          <w:szCs w:val="24"/>
        </w:rPr>
        <w:t>的</w:t>
      </w:r>
      <w:r>
        <w:rPr>
          <w:rFonts w:hint="eastAsia" w:ascii="仿宋_GB2312" w:eastAsia="仿宋_GB2312"/>
          <w:sz w:val="24"/>
          <w:szCs w:val="24"/>
        </w:rPr>
        <w:t>设计</w:t>
      </w:r>
      <w:r>
        <w:rPr>
          <w:rFonts w:ascii="仿宋_GB2312" w:eastAsia="仿宋_GB2312"/>
          <w:sz w:val="24"/>
          <w:szCs w:val="24"/>
        </w:rPr>
        <w:t>任务</w:t>
      </w:r>
      <w:r>
        <w:rPr>
          <w:rFonts w:hint="eastAsia" w:ascii="仿宋_GB2312" w:eastAsia="仿宋_GB2312"/>
          <w:sz w:val="24"/>
          <w:szCs w:val="24"/>
        </w:rPr>
        <w:t>，确保达到预期的建设目标，特制定本实施细则。</w:t>
      </w:r>
    </w:p>
    <w:p w14:paraId="622C94AB">
      <w:pPr>
        <w:spacing w:line="560" w:lineRule="exact"/>
        <w:ind w:firstLine="480" w:firstLineChars="200"/>
        <w:rPr>
          <w:rFonts w:ascii="仿宋_GB2312" w:eastAsia="仿宋_GB2312"/>
          <w:sz w:val="24"/>
          <w:szCs w:val="24"/>
        </w:rPr>
      </w:pPr>
      <w:r>
        <w:rPr>
          <w:rFonts w:hint="eastAsia" w:ascii="仿宋_GB2312" w:eastAsia="仿宋_GB2312"/>
          <w:sz w:val="24"/>
          <w:szCs w:val="24"/>
        </w:rPr>
        <w:t>第二条 本实施细则适用于与我局签订勘察设计施工总承包合同、全过程工程咨询合同、勘察设计合同、工程设计合同等涉及项目工程设计工作内容的设计单位，以单项合同为单位进行履约评价，评价内容不含BIM技术应用。</w:t>
      </w:r>
    </w:p>
    <w:p w14:paraId="51A2D215">
      <w:pPr>
        <w:spacing w:line="560" w:lineRule="exact"/>
        <w:ind w:firstLine="480" w:firstLineChars="200"/>
        <w:rPr>
          <w:rFonts w:ascii="仿宋_GB2312" w:eastAsia="仿宋_GB2312"/>
          <w:sz w:val="24"/>
          <w:szCs w:val="24"/>
        </w:rPr>
      </w:pPr>
      <w:r>
        <w:rPr>
          <w:rFonts w:hint="eastAsia" w:ascii="仿宋_GB2312" w:eastAsia="仿宋_GB2312"/>
          <w:sz w:val="24"/>
          <w:szCs w:val="24"/>
        </w:rPr>
        <w:t>第三条 评价阶段</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440"/>
        <w:gridCol w:w="1620"/>
        <w:gridCol w:w="1620"/>
        <w:gridCol w:w="3778"/>
      </w:tblGrid>
      <w:tr w14:paraId="19DC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0B554A7">
            <w:pPr>
              <w:adjustRightInd w:val="0"/>
              <w:snapToGrid w:val="0"/>
              <w:rPr>
                <w:rFonts w:ascii="仿宋_GB2312" w:hAnsi="宋体" w:eastAsia="仿宋_GB2312"/>
                <w:sz w:val="24"/>
                <w:szCs w:val="24"/>
              </w:rPr>
            </w:pPr>
            <w:r>
              <w:rPr>
                <w:rFonts w:hint="eastAsia" w:ascii="仿宋_GB2312" w:hAnsi="宋体" w:eastAsia="仿宋_GB2312"/>
                <w:sz w:val="24"/>
                <w:szCs w:val="24"/>
              </w:rPr>
              <w:t>序号</w:t>
            </w:r>
          </w:p>
        </w:tc>
        <w:tc>
          <w:tcPr>
            <w:tcW w:w="3060" w:type="dxa"/>
            <w:gridSpan w:val="2"/>
            <w:vAlign w:val="center"/>
          </w:tcPr>
          <w:p w14:paraId="5860D1CF">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阶段</w:t>
            </w:r>
          </w:p>
        </w:tc>
        <w:tc>
          <w:tcPr>
            <w:tcW w:w="1620" w:type="dxa"/>
            <w:vAlign w:val="center"/>
          </w:tcPr>
          <w:p w14:paraId="1525022C">
            <w:pPr>
              <w:adjustRightInd w:val="0"/>
              <w:snapToGrid w:val="0"/>
              <w:rPr>
                <w:rFonts w:ascii="仿宋_GB2312" w:hAnsi="宋体" w:eastAsia="仿宋_GB2312"/>
                <w:sz w:val="24"/>
                <w:szCs w:val="24"/>
              </w:rPr>
            </w:pPr>
            <w:r>
              <w:rPr>
                <w:rFonts w:hint="eastAsia" w:ascii="仿宋_GB2312" w:hAnsi="宋体" w:eastAsia="仿宋_GB2312"/>
                <w:sz w:val="24"/>
                <w:szCs w:val="24"/>
              </w:rPr>
              <w:t>负责部门</w:t>
            </w:r>
          </w:p>
        </w:tc>
        <w:tc>
          <w:tcPr>
            <w:tcW w:w="3778" w:type="dxa"/>
            <w:vAlign w:val="center"/>
          </w:tcPr>
          <w:p w14:paraId="44CB7D2F">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评价时间</w:t>
            </w:r>
          </w:p>
        </w:tc>
      </w:tr>
      <w:tr w14:paraId="2C7B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vMerge w:val="restart"/>
            <w:vAlign w:val="center"/>
          </w:tcPr>
          <w:p w14:paraId="0FADD0C8">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1</w:t>
            </w:r>
          </w:p>
        </w:tc>
        <w:tc>
          <w:tcPr>
            <w:tcW w:w="1440" w:type="dxa"/>
            <w:vMerge w:val="restart"/>
            <w:vAlign w:val="center"/>
          </w:tcPr>
          <w:p w14:paraId="64A8A991">
            <w:pPr>
              <w:adjustRightInd w:val="0"/>
              <w:snapToGrid w:val="0"/>
              <w:rPr>
                <w:rFonts w:ascii="仿宋_GB2312" w:hAnsi="宋体" w:eastAsia="仿宋_GB2312"/>
                <w:sz w:val="24"/>
                <w:szCs w:val="24"/>
              </w:rPr>
            </w:pPr>
            <w:r>
              <w:rPr>
                <w:rFonts w:hint="eastAsia" w:ascii="仿宋_GB2312" w:hAnsi="宋体" w:eastAsia="仿宋_GB2312"/>
                <w:sz w:val="24"/>
                <w:szCs w:val="24"/>
              </w:rPr>
              <w:t>设计阶段</w:t>
            </w:r>
          </w:p>
        </w:tc>
        <w:tc>
          <w:tcPr>
            <w:tcW w:w="1620" w:type="dxa"/>
            <w:vAlign w:val="center"/>
          </w:tcPr>
          <w:p w14:paraId="38C8EB59">
            <w:pPr>
              <w:adjustRightInd w:val="0"/>
              <w:snapToGrid w:val="0"/>
              <w:rPr>
                <w:rFonts w:ascii="仿宋_GB2312" w:hAnsi="宋体" w:eastAsia="仿宋_GB2312"/>
                <w:sz w:val="24"/>
                <w:szCs w:val="24"/>
              </w:rPr>
            </w:pPr>
            <w:r>
              <w:rPr>
                <w:rFonts w:hint="eastAsia" w:ascii="仿宋_GB2312" w:hAnsi="宋体" w:eastAsia="仿宋_GB2312"/>
                <w:sz w:val="24"/>
                <w:szCs w:val="24"/>
              </w:rPr>
              <w:t>方案设计</w:t>
            </w:r>
          </w:p>
        </w:tc>
        <w:tc>
          <w:tcPr>
            <w:tcW w:w="1620" w:type="dxa"/>
            <w:vMerge w:val="restart"/>
            <w:vAlign w:val="center"/>
          </w:tcPr>
          <w:p w14:paraId="61E012CB">
            <w:pPr>
              <w:spacing w:line="560" w:lineRule="exact"/>
              <w:rPr>
                <w:rFonts w:ascii="仿宋_GB2312" w:hAnsi="宋体" w:eastAsia="仿宋_GB2312"/>
                <w:sz w:val="24"/>
                <w:szCs w:val="24"/>
              </w:rPr>
            </w:pPr>
            <w:r>
              <w:rPr>
                <w:rFonts w:hint="eastAsia" w:ascii="仿宋_GB2312" w:hAnsi="宋体" w:eastAsia="仿宋_GB2312"/>
                <w:sz w:val="24"/>
                <w:szCs w:val="24"/>
              </w:rPr>
              <w:t>前期工作部</w:t>
            </w:r>
          </w:p>
        </w:tc>
        <w:tc>
          <w:tcPr>
            <w:tcW w:w="3778" w:type="dxa"/>
            <w:vAlign w:val="center"/>
          </w:tcPr>
          <w:p w14:paraId="2C3A2C1D">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取得规划部门对工程方案或修规的批复</w:t>
            </w:r>
          </w:p>
        </w:tc>
      </w:tr>
      <w:tr w14:paraId="1BF5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vMerge w:val="continue"/>
            <w:vAlign w:val="center"/>
          </w:tcPr>
          <w:p w14:paraId="2315CF55">
            <w:pPr>
              <w:adjustRightInd w:val="0"/>
              <w:snapToGrid w:val="0"/>
              <w:ind w:firstLine="549"/>
              <w:jc w:val="center"/>
              <w:rPr>
                <w:rFonts w:ascii="仿宋_GB2312" w:hAnsi="宋体" w:eastAsia="仿宋_GB2312"/>
                <w:sz w:val="24"/>
                <w:szCs w:val="24"/>
              </w:rPr>
            </w:pPr>
          </w:p>
        </w:tc>
        <w:tc>
          <w:tcPr>
            <w:tcW w:w="1440" w:type="dxa"/>
            <w:vMerge w:val="continue"/>
            <w:vAlign w:val="center"/>
          </w:tcPr>
          <w:p w14:paraId="643D6E66">
            <w:pPr>
              <w:adjustRightInd w:val="0"/>
              <w:snapToGrid w:val="0"/>
              <w:ind w:firstLine="549"/>
              <w:jc w:val="center"/>
              <w:rPr>
                <w:rFonts w:ascii="仿宋_GB2312" w:hAnsi="宋体" w:eastAsia="仿宋_GB2312"/>
                <w:sz w:val="24"/>
                <w:szCs w:val="24"/>
              </w:rPr>
            </w:pPr>
          </w:p>
        </w:tc>
        <w:tc>
          <w:tcPr>
            <w:tcW w:w="1620" w:type="dxa"/>
            <w:vAlign w:val="center"/>
          </w:tcPr>
          <w:p w14:paraId="4B1878D4">
            <w:pPr>
              <w:adjustRightInd w:val="0"/>
              <w:snapToGrid w:val="0"/>
              <w:rPr>
                <w:rFonts w:ascii="仿宋_GB2312" w:hAnsi="宋体" w:eastAsia="仿宋_GB2312"/>
                <w:sz w:val="24"/>
                <w:szCs w:val="24"/>
              </w:rPr>
            </w:pPr>
            <w:r>
              <w:rPr>
                <w:rFonts w:hint="eastAsia" w:ascii="仿宋_GB2312" w:hAnsi="宋体" w:eastAsia="仿宋_GB2312"/>
                <w:sz w:val="24"/>
                <w:szCs w:val="24"/>
              </w:rPr>
              <w:t>初步设计</w:t>
            </w:r>
          </w:p>
        </w:tc>
        <w:tc>
          <w:tcPr>
            <w:tcW w:w="1620" w:type="dxa"/>
            <w:vMerge w:val="continue"/>
            <w:vAlign w:val="center"/>
          </w:tcPr>
          <w:p w14:paraId="2378930D">
            <w:pPr>
              <w:spacing w:line="560" w:lineRule="exact"/>
              <w:ind w:firstLine="549"/>
              <w:jc w:val="center"/>
              <w:rPr>
                <w:rFonts w:ascii="仿宋_GB2312" w:hAnsi="宋体" w:eastAsia="仿宋_GB2312"/>
                <w:sz w:val="24"/>
                <w:szCs w:val="24"/>
              </w:rPr>
            </w:pPr>
          </w:p>
        </w:tc>
        <w:tc>
          <w:tcPr>
            <w:tcW w:w="3778" w:type="dxa"/>
            <w:vAlign w:val="center"/>
          </w:tcPr>
          <w:p w14:paraId="3330843C">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取得发改部门对初步设计概算的批复</w:t>
            </w:r>
          </w:p>
        </w:tc>
      </w:tr>
      <w:tr w14:paraId="6C6A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vMerge w:val="continue"/>
            <w:vAlign w:val="center"/>
          </w:tcPr>
          <w:p w14:paraId="72E71B94">
            <w:pPr>
              <w:adjustRightInd w:val="0"/>
              <w:snapToGrid w:val="0"/>
              <w:ind w:firstLine="549"/>
              <w:jc w:val="center"/>
              <w:rPr>
                <w:rFonts w:ascii="仿宋_GB2312" w:hAnsi="宋体" w:eastAsia="仿宋_GB2312"/>
                <w:sz w:val="24"/>
                <w:szCs w:val="24"/>
              </w:rPr>
            </w:pPr>
          </w:p>
        </w:tc>
        <w:tc>
          <w:tcPr>
            <w:tcW w:w="1440" w:type="dxa"/>
            <w:vMerge w:val="continue"/>
            <w:vAlign w:val="center"/>
          </w:tcPr>
          <w:p w14:paraId="3A621721">
            <w:pPr>
              <w:adjustRightInd w:val="0"/>
              <w:snapToGrid w:val="0"/>
              <w:ind w:firstLine="549"/>
              <w:jc w:val="center"/>
              <w:rPr>
                <w:rFonts w:ascii="仿宋_GB2312" w:hAnsi="宋体" w:eastAsia="仿宋_GB2312"/>
                <w:sz w:val="24"/>
                <w:szCs w:val="24"/>
              </w:rPr>
            </w:pPr>
          </w:p>
        </w:tc>
        <w:tc>
          <w:tcPr>
            <w:tcW w:w="1620" w:type="dxa"/>
            <w:vAlign w:val="center"/>
          </w:tcPr>
          <w:p w14:paraId="4BC608B8">
            <w:pPr>
              <w:adjustRightInd w:val="0"/>
              <w:snapToGrid w:val="0"/>
              <w:rPr>
                <w:rFonts w:ascii="仿宋_GB2312" w:hAnsi="宋体" w:eastAsia="仿宋_GB2312"/>
                <w:sz w:val="24"/>
                <w:szCs w:val="24"/>
              </w:rPr>
            </w:pPr>
            <w:r>
              <w:rPr>
                <w:rFonts w:hint="eastAsia" w:ascii="仿宋_GB2312" w:hAnsi="宋体" w:eastAsia="仿宋_GB2312"/>
                <w:sz w:val="24"/>
                <w:szCs w:val="24"/>
              </w:rPr>
              <w:t>施工图设计</w:t>
            </w:r>
          </w:p>
        </w:tc>
        <w:tc>
          <w:tcPr>
            <w:tcW w:w="1620" w:type="dxa"/>
            <w:vMerge w:val="continue"/>
            <w:vAlign w:val="center"/>
          </w:tcPr>
          <w:p w14:paraId="47D38120">
            <w:pPr>
              <w:spacing w:line="560" w:lineRule="exact"/>
              <w:ind w:firstLine="549"/>
              <w:jc w:val="center"/>
              <w:rPr>
                <w:rFonts w:ascii="仿宋_GB2312" w:hAnsi="宋体" w:eastAsia="仿宋_GB2312"/>
                <w:sz w:val="24"/>
                <w:szCs w:val="24"/>
              </w:rPr>
            </w:pPr>
          </w:p>
        </w:tc>
        <w:tc>
          <w:tcPr>
            <w:tcW w:w="3778" w:type="dxa"/>
            <w:vAlign w:val="center"/>
          </w:tcPr>
          <w:p w14:paraId="7080E3E0">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取得施工图审查合格报告，其它专业施工图及各专业深化施工图完成施工图审查，且局计划财务部完成施工图预算审定（</w:t>
            </w:r>
            <w:r>
              <w:rPr>
                <w:rFonts w:ascii="仿宋_GB2312" w:hAnsi="宋体" w:eastAsia="仿宋_GB2312"/>
                <w:sz w:val="24"/>
                <w:szCs w:val="24"/>
              </w:rPr>
              <w:t>EPC模式），或完成工程量清单编制并确定招标控制价（传统模式）</w:t>
            </w:r>
          </w:p>
        </w:tc>
      </w:tr>
      <w:tr w14:paraId="2100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6C1BAF8">
            <w:pPr>
              <w:adjustRightInd w:val="0"/>
              <w:snapToGrid w:val="0"/>
              <w:jc w:val="center"/>
              <w:rPr>
                <w:rFonts w:ascii="仿宋_GB2312" w:hAnsi="宋体" w:eastAsia="仿宋_GB2312"/>
                <w:sz w:val="24"/>
                <w:szCs w:val="24"/>
              </w:rPr>
            </w:pPr>
            <w:r>
              <w:rPr>
                <w:rFonts w:ascii="仿宋_GB2312" w:hAnsi="宋体" w:eastAsia="仿宋_GB2312"/>
                <w:sz w:val="24"/>
                <w:szCs w:val="24"/>
              </w:rPr>
              <w:t>2</w:t>
            </w:r>
          </w:p>
        </w:tc>
        <w:tc>
          <w:tcPr>
            <w:tcW w:w="3060" w:type="dxa"/>
            <w:gridSpan w:val="2"/>
            <w:vAlign w:val="center"/>
          </w:tcPr>
          <w:p w14:paraId="052930BE">
            <w:pPr>
              <w:adjustRightInd w:val="0"/>
              <w:snapToGrid w:val="0"/>
              <w:jc w:val="center"/>
              <w:rPr>
                <w:rFonts w:ascii="仿宋_GB2312" w:hAnsi="宋体" w:eastAsia="仿宋_GB2312"/>
                <w:sz w:val="24"/>
                <w:szCs w:val="24"/>
              </w:rPr>
            </w:pPr>
            <w:r>
              <w:rPr>
                <w:rFonts w:hint="eastAsia" w:ascii="仿宋_GB2312" w:hAnsi="宋体" w:eastAsia="仿宋_GB2312"/>
                <w:sz w:val="24"/>
                <w:szCs w:val="24"/>
              </w:rPr>
              <w:t>施工阶段</w:t>
            </w:r>
          </w:p>
        </w:tc>
        <w:tc>
          <w:tcPr>
            <w:tcW w:w="1620" w:type="dxa"/>
            <w:vAlign w:val="center"/>
          </w:tcPr>
          <w:p w14:paraId="6BF3CD70">
            <w:pPr>
              <w:adjustRightInd w:val="0"/>
              <w:snapToGrid w:val="0"/>
              <w:rPr>
                <w:rFonts w:ascii="仿宋_GB2312" w:hAnsi="宋体" w:eastAsia="仿宋_GB2312"/>
                <w:sz w:val="24"/>
                <w:szCs w:val="24"/>
              </w:rPr>
            </w:pPr>
            <w:r>
              <w:rPr>
                <w:rFonts w:hint="eastAsia" w:ascii="仿宋_GB2312" w:hAnsi="宋体" w:eastAsia="仿宋_GB2312"/>
                <w:sz w:val="24"/>
                <w:szCs w:val="24"/>
              </w:rPr>
              <w:t>项目建设管理部</w:t>
            </w:r>
          </w:p>
        </w:tc>
        <w:tc>
          <w:tcPr>
            <w:tcW w:w="3778" w:type="dxa"/>
            <w:vAlign w:val="center"/>
          </w:tcPr>
          <w:p w14:paraId="1455BB03">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季度末月度下旬进行当季（年）度评价，至完成竣工验收，向城建档案管理部门移交全套工程资料并取得相关证明，并完成所有设计变更审批手续</w:t>
            </w:r>
            <w:r>
              <w:rPr>
                <w:rFonts w:ascii="仿宋_GB2312" w:hAnsi="宋体" w:eastAsia="仿宋_GB2312"/>
                <w:sz w:val="24"/>
                <w:szCs w:val="24"/>
              </w:rPr>
              <w:t xml:space="preserve"> </w:t>
            </w:r>
          </w:p>
        </w:tc>
      </w:tr>
      <w:tr w14:paraId="3C60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8BA143D">
            <w:pPr>
              <w:adjustRightInd w:val="0"/>
              <w:snapToGrid w:val="0"/>
              <w:jc w:val="center"/>
              <w:rPr>
                <w:rFonts w:ascii="仿宋_GB2312" w:hAnsi="宋体" w:eastAsia="仿宋_GB2312"/>
                <w:sz w:val="24"/>
                <w:szCs w:val="24"/>
              </w:rPr>
            </w:pPr>
            <w:r>
              <w:rPr>
                <w:rFonts w:ascii="仿宋_GB2312" w:hAnsi="宋体" w:eastAsia="仿宋_GB2312"/>
                <w:sz w:val="24"/>
                <w:szCs w:val="24"/>
              </w:rPr>
              <w:t>3</w:t>
            </w:r>
          </w:p>
        </w:tc>
        <w:tc>
          <w:tcPr>
            <w:tcW w:w="3060" w:type="dxa"/>
            <w:gridSpan w:val="2"/>
            <w:vAlign w:val="center"/>
          </w:tcPr>
          <w:p w14:paraId="31B988CF">
            <w:pPr>
              <w:adjustRightInd w:val="0"/>
              <w:snapToGrid w:val="0"/>
              <w:jc w:val="center"/>
              <w:rPr>
                <w:rFonts w:ascii="仿宋_GB2312" w:hAnsi="宋体" w:eastAsia="仿宋_GB2312"/>
                <w:sz w:val="24"/>
                <w:szCs w:val="24"/>
              </w:rPr>
            </w:pPr>
            <w:r>
              <w:rPr>
                <w:rFonts w:hint="eastAsia" w:ascii="仿宋_GB2312" w:hAnsi="宋体" w:eastAsia="仿宋_GB2312"/>
                <w:sz w:val="24"/>
                <w:szCs w:val="24"/>
              </w:rPr>
              <w:t>缺陷责任期阶段</w:t>
            </w:r>
          </w:p>
        </w:tc>
        <w:tc>
          <w:tcPr>
            <w:tcW w:w="1620" w:type="dxa"/>
            <w:vAlign w:val="center"/>
          </w:tcPr>
          <w:p w14:paraId="47EB90ED">
            <w:pPr>
              <w:adjustRightInd w:val="0"/>
              <w:snapToGrid w:val="0"/>
              <w:rPr>
                <w:rFonts w:ascii="仿宋_GB2312" w:hAnsi="宋体" w:eastAsia="仿宋_GB2312"/>
                <w:sz w:val="24"/>
                <w:szCs w:val="24"/>
              </w:rPr>
            </w:pPr>
            <w:r>
              <w:rPr>
                <w:rFonts w:hint="eastAsia" w:ascii="仿宋_GB2312" w:hAnsi="宋体" w:eastAsia="仿宋_GB2312"/>
                <w:sz w:val="24"/>
                <w:szCs w:val="24"/>
              </w:rPr>
              <w:t>项目建设管理部</w:t>
            </w:r>
          </w:p>
        </w:tc>
        <w:tc>
          <w:tcPr>
            <w:tcW w:w="3778" w:type="dxa"/>
            <w:vAlign w:val="center"/>
          </w:tcPr>
          <w:p w14:paraId="18B31931">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年度末月度下旬进行当年评价，至缺陷责任期届满</w:t>
            </w:r>
          </w:p>
        </w:tc>
      </w:tr>
    </w:tbl>
    <w:p w14:paraId="0F201F4E">
      <w:pPr>
        <w:spacing w:line="560" w:lineRule="exact"/>
        <w:ind w:firstLine="480" w:firstLineChars="200"/>
        <w:rPr>
          <w:rFonts w:ascii="仿宋_GB2312" w:eastAsia="仿宋_GB2312"/>
          <w:sz w:val="24"/>
          <w:szCs w:val="24"/>
        </w:rPr>
      </w:pPr>
      <w:r>
        <w:rPr>
          <w:rFonts w:hint="eastAsia" w:ascii="仿宋_GB2312" w:eastAsia="仿宋_GB2312"/>
          <w:sz w:val="24"/>
          <w:szCs w:val="24"/>
        </w:rPr>
        <w:t>（一）设计阶段</w:t>
      </w:r>
    </w:p>
    <w:p w14:paraId="52FEA052">
      <w:pPr>
        <w:spacing w:line="560" w:lineRule="exact"/>
        <w:ind w:firstLine="480" w:firstLineChars="200"/>
        <w:rPr>
          <w:rFonts w:ascii="仿宋_GB2312" w:eastAsia="仿宋_GB2312"/>
          <w:sz w:val="24"/>
          <w:szCs w:val="24"/>
        </w:rPr>
      </w:pPr>
      <w:r>
        <w:rPr>
          <w:rFonts w:hint="eastAsia" w:ascii="仿宋_GB2312" w:eastAsia="仿宋_GB2312"/>
          <w:sz w:val="24"/>
          <w:szCs w:val="24"/>
        </w:rPr>
        <w:t>对设计单位进行分阶段三次评价，分别为：</w:t>
      </w:r>
    </w:p>
    <w:p w14:paraId="441D7B15">
      <w:pPr>
        <w:spacing w:line="560" w:lineRule="exact"/>
        <w:ind w:firstLine="480" w:firstLineChars="200"/>
        <w:rPr>
          <w:rFonts w:ascii="仿宋_GB2312" w:eastAsia="仿宋_GB2312"/>
          <w:sz w:val="24"/>
          <w:szCs w:val="24"/>
        </w:rPr>
      </w:pPr>
      <w:r>
        <w:rPr>
          <w:rFonts w:hint="eastAsia" w:ascii="仿宋_GB2312" w:eastAsia="仿宋_GB2312"/>
          <w:sz w:val="24"/>
          <w:szCs w:val="24"/>
        </w:rPr>
        <w:t>1、方案设计评价</w:t>
      </w:r>
    </w:p>
    <w:p w14:paraId="23C1EFCA">
      <w:pPr>
        <w:spacing w:line="560" w:lineRule="exact"/>
        <w:ind w:firstLine="480" w:firstLineChars="200"/>
        <w:rPr>
          <w:rFonts w:ascii="仿宋_GB2312" w:eastAsia="仿宋_GB2312"/>
          <w:sz w:val="24"/>
          <w:szCs w:val="24"/>
        </w:rPr>
      </w:pPr>
      <w:r>
        <w:rPr>
          <w:rFonts w:hint="eastAsia" w:ascii="仿宋_GB2312" w:eastAsia="仿宋_GB2312"/>
          <w:sz w:val="24"/>
          <w:szCs w:val="24"/>
        </w:rPr>
        <w:t>取得规划部门对工程方案或修规的批复后，由前期工作部项目负责人填写《方案设计阶段合同履约评价表》（按附件一格式），报前期工作部部长审定。</w:t>
      </w:r>
    </w:p>
    <w:p w14:paraId="51197B1C">
      <w:pPr>
        <w:spacing w:line="560" w:lineRule="exact"/>
        <w:ind w:firstLine="480" w:firstLineChars="200"/>
        <w:rPr>
          <w:rFonts w:ascii="仿宋_GB2312" w:eastAsia="仿宋_GB2312"/>
          <w:sz w:val="24"/>
          <w:szCs w:val="24"/>
        </w:rPr>
      </w:pPr>
      <w:r>
        <w:rPr>
          <w:rFonts w:hint="eastAsia" w:ascii="仿宋_GB2312" w:eastAsia="仿宋_GB2312"/>
          <w:sz w:val="24"/>
          <w:szCs w:val="24"/>
        </w:rPr>
        <w:t>2、初步设计评价</w:t>
      </w:r>
    </w:p>
    <w:p w14:paraId="2E8F9256">
      <w:pPr>
        <w:spacing w:line="560" w:lineRule="exact"/>
        <w:ind w:firstLine="480" w:firstLineChars="200"/>
        <w:rPr>
          <w:rFonts w:ascii="仿宋_GB2312" w:eastAsia="仿宋_GB2312"/>
          <w:sz w:val="24"/>
          <w:szCs w:val="24"/>
        </w:rPr>
      </w:pPr>
      <w:r>
        <w:rPr>
          <w:rFonts w:hint="eastAsia" w:ascii="仿宋_GB2312" w:eastAsia="仿宋_GB2312"/>
          <w:sz w:val="24"/>
          <w:szCs w:val="24"/>
        </w:rPr>
        <w:t>取得发改部门对初步设计概算的批复后，由前期工作部项目负责人填写《初步设计阶段合同履约评价表》（按附件二格式），报前期工作部部长审定。</w:t>
      </w:r>
    </w:p>
    <w:p w14:paraId="4148C57A">
      <w:pPr>
        <w:spacing w:line="560" w:lineRule="exact"/>
        <w:ind w:firstLine="480" w:firstLineChars="200"/>
        <w:rPr>
          <w:rFonts w:ascii="仿宋_GB2312" w:eastAsia="仿宋_GB2312"/>
          <w:sz w:val="24"/>
          <w:szCs w:val="24"/>
        </w:rPr>
      </w:pPr>
      <w:r>
        <w:rPr>
          <w:rFonts w:hint="eastAsia" w:ascii="仿宋_GB2312" w:eastAsia="仿宋_GB2312"/>
          <w:sz w:val="24"/>
          <w:szCs w:val="24"/>
        </w:rPr>
        <w:t>3、施工图设计评价</w:t>
      </w:r>
    </w:p>
    <w:p w14:paraId="26A095E0">
      <w:pPr>
        <w:spacing w:line="560" w:lineRule="exact"/>
        <w:ind w:firstLine="480" w:firstLineChars="200"/>
        <w:rPr>
          <w:rFonts w:ascii="仿宋_GB2312" w:eastAsia="仿宋_GB2312"/>
          <w:sz w:val="24"/>
          <w:szCs w:val="24"/>
        </w:rPr>
      </w:pPr>
      <w:r>
        <w:rPr>
          <w:rFonts w:hint="eastAsia" w:ascii="仿宋_GB2312" w:eastAsia="仿宋_GB2312"/>
          <w:sz w:val="24"/>
          <w:szCs w:val="24"/>
        </w:rPr>
        <w:t>取得施工图审查合格报告，且局计划财务部完成施工图预算审定（适用于EPC模式），或完成工程量清单编制并确定招标控制价（适用于传统模式）后，由前期工作部项目负责人填写《施工图设计阶段合同履约评价表》（按附件三格式），报前期工作部部长审定。</w:t>
      </w:r>
    </w:p>
    <w:p w14:paraId="566DD376">
      <w:pPr>
        <w:spacing w:line="560" w:lineRule="exact"/>
        <w:ind w:firstLine="480" w:firstLineChars="200"/>
        <w:rPr>
          <w:rFonts w:ascii="仿宋_GB2312" w:eastAsia="仿宋_GB2312"/>
          <w:sz w:val="24"/>
          <w:szCs w:val="24"/>
        </w:rPr>
      </w:pPr>
      <w:r>
        <w:rPr>
          <w:rFonts w:hint="eastAsia" w:ascii="仿宋_GB2312" w:eastAsia="仿宋_GB2312"/>
          <w:sz w:val="24"/>
          <w:szCs w:val="24"/>
        </w:rPr>
        <w:t>（二）施工阶段</w:t>
      </w:r>
    </w:p>
    <w:p w14:paraId="2FCC8B25">
      <w:pPr>
        <w:spacing w:line="560" w:lineRule="exact"/>
        <w:ind w:firstLine="480" w:firstLineChars="200"/>
        <w:rPr>
          <w:rFonts w:ascii="仿宋_GB2312" w:eastAsia="仿宋_GB2312"/>
          <w:sz w:val="24"/>
          <w:szCs w:val="24"/>
        </w:rPr>
      </w:pPr>
      <w:r>
        <w:rPr>
          <w:rFonts w:hint="eastAsia" w:ascii="仿宋_GB2312" w:eastAsia="仿宋_GB2312"/>
          <w:sz w:val="24"/>
          <w:szCs w:val="24"/>
        </w:rPr>
        <w:t>对设计单位进行季度评价，评价时间为季度末月度下旬（第四季度末月度下旬进行当年度评价），自取得施工许可证起，至向城建档案管理部门移交全套工程资料并取得相关证明后止，由项目建设管理部派驻现场项目负责人会同前期工作部项目负责人填写《施工阶段设计合同履约评价表》（按附件四格式），报项目建设管理部部长审定。</w:t>
      </w:r>
    </w:p>
    <w:p w14:paraId="2855B48F">
      <w:pPr>
        <w:spacing w:line="560" w:lineRule="exact"/>
        <w:ind w:firstLine="480" w:firstLineChars="200"/>
        <w:rPr>
          <w:rFonts w:ascii="仿宋_GB2312" w:eastAsia="仿宋_GB2312"/>
          <w:sz w:val="24"/>
          <w:szCs w:val="24"/>
        </w:rPr>
      </w:pPr>
      <w:r>
        <w:rPr>
          <w:rFonts w:hint="eastAsia" w:ascii="仿宋_GB2312" w:eastAsia="仿宋_GB2312"/>
          <w:sz w:val="24"/>
          <w:szCs w:val="24"/>
        </w:rPr>
        <w:t>（三）缺陷责任期阶段</w:t>
      </w:r>
    </w:p>
    <w:p w14:paraId="64CC9D00">
      <w:pPr>
        <w:spacing w:line="560" w:lineRule="exact"/>
        <w:ind w:firstLine="480" w:firstLineChars="200"/>
        <w:rPr>
          <w:rFonts w:ascii="仿宋_GB2312" w:eastAsia="仿宋_GB2312"/>
          <w:sz w:val="24"/>
          <w:szCs w:val="24"/>
        </w:rPr>
      </w:pPr>
      <w:r>
        <w:rPr>
          <w:rFonts w:hint="eastAsia" w:ascii="仿宋_GB2312" w:eastAsia="仿宋_GB2312"/>
          <w:sz w:val="24"/>
          <w:szCs w:val="24"/>
        </w:rPr>
        <w:t>对设计单位进行年度评价，评价时间为年度末月度下旬，自取得竣工验收相关证明之日起，至缺陷责任期（除基础设施工程、房屋建筑地基基础工程和主体结构工程外最长的保修期计）届满止，由项目建设管理部派驻现场项目负责人会同前期工作部项目负责人填写《缺陷责任期阶段设计合同履约评价表》（按附件五格式），报项目建设管理部部长审定。</w:t>
      </w:r>
    </w:p>
    <w:p w14:paraId="6699D4F7">
      <w:pPr>
        <w:spacing w:line="560" w:lineRule="exact"/>
        <w:ind w:firstLine="480" w:firstLineChars="200"/>
        <w:rPr>
          <w:rFonts w:ascii="仿宋_GB2312" w:eastAsia="仿宋_GB2312"/>
          <w:sz w:val="24"/>
          <w:szCs w:val="24"/>
        </w:rPr>
      </w:pPr>
      <w:r>
        <w:rPr>
          <w:rFonts w:hint="eastAsia" w:ascii="仿宋_GB2312" w:eastAsia="仿宋_GB2312"/>
          <w:sz w:val="24"/>
          <w:szCs w:val="24"/>
        </w:rPr>
        <w:t>第四条 评价内容</w:t>
      </w:r>
    </w:p>
    <w:p w14:paraId="7A14B6D5">
      <w:pPr>
        <w:spacing w:line="560" w:lineRule="exact"/>
        <w:ind w:firstLine="480" w:firstLineChars="200"/>
        <w:rPr>
          <w:rFonts w:ascii="仿宋_GB2312" w:eastAsia="仿宋_GB2312"/>
          <w:sz w:val="24"/>
          <w:szCs w:val="24"/>
        </w:rPr>
      </w:pPr>
      <w:r>
        <w:rPr>
          <w:rFonts w:hint="eastAsia" w:ascii="仿宋_GB2312" w:eastAsia="仿宋_GB2312"/>
          <w:sz w:val="24"/>
          <w:szCs w:val="24"/>
        </w:rPr>
        <w:t>（一）各责任部门按照本办法附件中所列项目进行独立打分，凡出现扣分项的，应在设计合同履约评分表中说明具体扣分原因。</w:t>
      </w:r>
    </w:p>
    <w:p w14:paraId="794C2F2F">
      <w:pPr>
        <w:spacing w:line="560" w:lineRule="exact"/>
        <w:ind w:firstLine="480" w:firstLineChars="200"/>
        <w:rPr>
          <w:rFonts w:ascii="仿宋_GB2312" w:eastAsia="仿宋_GB2312"/>
          <w:sz w:val="24"/>
          <w:szCs w:val="24"/>
        </w:rPr>
      </w:pPr>
      <w:r>
        <w:rPr>
          <w:rFonts w:hint="eastAsia" w:ascii="仿宋_GB2312" w:eastAsia="仿宋_GB2312"/>
          <w:sz w:val="24"/>
          <w:szCs w:val="24"/>
        </w:rPr>
        <w:t>（二）评价期内建设行政主管部门、使用单位、设计单位上级主管单位（部门）、局下发的整改通知或通报所提问题，凡符合附件中有关内容的，均应纳入评价结果。</w:t>
      </w:r>
    </w:p>
    <w:p w14:paraId="21A86E1A">
      <w:pPr>
        <w:spacing w:line="560" w:lineRule="exact"/>
        <w:ind w:firstLine="480" w:firstLineChars="200"/>
        <w:rPr>
          <w:rFonts w:ascii="仿宋_GB2312" w:eastAsia="仿宋_GB2312"/>
          <w:bCs/>
          <w:sz w:val="24"/>
          <w:szCs w:val="24"/>
        </w:rPr>
      </w:pPr>
      <w:r>
        <w:rPr>
          <w:rFonts w:hint="eastAsia" w:ascii="仿宋_GB2312" w:eastAsia="仿宋_GB2312"/>
          <w:sz w:val="24"/>
          <w:szCs w:val="24"/>
        </w:rPr>
        <w:t>第五条 设计费用的支付</w:t>
      </w:r>
    </w:p>
    <w:p w14:paraId="0EC8BDD4">
      <w:pPr>
        <w:spacing w:line="560" w:lineRule="exact"/>
        <w:ind w:firstLine="480" w:firstLineChars="200"/>
        <w:rPr>
          <w:rFonts w:ascii="仿宋_GB2312" w:eastAsia="仿宋_GB2312"/>
          <w:sz w:val="24"/>
          <w:szCs w:val="24"/>
        </w:rPr>
      </w:pPr>
      <w:r>
        <w:rPr>
          <w:rFonts w:hint="eastAsia" w:ascii="仿宋_GB2312" w:eastAsia="仿宋_GB2312"/>
          <w:sz w:val="24"/>
          <w:szCs w:val="24"/>
        </w:rPr>
        <w:t>（一）项目设计费用的支付节点分别为：</w:t>
      </w:r>
    </w:p>
    <w:p w14:paraId="5E4BC0A5">
      <w:pPr>
        <w:spacing w:line="560" w:lineRule="exact"/>
        <w:ind w:firstLine="480" w:firstLineChars="200"/>
        <w:rPr>
          <w:rFonts w:ascii="仿宋_GB2312" w:eastAsia="仿宋_GB2312"/>
          <w:sz w:val="24"/>
          <w:szCs w:val="24"/>
        </w:rPr>
      </w:pPr>
      <w:r>
        <w:rPr>
          <w:rFonts w:hint="eastAsia" w:ascii="仿宋_GB2312" w:eastAsia="仿宋_GB2312"/>
          <w:sz w:val="24"/>
          <w:szCs w:val="24"/>
        </w:rPr>
        <w:t>1、全阶段设计模式（含全过程EPC模式、传统模式）</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220"/>
        <w:gridCol w:w="2340"/>
        <w:gridCol w:w="898"/>
      </w:tblGrid>
      <w:tr w14:paraId="5DDB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C19EB69">
            <w:pPr>
              <w:adjustRightInd w:val="0"/>
              <w:snapToGrid w:val="0"/>
              <w:rPr>
                <w:rFonts w:ascii="仿宋_GB2312" w:hAnsi="宋体" w:eastAsia="仿宋_GB2312"/>
                <w:sz w:val="24"/>
                <w:szCs w:val="24"/>
              </w:rPr>
            </w:pPr>
            <w:r>
              <w:rPr>
                <w:rFonts w:hint="eastAsia" w:ascii="仿宋_GB2312" w:hAnsi="宋体" w:eastAsia="仿宋_GB2312"/>
                <w:sz w:val="24"/>
                <w:szCs w:val="24"/>
              </w:rPr>
              <w:t>支付节点</w:t>
            </w:r>
          </w:p>
        </w:tc>
        <w:tc>
          <w:tcPr>
            <w:tcW w:w="5220" w:type="dxa"/>
            <w:vAlign w:val="center"/>
          </w:tcPr>
          <w:p w14:paraId="3C81ED6A">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支付条件</w:t>
            </w:r>
          </w:p>
        </w:tc>
        <w:tc>
          <w:tcPr>
            <w:tcW w:w="2340" w:type="dxa"/>
            <w:vAlign w:val="center"/>
          </w:tcPr>
          <w:p w14:paraId="57A812B4">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支付金额</w:t>
            </w:r>
          </w:p>
        </w:tc>
        <w:tc>
          <w:tcPr>
            <w:tcW w:w="898" w:type="dxa"/>
            <w:vAlign w:val="center"/>
          </w:tcPr>
          <w:p w14:paraId="7090B3D4">
            <w:pPr>
              <w:adjustRightInd w:val="0"/>
              <w:snapToGrid w:val="0"/>
              <w:rPr>
                <w:rFonts w:ascii="仿宋_GB2312" w:hAnsi="宋体" w:eastAsia="仿宋_GB2312"/>
                <w:sz w:val="24"/>
                <w:szCs w:val="24"/>
              </w:rPr>
            </w:pPr>
            <w:r>
              <w:rPr>
                <w:rFonts w:hint="eastAsia" w:ascii="仿宋_GB2312" w:hAnsi="宋体" w:eastAsia="仿宋_GB2312"/>
                <w:sz w:val="24"/>
                <w:szCs w:val="24"/>
              </w:rPr>
              <w:t>考评标准</w:t>
            </w:r>
          </w:p>
        </w:tc>
      </w:tr>
      <w:tr w14:paraId="406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54A4E36">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1</w:t>
            </w:r>
          </w:p>
        </w:tc>
        <w:tc>
          <w:tcPr>
            <w:tcW w:w="5220" w:type="dxa"/>
            <w:vAlign w:val="center"/>
          </w:tcPr>
          <w:p w14:paraId="7614AFB3">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签订合同并提交履约保函</w:t>
            </w:r>
          </w:p>
        </w:tc>
        <w:tc>
          <w:tcPr>
            <w:tcW w:w="2340" w:type="dxa"/>
            <w:vAlign w:val="center"/>
          </w:tcPr>
          <w:p w14:paraId="10A2BBD8">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10%</w:t>
            </w:r>
          </w:p>
        </w:tc>
        <w:tc>
          <w:tcPr>
            <w:tcW w:w="898" w:type="dxa"/>
            <w:vAlign w:val="center"/>
          </w:tcPr>
          <w:p w14:paraId="57CD02B8">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w:t>
            </w:r>
          </w:p>
        </w:tc>
      </w:tr>
      <w:tr w14:paraId="0275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747ECBC">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2</w:t>
            </w:r>
          </w:p>
        </w:tc>
        <w:tc>
          <w:tcPr>
            <w:tcW w:w="5220" w:type="dxa"/>
            <w:vAlign w:val="center"/>
          </w:tcPr>
          <w:p w14:paraId="4CAFFD39">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取得规划部门对工程方案或修规的批复</w:t>
            </w:r>
          </w:p>
        </w:tc>
        <w:tc>
          <w:tcPr>
            <w:tcW w:w="2340" w:type="dxa"/>
            <w:vAlign w:val="center"/>
          </w:tcPr>
          <w:p w14:paraId="7E2AB9DA">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15%×A</w:t>
            </w:r>
          </w:p>
        </w:tc>
        <w:tc>
          <w:tcPr>
            <w:tcW w:w="898" w:type="dxa"/>
            <w:vAlign w:val="center"/>
          </w:tcPr>
          <w:p w14:paraId="7D359F27">
            <w:pPr>
              <w:adjustRightInd w:val="0"/>
              <w:snapToGrid w:val="0"/>
              <w:rPr>
                <w:rFonts w:ascii="仿宋_GB2312" w:hAnsi="宋体" w:eastAsia="仿宋_GB2312"/>
                <w:sz w:val="24"/>
                <w:szCs w:val="24"/>
              </w:rPr>
            </w:pPr>
            <w:r>
              <w:rPr>
                <w:rFonts w:hint="eastAsia" w:ascii="仿宋_GB2312" w:hAnsi="宋体" w:eastAsia="仿宋_GB2312"/>
                <w:sz w:val="24"/>
                <w:szCs w:val="24"/>
              </w:rPr>
              <w:t>按附件一</w:t>
            </w:r>
          </w:p>
        </w:tc>
      </w:tr>
      <w:tr w14:paraId="4D03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AE197DC">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3</w:t>
            </w:r>
          </w:p>
        </w:tc>
        <w:tc>
          <w:tcPr>
            <w:tcW w:w="5220" w:type="dxa"/>
            <w:vAlign w:val="center"/>
          </w:tcPr>
          <w:p w14:paraId="036830F9">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取得发改部门对初步设计概算的批复</w:t>
            </w:r>
          </w:p>
        </w:tc>
        <w:tc>
          <w:tcPr>
            <w:tcW w:w="2340" w:type="dxa"/>
            <w:vAlign w:val="center"/>
          </w:tcPr>
          <w:p w14:paraId="5AE69A45">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20%×A</w:t>
            </w:r>
          </w:p>
        </w:tc>
        <w:tc>
          <w:tcPr>
            <w:tcW w:w="898" w:type="dxa"/>
            <w:vAlign w:val="center"/>
          </w:tcPr>
          <w:p w14:paraId="4DB2F615">
            <w:pPr>
              <w:adjustRightInd w:val="0"/>
              <w:snapToGrid w:val="0"/>
              <w:rPr>
                <w:rFonts w:ascii="仿宋_GB2312" w:hAnsi="宋体" w:eastAsia="仿宋_GB2312"/>
                <w:sz w:val="24"/>
                <w:szCs w:val="24"/>
              </w:rPr>
            </w:pPr>
            <w:r>
              <w:rPr>
                <w:rFonts w:hint="eastAsia" w:ascii="仿宋_GB2312" w:hAnsi="宋体" w:eastAsia="仿宋_GB2312"/>
                <w:sz w:val="24"/>
                <w:szCs w:val="24"/>
              </w:rPr>
              <w:t>按附件二</w:t>
            </w:r>
          </w:p>
        </w:tc>
      </w:tr>
      <w:tr w14:paraId="7A04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B95FEF3">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4</w:t>
            </w:r>
          </w:p>
        </w:tc>
        <w:tc>
          <w:tcPr>
            <w:tcW w:w="5220" w:type="dxa"/>
            <w:vAlign w:val="center"/>
          </w:tcPr>
          <w:p w14:paraId="0104FAB8">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取得施工图审查合格报告，且完成施工图预算审定（</w:t>
            </w:r>
            <w:r>
              <w:rPr>
                <w:rFonts w:ascii="仿宋_GB2312" w:hAnsi="宋体" w:eastAsia="仿宋_GB2312"/>
                <w:sz w:val="24"/>
                <w:szCs w:val="24"/>
              </w:rPr>
              <w:t>EPC模式），或完成工程量清单编制并确定招标控制价（传统模式）</w:t>
            </w:r>
          </w:p>
        </w:tc>
        <w:tc>
          <w:tcPr>
            <w:tcW w:w="2340" w:type="dxa"/>
            <w:vAlign w:val="center"/>
          </w:tcPr>
          <w:p w14:paraId="1596571C">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20%×A+F</w:t>
            </w:r>
          </w:p>
        </w:tc>
        <w:tc>
          <w:tcPr>
            <w:tcW w:w="898" w:type="dxa"/>
            <w:vAlign w:val="center"/>
          </w:tcPr>
          <w:p w14:paraId="6CA3BA40">
            <w:pPr>
              <w:adjustRightInd w:val="0"/>
              <w:snapToGrid w:val="0"/>
              <w:rPr>
                <w:rFonts w:ascii="仿宋_GB2312" w:hAnsi="宋体" w:eastAsia="仿宋_GB2312"/>
                <w:sz w:val="24"/>
                <w:szCs w:val="24"/>
              </w:rPr>
            </w:pPr>
            <w:r>
              <w:rPr>
                <w:rFonts w:hint="eastAsia" w:ascii="仿宋_GB2312" w:hAnsi="宋体" w:eastAsia="仿宋_GB2312"/>
                <w:sz w:val="24"/>
                <w:szCs w:val="24"/>
              </w:rPr>
              <w:t>按附件三</w:t>
            </w:r>
          </w:p>
        </w:tc>
      </w:tr>
      <w:tr w14:paraId="7A9F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40DBD9F">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5</w:t>
            </w:r>
          </w:p>
        </w:tc>
        <w:tc>
          <w:tcPr>
            <w:tcW w:w="5220" w:type="dxa"/>
            <w:vAlign w:val="center"/>
          </w:tcPr>
          <w:p w14:paraId="55BA3CE8">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向城建档案管理部门移交全套工程资料并取得相关证明，并完成所有设计变更审批手续</w:t>
            </w:r>
          </w:p>
        </w:tc>
        <w:tc>
          <w:tcPr>
            <w:tcW w:w="2340" w:type="dxa"/>
            <w:vAlign w:val="center"/>
          </w:tcPr>
          <w:p w14:paraId="49AA31BC">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20%×B</w:t>
            </w:r>
          </w:p>
        </w:tc>
        <w:tc>
          <w:tcPr>
            <w:tcW w:w="898" w:type="dxa"/>
            <w:vAlign w:val="center"/>
          </w:tcPr>
          <w:p w14:paraId="5828BD53">
            <w:pPr>
              <w:adjustRightInd w:val="0"/>
              <w:snapToGrid w:val="0"/>
              <w:rPr>
                <w:rFonts w:ascii="仿宋_GB2312" w:hAnsi="宋体" w:eastAsia="仿宋_GB2312"/>
                <w:sz w:val="24"/>
                <w:szCs w:val="24"/>
              </w:rPr>
            </w:pPr>
            <w:r>
              <w:rPr>
                <w:rFonts w:hint="eastAsia" w:ascii="仿宋_GB2312" w:hAnsi="宋体" w:eastAsia="仿宋_GB2312"/>
                <w:sz w:val="24"/>
                <w:szCs w:val="24"/>
              </w:rPr>
              <w:t>按附件四</w:t>
            </w:r>
          </w:p>
        </w:tc>
      </w:tr>
      <w:tr w14:paraId="348E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CBD1A2F">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6</w:t>
            </w:r>
          </w:p>
        </w:tc>
        <w:tc>
          <w:tcPr>
            <w:tcW w:w="5220" w:type="dxa"/>
            <w:vAlign w:val="center"/>
          </w:tcPr>
          <w:p w14:paraId="01DB80FF">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合同结算经省政府财政部门审定</w:t>
            </w:r>
          </w:p>
        </w:tc>
        <w:tc>
          <w:tcPr>
            <w:tcW w:w="2340" w:type="dxa"/>
            <w:vAlign w:val="center"/>
          </w:tcPr>
          <w:p w14:paraId="3A4A74C8">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10%或按省政府财政部门审定应付金额</w:t>
            </w:r>
          </w:p>
        </w:tc>
        <w:tc>
          <w:tcPr>
            <w:tcW w:w="898" w:type="dxa"/>
            <w:vAlign w:val="center"/>
          </w:tcPr>
          <w:p w14:paraId="226F4430">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w:t>
            </w:r>
          </w:p>
        </w:tc>
      </w:tr>
      <w:tr w14:paraId="32FE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7A4F2A0">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7</w:t>
            </w:r>
          </w:p>
        </w:tc>
        <w:tc>
          <w:tcPr>
            <w:tcW w:w="5220" w:type="dxa"/>
            <w:vAlign w:val="center"/>
          </w:tcPr>
          <w:p w14:paraId="1C38C0C5">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缺陷责任期届满</w:t>
            </w:r>
          </w:p>
        </w:tc>
        <w:tc>
          <w:tcPr>
            <w:tcW w:w="2340" w:type="dxa"/>
            <w:vAlign w:val="center"/>
          </w:tcPr>
          <w:p w14:paraId="2FB3F8BC">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5%×C</w:t>
            </w:r>
          </w:p>
        </w:tc>
        <w:tc>
          <w:tcPr>
            <w:tcW w:w="898" w:type="dxa"/>
            <w:vAlign w:val="center"/>
          </w:tcPr>
          <w:p w14:paraId="4B132A3F">
            <w:pPr>
              <w:adjustRightInd w:val="0"/>
              <w:snapToGrid w:val="0"/>
              <w:rPr>
                <w:rFonts w:ascii="仿宋_GB2312" w:hAnsi="宋体" w:eastAsia="仿宋_GB2312"/>
                <w:sz w:val="24"/>
                <w:szCs w:val="24"/>
              </w:rPr>
            </w:pPr>
            <w:r>
              <w:rPr>
                <w:rFonts w:hint="eastAsia" w:ascii="仿宋_GB2312" w:hAnsi="宋体" w:eastAsia="仿宋_GB2312"/>
                <w:sz w:val="24"/>
                <w:szCs w:val="24"/>
              </w:rPr>
              <w:t>按附件五</w:t>
            </w:r>
          </w:p>
        </w:tc>
      </w:tr>
    </w:tbl>
    <w:p w14:paraId="715896EA">
      <w:pPr>
        <w:spacing w:line="560" w:lineRule="exact"/>
        <w:ind w:firstLine="480" w:firstLineChars="200"/>
        <w:rPr>
          <w:rFonts w:ascii="仿宋_GB2312" w:eastAsia="仿宋_GB2312"/>
          <w:sz w:val="24"/>
          <w:szCs w:val="24"/>
        </w:rPr>
      </w:pPr>
      <w:r>
        <w:rPr>
          <w:rFonts w:hint="eastAsia" w:ascii="仿宋_GB2312" w:eastAsia="仿宋_GB2312"/>
          <w:sz w:val="24"/>
          <w:szCs w:val="24"/>
        </w:rPr>
        <w:t>2、分阶段设计模式（取得初步设计批复后的EPC模式）</w:t>
      </w:r>
    </w:p>
    <w:p w14:paraId="1E42D46A">
      <w:pPr>
        <w:spacing w:line="560" w:lineRule="exact"/>
        <w:ind w:firstLine="480" w:firstLineChars="200"/>
        <w:rPr>
          <w:rFonts w:ascii="仿宋_GB2312" w:eastAsia="仿宋_GB2312"/>
          <w:sz w:val="24"/>
          <w:szCs w:val="24"/>
        </w:rPr>
      </w:pPr>
      <w:r>
        <w:rPr>
          <w:rFonts w:hint="eastAsia" w:ascii="仿宋_GB2312" w:eastAsia="仿宋_GB2312"/>
          <w:sz w:val="24"/>
          <w:szCs w:val="24"/>
        </w:rPr>
        <w:t>（1）方案设计及初步设计单位</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220"/>
        <w:gridCol w:w="2340"/>
        <w:gridCol w:w="898"/>
      </w:tblGrid>
      <w:tr w14:paraId="741E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1429621">
            <w:pPr>
              <w:adjustRightInd w:val="0"/>
              <w:snapToGrid w:val="0"/>
              <w:rPr>
                <w:rFonts w:ascii="仿宋_GB2312" w:hAnsi="宋体" w:eastAsia="仿宋_GB2312"/>
                <w:sz w:val="24"/>
                <w:szCs w:val="24"/>
              </w:rPr>
            </w:pPr>
            <w:r>
              <w:rPr>
                <w:rFonts w:hint="eastAsia" w:ascii="仿宋_GB2312" w:hAnsi="宋体" w:eastAsia="仿宋_GB2312"/>
                <w:sz w:val="24"/>
                <w:szCs w:val="24"/>
              </w:rPr>
              <w:t>支付节点</w:t>
            </w:r>
          </w:p>
        </w:tc>
        <w:tc>
          <w:tcPr>
            <w:tcW w:w="5220" w:type="dxa"/>
            <w:vAlign w:val="center"/>
          </w:tcPr>
          <w:p w14:paraId="349F4FA2">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支付条件</w:t>
            </w:r>
          </w:p>
        </w:tc>
        <w:tc>
          <w:tcPr>
            <w:tcW w:w="2340" w:type="dxa"/>
            <w:vAlign w:val="center"/>
          </w:tcPr>
          <w:p w14:paraId="0866293A">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支付金额</w:t>
            </w:r>
          </w:p>
        </w:tc>
        <w:tc>
          <w:tcPr>
            <w:tcW w:w="898" w:type="dxa"/>
            <w:vAlign w:val="center"/>
          </w:tcPr>
          <w:p w14:paraId="0BBA3A01">
            <w:pPr>
              <w:adjustRightInd w:val="0"/>
              <w:snapToGrid w:val="0"/>
              <w:rPr>
                <w:rFonts w:ascii="仿宋_GB2312" w:hAnsi="宋体" w:eastAsia="仿宋_GB2312"/>
                <w:sz w:val="24"/>
                <w:szCs w:val="24"/>
              </w:rPr>
            </w:pPr>
            <w:r>
              <w:rPr>
                <w:rFonts w:hint="eastAsia" w:ascii="仿宋_GB2312" w:hAnsi="宋体" w:eastAsia="仿宋_GB2312"/>
                <w:sz w:val="24"/>
                <w:szCs w:val="24"/>
              </w:rPr>
              <w:t>考评标准</w:t>
            </w:r>
          </w:p>
        </w:tc>
      </w:tr>
      <w:tr w14:paraId="3A5C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8D113E2">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1</w:t>
            </w:r>
          </w:p>
        </w:tc>
        <w:tc>
          <w:tcPr>
            <w:tcW w:w="5220" w:type="dxa"/>
            <w:vAlign w:val="center"/>
          </w:tcPr>
          <w:p w14:paraId="23082755">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签订合同并提交履约保函</w:t>
            </w:r>
          </w:p>
        </w:tc>
        <w:tc>
          <w:tcPr>
            <w:tcW w:w="2340" w:type="dxa"/>
            <w:vAlign w:val="center"/>
          </w:tcPr>
          <w:p w14:paraId="4CD32C97">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基数×10%</w:t>
            </w:r>
          </w:p>
        </w:tc>
        <w:tc>
          <w:tcPr>
            <w:tcW w:w="898" w:type="dxa"/>
            <w:vAlign w:val="center"/>
          </w:tcPr>
          <w:p w14:paraId="498CF9B5">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w:t>
            </w:r>
          </w:p>
        </w:tc>
      </w:tr>
      <w:tr w14:paraId="02AB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FCC54C8">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2</w:t>
            </w:r>
          </w:p>
        </w:tc>
        <w:tc>
          <w:tcPr>
            <w:tcW w:w="5220" w:type="dxa"/>
            <w:vAlign w:val="center"/>
          </w:tcPr>
          <w:p w14:paraId="5612C16D">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取得规划部门对工程方案或修规的批复</w:t>
            </w:r>
          </w:p>
        </w:tc>
        <w:tc>
          <w:tcPr>
            <w:tcW w:w="2340" w:type="dxa"/>
            <w:vAlign w:val="center"/>
          </w:tcPr>
          <w:p w14:paraId="6D68D398">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基数×30%×A</w:t>
            </w:r>
          </w:p>
        </w:tc>
        <w:tc>
          <w:tcPr>
            <w:tcW w:w="898" w:type="dxa"/>
            <w:vAlign w:val="center"/>
          </w:tcPr>
          <w:p w14:paraId="6039E447">
            <w:pPr>
              <w:adjustRightInd w:val="0"/>
              <w:snapToGrid w:val="0"/>
              <w:rPr>
                <w:rFonts w:ascii="仿宋_GB2312" w:hAnsi="宋体" w:eastAsia="仿宋_GB2312"/>
                <w:sz w:val="24"/>
                <w:szCs w:val="24"/>
              </w:rPr>
            </w:pPr>
            <w:r>
              <w:rPr>
                <w:rFonts w:hint="eastAsia" w:ascii="仿宋_GB2312" w:hAnsi="宋体" w:eastAsia="仿宋_GB2312"/>
                <w:sz w:val="24"/>
                <w:szCs w:val="24"/>
              </w:rPr>
              <w:t>按附件一</w:t>
            </w:r>
          </w:p>
        </w:tc>
      </w:tr>
      <w:tr w14:paraId="6895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E07DFC7">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3</w:t>
            </w:r>
          </w:p>
        </w:tc>
        <w:tc>
          <w:tcPr>
            <w:tcW w:w="5220" w:type="dxa"/>
            <w:vAlign w:val="center"/>
          </w:tcPr>
          <w:p w14:paraId="6ECCE1CC">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取得发改部门对初步设计概算的批复</w:t>
            </w:r>
          </w:p>
        </w:tc>
        <w:tc>
          <w:tcPr>
            <w:tcW w:w="2340" w:type="dxa"/>
            <w:vAlign w:val="center"/>
          </w:tcPr>
          <w:p w14:paraId="3A812EA5">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基数×40%×A+F</w:t>
            </w:r>
          </w:p>
        </w:tc>
        <w:tc>
          <w:tcPr>
            <w:tcW w:w="898" w:type="dxa"/>
            <w:vAlign w:val="center"/>
          </w:tcPr>
          <w:p w14:paraId="44B68738">
            <w:pPr>
              <w:adjustRightInd w:val="0"/>
              <w:snapToGrid w:val="0"/>
              <w:rPr>
                <w:rFonts w:ascii="仿宋_GB2312" w:hAnsi="宋体" w:eastAsia="仿宋_GB2312"/>
                <w:sz w:val="24"/>
                <w:szCs w:val="24"/>
              </w:rPr>
            </w:pPr>
            <w:r>
              <w:rPr>
                <w:rFonts w:hint="eastAsia" w:ascii="仿宋_GB2312" w:hAnsi="宋体" w:eastAsia="仿宋_GB2312"/>
                <w:sz w:val="24"/>
                <w:szCs w:val="24"/>
              </w:rPr>
              <w:t>按附件二</w:t>
            </w:r>
          </w:p>
        </w:tc>
      </w:tr>
      <w:tr w14:paraId="7087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26ACE2B">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4</w:t>
            </w:r>
          </w:p>
        </w:tc>
        <w:tc>
          <w:tcPr>
            <w:tcW w:w="5220" w:type="dxa"/>
            <w:vAlign w:val="center"/>
          </w:tcPr>
          <w:p w14:paraId="113E23B7">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完成对施工图设计单位的成果审核，取得施工图审查合格报告</w:t>
            </w:r>
          </w:p>
        </w:tc>
        <w:tc>
          <w:tcPr>
            <w:tcW w:w="2340" w:type="dxa"/>
            <w:vAlign w:val="center"/>
          </w:tcPr>
          <w:p w14:paraId="6439D7F3">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基数×10%×A</w:t>
            </w:r>
          </w:p>
        </w:tc>
        <w:tc>
          <w:tcPr>
            <w:tcW w:w="898" w:type="dxa"/>
            <w:vAlign w:val="center"/>
          </w:tcPr>
          <w:p w14:paraId="2AB31F52">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w:t>
            </w:r>
          </w:p>
        </w:tc>
      </w:tr>
      <w:tr w14:paraId="3BBA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61EBEF4">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5</w:t>
            </w:r>
          </w:p>
        </w:tc>
        <w:tc>
          <w:tcPr>
            <w:tcW w:w="5220" w:type="dxa"/>
            <w:vAlign w:val="center"/>
          </w:tcPr>
          <w:p w14:paraId="722E89A6">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合同结算经省政府财政部门审定</w:t>
            </w:r>
          </w:p>
        </w:tc>
        <w:tc>
          <w:tcPr>
            <w:tcW w:w="2340" w:type="dxa"/>
            <w:vAlign w:val="center"/>
          </w:tcPr>
          <w:p w14:paraId="206A11E6">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基数×10%或按省政府财政部门审定应付金额</w:t>
            </w:r>
          </w:p>
        </w:tc>
        <w:tc>
          <w:tcPr>
            <w:tcW w:w="898" w:type="dxa"/>
            <w:vAlign w:val="center"/>
          </w:tcPr>
          <w:p w14:paraId="48148C88">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w:t>
            </w:r>
          </w:p>
        </w:tc>
      </w:tr>
    </w:tbl>
    <w:p w14:paraId="24BD9D32">
      <w:pPr>
        <w:spacing w:line="560" w:lineRule="exact"/>
        <w:ind w:firstLine="480" w:firstLineChars="200"/>
        <w:rPr>
          <w:rFonts w:ascii="仿宋_GB2312" w:eastAsia="仿宋_GB2312"/>
          <w:sz w:val="24"/>
          <w:szCs w:val="24"/>
        </w:rPr>
      </w:pPr>
      <w:r>
        <w:rPr>
          <w:rFonts w:hint="eastAsia" w:ascii="仿宋_GB2312" w:eastAsia="仿宋_GB2312"/>
          <w:sz w:val="24"/>
          <w:szCs w:val="24"/>
        </w:rPr>
        <w:t>（2）施工图设计单位</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220"/>
        <w:gridCol w:w="2340"/>
        <w:gridCol w:w="898"/>
      </w:tblGrid>
      <w:tr w14:paraId="2926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C8AC84A">
            <w:pPr>
              <w:adjustRightInd w:val="0"/>
              <w:snapToGrid w:val="0"/>
              <w:rPr>
                <w:rFonts w:ascii="仿宋_GB2312" w:hAnsi="宋体" w:eastAsia="仿宋_GB2312"/>
                <w:sz w:val="24"/>
                <w:szCs w:val="24"/>
              </w:rPr>
            </w:pPr>
            <w:r>
              <w:rPr>
                <w:rFonts w:hint="eastAsia" w:ascii="仿宋_GB2312" w:hAnsi="宋体" w:eastAsia="仿宋_GB2312"/>
                <w:sz w:val="24"/>
                <w:szCs w:val="24"/>
              </w:rPr>
              <w:t>支付节点</w:t>
            </w:r>
          </w:p>
        </w:tc>
        <w:tc>
          <w:tcPr>
            <w:tcW w:w="5220" w:type="dxa"/>
            <w:vAlign w:val="center"/>
          </w:tcPr>
          <w:p w14:paraId="2018915A">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支付条件</w:t>
            </w:r>
          </w:p>
        </w:tc>
        <w:tc>
          <w:tcPr>
            <w:tcW w:w="2340" w:type="dxa"/>
            <w:vAlign w:val="center"/>
          </w:tcPr>
          <w:p w14:paraId="193C7742">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支付金额</w:t>
            </w:r>
          </w:p>
        </w:tc>
        <w:tc>
          <w:tcPr>
            <w:tcW w:w="898" w:type="dxa"/>
            <w:vAlign w:val="center"/>
          </w:tcPr>
          <w:p w14:paraId="38FCCADE">
            <w:pPr>
              <w:adjustRightInd w:val="0"/>
              <w:snapToGrid w:val="0"/>
              <w:rPr>
                <w:rFonts w:ascii="仿宋_GB2312" w:hAnsi="宋体" w:eastAsia="仿宋_GB2312"/>
                <w:sz w:val="24"/>
                <w:szCs w:val="24"/>
              </w:rPr>
            </w:pPr>
            <w:r>
              <w:rPr>
                <w:rFonts w:hint="eastAsia" w:ascii="仿宋_GB2312" w:hAnsi="宋体" w:eastAsia="仿宋_GB2312"/>
                <w:sz w:val="24"/>
                <w:szCs w:val="24"/>
              </w:rPr>
              <w:t>考评标准</w:t>
            </w:r>
          </w:p>
        </w:tc>
      </w:tr>
      <w:tr w14:paraId="3B54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E225AA2">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1</w:t>
            </w:r>
          </w:p>
        </w:tc>
        <w:tc>
          <w:tcPr>
            <w:tcW w:w="5220" w:type="dxa"/>
            <w:vAlign w:val="center"/>
          </w:tcPr>
          <w:p w14:paraId="36E9C510">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签订合同并提交履约保函</w:t>
            </w:r>
          </w:p>
        </w:tc>
        <w:tc>
          <w:tcPr>
            <w:tcW w:w="2340" w:type="dxa"/>
            <w:vAlign w:val="center"/>
          </w:tcPr>
          <w:p w14:paraId="14482821">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10%</w:t>
            </w:r>
          </w:p>
        </w:tc>
        <w:tc>
          <w:tcPr>
            <w:tcW w:w="898" w:type="dxa"/>
            <w:vAlign w:val="center"/>
          </w:tcPr>
          <w:p w14:paraId="01689D2F">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w:t>
            </w:r>
          </w:p>
        </w:tc>
      </w:tr>
      <w:tr w14:paraId="7972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A050767">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2</w:t>
            </w:r>
          </w:p>
        </w:tc>
        <w:tc>
          <w:tcPr>
            <w:tcW w:w="5220" w:type="dxa"/>
            <w:vAlign w:val="center"/>
          </w:tcPr>
          <w:p w14:paraId="654F6F58">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取得施工图审查合格报告</w:t>
            </w:r>
          </w:p>
        </w:tc>
        <w:tc>
          <w:tcPr>
            <w:tcW w:w="2340" w:type="dxa"/>
            <w:vAlign w:val="center"/>
          </w:tcPr>
          <w:p w14:paraId="197A6F85">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35%×A</w:t>
            </w:r>
          </w:p>
        </w:tc>
        <w:tc>
          <w:tcPr>
            <w:tcW w:w="898" w:type="dxa"/>
            <w:vAlign w:val="center"/>
          </w:tcPr>
          <w:p w14:paraId="1C410050">
            <w:pPr>
              <w:adjustRightInd w:val="0"/>
              <w:snapToGrid w:val="0"/>
              <w:rPr>
                <w:rFonts w:ascii="仿宋_GB2312" w:hAnsi="宋体" w:eastAsia="仿宋_GB2312"/>
                <w:sz w:val="24"/>
                <w:szCs w:val="24"/>
              </w:rPr>
            </w:pPr>
            <w:r>
              <w:rPr>
                <w:rFonts w:hint="eastAsia" w:ascii="仿宋_GB2312" w:hAnsi="宋体" w:eastAsia="仿宋_GB2312"/>
                <w:sz w:val="24"/>
                <w:szCs w:val="24"/>
              </w:rPr>
              <w:t>按附件三</w:t>
            </w:r>
          </w:p>
        </w:tc>
      </w:tr>
      <w:tr w14:paraId="7ABB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727F89F">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3</w:t>
            </w:r>
          </w:p>
        </w:tc>
        <w:tc>
          <w:tcPr>
            <w:tcW w:w="5220" w:type="dxa"/>
            <w:vAlign w:val="center"/>
          </w:tcPr>
          <w:p w14:paraId="62C94AA1">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其它专业施工图及各专业深化施工图完成施工图审查，且完成施工图预算审定</w:t>
            </w:r>
          </w:p>
        </w:tc>
        <w:tc>
          <w:tcPr>
            <w:tcW w:w="2340" w:type="dxa"/>
            <w:vAlign w:val="center"/>
          </w:tcPr>
          <w:p w14:paraId="7B978658">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30%×A+F</w:t>
            </w:r>
          </w:p>
        </w:tc>
        <w:tc>
          <w:tcPr>
            <w:tcW w:w="898" w:type="dxa"/>
            <w:vAlign w:val="center"/>
          </w:tcPr>
          <w:p w14:paraId="193EF1C8">
            <w:pPr>
              <w:adjustRightInd w:val="0"/>
              <w:snapToGrid w:val="0"/>
              <w:rPr>
                <w:rFonts w:ascii="仿宋_GB2312" w:hAnsi="宋体" w:eastAsia="仿宋_GB2312"/>
                <w:sz w:val="24"/>
                <w:szCs w:val="24"/>
              </w:rPr>
            </w:pPr>
            <w:r>
              <w:rPr>
                <w:rFonts w:hint="eastAsia" w:ascii="仿宋_GB2312" w:hAnsi="宋体" w:eastAsia="仿宋_GB2312"/>
                <w:sz w:val="24"/>
                <w:szCs w:val="24"/>
              </w:rPr>
              <w:t>按附件三</w:t>
            </w:r>
          </w:p>
        </w:tc>
      </w:tr>
      <w:tr w14:paraId="7C0F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4F79828">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4</w:t>
            </w:r>
          </w:p>
        </w:tc>
        <w:tc>
          <w:tcPr>
            <w:tcW w:w="5220" w:type="dxa"/>
            <w:vAlign w:val="center"/>
          </w:tcPr>
          <w:p w14:paraId="71AB1B1D">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向城建档案管理部门移交全套工程资料并取得相关证明，并完成所有设计变更审批手续</w:t>
            </w:r>
          </w:p>
        </w:tc>
        <w:tc>
          <w:tcPr>
            <w:tcW w:w="2340" w:type="dxa"/>
            <w:vAlign w:val="center"/>
          </w:tcPr>
          <w:p w14:paraId="299077D5">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10%×B</w:t>
            </w:r>
          </w:p>
        </w:tc>
        <w:tc>
          <w:tcPr>
            <w:tcW w:w="898" w:type="dxa"/>
            <w:vAlign w:val="center"/>
          </w:tcPr>
          <w:p w14:paraId="2AAF6790">
            <w:pPr>
              <w:adjustRightInd w:val="0"/>
              <w:snapToGrid w:val="0"/>
              <w:rPr>
                <w:rFonts w:ascii="仿宋_GB2312" w:hAnsi="宋体" w:eastAsia="仿宋_GB2312"/>
                <w:sz w:val="24"/>
                <w:szCs w:val="24"/>
              </w:rPr>
            </w:pPr>
            <w:r>
              <w:rPr>
                <w:rFonts w:hint="eastAsia" w:ascii="仿宋_GB2312" w:hAnsi="宋体" w:eastAsia="仿宋_GB2312"/>
                <w:sz w:val="24"/>
                <w:szCs w:val="24"/>
              </w:rPr>
              <w:t>按附件四</w:t>
            </w:r>
          </w:p>
        </w:tc>
      </w:tr>
      <w:tr w14:paraId="4D06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8387B1C">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5</w:t>
            </w:r>
          </w:p>
        </w:tc>
        <w:tc>
          <w:tcPr>
            <w:tcW w:w="5220" w:type="dxa"/>
            <w:vAlign w:val="center"/>
          </w:tcPr>
          <w:p w14:paraId="63543D83">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合同结算经省政府财政部门审定</w:t>
            </w:r>
          </w:p>
        </w:tc>
        <w:tc>
          <w:tcPr>
            <w:tcW w:w="2340" w:type="dxa"/>
            <w:vAlign w:val="center"/>
          </w:tcPr>
          <w:p w14:paraId="0D786E4D">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10%或按省政府财政部门审定应付金额</w:t>
            </w:r>
          </w:p>
        </w:tc>
        <w:tc>
          <w:tcPr>
            <w:tcW w:w="898" w:type="dxa"/>
            <w:vAlign w:val="center"/>
          </w:tcPr>
          <w:p w14:paraId="305D8DBA">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w:t>
            </w:r>
          </w:p>
        </w:tc>
      </w:tr>
      <w:tr w14:paraId="7FBB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4DF93BD">
            <w:pPr>
              <w:adjustRightInd w:val="0"/>
              <w:snapToGrid w:val="0"/>
              <w:ind w:firstLine="549"/>
              <w:jc w:val="center"/>
              <w:rPr>
                <w:rFonts w:ascii="仿宋_GB2312" w:hAnsi="宋体" w:eastAsia="仿宋_GB2312"/>
                <w:sz w:val="24"/>
                <w:szCs w:val="24"/>
              </w:rPr>
            </w:pPr>
            <w:r>
              <w:rPr>
                <w:rFonts w:ascii="仿宋_GB2312" w:hAnsi="宋体" w:eastAsia="仿宋_GB2312"/>
                <w:sz w:val="24"/>
                <w:szCs w:val="24"/>
              </w:rPr>
              <w:t>6</w:t>
            </w:r>
          </w:p>
        </w:tc>
        <w:tc>
          <w:tcPr>
            <w:tcW w:w="5220" w:type="dxa"/>
            <w:vAlign w:val="center"/>
          </w:tcPr>
          <w:p w14:paraId="2D15AF1D">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缺陷责任期届满</w:t>
            </w:r>
          </w:p>
        </w:tc>
        <w:tc>
          <w:tcPr>
            <w:tcW w:w="2340" w:type="dxa"/>
            <w:vAlign w:val="center"/>
          </w:tcPr>
          <w:p w14:paraId="3C4C63B8">
            <w:pPr>
              <w:adjustRightInd w:val="0"/>
              <w:snapToGrid w:val="0"/>
              <w:ind w:firstLine="549"/>
              <w:jc w:val="center"/>
              <w:rPr>
                <w:rFonts w:ascii="仿宋_GB2312" w:hAnsi="宋体" w:eastAsia="仿宋_GB2312"/>
                <w:sz w:val="24"/>
                <w:szCs w:val="24"/>
              </w:rPr>
            </w:pPr>
            <w:r>
              <w:rPr>
                <w:rFonts w:hint="eastAsia" w:ascii="仿宋_GB2312" w:hAnsi="宋体" w:eastAsia="仿宋_GB2312"/>
                <w:sz w:val="24"/>
                <w:szCs w:val="24"/>
              </w:rPr>
              <w:t>基数×</w:t>
            </w:r>
            <w:r>
              <w:rPr>
                <w:rFonts w:ascii="仿宋_GB2312" w:hAnsi="宋体" w:eastAsia="仿宋_GB2312"/>
                <w:sz w:val="24"/>
                <w:szCs w:val="24"/>
              </w:rPr>
              <w:t>5%×C</w:t>
            </w:r>
          </w:p>
        </w:tc>
        <w:tc>
          <w:tcPr>
            <w:tcW w:w="898" w:type="dxa"/>
            <w:vAlign w:val="center"/>
          </w:tcPr>
          <w:p w14:paraId="512FF859">
            <w:pPr>
              <w:adjustRightInd w:val="0"/>
              <w:snapToGrid w:val="0"/>
              <w:rPr>
                <w:rFonts w:ascii="仿宋_GB2312" w:hAnsi="宋体" w:eastAsia="仿宋_GB2312"/>
                <w:sz w:val="24"/>
                <w:szCs w:val="24"/>
              </w:rPr>
            </w:pPr>
            <w:r>
              <w:rPr>
                <w:rFonts w:hint="eastAsia" w:ascii="仿宋_GB2312" w:hAnsi="宋体" w:eastAsia="仿宋_GB2312"/>
                <w:sz w:val="24"/>
                <w:szCs w:val="24"/>
              </w:rPr>
              <w:t>按附件五</w:t>
            </w:r>
          </w:p>
        </w:tc>
      </w:tr>
    </w:tbl>
    <w:p w14:paraId="14D1BB18">
      <w:pPr>
        <w:spacing w:line="560" w:lineRule="exact"/>
        <w:ind w:firstLine="480" w:firstLineChars="200"/>
        <w:rPr>
          <w:rFonts w:ascii="仿宋_GB2312" w:eastAsia="仿宋_GB2312"/>
          <w:sz w:val="24"/>
          <w:szCs w:val="24"/>
        </w:rPr>
      </w:pPr>
      <w:r>
        <w:rPr>
          <w:rFonts w:hint="eastAsia" w:ascii="仿宋_GB2312" w:eastAsia="仿宋_GB2312"/>
          <w:sz w:val="24"/>
          <w:szCs w:val="24"/>
        </w:rPr>
        <w:t>注：</w:t>
      </w:r>
    </w:p>
    <w:p w14:paraId="060CE9FA">
      <w:pPr>
        <w:spacing w:line="560" w:lineRule="exact"/>
        <w:ind w:firstLine="480" w:firstLineChars="200"/>
        <w:rPr>
          <w:rFonts w:ascii="仿宋_GB2312" w:eastAsia="仿宋_GB2312"/>
          <w:sz w:val="24"/>
          <w:szCs w:val="24"/>
        </w:rPr>
      </w:pPr>
      <w:r>
        <w:rPr>
          <w:rFonts w:hint="eastAsia" w:ascii="仿宋_GB2312" w:eastAsia="仿宋_GB2312"/>
          <w:sz w:val="24"/>
          <w:szCs w:val="24"/>
        </w:rPr>
        <w:t>①基数为合同设计费总额（不含BIM 设计费）扣除合同约定的方案补偿费。</w:t>
      </w:r>
    </w:p>
    <w:p w14:paraId="2969C31E">
      <w:pPr>
        <w:spacing w:line="560" w:lineRule="exact"/>
        <w:ind w:firstLine="480" w:firstLineChars="200"/>
        <w:rPr>
          <w:rFonts w:ascii="仿宋_GB2312" w:eastAsia="仿宋_GB2312"/>
          <w:sz w:val="24"/>
          <w:szCs w:val="24"/>
        </w:rPr>
      </w:pPr>
      <w:r>
        <w:rPr>
          <w:rFonts w:hint="eastAsia" w:ascii="仿宋_GB2312" w:eastAsia="仿宋_GB2312"/>
          <w:sz w:val="24"/>
          <w:szCs w:val="24"/>
        </w:rPr>
        <w:t>②A为设计阶段合同履约评价得分对应的暂付设计费支付比例。</w:t>
      </w:r>
    </w:p>
    <w:p w14:paraId="3D0F74E2">
      <w:pPr>
        <w:spacing w:line="560" w:lineRule="exact"/>
        <w:ind w:firstLine="480" w:firstLineChars="200"/>
        <w:rPr>
          <w:rFonts w:ascii="仿宋_GB2312" w:eastAsia="仿宋_GB2312"/>
          <w:sz w:val="24"/>
          <w:szCs w:val="24"/>
        </w:rPr>
      </w:pPr>
      <w:r>
        <w:rPr>
          <w:rFonts w:hint="eastAsia" w:ascii="仿宋_GB2312" w:eastAsia="仿宋_GB2312"/>
          <w:sz w:val="24"/>
          <w:szCs w:val="24"/>
        </w:rPr>
        <w:t>③F为设计阶段合同履约评价综合得分对应的暂付设计费余额应返还金额。暂付设计费余额为设计阶段全额设计费与该阶段暂付设计费的差额。</w:t>
      </w:r>
    </w:p>
    <w:p w14:paraId="014C735D">
      <w:pPr>
        <w:spacing w:line="560" w:lineRule="exact"/>
        <w:ind w:firstLine="480" w:firstLineChars="200"/>
        <w:rPr>
          <w:rFonts w:ascii="仿宋_GB2312" w:eastAsia="仿宋_GB2312"/>
          <w:sz w:val="24"/>
          <w:szCs w:val="24"/>
        </w:rPr>
      </w:pPr>
      <w:r>
        <w:rPr>
          <w:rFonts w:hint="eastAsia" w:ascii="仿宋_GB2312" w:eastAsia="仿宋_GB2312"/>
          <w:sz w:val="24"/>
          <w:szCs w:val="24"/>
        </w:rPr>
        <w:t>④B为施工阶段合同履约评价综合得分对应的设计费支付比例。</w:t>
      </w:r>
    </w:p>
    <w:p w14:paraId="0776F2B6">
      <w:pPr>
        <w:spacing w:line="560" w:lineRule="exact"/>
        <w:ind w:firstLine="480" w:firstLineChars="200"/>
        <w:rPr>
          <w:rFonts w:ascii="仿宋_GB2312" w:eastAsia="仿宋_GB2312"/>
          <w:sz w:val="24"/>
          <w:szCs w:val="24"/>
        </w:rPr>
      </w:pPr>
      <w:r>
        <w:rPr>
          <w:rFonts w:hint="eastAsia" w:ascii="仿宋_GB2312" w:eastAsia="仿宋_GB2312"/>
          <w:sz w:val="24"/>
          <w:szCs w:val="24"/>
        </w:rPr>
        <w:t>⑤C为缺陷责任期阶段合同履约评价综合得分对应的设计费支付比例。</w:t>
      </w:r>
    </w:p>
    <w:p w14:paraId="1422E1A2">
      <w:pPr>
        <w:spacing w:line="560" w:lineRule="exact"/>
        <w:ind w:firstLine="480" w:firstLineChars="200"/>
        <w:rPr>
          <w:rFonts w:ascii="仿宋_GB2312" w:eastAsia="仿宋_GB2312"/>
          <w:sz w:val="24"/>
          <w:szCs w:val="24"/>
        </w:rPr>
      </w:pPr>
      <w:r>
        <w:rPr>
          <w:rFonts w:hint="eastAsia" w:ascii="仿宋_GB2312" w:eastAsia="仿宋_GB2312"/>
          <w:sz w:val="24"/>
          <w:szCs w:val="24"/>
        </w:rPr>
        <w:t>（二）设计阶段合同履约评价得分对应的暂付设计费支付比例A的取值方式</w:t>
      </w:r>
    </w:p>
    <w:p w14:paraId="41E9BB4E">
      <w:pPr>
        <w:spacing w:line="560" w:lineRule="exact"/>
        <w:ind w:firstLine="480" w:firstLineChars="200"/>
        <w:rPr>
          <w:rFonts w:ascii="仿宋_GB2312" w:eastAsia="仿宋_GB2312"/>
          <w:sz w:val="24"/>
          <w:szCs w:val="24"/>
        </w:rPr>
      </w:pPr>
      <w:r>
        <w:rPr>
          <w:rFonts w:hint="eastAsia" w:ascii="仿宋_GB2312" w:eastAsia="仿宋_GB2312"/>
          <w:sz w:val="24"/>
          <w:szCs w:val="24"/>
        </w:rPr>
        <w:t>1、某阶段设计合同履约评价得分≥90的，该阶段设计费全额支付，即A=1。</w:t>
      </w:r>
    </w:p>
    <w:p w14:paraId="6F68688D">
      <w:pPr>
        <w:spacing w:line="560" w:lineRule="exact"/>
        <w:ind w:firstLine="480" w:firstLineChars="200"/>
        <w:rPr>
          <w:rFonts w:ascii="仿宋_GB2312" w:eastAsia="仿宋_GB2312"/>
          <w:sz w:val="24"/>
          <w:szCs w:val="24"/>
        </w:rPr>
      </w:pPr>
      <w:r>
        <w:rPr>
          <w:rFonts w:hint="eastAsia" w:ascii="仿宋_GB2312" w:eastAsia="仿宋_GB2312"/>
          <w:sz w:val="24"/>
          <w:szCs w:val="24"/>
        </w:rPr>
        <w:t>2、某阶段设计合同履约评价得分≥75且</w:t>
      </w:r>
      <w:r>
        <w:rPr>
          <w:rFonts w:hint="eastAsia" w:ascii="仿宋_GB2312" w:hAnsi="仿宋_GB2312" w:eastAsia="仿宋_GB2312"/>
          <w:sz w:val="24"/>
          <w:szCs w:val="24"/>
        </w:rPr>
        <w:t>&lt;</w:t>
      </w:r>
      <w:r>
        <w:rPr>
          <w:rFonts w:hint="eastAsia" w:ascii="仿宋_GB2312" w:eastAsia="仿宋_GB2312"/>
          <w:sz w:val="24"/>
          <w:szCs w:val="24"/>
        </w:rPr>
        <w:t>90的，该阶段设计费暂付比例为90%，即A=90%。</w:t>
      </w:r>
    </w:p>
    <w:p w14:paraId="39978634">
      <w:pPr>
        <w:spacing w:line="560" w:lineRule="exact"/>
        <w:ind w:firstLine="480" w:firstLineChars="200"/>
        <w:rPr>
          <w:rFonts w:ascii="仿宋_GB2312" w:eastAsia="仿宋_GB2312"/>
          <w:sz w:val="24"/>
          <w:szCs w:val="24"/>
        </w:rPr>
      </w:pPr>
      <w:r>
        <w:rPr>
          <w:rFonts w:hint="eastAsia" w:ascii="仿宋_GB2312" w:eastAsia="仿宋_GB2312"/>
          <w:sz w:val="24"/>
          <w:szCs w:val="24"/>
        </w:rPr>
        <w:t>3、某阶段设计合同履约评价得分≥60且</w:t>
      </w:r>
      <w:r>
        <w:rPr>
          <w:rFonts w:hint="eastAsia" w:ascii="仿宋_GB2312" w:hAnsi="仿宋_GB2312" w:eastAsia="仿宋_GB2312"/>
          <w:sz w:val="24"/>
          <w:szCs w:val="24"/>
        </w:rPr>
        <w:t>&lt;</w:t>
      </w:r>
      <w:r>
        <w:rPr>
          <w:rFonts w:hint="eastAsia" w:ascii="仿宋_GB2312" w:eastAsia="仿宋_GB2312"/>
          <w:sz w:val="24"/>
          <w:szCs w:val="24"/>
        </w:rPr>
        <w:t>75的，该阶段设计费暂付比例为80%，即A=80%。</w:t>
      </w:r>
    </w:p>
    <w:p w14:paraId="4CD30DEC">
      <w:pPr>
        <w:spacing w:line="560" w:lineRule="exact"/>
        <w:ind w:firstLine="480" w:firstLineChars="200"/>
        <w:rPr>
          <w:rFonts w:ascii="仿宋_GB2312" w:eastAsia="仿宋_GB2312"/>
          <w:sz w:val="24"/>
          <w:szCs w:val="24"/>
        </w:rPr>
      </w:pPr>
      <w:r>
        <w:rPr>
          <w:rFonts w:hint="eastAsia" w:ascii="仿宋_GB2312" w:eastAsia="仿宋_GB2312"/>
          <w:sz w:val="24"/>
          <w:szCs w:val="24"/>
        </w:rPr>
        <w:t>4、某阶段设计合同履约评价得分</w:t>
      </w:r>
      <w:r>
        <w:rPr>
          <w:rFonts w:hint="eastAsia" w:ascii="仿宋_GB2312" w:hAnsi="仿宋_GB2312" w:eastAsia="仿宋_GB2312"/>
          <w:sz w:val="24"/>
          <w:szCs w:val="24"/>
        </w:rPr>
        <w:t>&lt;</w:t>
      </w:r>
      <w:r>
        <w:rPr>
          <w:rFonts w:hint="eastAsia" w:ascii="仿宋_GB2312" w:eastAsia="仿宋_GB2312"/>
          <w:sz w:val="24"/>
          <w:szCs w:val="24"/>
        </w:rPr>
        <w:t>60的，该阶段设计费暂付比例为70%，即A=70%。</w:t>
      </w:r>
    </w:p>
    <w:p w14:paraId="1337913F">
      <w:pPr>
        <w:spacing w:line="560" w:lineRule="exact"/>
        <w:ind w:firstLine="480" w:firstLineChars="200"/>
        <w:rPr>
          <w:rFonts w:ascii="仿宋_GB2312" w:eastAsia="仿宋_GB2312"/>
          <w:sz w:val="24"/>
          <w:szCs w:val="24"/>
        </w:rPr>
      </w:pPr>
      <w:r>
        <w:rPr>
          <w:rFonts w:hint="eastAsia" w:ascii="仿宋_GB2312" w:eastAsia="仿宋_GB2312"/>
          <w:sz w:val="24"/>
          <w:szCs w:val="24"/>
        </w:rPr>
        <w:t>（三）设计阶段合同履约评价暂付设计费余额应返还金额F的计算方式</w:t>
      </w:r>
    </w:p>
    <w:p w14:paraId="20EFCA87">
      <w:pPr>
        <w:spacing w:line="560" w:lineRule="exact"/>
        <w:ind w:firstLine="480" w:firstLineChars="200"/>
        <w:rPr>
          <w:rFonts w:ascii="仿宋_GB2312" w:eastAsia="仿宋_GB2312"/>
          <w:sz w:val="24"/>
          <w:szCs w:val="24"/>
        </w:rPr>
      </w:pPr>
      <w:r>
        <w:rPr>
          <w:rFonts w:hint="eastAsia" w:ascii="仿宋_GB2312" w:eastAsia="仿宋_GB2312"/>
          <w:sz w:val="24"/>
          <w:szCs w:val="24"/>
        </w:rPr>
        <w:t>1、设计阶段合同履约评价综合得分≥90的，前阶段暂付设计费全额返还（前阶段已全额支付的除外）。</w:t>
      </w:r>
    </w:p>
    <w:p w14:paraId="6228E423">
      <w:pPr>
        <w:spacing w:line="560" w:lineRule="exact"/>
        <w:ind w:firstLine="480" w:firstLineChars="200"/>
        <w:rPr>
          <w:rFonts w:ascii="仿宋_GB2312" w:eastAsia="仿宋_GB2312"/>
          <w:sz w:val="24"/>
          <w:szCs w:val="24"/>
        </w:rPr>
      </w:pPr>
      <w:r>
        <w:rPr>
          <w:rFonts w:hint="eastAsia" w:ascii="仿宋_GB2312" w:eastAsia="仿宋_GB2312"/>
          <w:sz w:val="24"/>
          <w:szCs w:val="24"/>
        </w:rPr>
        <w:t>2、设计阶段合同履约评价综合得分≥75且</w:t>
      </w:r>
      <w:r>
        <w:rPr>
          <w:rFonts w:hint="eastAsia" w:ascii="仿宋_GB2312" w:hAnsi="仿宋_GB2312" w:eastAsia="仿宋_GB2312"/>
          <w:sz w:val="24"/>
          <w:szCs w:val="24"/>
        </w:rPr>
        <w:t>&lt;</w:t>
      </w:r>
      <w:r>
        <w:rPr>
          <w:rFonts w:hint="eastAsia" w:ascii="仿宋_GB2312" w:eastAsia="仿宋_GB2312"/>
          <w:sz w:val="24"/>
          <w:szCs w:val="24"/>
        </w:rPr>
        <w:t>90的，前阶段暂付设计费余额应返还比例为75%。</w:t>
      </w:r>
    </w:p>
    <w:p w14:paraId="01470567">
      <w:pPr>
        <w:spacing w:line="560" w:lineRule="exact"/>
        <w:ind w:firstLine="480" w:firstLineChars="200"/>
        <w:rPr>
          <w:rFonts w:ascii="仿宋_GB2312" w:eastAsia="仿宋_GB2312"/>
          <w:sz w:val="24"/>
          <w:szCs w:val="24"/>
        </w:rPr>
      </w:pPr>
      <w:r>
        <w:rPr>
          <w:rFonts w:hint="eastAsia" w:ascii="仿宋_GB2312" w:eastAsia="仿宋_GB2312"/>
          <w:sz w:val="24"/>
          <w:szCs w:val="24"/>
        </w:rPr>
        <w:t>3、设计阶段合同履约评价综合得分≥60且</w:t>
      </w:r>
      <w:r>
        <w:rPr>
          <w:rFonts w:hint="eastAsia" w:ascii="仿宋_GB2312" w:hAnsi="仿宋_GB2312" w:eastAsia="仿宋_GB2312"/>
          <w:sz w:val="24"/>
          <w:szCs w:val="24"/>
        </w:rPr>
        <w:t>&lt;</w:t>
      </w:r>
      <w:r>
        <w:rPr>
          <w:rFonts w:hint="eastAsia" w:ascii="仿宋_GB2312" w:eastAsia="仿宋_GB2312"/>
          <w:sz w:val="24"/>
          <w:szCs w:val="24"/>
        </w:rPr>
        <w:t>75的，前阶段暂付设计费余额应返还比例为50%。</w:t>
      </w:r>
    </w:p>
    <w:p w14:paraId="3B3A990A">
      <w:pPr>
        <w:spacing w:line="560" w:lineRule="exact"/>
        <w:ind w:firstLine="480" w:firstLineChars="200"/>
        <w:rPr>
          <w:rFonts w:ascii="仿宋_GB2312" w:eastAsia="仿宋_GB2312"/>
          <w:sz w:val="24"/>
          <w:szCs w:val="24"/>
        </w:rPr>
      </w:pPr>
      <w:r>
        <w:rPr>
          <w:rFonts w:hint="eastAsia" w:ascii="仿宋_GB2312" w:eastAsia="仿宋_GB2312"/>
          <w:sz w:val="24"/>
          <w:szCs w:val="24"/>
        </w:rPr>
        <w:t>4、设计阶段合同履约评价综合得分</w:t>
      </w:r>
      <w:r>
        <w:rPr>
          <w:rFonts w:hint="eastAsia" w:ascii="仿宋_GB2312" w:hAnsi="仿宋_GB2312" w:eastAsia="仿宋_GB2312"/>
          <w:sz w:val="24"/>
          <w:szCs w:val="24"/>
        </w:rPr>
        <w:t>&lt;</w:t>
      </w:r>
      <w:r>
        <w:rPr>
          <w:rFonts w:hint="eastAsia" w:ascii="仿宋_GB2312" w:eastAsia="仿宋_GB2312"/>
          <w:sz w:val="24"/>
          <w:szCs w:val="24"/>
        </w:rPr>
        <w:t>60的，前阶段暂付设计费余额不返还。</w:t>
      </w:r>
    </w:p>
    <w:p w14:paraId="5A7554E7">
      <w:pPr>
        <w:spacing w:line="560" w:lineRule="exact"/>
        <w:ind w:firstLine="480" w:firstLineChars="200"/>
        <w:rPr>
          <w:rFonts w:ascii="仿宋_GB2312" w:eastAsia="仿宋_GB2312"/>
          <w:sz w:val="24"/>
          <w:szCs w:val="24"/>
        </w:rPr>
      </w:pPr>
      <w:r>
        <w:rPr>
          <w:rFonts w:hint="eastAsia" w:ascii="仿宋_GB2312" w:eastAsia="仿宋_GB2312"/>
          <w:sz w:val="24"/>
          <w:szCs w:val="24"/>
        </w:rPr>
        <w:t>注：</w:t>
      </w:r>
    </w:p>
    <w:p w14:paraId="73DAD65E">
      <w:pPr>
        <w:spacing w:line="560" w:lineRule="exact"/>
        <w:ind w:firstLine="480" w:firstLineChars="200"/>
        <w:rPr>
          <w:rFonts w:ascii="仿宋_GB2312" w:eastAsia="仿宋_GB2312"/>
          <w:sz w:val="24"/>
          <w:szCs w:val="24"/>
        </w:rPr>
      </w:pPr>
      <w:r>
        <w:rPr>
          <w:rFonts w:hint="eastAsia" w:ascii="仿宋_GB2312" w:eastAsia="仿宋_GB2312"/>
          <w:sz w:val="24"/>
          <w:szCs w:val="24"/>
        </w:rPr>
        <w:t>①对于全阶段设计模式（含全过程EPC模式、传统模式）</w:t>
      </w:r>
    </w:p>
    <w:p w14:paraId="60A07290">
      <w:pPr>
        <w:spacing w:line="560" w:lineRule="exact"/>
        <w:ind w:firstLine="480" w:firstLineChars="200"/>
        <w:rPr>
          <w:rFonts w:ascii="仿宋_GB2312" w:eastAsia="仿宋_GB2312"/>
          <w:sz w:val="24"/>
          <w:szCs w:val="24"/>
        </w:rPr>
      </w:pPr>
      <w:r>
        <w:rPr>
          <w:rFonts w:hint="eastAsia" w:ascii="仿宋_GB2312" w:eastAsia="仿宋_GB2312"/>
          <w:sz w:val="24"/>
          <w:szCs w:val="24"/>
        </w:rPr>
        <w:t>设计阶段合同履约评价综合得分=方案设计、初步设计、施工图设计三阶段合同履约评价得分的算术平均值。</w:t>
      </w:r>
    </w:p>
    <w:p w14:paraId="56C93BD2">
      <w:pPr>
        <w:spacing w:line="560" w:lineRule="exact"/>
        <w:ind w:firstLine="480" w:firstLineChars="200"/>
        <w:rPr>
          <w:rFonts w:ascii="仿宋_GB2312" w:eastAsia="仿宋_GB2312"/>
          <w:sz w:val="24"/>
          <w:szCs w:val="24"/>
        </w:rPr>
      </w:pPr>
      <w:r>
        <w:rPr>
          <w:rFonts w:hint="eastAsia" w:ascii="仿宋_GB2312" w:eastAsia="仿宋_GB2312"/>
          <w:sz w:val="24"/>
          <w:szCs w:val="24"/>
        </w:rPr>
        <w:t>②对于分阶段设计模式（取得初步设计批复后的EPC模式）中的方案设计及初步设计单位</w:t>
      </w:r>
    </w:p>
    <w:p w14:paraId="5F2D00EF">
      <w:pPr>
        <w:spacing w:line="560" w:lineRule="exact"/>
        <w:ind w:firstLine="480" w:firstLineChars="200"/>
        <w:rPr>
          <w:rFonts w:ascii="仿宋_GB2312" w:eastAsia="仿宋_GB2312"/>
          <w:sz w:val="24"/>
          <w:szCs w:val="24"/>
        </w:rPr>
      </w:pPr>
      <w:r>
        <w:rPr>
          <w:rFonts w:hint="eastAsia" w:ascii="仿宋_GB2312" w:eastAsia="仿宋_GB2312"/>
          <w:sz w:val="24"/>
          <w:szCs w:val="24"/>
        </w:rPr>
        <w:t>设计阶段合同履约评价综合得分=方案设计、初步设计两阶段合同履约评价得分的算术平均值。</w:t>
      </w:r>
    </w:p>
    <w:p w14:paraId="6ADDFBD2">
      <w:pPr>
        <w:spacing w:line="560" w:lineRule="exact"/>
        <w:ind w:firstLine="480" w:firstLineChars="200"/>
        <w:rPr>
          <w:rFonts w:ascii="仿宋_GB2312" w:eastAsia="仿宋_GB2312"/>
          <w:sz w:val="24"/>
          <w:szCs w:val="24"/>
        </w:rPr>
      </w:pPr>
      <w:r>
        <w:rPr>
          <w:rFonts w:hint="eastAsia" w:ascii="仿宋_GB2312" w:eastAsia="仿宋_GB2312"/>
          <w:sz w:val="24"/>
          <w:szCs w:val="24"/>
        </w:rPr>
        <w:t>③对于分阶段设计模式（取得初步设计批复后的EPC模式）中的施工图设计单位</w:t>
      </w:r>
    </w:p>
    <w:p w14:paraId="6D4FDD37">
      <w:pPr>
        <w:spacing w:line="560" w:lineRule="exact"/>
        <w:ind w:firstLine="480" w:firstLineChars="200"/>
        <w:rPr>
          <w:rFonts w:ascii="仿宋_GB2312" w:eastAsia="仿宋_GB2312"/>
          <w:sz w:val="24"/>
          <w:szCs w:val="24"/>
        </w:rPr>
      </w:pPr>
      <w:r>
        <w:rPr>
          <w:rFonts w:hint="eastAsia" w:ascii="仿宋_GB2312" w:eastAsia="仿宋_GB2312"/>
          <w:sz w:val="24"/>
          <w:szCs w:val="24"/>
        </w:rPr>
        <w:t>设计阶段合同履约评价综合得分=施工图设计（至取得施工图审查合格报告）、专业施工图及各专业深化施工图设计两阶段合同履约评价得分的算术平均值。</w:t>
      </w:r>
    </w:p>
    <w:p w14:paraId="418BB05D">
      <w:pPr>
        <w:spacing w:line="560" w:lineRule="exact"/>
        <w:ind w:firstLine="480" w:firstLineChars="200"/>
        <w:rPr>
          <w:rFonts w:ascii="仿宋_GB2312" w:eastAsia="仿宋_GB2312"/>
          <w:sz w:val="24"/>
          <w:szCs w:val="24"/>
        </w:rPr>
      </w:pPr>
      <w:r>
        <w:rPr>
          <w:rFonts w:hint="eastAsia" w:ascii="仿宋_GB2312" w:eastAsia="仿宋_GB2312"/>
          <w:sz w:val="24"/>
          <w:szCs w:val="24"/>
        </w:rPr>
        <w:t>（四）施工阶段设计合同履约评价得分对应的设计费支付比例B的取值方式</w:t>
      </w:r>
    </w:p>
    <w:p w14:paraId="0FDD8777">
      <w:pPr>
        <w:spacing w:line="560" w:lineRule="exact"/>
        <w:ind w:firstLine="480" w:firstLineChars="200"/>
        <w:rPr>
          <w:rFonts w:ascii="仿宋_GB2312" w:eastAsia="仿宋_GB2312"/>
          <w:sz w:val="24"/>
          <w:szCs w:val="24"/>
        </w:rPr>
      </w:pPr>
      <w:r>
        <w:rPr>
          <w:rFonts w:hint="eastAsia" w:ascii="仿宋_GB2312" w:eastAsia="仿宋_GB2312"/>
          <w:sz w:val="24"/>
          <w:szCs w:val="24"/>
        </w:rPr>
        <w:t>1、施工阶段合同履约评价综合得分≥90的，该阶段设计费全额支付，即B=1。</w:t>
      </w:r>
    </w:p>
    <w:p w14:paraId="22D2889A">
      <w:pPr>
        <w:spacing w:line="560" w:lineRule="exact"/>
        <w:ind w:firstLine="480" w:firstLineChars="200"/>
        <w:rPr>
          <w:rFonts w:ascii="仿宋_GB2312" w:eastAsia="仿宋_GB2312"/>
          <w:sz w:val="24"/>
          <w:szCs w:val="24"/>
        </w:rPr>
      </w:pPr>
      <w:r>
        <w:rPr>
          <w:rFonts w:hint="eastAsia" w:ascii="仿宋_GB2312" w:eastAsia="仿宋_GB2312"/>
          <w:sz w:val="24"/>
          <w:szCs w:val="24"/>
        </w:rPr>
        <w:t>2、施工阶段合同履约评价综合得分≥75且</w:t>
      </w:r>
      <w:r>
        <w:rPr>
          <w:rFonts w:ascii="仿宋_GB2312" w:hAnsi="仿宋_GB2312" w:eastAsia="仿宋_GB2312"/>
          <w:sz w:val="24"/>
          <w:szCs w:val="24"/>
        </w:rPr>
        <w:t>&lt;</w:t>
      </w:r>
      <w:r>
        <w:rPr>
          <w:rFonts w:hint="eastAsia" w:ascii="仿宋_GB2312" w:eastAsia="仿宋_GB2312"/>
          <w:sz w:val="24"/>
          <w:szCs w:val="24"/>
        </w:rPr>
        <w:t>90的，该阶段设计费暂付比例为90%，即B=90%。</w:t>
      </w:r>
    </w:p>
    <w:p w14:paraId="448FE1AB">
      <w:pPr>
        <w:spacing w:line="560" w:lineRule="exact"/>
        <w:ind w:firstLine="480" w:firstLineChars="200"/>
        <w:rPr>
          <w:rFonts w:ascii="仿宋_GB2312" w:eastAsia="仿宋_GB2312"/>
          <w:sz w:val="24"/>
          <w:szCs w:val="24"/>
        </w:rPr>
      </w:pPr>
      <w:r>
        <w:rPr>
          <w:rFonts w:hint="eastAsia" w:ascii="仿宋_GB2312" w:eastAsia="仿宋_GB2312"/>
          <w:sz w:val="24"/>
          <w:szCs w:val="24"/>
        </w:rPr>
        <w:t>3、施工阶段合同履约评价综合得分≥60且</w:t>
      </w:r>
      <w:r>
        <w:rPr>
          <w:rFonts w:ascii="仿宋_GB2312" w:hAnsi="仿宋_GB2312" w:eastAsia="仿宋_GB2312"/>
          <w:sz w:val="24"/>
          <w:szCs w:val="24"/>
        </w:rPr>
        <w:t>&lt;</w:t>
      </w:r>
      <w:r>
        <w:rPr>
          <w:rFonts w:hint="eastAsia" w:ascii="仿宋_GB2312" w:eastAsia="仿宋_GB2312"/>
          <w:sz w:val="24"/>
          <w:szCs w:val="24"/>
        </w:rPr>
        <w:t>75的，该阶段设计费暂付比例为80%，即B=80%。</w:t>
      </w:r>
    </w:p>
    <w:p w14:paraId="3D8C962C">
      <w:pPr>
        <w:spacing w:line="560" w:lineRule="exact"/>
        <w:ind w:firstLine="480" w:firstLineChars="200"/>
        <w:rPr>
          <w:rFonts w:ascii="仿宋_GB2312" w:eastAsia="仿宋_GB2312"/>
          <w:sz w:val="24"/>
          <w:szCs w:val="24"/>
        </w:rPr>
      </w:pPr>
      <w:r>
        <w:rPr>
          <w:rFonts w:hint="eastAsia" w:ascii="仿宋_GB2312" w:eastAsia="仿宋_GB2312"/>
          <w:sz w:val="24"/>
          <w:szCs w:val="24"/>
        </w:rPr>
        <w:t>4、施工阶段合同履约评价综合得分</w:t>
      </w:r>
      <w:r>
        <w:rPr>
          <w:rFonts w:ascii="仿宋_GB2312" w:hAnsi="仿宋_GB2312" w:eastAsia="仿宋_GB2312"/>
          <w:sz w:val="24"/>
          <w:szCs w:val="24"/>
        </w:rPr>
        <w:t>&lt;</w:t>
      </w:r>
      <w:r>
        <w:rPr>
          <w:rFonts w:hint="eastAsia" w:ascii="仿宋_GB2312" w:eastAsia="仿宋_GB2312"/>
          <w:sz w:val="24"/>
          <w:szCs w:val="24"/>
        </w:rPr>
        <w:t>60的，该阶段设计费暂付比例为70%，即B=70%。</w:t>
      </w:r>
    </w:p>
    <w:p w14:paraId="79509107">
      <w:pPr>
        <w:spacing w:line="560" w:lineRule="exact"/>
        <w:ind w:firstLine="480" w:firstLineChars="200"/>
        <w:rPr>
          <w:rFonts w:ascii="仿宋_GB2312" w:eastAsia="仿宋_GB2312"/>
          <w:sz w:val="24"/>
          <w:szCs w:val="24"/>
        </w:rPr>
      </w:pPr>
      <w:r>
        <w:rPr>
          <w:rFonts w:hint="eastAsia" w:ascii="仿宋_GB2312" w:eastAsia="仿宋_GB2312"/>
          <w:sz w:val="24"/>
          <w:szCs w:val="24"/>
        </w:rPr>
        <w:t>注：施工阶段合同履约评价综合得分=施工阶段各季度评价算术平均值。</w:t>
      </w:r>
    </w:p>
    <w:p w14:paraId="0BA3AA5E">
      <w:pPr>
        <w:spacing w:line="560" w:lineRule="exact"/>
        <w:ind w:firstLine="480" w:firstLineChars="200"/>
        <w:rPr>
          <w:rFonts w:ascii="仿宋_GB2312" w:eastAsia="仿宋_GB2312"/>
          <w:sz w:val="24"/>
          <w:szCs w:val="24"/>
        </w:rPr>
      </w:pPr>
      <w:r>
        <w:rPr>
          <w:rFonts w:hint="eastAsia" w:ascii="仿宋_GB2312" w:eastAsia="仿宋_GB2312"/>
          <w:sz w:val="24"/>
          <w:szCs w:val="24"/>
        </w:rPr>
        <w:t>（五）缺陷责任期阶段设计合同履约评价得分对应的设计费支付比例C的取值方式</w:t>
      </w:r>
    </w:p>
    <w:p w14:paraId="4BCC58E4">
      <w:pPr>
        <w:spacing w:line="560" w:lineRule="exact"/>
        <w:ind w:firstLine="480" w:firstLineChars="200"/>
        <w:rPr>
          <w:rFonts w:ascii="仿宋_GB2312" w:eastAsia="仿宋_GB2312"/>
          <w:sz w:val="24"/>
          <w:szCs w:val="24"/>
        </w:rPr>
      </w:pPr>
      <w:r>
        <w:rPr>
          <w:rFonts w:hint="eastAsia" w:ascii="仿宋_GB2312" w:eastAsia="仿宋_GB2312"/>
          <w:sz w:val="24"/>
          <w:szCs w:val="24"/>
        </w:rPr>
        <w:t>1、缺陷责任期阶段合同履约评价综合得分≥90的，该阶段设计费全额支付，即C=1。</w:t>
      </w:r>
    </w:p>
    <w:p w14:paraId="70F625A6">
      <w:pPr>
        <w:spacing w:line="560" w:lineRule="exact"/>
        <w:ind w:firstLine="480" w:firstLineChars="200"/>
        <w:rPr>
          <w:rFonts w:ascii="仿宋_GB2312" w:eastAsia="仿宋_GB2312"/>
          <w:sz w:val="24"/>
          <w:szCs w:val="24"/>
        </w:rPr>
      </w:pPr>
      <w:r>
        <w:rPr>
          <w:rFonts w:hint="eastAsia" w:ascii="仿宋_GB2312" w:eastAsia="仿宋_GB2312"/>
          <w:sz w:val="24"/>
          <w:szCs w:val="24"/>
        </w:rPr>
        <w:t>2、缺陷责任期阶段合同履约评价综合得分≥75且</w:t>
      </w:r>
      <w:r>
        <w:rPr>
          <w:rFonts w:ascii="仿宋_GB2312" w:hAnsi="仿宋_GB2312" w:eastAsia="仿宋_GB2312"/>
          <w:sz w:val="24"/>
          <w:szCs w:val="24"/>
        </w:rPr>
        <w:t>&lt;</w:t>
      </w:r>
      <w:r>
        <w:rPr>
          <w:rFonts w:hint="eastAsia" w:ascii="仿宋_GB2312" w:eastAsia="仿宋_GB2312"/>
          <w:sz w:val="24"/>
          <w:szCs w:val="24"/>
        </w:rPr>
        <w:t>90的，该阶段设计费暂付比例为90%，即C=90%。</w:t>
      </w:r>
    </w:p>
    <w:p w14:paraId="56817E4B">
      <w:pPr>
        <w:spacing w:line="560" w:lineRule="exact"/>
        <w:ind w:firstLine="480" w:firstLineChars="200"/>
        <w:rPr>
          <w:rFonts w:ascii="仿宋_GB2312" w:eastAsia="仿宋_GB2312"/>
          <w:sz w:val="24"/>
          <w:szCs w:val="24"/>
        </w:rPr>
      </w:pPr>
      <w:r>
        <w:rPr>
          <w:rFonts w:hint="eastAsia" w:ascii="仿宋_GB2312" w:eastAsia="仿宋_GB2312"/>
          <w:sz w:val="24"/>
          <w:szCs w:val="24"/>
        </w:rPr>
        <w:t>3、缺陷责任期阶段合同履约评价综合得分≥60且</w:t>
      </w:r>
      <w:r>
        <w:rPr>
          <w:rFonts w:ascii="仿宋_GB2312" w:hAnsi="仿宋_GB2312" w:eastAsia="仿宋_GB2312"/>
          <w:sz w:val="24"/>
          <w:szCs w:val="24"/>
        </w:rPr>
        <w:t>&lt;</w:t>
      </w:r>
      <w:r>
        <w:rPr>
          <w:rFonts w:hint="eastAsia" w:ascii="仿宋_GB2312" w:eastAsia="仿宋_GB2312"/>
          <w:sz w:val="24"/>
          <w:szCs w:val="24"/>
        </w:rPr>
        <w:t>75的，该阶段设计费暂付比例为80%，即C=80%。</w:t>
      </w:r>
    </w:p>
    <w:p w14:paraId="7BE07B5B">
      <w:pPr>
        <w:spacing w:line="560" w:lineRule="exact"/>
        <w:ind w:firstLine="480" w:firstLineChars="200"/>
        <w:rPr>
          <w:rFonts w:ascii="仿宋_GB2312" w:eastAsia="仿宋_GB2312"/>
          <w:sz w:val="24"/>
          <w:szCs w:val="24"/>
        </w:rPr>
      </w:pPr>
      <w:r>
        <w:rPr>
          <w:rFonts w:hint="eastAsia" w:ascii="仿宋_GB2312" w:eastAsia="仿宋_GB2312"/>
          <w:sz w:val="24"/>
          <w:szCs w:val="24"/>
        </w:rPr>
        <w:t>4、缺陷责任期阶段合同履约评价综合得分</w:t>
      </w:r>
      <w:r>
        <w:rPr>
          <w:rFonts w:ascii="仿宋_GB2312" w:hAnsi="仿宋_GB2312" w:eastAsia="仿宋_GB2312"/>
          <w:sz w:val="24"/>
          <w:szCs w:val="24"/>
        </w:rPr>
        <w:t>&lt;</w:t>
      </w:r>
      <w:r>
        <w:rPr>
          <w:rFonts w:hint="eastAsia" w:ascii="仿宋_GB2312" w:eastAsia="仿宋_GB2312"/>
          <w:sz w:val="24"/>
          <w:szCs w:val="24"/>
        </w:rPr>
        <w:t>60的，该阶段设计费暂付比例为70%，即C=70%。</w:t>
      </w:r>
    </w:p>
    <w:p w14:paraId="503E1F91">
      <w:pPr>
        <w:spacing w:line="560" w:lineRule="exact"/>
        <w:ind w:firstLine="480" w:firstLineChars="200"/>
        <w:rPr>
          <w:rFonts w:ascii="仿宋_GB2312" w:eastAsia="仿宋_GB2312"/>
          <w:sz w:val="24"/>
          <w:szCs w:val="24"/>
        </w:rPr>
      </w:pPr>
      <w:r>
        <w:rPr>
          <w:rFonts w:hint="eastAsia" w:ascii="仿宋_GB2312" w:eastAsia="仿宋_GB2312"/>
          <w:sz w:val="24"/>
          <w:szCs w:val="24"/>
        </w:rPr>
        <w:t>注：缺陷责任期阶段合同履约评价综合得分=缺陷责任期阶段各年度评价算术平均值。</w:t>
      </w:r>
    </w:p>
    <w:p w14:paraId="3791BCED">
      <w:pPr>
        <w:spacing w:line="560" w:lineRule="exact"/>
        <w:ind w:firstLine="480" w:firstLineChars="200"/>
        <w:rPr>
          <w:rFonts w:ascii="仿宋_GB2312" w:eastAsia="仿宋_GB2312"/>
          <w:sz w:val="24"/>
          <w:szCs w:val="24"/>
        </w:rPr>
      </w:pPr>
      <w:r>
        <w:rPr>
          <w:rFonts w:hint="eastAsia" w:ascii="仿宋_GB2312" w:eastAsia="仿宋_GB2312"/>
          <w:sz w:val="24"/>
          <w:szCs w:val="24"/>
        </w:rPr>
        <w:t>第六条 对项目建设全过程所有各阶段履约评价算术平均得分不低于90，且单次最低履约评价得分不低于80的履约单位，按《省代建局直接管理项目合同履约评价管理办法（试行）》中第十二条“履约评价结果的运用”中第（二）点的有关规定执行。</w:t>
      </w:r>
    </w:p>
    <w:p w14:paraId="581C10CD">
      <w:pPr>
        <w:spacing w:line="560" w:lineRule="exact"/>
        <w:ind w:firstLine="480" w:firstLineChars="200"/>
        <w:rPr>
          <w:rFonts w:ascii="仿宋_GB2312" w:eastAsia="仿宋_GB2312"/>
          <w:sz w:val="24"/>
          <w:szCs w:val="24"/>
        </w:rPr>
      </w:pPr>
      <w:r>
        <w:rPr>
          <w:rFonts w:hint="eastAsia" w:ascii="仿宋_GB2312" w:eastAsia="仿宋_GB2312"/>
          <w:sz w:val="24"/>
          <w:szCs w:val="24"/>
        </w:rPr>
        <w:t>第七条 对项目建设全过程所有各阶段履约评价算术平均得分低于70，或出现一次履约评价最低得分低于60的履约单位，按《省代建局直接管理项目合同履约评价管理办法（试行）》中第十二条“履约评价结果的运用”中第（三）点的有关规定执行。</w:t>
      </w:r>
    </w:p>
    <w:p w14:paraId="0483B94B">
      <w:pPr>
        <w:spacing w:line="560" w:lineRule="exact"/>
        <w:ind w:firstLine="480" w:firstLineChars="200"/>
        <w:rPr>
          <w:rFonts w:ascii="仿宋_GB2312" w:eastAsia="仿宋_GB2312"/>
          <w:sz w:val="24"/>
          <w:szCs w:val="24"/>
        </w:rPr>
      </w:pPr>
      <w:r>
        <w:rPr>
          <w:rFonts w:hint="eastAsia" w:ascii="仿宋_GB2312" w:eastAsia="仿宋_GB2312"/>
          <w:sz w:val="24"/>
          <w:szCs w:val="24"/>
        </w:rPr>
        <w:t>第八条 对于经我局批准允许分包的专业专项设计，其分包设计单位合同履约行为计入总体设计单位履约评价。</w:t>
      </w:r>
    </w:p>
    <w:p w14:paraId="416D0C2E">
      <w:pPr>
        <w:spacing w:line="560" w:lineRule="exact"/>
        <w:ind w:firstLine="480" w:firstLineChars="200"/>
        <w:rPr>
          <w:rFonts w:ascii="仿宋_GB2312" w:eastAsia="仿宋_GB2312"/>
          <w:sz w:val="24"/>
          <w:szCs w:val="24"/>
        </w:rPr>
      </w:pPr>
      <w:r>
        <w:rPr>
          <w:rFonts w:hint="eastAsia" w:ascii="仿宋_GB2312" w:eastAsia="仿宋_GB2312"/>
          <w:sz w:val="24"/>
          <w:szCs w:val="24"/>
        </w:rPr>
        <w:t>第九条 设计合同履约评价表完成审定后函送设计单位，设计单位对各阶段履约评价结果有异议的，按《省代建局直接管理项目合同履约评价管理办法（试行）》中第十一条的有关规定执行。</w:t>
      </w:r>
    </w:p>
    <w:p w14:paraId="1BA7076E">
      <w:pPr>
        <w:spacing w:line="560" w:lineRule="exact"/>
        <w:ind w:firstLine="480" w:firstLineChars="200"/>
        <w:rPr>
          <w:rFonts w:ascii="仿宋_GB2312" w:eastAsia="仿宋_GB2312"/>
          <w:sz w:val="24"/>
          <w:szCs w:val="24"/>
        </w:rPr>
      </w:pPr>
      <w:r>
        <w:rPr>
          <w:rFonts w:hint="eastAsia" w:ascii="仿宋_GB2312" w:eastAsia="仿宋_GB2312"/>
          <w:sz w:val="24"/>
          <w:szCs w:val="24"/>
        </w:rPr>
        <w:t>第十条 本实施细则纳入涉及工程项目设计工作内容的勘察设计施工总承包、全过程工程咨询、勘察设计、工程设计等招标文件及合同中作为附件组成部分之一。</w:t>
      </w:r>
    </w:p>
    <w:p w14:paraId="1930C3CF">
      <w:pPr>
        <w:spacing w:line="560" w:lineRule="exact"/>
        <w:ind w:firstLine="480" w:firstLineChars="200"/>
        <w:rPr>
          <w:rFonts w:ascii="仿宋_GB2312" w:eastAsia="仿宋_GB2312"/>
          <w:sz w:val="24"/>
          <w:szCs w:val="24"/>
        </w:rPr>
      </w:pPr>
      <w:r>
        <w:rPr>
          <w:rFonts w:hint="eastAsia" w:ascii="仿宋_GB2312" w:eastAsia="仿宋_GB2312"/>
          <w:sz w:val="24"/>
          <w:szCs w:val="24"/>
        </w:rPr>
        <w:t>第十一条 设计合同由使用单位签署的，经我局签订补充协议后，自补充协议签订之日起的设计工作，按本细则实施，由使用单位负责管理的阶段，经征求使用单位意见后，一并按本细则实施，设计合同履约评价表完成审定后抄送使用单位。</w:t>
      </w:r>
    </w:p>
    <w:p w14:paraId="7BF6956D">
      <w:pPr>
        <w:spacing w:line="560" w:lineRule="exact"/>
        <w:ind w:firstLine="480" w:firstLineChars="200"/>
        <w:rPr>
          <w:rFonts w:ascii="仿宋_GB2312" w:eastAsia="仿宋_GB2312"/>
          <w:sz w:val="24"/>
          <w:szCs w:val="24"/>
        </w:rPr>
      </w:pPr>
      <w:r>
        <w:rPr>
          <w:rFonts w:hint="eastAsia" w:ascii="仿宋_GB2312" w:eastAsia="仿宋_GB2312"/>
          <w:sz w:val="24"/>
          <w:szCs w:val="24"/>
        </w:rPr>
        <w:t>第十二条 本细则自广东省代建项目管理局办公会研究通过后开始试行。前期工作部可结合直接管理项目实施过程实际情况适时进行修订。</w:t>
      </w:r>
    </w:p>
    <w:p w14:paraId="576FF2FB">
      <w:pPr>
        <w:spacing w:line="560" w:lineRule="exact"/>
        <w:ind w:firstLine="480" w:firstLineChars="200"/>
        <w:rPr>
          <w:rFonts w:ascii="仿宋_GB2312" w:eastAsia="仿宋_GB2312"/>
          <w:sz w:val="24"/>
          <w:szCs w:val="24"/>
        </w:rPr>
      </w:pPr>
    </w:p>
    <w:p w14:paraId="12179CB4">
      <w:pPr>
        <w:spacing w:line="560" w:lineRule="exact"/>
        <w:ind w:firstLine="480" w:firstLineChars="200"/>
        <w:rPr>
          <w:rFonts w:ascii="仿宋_GB2312" w:eastAsia="仿宋_GB2312"/>
          <w:sz w:val="24"/>
          <w:szCs w:val="24"/>
        </w:rPr>
      </w:pPr>
      <w:r>
        <w:rPr>
          <w:rFonts w:hint="eastAsia" w:ascii="仿宋_GB2312" w:eastAsia="仿宋_GB2312"/>
          <w:sz w:val="24"/>
          <w:szCs w:val="24"/>
        </w:rPr>
        <w:t>附件：</w:t>
      </w:r>
    </w:p>
    <w:p w14:paraId="1FB8B264">
      <w:pPr>
        <w:spacing w:line="560" w:lineRule="exact"/>
        <w:ind w:firstLine="480" w:firstLineChars="200"/>
        <w:rPr>
          <w:rFonts w:ascii="仿宋_GB2312" w:eastAsia="仿宋_GB2312"/>
          <w:sz w:val="24"/>
          <w:szCs w:val="24"/>
        </w:rPr>
      </w:pPr>
      <w:r>
        <w:rPr>
          <w:rFonts w:hint="eastAsia" w:ascii="仿宋_GB2312" w:eastAsia="仿宋_GB2312"/>
          <w:sz w:val="24"/>
          <w:szCs w:val="24"/>
        </w:rPr>
        <w:t>一、方案设计阶段设计合同履约评价表</w:t>
      </w:r>
    </w:p>
    <w:p w14:paraId="0045EF6B">
      <w:pPr>
        <w:spacing w:line="560" w:lineRule="exact"/>
        <w:ind w:firstLine="480" w:firstLineChars="200"/>
        <w:rPr>
          <w:rFonts w:ascii="仿宋_GB2312" w:eastAsia="仿宋_GB2312"/>
          <w:sz w:val="24"/>
          <w:szCs w:val="24"/>
        </w:rPr>
      </w:pPr>
      <w:r>
        <w:rPr>
          <w:rFonts w:hint="eastAsia" w:ascii="仿宋_GB2312" w:eastAsia="仿宋_GB2312"/>
          <w:sz w:val="24"/>
          <w:szCs w:val="24"/>
        </w:rPr>
        <w:t>二、初步设计阶段设计合同履约评价表</w:t>
      </w:r>
    </w:p>
    <w:p w14:paraId="5981E997">
      <w:pPr>
        <w:spacing w:line="560" w:lineRule="exact"/>
        <w:ind w:firstLine="480" w:firstLineChars="200"/>
        <w:rPr>
          <w:rFonts w:ascii="仿宋_GB2312" w:eastAsia="仿宋_GB2312"/>
          <w:sz w:val="24"/>
          <w:szCs w:val="24"/>
        </w:rPr>
      </w:pPr>
      <w:r>
        <w:rPr>
          <w:rFonts w:hint="eastAsia" w:ascii="仿宋_GB2312" w:eastAsia="仿宋_GB2312"/>
          <w:sz w:val="24"/>
          <w:szCs w:val="24"/>
        </w:rPr>
        <w:t>三、施工图设计阶段设计合同履约评价表</w:t>
      </w:r>
    </w:p>
    <w:p w14:paraId="1C10A3B5">
      <w:pPr>
        <w:spacing w:line="560" w:lineRule="exact"/>
        <w:ind w:firstLine="480" w:firstLineChars="200"/>
        <w:rPr>
          <w:rFonts w:ascii="仿宋_GB2312" w:eastAsia="仿宋_GB2312"/>
          <w:sz w:val="24"/>
          <w:szCs w:val="24"/>
        </w:rPr>
      </w:pPr>
      <w:r>
        <w:rPr>
          <w:rFonts w:hint="eastAsia" w:ascii="仿宋_GB2312" w:eastAsia="仿宋_GB2312"/>
          <w:sz w:val="24"/>
          <w:szCs w:val="24"/>
        </w:rPr>
        <w:t>四、施工阶段设计合同履约评价表</w:t>
      </w:r>
    </w:p>
    <w:p w14:paraId="2AE1358D">
      <w:pPr>
        <w:spacing w:line="560" w:lineRule="exact"/>
        <w:ind w:firstLine="480" w:firstLineChars="200"/>
        <w:rPr>
          <w:rFonts w:ascii="仿宋_GB2312" w:eastAsia="仿宋_GB2312"/>
          <w:sz w:val="24"/>
          <w:szCs w:val="24"/>
        </w:rPr>
      </w:pPr>
      <w:r>
        <w:rPr>
          <w:rFonts w:hint="eastAsia" w:ascii="仿宋_GB2312" w:eastAsia="仿宋_GB2312"/>
          <w:sz w:val="24"/>
          <w:szCs w:val="24"/>
        </w:rPr>
        <w:t>五、缺陷责任期阶段设计合同履约评价表</w:t>
      </w:r>
    </w:p>
    <w:p w14:paraId="0F4DD37C">
      <w:pPr>
        <w:spacing w:line="560" w:lineRule="exact"/>
        <w:ind w:firstLine="480" w:firstLineChars="200"/>
        <w:rPr>
          <w:rFonts w:ascii="仿宋_GB2312" w:eastAsia="仿宋_GB2312"/>
          <w:sz w:val="24"/>
          <w:szCs w:val="24"/>
        </w:rPr>
      </w:pPr>
      <w:r>
        <w:rPr>
          <w:rFonts w:hint="eastAsia" w:ascii="仿宋_GB2312" w:eastAsia="仿宋_GB2312"/>
          <w:sz w:val="24"/>
          <w:szCs w:val="24"/>
        </w:rPr>
        <w:t>六、设计错误分类</w:t>
      </w:r>
    </w:p>
    <w:p w14:paraId="0736CBDB">
      <w:pPr>
        <w:spacing w:line="560" w:lineRule="exact"/>
        <w:ind w:firstLine="627"/>
        <w:rPr>
          <w:rFonts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附件一</w:t>
      </w:r>
    </w:p>
    <w:tbl>
      <w:tblPr>
        <w:tblStyle w:val="54"/>
        <w:tblW w:w="9366" w:type="dxa"/>
        <w:jc w:val="center"/>
        <w:tblLayout w:type="fixed"/>
        <w:tblCellMar>
          <w:top w:w="0" w:type="dxa"/>
          <w:left w:w="108" w:type="dxa"/>
          <w:bottom w:w="0" w:type="dxa"/>
          <w:right w:w="108" w:type="dxa"/>
        </w:tblCellMar>
      </w:tblPr>
      <w:tblGrid>
        <w:gridCol w:w="460"/>
        <w:gridCol w:w="1393"/>
        <w:gridCol w:w="709"/>
        <w:gridCol w:w="2551"/>
        <w:gridCol w:w="3261"/>
        <w:gridCol w:w="992"/>
      </w:tblGrid>
      <w:tr w14:paraId="406CEEF4">
        <w:tblPrEx>
          <w:tblCellMar>
            <w:top w:w="0" w:type="dxa"/>
            <w:left w:w="108" w:type="dxa"/>
            <w:bottom w:w="0" w:type="dxa"/>
            <w:right w:w="108" w:type="dxa"/>
          </w:tblCellMar>
        </w:tblPrEx>
        <w:trPr>
          <w:trHeight w:val="795" w:hRule="atLeast"/>
          <w:jc w:val="center"/>
        </w:trPr>
        <w:tc>
          <w:tcPr>
            <w:tcW w:w="9366" w:type="dxa"/>
            <w:gridSpan w:val="6"/>
            <w:tcBorders>
              <w:top w:val="nil"/>
              <w:left w:val="nil"/>
              <w:bottom w:val="nil"/>
              <w:right w:val="nil"/>
            </w:tcBorders>
            <w:vAlign w:val="center"/>
          </w:tcPr>
          <w:p w14:paraId="5463488F">
            <w:pPr>
              <w:widowControl/>
              <w:ind w:firstLine="549"/>
              <w:jc w:val="center"/>
              <w:rPr>
                <w:rFonts w:ascii="仿宋_GB2312" w:hAnsi="宋体" w:eastAsia="仿宋_GB2312"/>
                <w:sz w:val="28"/>
                <w:szCs w:val="28"/>
              </w:rPr>
            </w:pPr>
            <w:r>
              <w:rPr>
                <w:rFonts w:hint="eastAsia" w:ascii="仿宋_GB2312" w:hAnsi="宋体" w:eastAsia="仿宋_GB2312"/>
                <w:sz w:val="28"/>
                <w:szCs w:val="28"/>
              </w:rPr>
              <w:t>方案设计阶段设计合同履约评价表</w:t>
            </w:r>
          </w:p>
        </w:tc>
      </w:tr>
      <w:tr w14:paraId="6800A922">
        <w:tblPrEx>
          <w:tblCellMar>
            <w:top w:w="0" w:type="dxa"/>
            <w:left w:w="108" w:type="dxa"/>
            <w:bottom w:w="0" w:type="dxa"/>
            <w:right w:w="108" w:type="dxa"/>
          </w:tblCellMar>
        </w:tblPrEx>
        <w:trPr>
          <w:jc w:val="center"/>
        </w:trPr>
        <w:tc>
          <w:tcPr>
            <w:tcW w:w="460" w:type="dxa"/>
            <w:tcBorders>
              <w:top w:val="single" w:color="auto" w:sz="4" w:space="0"/>
              <w:left w:val="single" w:color="auto" w:sz="4" w:space="0"/>
              <w:bottom w:val="single" w:color="auto" w:sz="4" w:space="0"/>
              <w:right w:val="single" w:color="auto" w:sz="4" w:space="0"/>
            </w:tcBorders>
            <w:vAlign w:val="center"/>
          </w:tcPr>
          <w:p w14:paraId="6754FC4F">
            <w:pPr>
              <w:widowControl/>
              <w:ind w:firstLine="472"/>
              <w:jc w:val="center"/>
              <w:rPr>
                <w:rFonts w:ascii="宋体" w:hAnsi="宋体" w:cs="宋体"/>
                <w:bCs/>
                <w:kern w:val="0"/>
                <w:szCs w:val="21"/>
              </w:rPr>
            </w:pPr>
            <w:r>
              <w:rPr>
                <w:rFonts w:hint="eastAsia" w:ascii="宋体" w:hAnsi="宋体" w:cs="宋体"/>
                <w:bCs/>
                <w:kern w:val="0"/>
                <w:szCs w:val="21"/>
              </w:rPr>
              <w:t>序号</w:t>
            </w:r>
          </w:p>
        </w:tc>
        <w:tc>
          <w:tcPr>
            <w:tcW w:w="1393" w:type="dxa"/>
            <w:tcBorders>
              <w:top w:val="single" w:color="auto" w:sz="4" w:space="0"/>
              <w:left w:val="nil"/>
              <w:bottom w:val="single" w:color="auto" w:sz="4" w:space="0"/>
              <w:right w:val="single" w:color="auto" w:sz="4" w:space="0"/>
            </w:tcBorders>
            <w:vAlign w:val="center"/>
          </w:tcPr>
          <w:p w14:paraId="6571E988">
            <w:pPr>
              <w:widowControl/>
              <w:ind w:firstLine="472"/>
              <w:jc w:val="center"/>
              <w:rPr>
                <w:rFonts w:ascii="宋体" w:hAnsi="宋体" w:cs="宋体"/>
                <w:bCs/>
                <w:kern w:val="0"/>
                <w:szCs w:val="21"/>
              </w:rPr>
            </w:pPr>
            <w:r>
              <w:rPr>
                <w:rFonts w:hint="eastAsia" w:ascii="宋体" w:hAnsi="宋体" w:cs="宋体"/>
                <w:bCs/>
                <w:kern w:val="0"/>
                <w:szCs w:val="21"/>
              </w:rPr>
              <w:t>内容</w:t>
            </w:r>
          </w:p>
        </w:tc>
        <w:tc>
          <w:tcPr>
            <w:tcW w:w="709" w:type="dxa"/>
            <w:tcBorders>
              <w:top w:val="single" w:color="auto" w:sz="4" w:space="0"/>
              <w:left w:val="nil"/>
              <w:bottom w:val="single" w:color="auto" w:sz="4" w:space="0"/>
              <w:right w:val="single" w:color="auto" w:sz="4" w:space="0"/>
            </w:tcBorders>
            <w:vAlign w:val="center"/>
          </w:tcPr>
          <w:p w14:paraId="4B74CF11">
            <w:pPr>
              <w:widowControl/>
              <w:rPr>
                <w:rFonts w:ascii="宋体" w:hAnsi="宋体" w:cs="宋体"/>
                <w:bCs/>
                <w:kern w:val="0"/>
                <w:szCs w:val="21"/>
              </w:rPr>
            </w:pPr>
            <w:r>
              <w:rPr>
                <w:rFonts w:hint="eastAsia" w:ascii="宋体" w:hAnsi="宋体" w:cs="宋体"/>
                <w:bCs/>
                <w:kern w:val="0"/>
                <w:szCs w:val="21"/>
              </w:rPr>
              <w:t>单项</w:t>
            </w:r>
          </w:p>
          <w:p w14:paraId="5AD831BF">
            <w:pPr>
              <w:widowControl/>
              <w:rPr>
                <w:rFonts w:ascii="宋体" w:hAnsi="宋体" w:cs="宋体"/>
                <w:bCs/>
                <w:kern w:val="0"/>
                <w:szCs w:val="21"/>
              </w:rPr>
            </w:pPr>
            <w:r>
              <w:rPr>
                <w:rFonts w:hint="eastAsia" w:ascii="宋体" w:hAnsi="宋体" w:cs="宋体"/>
                <w:bCs/>
                <w:kern w:val="0"/>
                <w:szCs w:val="21"/>
              </w:rPr>
              <w:t>分值</w:t>
            </w:r>
          </w:p>
        </w:tc>
        <w:tc>
          <w:tcPr>
            <w:tcW w:w="2551" w:type="dxa"/>
            <w:tcBorders>
              <w:top w:val="single" w:color="auto" w:sz="4" w:space="0"/>
              <w:left w:val="nil"/>
              <w:bottom w:val="single" w:color="auto" w:sz="4" w:space="0"/>
              <w:right w:val="single" w:color="auto" w:sz="4" w:space="0"/>
            </w:tcBorders>
            <w:vAlign w:val="center"/>
          </w:tcPr>
          <w:p w14:paraId="17F58701">
            <w:pPr>
              <w:widowControl/>
              <w:ind w:firstLine="472"/>
              <w:jc w:val="center"/>
              <w:rPr>
                <w:rFonts w:ascii="宋体" w:hAnsi="宋体" w:cs="宋体"/>
                <w:bCs/>
                <w:kern w:val="0"/>
                <w:szCs w:val="21"/>
              </w:rPr>
            </w:pPr>
            <w:r>
              <w:rPr>
                <w:rFonts w:hint="eastAsia" w:ascii="宋体" w:hAnsi="宋体" w:cs="宋体"/>
                <w:bCs/>
                <w:kern w:val="0"/>
                <w:szCs w:val="21"/>
              </w:rPr>
              <w:t>评价指标</w:t>
            </w:r>
          </w:p>
        </w:tc>
        <w:tc>
          <w:tcPr>
            <w:tcW w:w="3261" w:type="dxa"/>
            <w:tcBorders>
              <w:top w:val="single" w:color="auto" w:sz="4" w:space="0"/>
              <w:left w:val="nil"/>
              <w:bottom w:val="single" w:color="auto" w:sz="4" w:space="0"/>
              <w:right w:val="single" w:color="auto" w:sz="4" w:space="0"/>
            </w:tcBorders>
            <w:vAlign w:val="center"/>
          </w:tcPr>
          <w:p w14:paraId="115FB3BD">
            <w:pPr>
              <w:widowControl/>
              <w:ind w:firstLine="472"/>
              <w:jc w:val="center"/>
              <w:rPr>
                <w:rFonts w:ascii="宋体" w:hAnsi="宋体" w:cs="宋体"/>
                <w:bCs/>
                <w:kern w:val="0"/>
                <w:szCs w:val="21"/>
              </w:rPr>
            </w:pPr>
            <w:r>
              <w:rPr>
                <w:rFonts w:hint="eastAsia" w:ascii="宋体" w:hAnsi="宋体" w:cs="宋体"/>
                <w:bCs/>
                <w:kern w:val="0"/>
                <w:szCs w:val="21"/>
              </w:rPr>
              <w:t>评分标准</w:t>
            </w:r>
          </w:p>
        </w:tc>
        <w:tc>
          <w:tcPr>
            <w:tcW w:w="992" w:type="dxa"/>
            <w:tcBorders>
              <w:top w:val="single" w:color="auto" w:sz="4" w:space="0"/>
              <w:left w:val="nil"/>
              <w:bottom w:val="single" w:color="auto" w:sz="4" w:space="0"/>
              <w:right w:val="single" w:color="auto" w:sz="4" w:space="0"/>
            </w:tcBorders>
            <w:vAlign w:val="center"/>
          </w:tcPr>
          <w:p w14:paraId="62D1B3FC">
            <w:pPr>
              <w:widowControl/>
              <w:jc w:val="center"/>
              <w:rPr>
                <w:rFonts w:ascii="宋体" w:hAnsi="宋体" w:cs="宋体"/>
                <w:kern w:val="0"/>
                <w:szCs w:val="21"/>
              </w:rPr>
            </w:pPr>
            <w:r>
              <w:rPr>
                <w:rFonts w:hint="eastAsia" w:ascii="宋体" w:hAnsi="宋体" w:cs="宋体"/>
                <w:kern w:val="0"/>
                <w:szCs w:val="21"/>
              </w:rPr>
              <w:t>得分</w:t>
            </w:r>
          </w:p>
        </w:tc>
      </w:tr>
      <w:tr w14:paraId="77200FC5">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549AAA84">
            <w:pPr>
              <w:widowControl/>
              <w:jc w:val="center"/>
              <w:rPr>
                <w:kern w:val="0"/>
                <w:szCs w:val="21"/>
              </w:rPr>
            </w:pPr>
            <w:r>
              <w:rPr>
                <w:rFonts w:hint="eastAsia" w:ascii="宋体" w:hAnsi="宋体"/>
                <w:kern w:val="0"/>
                <w:szCs w:val="21"/>
              </w:rPr>
              <w:t>一</w:t>
            </w:r>
          </w:p>
        </w:tc>
        <w:tc>
          <w:tcPr>
            <w:tcW w:w="1393" w:type="dxa"/>
            <w:tcBorders>
              <w:top w:val="nil"/>
              <w:left w:val="nil"/>
              <w:bottom w:val="single" w:color="auto" w:sz="4" w:space="0"/>
              <w:right w:val="single" w:color="auto" w:sz="4" w:space="0"/>
            </w:tcBorders>
            <w:vAlign w:val="center"/>
          </w:tcPr>
          <w:p w14:paraId="40186465">
            <w:pPr>
              <w:widowControl/>
              <w:jc w:val="center"/>
              <w:rPr>
                <w:kern w:val="0"/>
                <w:szCs w:val="21"/>
              </w:rPr>
            </w:pPr>
            <w:r>
              <w:rPr>
                <w:rFonts w:hint="eastAsia" w:ascii="宋体" w:hAnsi="宋体"/>
                <w:kern w:val="0"/>
                <w:szCs w:val="21"/>
              </w:rPr>
              <w:t>人员配备</w:t>
            </w:r>
          </w:p>
        </w:tc>
        <w:tc>
          <w:tcPr>
            <w:tcW w:w="709" w:type="dxa"/>
            <w:tcBorders>
              <w:top w:val="nil"/>
              <w:left w:val="nil"/>
              <w:bottom w:val="single" w:color="auto" w:sz="4" w:space="0"/>
              <w:right w:val="single" w:color="auto" w:sz="4" w:space="0"/>
            </w:tcBorders>
            <w:vAlign w:val="center"/>
          </w:tcPr>
          <w:p w14:paraId="6A07B5AB">
            <w:pPr>
              <w:widowControl/>
              <w:jc w:val="center"/>
              <w:rPr>
                <w:kern w:val="0"/>
                <w:szCs w:val="21"/>
              </w:rPr>
            </w:pPr>
            <w:r>
              <w:rPr>
                <w:kern w:val="0"/>
                <w:szCs w:val="21"/>
              </w:rPr>
              <w:t>10</w:t>
            </w:r>
          </w:p>
        </w:tc>
        <w:tc>
          <w:tcPr>
            <w:tcW w:w="2551" w:type="dxa"/>
            <w:tcBorders>
              <w:top w:val="nil"/>
              <w:left w:val="nil"/>
              <w:bottom w:val="single" w:color="auto" w:sz="4" w:space="0"/>
              <w:right w:val="single" w:color="auto" w:sz="4" w:space="0"/>
            </w:tcBorders>
            <w:vAlign w:val="center"/>
          </w:tcPr>
          <w:p w14:paraId="2A47C76D">
            <w:pPr>
              <w:widowControl/>
              <w:ind w:firstLine="472"/>
              <w:jc w:val="center"/>
              <w:rPr>
                <w:bCs/>
                <w:kern w:val="0"/>
                <w:szCs w:val="21"/>
              </w:rPr>
            </w:pPr>
            <w:r>
              <w:rPr>
                <w:bCs/>
                <w:kern w:val="0"/>
                <w:szCs w:val="21"/>
              </w:rPr>
              <w:t>　</w:t>
            </w:r>
          </w:p>
        </w:tc>
        <w:tc>
          <w:tcPr>
            <w:tcW w:w="3261" w:type="dxa"/>
            <w:tcBorders>
              <w:top w:val="nil"/>
              <w:left w:val="nil"/>
              <w:bottom w:val="single" w:color="auto" w:sz="4" w:space="0"/>
              <w:right w:val="single" w:color="auto" w:sz="4" w:space="0"/>
            </w:tcBorders>
            <w:vAlign w:val="center"/>
          </w:tcPr>
          <w:p w14:paraId="565B7955">
            <w:pPr>
              <w:widowControl/>
              <w:ind w:firstLine="472"/>
              <w:jc w:val="center"/>
              <w:rPr>
                <w:bCs/>
                <w:kern w:val="0"/>
                <w:szCs w:val="21"/>
              </w:rPr>
            </w:pPr>
            <w:r>
              <w:rPr>
                <w:bCs/>
                <w:kern w:val="0"/>
                <w:szCs w:val="21"/>
              </w:rPr>
              <w:t>　</w:t>
            </w:r>
          </w:p>
        </w:tc>
        <w:tc>
          <w:tcPr>
            <w:tcW w:w="992" w:type="dxa"/>
            <w:tcBorders>
              <w:top w:val="nil"/>
              <w:left w:val="nil"/>
              <w:bottom w:val="single" w:color="auto" w:sz="4" w:space="0"/>
              <w:right w:val="single" w:color="auto" w:sz="4" w:space="0"/>
            </w:tcBorders>
            <w:vAlign w:val="center"/>
          </w:tcPr>
          <w:p w14:paraId="514E9948">
            <w:pPr>
              <w:widowControl/>
              <w:jc w:val="center"/>
              <w:rPr>
                <w:kern w:val="0"/>
                <w:szCs w:val="21"/>
              </w:rPr>
            </w:pPr>
            <w:r>
              <w:rPr>
                <w:kern w:val="0"/>
                <w:szCs w:val="21"/>
              </w:rPr>
              <w:t>　</w:t>
            </w:r>
          </w:p>
        </w:tc>
      </w:tr>
      <w:tr w14:paraId="0138B99C">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0624C3E1">
            <w:pPr>
              <w:widowControl/>
              <w:jc w:val="center"/>
              <w:rPr>
                <w:kern w:val="0"/>
                <w:szCs w:val="21"/>
              </w:rPr>
            </w:pPr>
            <w:r>
              <w:rPr>
                <w:kern w:val="0"/>
                <w:szCs w:val="21"/>
              </w:rPr>
              <w:t>1</w:t>
            </w:r>
          </w:p>
        </w:tc>
        <w:tc>
          <w:tcPr>
            <w:tcW w:w="1393" w:type="dxa"/>
            <w:tcBorders>
              <w:top w:val="nil"/>
              <w:left w:val="nil"/>
              <w:bottom w:val="single" w:color="auto" w:sz="4" w:space="0"/>
              <w:right w:val="nil"/>
            </w:tcBorders>
            <w:vAlign w:val="center"/>
          </w:tcPr>
          <w:p w14:paraId="11B2EABC">
            <w:pPr>
              <w:widowControl/>
              <w:jc w:val="center"/>
              <w:rPr>
                <w:kern w:val="0"/>
                <w:szCs w:val="21"/>
              </w:rPr>
            </w:pPr>
            <w:r>
              <w:rPr>
                <w:rFonts w:hint="eastAsia" w:ascii="宋体" w:hAnsi="宋体"/>
                <w:kern w:val="0"/>
                <w:szCs w:val="21"/>
              </w:rPr>
              <w:t>项目负责人</w:t>
            </w:r>
          </w:p>
        </w:tc>
        <w:tc>
          <w:tcPr>
            <w:tcW w:w="709" w:type="dxa"/>
            <w:tcBorders>
              <w:top w:val="nil"/>
              <w:left w:val="single" w:color="auto" w:sz="4" w:space="0"/>
              <w:bottom w:val="single" w:color="auto" w:sz="4" w:space="0"/>
              <w:right w:val="single" w:color="auto" w:sz="4" w:space="0"/>
            </w:tcBorders>
            <w:vAlign w:val="center"/>
          </w:tcPr>
          <w:p w14:paraId="3E1053B5">
            <w:pPr>
              <w:widowControl/>
              <w:jc w:val="center"/>
              <w:rPr>
                <w:kern w:val="0"/>
                <w:szCs w:val="21"/>
              </w:rPr>
            </w:pPr>
            <w:r>
              <w:rPr>
                <w:rFonts w:hint="eastAsia"/>
                <w:kern w:val="0"/>
                <w:szCs w:val="21"/>
              </w:rPr>
              <w:t>5</w:t>
            </w:r>
          </w:p>
        </w:tc>
        <w:tc>
          <w:tcPr>
            <w:tcW w:w="2551" w:type="dxa"/>
            <w:tcBorders>
              <w:top w:val="nil"/>
              <w:left w:val="nil"/>
              <w:bottom w:val="single" w:color="auto" w:sz="4" w:space="0"/>
              <w:right w:val="single" w:color="auto" w:sz="4" w:space="0"/>
            </w:tcBorders>
            <w:vAlign w:val="center"/>
          </w:tcPr>
          <w:p w14:paraId="186418F7">
            <w:pPr>
              <w:widowControl/>
              <w:jc w:val="left"/>
              <w:rPr>
                <w:kern w:val="0"/>
                <w:szCs w:val="21"/>
              </w:rPr>
            </w:pPr>
            <w:r>
              <w:rPr>
                <w:rFonts w:hint="eastAsia" w:ascii="宋体" w:hAnsi="宋体"/>
                <w:kern w:val="0"/>
                <w:szCs w:val="21"/>
              </w:rPr>
              <w:t>是否按合同到位</w:t>
            </w:r>
          </w:p>
        </w:tc>
        <w:tc>
          <w:tcPr>
            <w:tcW w:w="3261" w:type="dxa"/>
            <w:tcBorders>
              <w:top w:val="nil"/>
              <w:left w:val="nil"/>
              <w:bottom w:val="single" w:color="auto" w:sz="4" w:space="0"/>
              <w:right w:val="single" w:color="auto" w:sz="4" w:space="0"/>
            </w:tcBorders>
            <w:vAlign w:val="center"/>
          </w:tcPr>
          <w:p w14:paraId="0724EB53">
            <w:pPr>
              <w:widowControl/>
              <w:jc w:val="left"/>
              <w:rPr>
                <w:rFonts w:ascii="宋体" w:hAnsi="宋体"/>
                <w:kern w:val="0"/>
                <w:szCs w:val="21"/>
              </w:rPr>
            </w:pPr>
            <w:r>
              <w:rPr>
                <w:rFonts w:hint="eastAsia" w:ascii="宋体" w:hAnsi="宋体"/>
                <w:kern w:val="0"/>
                <w:szCs w:val="21"/>
              </w:rPr>
              <w:t>未按合同到位或未经甲方同意，每自行更换一次</w:t>
            </w:r>
            <w:r>
              <w:rPr>
                <w:rFonts w:hint="eastAsia"/>
                <w:kern w:val="0"/>
                <w:szCs w:val="21"/>
              </w:rPr>
              <w:t>，</w:t>
            </w:r>
            <w:r>
              <w:rPr>
                <w:rFonts w:hint="eastAsia" w:ascii="宋体" w:hAnsi="宋体"/>
                <w:kern w:val="0"/>
                <w:szCs w:val="21"/>
              </w:rPr>
              <w:t>扣</w:t>
            </w:r>
            <w:r>
              <w:rPr>
                <w:rFonts w:hint="eastAsia"/>
                <w:kern w:val="0"/>
                <w:szCs w:val="21"/>
              </w:rPr>
              <w:t>2</w:t>
            </w:r>
            <w:r>
              <w:rPr>
                <w:rFonts w:hint="eastAsia" w:ascii="宋体" w:hAnsi="宋体"/>
                <w:kern w:val="0"/>
                <w:szCs w:val="21"/>
              </w:rPr>
              <w:t>分；</w:t>
            </w:r>
          </w:p>
          <w:p w14:paraId="2E01EF2E">
            <w:pPr>
              <w:widowControl/>
              <w:jc w:val="left"/>
              <w:rPr>
                <w:kern w:val="0"/>
                <w:szCs w:val="21"/>
              </w:rPr>
            </w:pPr>
            <w:r>
              <w:rPr>
                <w:rFonts w:hint="eastAsia" w:ascii="宋体" w:hAnsi="宋体"/>
                <w:kern w:val="0"/>
                <w:szCs w:val="21"/>
              </w:rPr>
              <w:t>缺席甲方要求参加的重要会议，每次扣1分。</w:t>
            </w:r>
          </w:p>
        </w:tc>
        <w:tc>
          <w:tcPr>
            <w:tcW w:w="992" w:type="dxa"/>
            <w:tcBorders>
              <w:top w:val="nil"/>
              <w:left w:val="nil"/>
              <w:bottom w:val="single" w:color="auto" w:sz="4" w:space="0"/>
              <w:right w:val="single" w:color="auto" w:sz="4" w:space="0"/>
            </w:tcBorders>
            <w:vAlign w:val="center"/>
          </w:tcPr>
          <w:p w14:paraId="1A36B934">
            <w:pPr>
              <w:widowControl/>
              <w:jc w:val="center"/>
              <w:rPr>
                <w:kern w:val="0"/>
                <w:szCs w:val="21"/>
              </w:rPr>
            </w:pPr>
            <w:r>
              <w:rPr>
                <w:kern w:val="0"/>
                <w:szCs w:val="21"/>
              </w:rPr>
              <w:t>　</w:t>
            </w:r>
          </w:p>
        </w:tc>
      </w:tr>
      <w:tr w14:paraId="646D48EB">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6C3E10B5">
            <w:pPr>
              <w:widowControl/>
              <w:jc w:val="center"/>
              <w:rPr>
                <w:kern w:val="0"/>
                <w:szCs w:val="21"/>
              </w:rPr>
            </w:pPr>
            <w:r>
              <w:rPr>
                <w:rFonts w:hint="eastAsia"/>
                <w:kern w:val="0"/>
                <w:szCs w:val="21"/>
              </w:rPr>
              <w:t>2</w:t>
            </w:r>
          </w:p>
        </w:tc>
        <w:tc>
          <w:tcPr>
            <w:tcW w:w="1393" w:type="dxa"/>
            <w:tcBorders>
              <w:top w:val="single" w:color="auto" w:sz="4" w:space="0"/>
              <w:left w:val="nil"/>
              <w:bottom w:val="nil"/>
              <w:right w:val="nil"/>
            </w:tcBorders>
            <w:vAlign w:val="center"/>
          </w:tcPr>
          <w:p w14:paraId="06C38A5C">
            <w:pPr>
              <w:widowControl/>
              <w:jc w:val="left"/>
              <w:rPr>
                <w:rFonts w:ascii="宋体" w:hAnsi="宋体"/>
                <w:kern w:val="0"/>
                <w:szCs w:val="21"/>
              </w:rPr>
            </w:pPr>
            <w:r>
              <w:rPr>
                <w:rFonts w:hint="eastAsia" w:ascii="宋体" w:hAnsi="宋体"/>
                <w:kern w:val="0"/>
                <w:szCs w:val="21"/>
              </w:rPr>
              <w:t>各专业负责人</w:t>
            </w:r>
          </w:p>
        </w:tc>
        <w:tc>
          <w:tcPr>
            <w:tcW w:w="709" w:type="dxa"/>
            <w:tcBorders>
              <w:top w:val="nil"/>
              <w:left w:val="single" w:color="auto" w:sz="4" w:space="0"/>
              <w:bottom w:val="single" w:color="auto" w:sz="4" w:space="0"/>
              <w:right w:val="single" w:color="auto" w:sz="4" w:space="0"/>
            </w:tcBorders>
            <w:vAlign w:val="center"/>
          </w:tcPr>
          <w:p w14:paraId="1555956F">
            <w:pPr>
              <w:widowControl/>
              <w:jc w:val="center"/>
              <w:rPr>
                <w:kern w:val="0"/>
                <w:szCs w:val="21"/>
              </w:rPr>
            </w:pPr>
            <w:r>
              <w:rPr>
                <w:rFonts w:hint="eastAsia"/>
                <w:kern w:val="0"/>
                <w:szCs w:val="21"/>
              </w:rPr>
              <w:t>5</w:t>
            </w:r>
          </w:p>
        </w:tc>
        <w:tc>
          <w:tcPr>
            <w:tcW w:w="2551" w:type="dxa"/>
            <w:tcBorders>
              <w:top w:val="nil"/>
              <w:left w:val="nil"/>
              <w:bottom w:val="single" w:color="auto" w:sz="4" w:space="0"/>
              <w:right w:val="single" w:color="auto" w:sz="4" w:space="0"/>
            </w:tcBorders>
            <w:vAlign w:val="center"/>
          </w:tcPr>
          <w:p w14:paraId="5446C7B4">
            <w:pPr>
              <w:widowControl/>
              <w:jc w:val="left"/>
              <w:rPr>
                <w:rFonts w:ascii="宋体" w:hAnsi="宋体"/>
                <w:kern w:val="0"/>
                <w:szCs w:val="21"/>
              </w:rPr>
            </w:pPr>
            <w:r>
              <w:rPr>
                <w:rFonts w:hint="eastAsia" w:ascii="宋体" w:hAnsi="宋体"/>
                <w:kern w:val="0"/>
                <w:szCs w:val="21"/>
              </w:rPr>
              <w:t>人员是否稳定无更换</w:t>
            </w:r>
          </w:p>
        </w:tc>
        <w:tc>
          <w:tcPr>
            <w:tcW w:w="3261" w:type="dxa"/>
            <w:tcBorders>
              <w:top w:val="nil"/>
              <w:left w:val="nil"/>
              <w:bottom w:val="single" w:color="auto" w:sz="4" w:space="0"/>
              <w:right w:val="single" w:color="auto" w:sz="4" w:space="0"/>
            </w:tcBorders>
            <w:vAlign w:val="center"/>
          </w:tcPr>
          <w:p w14:paraId="1FF19400">
            <w:pPr>
              <w:widowControl/>
              <w:jc w:val="left"/>
              <w:rPr>
                <w:rFonts w:ascii="宋体" w:hAnsi="宋体"/>
                <w:kern w:val="0"/>
                <w:szCs w:val="21"/>
              </w:rPr>
            </w:pPr>
            <w:r>
              <w:rPr>
                <w:rFonts w:hint="eastAsia" w:ascii="宋体" w:hAnsi="宋体"/>
                <w:kern w:val="0"/>
                <w:szCs w:val="21"/>
              </w:rPr>
              <w:t>未按合同到位且未经甲方同意，每自行更换一次</w:t>
            </w:r>
            <w:r>
              <w:rPr>
                <w:rFonts w:hint="eastAsia"/>
                <w:kern w:val="0"/>
                <w:szCs w:val="21"/>
              </w:rPr>
              <w:t>，</w:t>
            </w:r>
            <w:r>
              <w:rPr>
                <w:rFonts w:hint="eastAsia" w:ascii="宋体" w:hAnsi="宋体"/>
                <w:kern w:val="0"/>
                <w:szCs w:val="21"/>
              </w:rPr>
              <w:t>扣</w:t>
            </w:r>
            <w:r>
              <w:rPr>
                <w:rFonts w:hint="eastAsia"/>
                <w:kern w:val="0"/>
                <w:szCs w:val="21"/>
              </w:rPr>
              <w:t>2</w:t>
            </w:r>
            <w:r>
              <w:rPr>
                <w:rFonts w:hint="eastAsia" w:ascii="宋体" w:hAnsi="宋体"/>
                <w:kern w:val="0"/>
                <w:szCs w:val="21"/>
              </w:rPr>
              <w:t>分；</w:t>
            </w:r>
          </w:p>
          <w:p w14:paraId="37805AF8">
            <w:pPr>
              <w:widowControl/>
              <w:jc w:val="left"/>
              <w:rPr>
                <w:kern w:val="0"/>
                <w:szCs w:val="21"/>
              </w:rPr>
            </w:pPr>
            <w:r>
              <w:rPr>
                <w:rFonts w:hint="eastAsia" w:ascii="宋体" w:hAnsi="宋体"/>
                <w:kern w:val="0"/>
                <w:szCs w:val="21"/>
              </w:rPr>
              <w:t>缺席甲方要求参加的重要会议，每次扣1分。</w:t>
            </w:r>
          </w:p>
        </w:tc>
        <w:tc>
          <w:tcPr>
            <w:tcW w:w="992" w:type="dxa"/>
            <w:tcBorders>
              <w:top w:val="nil"/>
              <w:left w:val="nil"/>
              <w:bottom w:val="single" w:color="auto" w:sz="4" w:space="0"/>
              <w:right w:val="single" w:color="auto" w:sz="4" w:space="0"/>
            </w:tcBorders>
            <w:vAlign w:val="center"/>
          </w:tcPr>
          <w:p w14:paraId="5C9D81BF">
            <w:pPr>
              <w:widowControl/>
              <w:jc w:val="center"/>
              <w:rPr>
                <w:kern w:val="0"/>
                <w:szCs w:val="21"/>
              </w:rPr>
            </w:pPr>
          </w:p>
        </w:tc>
      </w:tr>
      <w:tr w14:paraId="2562F4E2">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103461E1">
            <w:pPr>
              <w:widowControl/>
              <w:jc w:val="center"/>
              <w:rPr>
                <w:kern w:val="0"/>
                <w:szCs w:val="21"/>
              </w:rPr>
            </w:pPr>
            <w:r>
              <w:rPr>
                <w:rFonts w:hint="eastAsia" w:ascii="宋体" w:hAnsi="宋体"/>
                <w:kern w:val="0"/>
                <w:szCs w:val="21"/>
              </w:rPr>
              <w:t>二</w:t>
            </w:r>
          </w:p>
        </w:tc>
        <w:tc>
          <w:tcPr>
            <w:tcW w:w="1393" w:type="dxa"/>
            <w:tcBorders>
              <w:top w:val="single" w:color="auto" w:sz="4" w:space="0"/>
              <w:left w:val="nil"/>
              <w:bottom w:val="single" w:color="auto" w:sz="4" w:space="0"/>
              <w:right w:val="single" w:color="auto" w:sz="4" w:space="0"/>
            </w:tcBorders>
            <w:vAlign w:val="center"/>
          </w:tcPr>
          <w:p w14:paraId="3D309728">
            <w:pPr>
              <w:widowControl/>
              <w:jc w:val="left"/>
              <w:rPr>
                <w:kern w:val="0"/>
                <w:szCs w:val="21"/>
              </w:rPr>
            </w:pPr>
            <w:r>
              <w:rPr>
                <w:rFonts w:hint="eastAsia" w:ascii="宋体" w:hAnsi="宋体"/>
                <w:kern w:val="0"/>
                <w:szCs w:val="21"/>
              </w:rPr>
              <w:t>能力水平及履约表现</w:t>
            </w:r>
          </w:p>
        </w:tc>
        <w:tc>
          <w:tcPr>
            <w:tcW w:w="709" w:type="dxa"/>
            <w:tcBorders>
              <w:top w:val="nil"/>
              <w:left w:val="nil"/>
              <w:bottom w:val="single" w:color="auto" w:sz="4" w:space="0"/>
              <w:right w:val="single" w:color="auto" w:sz="4" w:space="0"/>
            </w:tcBorders>
            <w:vAlign w:val="center"/>
          </w:tcPr>
          <w:p w14:paraId="774D3C17">
            <w:pPr>
              <w:widowControl/>
              <w:jc w:val="center"/>
              <w:rPr>
                <w:kern w:val="0"/>
                <w:szCs w:val="21"/>
              </w:rPr>
            </w:pPr>
            <w:r>
              <w:rPr>
                <w:rFonts w:hint="eastAsia"/>
                <w:kern w:val="0"/>
                <w:szCs w:val="21"/>
              </w:rPr>
              <w:t>20</w:t>
            </w:r>
          </w:p>
        </w:tc>
        <w:tc>
          <w:tcPr>
            <w:tcW w:w="2551" w:type="dxa"/>
            <w:tcBorders>
              <w:top w:val="nil"/>
              <w:left w:val="nil"/>
              <w:bottom w:val="single" w:color="auto" w:sz="4" w:space="0"/>
              <w:right w:val="single" w:color="auto" w:sz="4" w:space="0"/>
            </w:tcBorders>
            <w:vAlign w:val="center"/>
          </w:tcPr>
          <w:p w14:paraId="5ABDA3BD">
            <w:pPr>
              <w:widowControl/>
              <w:jc w:val="left"/>
              <w:rPr>
                <w:kern w:val="0"/>
                <w:szCs w:val="21"/>
              </w:rPr>
            </w:pPr>
            <w:r>
              <w:rPr>
                <w:kern w:val="0"/>
                <w:szCs w:val="21"/>
              </w:rPr>
              <w:t>　</w:t>
            </w:r>
          </w:p>
        </w:tc>
        <w:tc>
          <w:tcPr>
            <w:tcW w:w="3261" w:type="dxa"/>
            <w:tcBorders>
              <w:top w:val="nil"/>
              <w:left w:val="nil"/>
              <w:bottom w:val="single" w:color="auto" w:sz="4" w:space="0"/>
              <w:right w:val="single" w:color="auto" w:sz="4" w:space="0"/>
            </w:tcBorders>
            <w:vAlign w:val="center"/>
          </w:tcPr>
          <w:p w14:paraId="01814E3F">
            <w:pPr>
              <w:widowControl/>
              <w:jc w:val="left"/>
              <w:rPr>
                <w:kern w:val="0"/>
                <w:szCs w:val="21"/>
              </w:rPr>
            </w:pPr>
            <w:r>
              <w:rPr>
                <w:kern w:val="0"/>
                <w:szCs w:val="21"/>
              </w:rPr>
              <w:t xml:space="preserve"> </w:t>
            </w:r>
          </w:p>
        </w:tc>
        <w:tc>
          <w:tcPr>
            <w:tcW w:w="992" w:type="dxa"/>
            <w:tcBorders>
              <w:top w:val="nil"/>
              <w:left w:val="nil"/>
              <w:bottom w:val="single" w:color="auto" w:sz="4" w:space="0"/>
              <w:right w:val="single" w:color="auto" w:sz="4" w:space="0"/>
            </w:tcBorders>
            <w:vAlign w:val="center"/>
          </w:tcPr>
          <w:p w14:paraId="703539EE">
            <w:pPr>
              <w:widowControl/>
              <w:jc w:val="center"/>
              <w:rPr>
                <w:kern w:val="0"/>
                <w:szCs w:val="21"/>
              </w:rPr>
            </w:pPr>
            <w:r>
              <w:rPr>
                <w:kern w:val="0"/>
                <w:szCs w:val="21"/>
              </w:rPr>
              <w:t>　</w:t>
            </w:r>
          </w:p>
        </w:tc>
      </w:tr>
      <w:tr w14:paraId="5CC56E41">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5835BBA3">
            <w:pPr>
              <w:widowControl/>
              <w:jc w:val="center"/>
              <w:rPr>
                <w:kern w:val="0"/>
                <w:szCs w:val="21"/>
              </w:rPr>
            </w:pPr>
            <w:r>
              <w:rPr>
                <w:rFonts w:hint="eastAsia"/>
                <w:kern w:val="0"/>
                <w:szCs w:val="21"/>
              </w:rPr>
              <w:t>1</w:t>
            </w:r>
          </w:p>
        </w:tc>
        <w:tc>
          <w:tcPr>
            <w:tcW w:w="1393" w:type="dxa"/>
            <w:tcBorders>
              <w:top w:val="nil"/>
              <w:left w:val="nil"/>
              <w:bottom w:val="single" w:color="auto" w:sz="4" w:space="0"/>
              <w:right w:val="single" w:color="auto" w:sz="4" w:space="0"/>
            </w:tcBorders>
            <w:vAlign w:val="center"/>
          </w:tcPr>
          <w:p w14:paraId="10536EAB">
            <w:pPr>
              <w:widowControl/>
              <w:jc w:val="left"/>
              <w:rPr>
                <w:kern w:val="0"/>
                <w:szCs w:val="21"/>
              </w:rPr>
            </w:pPr>
            <w:r>
              <w:rPr>
                <w:rFonts w:hint="eastAsia" w:ascii="宋体" w:hAnsi="宋体"/>
                <w:kern w:val="0"/>
                <w:szCs w:val="21"/>
              </w:rPr>
              <w:t>项目负责人</w:t>
            </w:r>
          </w:p>
        </w:tc>
        <w:tc>
          <w:tcPr>
            <w:tcW w:w="709" w:type="dxa"/>
            <w:tcBorders>
              <w:top w:val="nil"/>
              <w:left w:val="nil"/>
              <w:bottom w:val="single" w:color="auto" w:sz="4" w:space="0"/>
              <w:right w:val="single" w:color="auto" w:sz="4" w:space="0"/>
            </w:tcBorders>
            <w:vAlign w:val="center"/>
          </w:tcPr>
          <w:p w14:paraId="7C5E27E9">
            <w:pPr>
              <w:widowControl/>
              <w:jc w:val="center"/>
              <w:rPr>
                <w:kern w:val="0"/>
                <w:szCs w:val="21"/>
              </w:rPr>
            </w:pPr>
            <w:r>
              <w:rPr>
                <w:rFonts w:hint="eastAsia"/>
                <w:kern w:val="0"/>
                <w:szCs w:val="21"/>
              </w:rPr>
              <w:t>10</w:t>
            </w:r>
          </w:p>
        </w:tc>
        <w:tc>
          <w:tcPr>
            <w:tcW w:w="2551" w:type="dxa"/>
            <w:tcBorders>
              <w:top w:val="nil"/>
              <w:left w:val="nil"/>
              <w:bottom w:val="single" w:color="auto" w:sz="4" w:space="0"/>
              <w:right w:val="single" w:color="auto" w:sz="4" w:space="0"/>
            </w:tcBorders>
            <w:vAlign w:val="center"/>
          </w:tcPr>
          <w:p w14:paraId="32089CA7">
            <w:pPr>
              <w:widowControl/>
              <w:jc w:val="left"/>
              <w:rPr>
                <w:kern w:val="0"/>
                <w:szCs w:val="21"/>
              </w:rPr>
            </w:pPr>
            <w:r>
              <w:rPr>
                <w:rFonts w:hint="eastAsia" w:ascii="宋体" w:hAnsi="宋体"/>
                <w:kern w:val="0"/>
                <w:szCs w:val="21"/>
              </w:rPr>
              <w:t>是否具有较强的协调组织能力；是否及时发现问题和处理问题；是否能与甲方、使用单位及业务主管部门等相关单位充分沟通</w:t>
            </w:r>
          </w:p>
        </w:tc>
        <w:tc>
          <w:tcPr>
            <w:tcW w:w="3261" w:type="dxa"/>
            <w:tcBorders>
              <w:top w:val="nil"/>
              <w:left w:val="nil"/>
              <w:bottom w:val="single" w:color="auto" w:sz="4" w:space="0"/>
              <w:right w:val="single" w:color="auto" w:sz="4" w:space="0"/>
            </w:tcBorders>
            <w:vAlign w:val="center"/>
          </w:tcPr>
          <w:p w14:paraId="1C9FB16E">
            <w:pPr>
              <w:widowControl/>
              <w:jc w:val="left"/>
              <w:rPr>
                <w:rFonts w:ascii="宋体" w:hAnsi="宋体"/>
                <w:kern w:val="0"/>
                <w:szCs w:val="21"/>
              </w:rPr>
            </w:pPr>
            <w:r>
              <w:rPr>
                <w:kern w:val="0"/>
                <w:szCs w:val="21"/>
              </w:rPr>
              <w:t>1</w:t>
            </w:r>
            <w:r>
              <w:rPr>
                <w:rFonts w:hint="eastAsia" w:ascii="宋体" w:hAnsi="宋体"/>
                <w:kern w:val="0"/>
                <w:szCs w:val="21"/>
              </w:rPr>
              <w:t>、责任心不强、工作协调不到位；</w:t>
            </w:r>
          </w:p>
          <w:p w14:paraId="68476239">
            <w:pPr>
              <w:widowControl/>
              <w:jc w:val="left"/>
              <w:rPr>
                <w:rFonts w:ascii="宋体" w:hAnsi="宋体"/>
                <w:kern w:val="0"/>
                <w:szCs w:val="21"/>
              </w:rPr>
            </w:pPr>
            <w:r>
              <w:rPr>
                <w:kern w:val="0"/>
                <w:szCs w:val="21"/>
              </w:rPr>
              <w:t>2</w:t>
            </w:r>
            <w:r>
              <w:rPr>
                <w:rFonts w:hint="eastAsia" w:ascii="宋体" w:hAnsi="宋体"/>
                <w:kern w:val="0"/>
                <w:szCs w:val="21"/>
              </w:rPr>
              <w:t>、发现问题后未及时处理；</w:t>
            </w:r>
          </w:p>
          <w:p w14:paraId="2BB8A22D">
            <w:pPr>
              <w:widowControl/>
              <w:jc w:val="left"/>
              <w:rPr>
                <w:rFonts w:ascii="宋体" w:hAnsi="宋体"/>
                <w:kern w:val="0"/>
                <w:szCs w:val="21"/>
              </w:rPr>
            </w:pPr>
            <w:r>
              <w:rPr>
                <w:kern w:val="0"/>
                <w:szCs w:val="21"/>
              </w:rPr>
              <w:t>3</w:t>
            </w:r>
            <w:r>
              <w:rPr>
                <w:rFonts w:hint="eastAsia" w:ascii="宋体" w:hAnsi="宋体"/>
                <w:kern w:val="0"/>
                <w:szCs w:val="21"/>
              </w:rPr>
              <w:t>、未与相关参建单位或管理部门及时沟通；</w:t>
            </w:r>
          </w:p>
          <w:p w14:paraId="3BE5F1C5">
            <w:pPr>
              <w:widowControl/>
              <w:jc w:val="left"/>
              <w:rPr>
                <w:rFonts w:ascii="宋体" w:hAnsi="宋体"/>
                <w:kern w:val="0"/>
                <w:szCs w:val="21"/>
              </w:rPr>
            </w:pPr>
            <w:r>
              <w:rPr>
                <w:kern w:val="0"/>
                <w:szCs w:val="21"/>
              </w:rPr>
              <w:t>4</w:t>
            </w:r>
            <w:r>
              <w:rPr>
                <w:rFonts w:hint="eastAsia" w:ascii="宋体" w:hAnsi="宋体"/>
                <w:kern w:val="0"/>
                <w:szCs w:val="21"/>
              </w:rPr>
              <w:t>、未落实甲方的相关要求或会议纪要等文件精神。</w:t>
            </w:r>
          </w:p>
          <w:p w14:paraId="046D830E">
            <w:pPr>
              <w:widowControl/>
              <w:jc w:val="left"/>
              <w:rPr>
                <w:kern w:val="0"/>
                <w:szCs w:val="21"/>
              </w:rPr>
            </w:pPr>
            <w:r>
              <w:rPr>
                <w:rFonts w:hint="eastAsia" w:ascii="宋体" w:hAnsi="宋体"/>
                <w:kern w:val="0"/>
                <w:szCs w:val="21"/>
              </w:rPr>
              <w:t>以上各项每发生一次扣</w:t>
            </w:r>
            <w:r>
              <w:rPr>
                <w:rFonts w:hint="eastAsia"/>
                <w:kern w:val="0"/>
                <w:szCs w:val="21"/>
              </w:rPr>
              <w:t>2</w:t>
            </w:r>
            <w:r>
              <w:rPr>
                <w:rFonts w:hint="eastAsia" w:ascii="宋体" w:hAnsi="宋体"/>
                <w:kern w:val="0"/>
                <w:szCs w:val="21"/>
              </w:rPr>
              <w:t>分。</w:t>
            </w:r>
          </w:p>
        </w:tc>
        <w:tc>
          <w:tcPr>
            <w:tcW w:w="992" w:type="dxa"/>
            <w:tcBorders>
              <w:top w:val="nil"/>
              <w:left w:val="nil"/>
              <w:bottom w:val="single" w:color="auto" w:sz="4" w:space="0"/>
              <w:right w:val="single" w:color="auto" w:sz="4" w:space="0"/>
            </w:tcBorders>
            <w:vAlign w:val="center"/>
          </w:tcPr>
          <w:p w14:paraId="3740027D">
            <w:pPr>
              <w:widowControl/>
              <w:jc w:val="center"/>
              <w:rPr>
                <w:kern w:val="0"/>
                <w:szCs w:val="21"/>
              </w:rPr>
            </w:pPr>
            <w:r>
              <w:rPr>
                <w:kern w:val="0"/>
                <w:szCs w:val="21"/>
              </w:rPr>
              <w:t>　</w:t>
            </w:r>
          </w:p>
        </w:tc>
      </w:tr>
      <w:tr w14:paraId="24CF20EF">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7EE7E657">
            <w:pPr>
              <w:widowControl/>
              <w:jc w:val="center"/>
              <w:rPr>
                <w:kern w:val="0"/>
                <w:szCs w:val="21"/>
              </w:rPr>
            </w:pPr>
            <w:r>
              <w:rPr>
                <w:rFonts w:hint="eastAsia"/>
                <w:kern w:val="0"/>
                <w:szCs w:val="21"/>
              </w:rPr>
              <w:t>2</w:t>
            </w:r>
          </w:p>
        </w:tc>
        <w:tc>
          <w:tcPr>
            <w:tcW w:w="1393" w:type="dxa"/>
            <w:tcBorders>
              <w:top w:val="nil"/>
              <w:left w:val="nil"/>
              <w:bottom w:val="single" w:color="auto" w:sz="4" w:space="0"/>
              <w:right w:val="single" w:color="auto" w:sz="4" w:space="0"/>
            </w:tcBorders>
            <w:vAlign w:val="center"/>
          </w:tcPr>
          <w:p w14:paraId="03A253DD">
            <w:pPr>
              <w:widowControl/>
              <w:jc w:val="left"/>
              <w:rPr>
                <w:kern w:val="0"/>
                <w:szCs w:val="21"/>
              </w:rPr>
            </w:pPr>
            <w:r>
              <w:rPr>
                <w:rFonts w:hint="eastAsia" w:ascii="宋体" w:hAnsi="宋体"/>
                <w:kern w:val="0"/>
                <w:szCs w:val="21"/>
              </w:rPr>
              <w:t>各专业负责人</w:t>
            </w:r>
          </w:p>
        </w:tc>
        <w:tc>
          <w:tcPr>
            <w:tcW w:w="709" w:type="dxa"/>
            <w:tcBorders>
              <w:top w:val="nil"/>
              <w:left w:val="nil"/>
              <w:bottom w:val="single" w:color="auto" w:sz="4" w:space="0"/>
              <w:right w:val="single" w:color="auto" w:sz="4" w:space="0"/>
            </w:tcBorders>
            <w:vAlign w:val="center"/>
          </w:tcPr>
          <w:p w14:paraId="19890C01">
            <w:pPr>
              <w:widowControl/>
              <w:jc w:val="center"/>
              <w:rPr>
                <w:kern w:val="0"/>
                <w:szCs w:val="21"/>
              </w:rPr>
            </w:pPr>
            <w:r>
              <w:rPr>
                <w:rFonts w:hint="eastAsia"/>
                <w:kern w:val="0"/>
                <w:szCs w:val="21"/>
              </w:rPr>
              <w:t>10</w:t>
            </w:r>
          </w:p>
        </w:tc>
        <w:tc>
          <w:tcPr>
            <w:tcW w:w="2551" w:type="dxa"/>
            <w:tcBorders>
              <w:top w:val="nil"/>
              <w:left w:val="nil"/>
              <w:bottom w:val="single" w:color="auto" w:sz="4" w:space="0"/>
              <w:right w:val="single" w:color="auto" w:sz="4" w:space="0"/>
            </w:tcBorders>
            <w:vAlign w:val="center"/>
          </w:tcPr>
          <w:p w14:paraId="75EF94BF">
            <w:pPr>
              <w:widowControl/>
              <w:jc w:val="left"/>
              <w:rPr>
                <w:kern w:val="0"/>
                <w:szCs w:val="21"/>
              </w:rPr>
            </w:pPr>
            <w:r>
              <w:rPr>
                <w:rFonts w:hint="eastAsia" w:ascii="宋体" w:hAnsi="宋体"/>
                <w:kern w:val="0"/>
                <w:szCs w:val="21"/>
              </w:rPr>
              <w:t>是否有责任心；是否有较高的专业水平；与甲方、使用单位的沟通是否顺畅</w:t>
            </w:r>
          </w:p>
        </w:tc>
        <w:tc>
          <w:tcPr>
            <w:tcW w:w="3261" w:type="dxa"/>
            <w:tcBorders>
              <w:top w:val="nil"/>
              <w:left w:val="nil"/>
              <w:bottom w:val="single" w:color="auto" w:sz="4" w:space="0"/>
              <w:right w:val="single" w:color="auto" w:sz="4" w:space="0"/>
            </w:tcBorders>
            <w:vAlign w:val="center"/>
          </w:tcPr>
          <w:p w14:paraId="795D3943">
            <w:pPr>
              <w:widowControl/>
              <w:jc w:val="left"/>
              <w:rPr>
                <w:rFonts w:ascii="宋体" w:hAnsi="宋体"/>
                <w:kern w:val="0"/>
                <w:szCs w:val="21"/>
              </w:rPr>
            </w:pPr>
            <w:r>
              <w:rPr>
                <w:kern w:val="0"/>
                <w:szCs w:val="21"/>
              </w:rPr>
              <w:t>1</w:t>
            </w:r>
            <w:r>
              <w:rPr>
                <w:rFonts w:hint="eastAsia" w:ascii="宋体" w:hAnsi="宋体"/>
                <w:kern w:val="0"/>
                <w:szCs w:val="21"/>
              </w:rPr>
              <w:t>、责任心不强；</w:t>
            </w:r>
          </w:p>
          <w:p w14:paraId="3328AB8B">
            <w:pPr>
              <w:widowControl/>
              <w:jc w:val="left"/>
              <w:rPr>
                <w:rFonts w:ascii="宋体" w:hAnsi="宋体"/>
                <w:kern w:val="0"/>
                <w:szCs w:val="21"/>
              </w:rPr>
            </w:pPr>
            <w:r>
              <w:rPr>
                <w:kern w:val="0"/>
                <w:szCs w:val="21"/>
              </w:rPr>
              <w:t>2</w:t>
            </w:r>
            <w:r>
              <w:rPr>
                <w:rFonts w:hint="eastAsia" w:ascii="宋体" w:hAnsi="宋体"/>
                <w:kern w:val="0"/>
                <w:szCs w:val="21"/>
              </w:rPr>
              <w:t>、专业水平不高；</w:t>
            </w:r>
          </w:p>
          <w:p w14:paraId="3E58BCEF">
            <w:pPr>
              <w:widowControl/>
              <w:jc w:val="left"/>
              <w:rPr>
                <w:rFonts w:ascii="宋体" w:hAnsi="宋体"/>
                <w:kern w:val="0"/>
                <w:szCs w:val="21"/>
              </w:rPr>
            </w:pPr>
            <w:r>
              <w:rPr>
                <w:kern w:val="0"/>
                <w:szCs w:val="21"/>
              </w:rPr>
              <w:t>3</w:t>
            </w:r>
            <w:r>
              <w:rPr>
                <w:rFonts w:hint="eastAsia" w:ascii="宋体" w:hAnsi="宋体"/>
                <w:kern w:val="0"/>
                <w:szCs w:val="21"/>
              </w:rPr>
              <w:t>、与甲方、使用单位的沟通不到位。</w:t>
            </w:r>
          </w:p>
          <w:p w14:paraId="4C3EAA28">
            <w:pPr>
              <w:widowControl/>
              <w:jc w:val="left"/>
              <w:rPr>
                <w:kern w:val="0"/>
                <w:szCs w:val="21"/>
              </w:rPr>
            </w:pPr>
            <w:r>
              <w:rPr>
                <w:rFonts w:hint="eastAsia" w:ascii="宋体" w:hAnsi="宋体"/>
                <w:kern w:val="0"/>
                <w:szCs w:val="21"/>
              </w:rPr>
              <w:t>以上各项每发生一次扣</w:t>
            </w:r>
            <w:r>
              <w:rPr>
                <w:kern w:val="0"/>
                <w:szCs w:val="21"/>
              </w:rPr>
              <w:t>1</w:t>
            </w:r>
            <w:r>
              <w:rPr>
                <w:rFonts w:hint="eastAsia" w:ascii="宋体" w:hAnsi="宋体"/>
                <w:kern w:val="0"/>
                <w:szCs w:val="21"/>
              </w:rPr>
              <w:t>分。</w:t>
            </w:r>
          </w:p>
        </w:tc>
        <w:tc>
          <w:tcPr>
            <w:tcW w:w="992" w:type="dxa"/>
            <w:tcBorders>
              <w:top w:val="nil"/>
              <w:left w:val="nil"/>
              <w:bottom w:val="single" w:color="auto" w:sz="4" w:space="0"/>
              <w:right w:val="single" w:color="auto" w:sz="4" w:space="0"/>
            </w:tcBorders>
            <w:vAlign w:val="center"/>
          </w:tcPr>
          <w:p w14:paraId="21D1B21B">
            <w:pPr>
              <w:widowControl/>
              <w:jc w:val="center"/>
              <w:rPr>
                <w:kern w:val="0"/>
                <w:szCs w:val="21"/>
              </w:rPr>
            </w:pPr>
            <w:r>
              <w:rPr>
                <w:kern w:val="0"/>
                <w:szCs w:val="21"/>
              </w:rPr>
              <w:t>　</w:t>
            </w:r>
          </w:p>
        </w:tc>
      </w:tr>
      <w:tr w14:paraId="19DD3BC3">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3DF70643">
            <w:pPr>
              <w:widowControl/>
              <w:jc w:val="center"/>
              <w:rPr>
                <w:rFonts w:ascii="宋体" w:hAnsi="宋体" w:cs="宋体"/>
                <w:kern w:val="0"/>
                <w:szCs w:val="21"/>
              </w:rPr>
            </w:pPr>
            <w:r>
              <w:rPr>
                <w:rFonts w:hint="eastAsia" w:ascii="宋体" w:hAnsi="宋体" w:cs="宋体"/>
                <w:kern w:val="0"/>
                <w:szCs w:val="21"/>
              </w:rPr>
              <w:t>三</w:t>
            </w:r>
          </w:p>
        </w:tc>
        <w:tc>
          <w:tcPr>
            <w:tcW w:w="1393" w:type="dxa"/>
            <w:tcBorders>
              <w:top w:val="nil"/>
              <w:left w:val="nil"/>
              <w:bottom w:val="single" w:color="auto" w:sz="4" w:space="0"/>
              <w:right w:val="single" w:color="auto" w:sz="4" w:space="0"/>
            </w:tcBorders>
            <w:vAlign w:val="center"/>
          </w:tcPr>
          <w:p w14:paraId="1E77346D">
            <w:pPr>
              <w:widowControl/>
              <w:jc w:val="center"/>
              <w:rPr>
                <w:rFonts w:ascii="宋体" w:hAnsi="宋体" w:cs="宋体"/>
                <w:kern w:val="0"/>
                <w:szCs w:val="21"/>
              </w:rPr>
            </w:pPr>
            <w:r>
              <w:rPr>
                <w:rFonts w:hint="eastAsia" w:ascii="宋体" w:hAnsi="宋体" w:cs="宋体"/>
                <w:kern w:val="0"/>
                <w:szCs w:val="21"/>
              </w:rPr>
              <w:t>设计质量</w:t>
            </w:r>
          </w:p>
        </w:tc>
        <w:tc>
          <w:tcPr>
            <w:tcW w:w="709" w:type="dxa"/>
            <w:tcBorders>
              <w:top w:val="nil"/>
              <w:left w:val="nil"/>
              <w:bottom w:val="single" w:color="auto" w:sz="4" w:space="0"/>
              <w:right w:val="single" w:color="auto" w:sz="4" w:space="0"/>
            </w:tcBorders>
            <w:vAlign w:val="center"/>
          </w:tcPr>
          <w:p w14:paraId="49549005">
            <w:pPr>
              <w:widowControl/>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2551" w:type="dxa"/>
            <w:tcBorders>
              <w:top w:val="nil"/>
              <w:left w:val="nil"/>
              <w:bottom w:val="single" w:color="auto" w:sz="4" w:space="0"/>
              <w:right w:val="single" w:color="auto" w:sz="4" w:space="0"/>
            </w:tcBorders>
            <w:vAlign w:val="center"/>
          </w:tcPr>
          <w:p w14:paraId="5EAC69DC">
            <w:pPr>
              <w:widowControl/>
              <w:jc w:val="left"/>
              <w:rPr>
                <w:rFonts w:ascii="宋体" w:hAnsi="宋体" w:cs="宋体"/>
                <w:kern w:val="0"/>
                <w:szCs w:val="21"/>
              </w:rPr>
            </w:pPr>
            <w:r>
              <w:rPr>
                <w:rFonts w:hint="eastAsia" w:ascii="宋体" w:hAnsi="宋体" w:cs="宋体"/>
                <w:kern w:val="0"/>
                <w:szCs w:val="21"/>
              </w:rPr>
              <w:t>　</w:t>
            </w:r>
          </w:p>
        </w:tc>
        <w:tc>
          <w:tcPr>
            <w:tcW w:w="3261" w:type="dxa"/>
            <w:tcBorders>
              <w:top w:val="nil"/>
              <w:left w:val="nil"/>
              <w:bottom w:val="single" w:color="auto" w:sz="4" w:space="0"/>
              <w:right w:val="single" w:color="auto" w:sz="4" w:space="0"/>
            </w:tcBorders>
            <w:vAlign w:val="center"/>
          </w:tcPr>
          <w:p w14:paraId="685B2436">
            <w:pPr>
              <w:widowControl/>
              <w:jc w:val="left"/>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14:paraId="7036BB4B">
            <w:pPr>
              <w:widowControl/>
              <w:jc w:val="left"/>
              <w:rPr>
                <w:rFonts w:ascii="宋体" w:hAnsi="宋体" w:cs="宋体"/>
                <w:kern w:val="0"/>
                <w:szCs w:val="21"/>
              </w:rPr>
            </w:pPr>
            <w:r>
              <w:rPr>
                <w:rFonts w:hint="eastAsia" w:ascii="宋体" w:hAnsi="宋体" w:cs="宋体"/>
                <w:kern w:val="0"/>
                <w:szCs w:val="21"/>
              </w:rPr>
              <w:t>　</w:t>
            </w:r>
          </w:p>
        </w:tc>
      </w:tr>
      <w:tr w14:paraId="0B498BC4">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55DCF4E6">
            <w:pPr>
              <w:widowControl/>
              <w:jc w:val="center"/>
              <w:rPr>
                <w:rFonts w:ascii="宋体" w:hAnsi="宋体" w:cs="宋体"/>
                <w:kern w:val="0"/>
                <w:szCs w:val="21"/>
              </w:rPr>
            </w:pPr>
            <w:r>
              <w:rPr>
                <w:rFonts w:hint="eastAsia" w:ascii="宋体" w:hAnsi="宋体" w:cs="宋体"/>
                <w:kern w:val="0"/>
                <w:szCs w:val="21"/>
              </w:rPr>
              <w:t>1</w:t>
            </w:r>
          </w:p>
        </w:tc>
        <w:tc>
          <w:tcPr>
            <w:tcW w:w="1393" w:type="dxa"/>
            <w:tcBorders>
              <w:top w:val="nil"/>
              <w:left w:val="nil"/>
              <w:bottom w:val="single" w:color="auto" w:sz="4" w:space="0"/>
              <w:right w:val="single" w:color="auto" w:sz="4" w:space="0"/>
            </w:tcBorders>
            <w:vAlign w:val="center"/>
          </w:tcPr>
          <w:p w14:paraId="03BCB7C8">
            <w:pPr>
              <w:widowControl/>
              <w:jc w:val="center"/>
              <w:rPr>
                <w:rFonts w:ascii="宋体" w:hAnsi="宋体" w:cs="宋体"/>
                <w:kern w:val="0"/>
                <w:szCs w:val="21"/>
              </w:rPr>
            </w:pPr>
            <w:r>
              <w:rPr>
                <w:rFonts w:hint="eastAsia" w:ascii="宋体" w:hAnsi="宋体" w:cs="宋体"/>
                <w:kern w:val="0"/>
                <w:szCs w:val="21"/>
              </w:rPr>
              <w:t>建筑方案</w:t>
            </w:r>
          </w:p>
        </w:tc>
        <w:tc>
          <w:tcPr>
            <w:tcW w:w="709" w:type="dxa"/>
            <w:tcBorders>
              <w:top w:val="nil"/>
              <w:left w:val="nil"/>
              <w:bottom w:val="single" w:color="auto" w:sz="4" w:space="0"/>
              <w:right w:val="single" w:color="auto" w:sz="4" w:space="0"/>
            </w:tcBorders>
            <w:vAlign w:val="center"/>
          </w:tcPr>
          <w:p w14:paraId="0288631F">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551" w:type="dxa"/>
            <w:tcBorders>
              <w:top w:val="nil"/>
              <w:left w:val="nil"/>
              <w:bottom w:val="single" w:color="auto" w:sz="4" w:space="0"/>
              <w:right w:val="single" w:color="auto" w:sz="4" w:space="0"/>
            </w:tcBorders>
            <w:vAlign w:val="center"/>
          </w:tcPr>
          <w:p w14:paraId="1173EA4C">
            <w:pPr>
              <w:widowControl/>
              <w:jc w:val="left"/>
              <w:rPr>
                <w:rFonts w:ascii="宋体" w:hAnsi="宋体" w:cs="宋体"/>
                <w:kern w:val="0"/>
                <w:szCs w:val="21"/>
              </w:rPr>
            </w:pPr>
            <w:r>
              <w:rPr>
                <w:rFonts w:hint="eastAsia" w:ascii="宋体" w:hAnsi="宋体" w:cs="宋体"/>
                <w:kern w:val="0"/>
                <w:szCs w:val="21"/>
              </w:rPr>
              <w:t>是否达到招标文件或合同约定的方案设计要求。</w:t>
            </w:r>
          </w:p>
        </w:tc>
        <w:tc>
          <w:tcPr>
            <w:tcW w:w="3261" w:type="dxa"/>
            <w:tcBorders>
              <w:top w:val="nil"/>
              <w:left w:val="nil"/>
              <w:bottom w:val="single" w:color="auto" w:sz="4" w:space="0"/>
              <w:right w:val="single" w:color="auto" w:sz="4" w:space="0"/>
            </w:tcBorders>
            <w:vAlign w:val="center"/>
          </w:tcPr>
          <w:p w14:paraId="557EFC5C">
            <w:pPr>
              <w:widowControl/>
              <w:jc w:val="left"/>
              <w:rPr>
                <w:kern w:val="0"/>
                <w:szCs w:val="21"/>
              </w:rPr>
            </w:pPr>
            <w:r>
              <w:rPr>
                <w:rFonts w:hint="eastAsia"/>
                <w:kern w:val="0"/>
                <w:szCs w:val="21"/>
              </w:rPr>
              <w:t>未</w:t>
            </w:r>
            <w:r>
              <w:rPr>
                <w:kern w:val="0"/>
                <w:szCs w:val="21"/>
              </w:rPr>
              <w:t>达到</w:t>
            </w:r>
            <w:r>
              <w:rPr>
                <w:rFonts w:hint="eastAsia" w:ascii="宋体" w:hAnsi="宋体" w:cs="宋体"/>
                <w:kern w:val="0"/>
                <w:szCs w:val="21"/>
              </w:rPr>
              <w:t>招标文件或</w:t>
            </w:r>
            <w:r>
              <w:rPr>
                <w:kern w:val="0"/>
                <w:szCs w:val="21"/>
              </w:rPr>
              <w:t>合同约定</w:t>
            </w:r>
            <w:r>
              <w:rPr>
                <w:rFonts w:hint="eastAsia"/>
                <w:kern w:val="0"/>
                <w:szCs w:val="21"/>
              </w:rPr>
              <w:t>、会议纪要、通知、函件等</w:t>
            </w:r>
            <w:r>
              <w:rPr>
                <w:kern w:val="0"/>
                <w:szCs w:val="21"/>
              </w:rPr>
              <w:t>要求</w:t>
            </w:r>
            <w:r>
              <w:rPr>
                <w:rFonts w:hint="eastAsia"/>
                <w:kern w:val="0"/>
                <w:szCs w:val="21"/>
              </w:rPr>
              <w:t>。</w:t>
            </w:r>
          </w:p>
          <w:p w14:paraId="58E63804">
            <w:pPr>
              <w:widowControl/>
              <w:jc w:val="left"/>
              <w:rPr>
                <w:kern w:val="0"/>
                <w:szCs w:val="21"/>
              </w:rPr>
            </w:pPr>
            <w:r>
              <w:rPr>
                <w:rFonts w:hint="eastAsia"/>
                <w:kern w:val="0"/>
                <w:szCs w:val="21"/>
              </w:rPr>
              <w:t>每发生一项扣1分。</w:t>
            </w:r>
          </w:p>
        </w:tc>
        <w:tc>
          <w:tcPr>
            <w:tcW w:w="992" w:type="dxa"/>
            <w:tcBorders>
              <w:top w:val="nil"/>
              <w:left w:val="nil"/>
              <w:bottom w:val="single" w:color="auto" w:sz="4" w:space="0"/>
              <w:right w:val="single" w:color="auto" w:sz="4" w:space="0"/>
            </w:tcBorders>
            <w:vAlign w:val="center"/>
          </w:tcPr>
          <w:p w14:paraId="2665A899">
            <w:pPr>
              <w:widowControl/>
              <w:jc w:val="left"/>
              <w:rPr>
                <w:rFonts w:ascii="宋体" w:hAnsi="宋体" w:cs="宋体"/>
                <w:kern w:val="0"/>
                <w:szCs w:val="21"/>
              </w:rPr>
            </w:pPr>
            <w:r>
              <w:rPr>
                <w:rFonts w:hint="eastAsia" w:ascii="宋体" w:hAnsi="宋体" w:cs="宋体"/>
                <w:kern w:val="0"/>
                <w:szCs w:val="21"/>
              </w:rPr>
              <w:t>　</w:t>
            </w:r>
          </w:p>
        </w:tc>
      </w:tr>
      <w:tr w14:paraId="5890AD6B">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0CA9770E">
            <w:pPr>
              <w:widowControl/>
              <w:jc w:val="center"/>
              <w:rPr>
                <w:rFonts w:ascii="宋体" w:hAnsi="宋体" w:cs="宋体"/>
                <w:kern w:val="0"/>
                <w:szCs w:val="21"/>
              </w:rPr>
            </w:pPr>
            <w:r>
              <w:rPr>
                <w:rFonts w:hint="eastAsia" w:ascii="宋体" w:hAnsi="宋体" w:cs="宋体"/>
                <w:kern w:val="0"/>
                <w:szCs w:val="21"/>
              </w:rPr>
              <w:t>2</w:t>
            </w:r>
          </w:p>
        </w:tc>
        <w:tc>
          <w:tcPr>
            <w:tcW w:w="1393" w:type="dxa"/>
            <w:tcBorders>
              <w:top w:val="nil"/>
              <w:left w:val="nil"/>
              <w:bottom w:val="single" w:color="auto" w:sz="4" w:space="0"/>
              <w:right w:val="single" w:color="auto" w:sz="4" w:space="0"/>
            </w:tcBorders>
            <w:vAlign w:val="center"/>
          </w:tcPr>
          <w:p w14:paraId="7D629329">
            <w:pPr>
              <w:widowControl/>
              <w:jc w:val="center"/>
              <w:rPr>
                <w:rFonts w:ascii="宋体" w:hAnsi="宋体" w:cs="宋体"/>
                <w:kern w:val="0"/>
                <w:szCs w:val="21"/>
              </w:rPr>
            </w:pPr>
            <w:r>
              <w:rPr>
                <w:rFonts w:hint="eastAsia" w:ascii="宋体" w:hAnsi="宋体" w:cs="宋体"/>
                <w:kern w:val="0"/>
                <w:szCs w:val="21"/>
              </w:rPr>
              <w:t>规划报建</w:t>
            </w:r>
          </w:p>
        </w:tc>
        <w:tc>
          <w:tcPr>
            <w:tcW w:w="709" w:type="dxa"/>
            <w:tcBorders>
              <w:top w:val="nil"/>
              <w:left w:val="nil"/>
              <w:bottom w:val="single" w:color="auto" w:sz="4" w:space="0"/>
              <w:right w:val="single" w:color="auto" w:sz="4" w:space="0"/>
            </w:tcBorders>
            <w:vAlign w:val="center"/>
          </w:tcPr>
          <w:p w14:paraId="32513140">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551" w:type="dxa"/>
            <w:tcBorders>
              <w:top w:val="nil"/>
              <w:left w:val="nil"/>
              <w:bottom w:val="single" w:color="auto" w:sz="4" w:space="0"/>
              <w:right w:val="single" w:color="auto" w:sz="4" w:space="0"/>
            </w:tcBorders>
            <w:vAlign w:val="center"/>
          </w:tcPr>
          <w:p w14:paraId="17175073">
            <w:pPr>
              <w:widowControl/>
              <w:jc w:val="left"/>
              <w:rPr>
                <w:rFonts w:ascii="宋体" w:hAnsi="宋体" w:cs="宋体"/>
                <w:kern w:val="0"/>
                <w:szCs w:val="21"/>
              </w:rPr>
            </w:pPr>
            <w:r>
              <w:rPr>
                <w:rFonts w:hint="eastAsia" w:ascii="宋体" w:hAnsi="宋体" w:cs="宋体"/>
                <w:kern w:val="0"/>
                <w:szCs w:val="21"/>
              </w:rPr>
              <w:t>是否满足规划管理部门对规划报建文件的要求</w:t>
            </w:r>
          </w:p>
        </w:tc>
        <w:tc>
          <w:tcPr>
            <w:tcW w:w="3261" w:type="dxa"/>
            <w:tcBorders>
              <w:top w:val="nil"/>
              <w:left w:val="nil"/>
              <w:bottom w:val="single" w:color="auto" w:sz="4" w:space="0"/>
              <w:right w:val="single" w:color="auto" w:sz="4" w:space="0"/>
            </w:tcBorders>
            <w:vAlign w:val="center"/>
          </w:tcPr>
          <w:p w14:paraId="7FD54271">
            <w:pPr>
              <w:widowControl/>
              <w:jc w:val="left"/>
              <w:rPr>
                <w:rFonts w:ascii="宋体" w:hAnsi="宋体" w:cs="宋体"/>
                <w:kern w:val="0"/>
                <w:szCs w:val="21"/>
              </w:rPr>
            </w:pPr>
            <w:r>
              <w:rPr>
                <w:rFonts w:hint="eastAsia" w:ascii="宋体" w:hAnsi="宋体" w:cs="宋体"/>
                <w:kern w:val="0"/>
                <w:szCs w:val="21"/>
              </w:rPr>
              <w:t>经规划管理部门或其委托的专业机构审查，规划报建文件（含电子报建文件）不符合要求而退回的。每发生一次扣2分。</w:t>
            </w:r>
          </w:p>
        </w:tc>
        <w:tc>
          <w:tcPr>
            <w:tcW w:w="992" w:type="dxa"/>
            <w:tcBorders>
              <w:top w:val="nil"/>
              <w:left w:val="nil"/>
              <w:bottom w:val="single" w:color="auto" w:sz="4" w:space="0"/>
              <w:right w:val="single" w:color="auto" w:sz="4" w:space="0"/>
            </w:tcBorders>
            <w:vAlign w:val="center"/>
          </w:tcPr>
          <w:p w14:paraId="71E97A47">
            <w:pPr>
              <w:widowControl/>
              <w:jc w:val="left"/>
              <w:rPr>
                <w:rFonts w:ascii="宋体" w:hAnsi="宋体" w:cs="宋体"/>
                <w:kern w:val="0"/>
                <w:szCs w:val="21"/>
              </w:rPr>
            </w:pPr>
            <w:r>
              <w:rPr>
                <w:rFonts w:hint="eastAsia" w:ascii="宋体" w:hAnsi="宋体" w:cs="宋体"/>
                <w:kern w:val="0"/>
                <w:szCs w:val="21"/>
              </w:rPr>
              <w:t>　</w:t>
            </w:r>
          </w:p>
        </w:tc>
      </w:tr>
      <w:tr w14:paraId="0540ED40">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60A5A155">
            <w:pPr>
              <w:widowControl/>
              <w:jc w:val="center"/>
              <w:rPr>
                <w:rFonts w:ascii="宋体" w:hAnsi="宋体" w:cs="宋体"/>
                <w:kern w:val="0"/>
                <w:szCs w:val="21"/>
              </w:rPr>
            </w:pPr>
            <w:r>
              <w:rPr>
                <w:rFonts w:hint="eastAsia" w:ascii="宋体" w:hAnsi="宋体" w:cs="宋体"/>
                <w:kern w:val="0"/>
                <w:szCs w:val="21"/>
              </w:rPr>
              <w:t>3</w:t>
            </w:r>
          </w:p>
        </w:tc>
        <w:tc>
          <w:tcPr>
            <w:tcW w:w="1393" w:type="dxa"/>
            <w:tcBorders>
              <w:top w:val="nil"/>
              <w:left w:val="nil"/>
              <w:bottom w:val="single" w:color="auto" w:sz="4" w:space="0"/>
              <w:right w:val="single" w:color="auto" w:sz="4" w:space="0"/>
            </w:tcBorders>
            <w:vAlign w:val="center"/>
          </w:tcPr>
          <w:p w14:paraId="13123182">
            <w:pPr>
              <w:widowControl/>
              <w:jc w:val="center"/>
              <w:rPr>
                <w:rFonts w:ascii="宋体" w:hAnsi="宋体" w:cs="宋体"/>
                <w:kern w:val="0"/>
                <w:szCs w:val="21"/>
              </w:rPr>
            </w:pPr>
            <w:r>
              <w:rPr>
                <w:rFonts w:hint="eastAsia" w:ascii="宋体" w:hAnsi="宋体" w:cs="宋体"/>
                <w:kern w:val="0"/>
                <w:szCs w:val="21"/>
              </w:rPr>
              <w:t>专业报建</w:t>
            </w:r>
          </w:p>
        </w:tc>
        <w:tc>
          <w:tcPr>
            <w:tcW w:w="709" w:type="dxa"/>
            <w:tcBorders>
              <w:top w:val="nil"/>
              <w:left w:val="nil"/>
              <w:bottom w:val="single" w:color="auto" w:sz="4" w:space="0"/>
              <w:right w:val="single" w:color="auto" w:sz="4" w:space="0"/>
            </w:tcBorders>
            <w:vAlign w:val="center"/>
          </w:tcPr>
          <w:p w14:paraId="4D60544B">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551" w:type="dxa"/>
            <w:tcBorders>
              <w:top w:val="nil"/>
              <w:left w:val="nil"/>
              <w:bottom w:val="single" w:color="auto" w:sz="4" w:space="0"/>
              <w:right w:val="single" w:color="auto" w:sz="4" w:space="0"/>
            </w:tcBorders>
            <w:vAlign w:val="center"/>
          </w:tcPr>
          <w:p w14:paraId="5E45FC44">
            <w:pPr>
              <w:widowControl/>
              <w:jc w:val="left"/>
              <w:rPr>
                <w:rFonts w:ascii="宋体" w:hAnsi="宋体" w:cs="宋体"/>
                <w:kern w:val="0"/>
                <w:szCs w:val="21"/>
              </w:rPr>
            </w:pPr>
            <w:r>
              <w:rPr>
                <w:rFonts w:hint="eastAsia" w:ascii="宋体" w:hAnsi="宋体" w:cs="宋体"/>
                <w:kern w:val="0"/>
                <w:szCs w:val="21"/>
              </w:rPr>
              <w:t>是否满足各专业管理部门对专业报建文件的要求</w:t>
            </w:r>
          </w:p>
        </w:tc>
        <w:tc>
          <w:tcPr>
            <w:tcW w:w="3261" w:type="dxa"/>
            <w:tcBorders>
              <w:top w:val="nil"/>
              <w:left w:val="nil"/>
              <w:bottom w:val="single" w:color="auto" w:sz="4" w:space="0"/>
              <w:right w:val="single" w:color="auto" w:sz="4" w:space="0"/>
            </w:tcBorders>
            <w:vAlign w:val="center"/>
          </w:tcPr>
          <w:p w14:paraId="52365D8D">
            <w:pPr>
              <w:widowControl/>
              <w:jc w:val="left"/>
              <w:rPr>
                <w:rFonts w:ascii="宋体" w:hAnsi="宋体" w:cs="宋体"/>
                <w:kern w:val="0"/>
                <w:szCs w:val="21"/>
              </w:rPr>
            </w:pPr>
            <w:r>
              <w:rPr>
                <w:rFonts w:hint="eastAsia" w:ascii="宋体" w:hAnsi="宋体" w:cs="宋体"/>
                <w:kern w:val="0"/>
                <w:szCs w:val="21"/>
              </w:rPr>
              <w:t>经各专业管理部门或其委托的第三方机构审查，专业报建文件（含电子报建文件）不符合要求而退回的，每发生一次扣2分。</w:t>
            </w:r>
          </w:p>
        </w:tc>
        <w:tc>
          <w:tcPr>
            <w:tcW w:w="992" w:type="dxa"/>
            <w:tcBorders>
              <w:top w:val="nil"/>
              <w:left w:val="nil"/>
              <w:bottom w:val="single" w:color="auto" w:sz="4" w:space="0"/>
              <w:right w:val="single" w:color="auto" w:sz="4" w:space="0"/>
            </w:tcBorders>
            <w:vAlign w:val="center"/>
          </w:tcPr>
          <w:p w14:paraId="67857E74">
            <w:pPr>
              <w:widowControl/>
              <w:jc w:val="left"/>
              <w:rPr>
                <w:rFonts w:ascii="宋体" w:hAnsi="宋体" w:cs="宋体"/>
                <w:kern w:val="0"/>
                <w:szCs w:val="21"/>
              </w:rPr>
            </w:pPr>
          </w:p>
        </w:tc>
      </w:tr>
      <w:tr w14:paraId="5A454545">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4D55C60A">
            <w:pPr>
              <w:widowControl/>
              <w:jc w:val="center"/>
              <w:rPr>
                <w:rFonts w:ascii="宋体" w:hAnsi="宋体" w:cs="宋体"/>
                <w:kern w:val="0"/>
                <w:szCs w:val="21"/>
              </w:rPr>
            </w:pPr>
            <w:r>
              <w:rPr>
                <w:rFonts w:hint="eastAsia" w:ascii="宋体" w:hAnsi="宋体" w:cs="宋体"/>
                <w:kern w:val="0"/>
                <w:szCs w:val="21"/>
              </w:rPr>
              <w:t>4</w:t>
            </w:r>
          </w:p>
        </w:tc>
        <w:tc>
          <w:tcPr>
            <w:tcW w:w="1393" w:type="dxa"/>
            <w:tcBorders>
              <w:top w:val="nil"/>
              <w:left w:val="nil"/>
              <w:bottom w:val="single" w:color="auto" w:sz="4" w:space="0"/>
              <w:right w:val="single" w:color="auto" w:sz="4" w:space="0"/>
            </w:tcBorders>
            <w:vAlign w:val="center"/>
          </w:tcPr>
          <w:p w14:paraId="55C961B4">
            <w:pPr>
              <w:widowControl/>
              <w:jc w:val="center"/>
              <w:rPr>
                <w:rFonts w:ascii="宋体" w:hAnsi="宋体" w:cs="宋体"/>
                <w:kern w:val="0"/>
                <w:szCs w:val="21"/>
              </w:rPr>
            </w:pPr>
            <w:r>
              <w:rPr>
                <w:rFonts w:hint="eastAsia" w:ascii="宋体" w:hAnsi="宋体" w:cs="宋体"/>
                <w:kern w:val="0"/>
                <w:szCs w:val="21"/>
              </w:rPr>
              <w:t>设计图纸深度</w:t>
            </w:r>
          </w:p>
        </w:tc>
        <w:tc>
          <w:tcPr>
            <w:tcW w:w="709" w:type="dxa"/>
            <w:tcBorders>
              <w:top w:val="nil"/>
              <w:left w:val="nil"/>
              <w:bottom w:val="single" w:color="auto" w:sz="4" w:space="0"/>
              <w:right w:val="single" w:color="auto" w:sz="4" w:space="0"/>
            </w:tcBorders>
            <w:vAlign w:val="center"/>
          </w:tcPr>
          <w:p w14:paraId="31F7475E">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551" w:type="dxa"/>
            <w:tcBorders>
              <w:top w:val="nil"/>
              <w:left w:val="nil"/>
              <w:bottom w:val="single" w:color="auto" w:sz="4" w:space="0"/>
              <w:right w:val="single" w:color="auto" w:sz="4" w:space="0"/>
            </w:tcBorders>
            <w:vAlign w:val="center"/>
          </w:tcPr>
          <w:p w14:paraId="2CBF13C6">
            <w:pPr>
              <w:widowControl/>
              <w:jc w:val="left"/>
              <w:rPr>
                <w:rFonts w:ascii="宋体" w:hAnsi="宋体" w:cs="宋体"/>
                <w:kern w:val="0"/>
                <w:szCs w:val="21"/>
              </w:rPr>
            </w:pPr>
            <w:r>
              <w:rPr>
                <w:rFonts w:hint="eastAsia" w:ascii="宋体" w:hAnsi="宋体" w:cs="宋体"/>
                <w:kern w:val="0"/>
                <w:szCs w:val="21"/>
              </w:rPr>
              <w:t>是否满足住建部《建筑工程设计文件编制深度规定》对该阶段设计深度的有关要求</w:t>
            </w:r>
          </w:p>
        </w:tc>
        <w:tc>
          <w:tcPr>
            <w:tcW w:w="3261" w:type="dxa"/>
            <w:tcBorders>
              <w:top w:val="nil"/>
              <w:left w:val="nil"/>
              <w:bottom w:val="single" w:color="auto" w:sz="4" w:space="0"/>
              <w:right w:val="single" w:color="auto" w:sz="4" w:space="0"/>
            </w:tcBorders>
            <w:vAlign w:val="center"/>
          </w:tcPr>
          <w:p w14:paraId="7C917654">
            <w:pPr>
              <w:widowControl/>
              <w:jc w:val="left"/>
              <w:rPr>
                <w:rFonts w:ascii="宋体" w:hAnsi="宋体" w:cs="宋体"/>
                <w:kern w:val="0"/>
                <w:szCs w:val="21"/>
              </w:rPr>
            </w:pPr>
            <w:r>
              <w:rPr>
                <w:rFonts w:hint="eastAsia" w:ascii="宋体" w:hAnsi="宋体" w:cs="宋体"/>
                <w:kern w:val="0"/>
                <w:szCs w:val="21"/>
              </w:rPr>
              <w:t>经第三方单位审核，有一个专业达不到深度的，扣1分。</w:t>
            </w:r>
          </w:p>
        </w:tc>
        <w:tc>
          <w:tcPr>
            <w:tcW w:w="992" w:type="dxa"/>
            <w:tcBorders>
              <w:top w:val="nil"/>
              <w:left w:val="nil"/>
              <w:bottom w:val="single" w:color="auto" w:sz="4" w:space="0"/>
              <w:right w:val="single" w:color="auto" w:sz="4" w:space="0"/>
            </w:tcBorders>
            <w:vAlign w:val="center"/>
          </w:tcPr>
          <w:p w14:paraId="6EE1BBC0">
            <w:pPr>
              <w:widowControl/>
              <w:jc w:val="center"/>
              <w:rPr>
                <w:rFonts w:ascii="宋体" w:hAnsi="宋体" w:cs="宋体"/>
                <w:kern w:val="0"/>
                <w:szCs w:val="21"/>
              </w:rPr>
            </w:pPr>
            <w:r>
              <w:rPr>
                <w:rFonts w:hint="eastAsia" w:ascii="宋体" w:hAnsi="宋体" w:cs="宋体"/>
                <w:kern w:val="0"/>
                <w:szCs w:val="21"/>
              </w:rPr>
              <w:t>　</w:t>
            </w:r>
          </w:p>
        </w:tc>
      </w:tr>
      <w:tr w14:paraId="71190FE4">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5191D89A">
            <w:pPr>
              <w:widowControl/>
              <w:jc w:val="center"/>
              <w:rPr>
                <w:rFonts w:ascii="宋体" w:hAnsi="宋体" w:cs="宋体"/>
                <w:kern w:val="0"/>
                <w:szCs w:val="21"/>
              </w:rPr>
            </w:pPr>
            <w:r>
              <w:rPr>
                <w:rFonts w:hint="eastAsia" w:ascii="宋体" w:hAnsi="宋体" w:cs="宋体"/>
                <w:kern w:val="0"/>
                <w:szCs w:val="21"/>
              </w:rPr>
              <w:t>5</w:t>
            </w:r>
          </w:p>
        </w:tc>
        <w:tc>
          <w:tcPr>
            <w:tcW w:w="1393" w:type="dxa"/>
            <w:tcBorders>
              <w:top w:val="nil"/>
              <w:left w:val="nil"/>
              <w:bottom w:val="single" w:color="auto" w:sz="4" w:space="0"/>
              <w:right w:val="single" w:color="auto" w:sz="4" w:space="0"/>
            </w:tcBorders>
            <w:vAlign w:val="center"/>
          </w:tcPr>
          <w:p w14:paraId="7F37277B">
            <w:pPr>
              <w:widowControl/>
              <w:jc w:val="center"/>
              <w:rPr>
                <w:rFonts w:ascii="宋体" w:hAnsi="宋体" w:cs="宋体"/>
                <w:kern w:val="0"/>
                <w:szCs w:val="21"/>
              </w:rPr>
            </w:pPr>
            <w:r>
              <w:rPr>
                <w:rFonts w:hint="eastAsia" w:ascii="宋体" w:hAnsi="宋体" w:cs="宋体"/>
                <w:kern w:val="0"/>
                <w:szCs w:val="21"/>
              </w:rPr>
              <w:t>限额设计</w:t>
            </w:r>
          </w:p>
        </w:tc>
        <w:tc>
          <w:tcPr>
            <w:tcW w:w="709" w:type="dxa"/>
            <w:tcBorders>
              <w:top w:val="nil"/>
              <w:left w:val="nil"/>
              <w:bottom w:val="single" w:color="auto" w:sz="4" w:space="0"/>
              <w:right w:val="single" w:color="auto" w:sz="4" w:space="0"/>
            </w:tcBorders>
            <w:vAlign w:val="center"/>
          </w:tcPr>
          <w:p w14:paraId="68212710">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2551" w:type="dxa"/>
            <w:tcBorders>
              <w:top w:val="nil"/>
              <w:left w:val="nil"/>
              <w:bottom w:val="single" w:color="auto" w:sz="4" w:space="0"/>
              <w:right w:val="single" w:color="auto" w:sz="4" w:space="0"/>
            </w:tcBorders>
            <w:vAlign w:val="center"/>
          </w:tcPr>
          <w:p w14:paraId="5EC9CA28">
            <w:pPr>
              <w:widowControl/>
              <w:jc w:val="left"/>
              <w:rPr>
                <w:rFonts w:ascii="宋体" w:hAnsi="宋体" w:cs="宋体"/>
                <w:kern w:val="0"/>
                <w:szCs w:val="21"/>
              </w:rPr>
            </w:pPr>
            <w:r>
              <w:rPr>
                <w:rFonts w:hint="eastAsia" w:ascii="宋体" w:hAnsi="宋体" w:cs="宋体"/>
                <w:kern w:val="0"/>
                <w:szCs w:val="21"/>
              </w:rPr>
              <w:t>方案估算是否满足经批复的投资估算</w:t>
            </w:r>
          </w:p>
        </w:tc>
        <w:tc>
          <w:tcPr>
            <w:tcW w:w="3261" w:type="dxa"/>
            <w:tcBorders>
              <w:top w:val="nil"/>
              <w:left w:val="nil"/>
              <w:bottom w:val="single" w:color="auto" w:sz="4" w:space="0"/>
              <w:right w:val="single" w:color="auto" w:sz="4" w:space="0"/>
            </w:tcBorders>
            <w:vAlign w:val="center"/>
          </w:tcPr>
          <w:p w14:paraId="15A6229F">
            <w:pPr>
              <w:widowControl/>
              <w:jc w:val="left"/>
              <w:rPr>
                <w:rFonts w:ascii="宋体" w:hAnsi="宋体" w:cs="宋体"/>
                <w:kern w:val="0"/>
                <w:szCs w:val="21"/>
              </w:rPr>
            </w:pPr>
            <w:r>
              <w:rPr>
                <w:rFonts w:hint="eastAsia" w:ascii="宋体" w:hAnsi="宋体" w:cs="宋体"/>
                <w:kern w:val="0"/>
                <w:szCs w:val="21"/>
              </w:rPr>
              <w:t>估算超出经批复的投资估算价，每报一版扣2分；</w:t>
            </w:r>
          </w:p>
          <w:p w14:paraId="44B786DD">
            <w:pPr>
              <w:widowControl/>
              <w:jc w:val="left"/>
              <w:rPr>
                <w:rFonts w:ascii="宋体" w:hAnsi="宋体" w:cs="宋体"/>
                <w:kern w:val="0"/>
                <w:szCs w:val="21"/>
              </w:rPr>
            </w:pPr>
            <w:r>
              <w:rPr>
                <w:rFonts w:hint="eastAsia" w:ascii="宋体" w:hAnsi="宋体" w:cs="宋体"/>
                <w:kern w:val="0"/>
                <w:szCs w:val="21"/>
              </w:rPr>
              <w:t>甲方委托的造价咨询公司审核价与乙方编制的估算价偏差每超出1%，扣1分。</w:t>
            </w:r>
          </w:p>
        </w:tc>
        <w:tc>
          <w:tcPr>
            <w:tcW w:w="992" w:type="dxa"/>
            <w:tcBorders>
              <w:top w:val="nil"/>
              <w:left w:val="nil"/>
              <w:bottom w:val="single" w:color="auto" w:sz="4" w:space="0"/>
              <w:right w:val="single" w:color="auto" w:sz="4" w:space="0"/>
            </w:tcBorders>
            <w:vAlign w:val="center"/>
          </w:tcPr>
          <w:p w14:paraId="21F41B6B">
            <w:pPr>
              <w:widowControl/>
              <w:jc w:val="center"/>
              <w:rPr>
                <w:rFonts w:ascii="宋体" w:hAnsi="宋体" w:cs="宋体"/>
                <w:kern w:val="0"/>
                <w:szCs w:val="21"/>
              </w:rPr>
            </w:pPr>
          </w:p>
        </w:tc>
      </w:tr>
      <w:tr w14:paraId="22197BCC">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67D08B2C">
            <w:pPr>
              <w:widowControl/>
              <w:jc w:val="center"/>
              <w:rPr>
                <w:rFonts w:ascii="宋体" w:hAnsi="宋体" w:cs="宋体"/>
                <w:kern w:val="0"/>
                <w:szCs w:val="21"/>
              </w:rPr>
            </w:pPr>
            <w:r>
              <w:rPr>
                <w:rFonts w:hint="eastAsia" w:ascii="宋体" w:hAnsi="宋体" w:cs="宋体"/>
                <w:kern w:val="0"/>
                <w:szCs w:val="21"/>
              </w:rPr>
              <w:t>四</w:t>
            </w:r>
          </w:p>
        </w:tc>
        <w:tc>
          <w:tcPr>
            <w:tcW w:w="1393" w:type="dxa"/>
            <w:tcBorders>
              <w:top w:val="nil"/>
              <w:left w:val="nil"/>
              <w:bottom w:val="single" w:color="auto" w:sz="4" w:space="0"/>
              <w:right w:val="single" w:color="auto" w:sz="4" w:space="0"/>
            </w:tcBorders>
            <w:vAlign w:val="center"/>
          </w:tcPr>
          <w:p w14:paraId="14D2EACC">
            <w:pPr>
              <w:widowControl/>
              <w:jc w:val="center"/>
              <w:rPr>
                <w:rFonts w:ascii="宋体" w:hAnsi="宋体" w:cs="宋体"/>
                <w:kern w:val="0"/>
                <w:szCs w:val="21"/>
              </w:rPr>
            </w:pPr>
            <w:r>
              <w:rPr>
                <w:rFonts w:hint="eastAsia" w:ascii="宋体" w:hAnsi="宋体" w:cs="宋体"/>
                <w:kern w:val="0"/>
                <w:szCs w:val="21"/>
              </w:rPr>
              <w:t>设计进度</w:t>
            </w:r>
          </w:p>
        </w:tc>
        <w:tc>
          <w:tcPr>
            <w:tcW w:w="709" w:type="dxa"/>
            <w:tcBorders>
              <w:top w:val="nil"/>
              <w:left w:val="nil"/>
              <w:bottom w:val="single" w:color="auto" w:sz="4" w:space="0"/>
              <w:right w:val="single" w:color="auto" w:sz="4" w:space="0"/>
            </w:tcBorders>
            <w:vAlign w:val="center"/>
          </w:tcPr>
          <w:p w14:paraId="46195D31">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2551" w:type="dxa"/>
            <w:tcBorders>
              <w:top w:val="nil"/>
              <w:left w:val="nil"/>
              <w:bottom w:val="single" w:color="auto" w:sz="4" w:space="0"/>
              <w:right w:val="single" w:color="auto" w:sz="4" w:space="0"/>
            </w:tcBorders>
            <w:vAlign w:val="center"/>
          </w:tcPr>
          <w:p w14:paraId="35BDC5A6">
            <w:pPr>
              <w:widowControl/>
              <w:jc w:val="left"/>
              <w:rPr>
                <w:rFonts w:ascii="宋体" w:hAnsi="宋体" w:cs="宋体"/>
                <w:kern w:val="0"/>
                <w:szCs w:val="21"/>
              </w:rPr>
            </w:pPr>
          </w:p>
        </w:tc>
        <w:tc>
          <w:tcPr>
            <w:tcW w:w="3261" w:type="dxa"/>
            <w:tcBorders>
              <w:top w:val="nil"/>
              <w:left w:val="nil"/>
              <w:bottom w:val="single" w:color="auto" w:sz="4" w:space="0"/>
              <w:right w:val="single" w:color="auto" w:sz="4" w:space="0"/>
            </w:tcBorders>
            <w:vAlign w:val="center"/>
          </w:tcPr>
          <w:p w14:paraId="7DE81FF8">
            <w:pPr>
              <w:widowControl/>
              <w:jc w:val="left"/>
              <w:rPr>
                <w:rFonts w:ascii="宋体" w:hAnsi="宋体" w:cs="宋体"/>
                <w:kern w:val="0"/>
                <w:szCs w:val="21"/>
              </w:rPr>
            </w:pPr>
          </w:p>
        </w:tc>
        <w:tc>
          <w:tcPr>
            <w:tcW w:w="992" w:type="dxa"/>
            <w:tcBorders>
              <w:top w:val="nil"/>
              <w:left w:val="nil"/>
              <w:bottom w:val="single" w:color="auto" w:sz="4" w:space="0"/>
              <w:right w:val="single" w:color="auto" w:sz="4" w:space="0"/>
            </w:tcBorders>
            <w:vAlign w:val="center"/>
          </w:tcPr>
          <w:p w14:paraId="0E3DB42B">
            <w:pPr>
              <w:widowControl/>
              <w:jc w:val="left"/>
              <w:rPr>
                <w:rFonts w:ascii="宋体" w:hAnsi="宋体" w:cs="宋体"/>
                <w:kern w:val="0"/>
                <w:szCs w:val="21"/>
              </w:rPr>
            </w:pPr>
            <w:r>
              <w:rPr>
                <w:rFonts w:hint="eastAsia" w:ascii="宋体" w:hAnsi="宋体" w:cs="宋体"/>
                <w:kern w:val="0"/>
                <w:szCs w:val="21"/>
              </w:rPr>
              <w:t>　</w:t>
            </w:r>
          </w:p>
        </w:tc>
      </w:tr>
      <w:tr w14:paraId="5B7A5D90">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121F2251">
            <w:pPr>
              <w:widowControl/>
              <w:jc w:val="center"/>
              <w:rPr>
                <w:rFonts w:ascii="宋体" w:hAnsi="宋体" w:cs="宋体"/>
                <w:kern w:val="0"/>
                <w:szCs w:val="21"/>
              </w:rPr>
            </w:pPr>
            <w:r>
              <w:rPr>
                <w:rFonts w:hint="eastAsia" w:ascii="宋体" w:hAnsi="宋体" w:cs="宋体"/>
                <w:kern w:val="0"/>
                <w:szCs w:val="21"/>
              </w:rPr>
              <w:t>1</w:t>
            </w:r>
          </w:p>
        </w:tc>
        <w:tc>
          <w:tcPr>
            <w:tcW w:w="1393" w:type="dxa"/>
            <w:tcBorders>
              <w:top w:val="nil"/>
              <w:left w:val="nil"/>
              <w:bottom w:val="single" w:color="auto" w:sz="4" w:space="0"/>
              <w:right w:val="single" w:color="auto" w:sz="4" w:space="0"/>
            </w:tcBorders>
            <w:vAlign w:val="center"/>
          </w:tcPr>
          <w:p w14:paraId="1307C120">
            <w:pPr>
              <w:widowControl/>
              <w:jc w:val="center"/>
              <w:rPr>
                <w:rFonts w:ascii="宋体" w:hAnsi="宋体" w:cs="宋体"/>
                <w:kern w:val="0"/>
                <w:szCs w:val="21"/>
              </w:rPr>
            </w:pPr>
            <w:r>
              <w:rPr>
                <w:rFonts w:hint="eastAsia" w:ascii="宋体" w:hAnsi="宋体" w:cs="宋体"/>
                <w:kern w:val="0"/>
                <w:szCs w:val="21"/>
              </w:rPr>
              <w:t>设计进度</w:t>
            </w:r>
          </w:p>
        </w:tc>
        <w:tc>
          <w:tcPr>
            <w:tcW w:w="709" w:type="dxa"/>
            <w:tcBorders>
              <w:top w:val="nil"/>
              <w:left w:val="nil"/>
              <w:bottom w:val="single" w:color="auto" w:sz="4" w:space="0"/>
              <w:right w:val="single" w:color="auto" w:sz="4" w:space="0"/>
            </w:tcBorders>
            <w:vAlign w:val="center"/>
          </w:tcPr>
          <w:p w14:paraId="16E776C1">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2551" w:type="dxa"/>
            <w:tcBorders>
              <w:top w:val="nil"/>
              <w:left w:val="nil"/>
              <w:bottom w:val="single" w:color="auto" w:sz="4" w:space="0"/>
              <w:right w:val="single" w:color="auto" w:sz="4" w:space="0"/>
            </w:tcBorders>
            <w:vAlign w:val="center"/>
          </w:tcPr>
          <w:p w14:paraId="1E19E776">
            <w:pPr>
              <w:widowControl/>
              <w:jc w:val="left"/>
              <w:rPr>
                <w:rFonts w:ascii="宋体" w:hAnsi="宋体" w:cs="宋体"/>
                <w:kern w:val="0"/>
                <w:szCs w:val="21"/>
              </w:rPr>
            </w:pPr>
            <w:r>
              <w:rPr>
                <w:rFonts w:hint="eastAsia" w:ascii="宋体" w:hAnsi="宋体" w:cs="宋体"/>
                <w:kern w:val="0"/>
                <w:szCs w:val="21"/>
              </w:rPr>
              <w:t>是否按照合同、会议纪要、通知、函件等对进度的要求完成各项工作；能否按期完成甲方交办的其它相关工作</w:t>
            </w:r>
          </w:p>
        </w:tc>
        <w:tc>
          <w:tcPr>
            <w:tcW w:w="3261" w:type="dxa"/>
            <w:tcBorders>
              <w:top w:val="nil"/>
              <w:left w:val="nil"/>
              <w:bottom w:val="single" w:color="auto" w:sz="4" w:space="0"/>
              <w:right w:val="single" w:color="auto" w:sz="4" w:space="0"/>
            </w:tcBorders>
            <w:vAlign w:val="center"/>
          </w:tcPr>
          <w:p w14:paraId="5A454420">
            <w:pPr>
              <w:widowControl/>
              <w:jc w:val="left"/>
              <w:rPr>
                <w:rFonts w:ascii="宋体" w:hAnsi="宋体" w:cs="宋体"/>
                <w:kern w:val="0"/>
                <w:szCs w:val="21"/>
              </w:rPr>
            </w:pPr>
            <w:r>
              <w:rPr>
                <w:rFonts w:hint="eastAsia" w:ascii="宋体" w:hAnsi="宋体" w:cs="宋体"/>
                <w:kern w:val="0"/>
                <w:szCs w:val="21"/>
              </w:rPr>
              <w:t>因乙方原因，每延误一天扣1分，至扣完为止。</w:t>
            </w:r>
          </w:p>
        </w:tc>
        <w:tc>
          <w:tcPr>
            <w:tcW w:w="992" w:type="dxa"/>
            <w:tcBorders>
              <w:top w:val="nil"/>
              <w:left w:val="nil"/>
              <w:bottom w:val="single" w:color="auto" w:sz="4" w:space="0"/>
              <w:right w:val="single" w:color="auto" w:sz="4" w:space="0"/>
            </w:tcBorders>
            <w:vAlign w:val="center"/>
          </w:tcPr>
          <w:p w14:paraId="3F41E49B">
            <w:pPr>
              <w:widowControl/>
              <w:jc w:val="left"/>
              <w:rPr>
                <w:rFonts w:ascii="宋体" w:hAnsi="宋体" w:cs="宋体"/>
                <w:kern w:val="0"/>
                <w:szCs w:val="21"/>
              </w:rPr>
            </w:pPr>
            <w:r>
              <w:rPr>
                <w:rFonts w:hint="eastAsia" w:ascii="宋体" w:hAnsi="宋体" w:cs="宋体"/>
                <w:kern w:val="0"/>
                <w:szCs w:val="21"/>
              </w:rPr>
              <w:t>　</w:t>
            </w:r>
          </w:p>
        </w:tc>
      </w:tr>
      <w:tr w14:paraId="4A67AA51">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4CDA2ABA">
            <w:pPr>
              <w:widowControl/>
              <w:jc w:val="center"/>
              <w:rPr>
                <w:rFonts w:ascii="宋体" w:hAnsi="宋体" w:cs="宋体"/>
                <w:kern w:val="0"/>
                <w:szCs w:val="21"/>
              </w:rPr>
            </w:pPr>
            <w:r>
              <w:rPr>
                <w:rFonts w:hint="eastAsia" w:ascii="宋体" w:hAnsi="宋体" w:cs="宋体"/>
                <w:kern w:val="0"/>
                <w:szCs w:val="21"/>
              </w:rPr>
              <w:t>五</w:t>
            </w:r>
          </w:p>
        </w:tc>
        <w:tc>
          <w:tcPr>
            <w:tcW w:w="1393" w:type="dxa"/>
            <w:tcBorders>
              <w:top w:val="nil"/>
              <w:left w:val="nil"/>
              <w:bottom w:val="single" w:color="auto" w:sz="4" w:space="0"/>
              <w:right w:val="single" w:color="auto" w:sz="4" w:space="0"/>
            </w:tcBorders>
            <w:vAlign w:val="center"/>
          </w:tcPr>
          <w:p w14:paraId="48102DDA">
            <w:pPr>
              <w:widowControl/>
              <w:jc w:val="center"/>
              <w:rPr>
                <w:rFonts w:ascii="宋体" w:hAnsi="宋体" w:cs="宋体"/>
                <w:kern w:val="0"/>
                <w:szCs w:val="21"/>
              </w:rPr>
            </w:pPr>
            <w:r>
              <w:rPr>
                <w:rFonts w:hint="eastAsia" w:ascii="宋体" w:hAnsi="宋体" w:cs="宋体"/>
                <w:kern w:val="0"/>
                <w:szCs w:val="21"/>
              </w:rPr>
              <w:t>设计配合</w:t>
            </w:r>
          </w:p>
        </w:tc>
        <w:tc>
          <w:tcPr>
            <w:tcW w:w="709" w:type="dxa"/>
            <w:tcBorders>
              <w:top w:val="nil"/>
              <w:left w:val="nil"/>
              <w:bottom w:val="single" w:color="auto" w:sz="4" w:space="0"/>
              <w:right w:val="single" w:color="auto" w:sz="4" w:space="0"/>
            </w:tcBorders>
            <w:vAlign w:val="center"/>
          </w:tcPr>
          <w:p w14:paraId="4719EFF5">
            <w:pPr>
              <w:widowControl/>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68FE5E32">
            <w:pPr>
              <w:widowControl/>
              <w:jc w:val="left"/>
              <w:rPr>
                <w:rFonts w:ascii="宋体" w:hAnsi="宋体" w:cs="宋体"/>
                <w:kern w:val="0"/>
                <w:szCs w:val="21"/>
              </w:rPr>
            </w:pPr>
            <w:r>
              <w:rPr>
                <w:rFonts w:hint="eastAsia" w:ascii="宋体" w:hAnsi="宋体" w:cs="宋体"/>
                <w:kern w:val="0"/>
                <w:szCs w:val="21"/>
              </w:rPr>
              <w:t>　</w:t>
            </w:r>
          </w:p>
        </w:tc>
        <w:tc>
          <w:tcPr>
            <w:tcW w:w="3261" w:type="dxa"/>
            <w:tcBorders>
              <w:top w:val="nil"/>
              <w:left w:val="nil"/>
              <w:bottom w:val="single" w:color="auto" w:sz="4" w:space="0"/>
              <w:right w:val="single" w:color="auto" w:sz="4" w:space="0"/>
            </w:tcBorders>
            <w:vAlign w:val="center"/>
          </w:tcPr>
          <w:p w14:paraId="376F3F73">
            <w:pPr>
              <w:widowControl/>
              <w:jc w:val="left"/>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14:paraId="71D3AA21">
            <w:pPr>
              <w:widowControl/>
              <w:jc w:val="left"/>
              <w:rPr>
                <w:rFonts w:ascii="宋体" w:hAnsi="宋体" w:cs="宋体"/>
                <w:kern w:val="0"/>
                <w:szCs w:val="21"/>
              </w:rPr>
            </w:pPr>
            <w:r>
              <w:rPr>
                <w:rFonts w:hint="eastAsia" w:ascii="宋体" w:hAnsi="宋体" w:cs="宋体"/>
                <w:kern w:val="0"/>
                <w:szCs w:val="21"/>
              </w:rPr>
              <w:t>　</w:t>
            </w:r>
          </w:p>
        </w:tc>
      </w:tr>
      <w:tr w14:paraId="1285409A">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0C34DF69">
            <w:pPr>
              <w:widowControl/>
              <w:jc w:val="center"/>
              <w:rPr>
                <w:rFonts w:ascii="宋体" w:hAnsi="宋体" w:cs="宋体"/>
                <w:kern w:val="0"/>
                <w:szCs w:val="21"/>
              </w:rPr>
            </w:pPr>
            <w:r>
              <w:rPr>
                <w:rFonts w:hint="eastAsia" w:ascii="宋体" w:hAnsi="宋体" w:cs="宋体"/>
                <w:kern w:val="0"/>
                <w:szCs w:val="21"/>
              </w:rPr>
              <w:t>1</w:t>
            </w:r>
          </w:p>
        </w:tc>
        <w:tc>
          <w:tcPr>
            <w:tcW w:w="1393" w:type="dxa"/>
            <w:tcBorders>
              <w:top w:val="nil"/>
              <w:left w:val="nil"/>
              <w:bottom w:val="single" w:color="auto" w:sz="4" w:space="0"/>
              <w:right w:val="single" w:color="auto" w:sz="4" w:space="0"/>
            </w:tcBorders>
            <w:vAlign w:val="center"/>
          </w:tcPr>
          <w:p w14:paraId="4DF1C6DD">
            <w:pPr>
              <w:widowControl/>
              <w:jc w:val="center"/>
              <w:rPr>
                <w:rFonts w:ascii="宋体" w:hAnsi="宋体" w:cs="宋体"/>
                <w:kern w:val="0"/>
                <w:szCs w:val="21"/>
              </w:rPr>
            </w:pPr>
            <w:r>
              <w:rPr>
                <w:rFonts w:hint="eastAsia" w:ascii="宋体" w:hAnsi="宋体" w:cs="宋体"/>
                <w:kern w:val="0"/>
                <w:szCs w:val="21"/>
              </w:rPr>
              <w:t>设计配合</w:t>
            </w:r>
          </w:p>
        </w:tc>
        <w:tc>
          <w:tcPr>
            <w:tcW w:w="709" w:type="dxa"/>
            <w:tcBorders>
              <w:top w:val="nil"/>
              <w:left w:val="nil"/>
              <w:bottom w:val="single" w:color="auto" w:sz="4" w:space="0"/>
              <w:right w:val="single" w:color="auto" w:sz="4" w:space="0"/>
            </w:tcBorders>
            <w:vAlign w:val="center"/>
          </w:tcPr>
          <w:p w14:paraId="50EAF3A8">
            <w:pPr>
              <w:widowControl/>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2B0E0660">
            <w:pPr>
              <w:widowControl/>
              <w:jc w:val="left"/>
              <w:rPr>
                <w:rFonts w:ascii="宋体" w:hAnsi="宋体" w:cs="宋体"/>
                <w:kern w:val="0"/>
                <w:szCs w:val="21"/>
              </w:rPr>
            </w:pPr>
            <w:r>
              <w:rPr>
                <w:rFonts w:hint="eastAsia" w:ascii="宋体" w:hAnsi="宋体" w:cs="宋体"/>
                <w:kern w:val="0"/>
                <w:szCs w:val="21"/>
              </w:rPr>
              <w:t>能否按合同及甲方要求及时协调配合甲方、专项设计单位及其它相关部门的工作；是否具有较强的沟通协调能力；能否在各报建报批环节积极协助甲方完成相关工作</w:t>
            </w:r>
          </w:p>
        </w:tc>
        <w:tc>
          <w:tcPr>
            <w:tcW w:w="3261" w:type="dxa"/>
            <w:tcBorders>
              <w:top w:val="nil"/>
              <w:left w:val="nil"/>
              <w:bottom w:val="single" w:color="auto" w:sz="4" w:space="0"/>
              <w:right w:val="single" w:color="auto" w:sz="4" w:space="0"/>
            </w:tcBorders>
            <w:vAlign w:val="center"/>
          </w:tcPr>
          <w:p w14:paraId="6A3C41ED">
            <w:pPr>
              <w:widowControl/>
              <w:jc w:val="left"/>
              <w:rPr>
                <w:rFonts w:ascii="宋体" w:hAnsi="宋体" w:cs="宋体"/>
                <w:kern w:val="0"/>
                <w:szCs w:val="21"/>
              </w:rPr>
            </w:pPr>
            <w:r>
              <w:rPr>
                <w:rFonts w:hint="eastAsia" w:ascii="宋体" w:hAnsi="宋体" w:cs="宋体"/>
                <w:kern w:val="0"/>
                <w:szCs w:val="21"/>
              </w:rPr>
              <w:t>好：得10分</w:t>
            </w:r>
          </w:p>
          <w:p w14:paraId="3CAEA9EA">
            <w:pPr>
              <w:widowControl/>
              <w:jc w:val="left"/>
              <w:rPr>
                <w:rFonts w:ascii="宋体" w:hAnsi="宋体" w:cs="宋体"/>
                <w:kern w:val="0"/>
                <w:szCs w:val="21"/>
              </w:rPr>
            </w:pPr>
            <w:r>
              <w:rPr>
                <w:rFonts w:hint="eastAsia" w:ascii="宋体" w:hAnsi="宋体" w:cs="宋体"/>
                <w:kern w:val="0"/>
                <w:szCs w:val="21"/>
              </w:rPr>
              <w:t>较好：得8分</w:t>
            </w:r>
          </w:p>
          <w:p w14:paraId="0C66E2E3">
            <w:pPr>
              <w:widowControl/>
              <w:jc w:val="left"/>
              <w:rPr>
                <w:rFonts w:ascii="宋体" w:hAnsi="宋体" w:cs="宋体"/>
                <w:kern w:val="0"/>
                <w:szCs w:val="21"/>
              </w:rPr>
            </w:pPr>
            <w:r>
              <w:rPr>
                <w:rFonts w:hint="eastAsia" w:ascii="宋体" w:hAnsi="宋体" w:cs="宋体"/>
                <w:kern w:val="0"/>
                <w:szCs w:val="21"/>
              </w:rPr>
              <w:t>一般：得6分</w:t>
            </w:r>
          </w:p>
          <w:p w14:paraId="771C528C">
            <w:pPr>
              <w:widowControl/>
              <w:jc w:val="left"/>
              <w:rPr>
                <w:rFonts w:ascii="宋体" w:hAnsi="宋体" w:cs="宋体"/>
                <w:kern w:val="0"/>
                <w:szCs w:val="21"/>
              </w:rPr>
            </w:pPr>
            <w:r>
              <w:rPr>
                <w:rFonts w:hint="eastAsia" w:ascii="宋体" w:hAnsi="宋体" w:cs="宋体"/>
                <w:kern w:val="0"/>
                <w:szCs w:val="21"/>
              </w:rPr>
              <w:t>较差：得4分</w:t>
            </w:r>
          </w:p>
          <w:p w14:paraId="223590FA">
            <w:pPr>
              <w:widowControl/>
              <w:jc w:val="left"/>
              <w:rPr>
                <w:rFonts w:ascii="宋体" w:hAnsi="宋体" w:cs="宋体"/>
                <w:kern w:val="0"/>
                <w:szCs w:val="21"/>
              </w:rPr>
            </w:pPr>
            <w:r>
              <w:rPr>
                <w:rFonts w:hint="eastAsia" w:ascii="宋体" w:hAnsi="宋体" w:cs="宋体"/>
                <w:kern w:val="0"/>
                <w:szCs w:val="21"/>
              </w:rPr>
              <w:t>差：得2分</w:t>
            </w:r>
          </w:p>
        </w:tc>
        <w:tc>
          <w:tcPr>
            <w:tcW w:w="992" w:type="dxa"/>
            <w:tcBorders>
              <w:top w:val="nil"/>
              <w:left w:val="nil"/>
              <w:bottom w:val="single" w:color="auto" w:sz="4" w:space="0"/>
              <w:right w:val="single" w:color="auto" w:sz="4" w:space="0"/>
            </w:tcBorders>
            <w:vAlign w:val="center"/>
          </w:tcPr>
          <w:p w14:paraId="4C7FB820">
            <w:pPr>
              <w:widowControl/>
              <w:jc w:val="left"/>
              <w:rPr>
                <w:rFonts w:ascii="宋体" w:hAnsi="宋体" w:cs="宋体"/>
                <w:kern w:val="0"/>
                <w:szCs w:val="21"/>
              </w:rPr>
            </w:pPr>
            <w:r>
              <w:rPr>
                <w:rFonts w:hint="eastAsia" w:ascii="宋体" w:hAnsi="宋体" w:cs="宋体"/>
                <w:kern w:val="0"/>
                <w:szCs w:val="21"/>
              </w:rPr>
              <w:t>　</w:t>
            </w:r>
          </w:p>
        </w:tc>
      </w:tr>
      <w:tr w14:paraId="630F804A">
        <w:tblPrEx>
          <w:tblCellMar>
            <w:top w:w="0" w:type="dxa"/>
            <w:left w:w="108" w:type="dxa"/>
            <w:bottom w:w="0" w:type="dxa"/>
            <w:right w:w="108" w:type="dxa"/>
          </w:tblCellMar>
        </w:tblPrEx>
        <w:trPr>
          <w:jc w:val="center"/>
        </w:trPr>
        <w:tc>
          <w:tcPr>
            <w:tcW w:w="460" w:type="dxa"/>
            <w:tcBorders>
              <w:top w:val="nil"/>
              <w:left w:val="single" w:color="auto" w:sz="4" w:space="0"/>
              <w:bottom w:val="single" w:color="auto" w:sz="4" w:space="0"/>
              <w:right w:val="single" w:color="auto" w:sz="4" w:space="0"/>
            </w:tcBorders>
            <w:vAlign w:val="center"/>
          </w:tcPr>
          <w:p w14:paraId="034AB89D">
            <w:pPr>
              <w:widowControl/>
              <w:jc w:val="center"/>
              <w:rPr>
                <w:kern w:val="0"/>
                <w:szCs w:val="21"/>
              </w:rPr>
            </w:pPr>
            <w:r>
              <w:rPr>
                <w:kern w:val="0"/>
                <w:szCs w:val="21"/>
              </w:rPr>
              <w:t>　</w:t>
            </w:r>
          </w:p>
        </w:tc>
        <w:tc>
          <w:tcPr>
            <w:tcW w:w="1393" w:type="dxa"/>
            <w:tcBorders>
              <w:top w:val="nil"/>
              <w:left w:val="nil"/>
              <w:bottom w:val="single" w:color="auto" w:sz="4" w:space="0"/>
              <w:right w:val="single" w:color="auto" w:sz="4" w:space="0"/>
            </w:tcBorders>
            <w:vAlign w:val="center"/>
          </w:tcPr>
          <w:p w14:paraId="310FBC80">
            <w:pPr>
              <w:widowControl/>
              <w:jc w:val="center"/>
              <w:rPr>
                <w:kern w:val="0"/>
                <w:szCs w:val="21"/>
              </w:rPr>
            </w:pPr>
            <w:r>
              <w:rPr>
                <w:kern w:val="0"/>
                <w:szCs w:val="21"/>
              </w:rPr>
              <w:t>合计</w:t>
            </w:r>
          </w:p>
        </w:tc>
        <w:tc>
          <w:tcPr>
            <w:tcW w:w="709" w:type="dxa"/>
            <w:tcBorders>
              <w:top w:val="nil"/>
              <w:left w:val="nil"/>
              <w:bottom w:val="single" w:color="auto" w:sz="4" w:space="0"/>
              <w:right w:val="single" w:color="auto" w:sz="4" w:space="0"/>
            </w:tcBorders>
            <w:vAlign w:val="center"/>
          </w:tcPr>
          <w:p w14:paraId="64457989">
            <w:pPr>
              <w:widowControl/>
              <w:jc w:val="center"/>
              <w:rPr>
                <w:kern w:val="0"/>
                <w:szCs w:val="21"/>
              </w:rPr>
            </w:pPr>
            <w:r>
              <w:rPr>
                <w:kern w:val="0"/>
                <w:szCs w:val="21"/>
              </w:rPr>
              <w:t>100</w:t>
            </w:r>
          </w:p>
        </w:tc>
        <w:tc>
          <w:tcPr>
            <w:tcW w:w="2551" w:type="dxa"/>
            <w:tcBorders>
              <w:top w:val="nil"/>
              <w:left w:val="nil"/>
              <w:bottom w:val="single" w:color="auto" w:sz="4" w:space="0"/>
              <w:right w:val="single" w:color="auto" w:sz="4" w:space="0"/>
            </w:tcBorders>
            <w:vAlign w:val="center"/>
          </w:tcPr>
          <w:p w14:paraId="1EC4E2B0">
            <w:pPr>
              <w:widowControl/>
              <w:jc w:val="center"/>
              <w:rPr>
                <w:kern w:val="0"/>
                <w:szCs w:val="21"/>
              </w:rPr>
            </w:pPr>
            <w:r>
              <w:rPr>
                <w:kern w:val="0"/>
                <w:szCs w:val="21"/>
              </w:rPr>
              <w:t>　</w:t>
            </w:r>
          </w:p>
        </w:tc>
        <w:tc>
          <w:tcPr>
            <w:tcW w:w="3261" w:type="dxa"/>
            <w:tcBorders>
              <w:top w:val="nil"/>
              <w:left w:val="nil"/>
              <w:bottom w:val="single" w:color="auto" w:sz="4" w:space="0"/>
              <w:right w:val="single" w:color="auto" w:sz="4" w:space="0"/>
            </w:tcBorders>
            <w:vAlign w:val="center"/>
          </w:tcPr>
          <w:p w14:paraId="52AE1F78">
            <w:pPr>
              <w:widowControl/>
              <w:jc w:val="center"/>
              <w:rPr>
                <w:kern w:val="0"/>
                <w:szCs w:val="21"/>
              </w:rPr>
            </w:pPr>
            <w:r>
              <w:rPr>
                <w:kern w:val="0"/>
                <w:szCs w:val="21"/>
              </w:rPr>
              <w:t>　</w:t>
            </w:r>
          </w:p>
        </w:tc>
        <w:tc>
          <w:tcPr>
            <w:tcW w:w="992" w:type="dxa"/>
            <w:tcBorders>
              <w:top w:val="nil"/>
              <w:left w:val="nil"/>
              <w:bottom w:val="single" w:color="auto" w:sz="4" w:space="0"/>
              <w:right w:val="single" w:color="auto" w:sz="4" w:space="0"/>
            </w:tcBorders>
            <w:vAlign w:val="center"/>
          </w:tcPr>
          <w:p w14:paraId="28EEC91C">
            <w:pPr>
              <w:widowControl/>
              <w:jc w:val="center"/>
              <w:rPr>
                <w:kern w:val="0"/>
                <w:szCs w:val="21"/>
              </w:rPr>
            </w:pPr>
            <w:r>
              <w:rPr>
                <w:kern w:val="0"/>
                <w:szCs w:val="21"/>
              </w:rPr>
              <w:t>　</w:t>
            </w:r>
          </w:p>
        </w:tc>
      </w:tr>
    </w:tbl>
    <w:p w14:paraId="7C7E3B6C">
      <w:pPr>
        <w:adjustRightInd w:val="0"/>
        <w:snapToGrid w:val="0"/>
        <w:rPr>
          <w:rFonts w:ascii="宋体" w:hAnsi="宋体" w:cs="宋体"/>
          <w:kern w:val="0"/>
          <w:szCs w:val="21"/>
        </w:rPr>
      </w:pPr>
      <w:r>
        <w:rPr>
          <w:rFonts w:hint="eastAsia" w:ascii="宋体" w:hAnsi="宋体" w:cs="宋体"/>
          <w:kern w:val="0"/>
          <w:szCs w:val="21"/>
        </w:rPr>
        <w:t>一、注：</w:t>
      </w:r>
    </w:p>
    <w:p w14:paraId="167C2035">
      <w:pPr>
        <w:adjustRightInd w:val="0"/>
        <w:snapToGrid w:val="0"/>
        <w:rPr>
          <w:rFonts w:ascii="宋体" w:hAnsi="宋体" w:cs="宋体"/>
          <w:kern w:val="0"/>
          <w:szCs w:val="21"/>
        </w:rPr>
      </w:pPr>
      <w:r>
        <w:rPr>
          <w:rFonts w:hint="eastAsia" w:ascii="宋体" w:hAnsi="宋体" w:cs="宋体"/>
          <w:kern w:val="0"/>
          <w:szCs w:val="21"/>
        </w:rPr>
        <w:t>1、每一评分项扣分，至该项对应分值扣完为止。</w:t>
      </w:r>
    </w:p>
    <w:p w14:paraId="313EEE96">
      <w:pPr>
        <w:adjustRightInd w:val="0"/>
        <w:snapToGrid w:val="0"/>
        <w:rPr>
          <w:rFonts w:ascii="宋体" w:hAnsi="宋体" w:cs="宋体"/>
          <w:kern w:val="0"/>
          <w:szCs w:val="21"/>
        </w:rPr>
      </w:pPr>
      <w:r>
        <w:rPr>
          <w:rFonts w:hint="eastAsia" w:ascii="宋体" w:hAnsi="宋体" w:cs="宋体"/>
          <w:kern w:val="0"/>
          <w:szCs w:val="21"/>
        </w:rPr>
        <w:t>2、应在岗实际未在岗累计达到3天的，或经问询明显不了解项目具体情况累计达到3次的，或未按甲方要求出席会议累计达到3次的，可认定自行更换</w:t>
      </w:r>
    </w:p>
    <w:p w14:paraId="4D745B92">
      <w:pPr>
        <w:adjustRightInd w:val="0"/>
        <w:snapToGrid w:val="0"/>
        <w:rPr>
          <w:rFonts w:ascii="宋体" w:hAnsi="宋体" w:cs="宋体"/>
          <w:kern w:val="0"/>
          <w:szCs w:val="21"/>
        </w:rPr>
      </w:pPr>
    </w:p>
    <w:p w14:paraId="25ACEDCF">
      <w:pPr>
        <w:adjustRightInd w:val="0"/>
        <w:snapToGrid w:val="0"/>
        <w:rPr>
          <w:rFonts w:ascii="宋体" w:hAnsi="宋体" w:cs="宋体"/>
          <w:kern w:val="0"/>
          <w:szCs w:val="21"/>
        </w:rPr>
      </w:pPr>
      <w:r>
        <w:rPr>
          <w:rFonts w:hint="eastAsia" w:ascii="宋体" w:hAnsi="宋体" w:cs="宋体"/>
          <w:kern w:val="0"/>
          <w:szCs w:val="21"/>
        </w:rPr>
        <w:t>二、扣分情况说明：</w:t>
      </w:r>
    </w:p>
    <w:p w14:paraId="66262418">
      <w:pPr>
        <w:adjustRightInd w:val="0"/>
        <w:snapToGrid w:val="0"/>
        <w:rPr>
          <w:rFonts w:ascii="宋体" w:hAnsi="宋体" w:cs="宋体"/>
          <w:kern w:val="0"/>
          <w:szCs w:val="21"/>
        </w:rPr>
      </w:pPr>
      <w:r>
        <w:rPr>
          <w:rFonts w:hint="eastAsia" w:ascii="宋体" w:hAnsi="宋体" w:cs="宋体"/>
          <w:kern w:val="0"/>
          <w:szCs w:val="21"/>
        </w:rPr>
        <w:t>1、</w:t>
      </w:r>
    </w:p>
    <w:p w14:paraId="2FF574DC">
      <w:pPr>
        <w:adjustRightInd w:val="0"/>
        <w:snapToGrid w:val="0"/>
        <w:rPr>
          <w:rFonts w:ascii="宋体" w:hAnsi="宋体" w:cs="宋体"/>
          <w:kern w:val="0"/>
          <w:szCs w:val="21"/>
        </w:rPr>
      </w:pPr>
      <w:r>
        <w:rPr>
          <w:rFonts w:hint="eastAsia" w:ascii="宋体" w:hAnsi="宋体" w:cs="宋体"/>
          <w:kern w:val="0"/>
          <w:szCs w:val="21"/>
        </w:rPr>
        <w:t>2、</w:t>
      </w:r>
    </w:p>
    <w:p w14:paraId="2923353E">
      <w:pPr>
        <w:adjustRightInd w:val="0"/>
        <w:snapToGrid w:val="0"/>
        <w:rPr>
          <w:rFonts w:ascii="宋体" w:hAnsi="宋体" w:cs="宋体"/>
          <w:kern w:val="0"/>
          <w:szCs w:val="21"/>
        </w:rPr>
      </w:pPr>
      <w:r>
        <w:rPr>
          <w:rFonts w:hint="eastAsia" w:ascii="宋体" w:hAnsi="宋体" w:cs="宋体"/>
          <w:kern w:val="0"/>
          <w:szCs w:val="21"/>
        </w:rPr>
        <w:t>3、</w:t>
      </w:r>
    </w:p>
    <w:p w14:paraId="5AE524E3">
      <w:pPr>
        <w:adjustRightInd w:val="0"/>
        <w:snapToGrid w:val="0"/>
        <w:rPr>
          <w:rFonts w:ascii="宋体" w:hAnsi="宋体" w:cs="宋体"/>
          <w:kern w:val="0"/>
          <w:szCs w:val="21"/>
        </w:rPr>
      </w:pPr>
      <w:r>
        <w:rPr>
          <w:rFonts w:hint="eastAsia" w:ascii="宋体" w:hAnsi="宋体" w:cs="宋体"/>
          <w:kern w:val="0"/>
          <w:szCs w:val="21"/>
        </w:rPr>
        <w:t>…</w:t>
      </w:r>
    </w:p>
    <w:p w14:paraId="45FBDFE1">
      <w:pPr>
        <w:adjustRightInd w:val="0"/>
        <w:snapToGrid w:val="0"/>
        <w:rPr>
          <w:rFonts w:ascii="宋体" w:hAnsi="宋体" w:cs="宋体"/>
          <w:kern w:val="0"/>
          <w:szCs w:val="21"/>
        </w:rPr>
      </w:pPr>
    </w:p>
    <w:p w14:paraId="4691C9AD">
      <w:pPr>
        <w:adjustRightInd w:val="0"/>
        <w:snapToGrid w:val="0"/>
        <w:rPr>
          <w:rFonts w:ascii="宋体" w:hAnsi="宋体" w:cs="宋体"/>
          <w:kern w:val="0"/>
          <w:szCs w:val="21"/>
          <w:u w:val="single"/>
        </w:rPr>
      </w:pPr>
      <w:r>
        <w:rPr>
          <w:rFonts w:hint="eastAsia" w:ascii="宋体" w:hAnsi="宋体" w:cs="宋体"/>
          <w:kern w:val="0"/>
          <w:szCs w:val="21"/>
        </w:rPr>
        <w:t>项目负责人：×××  签名：</w:t>
      </w:r>
      <w:r>
        <w:rPr>
          <w:rFonts w:hint="eastAsia" w:ascii="宋体" w:hAnsi="宋体" w:cs="宋体"/>
          <w:kern w:val="0"/>
          <w:szCs w:val="21"/>
          <w:u w:val="single"/>
        </w:rPr>
        <w:t xml:space="preserve">             </w:t>
      </w:r>
    </w:p>
    <w:p w14:paraId="295A653B">
      <w:pPr>
        <w:adjustRightInd w:val="0"/>
        <w:snapToGrid w:val="0"/>
        <w:rPr>
          <w:rFonts w:ascii="宋体" w:hAnsi="宋体" w:cs="宋体"/>
          <w:kern w:val="0"/>
          <w:szCs w:val="21"/>
        </w:rPr>
      </w:pPr>
    </w:p>
    <w:p w14:paraId="5412E5B6">
      <w:pPr>
        <w:adjustRightInd w:val="0"/>
        <w:snapToGrid w:val="0"/>
        <w:rPr>
          <w:rFonts w:ascii="宋体" w:hAnsi="宋体" w:cs="宋体"/>
          <w:kern w:val="0"/>
          <w:szCs w:val="21"/>
          <w:u w:val="single"/>
        </w:rPr>
      </w:pPr>
      <w:r>
        <w:rPr>
          <w:rFonts w:hint="eastAsia" w:ascii="宋体" w:hAnsi="宋体" w:cs="宋体"/>
          <w:kern w:val="0"/>
          <w:szCs w:val="21"/>
        </w:rPr>
        <w:t>部门负责人：×××  签名：</w:t>
      </w:r>
      <w:r>
        <w:rPr>
          <w:rFonts w:hint="eastAsia" w:ascii="宋体" w:hAnsi="宋体" w:cs="宋体"/>
          <w:kern w:val="0"/>
          <w:szCs w:val="21"/>
          <w:u w:val="single"/>
        </w:rPr>
        <w:t xml:space="preserve">             </w:t>
      </w:r>
    </w:p>
    <w:p w14:paraId="39A8D0FB">
      <w:pPr>
        <w:adjustRightInd w:val="0"/>
        <w:snapToGrid w:val="0"/>
        <w:rPr>
          <w:rFonts w:ascii="宋体" w:hAnsi="宋体" w:cs="宋体"/>
          <w:kern w:val="0"/>
          <w:szCs w:val="21"/>
        </w:rPr>
      </w:pPr>
    </w:p>
    <w:p w14:paraId="57D0BC54">
      <w:pPr>
        <w:adjustRightInd w:val="0"/>
        <w:snapToGrid w:val="0"/>
        <w:rPr>
          <w:rFonts w:ascii="宋体" w:hAnsi="宋体" w:cs="宋体"/>
          <w:kern w:val="0"/>
          <w:szCs w:val="21"/>
        </w:rPr>
      </w:pPr>
      <w:r>
        <w:rPr>
          <w:rFonts w:hint="eastAsia" w:ascii="宋体" w:hAnsi="宋体" w:cs="宋体"/>
          <w:kern w:val="0"/>
          <w:szCs w:val="21"/>
        </w:rPr>
        <w:t>日期：      年    月    日</w:t>
      </w:r>
    </w:p>
    <w:p w14:paraId="0C2409D0">
      <w:pPr>
        <w:adjustRightInd w:val="0"/>
        <w:snapToGrid w:val="0"/>
        <w:rPr>
          <w:rFonts w:ascii="宋体" w:hAnsi="宋体" w:cs="宋体"/>
          <w:kern w:val="0"/>
          <w:szCs w:val="21"/>
        </w:rPr>
      </w:pPr>
    </w:p>
    <w:p w14:paraId="1E593563">
      <w:pPr>
        <w:spacing w:line="560" w:lineRule="exact"/>
        <w:ind w:firstLine="472"/>
        <w:rPr>
          <w:rFonts w:ascii="仿宋_GB2312" w:eastAsia="仿宋_GB2312"/>
          <w:sz w:val="32"/>
          <w:szCs w:val="32"/>
        </w:rPr>
      </w:pPr>
      <w:r>
        <w:rPr>
          <w:rFonts w:ascii="宋体" w:hAnsi="宋体"/>
          <w:szCs w:val="21"/>
        </w:rPr>
        <w:br w:type="page"/>
      </w:r>
      <w:r>
        <w:rPr>
          <w:rFonts w:hint="eastAsia" w:ascii="仿宋_GB2312" w:eastAsia="仿宋_GB2312"/>
          <w:sz w:val="32"/>
          <w:szCs w:val="32"/>
        </w:rPr>
        <w:t>附件二</w:t>
      </w:r>
    </w:p>
    <w:tbl>
      <w:tblPr>
        <w:tblStyle w:val="54"/>
        <w:tblW w:w="9366" w:type="dxa"/>
        <w:jc w:val="center"/>
        <w:tblLayout w:type="fixed"/>
        <w:tblCellMar>
          <w:top w:w="0" w:type="dxa"/>
          <w:left w:w="108" w:type="dxa"/>
          <w:bottom w:w="0" w:type="dxa"/>
          <w:right w:w="108" w:type="dxa"/>
        </w:tblCellMar>
      </w:tblPr>
      <w:tblGrid>
        <w:gridCol w:w="665"/>
        <w:gridCol w:w="1188"/>
        <w:gridCol w:w="709"/>
        <w:gridCol w:w="2551"/>
        <w:gridCol w:w="3261"/>
        <w:gridCol w:w="992"/>
      </w:tblGrid>
      <w:tr w14:paraId="772FE1AB">
        <w:tblPrEx>
          <w:tblCellMar>
            <w:top w:w="0" w:type="dxa"/>
            <w:left w:w="108" w:type="dxa"/>
            <w:bottom w:w="0" w:type="dxa"/>
            <w:right w:w="108" w:type="dxa"/>
          </w:tblCellMar>
        </w:tblPrEx>
        <w:trPr>
          <w:trHeight w:val="795" w:hRule="atLeast"/>
          <w:jc w:val="center"/>
        </w:trPr>
        <w:tc>
          <w:tcPr>
            <w:tcW w:w="9366" w:type="dxa"/>
            <w:gridSpan w:val="6"/>
            <w:tcBorders>
              <w:top w:val="nil"/>
              <w:left w:val="nil"/>
              <w:bottom w:val="nil"/>
              <w:right w:val="nil"/>
            </w:tcBorders>
            <w:vAlign w:val="center"/>
          </w:tcPr>
          <w:p w14:paraId="6065A4E0">
            <w:pPr>
              <w:widowControl/>
              <w:ind w:firstLine="549"/>
              <w:jc w:val="center"/>
              <w:rPr>
                <w:rFonts w:ascii="仿宋_GB2312" w:hAnsi="宋体" w:eastAsia="仿宋_GB2312"/>
                <w:sz w:val="28"/>
                <w:szCs w:val="28"/>
              </w:rPr>
            </w:pPr>
            <w:r>
              <w:rPr>
                <w:rFonts w:hint="eastAsia" w:ascii="仿宋_GB2312" w:hAnsi="宋体" w:eastAsia="仿宋_GB2312"/>
                <w:sz w:val="28"/>
                <w:szCs w:val="28"/>
              </w:rPr>
              <w:t>初步设计阶段设计合同履约评价表</w:t>
            </w:r>
          </w:p>
        </w:tc>
      </w:tr>
      <w:tr w14:paraId="72E9E803">
        <w:tblPrEx>
          <w:tblCellMar>
            <w:top w:w="0" w:type="dxa"/>
            <w:left w:w="108" w:type="dxa"/>
            <w:bottom w:w="0" w:type="dxa"/>
            <w:right w:w="108" w:type="dxa"/>
          </w:tblCellMar>
        </w:tblPrEx>
        <w:trPr>
          <w:trHeight w:val="177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7AB9431F">
            <w:pPr>
              <w:widowControl/>
              <w:rPr>
                <w:rFonts w:ascii="宋体" w:hAnsi="宋体" w:cs="宋体"/>
                <w:bCs/>
                <w:kern w:val="0"/>
                <w:szCs w:val="21"/>
              </w:rPr>
            </w:pPr>
            <w:r>
              <w:rPr>
                <w:rFonts w:hint="eastAsia" w:ascii="宋体" w:hAnsi="宋体" w:cs="宋体"/>
                <w:bCs/>
                <w:kern w:val="0"/>
                <w:szCs w:val="21"/>
              </w:rPr>
              <w:t>序号</w:t>
            </w:r>
          </w:p>
        </w:tc>
        <w:tc>
          <w:tcPr>
            <w:tcW w:w="1188" w:type="dxa"/>
            <w:tcBorders>
              <w:top w:val="single" w:color="auto" w:sz="4" w:space="0"/>
              <w:left w:val="nil"/>
              <w:bottom w:val="single" w:color="auto" w:sz="4" w:space="0"/>
              <w:right w:val="single" w:color="auto" w:sz="4" w:space="0"/>
            </w:tcBorders>
            <w:vAlign w:val="center"/>
          </w:tcPr>
          <w:p w14:paraId="747C8EF7">
            <w:pPr>
              <w:widowControl/>
              <w:jc w:val="center"/>
              <w:rPr>
                <w:rFonts w:ascii="宋体" w:hAnsi="宋体" w:cs="宋体"/>
                <w:bCs/>
                <w:kern w:val="0"/>
                <w:szCs w:val="21"/>
              </w:rPr>
            </w:pPr>
            <w:r>
              <w:rPr>
                <w:rFonts w:hint="eastAsia" w:ascii="宋体" w:hAnsi="宋体" w:cs="宋体"/>
                <w:bCs/>
                <w:kern w:val="0"/>
                <w:szCs w:val="21"/>
              </w:rPr>
              <w:t>内容</w:t>
            </w:r>
          </w:p>
        </w:tc>
        <w:tc>
          <w:tcPr>
            <w:tcW w:w="709" w:type="dxa"/>
            <w:tcBorders>
              <w:top w:val="single" w:color="auto" w:sz="4" w:space="0"/>
              <w:left w:val="nil"/>
              <w:bottom w:val="single" w:color="auto" w:sz="4" w:space="0"/>
              <w:right w:val="single" w:color="auto" w:sz="4" w:space="0"/>
            </w:tcBorders>
            <w:vAlign w:val="center"/>
          </w:tcPr>
          <w:p w14:paraId="6B950D84">
            <w:pPr>
              <w:widowControl/>
              <w:jc w:val="center"/>
              <w:rPr>
                <w:rFonts w:ascii="宋体" w:hAnsi="宋体" w:cs="宋体"/>
                <w:bCs/>
                <w:kern w:val="0"/>
                <w:szCs w:val="21"/>
              </w:rPr>
            </w:pPr>
            <w:r>
              <w:rPr>
                <w:rFonts w:hint="eastAsia" w:ascii="宋体" w:hAnsi="宋体" w:cs="宋体"/>
                <w:bCs/>
                <w:kern w:val="0"/>
                <w:szCs w:val="21"/>
              </w:rPr>
              <w:t>单项</w:t>
            </w:r>
          </w:p>
          <w:p w14:paraId="5DC728BC">
            <w:pPr>
              <w:widowControl/>
              <w:jc w:val="center"/>
              <w:rPr>
                <w:rFonts w:ascii="宋体" w:hAnsi="宋体" w:cs="宋体"/>
                <w:bCs/>
                <w:kern w:val="0"/>
                <w:szCs w:val="21"/>
              </w:rPr>
            </w:pPr>
            <w:r>
              <w:rPr>
                <w:rFonts w:hint="eastAsia" w:ascii="宋体" w:hAnsi="宋体" w:cs="宋体"/>
                <w:bCs/>
                <w:kern w:val="0"/>
                <w:szCs w:val="21"/>
              </w:rPr>
              <w:t>分值</w:t>
            </w:r>
          </w:p>
        </w:tc>
        <w:tc>
          <w:tcPr>
            <w:tcW w:w="2551" w:type="dxa"/>
            <w:tcBorders>
              <w:top w:val="single" w:color="auto" w:sz="4" w:space="0"/>
              <w:left w:val="nil"/>
              <w:bottom w:val="single" w:color="auto" w:sz="4" w:space="0"/>
              <w:right w:val="single" w:color="auto" w:sz="4" w:space="0"/>
            </w:tcBorders>
            <w:vAlign w:val="center"/>
          </w:tcPr>
          <w:p w14:paraId="567B6E90">
            <w:pPr>
              <w:widowControl/>
              <w:ind w:firstLine="472"/>
              <w:jc w:val="center"/>
              <w:rPr>
                <w:rFonts w:ascii="宋体" w:hAnsi="宋体" w:cs="宋体"/>
                <w:bCs/>
                <w:kern w:val="0"/>
                <w:szCs w:val="21"/>
              </w:rPr>
            </w:pPr>
            <w:r>
              <w:rPr>
                <w:rFonts w:hint="eastAsia" w:ascii="宋体" w:hAnsi="宋体" w:cs="宋体"/>
                <w:bCs/>
                <w:kern w:val="0"/>
                <w:szCs w:val="21"/>
              </w:rPr>
              <w:t>评价指标</w:t>
            </w:r>
          </w:p>
        </w:tc>
        <w:tc>
          <w:tcPr>
            <w:tcW w:w="3261" w:type="dxa"/>
            <w:tcBorders>
              <w:top w:val="single" w:color="auto" w:sz="4" w:space="0"/>
              <w:left w:val="nil"/>
              <w:bottom w:val="single" w:color="auto" w:sz="4" w:space="0"/>
              <w:right w:val="single" w:color="auto" w:sz="4" w:space="0"/>
            </w:tcBorders>
            <w:vAlign w:val="center"/>
          </w:tcPr>
          <w:p w14:paraId="685369AC">
            <w:pPr>
              <w:widowControl/>
              <w:ind w:firstLine="472"/>
              <w:jc w:val="center"/>
              <w:rPr>
                <w:rFonts w:ascii="宋体" w:hAnsi="宋体" w:cs="宋体"/>
                <w:bCs/>
                <w:kern w:val="0"/>
                <w:szCs w:val="21"/>
              </w:rPr>
            </w:pPr>
            <w:r>
              <w:rPr>
                <w:rFonts w:hint="eastAsia" w:ascii="宋体" w:hAnsi="宋体" w:cs="宋体"/>
                <w:bCs/>
                <w:kern w:val="0"/>
                <w:szCs w:val="21"/>
              </w:rPr>
              <w:t>评分标准</w:t>
            </w:r>
          </w:p>
        </w:tc>
        <w:tc>
          <w:tcPr>
            <w:tcW w:w="992" w:type="dxa"/>
            <w:tcBorders>
              <w:top w:val="single" w:color="auto" w:sz="4" w:space="0"/>
              <w:left w:val="nil"/>
              <w:bottom w:val="single" w:color="auto" w:sz="4" w:space="0"/>
              <w:right w:val="single" w:color="auto" w:sz="4" w:space="0"/>
            </w:tcBorders>
            <w:vAlign w:val="center"/>
          </w:tcPr>
          <w:p w14:paraId="2B9E51A9">
            <w:pPr>
              <w:widowControl/>
              <w:jc w:val="center"/>
              <w:rPr>
                <w:rFonts w:ascii="宋体" w:hAnsi="宋体" w:cs="宋体"/>
                <w:kern w:val="0"/>
                <w:szCs w:val="21"/>
              </w:rPr>
            </w:pPr>
            <w:r>
              <w:rPr>
                <w:rFonts w:hint="eastAsia" w:ascii="宋体" w:hAnsi="宋体" w:cs="宋体"/>
                <w:kern w:val="0"/>
                <w:szCs w:val="21"/>
              </w:rPr>
              <w:t>得分</w:t>
            </w:r>
          </w:p>
        </w:tc>
      </w:tr>
      <w:tr w14:paraId="3E287A5D">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24C32408">
            <w:pPr>
              <w:widowControl/>
              <w:jc w:val="center"/>
              <w:rPr>
                <w:kern w:val="0"/>
                <w:szCs w:val="21"/>
              </w:rPr>
            </w:pPr>
            <w:r>
              <w:rPr>
                <w:rFonts w:hint="eastAsia" w:ascii="宋体" w:hAnsi="宋体"/>
                <w:kern w:val="0"/>
                <w:szCs w:val="21"/>
              </w:rPr>
              <w:t>一</w:t>
            </w:r>
          </w:p>
        </w:tc>
        <w:tc>
          <w:tcPr>
            <w:tcW w:w="1188" w:type="dxa"/>
            <w:tcBorders>
              <w:top w:val="nil"/>
              <w:left w:val="nil"/>
              <w:bottom w:val="single" w:color="auto" w:sz="4" w:space="0"/>
              <w:right w:val="single" w:color="auto" w:sz="4" w:space="0"/>
            </w:tcBorders>
            <w:vAlign w:val="center"/>
          </w:tcPr>
          <w:p w14:paraId="2A8F354A">
            <w:pPr>
              <w:widowControl/>
              <w:jc w:val="center"/>
              <w:rPr>
                <w:kern w:val="0"/>
                <w:szCs w:val="21"/>
              </w:rPr>
            </w:pPr>
            <w:r>
              <w:rPr>
                <w:rFonts w:hint="eastAsia" w:ascii="宋体" w:hAnsi="宋体"/>
                <w:kern w:val="0"/>
                <w:szCs w:val="21"/>
              </w:rPr>
              <w:t>人员配备</w:t>
            </w:r>
          </w:p>
        </w:tc>
        <w:tc>
          <w:tcPr>
            <w:tcW w:w="709" w:type="dxa"/>
            <w:tcBorders>
              <w:top w:val="nil"/>
              <w:left w:val="nil"/>
              <w:bottom w:val="single" w:color="auto" w:sz="4" w:space="0"/>
              <w:right w:val="single" w:color="auto" w:sz="4" w:space="0"/>
            </w:tcBorders>
            <w:vAlign w:val="center"/>
          </w:tcPr>
          <w:p w14:paraId="1996653B">
            <w:pPr>
              <w:widowControl/>
              <w:jc w:val="center"/>
              <w:rPr>
                <w:kern w:val="0"/>
                <w:szCs w:val="21"/>
              </w:rPr>
            </w:pPr>
            <w:r>
              <w:rPr>
                <w:kern w:val="0"/>
                <w:szCs w:val="21"/>
              </w:rPr>
              <w:t>10</w:t>
            </w:r>
          </w:p>
        </w:tc>
        <w:tc>
          <w:tcPr>
            <w:tcW w:w="2551" w:type="dxa"/>
            <w:tcBorders>
              <w:top w:val="nil"/>
              <w:left w:val="nil"/>
              <w:bottom w:val="single" w:color="auto" w:sz="4" w:space="0"/>
              <w:right w:val="single" w:color="auto" w:sz="4" w:space="0"/>
            </w:tcBorders>
            <w:vAlign w:val="center"/>
          </w:tcPr>
          <w:p w14:paraId="0DF8ADEB">
            <w:pPr>
              <w:widowControl/>
              <w:ind w:firstLine="472"/>
              <w:jc w:val="center"/>
              <w:rPr>
                <w:bCs/>
                <w:kern w:val="0"/>
                <w:szCs w:val="21"/>
              </w:rPr>
            </w:pPr>
            <w:r>
              <w:rPr>
                <w:bCs/>
                <w:kern w:val="0"/>
                <w:szCs w:val="21"/>
              </w:rPr>
              <w:t>　</w:t>
            </w:r>
          </w:p>
        </w:tc>
        <w:tc>
          <w:tcPr>
            <w:tcW w:w="3261" w:type="dxa"/>
            <w:tcBorders>
              <w:top w:val="nil"/>
              <w:left w:val="nil"/>
              <w:bottom w:val="single" w:color="auto" w:sz="4" w:space="0"/>
              <w:right w:val="single" w:color="auto" w:sz="4" w:space="0"/>
            </w:tcBorders>
            <w:vAlign w:val="center"/>
          </w:tcPr>
          <w:p w14:paraId="644B5316">
            <w:pPr>
              <w:widowControl/>
              <w:ind w:firstLine="472"/>
              <w:jc w:val="center"/>
              <w:rPr>
                <w:bCs/>
                <w:kern w:val="0"/>
                <w:szCs w:val="21"/>
              </w:rPr>
            </w:pPr>
            <w:r>
              <w:rPr>
                <w:bCs/>
                <w:kern w:val="0"/>
                <w:szCs w:val="21"/>
              </w:rPr>
              <w:t>　</w:t>
            </w:r>
          </w:p>
        </w:tc>
        <w:tc>
          <w:tcPr>
            <w:tcW w:w="992" w:type="dxa"/>
            <w:tcBorders>
              <w:top w:val="nil"/>
              <w:left w:val="nil"/>
              <w:bottom w:val="single" w:color="auto" w:sz="4" w:space="0"/>
              <w:right w:val="single" w:color="auto" w:sz="4" w:space="0"/>
            </w:tcBorders>
            <w:vAlign w:val="center"/>
          </w:tcPr>
          <w:p w14:paraId="390F9C4D">
            <w:pPr>
              <w:widowControl/>
              <w:jc w:val="center"/>
              <w:rPr>
                <w:kern w:val="0"/>
                <w:szCs w:val="21"/>
              </w:rPr>
            </w:pPr>
            <w:r>
              <w:rPr>
                <w:kern w:val="0"/>
                <w:szCs w:val="21"/>
              </w:rPr>
              <w:t>　</w:t>
            </w:r>
          </w:p>
        </w:tc>
      </w:tr>
      <w:tr w14:paraId="4E330B8E">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0C4F53DF">
            <w:pPr>
              <w:widowControl/>
              <w:jc w:val="center"/>
              <w:rPr>
                <w:kern w:val="0"/>
                <w:szCs w:val="21"/>
              </w:rPr>
            </w:pPr>
            <w:r>
              <w:rPr>
                <w:kern w:val="0"/>
                <w:szCs w:val="21"/>
              </w:rPr>
              <w:t>1</w:t>
            </w:r>
          </w:p>
        </w:tc>
        <w:tc>
          <w:tcPr>
            <w:tcW w:w="1188" w:type="dxa"/>
            <w:tcBorders>
              <w:top w:val="nil"/>
              <w:left w:val="nil"/>
              <w:bottom w:val="single" w:color="auto" w:sz="4" w:space="0"/>
              <w:right w:val="nil"/>
            </w:tcBorders>
            <w:vAlign w:val="center"/>
          </w:tcPr>
          <w:p w14:paraId="51FA9BA7">
            <w:pPr>
              <w:widowControl/>
              <w:jc w:val="center"/>
              <w:rPr>
                <w:kern w:val="0"/>
                <w:szCs w:val="21"/>
              </w:rPr>
            </w:pPr>
            <w:r>
              <w:rPr>
                <w:rFonts w:hint="eastAsia" w:ascii="宋体" w:hAnsi="宋体"/>
                <w:kern w:val="0"/>
                <w:szCs w:val="21"/>
              </w:rPr>
              <w:t>项目负责人</w:t>
            </w:r>
          </w:p>
        </w:tc>
        <w:tc>
          <w:tcPr>
            <w:tcW w:w="709" w:type="dxa"/>
            <w:tcBorders>
              <w:top w:val="nil"/>
              <w:left w:val="single" w:color="auto" w:sz="4" w:space="0"/>
              <w:bottom w:val="single" w:color="auto" w:sz="4" w:space="0"/>
              <w:right w:val="single" w:color="auto" w:sz="4" w:space="0"/>
            </w:tcBorders>
            <w:vAlign w:val="center"/>
          </w:tcPr>
          <w:p w14:paraId="213A9BBD">
            <w:pPr>
              <w:widowControl/>
              <w:jc w:val="center"/>
              <w:rPr>
                <w:kern w:val="0"/>
                <w:szCs w:val="21"/>
              </w:rPr>
            </w:pPr>
            <w:r>
              <w:rPr>
                <w:rFonts w:hint="eastAsia"/>
                <w:kern w:val="0"/>
                <w:szCs w:val="21"/>
              </w:rPr>
              <w:t>5</w:t>
            </w:r>
          </w:p>
        </w:tc>
        <w:tc>
          <w:tcPr>
            <w:tcW w:w="2551" w:type="dxa"/>
            <w:tcBorders>
              <w:top w:val="nil"/>
              <w:left w:val="nil"/>
              <w:bottom w:val="single" w:color="auto" w:sz="4" w:space="0"/>
              <w:right w:val="single" w:color="auto" w:sz="4" w:space="0"/>
            </w:tcBorders>
            <w:vAlign w:val="center"/>
          </w:tcPr>
          <w:p w14:paraId="12051D4E">
            <w:pPr>
              <w:widowControl/>
              <w:jc w:val="left"/>
              <w:rPr>
                <w:kern w:val="0"/>
                <w:szCs w:val="21"/>
              </w:rPr>
            </w:pPr>
            <w:r>
              <w:rPr>
                <w:rFonts w:hint="eastAsia" w:ascii="宋体" w:hAnsi="宋体"/>
                <w:kern w:val="0"/>
                <w:szCs w:val="21"/>
              </w:rPr>
              <w:t>是否按合同到位</w:t>
            </w:r>
          </w:p>
        </w:tc>
        <w:tc>
          <w:tcPr>
            <w:tcW w:w="3261" w:type="dxa"/>
            <w:tcBorders>
              <w:top w:val="nil"/>
              <w:left w:val="nil"/>
              <w:bottom w:val="single" w:color="auto" w:sz="4" w:space="0"/>
              <w:right w:val="single" w:color="auto" w:sz="4" w:space="0"/>
            </w:tcBorders>
            <w:vAlign w:val="center"/>
          </w:tcPr>
          <w:p w14:paraId="0B7C9624">
            <w:pPr>
              <w:widowControl/>
              <w:jc w:val="left"/>
              <w:rPr>
                <w:rFonts w:ascii="宋体" w:hAnsi="宋体"/>
                <w:kern w:val="0"/>
                <w:szCs w:val="21"/>
              </w:rPr>
            </w:pPr>
            <w:r>
              <w:rPr>
                <w:rFonts w:hint="eastAsia" w:ascii="宋体" w:hAnsi="宋体"/>
                <w:kern w:val="0"/>
                <w:szCs w:val="21"/>
              </w:rPr>
              <w:t>未按合同到位且未经甲方同意，每自行更换一次</w:t>
            </w:r>
            <w:r>
              <w:rPr>
                <w:rFonts w:hint="eastAsia"/>
                <w:kern w:val="0"/>
                <w:szCs w:val="21"/>
              </w:rPr>
              <w:t>，</w:t>
            </w:r>
            <w:r>
              <w:rPr>
                <w:rFonts w:hint="eastAsia" w:ascii="宋体" w:hAnsi="宋体"/>
                <w:kern w:val="0"/>
                <w:szCs w:val="21"/>
              </w:rPr>
              <w:t>扣</w:t>
            </w:r>
            <w:r>
              <w:rPr>
                <w:rFonts w:hint="eastAsia"/>
                <w:kern w:val="0"/>
                <w:szCs w:val="21"/>
              </w:rPr>
              <w:t>2</w:t>
            </w:r>
            <w:r>
              <w:rPr>
                <w:rFonts w:hint="eastAsia" w:ascii="宋体" w:hAnsi="宋体"/>
                <w:kern w:val="0"/>
                <w:szCs w:val="21"/>
              </w:rPr>
              <w:t>分；</w:t>
            </w:r>
          </w:p>
          <w:p w14:paraId="2F88534E">
            <w:pPr>
              <w:widowControl/>
              <w:jc w:val="left"/>
              <w:rPr>
                <w:kern w:val="0"/>
                <w:szCs w:val="21"/>
              </w:rPr>
            </w:pPr>
            <w:r>
              <w:rPr>
                <w:rFonts w:hint="eastAsia" w:ascii="宋体" w:hAnsi="宋体"/>
                <w:kern w:val="0"/>
                <w:szCs w:val="21"/>
              </w:rPr>
              <w:t>缺席甲方要求参加的重要会议，每次扣1分。</w:t>
            </w:r>
          </w:p>
        </w:tc>
        <w:tc>
          <w:tcPr>
            <w:tcW w:w="992" w:type="dxa"/>
            <w:tcBorders>
              <w:top w:val="nil"/>
              <w:left w:val="nil"/>
              <w:bottom w:val="single" w:color="auto" w:sz="4" w:space="0"/>
              <w:right w:val="single" w:color="auto" w:sz="4" w:space="0"/>
            </w:tcBorders>
            <w:vAlign w:val="center"/>
          </w:tcPr>
          <w:p w14:paraId="226F6C65">
            <w:pPr>
              <w:widowControl/>
              <w:jc w:val="center"/>
              <w:rPr>
                <w:kern w:val="0"/>
                <w:szCs w:val="21"/>
              </w:rPr>
            </w:pPr>
            <w:r>
              <w:rPr>
                <w:kern w:val="0"/>
                <w:szCs w:val="21"/>
              </w:rPr>
              <w:t>　</w:t>
            </w:r>
          </w:p>
        </w:tc>
      </w:tr>
      <w:tr w14:paraId="3C80720B">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2225877F">
            <w:pPr>
              <w:widowControl/>
              <w:jc w:val="center"/>
              <w:rPr>
                <w:kern w:val="0"/>
                <w:szCs w:val="21"/>
              </w:rPr>
            </w:pPr>
            <w:r>
              <w:rPr>
                <w:rFonts w:hint="eastAsia"/>
                <w:kern w:val="0"/>
                <w:szCs w:val="21"/>
              </w:rPr>
              <w:t>2</w:t>
            </w:r>
          </w:p>
        </w:tc>
        <w:tc>
          <w:tcPr>
            <w:tcW w:w="1188" w:type="dxa"/>
            <w:tcBorders>
              <w:top w:val="single" w:color="auto" w:sz="4" w:space="0"/>
              <w:left w:val="nil"/>
              <w:bottom w:val="nil"/>
              <w:right w:val="nil"/>
            </w:tcBorders>
            <w:vAlign w:val="center"/>
          </w:tcPr>
          <w:p w14:paraId="27980F4C">
            <w:pPr>
              <w:widowControl/>
              <w:jc w:val="left"/>
              <w:rPr>
                <w:rFonts w:ascii="宋体" w:hAnsi="宋体"/>
                <w:kern w:val="0"/>
                <w:szCs w:val="21"/>
              </w:rPr>
            </w:pPr>
            <w:r>
              <w:rPr>
                <w:rFonts w:hint="eastAsia" w:ascii="宋体" w:hAnsi="宋体"/>
                <w:kern w:val="0"/>
                <w:szCs w:val="21"/>
              </w:rPr>
              <w:t>各专业负责人</w:t>
            </w:r>
          </w:p>
        </w:tc>
        <w:tc>
          <w:tcPr>
            <w:tcW w:w="709" w:type="dxa"/>
            <w:tcBorders>
              <w:top w:val="nil"/>
              <w:left w:val="single" w:color="auto" w:sz="4" w:space="0"/>
              <w:bottom w:val="single" w:color="auto" w:sz="4" w:space="0"/>
              <w:right w:val="single" w:color="auto" w:sz="4" w:space="0"/>
            </w:tcBorders>
            <w:vAlign w:val="center"/>
          </w:tcPr>
          <w:p w14:paraId="076CCB47">
            <w:pPr>
              <w:widowControl/>
              <w:jc w:val="center"/>
              <w:rPr>
                <w:kern w:val="0"/>
                <w:szCs w:val="21"/>
              </w:rPr>
            </w:pPr>
            <w:r>
              <w:rPr>
                <w:rFonts w:hint="eastAsia"/>
                <w:kern w:val="0"/>
                <w:szCs w:val="21"/>
              </w:rPr>
              <w:t>5</w:t>
            </w:r>
          </w:p>
        </w:tc>
        <w:tc>
          <w:tcPr>
            <w:tcW w:w="2551" w:type="dxa"/>
            <w:tcBorders>
              <w:top w:val="nil"/>
              <w:left w:val="nil"/>
              <w:bottom w:val="single" w:color="auto" w:sz="4" w:space="0"/>
              <w:right w:val="single" w:color="auto" w:sz="4" w:space="0"/>
            </w:tcBorders>
            <w:vAlign w:val="center"/>
          </w:tcPr>
          <w:p w14:paraId="1339E160">
            <w:pPr>
              <w:widowControl/>
              <w:jc w:val="left"/>
              <w:rPr>
                <w:rFonts w:ascii="宋体" w:hAnsi="宋体"/>
                <w:kern w:val="0"/>
                <w:szCs w:val="21"/>
              </w:rPr>
            </w:pPr>
            <w:r>
              <w:rPr>
                <w:rFonts w:hint="eastAsia" w:ascii="宋体" w:hAnsi="宋体"/>
                <w:kern w:val="0"/>
                <w:szCs w:val="21"/>
              </w:rPr>
              <w:t>人员是否稳定无更换</w:t>
            </w:r>
          </w:p>
        </w:tc>
        <w:tc>
          <w:tcPr>
            <w:tcW w:w="3261" w:type="dxa"/>
            <w:tcBorders>
              <w:top w:val="nil"/>
              <w:left w:val="nil"/>
              <w:bottom w:val="single" w:color="auto" w:sz="4" w:space="0"/>
              <w:right w:val="single" w:color="auto" w:sz="4" w:space="0"/>
            </w:tcBorders>
            <w:vAlign w:val="center"/>
          </w:tcPr>
          <w:p w14:paraId="30D1105C">
            <w:pPr>
              <w:widowControl/>
              <w:jc w:val="left"/>
              <w:rPr>
                <w:rFonts w:ascii="宋体" w:hAnsi="宋体"/>
                <w:kern w:val="0"/>
                <w:szCs w:val="21"/>
              </w:rPr>
            </w:pPr>
            <w:r>
              <w:rPr>
                <w:rFonts w:hint="eastAsia" w:ascii="宋体" w:hAnsi="宋体"/>
                <w:kern w:val="0"/>
                <w:szCs w:val="21"/>
              </w:rPr>
              <w:t>未按合同到位且未经甲方同意，每自行更换一次</w:t>
            </w:r>
            <w:r>
              <w:rPr>
                <w:rFonts w:hint="eastAsia"/>
                <w:kern w:val="0"/>
                <w:szCs w:val="21"/>
              </w:rPr>
              <w:t>，</w:t>
            </w:r>
            <w:r>
              <w:rPr>
                <w:rFonts w:hint="eastAsia" w:ascii="宋体" w:hAnsi="宋体"/>
                <w:kern w:val="0"/>
                <w:szCs w:val="21"/>
              </w:rPr>
              <w:t>扣</w:t>
            </w:r>
            <w:r>
              <w:rPr>
                <w:rFonts w:hint="eastAsia"/>
                <w:kern w:val="0"/>
                <w:szCs w:val="21"/>
              </w:rPr>
              <w:t>2</w:t>
            </w:r>
            <w:r>
              <w:rPr>
                <w:rFonts w:hint="eastAsia" w:ascii="宋体" w:hAnsi="宋体"/>
                <w:kern w:val="0"/>
                <w:szCs w:val="21"/>
              </w:rPr>
              <w:t>分；</w:t>
            </w:r>
          </w:p>
          <w:p w14:paraId="4236214D">
            <w:pPr>
              <w:widowControl/>
              <w:jc w:val="left"/>
              <w:rPr>
                <w:kern w:val="0"/>
                <w:szCs w:val="21"/>
              </w:rPr>
            </w:pPr>
            <w:r>
              <w:rPr>
                <w:rFonts w:hint="eastAsia" w:ascii="宋体" w:hAnsi="宋体"/>
                <w:kern w:val="0"/>
                <w:szCs w:val="21"/>
              </w:rPr>
              <w:t>缺席甲方要求参加的有关会议，每次扣1分。</w:t>
            </w:r>
          </w:p>
        </w:tc>
        <w:tc>
          <w:tcPr>
            <w:tcW w:w="992" w:type="dxa"/>
            <w:tcBorders>
              <w:top w:val="nil"/>
              <w:left w:val="nil"/>
              <w:bottom w:val="single" w:color="auto" w:sz="4" w:space="0"/>
              <w:right w:val="single" w:color="auto" w:sz="4" w:space="0"/>
            </w:tcBorders>
            <w:vAlign w:val="center"/>
          </w:tcPr>
          <w:p w14:paraId="2F3853F1">
            <w:pPr>
              <w:widowControl/>
              <w:jc w:val="center"/>
              <w:rPr>
                <w:kern w:val="0"/>
                <w:szCs w:val="21"/>
              </w:rPr>
            </w:pPr>
          </w:p>
        </w:tc>
      </w:tr>
      <w:tr w14:paraId="76E7F485">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5FB64046">
            <w:pPr>
              <w:widowControl/>
              <w:jc w:val="center"/>
              <w:rPr>
                <w:kern w:val="0"/>
                <w:szCs w:val="21"/>
              </w:rPr>
            </w:pPr>
            <w:r>
              <w:rPr>
                <w:rFonts w:hint="eastAsia" w:ascii="宋体" w:hAnsi="宋体"/>
                <w:kern w:val="0"/>
                <w:szCs w:val="21"/>
              </w:rPr>
              <w:t>二</w:t>
            </w:r>
          </w:p>
        </w:tc>
        <w:tc>
          <w:tcPr>
            <w:tcW w:w="1188" w:type="dxa"/>
            <w:tcBorders>
              <w:top w:val="single" w:color="auto" w:sz="4" w:space="0"/>
              <w:left w:val="nil"/>
              <w:bottom w:val="single" w:color="auto" w:sz="4" w:space="0"/>
              <w:right w:val="single" w:color="auto" w:sz="4" w:space="0"/>
            </w:tcBorders>
            <w:vAlign w:val="center"/>
          </w:tcPr>
          <w:p w14:paraId="25CD8290">
            <w:pPr>
              <w:widowControl/>
              <w:jc w:val="left"/>
              <w:rPr>
                <w:kern w:val="0"/>
                <w:szCs w:val="21"/>
              </w:rPr>
            </w:pPr>
            <w:r>
              <w:rPr>
                <w:rFonts w:hint="eastAsia" w:ascii="宋体" w:hAnsi="宋体"/>
                <w:kern w:val="0"/>
                <w:szCs w:val="21"/>
              </w:rPr>
              <w:t>能力水平及履约表现</w:t>
            </w:r>
          </w:p>
        </w:tc>
        <w:tc>
          <w:tcPr>
            <w:tcW w:w="709" w:type="dxa"/>
            <w:tcBorders>
              <w:top w:val="nil"/>
              <w:left w:val="nil"/>
              <w:bottom w:val="single" w:color="auto" w:sz="4" w:space="0"/>
              <w:right w:val="single" w:color="auto" w:sz="4" w:space="0"/>
            </w:tcBorders>
            <w:vAlign w:val="center"/>
          </w:tcPr>
          <w:p w14:paraId="4F5CE40A">
            <w:pPr>
              <w:widowControl/>
              <w:jc w:val="center"/>
              <w:rPr>
                <w:kern w:val="0"/>
                <w:szCs w:val="21"/>
              </w:rPr>
            </w:pPr>
            <w:r>
              <w:rPr>
                <w:rFonts w:hint="eastAsia"/>
                <w:kern w:val="0"/>
                <w:szCs w:val="21"/>
              </w:rPr>
              <w:t>10</w:t>
            </w:r>
          </w:p>
        </w:tc>
        <w:tc>
          <w:tcPr>
            <w:tcW w:w="2551" w:type="dxa"/>
            <w:tcBorders>
              <w:top w:val="nil"/>
              <w:left w:val="nil"/>
              <w:bottom w:val="single" w:color="auto" w:sz="4" w:space="0"/>
              <w:right w:val="single" w:color="auto" w:sz="4" w:space="0"/>
            </w:tcBorders>
            <w:vAlign w:val="center"/>
          </w:tcPr>
          <w:p w14:paraId="56465DDB">
            <w:pPr>
              <w:widowControl/>
              <w:jc w:val="left"/>
              <w:rPr>
                <w:kern w:val="0"/>
                <w:szCs w:val="21"/>
              </w:rPr>
            </w:pPr>
            <w:r>
              <w:rPr>
                <w:kern w:val="0"/>
                <w:szCs w:val="21"/>
              </w:rPr>
              <w:t>　</w:t>
            </w:r>
          </w:p>
        </w:tc>
        <w:tc>
          <w:tcPr>
            <w:tcW w:w="3261" w:type="dxa"/>
            <w:tcBorders>
              <w:top w:val="nil"/>
              <w:left w:val="nil"/>
              <w:bottom w:val="single" w:color="auto" w:sz="4" w:space="0"/>
              <w:right w:val="single" w:color="auto" w:sz="4" w:space="0"/>
            </w:tcBorders>
            <w:vAlign w:val="center"/>
          </w:tcPr>
          <w:p w14:paraId="4B88479B">
            <w:pPr>
              <w:widowControl/>
              <w:jc w:val="left"/>
              <w:rPr>
                <w:kern w:val="0"/>
                <w:szCs w:val="21"/>
              </w:rPr>
            </w:pPr>
            <w:r>
              <w:rPr>
                <w:kern w:val="0"/>
                <w:szCs w:val="21"/>
              </w:rPr>
              <w:t xml:space="preserve"> </w:t>
            </w:r>
          </w:p>
        </w:tc>
        <w:tc>
          <w:tcPr>
            <w:tcW w:w="992" w:type="dxa"/>
            <w:tcBorders>
              <w:top w:val="nil"/>
              <w:left w:val="nil"/>
              <w:bottom w:val="single" w:color="auto" w:sz="4" w:space="0"/>
              <w:right w:val="single" w:color="auto" w:sz="4" w:space="0"/>
            </w:tcBorders>
            <w:vAlign w:val="center"/>
          </w:tcPr>
          <w:p w14:paraId="5F82E87A">
            <w:pPr>
              <w:widowControl/>
              <w:jc w:val="center"/>
              <w:rPr>
                <w:kern w:val="0"/>
                <w:szCs w:val="21"/>
              </w:rPr>
            </w:pPr>
            <w:r>
              <w:rPr>
                <w:kern w:val="0"/>
                <w:szCs w:val="21"/>
              </w:rPr>
              <w:t>　</w:t>
            </w:r>
          </w:p>
        </w:tc>
      </w:tr>
      <w:tr w14:paraId="3947239B">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3C5C93F1">
            <w:pPr>
              <w:widowControl/>
              <w:jc w:val="center"/>
              <w:rPr>
                <w:kern w:val="0"/>
                <w:szCs w:val="21"/>
              </w:rPr>
            </w:pPr>
            <w:r>
              <w:rPr>
                <w:rFonts w:hint="eastAsia"/>
                <w:kern w:val="0"/>
                <w:szCs w:val="21"/>
              </w:rPr>
              <w:t>1</w:t>
            </w:r>
          </w:p>
        </w:tc>
        <w:tc>
          <w:tcPr>
            <w:tcW w:w="1188" w:type="dxa"/>
            <w:tcBorders>
              <w:top w:val="nil"/>
              <w:left w:val="nil"/>
              <w:bottom w:val="single" w:color="auto" w:sz="4" w:space="0"/>
              <w:right w:val="single" w:color="auto" w:sz="4" w:space="0"/>
            </w:tcBorders>
            <w:vAlign w:val="center"/>
          </w:tcPr>
          <w:p w14:paraId="3C8B5DAE">
            <w:pPr>
              <w:widowControl/>
              <w:jc w:val="left"/>
              <w:rPr>
                <w:kern w:val="0"/>
                <w:szCs w:val="21"/>
              </w:rPr>
            </w:pPr>
            <w:r>
              <w:rPr>
                <w:rFonts w:hint="eastAsia" w:ascii="宋体" w:hAnsi="宋体"/>
                <w:kern w:val="0"/>
                <w:szCs w:val="21"/>
              </w:rPr>
              <w:t>项目负责人</w:t>
            </w:r>
          </w:p>
        </w:tc>
        <w:tc>
          <w:tcPr>
            <w:tcW w:w="709" w:type="dxa"/>
            <w:tcBorders>
              <w:top w:val="nil"/>
              <w:left w:val="nil"/>
              <w:bottom w:val="single" w:color="auto" w:sz="4" w:space="0"/>
              <w:right w:val="single" w:color="auto" w:sz="4" w:space="0"/>
            </w:tcBorders>
            <w:vAlign w:val="center"/>
          </w:tcPr>
          <w:p w14:paraId="2F6C0F03">
            <w:pPr>
              <w:widowControl/>
              <w:jc w:val="center"/>
              <w:rPr>
                <w:kern w:val="0"/>
                <w:szCs w:val="21"/>
              </w:rPr>
            </w:pPr>
            <w:r>
              <w:rPr>
                <w:rFonts w:hint="eastAsia"/>
                <w:kern w:val="0"/>
                <w:szCs w:val="21"/>
              </w:rPr>
              <w:t>5</w:t>
            </w:r>
          </w:p>
        </w:tc>
        <w:tc>
          <w:tcPr>
            <w:tcW w:w="2551" w:type="dxa"/>
            <w:tcBorders>
              <w:top w:val="nil"/>
              <w:left w:val="nil"/>
              <w:bottom w:val="single" w:color="auto" w:sz="4" w:space="0"/>
              <w:right w:val="single" w:color="auto" w:sz="4" w:space="0"/>
            </w:tcBorders>
            <w:vAlign w:val="center"/>
          </w:tcPr>
          <w:p w14:paraId="1556E068">
            <w:pPr>
              <w:widowControl/>
              <w:jc w:val="left"/>
              <w:rPr>
                <w:kern w:val="0"/>
                <w:szCs w:val="21"/>
              </w:rPr>
            </w:pPr>
            <w:r>
              <w:rPr>
                <w:rFonts w:hint="eastAsia" w:ascii="宋体" w:hAnsi="宋体"/>
                <w:kern w:val="0"/>
                <w:szCs w:val="21"/>
              </w:rPr>
              <w:t>是否具有较强的协调组织能力；是否及时发现问题和处理问题；是否能与甲方、使用单位及业务主管部门等相关单位充分沟通</w:t>
            </w:r>
          </w:p>
        </w:tc>
        <w:tc>
          <w:tcPr>
            <w:tcW w:w="3261" w:type="dxa"/>
            <w:tcBorders>
              <w:top w:val="nil"/>
              <w:left w:val="nil"/>
              <w:bottom w:val="single" w:color="auto" w:sz="4" w:space="0"/>
              <w:right w:val="single" w:color="auto" w:sz="4" w:space="0"/>
            </w:tcBorders>
            <w:vAlign w:val="center"/>
          </w:tcPr>
          <w:p w14:paraId="09DDD47A">
            <w:pPr>
              <w:widowControl/>
              <w:jc w:val="left"/>
              <w:rPr>
                <w:rFonts w:ascii="宋体" w:hAnsi="宋体"/>
                <w:kern w:val="0"/>
                <w:szCs w:val="21"/>
              </w:rPr>
            </w:pPr>
            <w:r>
              <w:rPr>
                <w:kern w:val="0"/>
                <w:szCs w:val="21"/>
              </w:rPr>
              <w:t>1</w:t>
            </w:r>
            <w:r>
              <w:rPr>
                <w:rFonts w:hint="eastAsia" w:ascii="宋体" w:hAnsi="宋体"/>
                <w:kern w:val="0"/>
                <w:szCs w:val="21"/>
              </w:rPr>
              <w:t>、责任心不强、工作协调不到位；</w:t>
            </w:r>
          </w:p>
          <w:p w14:paraId="03048A7B">
            <w:pPr>
              <w:widowControl/>
              <w:jc w:val="left"/>
              <w:rPr>
                <w:rFonts w:ascii="宋体" w:hAnsi="宋体"/>
                <w:kern w:val="0"/>
                <w:szCs w:val="21"/>
              </w:rPr>
            </w:pPr>
            <w:r>
              <w:rPr>
                <w:kern w:val="0"/>
                <w:szCs w:val="21"/>
              </w:rPr>
              <w:t>2</w:t>
            </w:r>
            <w:r>
              <w:rPr>
                <w:rFonts w:hint="eastAsia" w:ascii="宋体" w:hAnsi="宋体"/>
                <w:kern w:val="0"/>
                <w:szCs w:val="21"/>
              </w:rPr>
              <w:t>、发现问题后未及时处理；</w:t>
            </w:r>
          </w:p>
          <w:p w14:paraId="3D7A55E9">
            <w:pPr>
              <w:widowControl/>
              <w:jc w:val="left"/>
              <w:rPr>
                <w:rFonts w:ascii="宋体" w:hAnsi="宋体"/>
                <w:kern w:val="0"/>
                <w:szCs w:val="21"/>
              </w:rPr>
            </w:pPr>
            <w:r>
              <w:rPr>
                <w:kern w:val="0"/>
                <w:szCs w:val="21"/>
              </w:rPr>
              <w:t>3</w:t>
            </w:r>
            <w:r>
              <w:rPr>
                <w:rFonts w:hint="eastAsia" w:ascii="宋体" w:hAnsi="宋体"/>
                <w:kern w:val="0"/>
                <w:szCs w:val="21"/>
              </w:rPr>
              <w:t>、未与相关参建单位或管理部门及时沟通；</w:t>
            </w:r>
          </w:p>
          <w:p w14:paraId="0AE34B57">
            <w:pPr>
              <w:widowControl/>
              <w:jc w:val="left"/>
              <w:rPr>
                <w:rFonts w:ascii="宋体" w:hAnsi="宋体"/>
                <w:kern w:val="0"/>
                <w:szCs w:val="21"/>
              </w:rPr>
            </w:pPr>
            <w:r>
              <w:rPr>
                <w:kern w:val="0"/>
                <w:szCs w:val="21"/>
              </w:rPr>
              <w:t>4</w:t>
            </w:r>
            <w:r>
              <w:rPr>
                <w:rFonts w:hint="eastAsia" w:ascii="宋体" w:hAnsi="宋体"/>
                <w:kern w:val="0"/>
                <w:szCs w:val="21"/>
              </w:rPr>
              <w:t>、未落实甲方的相关要求或会议纪要等文件精神。</w:t>
            </w:r>
          </w:p>
          <w:p w14:paraId="5BF12EBA">
            <w:pPr>
              <w:widowControl/>
              <w:jc w:val="left"/>
              <w:rPr>
                <w:kern w:val="0"/>
                <w:szCs w:val="21"/>
              </w:rPr>
            </w:pPr>
            <w:r>
              <w:rPr>
                <w:rFonts w:hint="eastAsia" w:ascii="宋体" w:hAnsi="宋体"/>
                <w:kern w:val="0"/>
                <w:szCs w:val="21"/>
              </w:rPr>
              <w:t>以上各项每发生一次扣1分。</w:t>
            </w:r>
          </w:p>
        </w:tc>
        <w:tc>
          <w:tcPr>
            <w:tcW w:w="992" w:type="dxa"/>
            <w:tcBorders>
              <w:top w:val="nil"/>
              <w:left w:val="nil"/>
              <w:bottom w:val="single" w:color="auto" w:sz="4" w:space="0"/>
              <w:right w:val="single" w:color="auto" w:sz="4" w:space="0"/>
            </w:tcBorders>
            <w:vAlign w:val="center"/>
          </w:tcPr>
          <w:p w14:paraId="475CDC90">
            <w:pPr>
              <w:widowControl/>
              <w:jc w:val="center"/>
              <w:rPr>
                <w:kern w:val="0"/>
                <w:szCs w:val="21"/>
              </w:rPr>
            </w:pPr>
            <w:r>
              <w:rPr>
                <w:kern w:val="0"/>
                <w:szCs w:val="21"/>
              </w:rPr>
              <w:t>　</w:t>
            </w:r>
          </w:p>
        </w:tc>
      </w:tr>
      <w:tr w14:paraId="0F3DE71C">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66723FA6">
            <w:pPr>
              <w:widowControl/>
              <w:jc w:val="center"/>
              <w:rPr>
                <w:kern w:val="0"/>
                <w:szCs w:val="21"/>
              </w:rPr>
            </w:pPr>
            <w:r>
              <w:rPr>
                <w:rFonts w:hint="eastAsia"/>
                <w:kern w:val="0"/>
                <w:szCs w:val="21"/>
              </w:rPr>
              <w:t>2</w:t>
            </w:r>
          </w:p>
        </w:tc>
        <w:tc>
          <w:tcPr>
            <w:tcW w:w="1188" w:type="dxa"/>
            <w:tcBorders>
              <w:top w:val="nil"/>
              <w:left w:val="nil"/>
              <w:bottom w:val="single" w:color="auto" w:sz="4" w:space="0"/>
              <w:right w:val="single" w:color="auto" w:sz="4" w:space="0"/>
            </w:tcBorders>
            <w:vAlign w:val="center"/>
          </w:tcPr>
          <w:p w14:paraId="4F42AE85">
            <w:pPr>
              <w:widowControl/>
              <w:jc w:val="left"/>
              <w:rPr>
                <w:kern w:val="0"/>
                <w:szCs w:val="21"/>
              </w:rPr>
            </w:pPr>
            <w:r>
              <w:rPr>
                <w:rFonts w:hint="eastAsia" w:ascii="宋体" w:hAnsi="宋体"/>
                <w:kern w:val="0"/>
                <w:szCs w:val="21"/>
              </w:rPr>
              <w:t>各专业负责人</w:t>
            </w:r>
          </w:p>
        </w:tc>
        <w:tc>
          <w:tcPr>
            <w:tcW w:w="709" w:type="dxa"/>
            <w:tcBorders>
              <w:top w:val="nil"/>
              <w:left w:val="nil"/>
              <w:bottom w:val="single" w:color="auto" w:sz="4" w:space="0"/>
              <w:right w:val="single" w:color="auto" w:sz="4" w:space="0"/>
            </w:tcBorders>
            <w:vAlign w:val="center"/>
          </w:tcPr>
          <w:p w14:paraId="3D782FEC">
            <w:pPr>
              <w:widowControl/>
              <w:jc w:val="center"/>
              <w:rPr>
                <w:kern w:val="0"/>
                <w:szCs w:val="21"/>
              </w:rPr>
            </w:pPr>
            <w:r>
              <w:rPr>
                <w:rFonts w:hint="eastAsia"/>
                <w:kern w:val="0"/>
                <w:szCs w:val="21"/>
              </w:rPr>
              <w:t>5</w:t>
            </w:r>
          </w:p>
        </w:tc>
        <w:tc>
          <w:tcPr>
            <w:tcW w:w="2551" w:type="dxa"/>
            <w:tcBorders>
              <w:top w:val="nil"/>
              <w:left w:val="nil"/>
              <w:bottom w:val="single" w:color="auto" w:sz="4" w:space="0"/>
              <w:right w:val="single" w:color="auto" w:sz="4" w:space="0"/>
            </w:tcBorders>
            <w:vAlign w:val="center"/>
          </w:tcPr>
          <w:p w14:paraId="2B849C01">
            <w:pPr>
              <w:widowControl/>
              <w:jc w:val="left"/>
              <w:rPr>
                <w:kern w:val="0"/>
                <w:szCs w:val="21"/>
              </w:rPr>
            </w:pPr>
            <w:r>
              <w:rPr>
                <w:rFonts w:hint="eastAsia" w:ascii="宋体" w:hAnsi="宋体"/>
                <w:kern w:val="0"/>
                <w:szCs w:val="21"/>
              </w:rPr>
              <w:t>是否有责任心；是否有较高的专业水平；与甲方、使用单位的沟通是否顺畅</w:t>
            </w:r>
          </w:p>
        </w:tc>
        <w:tc>
          <w:tcPr>
            <w:tcW w:w="3261" w:type="dxa"/>
            <w:tcBorders>
              <w:top w:val="nil"/>
              <w:left w:val="nil"/>
              <w:bottom w:val="single" w:color="auto" w:sz="4" w:space="0"/>
              <w:right w:val="single" w:color="auto" w:sz="4" w:space="0"/>
            </w:tcBorders>
            <w:vAlign w:val="center"/>
          </w:tcPr>
          <w:p w14:paraId="4EA13B50">
            <w:pPr>
              <w:widowControl/>
              <w:jc w:val="left"/>
              <w:rPr>
                <w:rFonts w:ascii="宋体" w:hAnsi="宋体"/>
                <w:kern w:val="0"/>
                <w:szCs w:val="21"/>
              </w:rPr>
            </w:pPr>
            <w:r>
              <w:rPr>
                <w:kern w:val="0"/>
                <w:szCs w:val="21"/>
              </w:rPr>
              <w:t>1</w:t>
            </w:r>
            <w:r>
              <w:rPr>
                <w:rFonts w:hint="eastAsia" w:ascii="宋体" w:hAnsi="宋体"/>
                <w:kern w:val="0"/>
                <w:szCs w:val="21"/>
              </w:rPr>
              <w:t>、责任心不强；</w:t>
            </w:r>
          </w:p>
          <w:p w14:paraId="08119545">
            <w:pPr>
              <w:widowControl/>
              <w:jc w:val="left"/>
              <w:rPr>
                <w:rFonts w:ascii="宋体" w:hAnsi="宋体"/>
                <w:kern w:val="0"/>
                <w:szCs w:val="21"/>
              </w:rPr>
            </w:pPr>
            <w:r>
              <w:rPr>
                <w:kern w:val="0"/>
                <w:szCs w:val="21"/>
              </w:rPr>
              <w:t>2</w:t>
            </w:r>
            <w:r>
              <w:rPr>
                <w:rFonts w:hint="eastAsia" w:ascii="宋体" w:hAnsi="宋体"/>
                <w:kern w:val="0"/>
                <w:szCs w:val="21"/>
              </w:rPr>
              <w:t>、专业水平不高；</w:t>
            </w:r>
          </w:p>
          <w:p w14:paraId="29D42155">
            <w:pPr>
              <w:widowControl/>
              <w:jc w:val="left"/>
              <w:rPr>
                <w:rFonts w:ascii="宋体" w:hAnsi="宋体"/>
                <w:kern w:val="0"/>
                <w:szCs w:val="21"/>
              </w:rPr>
            </w:pPr>
            <w:r>
              <w:rPr>
                <w:kern w:val="0"/>
                <w:szCs w:val="21"/>
              </w:rPr>
              <w:t>3</w:t>
            </w:r>
            <w:r>
              <w:rPr>
                <w:rFonts w:hint="eastAsia" w:ascii="宋体" w:hAnsi="宋体"/>
                <w:kern w:val="0"/>
                <w:szCs w:val="21"/>
              </w:rPr>
              <w:t>、与甲方、使用单位的沟通不到位；</w:t>
            </w:r>
          </w:p>
          <w:p w14:paraId="77E7A782">
            <w:pPr>
              <w:widowControl/>
              <w:jc w:val="left"/>
              <w:rPr>
                <w:kern w:val="0"/>
                <w:szCs w:val="21"/>
              </w:rPr>
            </w:pPr>
            <w:r>
              <w:rPr>
                <w:rFonts w:hint="eastAsia" w:ascii="宋体" w:hAnsi="宋体"/>
                <w:kern w:val="0"/>
                <w:szCs w:val="21"/>
              </w:rPr>
              <w:t>以上各项每发生一次扣</w:t>
            </w:r>
            <w:r>
              <w:rPr>
                <w:kern w:val="0"/>
                <w:szCs w:val="21"/>
              </w:rPr>
              <w:t>1</w:t>
            </w:r>
            <w:r>
              <w:rPr>
                <w:rFonts w:hint="eastAsia" w:ascii="宋体" w:hAnsi="宋体"/>
                <w:kern w:val="0"/>
                <w:szCs w:val="21"/>
              </w:rPr>
              <w:t>分。</w:t>
            </w:r>
          </w:p>
        </w:tc>
        <w:tc>
          <w:tcPr>
            <w:tcW w:w="992" w:type="dxa"/>
            <w:tcBorders>
              <w:top w:val="nil"/>
              <w:left w:val="nil"/>
              <w:bottom w:val="single" w:color="auto" w:sz="4" w:space="0"/>
              <w:right w:val="single" w:color="auto" w:sz="4" w:space="0"/>
            </w:tcBorders>
            <w:vAlign w:val="center"/>
          </w:tcPr>
          <w:p w14:paraId="3B9E9C10">
            <w:pPr>
              <w:widowControl/>
              <w:jc w:val="center"/>
              <w:rPr>
                <w:kern w:val="0"/>
                <w:szCs w:val="21"/>
              </w:rPr>
            </w:pPr>
            <w:r>
              <w:rPr>
                <w:kern w:val="0"/>
                <w:szCs w:val="21"/>
              </w:rPr>
              <w:t>　</w:t>
            </w:r>
          </w:p>
        </w:tc>
      </w:tr>
      <w:tr w14:paraId="607FE75C">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31AAA5D6">
            <w:pPr>
              <w:widowControl/>
              <w:jc w:val="center"/>
              <w:rPr>
                <w:rFonts w:ascii="宋体" w:hAnsi="宋体" w:cs="宋体"/>
                <w:kern w:val="0"/>
                <w:szCs w:val="21"/>
              </w:rPr>
            </w:pPr>
            <w:r>
              <w:rPr>
                <w:rFonts w:hint="eastAsia" w:ascii="宋体" w:hAnsi="宋体" w:cs="宋体"/>
                <w:kern w:val="0"/>
                <w:szCs w:val="21"/>
              </w:rPr>
              <w:t>三</w:t>
            </w:r>
          </w:p>
        </w:tc>
        <w:tc>
          <w:tcPr>
            <w:tcW w:w="1188" w:type="dxa"/>
            <w:tcBorders>
              <w:top w:val="nil"/>
              <w:left w:val="nil"/>
              <w:bottom w:val="single" w:color="auto" w:sz="4" w:space="0"/>
              <w:right w:val="single" w:color="auto" w:sz="4" w:space="0"/>
            </w:tcBorders>
            <w:vAlign w:val="center"/>
          </w:tcPr>
          <w:p w14:paraId="05721BA1">
            <w:pPr>
              <w:widowControl/>
              <w:jc w:val="center"/>
              <w:rPr>
                <w:rFonts w:ascii="宋体" w:hAnsi="宋体" w:cs="宋体"/>
                <w:kern w:val="0"/>
                <w:szCs w:val="21"/>
              </w:rPr>
            </w:pPr>
            <w:r>
              <w:rPr>
                <w:rFonts w:hint="eastAsia" w:ascii="宋体" w:hAnsi="宋体" w:cs="宋体"/>
                <w:kern w:val="0"/>
                <w:szCs w:val="21"/>
              </w:rPr>
              <w:t>设计质量</w:t>
            </w:r>
          </w:p>
        </w:tc>
        <w:tc>
          <w:tcPr>
            <w:tcW w:w="709" w:type="dxa"/>
            <w:tcBorders>
              <w:top w:val="nil"/>
              <w:left w:val="nil"/>
              <w:bottom w:val="single" w:color="auto" w:sz="4" w:space="0"/>
              <w:right w:val="single" w:color="auto" w:sz="4" w:space="0"/>
            </w:tcBorders>
            <w:vAlign w:val="center"/>
          </w:tcPr>
          <w:p w14:paraId="225C787D">
            <w:pPr>
              <w:widowControl/>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2551" w:type="dxa"/>
            <w:tcBorders>
              <w:top w:val="nil"/>
              <w:left w:val="nil"/>
              <w:bottom w:val="single" w:color="auto" w:sz="4" w:space="0"/>
              <w:right w:val="single" w:color="auto" w:sz="4" w:space="0"/>
            </w:tcBorders>
            <w:vAlign w:val="center"/>
          </w:tcPr>
          <w:p w14:paraId="1F10CBED">
            <w:pPr>
              <w:widowControl/>
              <w:jc w:val="left"/>
              <w:rPr>
                <w:rFonts w:ascii="宋体" w:hAnsi="宋体" w:cs="宋体"/>
                <w:kern w:val="0"/>
                <w:szCs w:val="21"/>
              </w:rPr>
            </w:pPr>
            <w:r>
              <w:rPr>
                <w:rFonts w:hint="eastAsia" w:ascii="宋体" w:hAnsi="宋体" w:cs="宋体"/>
                <w:kern w:val="0"/>
                <w:szCs w:val="21"/>
              </w:rPr>
              <w:t>　</w:t>
            </w:r>
          </w:p>
        </w:tc>
        <w:tc>
          <w:tcPr>
            <w:tcW w:w="3261" w:type="dxa"/>
            <w:tcBorders>
              <w:top w:val="nil"/>
              <w:left w:val="nil"/>
              <w:bottom w:val="single" w:color="auto" w:sz="4" w:space="0"/>
              <w:right w:val="single" w:color="auto" w:sz="4" w:space="0"/>
            </w:tcBorders>
            <w:vAlign w:val="center"/>
          </w:tcPr>
          <w:p w14:paraId="5D615DB2">
            <w:pPr>
              <w:widowControl/>
              <w:jc w:val="left"/>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14:paraId="2DCC9159">
            <w:pPr>
              <w:widowControl/>
              <w:jc w:val="left"/>
              <w:rPr>
                <w:rFonts w:ascii="宋体" w:hAnsi="宋体" w:cs="宋体"/>
                <w:kern w:val="0"/>
                <w:szCs w:val="21"/>
              </w:rPr>
            </w:pPr>
            <w:r>
              <w:rPr>
                <w:rFonts w:hint="eastAsia" w:ascii="宋体" w:hAnsi="宋体" w:cs="宋体"/>
                <w:kern w:val="0"/>
                <w:szCs w:val="21"/>
              </w:rPr>
              <w:t>　</w:t>
            </w:r>
          </w:p>
        </w:tc>
      </w:tr>
      <w:tr w14:paraId="54C1ED9A">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19A415A1">
            <w:pPr>
              <w:widowControl/>
              <w:jc w:val="center"/>
              <w:rPr>
                <w:rFonts w:ascii="宋体" w:hAnsi="宋体" w:cs="宋体"/>
                <w:kern w:val="0"/>
                <w:szCs w:val="21"/>
              </w:rPr>
            </w:pPr>
            <w:r>
              <w:rPr>
                <w:rFonts w:hint="eastAsia" w:ascii="宋体" w:hAnsi="宋体" w:cs="宋体"/>
                <w:kern w:val="0"/>
                <w:szCs w:val="21"/>
              </w:rPr>
              <w:t>1</w:t>
            </w:r>
          </w:p>
        </w:tc>
        <w:tc>
          <w:tcPr>
            <w:tcW w:w="1188" w:type="dxa"/>
            <w:tcBorders>
              <w:top w:val="nil"/>
              <w:left w:val="nil"/>
              <w:bottom w:val="single" w:color="auto" w:sz="4" w:space="0"/>
              <w:right w:val="single" w:color="auto" w:sz="4" w:space="0"/>
            </w:tcBorders>
            <w:vAlign w:val="center"/>
          </w:tcPr>
          <w:p w14:paraId="35FBE173">
            <w:pPr>
              <w:widowControl/>
              <w:jc w:val="center"/>
              <w:rPr>
                <w:rFonts w:ascii="宋体" w:hAnsi="宋体" w:cs="宋体"/>
                <w:kern w:val="0"/>
                <w:szCs w:val="21"/>
              </w:rPr>
            </w:pPr>
            <w:r>
              <w:rPr>
                <w:rFonts w:hint="eastAsia" w:ascii="宋体" w:hAnsi="宋体" w:cs="宋体"/>
                <w:kern w:val="0"/>
                <w:szCs w:val="21"/>
              </w:rPr>
              <w:t>建筑</w:t>
            </w:r>
          </w:p>
        </w:tc>
        <w:tc>
          <w:tcPr>
            <w:tcW w:w="709" w:type="dxa"/>
            <w:tcBorders>
              <w:top w:val="nil"/>
              <w:left w:val="nil"/>
              <w:bottom w:val="single" w:color="auto" w:sz="4" w:space="0"/>
              <w:right w:val="single" w:color="auto" w:sz="4" w:space="0"/>
            </w:tcBorders>
            <w:vAlign w:val="center"/>
          </w:tcPr>
          <w:p w14:paraId="70AC9EA8">
            <w:pPr>
              <w:widowControl/>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18852E25">
            <w:pPr>
              <w:widowControl/>
              <w:jc w:val="left"/>
              <w:rPr>
                <w:rFonts w:ascii="宋体" w:hAnsi="宋体" w:cs="宋体"/>
                <w:kern w:val="0"/>
                <w:szCs w:val="21"/>
              </w:rPr>
            </w:pPr>
            <w:r>
              <w:rPr>
                <w:rFonts w:hint="eastAsia" w:ascii="宋体" w:hAnsi="宋体" w:cs="宋体"/>
                <w:kern w:val="0"/>
                <w:szCs w:val="21"/>
              </w:rPr>
              <w:t>建筑选型和立面、平面布局是否合理</w:t>
            </w:r>
          </w:p>
        </w:tc>
        <w:tc>
          <w:tcPr>
            <w:tcW w:w="3261" w:type="dxa"/>
            <w:tcBorders>
              <w:top w:val="nil"/>
              <w:left w:val="nil"/>
              <w:bottom w:val="single" w:color="auto" w:sz="4" w:space="0"/>
              <w:right w:val="single" w:color="auto" w:sz="4" w:space="0"/>
            </w:tcBorders>
            <w:vAlign w:val="center"/>
          </w:tcPr>
          <w:p w14:paraId="0AE8EB95">
            <w:pPr>
              <w:widowControl/>
              <w:jc w:val="left"/>
              <w:rPr>
                <w:rFonts w:ascii="宋体" w:hAnsi="宋体" w:cs="宋体"/>
                <w:kern w:val="0"/>
                <w:szCs w:val="21"/>
              </w:rPr>
            </w:pPr>
            <w:r>
              <w:rPr>
                <w:rFonts w:hint="eastAsia" w:ascii="宋体" w:hAnsi="宋体" w:cs="宋体"/>
                <w:kern w:val="0"/>
                <w:szCs w:val="21"/>
              </w:rPr>
              <w:t>经甲方、使用方、第三方专家或单位审核，建筑选型和立面、平面布局不当，每一处扣2分</w:t>
            </w:r>
          </w:p>
        </w:tc>
        <w:tc>
          <w:tcPr>
            <w:tcW w:w="992" w:type="dxa"/>
            <w:tcBorders>
              <w:top w:val="nil"/>
              <w:left w:val="nil"/>
              <w:bottom w:val="single" w:color="auto" w:sz="4" w:space="0"/>
              <w:right w:val="single" w:color="auto" w:sz="4" w:space="0"/>
            </w:tcBorders>
            <w:vAlign w:val="center"/>
          </w:tcPr>
          <w:p w14:paraId="0D7231DC">
            <w:pPr>
              <w:widowControl/>
              <w:jc w:val="left"/>
              <w:rPr>
                <w:rFonts w:ascii="宋体" w:hAnsi="宋体" w:cs="宋体"/>
                <w:kern w:val="0"/>
                <w:szCs w:val="21"/>
              </w:rPr>
            </w:pPr>
            <w:r>
              <w:rPr>
                <w:rFonts w:hint="eastAsia" w:ascii="宋体" w:hAnsi="宋体" w:cs="宋体"/>
                <w:kern w:val="0"/>
                <w:szCs w:val="21"/>
              </w:rPr>
              <w:t>　</w:t>
            </w:r>
          </w:p>
        </w:tc>
      </w:tr>
      <w:tr w14:paraId="624E09BB">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4597839E">
            <w:pPr>
              <w:widowControl/>
              <w:jc w:val="center"/>
              <w:rPr>
                <w:rFonts w:ascii="宋体" w:hAnsi="宋体" w:cs="宋体"/>
                <w:kern w:val="0"/>
                <w:szCs w:val="21"/>
              </w:rPr>
            </w:pPr>
            <w:r>
              <w:rPr>
                <w:rFonts w:hint="eastAsia" w:ascii="宋体" w:hAnsi="宋体" w:cs="宋体"/>
                <w:kern w:val="0"/>
                <w:szCs w:val="21"/>
              </w:rPr>
              <w:t>2</w:t>
            </w:r>
          </w:p>
        </w:tc>
        <w:tc>
          <w:tcPr>
            <w:tcW w:w="1188" w:type="dxa"/>
            <w:tcBorders>
              <w:top w:val="nil"/>
              <w:left w:val="nil"/>
              <w:bottom w:val="single" w:color="auto" w:sz="4" w:space="0"/>
              <w:right w:val="single" w:color="auto" w:sz="4" w:space="0"/>
            </w:tcBorders>
            <w:vAlign w:val="center"/>
          </w:tcPr>
          <w:p w14:paraId="11F962DE">
            <w:pPr>
              <w:widowControl/>
              <w:jc w:val="center"/>
              <w:rPr>
                <w:rFonts w:ascii="宋体" w:hAnsi="宋体" w:cs="宋体"/>
                <w:kern w:val="0"/>
                <w:szCs w:val="21"/>
              </w:rPr>
            </w:pPr>
            <w:r>
              <w:rPr>
                <w:rFonts w:hint="eastAsia" w:ascii="宋体" w:hAnsi="宋体" w:cs="宋体"/>
                <w:kern w:val="0"/>
                <w:szCs w:val="21"/>
              </w:rPr>
              <w:t>结构</w:t>
            </w:r>
          </w:p>
        </w:tc>
        <w:tc>
          <w:tcPr>
            <w:tcW w:w="709" w:type="dxa"/>
            <w:tcBorders>
              <w:top w:val="nil"/>
              <w:left w:val="nil"/>
              <w:bottom w:val="single" w:color="auto" w:sz="4" w:space="0"/>
              <w:right w:val="single" w:color="auto" w:sz="4" w:space="0"/>
            </w:tcBorders>
            <w:vAlign w:val="center"/>
          </w:tcPr>
          <w:p w14:paraId="6F89131F">
            <w:pPr>
              <w:widowControl/>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384F283E">
            <w:pPr>
              <w:widowControl/>
              <w:jc w:val="left"/>
              <w:rPr>
                <w:rFonts w:ascii="宋体" w:hAnsi="宋体" w:cs="宋体"/>
                <w:kern w:val="0"/>
                <w:szCs w:val="21"/>
              </w:rPr>
            </w:pPr>
            <w:r>
              <w:rPr>
                <w:rFonts w:hint="eastAsia" w:ascii="宋体" w:hAnsi="宋体" w:cs="宋体"/>
                <w:kern w:val="0"/>
                <w:szCs w:val="21"/>
              </w:rPr>
              <w:t>基础和上部结构选型是否合理；结构方案是否便于实施；</w:t>
            </w:r>
          </w:p>
        </w:tc>
        <w:tc>
          <w:tcPr>
            <w:tcW w:w="3261" w:type="dxa"/>
            <w:tcBorders>
              <w:top w:val="nil"/>
              <w:left w:val="nil"/>
              <w:bottom w:val="single" w:color="auto" w:sz="4" w:space="0"/>
              <w:right w:val="single" w:color="auto" w:sz="4" w:space="0"/>
            </w:tcBorders>
            <w:vAlign w:val="center"/>
          </w:tcPr>
          <w:p w14:paraId="31782E2C">
            <w:pPr>
              <w:widowControl/>
              <w:jc w:val="left"/>
              <w:rPr>
                <w:rFonts w:ascii="宋体" w:hAnsi="宋体" w:cs="宋体"/>
                <w:kern w:val="0"/>
                <w:szCs w:val="21"/>
              </w:rPr>
            </w:pPr>
            <w:r>
              <w:rPr>
                <w:rFonts w:hint="eastAsia" w:ascii="宋体" w:hAnsi="宋体" w:cs="宋体"/>
                <w:kern w:val="0"/>
                <w:szCs w:val="21"/>
              </w:rPr>
              <w:t>经第三方专家或单位审核，</w:t>
            </w:r>
          </w:p>
          <w:p w14:paraId="2045A07A">
            <w:pPr>
              <w:widowControl/>
              <w:jc w:val="left"/>
              <w:rPr>
                <w:rFonts w:ascii="宋体" w:hAnsi="宋体" w:cs="宋体"/>
                <w:kern w:val="0"/>
                <w:szCs w:val="21"/>
              </w:rPr>
            </w:pPr>
            <w:r>
              <w:rPr>
                <w:rFonts w:hint="eastAsia" w:ascii="宋体" w:hAnsi="宋体" w:cs="宋体"/>
                <w:kern w:val="0"/>
                <w:szCs w:val="21"/>
              </w:rPr>
              <w:t>1、基坑支护、基础或上部结构选型不合理或不经济；</w:t>
            </w:r>
          </w:p>
          <w:p w14:paraId="7F676C71">
            <w:pPr>
              <w:widowControl/>
              <w:jc w:val="left"/>
              <w:rPr>
                <w:rFonts w:ascii="宋体" w:hAnsi="宋体" w:cs="宋体"/>
                <w:kern w:val="0"/>
                <w:szCs w:val="21"/>
              </w:rPr>
            </w:pPr>
            <w:r>
              <w:rPr>
                <w:rFonts w:hint="eastAsia" w:ascii="宋体" w:hAnsi="宋体" w:cs="宋体"/>
                <w:kern w:val="0"/>
                <w:szCs w:val="21"/>
              </w:rPr>
              <w:t>2、结构方案不便于实施；</w:t>
            </w:r>
          </w:p>
          <w:p w14:paraId="63854D52">
            <w:pPr>
              <w:widowControl/>
              <w:jc w:val="left"/>
              <w:rPr>
                <w:rFonts w:ascii="宋体" w:hAnsi="宋体" w:cs="宋体"/>
                <w:kern w:val="0"/>
                <w:szCs w:val="21"/>
              </w:rPr>
            </w:pPr>
            <w:r>
              <w:rPr>
                <w:rFonts w:hint="eastAsia" w:ascii="宋体" w:hAnsi="宋体" w:cs="宋体"/>
                <w:kern w:val="0"/>
                <w:szCs w:val="21"/>
              </w:rPr>
              <w:t>以上各项每一处扣2分。</w:t>
            </w:r>
          </w:p>
        </w:tc>
        <w:tc>
          <w:tcPr>
            <w:tcW w:w="992" w:type="dxa"/>
            <w:tcBorders>
              <w:top w:val="nil"/>
              <w:left w:val="nil"/>
              <w:bottom w:val="single" w:color="auto" w:sz="4" w:space="0"/>
              <w:right w:val="single" w:color="auto" w:sz="4" w:space="0"/>
            </w:tcBorders>
            <w:vAlign w:val="center"/>
          </w:tcPr>
          <w:p w14:paraId="2899DF9C">
            <w:pPr>
              <w:widowControl/>
              <w:jc w:val="left"/>
              <w:rPr>
                <w:rFonts w:ascii="宋体" w:hAnsi="宋体" w:cs="宋体"/>
                <w:kern w:val="0"/>
                <w:szCs w:val="21"/>
              </w:rPr>
            </w:pPr>
            <w:r>
              <w:rPr>
                <w:rFonts w:hint="eastAsia" w:ascii="宋体" w:hAnsi="宋体" w:cs="宋体"/>
                <w:kern w:val="0"/>
                <w:szCs w:val="21"/>
              </w:rPr>
              <w:t>　</w:t>
            </w:r>
          </w:p>
        </w:tc>
      </w:tr>
      <w:tr w14:paraId="5E9ABE54">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71DCFD04">
            <w:pPr>
              <w:widowControl/>
              <w:jc w:val="center"/>
              <w:rPr>
                <w:rFonts w:ascii="宋体" w:hAnsi="宋体" w:cs="宋体"/>
                <w:kern w:val="0"/>
                <w:szCs w:val="21"/>
              </w:rPr>
            </w:pPr>
            <w:r>
              <w:rPr>
                <w:rFonts w:hint="eastAsia" w:ascii="宋体" w:hAnsi="宋体" w:cs="宋体"/>
                <w:kern w:val="0"/>
                <w:szCs w:val="21"/>
              </w:rPr>
              <w:t>3</w:t>
            </w:r>
          </w:p>
        </w:tc>
        <w:tc>
          <w:tcPr>
            <w:tcW w:w="1188" w:type="dxa"/>
            <w:tcBorders>
              <w:top w:val="nil"/>
              <w:left w:val="nil"/>
              <w:bottom w:val="single" w:color="auto" w:sz="4" w:space="0"/>
              <w:right w:val="single" w:color="auto" w:sz="4" w:space="0"/>
            </w:tcBorders>
            <w:vAlign w:val="center"/>
          </w:tcPr>
          <w:p w14:paraId="7A169F53">
            <w:pPr>
              <w:widowControl/>
              <w:jc w:val="center"/>
              <w:rPr>
                <w:rFonts w:ascii="宋体" w:hAnsi="宋体" w:cs="宋体"/>
                <w:kern w:val="0"/>
                <w:szCs w:val="21"/>
              </w:rPr>
            </w:pPr>
            <w:r>
              <w:rPr>
                <w:rFonts w:hint="eastAsia" w:ascii="宋体" w:hAnsi="宋体" w:cs="宋体"/>
                <w:kern w:val="0"/>
                <w:szCs w:val="21"/>
              </w:rPr>
              <w:t>机电系统及设备选型</w:t>
            </w:r>
          </w:p>
        </w:tc>
        <w:tc>
          <w:tcPr>
            <w:tcW w:w="709" w:type="dxa"/>
            <w:tcBorders>
              <w:top w:val="nil"/>
              <w:left w:val="nil"/>
              <w:bottom w:val="single" w:color="auto" w:sz="4" w:space="0"/>
              <w:right w:val="single" w:color="auto" w:sz="4" w:space="0"/>
            </w:tcBorders>
            <w:vAlign w:val="center"/>
          </w:tcPr>
          <w:p w14:paraId="023F296C">
            <w:pPr>
              <w:widowControl/>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5A9EBB2F">
            <w:pPr>
              <w:widowControl/>
              <w:jc w:val="left"/>
              <w:rPr>
                <w:rFonts w:ascii="宋体" w:hAnsi="宋体" w:cs="宋体"/>
                <w:kern w:val="0"/>
                <w:szCs w:val="21"/>
              </w:rPr>
            </w:pPr>
            <w:r>
              <w:rPr>
                <w:rFonts w:hint="eastAsia" w:ascii="宋体" w:hAnsi="宋体" w:cs="宋体"/>
                <w:kern w:val="0"/>
                <w:szCs w:val="21"/>
              </w:rPr>
              <w:t>系统及设备选用是否恰当，能否满足功能要求；是否考虑使用和维护成本</w:t>
            </w:r>
          </w:p>
        </w:tc>
        <w:tc>
          <w:tcPr>
            <w:tcW w:w="3261" w:type="dxa"/>
            <w:tcBorders>
              <w:top w:val="nil"/>
              <w:left w:val="nil"/>
              <w:bottom w:val="single" w:color="auto" w:sz="4" w:space="0"/>
              <w:right w:val="single" w:color="auto" w:sz="4" w:space="0"/>
            </w:tcBorders>
            <w:vAlign w:val="center"/>
          </w:tcPr>
          <w:p w14:paraId="04C4BE37">
            <w:pPr>
              <w:widowControl/>
              <w:jc w:val="left"/>
              <w:rPr>
                <w:rFonts w:ascii="宋体" w:hAnsi="宋体" w:cs="宋体"/>
                <w:kern w:val="0"/>
                <w:szCs w:val="21"/>
              </w:rPr>
            </w:pPr>
            <w:r>
              <w:rPr>
                <w:rFonts w:hint="eastAsia" w:ascii="宋体" w:hAnsi="宋体" w:cs="宋体"/>
                <w:kern w:val="0"/>
                <w:szCs w:val="21"/>
              </w:rPr>
              <w:t>经第三方专家或单位审核，</w:t>
            </w:r>
          </w:p>
          <w:p w14:paraId="7425C685">
            <w:pPr>
              <w:widowControl/>
              <w:jc w:val="left"/>
              <w:rPr>
                <w:rFonts w:ascii="宋体" w:hAnsi="宋体" w:cs="宋体"/>
                <w:kern w:val="0"/>
                <w:szCs w:val="21"/>
              </w:rPr>
            </w:pPr>
            <w:r>
              <w:rPr>
                <w:rFonts w:hint="eastAsia" w:ascii="宋体" w:hAnsi="宋体" w:cs="宋体"/>
                <w:kern w:val="0"/>
                <w:szCs w:val="21"/>
              </w:rPr>
              <w:t>1、系统及设备选用不合理或不经济；</w:t>
            </w:r>
          </w:p>
          <w:p w14:paraId="3AD9967F">
            <w:pPr>
              <w:widowControl/>
              <w:jc w:val="left"/>
              <w:rPr>
                <w:rFonts w:ascii="宋体" w:hAnsi="宋体" w:cs="宋体"/>
                <w:kern w:val="0"/>
                <w:szCs w:val="21"/>
              </w:rPr>
            </w:pPr>
            <w:r>
              <w:rPr>
                <w:rFonts w:hint="eastAsia" w:ascii="宋体" w:hAnsi="宋体" w:cs="宋体"/>
                <w:kern w:val="0"/>
                <w:szCs w:val="21"/>
              </w:rPr>
              <w:t>2、系统及设备不能满足功能要求；</w:t>
            </w:r>
          </w:p>
          <w:p w14:paraId="124D8EF8">
            <w:pPr>
              <w:widowControl/>
              <w:jc w:val="left"/>
              <w:rPr>
                <w:rFonts w:ascii="宋体" w:hAnsi="宋体" w:cs="宋体"/>
                <w:kern w:val="0"/>
                <w:szCs w:val="21"/>
              </w:rPr>
            </w:pPr>
            <w:r>
              <w:rPr>
                <w:rFonts w:hint="eastAsia" w:ascii="宋体" w:hAnsi="宋体" w:cs="宋体"/>
                <w:kern w:val="0"/>
                <w:szCs w:val="21"/>
              </w:rPr>
              <w:t>3、选用设备的使用和维护成本大；</w:t>
            </w:r>
          </w:p>
          <w:p w14:paraId="71BC299E">
            <w:pPr>
              <w:widowControl/>
              <w:jc w:val="left"/>
              <w:rPr>
                <w:rFonts w:ascii="宋体" w:hAnsi="宋体" w:cs="宋体"/>
                <w:kern w:val="0"/>
                <w:szCs w:val="21"/>
              </w:rPr>
            </w:pPr>
            <w:r>
              <w:rPr>
                <w:rFonts w:hint="eastAsia" w:ascii="宋体" w:hAnsi="宋体" w:cs="宋体"/>
                <w:kern w:val="0"/>
                <w:szCs w:val="21"/>
              </w:rPr>
              <w:t>以上各项每一项扣2分。</w:t>
            </w:r>
          </w:p>
        </w:tc>
        <w:tc>
          <w:tcPr>
            <w:tcW w:w="992" w:type="dxa"/>
            <w:tcBorders>
              <w:top w:val="nil"/>
              <w:left w:val="nil"/>
              <w:bottom w:val="single" w:color="auto" w:sz="4" w:space="0"/>
              <w:right w:val="single" w:color="auto" w:sz="4" w:space="0"/>
            </w:tcBorders>
            <w:vAlign w:val="center"/>
          </w:tcPr>
          <w:p w14:paraId="32DB2F47">
            <w:pPr>
              <w:widowControl/>
              <w:jc w:val="left"/>
              <w:rPr>
                <w:rFonts w:ascii="宋体" w:hAnsi="宋体" w:cs="宋体"/>
                <w:kern w:val="0"/>
                <w:szCs w:val="21"/>
              </w:rPr>
            </w:pPr>
          </w:p>
        </w:tc>
      </w:tr>
      <w:tr w14:paraId="4CD388E7">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47BF852F">
            <w:pPr>
              <w:widowControl/>
              <w:jc w:val="center"/>
              <w:rPr>
                <w:rFonts w:ascii="宋体" w:hAnsi="宋体" w:cs="宋体"/>
                <w:kern w:val="0"/>
                <w:szCs w:val="21"/>
              </w:rPr>
            </w:pPr>
            <w:r>
              <w:rPr>
                <w:rFonts w:hint="eastAsia" w:ascii="宋体" w:hAnsi="宋体" w:cs="宋体"/>
                <w:kern w:val="0"/>
                <w:szCs w:val="21"/>
              </w:rPr>
              <w:t>4</w:t>
            </w:r>
          </w:p>
        </w:tc>
        <w:tc>
          <w:tcPr>
            <w:tcW w:w="1188" w:type="dxa"/>
            <w:tcBorders>
              <w:top w:val="nil"/>
              <w:left w:val="nil"/>
              <w:bottom w:val="single" w:color="auto" w:sz="4" w:space="0"/>
              <w:right w:val="single" w:color="auto" w:sz="4" w:space="0"/>
            </w:tcBorders>
            <w:vAlign w:val="center"/>
          </w:tcPr>
          <w:p w14:paraId="3AA8018F">
            <w:pPr>
              <w:widowControl/>
              <w:jc w:val="center"/>
              <w:rPr>
                <w:rFonts w:ascii="宋体" w:hAnsi="宋体" w:cs="宋体"/>
                <w:kern w:val="0"/>
                <w:szCs w:val="21"/>
              </w:rPr>
            </w:pPr>
            <w:r>
              <w:rPr>
                <w:rFonts w:hint="eastAsia" w:ascii="宋体" w:hAnsi="宋体" w:cs="宋体"/>
                <w:kern w:val="0"/>
                <w:szCs w:val="21"/>
              </w:rPr>
              <w:t>设计图纸深度</w:t>
            </w:r>
          </w:p>
        </w:tc>
        <w:tc>
          <w:tcPr>
            <w:tcW w:w="709" w:type="dxa"/>
            <w:tcBorders>
              <w:top w:val="nil"/>
              <w:left w:val="nil"/>
              <w:bottom w:val="single" w:color="auto" w:sz="4" w:space="0"/>
              <w:right w:val="single" w:color="auto" w:sz="4" w:space="0"/>
            </w:tcBorders>
            <w:vAlign w:val="center"/>
          </w:tcPr>
          <w:p w14:paraId="6FE42971">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551" w:type="dxa"/>
            <w:tcBorders>
              <w:top w:val="nil"/>
              <w:left w:val="nil"/>
              <w:bottom w:val="single" w:color="auto" w:sz="4" w:space="0"/>
              <w:right w:val="single" w:color="auto" w:sz="4" w:space="0"/>
            </w:tcBorders>
            <w:vAlign w:val="center"/>
          </w:tcPr>
          <w:p w14:paraId="1B9055FC">
            <w:pPr>
              <w:widowControl/>
              <w:jc w:val="left"/>
              <w:rPr>
                <w:rFonts w:ascii="宋体" w:hAnsi="宋体" w:cs="宋体"/>
                <w:kern w:val="0"/>
                <w:szCs w:val="21"/>
              </w:rPr>
            </w:pPr>
            <w:r>
              <w:rPr>
                <w:rFonts w:hint="eastAsia" w:ascii="宋体" w:hAnsi="宋体" w:cs="宋体"/>
                <w:kern w:val="0"/>
                <w:szCs w:val="21"/>
              </w:rPr>
              <w:t>是否满足住建部《建筑工程设计文件编制深度规定》对该阶段设计深度的有关要求</w:t>
            </w:r>
          </w:p>
        </w:tc>
        <w:tc>
          <w:tcPr>
            <w:tcW w:w="3261" w:type="dxa"/>
            <w:tcBorders>
              <w:top w:val="nil"/>
              <w:left w:val="nil"/>
              <w:bottom w:val="single" w:color="auto" w:sz="4" w:space="0"/>
              <w:right w:val="single" w:color="auto" w:sz="4" w:space="0"/>
            </w:tcBorders>
            <w:vAlign w:val="center"/>
          </w:tcPr>
          <w:p w14:paraId="5ADC0EC2">
            <w:pPr>
              <w:widowControl/>
              <w:jc w:val="left"/>
              <w:rPr>
                <w:rFonts w:ascii="宋体" w:hAnsi="宋体" w:cs="宋体"/>
                <w:kern w:val="0"/>
                <w:szCs w:val="21"/>
              </w:rPr>
            </w:pPr>
            <w:r>
              <w:rPr>
                <w:rFonts w:hint="eastAsia" w:ascii="宋体" w:hAnsi="宋体" w:cs="宋体"/>
                <w:kern w:val="0"/>
                <w:szCs w:val="21"/>
              </w:rPr>
              <w:t>经第三方单位审核，有一个专业达不到深度的，扣2分。</w:t>
            </w:r>
          </w:p>
        </w:tc>
        <w:tc>
          <w:tcPr>
            <w:tcW w:w="992" w:type="dxa"/>
            <w:tcBorders>
              <w:top w:val="nil"/>
              <w:left w:val="nil"/>
              <w:bottom w:val="single" w:color="auto" w:sz="4" w:space="0"/>
              <w:right w:val="single" w:color="auto" w:sz="4" w:space="0"/>
            </w:tcBorders>
            <w:vAlign w:val="center"/>
          </w:tcPr>
          <w:p w14:paraId="20310A7E">
            <w:pPr>
              <w:widowControl/>
              <w:jc w:val="center"/>
              <w:rPr>
                <w:rFonts w:ascii="宋体" w:hAnsi="宋体" w:cs="宋体"/>
                <w:kern w:val="0"/>
                <w:szCs w:val="21"/>
              </w:rPr>
            </w:pPr>
            <w:r>
              <w:rPr>
                <w:rFonts w:hint="eastAsia" w:ascii="宋体" w:hAnsi="宋体" w:cs="宋体"/>
                <w:kern w:val="0"/>
                <w:szCs w:val="21"/>
              </w:rPr>
              <w:t>　</w:t>
            </w:r>
          </w:p>
        </w:tc>
      </w:tr>
      <w:tr w14:paraId="42331B39">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112717FE">
            <w:pPr>
              <w:widowControl/>
              <w:jc w:val="center"/>
              <w:rPr>
                <w:rFonts w:ascii="宋体" w:hAnsi="宋体" w:cs="宋体"/>
                <w:kern w:val="0"/>
                <w:szCs w:val="21"/>
              </w:rPr>
            </w:pPr>
            <w:r>
              <w:rPr>
                <w:rFonts w:hint="eastAsia" w:ascii="宋体" w:hAnsi="宋体" w:cs="宋体"/>
                <w:kern w:val="0"/>
                <w:szCs w:val="21"/>
              </w:rPr>
              <w:t>5</w:t>
            </w:r>
          </w:p>
        </w:tc>
        <w:tc>
          <w:tcPr>
            <w:tcW w:w="1188" w:type="dxa"/>
            <w:tcBorders>
              <w:top w:val="nil"/>
              <w:left w:val="nil"/>
              <w:bottom w:val="single" w:color="auto" w:sz="4" w:space="0"/>
              <w:right w:val="single" w:color="auto" w:sz="4" w:space="0"/>
            </w:tcBorders>
            <w:vAlign w:val="center"/>
          </w:tcPr>
          <w:p w14:paraId="08BEE838">
            <w:pPr>
              <w:widowControl/>
              <w:jc w:val="center"/>
              <w:rPr>
                <w:rFonts w:ascii="宋体" w:hAnsi="宋体" w:cs="宋体"/>
                <w:kern w:val="0"/>
                <w:szCs w:val="21"/>
              </w:rPr>
            </w:pPr>
            <w:r>
              <w:rPr>
                <w:rFonts w:hint="eastAsia" w:ascii="宋体" w:hAnsi="宋体" w:cs="宋体"/>
                <w:kern w:val="0"/>
                <w:szCs w:val="21"/>
              </w:rPr>
              <w:t>限额设计</w:t>
            </w:r>
          </w:p>
        </w:tc>
        <w:tc>
          <w:tcPr>
            <w:tcW w:w="709" w:type="dxa"/>
            <w:tcBorders>
              <w:top w:val="nil"/>
              <w:left w:val="nil"/>
              <w:bottom w:val="single" w:color="auto" w:sz="4" w:space="0"/>
              <w:right w:val="single" w:color="auto" w:sz="4" w:space="0"/>
            </w:tcBorders>
            <w:vAlign w:val="center"/>
          </w:tcPr>
          <w:p w14:paraId="1446560B">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2551" w:type="dxa"/>
            <w:tcBorders>
              <w:top w:val="nil"/>
              <w:left w:val="nil"/>
              <w:bottom w:val="single" w:color="auto" w:sz="4" w:space="0"/>
              <w:right w:val="single" w:color="auto" w:sz="4" w:space="0"/>
            </w:tcBorders>
            <w:vAlign w:val="center"/>
          </w:tcPr>
          <w:p w14:paraId="75619C3E">
            <w:pPr>
              <w:widowControl/>
              <w:jc w:val="left"/>
              <w:rPr>
                <w:rFonts w:ascii="宋体" w:hAnsi="宋体" w:cs="宋体"/>
                <w:kern w:val="0"/>
                <w:szCs w:val="21"/>
              </w:rPr>
            </w:pPr>
            <w:r>
              <w:rPr>
                <w:rFonts w:hint="eastAsia" w:ascii="宋体" w:hAnsi="宋体" w:cs="宋体"/>
                <w:kern w:val="0"/>
                <w:szCs w:val="21"/>
              </w:rPr>
              <w:t>是否按合同要求进行限额设计</w:t>
            </w:r>
          </w:p>
        </w:tc>
        <w:tc>
          <w:tcPr>
            <w:tcW w:w="3261" w:type="dxa"/>
            <w:tcBorders>
              <w:top w:val="nil"/>
              <w:left w:val="nil"/>
              <w:bottom w:val="single" w:color="auto" w:sz="4" w:space="0"/>
              <w:right w:val="single" w:color="auto" w:sz="4" w:space="0"/>
            </w:tcBorders>
            <w:vAlign w:val="center"/>
          </w:tcPr>
          <w:p w14:paraId="12755476">
            <w:pPr>
              <w:widowControl/>
              <w:jc w:val="left"/>
              <w:rPr>
                <w:rFonts w:ascii="宋体" w:hAnsi="宋体" w:cs="宋体"/>
                <w:kern w:val="0"/>
                <w:szCs w:val="21"/>
              </w:rPr>
            </w:pPr>
            <w:r>
              <w:rPr>
                <w:rFonts w:hint="eastAsia" w:ascii="宋体" w:hAnsi="宋体" w:cs="宋体"/>
                <w:kern w:val="0"/>
                <w:szCs w:val="21"/>
              </w:rPr>
              <w:t>编制的概算超出经批复的投资估算价，每报一版扣1分；</w:t>
            </w:r>
          </w:p>
          <w:p w14:paraId="0C10D8DB">
            <w:pPr>
              <w:widowControl/>
              <w:jc w:val="left"/>
              <w:rPr>
                <w:rFonts w:ascii="宋体" w:hAnsi="宋体" w:cs="宋体"/>
                <w:kern w:val="0"/>
                <w:szCs w:val="21"/>
              </w:rPr>
            </w:pPr>
            <w:r>
              <w:rPr>
                <w:rFonts w:hint="eastAsia" w:ascii="宋体" w:hAnsi="宋体" w:cs="宋体"/>
                <w:kern w:val="0"/>
                <w:szCs w:val="21"/>
              </w:rPr>
              <w:t>甲方委托的造价咨询公司审核概算价与乙方编制的概算申报额偏差每超出1%，扣2分；</w:t>
            </w:r>
          </w:p>
          <w:p w14:paraId="568E1E61">
            <w:pPr>
              <w:widowControl/>
              <w:jc w:val="left"/>
              <w:rPr>
                <w:rFonts w:ascii="宋体" w:hAnsi="宋体" w:cs="宋体"/>
                <w:kern w:val="0"/>
                <w:szCs w:val="21"/>
              </w:rPr>
            </w:pPr>
            <w:r>
              <w:rPr>
                <w:rFonts w:hint="eastAsia" w:ascii="宋体" w:hAnsi="宋体" w:cs="宋体"/>
                <w:kern w:val="0"/>
                <w:szCs w:val="21"/>
              </w:rPr>
              <w:t>概算申报额与经投资主管部门批复的概算偏差每超出1%，扣3分。</w:t>
            </w:r>
          </w:p>
        </w:tc>
        <w:tc>
          <w:tcPr>
            <w:tcW w:w="992" w:type="dxa"/>
            <w:tcBorders>
              <w:top w:val="nil"/>
              <w:left w:val="nil"/>
              <w:bottom w:val="single" w:color="auto" w:sz="4" w:space="0"/>
              <w:right w:val="single" w:color="auto" w:sz="4" w:space="0"/>
            </w:tcBorders>
            <w:vAlign w:val="center"/>
          </w:tcPr>
          <w:p w14:paraId="33255D2E">
            <w:pPr>
              <w:widowControl/>
              <w:jc w:val="center"/>
              <w:rPr>
                <w:rFonts w:ascii="宋体" w:hAnsi="宋体" w:cs="宋体"/>
                <w:kern w:val="0"/>
                <w:szCs w:val="21"/>
              </w:rPr>
            </w:pPr>
          </w:p>
        </w:tc>
      </w:tr>
      <w:tr w14:paraId="0EC0A2A4">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3DE11574">
            <w:pPr>
              <w:widowControl/>
              <w:jc w:val="center"/>
              <w:rPr>
                <w:rFonts w:ascii="宋体" w:hAnsi="宋体" w:cs="宋体"/>
                <w:kern w:val="0"/>
                <w:szCs w:val="21"/>
              </w:rPr>
            </w:pPr>
            <w:r>
              <w:rPr>
                <w:rFonts w:hint="eastAsia" w:ascii="宋体" w:hAnsi="宋体" w:cs="宋体"/>
                <w:kern w:val="0"/>
                <w:szCs w:val="21"/>
              </w:rPr>
              <w:t>四</w:t>
            </w:r>
          </w:p>
        </w:tc>
        <w:tc>
          <w:tcPr>
            <w:tcW w:w="1188" w:type="dxa"/>
            <w:tcBorders>
              <w:top w:val="nil"/>
              <w:left w:val="nil"/>
              <w:bottom w:val="single" w:color="auto" w:sz="4" w:space="0"/>
              <w:right w:val="single" w:color="auto" w:sz="4" w:space="0"/>
            </w:tcBorders>
            <w:vAlign w:val="center"/>
          </w:tcPr>
          <w:p w14:paraId="4B612F52">
            <w:pPr>
              <w:widowControl/>
              <w:jc w:val="center"/>
              <w:rPr>
                <w:rFonts w:ascii="宋体" w:hAnsi="宋体" w:cs="宋体"/>
                <w:kern w:val="0"/>
                <w:szCs w:val="21"/>
              </w:rPr>
            </w:pPr>
            <w:r>
              <w:rPr>
                <w:rFonts w:hint="eastAsia" w:ascii="宋体" w:hAnsi="宋体" w:cs="宋体"/>
                <w:kern w:val="0"/>
                <w:szCs w:val="21"/>
              </w:rPr>
              <w:t>设计进度</w:t>
            </w:r>
          </w:p>
        </w:tc>
        <w:tc>
          <w:tcPr>
            <w:tcW w:w="709" w:type="dxa"/>
            <w:tcBorders>
              <w:top w:val="nil"/>
              <w:left w:val="nil"/>
              <w:bottom w:val="single" w:color="auto" w:sz="4" w:space="0"/>
              <w:right w:val="single" w:color="auto" w:sz="4" w:space="0"/>
            </w:tcBorders>
            <w:vAlign w:val="center"/>
          </w:tcPr>
          <w:p w14:paraId="24DCE42A">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2551" w:type="dxa"/>
            <w:tcBorders>
              <w:top w:val="nil"/>
              <w:left w:val="nil"/>
              <w:bottom w:val="single" w:color="auto" w:sz="4" w:space="0"/>
              <w:right w:val="single" w:color="auto" w:sz="4" w:space="0"/>
            </w:tcBorders>
            <w:vAlign w:val="center"/>
          </w:tcPr>
          <w:p w14:paraId="78932F88">
            <w:pPr>
              <w:widowControl/>
              <w:jc w:val="left"/>
              <w:rPr>
                <w:rFonts w:ascii="宋体" w:hAnsi="宋体" w:cs="宋体"/>
                <w:kern w:val="0"/>
                <w:szCs w:val="21"/>
              </w:rPr>
            </w:pPr>
            <w:r>
              <w:rPr>
                <w:rFonts w:hint="eastAsia" w:ascii="宋体" w:hAnsi="宋体" w:cs="宋体"/>
                <w:kern w:val="0"/>
                <w:szCs w:val="21"/>
              </w:rPr>
              <w:t>　</w:t>
            </w:r>
          </w:p>
        </w:tc>
        <w:tc>
          <w:tcPr>
            <w:tcW w:w="3261" w:type="dxa"/>
            <w:tcBorders>
              <w:top w:val="nil"/>
              <w:left w:val="nil"/>
              <w:bottom w:val="single" w:color="auto" w:sz="4" w:space="0"/>
              <w:right w:val="single" w:color="auto" w:sz="4" w:space="0"/>
            </w:tcBorders>
            <w:vAlign w:val="center"/>
          </w:tcPr>
          <w:p w14:paraId="0D477435">
            <w:pPr>
              <w:widowControl/>
              <w:jc w:val="left"/>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14:paraId="2D0528F1">
            <w:pPr>
              <w:widowControl/>
              <w:jc w:val="left"/>
              <w:rPr>
                <w:rFonts w:ascii="宋体" w:hAnsi="宋体" w:cs="宋体"/>
                <w:kern w:val="0"/>
                <w:szCs w:val="21"/>
              </w:rPr>
            </w:pPr>
            <w:r>
              <w:rPr>
                <w:rFonts w:hint="eastAsia" w:ascii="宋体" w:hAnsi="宋体" w:cs="宋体"/>
                <w:kern w:val="0"/>
                <w:szCs w:val="21"/>
              </w:rPr>
              <w:t>　</w:t>
            </w:r>
          </w:p>
        </w:tc>
      </w:tr>
      <w:tr w14:paraId="55A4487E">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74B4C3CD">
            <w:pPr>
              <w:widowControl/>
              <w:jc w:val="center"/>
              <w:rPr>
                <w:rFonts w:ascii="宋体" w:hAnsi="宋体" w:cs="宋体"/>
                <w:kern w:val="0"/>
                <w:szCs w:val="21"/>
              </w:rPr>
            </w:pPr>
            <w:r>
              <w:rPr>
                <w:rFonts w:hint="eastAsia" w:ascii="宋体" w:hAnsi="宋体" w:cs="宋体"/>
                <w:kern w:val="0"/>
                <w:szCs w:val="21"/>
              </w:rPr>
              <w:t>1</w:t>
            </w:r>
          </w:p>
        </w:tc>
        <w:tc>
          <w:tcPr>
            <w:tcW w:w="1188" w:type="dxa"/>
            <w:tcBorders>
              <w:top w:val="nil"/>
              <w:left w:val="nil"/>
              <w:bottom w:val="single" w:color="auto" w:sz="4" w:space="0"/>
              <w:right w:val="single" w:color="auto" w:sz="4" w:space="0"/>
            </w:tcBorders>
            <w:vAlign w:val="center"/>
          </w:tcPr>
          <w:p w14:paraId="7D33A41A">
            <w:pPr>
              <w:widowControl/>
              <w:jc w:val="center"/>
              <w:rPr>
                <w:rFonts w:ascii="宋体" w:hAnsi="宋体" w:cs="宋体"/>
                <w:kern w:val="0"/>
                <w:szCs w:val="21"/>
              </w:rPr>
            </w:pPr>
            <w:r>
              <w:rPr>
                <w:rFonts w:hint="eastAsia" w:ascii="宋体" w:hAnsi="宋体" w:cs="宋体"/>
                <w:kern w:val="0"/>
                <w:szCs w:val="21"/>
              </w:rPr>
              <w:t>设计进度</w:t>
            </w:r>
          </w:p>
        </w:tc>
        <w:tc>
          <w:tcPr>
            <w:tcW w:w="709" w:type="dxa"/>
            <w:tcBorders>
              <w:top w:val="nil"/>
              <w:left w:val="nil"/>
              <w:bottom w:val="single" w:color="auto" w:sz="4" w:space="0"/>
              <w:right w:val="single" w:color="auto" w:sz="4" w:space="0"/>
            </w:tcBorders>
            <w:vAlign w:val="center"/>
          </w:tcPr>
          <w:p w14:paraId="2D3048A5">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2551" w:type="dxa"/>
            <w:tcBorders>
              <w:top w:val="nil"/>
              <w:left w:val="nil"/>
              <w:bottom w:val="single" w:color="auto" w:sz="4" w:space="0"/>
              <w:right w:val="single" w:color="auto" w:sz="4" w:space="0"/>
            </w:tcBorders>
            <w:vAlign w:val="center"/>
          </w:tcPr>
          <w:p w14:paraId="226BF502">
            <w:pPr>
              <w:widowControl/>
              <w:jc w:val="left"/>
              <w:rPr>
                <w:rFonts w:ascii="宋体" w:hAnsi="宋体" w:cs="宋体"/>
                <w:kern w:val="0"/>
                <w:szCs w:val="21"/>
              </w:rPr>
            </w:pPr>
            <w:r>
              <w:rPr>
                <w:rFonts w:hint="eastAsia" w:ascii="宋体" w:hAnsi="宋体" w:cs="宋体"/>
                <w:kern w:val="0"/>
                <w:szCs w:val="21"/>
              </w:rPr>
              <w:t>是否按照合同、会议纪要、通知、函件等对进度的要求完成各项工作；能否按期完成甲方交办的其它相关工作</w:t>
            </w:r>
          </w:p>
        </w:tc>
        <w:tc>
          <w:tcPr>
            <w:tcW w:w="3261" w:type="dxa"/>
            <w:tcBorders>
              <w:top w:val="nil"/>
              <w:left w:val="nil"/>
              <w:bottom w:val="single" w:color="auto" w:sz="4" w:space="0"/>
              <w:right w:val="single" w:color="auto" w:sz="4" w:space="0"/>
            </w:tcBorders>
            <w:vAlign w:val="center"/>
          </w:tcPr>
          <w:p w14:paraId="789E284B">
            <w:pPr>
              <w:widowControl/>
              <w:jc w:val="left"/>
              <w:rPr>
                <w:rFonts w:ascii="宋体" w:hAnsi="宋体" w:cs="宋体"/>
                <w:kern w:val="0"/>
                <w:szCs w:val="21"/>
              </w:rPr>
            </w:pPr>
            <w:r>
              <w:rPr>
                <w:rFonts w:hint="eastAsia" w:ascii="宋体" w:hAnsi="宋体" w:cs="宋体"/>
                <w:kern w:val="0"/>
                <w:szCs w:val="21"/>
              </w:rPr>
              <w:t>因乙方原因，每延误一天扣1分。</w:t>
            </w:r>
          </w:p>
        </w:tc>
        <w:tc>
          <w:tcPr>
            <w:tcW w:w="992" w:type="dxa"/>
            <w:tcBorders>
              <w:top w:val="nil"/>
              <w:left w:val="nil"/>
              <w:bottom w:val="single" w:color="auto" w:sz="4" w:space="0"/>
              <w:right w:val="single" w:color="auto" w:sz="4" w:space="0"/>
            </w:tcBorders>
            <w:vAlign w:val="center"/>
          </w:tcPr>
          <w:p w14:paraId="2DDA5AD3">
            <w:pPr>
              <w:widowControl/>
              <w:jc w:val="left"/>
              <w:rPr>
                <w:rFonts w:ascii="宋体" w:hAnsi="宋体" w:cs="宋体"/>
                <w:kern w:val="0"/>
                <w:szCs w:val="21"/>
              </w:rPr>
            </w:pPr>
            <w:r>
              <w:rPr>
                <w:rFonts w:hint="eastAsia" w:ascii="宋体" w:hAnsi="宋体" w:cs="宋体"/>
                <w:kern w:val="0"/>
                <w:szCs w:val="21"/>
              </w:rPr>
              <w:t>　</w:t>
            </w:r>
          </w:p>
        </w:tc>
      </w:tr>
      <w:tr w14:paraId="17990C59">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7A5C77B9">
            <w:pPr>
              <w:widowControl/>
              <w:jc w:val="center"/>
              <w:rPr>
                <w:rFonts w:ascii="宋体" w:hAnsi="宋体" w:cs="宋体"/>
                <w:kern w:val="0"/>
                <w:szCs w:val="21"/>
              </w:rPr>
            </w:pPr>
            <w:r>
              <w:rPr>
                <w:rFonts w:hint="eastAsia" w:ascii="宋体" w:hAnsi="宋体" w:cs="宋体"/>
                <w:kern w:val="0"/>
                <w:szCs w:val="21"/>
              </w:rPr>
              <w:t>五</w:t>
            </w:r>
          </w:p>
        </w:tc>
        <w:tc>
          <w:tcPr>
            <w:tcW w:w="1188" w:type="dxa"/>
            <w:tcBorders>
              <w:top w:val="nil"/>
              <w:left w:val="nil"/>
              <w:bottom w:val="single" w:color="auto" w:sz="4" w:space="0"/>
              <w:right w:val="single" w:color="auto" w:sz="4" w:space="0"/>
            </w:tcBorders>
            <w:vAlign w:val="center"/>
          </w:tcPr>
          <w:p w14:paraId="6C664654">
            <w:pPr>
              <w:widowControl/>
              <w:jc w:val="center"/>
              <w:rPr>
                <w:rFonts w:ascii="宋体" w:hAnsi="宋体" w:cs="宋体"/>
                <w:kern w:val="0"/>
                <w:szCs w:val="21"/>
              </w:rPr>
            </w:pPr>
            <w:r>
              <w:rPr>
                <w:rFonts w:hint="eastAsia" w:ascii="宋体" w:hAnsi="宋体" w:cs="宋体"/>
                <w:kern w:val="0"/>
                <w:szCs w:val="21"/>
              </w:rPr>
              <w:t>设计配合</w:t>
            </w:r>
          </w:p>
        </w:tc>
        <w:tc>
          <w:tcPr>
            <w:tcW w:w="709" w:type="dxa"/>
            <w:tcBorders>
              <w:top w:val="nil"/>
              <w:left w:val="nil"/>
              <w:bottom w:val="single" w:color="auto" w:sz="4" w:space="0"/>
              <w:right w:val="single" w:color="auto" w:sz="4" w:space="0"/>
            </w:tcBorders>
            <w:vAlign w:val="center"/>
          </w:tcPr>
          <w:p w14:paraId="52223AEE">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551" w:type="dxa"/>
            <w:tcBorders>
              <w:top w:val="nil"/>
              <w:left w:val="nil"/>
              <w:bottom w:val="single" w:color="auto" w:sz="4" w:space="0"/>
              <w:right w:val="single" w:color="auto" w:sz="4" w:space="0"/>
            </w:tcBorders>
            <w:vAlign w:val="center"/>
          </w:tcPr>
          <w:p w14:paraId="1CEC2316">
            <w:pPr>
              <w:widowControl/>
              <w:jc w:val="left"/>
              <w:rPr>
                <w:rFonts w:ascii="宋体" w:hAnsi="宋体" w:cs="宋体"/>
                <w:kern w:val="0"/>
                <w:szCs w:val="21"/>
              </w:rPr>
            </w:pPr>
            <w:r>
              <w:rPr>
                <w:rFonts w:hint="eastAsia" w:ascii="宋体" w:hAnsi="宋体" w:cs="宋体"/>
                <w:kern w:val="0"/>
                <w:szCs w:val="21"/>
              </w:rPr>
              <w:t>　</w:t>
            </w:r>
          </w:p>
        </w:tc>
        <w:tc>
          <w:tcPr>
            <w:tcW w:w="3261" w:type="dxa"/>
            <w:tcBorders>
              <w:top w:val="nil"/>
              <w:left w:val="nil"/>
              <w:bottom w:val="single" w:color="auto" w:sz="4" w:space="0"/>
              <w:right w:val="single" w:color="auto" w:sz="4" w:space="0"/>
            </w:tcBorders>
            <w:vAlign w:val="center"/>
          </w:tcPr>
          <w:p w14:paraId="5EF0B470">
            <w:pPr>
              <w:widowControl/>
              <w:jc w:val="left"/>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14:paraId="74983CB9">
            <w:pPr>
              <w:widowControl/>
              <w:jc w:val="left"/>
              <w:rPr>
                <w:rFonts w:ascii="宋体" w:hAnsi="宋体" w:cs="宋体"/>
                <w:kern w:val="0"/>
                <w:szCs w:val="21"/>
              </w:rPr>
            </w:pPr>
            <w:r>
              <w:rPr>
                <w:rFonts w:hint="eastAsia" w:ascii="宋体" w:hAnsi="宋体" w:cs="宋体"/>
                <w:kern w:val="0"/>
                <w:szCs w:val="21"/>
              </w:rPr>
              <w:t>　</w:t>
            </w:r>
          </w:p>
        </w:tc>
      </w:tr>
      <w:tr w14:paraId="180D858C">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48042DE3">
            <w:pPr>
              <w:widowControl/>
              <w:jc w:val="center"/>
              <w:rPr>
                <w:rFonts w:ascii="宋体" w:hAnsi="宋体" w:cs="宋体"/>
                <w:kern w:val="0"/>
                <w:szCs w:val="21"/>
              </w:rPr>
            </w:pPr>
            <w:r>
              <w:rPr>
                <w:rFonts w:hint="eastAsia" w:ascii="宋体" w:hAnsi="宋体" w:cs="宋体"/>
                <w:kern w:val="0"/>
                <w:szCs w:val="21"/>
              </w:rPr>
              <w:t>1</w:t>
            </w:r>
          </w:p>
        </w:tc>
        <w:tc>
          <w:tcPr>
            <w:tcW w:w="1188" w:type="dxa"/>
            <w:tcBorders>
              <w:top w:val="nil"/>
              <w:left w:val="nil"/>
              <w:bottom w:val="single" w:color="auto" w:sz="4" w:space="0"/>
              <w:right w:val="single" w:color="auto" w:sz="4" w:space="0"/>
            </w:tcBorders>
            <w:vAlign w:val="center"/>
          </w:tcPr>
          <w:p w14:paraId="3D3485DD">
            <w:pPr>
              <w:widowControl/>
              <w:jc w:val="center"/>
              <w:rPr>
                <w:rFonts w:ascii="宋体" w:hAnsi="宋体" w:cs="宋体"/>
                <w:kern w:val="0"/>
                <w:szCs w:val="21"/>
              </w:rPr>
            </w:pPr>
            <w:r>
              <w:rPr>
                <w:rFonts w:hint="eastAsia" w:ascii="宋体" w:hAnsi="宋体" w:cs="宋体"/>
                <w:kern w:val="0"/>
                <w:szCs w:val="21"/>
              </w:rPr>
              <w:t>设计配合</w:t>
            </w:r>
          </w:p>
        </w:tc>
        <w:tc>
          <w:tcPr>
            <w:tcW w:w="709" w:type="dxa"/>
            <w:tcBorders>
              <w:top w:val="nil"/>
              <w:left w:val="nil"/>
              <w:bottom w:val="single" w:color="auto" w:sz="4" w:space="0"/>
              <w:right w:val="single" w:color="auto" w:sz="4" w:space="0"/>
            </w:tcBorders>
            <w:vAlign w:val="center"/>
          </w:tcPr>
          <w:p w14:paraId="134B2475">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551" w:type="dxa"/>
            <w:tcBorders>
              <w:top w:val="nil"/>
              <w:left w:val="nil"/>
              <w:bottom w:val="single" w:color="auto" w:sz="4" w:space="0"/>
              <w:right w:val="single" w:color="auto" w:sz="4" w:space="0"/>
            </w:tcBorders>
            <w:vAlign w:val="center"/>
          </w:tcPr>
          <w:p w14:paraId="5D5F109F">
            <w:pPr>
              <w:widowControl/>
              <w:jc w:val="left"/>
              <w:rPr>
                <w:rFonts w:ascii="宋体" w:hAnsi="宋体" w:cs="宋体"/>
                <w:kern w:val="0"/>
                <w:szCs w:val="21"/>
              </w:rPr>
            </w:pPr>
            <w:r>
              <w:rPr>
                <w:rFonts w:hint="eastAsia" w:ascii="宋体" w:hAnsi="宋体" w:cs="宋体"/>
                <w:kern w:val="0"/>
                <w:szCs w:val="21"/>
              </w:rPr>
              <w:t>能否按合同及甲方要求及时协调配合甲方、专项设计单位及其它相关部门的工作；是否具有较强的沟通协调能力</w:t>
            </w:r>
          </w:p>
        </w:tc>
        <w:tc>
          <w:tcPr>
            <w:tcW w:w="3261" w:type="dxa"/>
            <w:tcBorders>
              <w:top w:val="nil"/>
              <w:left w:val="nil"/>
              <w:bottom w:val="single" w:color="auto" w:sz="4" w:space="0"/>
              <w:right w:val="single" w:color="auto" w:sz="4" w:space="0"/>
            </w:tcBorders>
            <w:vAlign w:val="center"/>
          </w:tcPr>
          <w:p w14:paraId="225BD3E9">
            <w:pPr>
              <w:widowControl/>
              <w:jc w:val="left"/>
              <w:rPr>
                <w:rFonts w:ascii="宋体" w:hAnsi="宋体" w:cs="宋体"/>
                <w:kern w:val="0"/>
                <w:szCs w:val="21"/>
              </w:rPr>
            </w:pPr>
            <w:r>
              <w:rPr>
                <w:rFonts w:hint="eastAsia" w:ascii="宋体" w:hAnsi="宋体" w:cs="宋体"/>
                <w:kern w:val="0"/>
                <w:szCs w:val="21"/>
              </w:rPr>
              <w:t>好：得5分</w:t>
            </w:r>
          </w:p>
          <w:p w14:paraId="11741C5E">
            <w:pPr>
              <w:widowControl/>
              <w:jc w:val="left"/>
              <w:rPr>
                <w:rFonts w:ascii="宋体" w:hAnsi="宋体" w:cs="宋体"/>
                <w:kern w:val="0"/>
                <w:szCs w:val="21"/>
              </w:rPr>
            </w:pPr>
            <w:r>
              <w:rPr>
                <w:rFonts w:hint="eastAsia" w:ascii="宋体" w:hAnsi="宋体" w:cs="宋体"/>
                <w:kern w:val="0"/>
                <w:szCs w:val="21"/>
              </w:rPr>
              <w:t>较好：得4分</w:t>
            </w:r>
          </w:p>
          <w:p w14:paraId="04C4B36D">
            <w:pPr>
              <w:widowControl/>
              <w:jc w:val="left"/>
              <w:rPr>
                <w:rFonts w:ascii="宋体" w:hAnsi="宋体" w:cs="宋体"/>
                <w:kern w:val="0"/>
                <w:szCs w:val="21"/>
              </w:rPr>
            </w:pPr>
            <w:r>
              <w:rPr>
                <w:rFonts w:hint="eastAsia" w:ascii="宋体" w:hAnsi="宋体" w:cs="宋体"/>
                <w:kern w:val="0"/>
                <w:szCs w:val="21"/>
              </w:rPr>
              <w:t>一般：得2分</w:t>
            </w:r>
          </w:p>
          <w:p w14:paraId="4CB17D3C">
            <w:pPr>
              <w:widowControl/>
              <w:jc w:val="left"/>
              <w:rPr>
                <w:rFonts w:ascii="宋体" w:hAnsi="宋体" w:cs="宋体"/>
                <w:kern w:val="0"/>
                <w:szCs w:val="21"/>
              </w:rPr>
            </w:pPr>
            <w:r>
              <w:rPr>
                <w:rFonts w:hint="eastAsia" w:ascii="宋体" w:hAnsi="宋体" w:cs="宋体"/>
                <w:kern w:val="0"/>
                <w:szCs w:val="21"/>
              </w:rPr>
              <w:t>较差：得1分</w:t>
            </w:r>
          </w:p>
          <w:p w14:paraId="65F89A0C">
            <w:pPr>
              <w:widowControl/>
              <w:jc w:val="left"/>
              <w:rPr>
                <w:rFonts w:ascii="宋体" w:hAnsi="宋体" w:cs="宋体"/>
                <w:kern w:val="0"/>
                <w:szCs w:val="21"/>
              </w:rPr>
            </w:pPr>
            <w:r>
              <w:rPr>
                <w:rFonts w:hint="eastAsia" w:ascii="宋体" w:hAnsi="宋体" w:cs="宋体"/>
                <w:kern w:val="0"/>
                <w:szCs w:val="21"/>
              </w:rPr>
              <w:t>差：得0分</w:t>
            </w:r>
          </w:p>
        </w:tc>
        <w:tc>
          <w:tcPr>
            <w:tcW w:w="992" w:type="dxa"/>
            <w:tcBorders>
              <w:top w:val="nil"/>
              <w:left w:val="nil"/>
              <w:bottom w:val="single" w:color="auto" w:sz="4" w:space="0"/>
              <w:right w:val="single" w:color="auto" w:sz="4" w:space="0"/>
            </w:tcBorders>
            <w:vAlign w:val="center"/>
          </w:tcPr>
          <w:p w14:paraId="365CC765">
            <w:pPr>
              <w:widowControl/>
              <w:jc w:val="left"/>
              <w:rPr>
                <w:rFonts w:ascii="宋体" w:hAnsi="宋体" w:cs="宋体"/>
                <w:kern w:val="0"/>
                <w:szCs w:val="21"/>
              </w:rPr>
            </w:pPr>
            <w:r>
              <w:rPr>
                <w:rFonts w:hint="eastAsia" w:ascii="宋体" w:hAnsi="宋体" w:cs="宋体"/>
                <w:kern w:val="0"/>
                <w:szCs w:val="21"/>
              </w:rPr>
              <w:t>　</w:t>
            </w:r>
          </w:p>
        </w:tc>
      </w:tr>
      <w:tr w14:paraId="483E8E90">
        <w:tblPrEx>
          <w:tblCellMar>
            <w:top w:w="0" w:type="dxa"/>
            <w:left w:w="108" w:type="dxa"/>
            <w:bottom w:w="0" w:type="dxa"/>
            <w:right w:w="108" w:type="dxa"/>
          </w:tblCellMar>
        </w:tblPrEx>
        <w:trPr>
          <w:jc w:val="center"/>
        </w:trPr>
        <w:tc>
          <w:tcPr>
            <w:tcW w:w="665" w:type="dxa"/>
            <w:tcBorders>
              <w:top w:val="nil"/>
              <w:left w:val="single" w:color="auto" w:sz="4" w:space="0"/>
              <w:bottom w:val="single" w:color="auto" w:sz="4" w:space="0"/>
              <w:right w:val="single" w:color="auto" w:sz="4" w:space="0"/>
            </w:tcBorders>
            <w:vAlign w:val="center"/>
          </w:tcPr>
          <w:p w14:paraId="4F9E8E19">
            <w:pPr>
              <w:widowControl/>
              <w:jc w:val="center"/>
              <w:rPr>
                <w:kern w:val="0"/>
                <w:szCs w:val="21"/>
              </w:rPr>
            </w:pPr>
            <w:r>
              <w:rPr>
                <w:kern w:val="0"/>
                <w:szCs w:val="21"/>
              </w:rPr>
              <w:t>　</w:t>
            </w:r>
          </w:p>
        </w:tc>
        <w:tc>
          <w:tcPr>
            <w:tcW w:w="1188" w:type="dxa"/>
            <w:tcBorders>
              <w:top w:val="nil"/>
              <w:left w:val="nil"/>
              <w:bottom w:val="single" w:color="auto" w:sz="4" w:space="0"/>
              <w:right w:val="single" w:color="auto" w:sz="4" w:space="0"/>
            </w:tcBorders>
            <w:vAlign w:val="center"/>
          </w:tcPr>
          <w:p w14:paraId="7E6E7358">
            <w:pPr>
              <w:widowControl/>
              <w:jc w:val="center"/>
              <w:rPr>
                <w:kern w:val="0"/>
                <w:szCs w:val="21"/>
              </w:rPr>
            </w:pPr>
            <w:r>
              <w:rPr>
                <w:kern w:val="0"/>
                <w:szCs w:val="21"/>
              </w:rPr>
              <w:t>合计</w:t>
            </w:r>
          </w:p>
        </w:tc>
        <w:tc>
          <w:tcPr>
            <w:tcW w:w="709" w:type="dxa"/>
            <w:tcBorders>
              <w:top w:val="nil"/>
              <w:left w:val="nil"/>
              <w:bottom w:val="single" w:color="auto" w:sz="4" w:space="0"/>
              <w:right w:val="single" w:color="auto" w:sz="4" w:space="0"/>
            </w:tcBorders>
            <w:vAlign w:val="center"/>
          </w:tcPr>
          <w:p w14:paraId="18CBE561">
            <w:pPr>
              <w:widowControl/>
              <w:jc w:val="center"/>
              <w:rPr>
                <w:kern w:val="0"/>
                <w:szCs w:val="21"/>
              </w:rPr>
            </w:pPr>
            <w:r>
              <w:rPr>
                <w:kern w:val="0"/>
                <w:szCs w:val="21"/>
              </w:rPr>
              <w:t>100</w:t>
            </w:r>
          </w:p>
        </w:tc>
        <w:tc>
          <w:tcPr>
            <w:tcW w:w="2551" w:type="dxa"/>
            <w:tcBorders>
              <w:top w:val="nil"/>
              <w:left w:val="nil"/>
              <w:bottom w:val="single" w:color="auto" w:sz="4" w:space="0"/>
              <w:right w:val="single" w:color="auto" w:sz="4" w:space="0"/>
            </w:tcBorders>
            <w:vAlign w:val="center"/>
          </w:tcPr>
          <w:p w14:paraId="7E21DDA6">
            <w:pPr>
              <w:widowControl/>
              <w:jc w:val="center"/>
              <w:rPr>
                <w:kern w:val="0"/>
                <w:szCs w:val="21"/>
              </w:rPr>
            </w:pPr>
            <w:r>
              <w:rPr>
                <w:kern w:val="0"/>
                <w:szCs w:val="21"/>
              </w:rPr>
              <w:t>　</w:t>
            </w:r>
          </w:p>
        </w:tc>
        <w:tc>
          <w:tcPr>
            <w:tcW w:w="3261" w:type="dxa"/>
            <w:tcBorders>
              <w:top w:val="nil"/>
              <w:left w:val="nil"/>
              <w:bottom w:val="single" w:color="auto" w:sz="4" w:space="0"/>
              <w:right w:val="single" w:color="auto" w:sz="4" w:space="0"/>
            </w:tcBorders>
            <w:vAlign w:val="center"/>
          </w:tcPr>
          <w:p w14:paraId="12FD1CBC">
            <w:pPr>
              <w:widowControl/>
              <w:jc w:val="center"/>
              <w:rPr>
                <w:kern w:val="0"/>
                <w:szCs w:val="21"/>
              </w:rPr>
            </w:pPr>
            <w:r>
              <w:rPr>
                <w:kern w:val="0"/>
                <w:szCs w:val="21"/>
              </w:rPr>
              <w:t>　</w:t>
            </w:r>
          </w:p>
        </w:tc>
        <w:tc>
          <w:tcPr>
            <w:tcW w:w="992" w:type="dxa"/>
            <w:tcBorders>
              <w:top w:val="nil"/>
              <w:left w:val="nil"/>
              <w:bottom w:val="single" w:color="auto" w:sz="4" w:space="0"/>
              <w:right w:val="single" w:color="auto" w:sz="4" w:space="0"/>
            </w:tcBorders>
            <w:vAlign w:val="center"/>
          </w:tcPr>
          <w:p w14:paraId="432479D1">
            <w:pPr>
              <w:widowControl/>
              <w:jc w:val="center"/>
              <w:rPr>
                <w:kern w:val="0"/>
                <w:szCs w:val="21"/>
              </w:rPr>
            </w:pPr>
            <w:r>
              <w:rPr>
                <w:kern w:val="0"/>
                <w:szCs w:val="21"/>
              </w:rPr>
              <w:t>　</w:t>
            </w:r>
          </w:p>
        </w:tc>
      </w:tr>
    </w:tbl>
    <w:p w14:paraId="6053BC8D">
      <w:pPr>
        <w:adjustRightInd w:val="0"/>
        <w:snapToGrid w:val="0"/>
        <w:rPr>
          <w:rFonts w:ascii="宋体" w:hAnsi="宋体" w:cs="宋体"/>
          <w:kern w:val="0"/>
          <w:szCs w:val="21"/>
        </w:rPr>
      </w:pPr>
      <w:r>
        <w:rPr>
          <w:rFonts w:hint="eastAsia" w:ascii="宋体" w:hAnsi="宋体" w:cs="宋体"/>
          <w:kern w:val="0"/>
          <w:szCs w:val="21"/>
        </w:rPr>
        <w:t>一、注：</w:t>
      </w:r>
    </w:p>
    <w:p w14:paraId="15D5E6DC">
      <w:pPr>
        <w:adjustRightInd w:val="0"/>
        <w:snapToGrid w:val="0"/>
        <w:rPr>
          <w:rFonts w:ascii="宋体" w:hAnsi="宋体" w:cs="宋体"/>
          <w:kern w:val="0"/>
          <w:szCs w:val="21"/>
        </w:rPr>
      </w:pPr>
      <w:r>
        <w:rPr>
          <w:rFonts w:hint="eastAsia" w:ascii="宋体" w:hAnsi="宋体" w:cs="宋体"/>
          <w:kern w:val="0"/>
          <w:szCs w:val="21"/>
        </w:rPr>
        <w:t>1、每一评分项扣分，至该项对应分值扣完为止。</w:t>
      </w:r>
    </w:p>
    <w:p w14:paraId="3AA74FA0">
      <w:pPr>
        <w:adjustRightInd w:val="0"/>
        <w:snapToGrid w:val="0"/>
        <w:rPr>
          <w:rFonts w:ascii="宋体" w:hAnsi="宋体" w:cs="宋体"/>
          <w:kern w:val="0"/>
          <w:szCs w:val="21"/>
        </w:rPr>
      </w:pPr>
      <w:r>
        <w:rPr>
          <w:rFonts w:hint="eastAsia" w:ascii="宋体" w:hAnsi="宋体" w:cs="宋体"/>
          <w:kern w:val="0"/>
          <w:szCs w:val="21"/>
        </w:rPr>
        <w:t>2、应在岗实际未在岗累计达到3天的，或经问询明显不了解项目具体情况累计达到3次的，或未按甲方要求出席会议累计达到3次的，可认定自行更换</w:t>
      </w:r>
    </w:p>
    <w:p w14:paraId="253EF74E">
      <w:pPr>
        <w:adjustRightInd w:val="0"/>
        <w:snapToGrid w:val="0"/>
        <w:rPr>
          <w:rFonts w:ascii="宋体" w:hAnsi="宋体" w:cs="宋体"/>
          <w:kern w:val="0"/>
          <w:szCs w:val="21"/>
        </w:rPr>
      </w:pPr>
    </w:p>
    <w:p w14:paraId="21AD65E9">
      <w:pPr>
        <w:adjustRightInd w:val="0"/>
        <w:snapToGrid w:val="0"/>
        <w:rPr>
          <w:rFonts w:ascii="宋体" w:hAnsi="宋体" w:cs="宋体"/>
          <w:kern w:val="0"/>
          <w:szCs w:val="21"/>
        </w:rPr>
      </w:pPr>
      <w:r>
        <w:rPr>
          <w:rFonts w:hint="eastAsia" w:ascii="宋体" w:hAnsi="宋体" w:cs="宋体"/>
          <w:kern w:val="0"/>
          <w:szCs w:val="21"/>
        </w:rPr>
        <w:t>二、扣分情况说明：</w:t>
      </w:r>
    </w:p>
    <w:p w14:paraId="053A587E">
      <w:pPr>
        <w:adjustRightInd w:val="0"/>
        <w:snapToGrid w:val="0"/>
        <w:rPr>
          <w:rFonts w:ascii="宋体" w:hAnsi="宋体" w:cs="宋体"/>
          <w:kern w:val="0"/>
          <w:szCs w:val="21"/>
        </w:rPr>
      </w:pPr>
      <w:r>
        <w:rPr>
          <w:rFonts w:hint="eastAsia" w:ascii="宋体" w:hAnsi="宋体" w:cs="宋体"/>
          <w:kern w:val="0"/>
          <w:szCs w:val="21"/>
        </w:rPr>
        <w:t>1、</w:t>
      </w:r>
    </w:p>
    <w:p w14:paraId="7DFF9FB1">
      <w:pPr>
        <w:adjustRightInd w:val="0"/>
        <w:snapToGrid w:val="0"/>
        <w:rPr>
          <w:rFonts w:ascii="宋体" w:hAnsi="宋体" w:cs="宋体"/>
          <w:kern w:val="0"/>
          <w:szCs w:val="21"/>
        </w:rPr>
      </w:pPr>
      <w:r>
        <w:rPr>
          <w:rFonts w:hint="eastAsia" w:ascii="宋体" w:hAnsi="宋体" w:cs="宋体"/>
          <w:kern w:val="0"/>
          <w:szCs w:val="21"/>
        </w:rPr>
        <w:t>2、</w:t>
      </w:r>
    </w:p>
    <w:p w14:paraId="1F30F57B">
      <w:pPr>
        <w:adjustRightInd w:val="0"/>
        <w:snapToGrid w:val="0"/>
        <w:rPr>
          <w:rFonts w:ascii="宋体" w:hAnsi="宋体" w:cs="宋体"/>
          <w:kern w:val="0"/>
          <w:szCs w:val="21"/>
        </w:rPr>
      </w:pPr>
      <w:r>
        <w:rPr>
          <w:rFonts w:hint="eastAsia" w:ascii="宋体" w:hAnsi="宋体" w:cs="宋体"/>
          <w:kern w:val="0"/>
          <w:szCs w:val="21"/>
        </w:rPr>
        <w:t>3、</w:t>
      </w:r>
    </w:p>
    <w:p w14:paraId="31B7C032">
      <w:pPr>
        <w:adjustRightInd w:val="0"/>
        <w:snapToGrid w:val="0"/>
        <w:rPr>
          <w:rFonts w:ascii="宋体" w:hAnsi="宋体" w:cs="宋体"/>
          <w:kern w:val="0"/>
          <w:szCs w:val="21"/>
        </w:rPr>
      </w:pPr>
      <w:r>
        <w:rPr>
          <w:rFonts w:hint="eastAsia" w:ascii="宋体" w:hAnsi="宋体" w:cs="宋体"/>
          <w:kern w:val="0"/>
          <w:szCs w:val="21"/>
        </w:rPr>
        <w:t>…</w:t>
      </w:r>
    </w:p>
    <w:p w14:paraId="31DED628">
      <w:pPr>
        <w:adjustRightInd w:val="0"/>
        <w:snapToGrid w:val="0"/>
        <w:rPr>
          <w:rFonts w:ascii="宋体" w:hAnsi="宋体" w:cs="宋体"/>
          <w:kern w:val="0"/>
          <w:szCs w:val="21"/>
        </w:rPr>
      </w:pPr>
    </w:p>
    <w:p w14:paraId="3EBF42C4">
      <w:pPr>
        <w:adjustRightInd w:val="0"/>
        <w:snapToGrid w:val="0"/>
        <w:rPr>
          <w:rFonts w:ascii="宋体" w:hAnsi="宋体" w:cs="宋体"/>
          <w:kern w:val="0"/>
          <w:szCs w:val="21"/>
          <w:u w:val="single"/>
        </w:rPr>
      </w:pPr>
      <w:r>
        <w:rPr>
          <w:rFonts w:hint="eastAsia" w:ascii="宋体" w:hAnsi="宋体" w:cs="宋体"/>
          <w:kern w:val="0"/>
          <w:szCs w:val="21"/>
        </w:rPr>
        <w:t>项目负责人：×××  签名：</w:t>
      </w:r>
      <w:r>
        <w:rPr>
          <w:rFonts w:hint="eastAsia" w:ascii="宋体" w:hAnsi="宋体" w:cs="宋体"/>
          <w:kern w:val="0"/>
          <w:szCs w:val="21"/>
          <w:u w:val="single"/>
        </w:rPr>
        <w:t xml:space="preserve">             </w:t>
      </w:r>
    </w:p>
    <w:p w14:paraId="1D772CF2">
      <w:pPr>
        <w:adjustRightInd w:val="0"/>
        <w:snapToGrid w:val="0"/>
        <w:rPr>
          <w:rFonts w:ascii="宋体" w:hAnsi="宋体" w:cs="宋体"/>
          <w:kern w:val="0"/>
          <w:szCs w:val="21"/>
        </w:rPr>
      </w:pPr>
    </w:p>
    <w:p w14:paraId="0CE27415">
      <w:pPr>
        <w:adjustRightInd w:val="0"/>
        <w:snapToGrid w:val="0"/>
        <w:rPr>
          <w:rFonts w:ascii="宋体" w:hAnsi="宋体" w:cs="宋体"/>
          <w:kern w:val="0"/>
          <w:szCs w:val="21"/>
          <w:u w:val="single"/>
        </w:rPr>
      </w:pPr>
      <w:r>
        <w:rPr>
          <w:rFonts w:hint="eastAsia" w:ascii="宋体" w:hAnsi="宋体" w:cs="宋体"/>
          <w:kern w:val="0"/>
          <w:szCs w:val="21"/>
        </w:rPr>
        <w:t>部门负责人：×××  签名：</w:t>
      </w:r>
      <w:r>
        <w:rPr>
          <w:rFonts w:hint="eastAsia" w:ascii="宋体" w:hAnsi="宋体" w:cs="宋体"/>
          <w:kern w:val="0"/>
          <w:szCs w:val="21"/>
          <w:u w:val="single"/>
        </w:rPr>
        <w:t xml:space="preserve">             </w:t>
      </w:r>
    </w:p>
    <w:p w14:paraId="7E3F413C">
      <w:pPr>
        <w:adjustRightInd w:val="0"/>
        <w:snapToGrid w:val="0"/>
        <w:rPr>
          <w:rFonts w:ascii="宋体" w:hAnsi="宋体" w:cs="宋体"/>
          <w:kern w:val="0"/>
          <w:szCs w:val="21"/>
        </w:rPr>
      </w:pPr>
    </w:p>
    <w:p w14:paraId="2B684B53">
      <w:pPr>
        <w:adjustRightInd w:val="0"/>
        <w:snapToGrid w:val="0"/>
        <w:rPr>
          <w:rFonts w:ascii="宋体" w:hAnsi="宋体" w:cs="宋体"/>
          <w:kern w:val="0"/>
          <w:szCs w:val="21"/>
        </w:rPr>
      </w:pPr>
      <w:r>
        <w:rPr>
          <w:rFonts w:hint="eastAsia" w:ascii="宋体" w:hAnsi="宋体" w:cs="宋体"/>
          <w:kern w:val="0"/>
          <w:szCs w:val="21"/>
        </w:rPr>
        <w:t>日期：      年    月    日</w:t>
      </w:r>
    </w:p>
    <w:p w14:paraId="4F990AFD">
      <w:pPr>
        <w:adjustRightInd w:val="0"/>
        <w:snapToGrid w:val="0"/>
        <w:rPr>
          <w:rFonts w:ascii="宋体" w:hAnsi="宋体" w:cs="宋体"/>
          <w:kern w:val="0"/>
          <w:szCs w:val="21"/>
        </w:rPr>
      </w:pPr>
    </w:p>
    <w:p w14:paraId="2EE445B1">
      <w:pPr>
        <w:spacing w:line="560" w:lineRule="exact"/>
        <w:ind w:firstLine="472"/>
        <w:rPr>
          <w:rFonts w:ascii="仿宋_GB2312" w:eastAsia="仿宋_GB2312"/>
          <w:sz w:val="32"/>
          <w:szCs w:val="32"/>
        </w:rPr>
      </w:pPr>
      <w:r>
        <w:rPr>
          <w:rFonts w:ascii="宋体" w:hAnsi="宋体"/>
          <w:szCs w:val="21"/>
        </w:rPr>
        <w:br w:type="page"/>
      </w:r>
      <w:r>
        <w:rPr>
          <w:rFonts w:hint="eastAsia" w:ascii="仿宋_GB2312" w:eastAsia="仿宋_GB2312"/>
          <w:sz w:val="32"/>
          <w:szCs w:val="32"/>
        </w:rPr>
        <w:t>附件三</w:t>
      </w:r>
    </w:p>
    <w:tbl>
      <w:tblPr>
        <w:tblStyle w:val="54"/>
        <w:tblW w:w="9366" w:type="dxa"/>
        <w:jc w:val="center"/>
        <w:tblLayout w:type="fixed"/>
        <w:tblCellMar>
          <w:top w:w="0" w:type="dxa"/>
          <w:left w:w="108" w:type="dxa"/>
          <w:bottom w:w="0" w:type="dxa"/>
          <w:right w:w="108" w:type="dxa"/>
        </w:tblCellMar>
      </w:tblPr>
      <w:tblGrid>
        <w:gridCol w:w="575"/>
        <w:gridCol w:w="1278"/>
        <w:gridCol w:w="709"/>
        <w:gridCol w:w="2551"/>
        <w:gridCol w:w="3261"/>
        <w:gridCol w:w="992"/>
      </w:tblGrid>
      <w:tr w14:paraId="50106097">
        <w:tblPrEx>
          <w:tblCellMar>
            <w:top w:w="0" w:type="dxa"/>
            <w:left w:w="108" w:type="dxa"/>
            <w:bottom w:w="0" w:type="dxa"/>
            <w:right w:w="108" w:type="dxa"/>
          </w:tblCellMar>
        </w:tblPrEx>
        <w:trPr>
          <w:trHeight w:val="795" w:hRule="atLeast"/>
          <w:jc w:val="center"/>
        </w:trPr>
        <w:tc>
          <w:tcPr>
            <w:tcW w:w="9366" w:type="dxa"/>
            <w:gridSpan w:val="6"/>
            <w:tcBorders>
              <w:top w:val="nil"/>
              <w:left w:val="nil"/>
              <w:bottom w:val="nil"/>
              <w:right w:val="nil"/>
            </w:tcBorders>
            <w:vAlign w:val="center"/>
          </w:tcPr>
          <w:p w14:paraId="28BEDA11">
            <w:pPr>
              <w:widowControl/>
              <w:ind w:firstLine="549"/>
              <w:jc w:val="center"/>
              <w:rPr>
                <w:rFonts w:ascii="仿宋_GB2312" w:hAnsi="宋体" w:eastAsia="仿宋_GB2312"/>
                <w:sz w:val="28"/>
                <w:szCs w:val="28"/>
              </w:rPr>
            </w:pPr>
            <w:r>
              <w:rPr>
                <w:rFonts w:hint="eastAsia" w:ascii="仿宋_GB2312" w:hAnsi="宋体" w:eastAsia="仿宋_GB2312"/>
                <w:sz w:val="28"/>
                <w:szCs w:val="28"/>
              </w:rPr>
              <w:t>施工图设计阶段设计合同履约评价表</w:t>
            </w:r>
          </w:p>
        </w:tc>
      </w:tr>
      <w:tr w14:paraId="5116C659">
        <w:tblPrEx>
          <w:tblCellMar>
            <w:top w:w="0" w:type="dxa"/>
            <w:left w:w="108" w:type="dxa"/>
            <w:bottom w:w="0" w:type="dxa"/>
            <w:right w:w="108" w:type="dxa"/>
          </w:tblCellMar>
        </w:tblPrEx>
        <w:trPr>
          <w:jc w:val="center"/>
        </w:trPr>
        <w:tc>
          <w:tcPr>
            <w:tcW w:w="575" w:type="dxa"/>
            <w:tcBorders>
              <w:top w:val="single" w:color="auto" w:sz="4" w:space="0"/>
              <w:left w:val="single" w:color="auto" w:sz="4" w:space="0"/>
              <w:bottom w:val="single" w:color="auto" w:sz="4" w:space="0"/>
              <w:right w:val="single" w:color="auto" w:sz="4" w:space="0"/>
            </w:tcBorders>
            <w:vAlign w:val="center"/>
          </w:tcPr>
          <w:p w14:paraId="24A80C27">
            <w:pPr>
              <w:widowControl/>
              <w:rPr>
                <w:rFonts w:ascii="宋体" w:hAnsi="宋体" w:cs="宋体"/>
                <w:bCs/>
                <w:kern w:val="0"/>
                <w:szCs w:val="21"/>
              </w:rPr>
            </w:pPr>
            <w:r>
              <w:rPr>
                <w:rFonts w:hint="eastAsia" w:ascii="宋体" w:hAnsi="宋体" w:cs="宋体"/>
                <w:bCs/>
                <w:kern w:val="0"/>
                <w:szCs w:val="21"/>
              </w:rPr>
              <w:t>序号</w:t>
            </w:r>
          </w:p>
        </w:tc>
        <w:tc>
          <w:tcPr>
            <w:tcW w:w="1278" w:type="dxa"/>
            <w:tcBorders>
              <w:top w:val="single" w:color="auto" w:sz="4" w:space="0"/>
              <w:left w:val="nil"/>
              <w:bottom w:val="single" w:color="auto" w:sz="4" w:space="0"/>
              <w:right w:val="single" w:color="auto" w:sz="4" w:space="0"/>
            </w:tcBorders>
            <w:vAlign w:val="center"/>
          </w:tcPr>
          <w:p w14:paraId="11719763">
            <w:pPr>
              <w:widowControl/>
              <w:rPr>
                <w:rFonts w:ascii="宋体" w:hAnsi="宋体" w:cs="宋体"/>
                <w:bCs/>
                <w:kern w:val="0"/>
                <w:szCs w:val="21"/>
              </w:rPr>
            </w:pPr>
            <w:r>
              <w:rPr>
                <w:rFonts w:hint="eastAsia" w:ascii="宋体" w:hAnsi="宋体" w:cs="宋体"/>
                <w:bCs/>
                <w:kern w:val="0"/>
                <w:szCs w:val="21"/>
              </w:rPr>
              <w:t>内容</w:t>
            </w:r>
          </w:p>
        </w:tc>
        <w:tc>
          <w:tcPr>
            <w:tcW w:w="709" w:type="dxa"/>
            <w:tcBorders>
              <w:top w:val="single" w:color="auto" w:sz="4" w:space="0"/>
              <w:left w:val="nil"/>
              <w:bottom w:val="single" w:color="auto" w:sz="4" w:space="0"/>
              <w:right w:val="single" w:color="auto" w:sz="4" w:space="0"/>
            </w:tcBorders>
            <w:vAlign w:val="center"/>
          </w:tcPr>
          <w:p w14:paraId="474AD0AD">
            <w:pPr>
              <w:widowControl/>
              <w:rPr>
                <w:rFonts w:ascii="宋体" w:hAnsi="宋体" w:cs="宋体"/>
                <w:bCs/>
                <w:kern w:val="0"/>
                <w:szCs w:val="21"/>
              </w:rPr>
            </w:pPr>
            <w:r>
              <w:rPr>
                <w:rFonts w:hint="eastAsia" w:ascii="宋体" w:hAnsi="宋体" w:cs="宋体"/>
                <w:bCs/>
                <w:kern w:val="0"/>
                <w:szCs w:val="21"/>
              </w:rPr>
              <w:t>单项</w:t>
            </w:r>
          </w:p>
          <w:p w14:paraId="17425BC6">
            <w:pPr>
              <w:widowControl/>
              <w:rPr>
                <w:rFonts w:ascii="宋体" w:hAnsi="宋体" w:cs="宋体"/>
                <w:bCs/>
                <w:kern w:val="0"/>
                <w:szCs w:val="21"/>
              </w:rPr>
            </w:pPr>
            <w:r>
              <w:rPr>
                <w:rFonts w:hint="eastAsia" w:ascii="宋体" w:hAnsi="宋体" w:cs="宋体"/>
                <w:bCs/>
                <w:kern w:val="0"/>
                <w:szCs w:val="21"/>
              </w:rPr>
              <w:t>分值</w:t>
            </w:r>
          </w:p>
        </w:tc>
        <w:tc>
          <w:tcPr>
            <w:tcW w:w="2551" w:type="dxa"/>
            <w:tcBorders>
              <w:top w:val="single" w:color="auto" w:sz="4" w:space="0"/>
              <w:left w:val="nil"/>
              <w:bottom w:val="single" w:color="auto" w:sz="4" w:space="0"/>
              <w:right w:val="single" w:color="auto" w:sz="4" w:space="0"/>
            </w:tcBorders>
            <w:vAlign w:val="center"/>
          </w:tcPr>
          <w:p w14:paraId="4A651B2A">
            <w:pPr>
              <w:widowControl/>
              <w:ind w:firstLine="472"/>
              <w:jc w:val="center"/>
              <w:rPr>
                <w:rFonts w:ascii="宋体" w:hAnsi="宋体" w:cs="宋体"/>
                <w:bCs/>
                <w:kern w:val="0"/>
                <w:szCs w:val="21"/>
              </w:rPr>
            </w:pPr>
            <w:r>
              <w:rPr>
                <w:rFonts w:hint="eastAsia" w:ascii="宋体" w:hAnsi="宋体" w:cs="宋体"/>
                <w:bCs/>
                <w:kern w:val="0"/>
                <w:szCs w:val="21"/>
              </w:rPr>
              <w:t>评价指标</w:t>
            </w:r>
          </w:p>
        </w:tc>
        <w:tc>
          <w:tcPr>
            <w:tcW w:w="3261" w:type="dxa"/>
            <w:tcBorders>
              <w:top w:val="single" w:color="auto" w:sz="4" w:space="0"/>
              <w:left w:val="nil"/>
              <w:bottom w:val="single" w:color="auto" w:sz="4" w:space="0"/>
              <w:right w:val="single" w:color="auto" w:sz="4" w:space="0"/>
            </w:tcBorders>
            <w:vAlign w:val="center"/>
          </w:tcPr>
          <w:p w14:paraId="737B3998">
            <w:pPr>
              <w:widowControl/>
              <w:ind w:firstLine="472"/>
              <w:jc w:val="center"/>
              <w:rPr>
                <w:rFonts w:ascii="宋体" w:hAnsi="宋体" w:cs="宋体"/>
                <w:bCs/>
                <w:kern w:val="0"/>
                <w:szCs w:val="21"/>
              </w:rPr>
            </w:pPr>
            <w:r>
              <w:rPr>
                <w:rFonts w:hint="eastAsia" w:ascii="宋体" w:hAnsi="宋体" w:cs="宋体"/>
                <w:bCs/>
                <w:kern w:val="0"/>
                <w:szCs w:val="21"/>
              </w:rPr>
              <w:t>评分标准</w:t>
            </w:r>
          </w:p>
        </w:tc>
        <w:tc>
          <w:tcPr>
            <w:tcW w:w="992" w:type="dxa"/>
            <w:tcBorders>
              <w:top w:val="single" w:color="auto" w:sz="4" w:space="0"/>
              <w:left w:val="nil"/>
              <w:bottom w:val="single" w:color="auto" w:sz="4" w:space="0"/>
              <w:right w:val="single" w:color="auto" w:sz="4" w:space="0"/>
            </w:tcBorders>
            <w:vAlign w:val="center"/>
          </w:tcPr>
          <w:p w14:paraId="33306E9C">
            <w:pPr>
              <w:widowControl/>
              <w:jc w:val="center"/>
              <w:rPr>
                <w:rFonts w:ascii="宋体" w:hAnsi="宋体" w:cs="宋体"/>
                <w:kern w:val="0"/>
                <w:szCs w:val="21"/>
              </w:rPr>
            </w:pPr>
            <w:r>
              <w:rPr>
                <w:rFonts w:hint="eastAsia" w:ascii="宋体" w:hAnsi="宋体" w:cs="宋体"/>
                <w:kern w:val="0"/>
                <w:szCs w:val="21"/>
              </w:rPr>
              <w:t>得分</w:t>
            </w:r>
          </w:p>
        </w:tc>
      </w:tr>
      <w:tr w14:paraId="1C1AAB4B">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3A82A70B">
            <w:pPr>
              <w:widowControl/>
              <w:jc w:val="center"/>
              <w:rPr>
                <w:kern w:val="0"/>
                <w:szCs w:val="21"/>
              </w:rPr>
            </w:pPr>
            <w:r>
              <w:rPr>
                <w:rFonts w:hint="eastAsia" w:ascii="宋体" w:hAnsi="宋体"/>
                <w:kern w:val="0"/>
                <w:szCs w:val="21"/>
              </w:rPr>
              <w:t>一</w:t>
            </w:r>
          </w:p>
        </w:tc>
        <w:tc>
          <w:tcPr>
            <w:tcW w:w="1278" w:type="dxa"/>
            <w:tcBorders>
              <w:top w:val="nil"/>
              <w:left w:val="nil"/>
              <w:bottom w:val="single" w:color="auto" w:sz="4" w:space="0"/>
              <w:right w:val="single" w:color="auto" w:sz="4" w:space="0"/>
            </w:tcBorders>
            <w:vAlign w:val="center"/>
          </w:tcPr>
          <w:p w14:paraId="62C44785">
            <w:pPr>
              <w:widowControl/>
              <w:jc w:val="center"/>
              <w:rPr>
                <w:kern w:val="0"/>
                <w:szCs w:val="21"/>
              </w:rPr>
            </w:pPr>
            <w:r>
              <w:rPr>
                <w:rFonts w:hint="eastAsia" w:ascii="宋体" w:hAnsi="宋体"/>
                <w:kern w:val="0"/>
                <w:szCs w:val="21"/>
              </w:rPr>
              <w:t>人员配备</w:t>
            </w:r>
          </w:p>
        </w:tc>
        <w:tc>
          <w:tcPr>
            <w:tcW w:w="709" w:type="dxa"/>
            <w:tcBorders>
              <w:top w:val="nil"/>
              <w:left w:val="nil"/>
              <w:bottom w:val="single" w:color="auto" w:sz="4" w:space="0"/>
              <w:right w:val="single" w:color="auto" w:sz="4" w:space="0"/>
            </w:tcBorders>
            <w:vAlign w:val="center"/>
          </w:tcPr>
          <w:p w14:paraId="02A5C691">
            <w:pPr>
              <w:widowControl/>
              <w:jc w:val="center"/>
              <w:rPr>
                <w:kern w:val="0"/>
                <w:szCs w:val="21"/>
              </w:rPr>
            </w:pPr>
            <w:r>
              <w:rPr>
                <w:kern w:val="0"/>
                <w:szCs w:val="21"/>
              </w:rPr>
              <w:t>10</w:t>
            </w:r>
          </w:p>
        </w:tc>
        <w:tc>
          <w:tcPr>
            <w:tcW w:w="2551" w:type="dxa"/>
            <w:tcBorders>
              <w:top w:val="nil"/>
              <w:left w:val="nil"/>
              <w:bottom w:val="single" w:color="auto" w:sz="4" w:space="0"/>
              <w:right w:val="single" w:color="auto" w:sz="4" w:space="0"/>
            </w:tcBorders>
            <w:vAlign w:val="center"/>
          </w:tcPr>
          <w:p w14:paraId="02150802">
            <w:pPr>
              <w:widowControl/>
              <w:ind w:firstLine="472"/>
              <w:jc w:val="center"/>
              <w:rPr>
                <w:bCs/>
                <w:kern w:val="0"/>
                <w:szCs w:val="21"/>
              </w:rPr>
            </w:pPr>
            <w:r>
              <w:rPr>
                <w:rFonts w:hint="eastAsia"/>
                <w:bCs/>
                <w:kern w:val="0"/>
                <w:szCs w:val="21"/>
              </w:rPr>
              <w:t>　</w:t>
            </w:r>
          </w:p>
        </w:tc>
        <w:tc>
          <w:tcPr>
            <w:tcW w:w="3261" w:type="dxa"/>
            <w:tcBorders>
              <w:top w:val="nil"/>
              <w:left w:val="nil"/>
              <w:bottom w:val="single" w:color="auto" w:sz="4" w:space="0"/>
              <w:right w:val="single" w:color="auto" w:sz="4" w:space="0"/>
            </w:tcBorders>
            <w:vAlign w:val="center"/>
          </w:tcPr>
          <w:p w14:paraId="5FC87B33">
            <w:pPr>
              <w:widowControl/>
              <w:ind w:firstLine="472"/>
              <w:jc w:val="center"/>
              <w:rPr>
                <w:bCs/>
                <w:kern w:val="0"/>
                <w:szCs w:val="21"/>
              </w:rPr>
            </w:pPr>
            <w:r>
              <w:rPr>
                <w:rFonts w:hint="eastAsia"/>
                <w:bCs/>
                <w:kern w:val="0"/>
                <w:szCs w:val="21"/>
              </w:rPr>
              <w:t>　</w:t>
            </w:r>
          </w:p>
        </w:tc>
        <w:tc>
          <w:tcPr>
            <w:tcW w:w="992" w:type="dxa"/>
            <w:tcBorders>
              <w:top w:val="nil"/>
              <w:left w:val="nil"/>
              <w:bottom w:val="single" w:color="auto" w:sz="4" w:space="0"/>
              <w:right w:val="single" w:color="auto" w:sz="4" w:space="0"/>
            </w:tcBorders>
            <w:vAlign w:val="center"/>
          </w:tcPr>
          <w:p w14:paraId="432FA644">
            <w:pPr>
              <w:widowControl/>
              <w:jc w:val="center"/>
              <w:rPr>
                <w:kern w:val="0"/>
                <w:szCs w:val="21"/>
              </w:rPr>
            </w:pPr>
            <w:r>
              <w:rPr>
                <w:rFonts w:hint="eastAsia"/>
                <w:kern w:val="0"/>
                <w:szCs w:val="21"/>
              </w:rPr>
              <w:t>　</w:t>
            </w:r>
          </w:p>
        </w:tc>
      </w:tr>
      <w:tr w14:paraId="2ABF3E72">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41EAB793">
            <w:pPr>
              <w:widowControl/>
              <w:jc w:val="center"/>
              <w:rPr>
                <w:kern w:val="0"/>
                <w:szCs w:val="21"/>
              </w:rPr>
            </w:pPr>
            <w:r>
              <w:rPr>
                <w:kern w:val="0"/>
                <w:szCs w:val="21"/>
              </w:rPr>
              <w:t>1</w:t>
            </w:r>
          </w:p>
        </w:tc>
        <w:tc>
          <w:tcPr>
            <w:tcW w:w="1278" w:type="dxa"/>
            <w:tcBorders>
              <w:top w:val="nil"/>
              <w:left w:val="nil"/>
              <w:bottom w:val="single" w:color="auto" w:sz="4" w:space="0"/>
              <w:right w:val="nil"/>
            </w:tcBorders>
            <w:vAlign w:val="center"/>
          </w:tcPr>
          <w:p w14:paraId="0314DE4D">
            <w:pPr>
              <w:widowControl/>
              <w:jc w:val="center"/>
              <w:rPr>
                <w:kern w:val="0"/>
                <w:szCs w:val="21"/>
              </w:rPr>
            </w:pPr>
            <w:r>
              <w:rPr>
                <w:rFonts w:hint="eastAsia" w:ascii="宋体" w:hAnsi="宋体"/>
                <w:kern w:val="0"/>
                <w:szCs w:val="21"/>
              </w:rPr>
              <w:t>项目负责人</w:t>
            </w:r>
          </w:p>
        </w:tc>
        <w:tc>
          <w:tcPr>
            <w:tcW w:w="709" w:type="dxa"/>
            <w:tcBorders>
              <w:top w:val="nil"/>
              <w:left w:val="single" w:color="auto" w:sz="4" w:space="0"/>
              <w:bottom w:val="single" w:color="auto" w:sz="4" w:space="0"/>
              <w:right w:val="single" w:color="auto" w:sz="4" w:space="0"/>
            </w:tcBorders>
            <w:vAlign w:val="center"/>
          </w:tcPr>
          <w:p w14:paraId="7FC5F445">
            <w:pPr>
              <w:widowControl/>
              <w:jc w:val="center"/>
              <w:rPr>
                <w:kern w:val="0"/>
                <w:szCs w:val="21"/>
              </w:rPr>
            </w:pPr>
            <w:r>
              <w:rPr>
                <w:kern w:val="0"/>
                <w:szCs w:val="21"/>
              </w:rPr>
              <w:t>5</w:t>
            </w:r>
          </w:p>
        </w:tc>
        <w:tc>
          <w:tcPr>
            <w:tcW w:w="2551" w:type="dxa"/>
            <w:tcBorders>
              <w:top w:val="nil"/>
              <w:left w:val="nil"/>
              <w:bottom w:val="single" w:color="auto" w:sz="4" w:space="0"/>
              <w:right w:val="single" w:color="auto" w:sz="4" w:space="0"/>
            </w:tcBorders>
            <w:vAlign w:val="center"/>
          </w:tcPr>
          <w:p w14:paraId="3FAAD765">
            <w:pPr>
              <w:widowControl/>
              <w:jc w:val="left"/>
              <w:rPr>
                <w:kern w:val="0"/>
                <w:szCs w:val="21"/>
              </w:rPr>
            </w:pPr>
            <w:r>
              <w:rPr>
                <w:rFonts w:hint="eastAsia" w:ascii="宋体" w:hAnsi="宋体"/>
                <w:kern w:val="0"/>
                <w:szCs w:val="21"/>
              </w:rPr>
              <w:t>是否按合同到位</w:t>
            </w:r>
          </w:p>
        </w:tc>
        <w:tc>
          <w:tcPr>
            <w:tcW w:w="3261" w:type="dxa"/>
            <w:tcBorders>
              <w:top w:val="nil"/>
              <w:left w:val="nil"/>
              <w:bottom w:val="single" w:color="auto" w:sz="4" w:space="0"/>
              <w:right w:val="single" w:color="auto" w:sz="4" w:space="0"/>
            </w:tcBorders>
            <w:vAlign w:val="center"/>
          </w:tcPr>
          <w:p w14:paraId="32CDB51E">
            <w:pPr>
              <w:widowControl/>
              <w:jc w:val="left"/>
              <w:rPr>
                <w:rFonts w:ascii="宋体" w:hAnsi="宋体"/>
                <w:kern w:val="0"/>
                <w:szCs w:val="21"/>
              </w:rPr>
            </w:pPr>
            <w:r>
              <w:rPr>
                <w:rFonts w:hint="eastAsia" w:ascii="宋体" w:hAnsi="宋体"/>
                <w:kern w:val="0"/>
                <w:szCs w:val="21"/>
              </w:rPr>
              <w:t>未按合同到位且未经甲方同意，每自行更换一次</w:t>
            </w:r>
            <w:r>
              <w:rPr>
                <w:rFonts w:hint="eastAsia"/>
                <w:kern w:val="0"/>
                <w:szCs w:val="21"/>
              </w:rPr>
              <w:t>，</w:t>
            </w:r>
            <w:r>
              <w:rPr>
                <w:rFonts w:hint="eastAsia" w:ascii="宋体" w:hAnsi="宋体"/>
                <w:kern w:val="0"/>
                <w:szCs w:val="21"/>
              </w:rPr>
              <w:t>扣</w:t>
            </w:r>
            <w:r>
              <w:rPr>
                <w:kern w:val="0"/>
                <w:szCs w:val="21"/>
              </w:rPr>
              <w:t>2</w:t>
            </w:r>
            <w:r>
              <w:rPr>
                <w:rFonts w:hint="eastAsia" w:ascii="宋体" w:hAnsi="宋体"/>
                <w:kern w:val="0"/>
                <w:szCs w:val="21"/>
              </w:rPr>
              <w:t>分；</w:t>
            </w:r>
          </w:p>
          <w:p w14:paraId="0458ACB0">
            <w:pPr>
              <w:widowControl/>
              <w:jc w:val="left"/>
              <w:rPr>
                <w:kern w:val="0"/>
                <w:szCs w:val="21"/>
              </w:rPr>
            </w:pPr>
            <w:r>
              <w:rPr>
                <w:rFonts w:hint="eastAsia" w:ascii="宋体" w:hAnsi="宋体"/>
                <w:kern w:val="0"/>
                <w:szCs w:val="21"/>
              </w:rPr>
              <w:t>缺席甲方要求参加的重要会议，每次扣</w:t>
            </w:r>
            <w:r>
              <w:rPr>
                <w:rFonts w:ascii="宋体" w:hAnsi="宋体"/>
                <w:kern w:val="0"/>
                <w:szCs w:val="21"/>
              </w:rPr>
              <w:t>1分。</w:t>
            </w:r>
          </w:p>
        </w:tc>
        <w:tc>
          <w:tcPr>
            <w:tcW w:w="992" w:type="dxa"/>
            <w:tcBorders>
              <w:top w:val="nil"/>
              <w:left w:val="nil"/>
              <w:bottom w:val="single" w:color="auto" w:sz="4" w:space="0"/>
              <w:right w:val="single" w:color="auto" w:sz="4" w:space="0"/>
            </w:tcBorders>
            <w:vAlign w:val="center"/>
          </w:tcPr>
          <w:p w14:paraId="7FAB9B0D">
            <w:pPr>
              <w:widowControl/>
              <w:jc w:val="center"/>
              <w:rPr>
                <w:kern w:val="0"/>
                <w:szCs w:val="21"/>
              </w:rPr>
            </w:pPr>
            <w:r>
              <w:rPr>
                <w:rFonts w:hint="eastAsia"/>
                <w:kern w:val="0"/>
                <w:szCs w:val="21"/>
              </w:rPr>
              <w:t>　</w:t>
            </w:r>
          </w:p>
        </w:tc>
      </w:tr>
      <w:tr w14:paraId="4EE099A2">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561917A0">
            <w:pPr>
              <w:widowControl/>
              <w:jc w:val="center"/>
              <w:rPr>
                <w:kern w:val="0"/>
                <w:szCs w:val="21"/>
              </w:rPr>
            </w:pPr>
            <w:r>
              <w:rPr>
                <w:kern w:val="0"/>
                <w:szCs w:val="21"/>
              </w:rPr>
              <w:t>2</w:t>
            </w:r>
          </w:p>
        </w:tc>
        <w:tc>
          <w:tcPr>
            <w:tcW w:w="1278" w:type="dxa"/>
            <w:tcBorders>
              <w:top w:val="single" w:color="auto" w:sz="4" w:space="0"/>
              <w:left w:val="nil"/>
              <w:bottom w:val="nil"/>
              <w:right w:val="nil"/>
            </w:tcBorders>
            <w:vAlign w:val="center"/>
          </w:tcPr>
          <w:p w14:paraId="7AD14358">
            <w:pPr>
              <w:widowControl/>
              <w:jc w:val="left"/>
              <w:rPr>
                <w:rFonts w:ascii="宋体" w:hAnsi="宋体"/>
                <w:kern w:val="0"/>
                <w:szCs w:val="21"/>
              </w:rPr>
            </w:pPr>
            <w:r>
              <w:rPr>
                <w:rFonts w:hint="eastAsia" w:ascii="宋体" w:hAnsi="宋体"/>
                <w:kern w:val="0"/>
                <w:szCs w:val="21"/>
              </w:rPr>
              <w:t>各专业负责人</w:t>
            </w:r>
          </w:p>
        </w:tc>
        <w:tc>
          <w:tcPr>
            <w:tcW w:w="709" w:type="dxa"/>
            <w:tcBorders>
              <w:top w:val="nil"/>
              <w:left w:val="single" w:color="auto" w:sz="4" w:space="0"/>
              <w:bottom w:val="single" w:color="auto" w:sz="4" w:space="0"/>
              <w:right w:val="single" w:color="auto" w:sz="4" w:space="0"/>
            </w:tcBorders>
            <w:vAlign w:val="center"/>
          </w:tcPr>
          <w:p w14:paraId="180AB161">
            <w:pPr>
              <w:widowControl/>
              <w:jc w:val="center"/>
              <w:rPr>
                <w:kern w:val="0"/>
                <w:szCs w:val="21"/>
              </w:rPr>
            </w:pPr>
            <w:r>
              <w:rPr>
                <w:kern w:val="0"/>
                <w:szCs w:val="21"/>
              </w:rPr>
              <w:t>5</w:t>
            </w:r>
          </w:p>
        </w:tc>
        <w:tc>
          <w:tcPr>
            <w:tcW w:w="2551" w:type="dxa"/>
            <w:tcBorders>
              <w:top w:val="nil"/>
              <w:left w:val="nil"/>
              <w:bottom w:val="single" w:color="auto" w:sz="4" w:space="0"/>
              <w:right w:val="single" w:color="auto" w:sz="4" w:space="0"/>
            </w:tcBorders>
            <w:vAlign w:val="center"/>
          </w:tcPr>
          <w:p w14:paraId="26F348F1">
            <w:pPr>
              <w:widowControl/>
              <w:jc w:val="left"/>
              <w:rPr>
                <w:rFonts w:ascii="宋体" w:hAnsi="宋体"/>
                <w:kern w:val="0"/>
                <w:szCs w:val="21"/>
              </w:rPr>
            </w:pPr>
            <w:r>
              <w:rPr>
                <w:rFonts w:hint="eastAsia" w:ascii="宋体" w:hAnsi="宋体"/>
                <w:kern w:val="0"/>
                <w:szCs w:val="21"/>
              </w:rPr>
              <w:t>人员是否稳定无更换</w:t>
            </w:r>
          </w:p>
        </w:tc>
        <w:tc>
          <w:tcPr>
            <w:tcW w:w="3261" w:type="dxa"/>
            <w:tcBorders>
              <w:top w:val="nil"/>
              <w:left w:val="nil"/>
              <w:bottom w:val="single" w:color="auto" w:sz="4" w:space="0"/>
              <w:right w:val="single" w:color="auto" w:sz="4" w:space="0"/>
            </w:tcBorders>
            <w:vAlign w:val="center"/>
          </w:tcPr>
          <w:p w14:paraId="6715BED2">
            <w:pPr>
              <w:widowControl/>
              <w:jc w:val="left"/>
              <w:rPr>
                <w:rFonts w:ascii="宋体" w:hAnsi="宋体"/>
                <w:kern w:val="0"/>
                <w:szCs w:val="21"/>
              </w:rPr>
            </w:pPr>
            <w:r>
              <w:rPr>
                <w:rFonts w:hint="eastAsia" w:ascii="宋体" w:hAnsi="宋体"/>
                <w:kern w:val="0"/>
                <w:szCs w:val="21"/>
              </w:rPr>
              <w:t>未按合同到位且未经甲方同意，每自行更换一次</w:t>
            </w:r>
            <w:r>
              <w:rPr>
                <w:rFonts w:hint="eastAsia"/>
                <w:kern w:val="0"/>
                <w:szCs w:val="21"/>
              </w:rPr>
              <w:t>，</w:t>
            </w:r>
            <w:r>
              <w:rPr>
                <w:rFonts w:hint="eastAsia" w:ascii="宋体" w:hAnsi="宋体"/>
                <w:kern w:val="0"/>
                <w:szCs w:val="21"/>
              </w:rPr>
              <w:t>扣</w:t>
            </w:r>
            <w:r>
              <w:rPr>
                <w:kern w:val="0"/>
                <w:szCs w:val="21"/>
              </w:rPr>
              <w:t>2</w:t>
            </w:r>
            <w:r>
              <w:rPr>
                <w:rFonts w:hint="eastAsia" w:ascii="宋体" w:hAnsi="宋体"/>
                <w:kern w:val="0"/>
                <w:szCs w:val="21"/>
              </w:rPr>
              <w:t>分；</w:t>
            </w:r>
          </w:p>
          <w:p w14:paraId="1E1D3909">
            <w:pPr>
              <w:widowControl/>
              <w:jc w:val="left"/>
              <w:rPr>
                <w:kern w:val="0"/>
                <w:szCs w:val="21"/>
              </w:rPr>
            </w:pPr>
            <w:r>
              <w:rPr>
                <w:rFonts w:hint="eastAsia" w:ascii="宋体" w:hAnsi="宋体"/>
                <w:kern w:val="0"/>
                <w:szCs w:val="21"/>
              </w:rPr>
              <w:t>缺席甲方要求参加的有关会议，每次扣</w:t>
            </w:r>
            <w:r>
              <w:rPr>
                <w:rFonts w:ascii="宋体" w:hAnsi="宋体"/>
                <w:kern w:val="0"/>
                <w:szCs w:val="21"/>
              </w:rPr>
              <w:t>1分。</w:t>
            </w:r>
          </w:p>
        </w:tc>
        <w:tc>
          <w:tcPr>
            <w:tcW w:w="992" w:type="dxa"/>
            <w:tcBorders>
              <w:top w:val="nil"/>
              <w:left w:val="nil"/>
              <w:bottom w:val="single" w:color="auto" w:sz="4" w:space="0"/>
              <w:right w:val="single" w:color="auto" w:sz="4" w:space="0"/>
            </w:tcBorders>
            <w:vAlign w:val="center"/>
          </w:tcPr>
          <w:p w14:paraId="3D6BA611">
            <w:pPr>
              <w:widowControl/>
              <w:jc w:val="center"/>
              <w:rPr>
                <w:kern w:val="0"/>
                <w:szCs w:val="21"/>
              </w:rPr>
            </w:pPr>
          </w:p>
        </w:tc>
      </w:tr>
      <w:tr w14:paraId="55004356">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39C69971">
            <w:pPr>
              <w:widowControl/>
              <w:jc w:val="center"/>
              <w:rPr>
                <w:kern w:val="0"/>
                <w:szCs w:val="21"/>
              </w:rPr>
            </w:pPr>
            <w:r>
              <w:rPr>
                <w:rFonts w:hint="eastAsia" w:ascii="宋体" w:hAnsi="宋体"/>
                <w:kern w:val="0"/>
                <w:szCs w:val="21"/>
              </w:rPr>
              <w:t>二</w:t>
            </w:r>
          </w:p>
        </w:tc>
        <w:tc>
          <w:tcPr>
            <w:tcW w:w="1278" w:type="dxa"/>
            <w:tcBorders>
              <w:top w:val="single" w:color="auto" w:sz="4" w:space="0"/>
              <w:left w:val="nil"/>
              <w:bottom w:val="single" w:color="auto" w:sz="4" w:space="0"/>
              <w:right w:val="single" w:color="auto" w:sz="4" w:space="0"/>
            </w:tcBorders>
            <w:vAlign w:val="center"/>
          </w:tcPr>
          <w:p w14:paraId="5CCBD341">
            <w:pPr>
              <w:widowControl/>
              <w:jc w:val="left"/>
              <w:rPr>
                <w:kern w:val="0"/>
                <w:szCs w:val="21"/>
              </w:rPr>
            </w:pPr>
            <w:r>
              <w:rPr>
                <w:rFonts w:hint="eastAsia" w:ascii="宋体" w:hAnsi="宋体"/>
                <w:kern w:val="0"/>
                <w:szCs w:val="21"/>
              </w:rPr>
              <w:t>能力水平及履约表现</w:t>
            </w:r>
          </w:p>
        </w:tc>
        <w:tc>
          <w:tcPr>
            <w:tcW w:w="709" w:type="dxa"/>
            <w:tcBorders>
              <w:top w:val="nil"/>
              <w:left w:val="nil"/>
              <w:bottom w:val="single" w:color="auto" w:sz="4" w:space="0"/>
              <w:right w:val="single" w:color="auto" w:sz="4" w:space="0"/>
            </w:tcBorders>
            <w:vAlign w:val="center"/>
          </w:tcPr>
          <w:p w14:paraId="4B6CEBAE">
            <w:pPr>
              <w:widowControl/>
              <w:jc w:val="center"/>
              <w:rPr>
                <w:kern w:val="0"/>
                <w:szCs w:val="21"/>
              </w:rPr>
            </w:pPr>
            <w:r>
              <w:rPr>
                <w:kern w:val="0"/>
                <w:szCs w:val="21"/>
              </w:rPr>
              <w:t>10</w:t>
            </w:r>
          </w:p>
        </w:tc>
        <w:tc>
          <w:tcPr>
            <w:tcW w:w="2551" w:type="dxa"/>
            <w:tcBorders>
              <w:top w:val="nil"/>
              <w:left w:val="nil"/>
              <w:bottom w:val="single" w:color="auto" w:sz="4" w:space="0"/>
              <w:right w:val="single" w:color="auto" w:sz="4" w:space="0"/>
            </w:tcBorders>
            <w:vAlign w:val="center"/>
          </w:tcPr>
          <w:p w14:paraId="562C43D6">
            <w:pPr>
              <w:widowControl/>
              <w:jc w:val="left"/>
              <w:rPr>
                <w:kern w:val="0"/>
                <w:szCs w:val="21"/>
              </w:rPr>
            </w:pPr>
            <w:r>
              <w:rPr>
                <w:rFonts w:hint="eastAsia"/>
                <w:kern w:val="0"/>
                <w:szCs w:val="21"/>
              </w:rPr>
              <w:t>　</w:t>
            </w:r>
          </w:p>
        </w:tc>
        <w:tc>
          <w:tcPr>
            <w:tcW w:w="3261" w:type="dxa"/>
            <w:tcBorders>
              <w:top w:val="nil"/>
              <w:left w:val="nil"/>
              <w:bottom w:val="single" w:color="auto" w:sz="4" w:space="0"/>
              <w:right w:val="single" w:color="auto" w:sz="4" w:space="0"/>
            </w:tcBorders>
            <w:vAlign w:val="center"/>
          </w:tcPr>
          <w:p w14:paraId="337AA2D4">
            <w:pPr>
              <w:widowControl/>
              <w:jc w:val="left"/>
              <w:rPr>
                <w:kern w:val="0"/>
                <w:szCs w:val="21"/>
              </w:rPr>
            </w:pPr>
            <w:r>
              <w:rPr>
                <w:kern w:val="0"/>
                <w:szCs w:val="21"/>
              </w:rPr>
              <w:t xml:space="preserve"> </w:t>
            </w:r>
          </w:p>
        </w:tc>
        <w:tc>
          <w:tcPr>
            <w:tcW w:w="992" w:type="dxa"/>
            <w:tcBorders>
              <w:top w:val="nil"/>
              <w:left w:val="nil"/>
              <w:bottom w:val="single" w:color="auto" w:sz="4" w:space="0"/>
              <w:right w:val="single" w:color="auto" w:sz="4" w:space="0"/>
            </w:tcBorders>
            <w:vAlign w:val="center"/>
          </w:tcPr>
          <w:p w14:paraId="645A90E0">
            <w:pPr>
              <w:widowControl/>
              <w:jc w:val="center"/>
              <w:rPr>
                <w:kern w:val="0"/>
                <w:szCs w:val="21"/>
              </w:rPr>
            </w:pPr>
            <w:r>
              <w:rPr>
                <w:rFonts w:hint="eastAsia"/>
                <w:kern w:val="0"/>
                <w:szCs w:val="21"/>
              </w:rPr>
              <w:t>　</w:t>
            </w:r>
          </w:p>
        </w:tc>
      </w:tr>
      <w:tr w14:paraId="2E4FBB04">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70CF8171">
            <w:pPr>
              <w:widowControl/>
              <w:jc w:val="center"/>
              <w:rPr>
                <w:kern w:val="0"/>
                <w:szCs w:val="21"/>
              </w:rPr>
            </w:pPr>
            <w:r>
              <w:rPr>
                <w:kern w:val="0"/>
                <w:szCs w:val="21"/>
              </w:rPr>
              <w:t>1</w:t>
            </w:r>
          </w:p>
        </w:tc>
        <w:tc>
          <w:tcPr>
            <w:tcW w:w="1278" w:type="dxa"/>
            <w:tcBorders>
              <w:top w:val="nil"/>
              <w:left w:val="nil"/>
              <w:bottom w:val="single" w:color="auto" w:sz="4" w:space="0"/>
              <w:right w:val="single" w:color="auto" w:sz="4" w:space="0"/>
            </w:tcBorders>
            <w:vAlign w:val="center"/>
          </w:tcPr>
          <w:p w14:paraId="3D126BEF">
            <w:pPr>
              <w:widowControl/>
              <w:jc w:val="left"/>
              <w:rPr>
                <w:kern w:val="0"/>
                <w:szCs w:val="21"/>
              </w:rPr>
            </w:pPr>
            <w:r>
              <w:rPr>
                <w:rFonts w:hint="eastAsia" w:ascii="宋体" w:hAnsi="宋体"/>
                <w:kern w:val="0"/>
                <w:szCs w:val="21"/>
              </w:rPr>
              <w:t>项目负责人</w:t>
            </w:r>
          </w:p>
        </w:tc>
        <w:tc>
          <w:tcPr>
            <w:tcW w:w="709" w:type="dxa"/>
            <w:tcBorders>
              <w:top w:val="nil"/>
              <w:left w:val="nil"/>
              <w:bottom w:val="single" w:color="auto" w:sz="4" w:space="0"/>
              <w:right w:val="single" w:color="auto" w:sz="4" w:space="0"/>
            </w:tcBorders>
            <w:vAlign w:val="center"/>
          </w:tcPr>
          <w:p w14:paraId="6C292602">
            <w:pPr>
              <w:widowControl/>
              <w:jc w:val="center"/>
              <w:rPr>
                <w:kern w:val="0"/>
                <w:szCs w:val="21"/>
              </w:rPr>
            </w:pPr>
            <w:r>
              <w:rPr>
                <w:kern w:val="0"/>
                <w:szCs w:val="21"/>
              </w:rPr>
              <w:t>5</w:t>
            </w:r>
          </w:p>
        </w:tc>
        <w:tc>
          <w:tcPr>
            <w:tcW w:w="2551" w:type="dxa"/>
            <w:tcBorders>
              <w:top w:val="nil"/>
              <w:left w:val="nil"/>
              <w:bottom w:val="single" w:color="auto" w:sz="4" w:space="0"/>
              <w:right w:val="single" w:color="auto" w:sz="4" w:space="0"/>
            </w:tcBorders>
            <w:vAlign w:val="center"/>
          </w:tcPr>
          <w:p w14:paraId="7F0B0C3B">
            <w:pPr>
              <w:widowControl/>
              <w:jc w:val="left"/>
              <w:rPr>
                <w:kern w:val="0"/>
                <w:szCs w:val="21"/>
              </w:rPr>
            </w:pPr>
            <w:r>
              <w:rPr>
                <w:rFonts w:hint="eastAsia" w:ascii="宋体" w:hAnsi="宋体"/>
                <w:kern w:val="0"/>
                <w:szCs w:val="21"/>
              </w:rPr>
              <w:t>是否具有较强的协调组织能力；是否及时发现问题和处理问题；是否能与甲方、使用单位及业务主管部门等相关单位充分沟通</w:t>
            </w:r>
          </w:p>
        </w:tc>
        <w:tc>
          <w:tcPr>
            <w:tcW w:w="3261" w:type="dxa"/>
            <w:tcBorders>
              <w:top w:val="nil"/>
              <w:left w:val="nil"/>
              <w:bottom w:val="single" w:color="auto" w:sz="4" w:space="0"/>
              <w:right w:val="single" w:color="auto" w:sz="4" w:space="0"/>
            </w:tcBorders>
            <w:vAlign w:val="center"/>
          </w:tcPr>
          <w:p w14:paraId="40ADEE4D">
            <w:pPr>
              <w:widowControl/>
              <w:jc w:val="left"/>
              <w:rPr>
                <w:rFonts w:ascii="宋体" w:hAnsi="宋体"/>
                <w:kern w:val="0"/>
                <w:szCs w:val="21"/>
              </w:rPr>
            </w:pPr>
            <w:r>
              <w:rPr>
                <w:kern w:val="0"/>
                <w:szCs w:val="21"/>
              </w:rPr>
              <w:t>1</w:t>
            </w:r>
            <w:r>
              <w:rPr>
                <w:rFonts w:hint="eastAsia" w:ascii="宋体" w:hAnsi="宋体"/>
                <w:kern w:val="0"/>
                <w:szCs w:val="21"/>
              </w:rPr>
              <w:t>、责任心不强、工作协调不到位；</w:t>
            </w:r>
          </w:p>
          <w:p w14:paraId="6CA2429C">
            <w:pPr>
              <w:widowControl/>
              <w:jc w:val="left"/>
              <w:rPr>
                <w:rFonts w:ascii="宋体" w:hAnsi="宋体"/>
                <w:kern w:val="0"/>
                <w:szCs w:val="21"/>
              </w:rPr>
            </w:pPr>
            <w:r>
              <w:rPr>
                <w:kern w:val="0"/>
                <w:szCs w:val="21"/>
              </w:rPr>
              <w:t>2</w:t>
            </w:r>
            <w:r>
              <w:rPr>
                <w:rFonts w:hint="eastAsia" w:ascii="宋体" w:hAnsi="宋体"/>
                <w:kern w:val="0"/>
                <w:szCs w:val="21"/>
              </w:rPr>
              <w:t>、发现问题后未及时处理；</w:t>
            </w:r>
          </w:p>
          <w:p w14:paraId="5022292B">
            <w:pPr>
              <w:widowControl/>
              <w:jc w:val="left"/>
              <w:rPr>
                <w:rFonts w:ascii="宋体" w:hAnsi="宋体"/>
                <w:kern w:val="0"/>
                <w:szCs w:val="21"/>
              </w:rPr>
            </w:pPr>
            <w:r>
              <w:rPr>
                <w:kern w:val="0"/>
                <w:szCs w:val="21"/>
              </w:rPr>
              <w:t>3</w:t>
            </w:r>
            <w:r>
              <w:rPr>
                <w:rFonts w:hint="eastAsia" w:ascii="宋体" w:hAnsi="宋体"/>
                <w:kern w:val="0"/>
                <w:szCs w:val="21"/>
              </w:rPr>
              <w:t>、未与相关参建单位或管理部门及时沟通；</w:t>
            </w:r>
          </w:p>
          <w:p w14:paraId="40742C02">
            <w:pPr>
              <w:widowControl/>
              <w:jc w:val="left"/>
              <w:rPr>
                <w:rFonts w:ascii="宋体" w:hAnsi="宋体"/>
                <w:kern w:val="0"/>
                <w:szCs w:val="21"/>
              </w:rPr>
            </w:pPr>
            <w:r>
              <w:rPr>
                <w:kern w:val="0"/>
                <w:szCs w:val="21"/>
              </w:rPr>
              <w:t>4</w:t>
            </w:r>
            <w:r>
              <w:rPr>
                <w:rFonts w:hint="eastAsia" w:ascii="宋体" w:hAnsi="宋体"/>
                <w:kern w:val="0"/>
                <w:szCs w:val="21"/>
              </w:rPr>
              <w:t>、未落实甲方的相关要求或会议纪要等文件精神。</w:t>
            </w:r>
          </w:p>
          <w:p w14:paraId="5BB9E4DE">
            <w:pPr>
              <w:widowControl/>
              <w:jc w:val="left"/>
              <w:rPr>
                <w:kern w:val="0"/>
                <w:szCs w:val="21"/>
              </w:rPr>
            </w:pPr>
            <w:r>
              <w:rPr>
                <w:rFonts w:hint="eastAsia" w:ascii="宋体" w:hAnsi="宋体"/>
                <w:kern w:val="0"/>
                <w:szCs w:val="21"/>
              </w:rPr>
              <w:t>以上各项每发生一次扣</w:t>
            </w:r>
            <w:r>
              <w:rPr>
                <w:kern w:val="0"/>
                <w:szCs w:val="21"/>
              </w:rPr>
              <w:t>2</w:t>
            </w:r>
            <w:r>
              <w:rPr>
                <w:rFonts w:hint="eastAsia" w:ascii="宋体" w:hAnsi="宋体"/>
                <w:kern w:val="0"/>
                <w:szCs w:val="21"/>
              </w:rPr>
              <w:t>分。</w:t>
            </w:r>
          </w:p>
        </w:tc>
        <w:tc>
          <w:tcPr>
            <w:tcW w:w="992" w:type="dxa"/>
            <w:tcBorders>
              <w:top w:val="nil"/>
              <w:left w:val="nil"/>
              <w:bottom w:val="single" w:color="auto" w:sz="4" w:space="0"/>
              <w:right w:val="single" w:color="auto" w:sz="4" w:space="0"/>
            </w:tcBorders>
            <w:vAlign w:val="center"/>
          </w:tcPr>
          <w:p w14:paraId="3ECA0E37">
            <w:pPr>
              <w:widowControl/>
              <w:jc w:val="center"/>
              <w:rPr>
                <w:kern w:val="0"/>
                <w:szCs w:val="21"/>
              </w:rPr>
            </w:pPr>
            <w:r>
              <w:rPr>
                <w:rFonts w:hint="eastAsia"/>
                <w:kern w:val="0"/>
                <w:szCs w:val="21"/>
              </w:rPr>
              <w:t>　</w:t>
            </w:r>
          </w:p>
        </w:tc>
      </w:tr>
      <w:tr w14:paraId="38B88E97">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77C97EB8">
            <w:pPr>
              <w:widowControl/>
              <w:jc w:val="center"/>
              <w:rPr>
                <w:kern w:val="0"/>
                <w:szCs w:val="21"/>
              </w:rPr>
            </w:pPr>
            <w:r>
              <w:rPr>
                <w:kern w:val="0"/>
                <w:szCs w:val="21"/>
              </w:rPr>
              <w:t>2</w:t>
            </w:r>
          </w:p>
        </w:tc>
        <w:tc>
          <w:tcPr>
            <w:tcW w:w="1278" w:type="dxa"/>
            <w:tcBorders>
              <w:top w:val="nil"/>
              <w:left w:val="nil"/>
              <w:bottom w:val="single" w:color="auto" w:sz="4" w:space="0"/>
              <w:right w:val="single" w:color="auto" w:sz="4" w:space="0"/>
            </w:tcBorders>
            <w:vAlign w:val="center"/>
          </w:tcPr>
          <w:p w14:paraId="06023E49">
            <w:pPr>
              <w:widowControl/>
              <w:jc w:val="left"/>
              <w:rPr>
                <w:kern w:val="0"/>
                <w:szCs w:val="21"/>
              </w:rPr>
            </w:pPr>
            <w:r>
              <w:rPr>
                <w:rFonts w:hint="eastAsia" w:ascii="宋体" w:hAnsi="宋体"/>
                <w:kern w:val="0"/>
                <w:szCs w:val="21"/>
              </w:rPr>
              <w:t>各专业负责人</w:t>
            </w:r>
          </w:p>
        </w:tc>
        <w:tc>
          <w:tcPr>
            <w:tcW w:w="709" w:type="dxa"/>
            <w:tcBorders>
              <w:top w:val="nil"/>
              <w:left w:val="nil"/>
              <w:bottom w:val="single" w:color="auto" w:sz="4" w:space="0"/>
              <w:right w:val="single" w:color="auto" w:sz="4" w:space="0"/>
            </w:tcBorders>
            <w:vAlign w:val="center"/>
          </w:tcPr>
          <w:p w14:paraId="4A5E95D6">
            <w:pPr>
              <w:widowControl/>
              <w:jc w:val="center"/>
              <w:rPr>
                <w:kern w:val="0"/>
                <w:szCs w:val="21"/>
              </w:rPr>
            </w:pPr>
            <w:r>
              <w:rPr>
                <w:kern w:val="0"/>
                <w:szCs w:val="21"/>
              </w:rPr>
              <w:t>5</w:t>
            </w:r>
          </w:p>
        </w:tc>
        <w:tc>
          <w:tcPr>
            <w:tcW w:w="2551" w:type="dxa"/>
            <w:tcBorders>
              <w:top w:val="nil"/>
              <w:left w:val="nil"/>
              <w:bottom w:val="single" w:color="auto" w:sz="4" w:space="0"/>
              <w:right w:val="single" w:color="auto" w:sz="4" w:space="0"/>
            </w:tcBorders>
            <w:vAlign w:val="center"/>
          </w:tcPr>
          <w:p w14:paraId="0C733E46">
            <w:pPr>
              <w:widowControl/>
              <w:jc w:val="left"/>
              <w:rPr>
                <w:kern w:val="0"/>
                <w:szCs w:val="21"/>
              </w:rPr>
            </w:pPr>
            <w:r>
              <w:rPr>
                <w:rFonts w:hint="eastAsia" w:ascii="宋体" w:hAnsi="宋体"/>
                <w:kern w:val="0"/>
                <w:szCs w:val="21"/>
              </w:rPr>
              <w:t>是否有责任心；是否有较高的专业水平；与甲方、使用单位的沟通是否顺畅</w:t>
            </w:r>
          </w:p>
        </w:tc>
        <w:tc>
          <w:tcPr>
            <w:tcW w:w="3261" w:type="dxa"/>
            <w:tcBorders>
              <w:top w:val="nil"/>
              <w:left w:val="nil"/>
              <w:bottom w:val="single" w:color="auto" w:sz="4" w:space="0"/>
              <w:right w:val="single" w:color="auto" w:sz="4" w:space="0"/>
            </w:tcBorders>
            <w:vAlign w:val="center"/>
          </w:tcPr>
          <w:p w14:paraId="3F7C8C21">
            <w:pPr>
              <w:widowControl/>
              <w:jc w:val="left"/>
              <w:rPr>
                <w:rFonts w:ascii="宋体" w:hAnsi="宋体"/>
                <w:kern w:val="0"/>
                <w:szCs w:val="21"/>
              </w:rPr>
            </w:pPr>
            <w:r>
              <w:rPr>
                <w:kern w:val="0"/>
                <w:szCs w:val="21"/>
              </w:rPr>
              <w:t>1</w:t>
            </w:r>
            <w:r>
              <w:rPr>
                <w:rFonts w:hint="eastAsia" w:ascii="宋体" w:hAnsi="宋体"/>
                <w:kern w:val="0"/>
                <w:szCs w:val="21"/>
              </w:rPr>
              <w:t>、责任心不强；</w:t>
            </w:r>
          </w:p>
          <w:p w14:paraId="088E270A">
            <w:pPr>
              <w:widowControl/>
              <w:jc w:val="left"/>
              <w:rPr>
                <w:rFonts w:ascii="宋体" w:hAnsi="宋体"/>
                <w:kern w:val="0"/>
                <w:szCs w:val="21"/>
              </w:rPr>
            </w:pPr>
            <w:r>
              <w:rPr>
                <w:kern w:val="0"/>
                <w:szCs w:val="21"/>
              </w:rPr>
              <w:t>2</w:t>
            </w:r>
            <w:r>
              <w:rPr>
                <w:rFonts w:hint="eastAsia" w:ascii="宋体" w:hAnsi="宋体"/>
                <w:kern w:val="0"/>
                <w:szCs w:val="21"/>
              </w:rPr>
              <w:t>、专业水平不高；</w:t>
            </w:r>
          </w:p>
          <w:p w14:paraId="5283AC25">
            <w:pPr>
              <w:widowControl/>
              <w:jc w:val="left"/>
              <w:rPr>
                <w:rFonts w:ascii="宋体" w:hAnsi="宋体"/>
                <w:kern w:val="0"/>
                <w:szCs w:val="21"/>
              </w:rPr>
            </w:pPr>
            <w:r>
              <w:rPr>
                <w:kern w:val="0"/>
                <w:szCs w:val="21"/>
              </w:rPr>
              <w:t>3</w:t>
            </w:r>
            <w:r>
              <w:rPr>
                <w:rFonts w:hint="eastAsia" w:ascii="宋体" w:hAnsi="宋体"/>
                <w:kern w:val="0"/>
                <w:szCs w:val="21"/>
              </w:rPr>
              <w:t>、与甲方、使用单位的沟通不到位；</w:t>
            </w:r>
          </w:p>
          <w:p w14:paraId="315CF6CA">
            <w:pPr>
              <w:widowControl/>
              <w:jc w:val="left"/>
              <w:rPr>
                <w:kern w:val="0"/>
                <w:szCs w:val="21"/>
              </w:rPr>
            </w:pPr>
            <w:r>
              <w:rPr>
                <w:rFonts w:hint="eastAsia" w:ascii="宋体" w:hAnsi="宋体"/>
                <w:kern w:val="0"/>
                <w:szCs w:val="21"/>
              </w:rPr>
              <w:t>以上各项每发生一次扣</w:t>
            </w:r>
            <w:r>
              <w:rPr>
                <w:kern w:val="0"/>
                <w:szCs w:val="21"/>
              </w:rPr>
              <w:t>1</w:t>
            </w:r>
            <w:r>
              <w:rPr>
                <w:rFonts w:hint="eastAsia" w:ascii="宋体" w:hAnsi="宋体"/>
                <w:kern w:val="0"/>
                <w:szCs w:val="21"/>
              </w:rPr>
              <w:t>分。</w:t>
            </w:r>
          </w:p>
        </w:tc>
        <w:tc>
          <w:tcPr>
            <w:tcW w:w="992" w:type="dxa"/>
            <w:tcBorders>
              <w:top w:val="nil"/>
              <w:left w:val="nil"/>
              <w:bottom w:val="single" w:color="auto" w:sz="4" w:space="0"/>
              <w:right w:val="single" w:color="auto" w:sz="4" w:space="0"/>
            </w:tcBorders>
            <w:vAlign w:val="center"/>
          </w:tcPr>
          <w:p w14:paraId="28DF60CD">
            <w:pPr>
              <w:widowControl/>
              <w:jc w:val="center"/>
              <w:rPr>
                <w:kern w:val="0"/>
                <w:szCs w:val="21"/>
              </w:rPr>
            </w:pPr>
            <w:r>
              <w:rPr>
                <w:rFonts w:hint="eastAsia"/>
                <w:kern w:val="0"/>
                <w:szCs w:val="21"/>
              </w:rPr>
              <w:t>　</w:t>
            </w:r>
          </w:p>
        </w:tc>
      </w:tr>
      <w:tr w14:paraId="11637DFD">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00DAC5AC">
            <w:pPr>
              <w:widowControl/>
              <w:jc w:val="center"/>
              <w:rPr>
                <w:rFonts w:ascii="宋体" w:hAnsi="宋体" w:cs="宋体"/>
                <w:kern w:val="0"/>
                <w:szCs w:val="21"/>
              </w:rPr>
            </w:pPr>
            <w:r>
              <w:rPr>
                <w:rFonts w:hint="eastAsia" w:ascii="宋体" w:hAnsi="宋体" w:cs="宋体"/>
                <w:kern w:val="0"/>
                <w:szCs w:val="21"/>
              </w:rPr>
              <w:t>三</w:t>
            </w:r>
          </w:p>
        </w:tc>
        <w:tc>
          <w:tcPr>
            <w:tcW w:w="1278" w:type="dxa"/>
            <w:tcBorders>
              <w:top w:val="nil"/>
              <w:left w:val="nil"/>
              <w:bottom w:val="single" w:color="auto" w:sz="4" w:space="0"/>
              <w:right w:val="single" w:color="auto" w:sz="4" w:space="0"/>
            </w:tcBorders>
            <w:vAlign w:val="center"/>
          </w:tcPr>
          <w:p w14:paraId="54802CFD">
            <w:pPr>
              <w:widowControl/>
              <w:jc w:val="center"/>
              <w:rPr>
                <w:rFonts w:ascii="宋体" w:hAnsi="宋体" w:cs="宋体"/>
                <w:kern w:val="0"/>
                <w:szCs w:val="21"/>
              </w:rPr>
            </w:pPr>
            <w:r>
              <w:rPr>
                <w:rFonts w:hint="eastAsia" w:ascii="宋体" w:hAnsi="宋体" w:cs="宋体"/>
                <w:kern w:val="0"/>
                <w:szCs w:val="21"/>
              </w:rPr>
              <w:t>设计质量</w:t>
            </w:r>
          </w:p>
        </w:tc>
        <w:tc>
          <w:tcPr>
            <w:tcW w:w="709" w:type="dxa"/>
            <w:tcBorders>
              <w:top w:val="nil"/>
              <w:left w:val="nil"/>
              <w:bottom w:val="single" w:color="auto" w:sz="4" w:space="0"/>
              <w:right w:val="single" w:color="auto" w:sz="4" w:space="0"/>
            </w:tcBorders>
            <w:vAlign w:val="center"/>
          </w:tcPr>
          <w:p w14:paraId="440EBD0F">
            <w:pPr>
              <w:widowControl/>
              <w:jc w:val="center"/>
              <w:rPr>
                <w:rFonts w:ascii="仿宋_GB2312" w:hAnsi="宋体" w:eastAsia="仿宋_GB2312" w:cs="宋体"/>
                <w:kern w:val="0"/>
                <w:szCs w:val="21"/>
              </w:rPr>
            </w:pPr>
            <w:r>
              <w:rPr>
                <w:rFonts w:ascii="仿宋_GB2312" w:hAnsi="宋体" w:eastAsia="仿宋_GB2312" w:cs="宋体"/>
                <w:kern w:val="0"/>
                <w:szCs w:val="21"/>
              </w:rPr>
              <w:t>50</w:t>
            </w:r>
          </w:p>
        </w:tc>
        <w:tc>
          <w:tcPr>
            <w:tcW w:w="2551" w:type="dxa"/>
            <w:tcBorders>
              <w:top w:val="nil"/>
              <w:left w:val="nil"/>
              <w:bottom w:val="single" w:color="auto" w:sz="4" w:space="0"/>
              <w:right w:val="single" w:color="auto" w:sz="4" w:space="0"/>
            </w:tcBorders>
            <w:vAlign w:val="center"/>
          </w:tcPr>
          <w:p w14:paraId="427A31CD">
            <w:pPr>
              <w:widowControl/>
              <w:jc w:val="left"/>
              <w:rPr>
                <w:rFonts w:ascii="宋体" w:hAnsi="宋体" w:cs="宋体"/>
                <w:kern w:val="0"/>
                <w:szCs w:val="21"/>
              </w:rPr>
            </w:pPr>
            <w:r>
              <w:rPr>
                <w:rFonts w:hint="eastAsia" w:ascii="宋体" w:hAnsi="宋体" w:cs="宋体"/>
                <w:kern w:val="0"/>
                <w:szCs w:val="21"/>
              </w:rPr>
              <w:t>　</w:t>
            </w:r>
          </w:p>
        </w:tc>
        <w:tc>
          <w:tcPr>
            <w:tcW w:w="3261" w:type="dxa"/>
            <w:tcBorders>
              <w:top w:val="nil"/>
              <w:left w:val="nil"/>
              <w:bottom w:val="single" w:color="auto" w:sz="4" w:space="0"/>
              <w:right w:val="single" w:color="auto" w:sz="4" w:space="0"/>
            </w:tcBorders>
            <w:vAlign w:val="center"/>
          </w:tcPr>
          <w:p w14:paraId="77238A35">
            <w:pPr>
              <w:widowControl/>
              <w:jc w:val="left"/>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14:paraId="3D962C2F">
            <w:pPr>
              <w:widowControl/>
              <w:jc w:val="left"/>
              <w:rPr>
                <w:rFonts w:ascii="宋体" w:hAnsi="宋体" w:cs="宋体"/>
                <w:kern w:val="0"/>
                <w:szCs w:val="21"/>
              </w:rPr>
            </w:pPr>
            <w:r>
              <w:rPr>
                <w:rFonts w:hint="eastAsia" w:ascii="宋体" w:hAnsi="宋体" w:cs="宋体"/>
                <w:kern w:val="0"/>
                <w:szCs w:val="21"/>
              </w:rPr>
              <w:t>　</w:t>
            </w:r>
          </w:p>
        </w:tc>
      </w:tr>
      <w:tr w14:paraId="0352FE8A">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3C9692D8">
            <w:pPr>
              <w:widowControl/>
              <w:jc w:val="center"/>
              <w:rPr>
                <w:rFonts w:ascii="宋体" w:hAnsi="宋体" w:cs="宋体"/>
                <w:kern w:val="0"/>
                <w:szCs w:val="21"/>
              </w:rPr>
            </w:pPr>
            <w:r>
              <w:rPr>
                <w:rFonts w:ascii="宋体" w:hAnsi="宋体" w:cs="宋体"/>
                <w:kern w:val="0"/>
                <w:szCs w:val="21"/>
              </w:rPr>
              <w:t>1</w:t>
            </w:r>
          </w:p>
        </w:tc>
        <w:tc>
          <w:tcPr>
            <w:tcW w:w="1278" w:type="dxa"/>
            <w:tcBorders>
              <w:top w:val="nil"/>
              <w:left w:val="nil"/>
              <w:bottom w:val="single" w:color="auto" w:sz="4" w:space="0"/>
              <w:right w:val="single" w:color="auto" w:sz="4" w:space="0"/>
            </w:tcBorders>
            <w:vAlign w:val="center"/>
          </w:tcPr>
          <w:p w14:paraId="3256CDB6">
            <w:pPr>
              <w:widowControl/>
              <w:jc w:val="center"/>
              <w:rPr>
                <w:rFonts w:ascii="宋体" w:hAnsi="宋体" w:cs="宋体"/>
                <w:kern w:val="0"/>
                <w:szCs w:val="21"/>
              </w:rPr>
            </w:pPr>
            <w:r>
              <w:rPr>
                <w:rFonts w:hint="eastAsia" w:ascii="宋体" w:hAnsi="宋体" w:cs="宋体"/>
                <w:kern w:val="0"/>
                <w:szCs w:val="21"/>
              </w:rPr>
              <w:t>设计错误</w:t>
            </w:r>
          </w:p>
        </w:tc>
        <w:tc>
          <w:tcPr>
            <w:tcW w:w="709" w:type="dxa"/>
            <w:tcBorders>
              <w:top w:val="nil"/>
              <w:left w:val="nil"/>
              <w:bottom w:val="single" w:color="auto" w:sz="4" w:space="0"/>
              <w:right w:val="single" w:color="auto" w:sz="4" w:space="0"/>
            </w:tcBorders>
            <w:vAlign w:val="center"/>
          </w:tcPr>
          <w:p w14:paraId="69673296">
            <w:pPr>
              <w:widowControl/>
              <w:jc w:val="center"/>
              <w:rPr>
                <w:rFonts w:ascii="仿宋_GB2312" w:hAnsi="宋体" w:eastAsia="仿宋_GB2312" w:cs="宋体"/>
                <w:kern w:val="0"/>
                <w:szCs w:val="21"/>
              </w:rPr>
            </w:pPr>
            <w:r>
              <w:rPr>
                <w:rFonts w:ascii="仿宋_GB2312" w:hAnsi="宋体" w:eastAsia="仿宋_GB2312" w:cs="宋体"/>
                <w:kern w:val="0"/>
                <w:szCs w:val="21"/>
              </w:rPr>
              <w:t>20</w:t>
            </w:r>
          </w:p>
        </w:tc>
        <w:tc>
          <w:tcPr>
            <w:tcW w:w="2551" w:type="dxa"/>
            <w:tcBorders>
              <w:top w:val="nil"/>
              <w:left w:val="nil"/>
              <w:bottom w:val="single" w:color="auto" w:sz="4" w:space="0"/>
              <w:right w:val="single" w:color="auto" w:sz="4" w:space="0"/>
            </w:tcBorders>
            <w:vAlign w:val="center"/>
          </w:tcPr>
          <w:p w14:paraId="55B38FB6">
            <w:pPr>
              <w:widowControl/>
              <w:jc w:val="left"/>
              <w:rPr>
                <w:rFonts w:ascii="宋体" w:hAnsi="宋体" w:cs="宋体"/>
                <w:kern w:val="0"/>
                <w:szCs w:val="21"/>
              </w:rPr>
            </w:pPr>
            <w:r>
              <w:rPr>
                <w:rFonts w:hint="eastAsia" w:ascii="宋体" w:hAnsi="宋体" w:cs="宋体"/>
                <w:kern w:val="0"/>
                <w:szCs w:val="21"/>
              </w:rPr>
              <w:t>施工图审查过程中是否出现Ⅰ类错误、Ⅱ类错误、Ⅲ类错误、Ⅳ类错误（分类详见附件六）</w:t>
            </w:r>
          </w:p>
        </w:tc>
        <w:tc>
          <w:tcPr>
            <w:tcW w:w="3261" w:type="dxa"/>
            <w:tcBorders>
              <w:top w:val="nil"/>
              <w:left w:val="nil"/>
              <w:bottom w:val="single" w:color="auto" w:sz="4" w:space="0"/>
              <w:right w:val="single" w:color="auto" w:sz="4" w:space="0"/>
            </w:tcBorders>
            <w:vAlign w:val="center"/>
          </w:tcPr>
          <w:p w14:paraId="2E34F00A">
            <w:pPr>
              <w:widowControl/>
              <w:jc w:val="left"/>
              <w:rPr>
                <w:rFonts w:ascii="宋体" w:hAnsi="宋体" w:cs="宋体"/>
                <w:kern w:val="0"/>
                <w:szCs w:val="21"/>
              </w:rPr>
            </w:pPr>
            <w:r>
              <w:rPr>
                <w:rFonts w:hint="eastAsia" w:ascii="宋体" w:hAnsi="宋体" w:cs="宋体"/>
                <w:kern w:val="0"/>
                <w:szCs w:val="21"/>
              </w:rPr>
              <w:t>每出现Ⅰ类问题的一项一次扣</w:t>
            </w:r>
            <w:r>
              <w:rPr>
                <w:rFonts w:ascii="宋体" w:hAnsi="宋体" w:cs="宋体"/>
                <w:kern w:val="0"/>
                <w:szCs w:val="21"/>
              </w:rPr>
              <w:t>4分；</w:t>
            </w:r>
          </w:p>
          <w:p w14:paraId="2D766E52">
            <w:pPr>
              <w:widowControl/>
              <w:jc w:val="left"/>
              <w:rPr>
                <w:rFonts w:ascii="宋体" w:hAnsi="宋体" w:cs="宋体"/>
                <w:kern w:val="0"/>
                <w:szCs w:val="21"/>
              </w:rPr>
            </w:pPr>
            <w:r>
              <w:rPr>
                <w:rFonts w:hint="eastAsia" w:ascii="宋体" w:hAnsi="宋体" w:cs="宋体"/>
                <w:kern w:val="0"/>
                <w:szCs w:val="21"/>
              </w:rPr>
              <w:t>每出现Ⅱ类问题的一项一次扣</w:t>
            </w:r>
            <w:r>
              <w:rPr>
                <w:rFonts w:ascii="宋体" w:hAnsi="宋体" w:cs="宋体"/>
                <w:kern w:val="0"/>
                <w:szCs w:val="21"/>
              </w:rPr>
              <w:t>3分；</w:t>
            </w:r>
          </w:p>
          <w:p w14:paraId="5C50292A">
            <w:pPr>
              <w:widowControl/>
              <w:jc w:val="left"/>
              <w:rPr>
                <w:rFonts w:ascii="宋体" w:hAnsi="宋体" w:cs="宋体"/>
                <w:kern w:val="0"/>
                <w:szCs w:val="21"/>
              </w:rPr>
            </w:pPr>
            <w:r>
              <w:rPr>
                <w:rFonts w:hint="eastAsia" w:ascii="宋体" w:hAnsi="宋体" w:cs="宋体"/>
                <w:kern w:val="0"/>
                <w:szCs w:val="21"/>
              </w:rPr>
              <w:t>每出现Ⅲ类问题的一项一次扣</w:t>
            </w:r>
            <w:r>
              <w:rPr>
                <w:rFonts w:ascii="宋体" w:hAnsi="宋体" w:cs="宋体"/>
                <w:kern w:val="0"/>
                <w:szCs w:val="21"/>
              </w:rPr>
              <w:t>2分；</w:t>
            </w:r>
          </w:p>
          <w:p w14:paraId="62A8EE3D">
            <w:pPr>
              <w:widowControl/>
              <w:jc w:val="left"/>
              <w:rPr>
                <w:rFonts w:ascii="宋体" w:hAnsi="宋体" w:cs="宋体"/>
                <w:kern w:val="0"/>
                <w:szCs w:val="21"/>
              </w:rPr>
            </w:pPr>
            <w:r>
              <w:rPr>
                <w:rFonts w:hint="eastAsia" w:ascii="宋体" w:hAnsi="宋体" w:cs="宋体"/>
                <w:kern w:val="0"/>
                <w:szCs w:val="21"/>
              </w:rPr>
              <w:t>每出现Ⅳ类问题的满五项一次扣</w:t>
            </w:r>
            <w:r>
              <w:rPr>
                <w:rFonts w:ascii="宋体" w:hAnsi="宋体" w:cs="宋体"/>
                <w:kern w:val="0"/>
                <w:szCs w:val="21"/>
              </w:rPr>
              <w:t>1分</w:t>
            </w:r>
          </w:p>
        </w:tc>
        <w:tc>
          <w:tcPr>
            <w:tcW w:w="992" w:type="dxa"/>
            <w:tcBorders>
              <w:top w:val="nil"/>
              <w:left w:val="nil"/>
              <w:bottom w:val="single" w:color="auto" w:sz="4" w:space="0"/>
              <w:right w:val="single" w:color="auto" w:sz="4" w:space="0"/>
            </w:tcBorders>
            <w:vAlign w:val="center"/>
          </w:tcPr>
          <w:p w14:paraId="064C2A2C">
            <w:pPr>
              <w:widowControl/>
              <w:jc w:val="center"/>
              <w:rPr>
                <w:rFonts w:ascii="宋体" w:hAnsi="宋体" w:cs="宋体"/>
                <w:kern w:val="0"/>
                <w:szCs w:val="21"/>
              </w:rPr>
            </w:pPr>
          </w:p>
        </w:tc>
      </w:tr>
      <w:tr w14:paraId="5B75502C">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4E7B1084">
            <w:pPr>
              <w:widowControl/>
              <w:jc w:val="center"/>
              <w:rPr>
                <w:rFonts w:ascii="宋体" w:hAnsi="宋体" w:cs="宋体"/>
                <w:kern w:val="0"/>
                <w:szCs w:val="21"/>
              </w:rPr>
            </w:pPr>
            <w:r>
              <w:rPr>
                <w:rFonts w:ascii="宋体" w:hAnsi="宋体" w:cs="宋体"/>
                <w:kern w:val="0"/>
                <w:szCs w:val="21"/>
              </w:rPr>
              <w:t>2</w:t>
            </w:r>
          </w:p>
        </w:tc>
        <w:tc>
          <w:tcPr>
            <w:tcW w:w="1278" w:type="dxa"/>
            <w:tcBorders>
              <w:top w:val="nil"/>
              <w:left w:val="nil"/>
              <w:bottom w:val="single" w:color="auto" w:sz="4" w:space="0"/>
              <w:right w:val="single" w:color="auto" w:sz="4" w:space="0"/>
            </w:tcBorders>
            <w:vAlign w:val="center"/>
          </w:tcPr>
          <w:p w14:paraId="6A74E7FA">
            <w:pPr>
              <w:widowControl/>
              <w:jc w:val="center"/>
              <w:rPr>
                <w:rFonts w:ascii="宋体" w:hAnsi="宋体" w:cs="宋体"/>
                <w:kern w:val="0"/>
                <w:szCs w:val="21"/>
              </w:rPr>
            </w:pPr>
            <w:r>
              <w:rPr>
                <w:rFonts w:hint="eastAsia" w:ascii="宋体" w:hAnsi="宋体" w:cs="宋体"/>
                <w:kern w:val="0"/>
                <w:szCs w:val="21"/>
              </w:rPr>
              <w:t>限额设计</w:t>
            </w:r>
          </w:p>
        </w:tc>
        <w:tc>
          <w:tcPr>
            <w:tcW w:w="709" w:type="dxa"/>
            <w:tcBorders>
              <w:top w:val="nil"/>
              <w:left w:val="nil"/>
              <w:bottom w:val="single" w:color="auto" w:sz="4" w:space="0"/>
              <w:right w:val="single" w:color="auto" w:sz="4" w:space="0"/>
            </w:tcBorders>
            <w:vAlign w:val="center"/>
          </w:tcPr>
          <w:p w14:paraId="469D380D">
            <w:pPr>
              <w:widowControl/>
              <w:jc w:val="center"/>
              <w:rPr>
                <w:rFonts w:ascii="仿宋_GB2312" w:hAnsi="宋体" w:eastAsia="仿宋_GB2312" w:cs="宋体"/>
                <w:kern w:val="0"/>
                <w:szCs w:val="21"/>
              </w:rPr>
            </w:pPr>
            <w:r>
              <w:rPr>
                <w:rFonts w:ascii="仿宋_GB2312" w:hAnsi="宋体" w:eastAsia="仿宋_GB2312" w:cs="宋体"/>
                <w:kern w:val="0"/>
                <w:szCs w:val="21"/>
              </w:rPr>
              <w:t>30</w:t>
            </w:r>
          </w:p>
        </w:tc>
        <w:tc>
          <w:tcPr>
            <w:tcW w:w="2551" w:type="dxa"/>
            <w:tcBorders>
              <w:top w:val="nil"/>
              <w:left w:val="nil"/>
              <w:bottom w:val="single" w:color="auto" w:sz="4" w:space="0"/>
              <w:right w:val="single" w:color="auto" w:sz="4" w:space="0"/>
            </w:tcBorders>
            <w:vAlign w:val="center"/>
          </w:tcPr>
          <w:p w14:paraId="5CD76B4D">
            <w:pPr>
              <w:widowControl/>
              <w:jc w:val="left"/>
              <w:rPr>
                <w:rFonts w:ascii="宋体" w:hAnsi="宋体" w:cs="宋体"/>
                <w:kern w:val="0"/>
                <w:szCs w:val="21"/>
              </w:rPr>
            </w:pPr>
            <w:r>
              <w:rPr>
                <w:rFonts w:hint="eastAsia" w:ascii="宋体" w:hAnsi="宋体" w:cs="宋体"/>
                <w:kern w:val="0"/>
                <w:szCs w:val="21"/>
              </w:rPr>
              <w:t>是否按合同要求进行限额设计</w:t>
            </w:r>
          </w:p>
        </w:tc>
        <w:tc>
          <w:tcPr>
            <w:tcW w:w="3261" w:type="dxa"/>
            <w:tcBorders>
              <w:top w:val="nil"/>
              <w:left w:val="nil"/>
              <w:bottom w:val="single" w:color="auto" w:sz="4" w:space="0"/>
              <w:right w:val="single" w:color="auto" w:sz="4" w:space="0"/>
            </w:tcBorders>
            <w:vAlign w:val="center"/>
          </w:tcPr>
          <w:p w14:paraId="6FACC733">
            <w:pPr>
              <w:widowControl/>
              <w:jc w:val="left"/>
              <w:rPr>
                <w:rFonts w:ascii="宋体" w:hAnsi="宋体" w:cs="宋体"/>
                <w:kern w:val="0"/>
                <w:szCs w:val="21"/>
              </w:rPr>
            </w:pPr>
            <w:r>
              <w:rPr>
                <w:rFonts w:hint="eastAsia" w:ascii="宋体" w:hAnsi="宋体" w:cs="宋体"/>
                <w:kern w:val="0"/>
                <w:szCs w:val="21"/>
              </w:rPr>
              <w:t>编制的施工图预算由于设计原因</w:t>
            </w:r>
          </w:p>
          <w:p w14:paraId="62659E44">
            <w:pPr>
              <w:widowControl/>
              <w:jc w:val="left"/>
              <w:rPr>
                <w:rFonts w:ascii="宋体" w:hAnsi="宋体" w:cs="宋体"/>
                <w:kern w:val="0"/>
                <w:szCs w:val="21"/>
              </w:rPr>
            </w:pPr>
            <w:r>
              <w:rPr>
                <w:rFonts w:hint="eastAsia" w:ascii="宋体" w:hAnsi="宋体" w:cs="宋体"/>
                <w:kern w:val="0"/>
                <w:szCs w:val="21"/>
              </w:rPr>
              <w:t>造成建安工程费超出经发改部门批复的初步设计概算，每超出</w:t>
            </w:r>
            <w:r>
              <w:rPr>
                <w:rFonts w:ascii="宋体" w:hAnsi="宋体" w:cs="宋体"/>
                <w:kern w:val="0"/>
                <w:szCs w:val="21"/>
              </w:rPr>
              <w:t>1%扣2分。</w:t>
            </w:r>
          </w:p>
        </w:tc>
        <w:tc>
          <w:tcPr>
            <w:tcW w:w="992" w:type="dxa"/>
            <w:tcBorders>
              <w:top w:val="nil"/>
              <w:left w:val="nil"/>
              <w:bottom w:val="single" w:color="auto" w:sz="4" w:space="0"/>
              <w:right w:val="single" w:color="auto" w:sz="4" w:space="0"/>
            </w:tcBorders>
            <w:vAlign w:val="center"/>
          </w:tcPr>
          <w:p w14:paraId="773557DB">
            <w:pPr>
              <w:widowControl/>
              <w:jc w:val="center"/>
              <w:rPr>
                <w:rFonts w:ascii="宋体" w:hAnsi="宋体" w:cs="宋体"/>
                <w:kern w:val="0"/>
                <w:szCs w:val="21"/>
              </w:rPr>
            </w:pPr>
          </w:p>
        </w:tc>
      </w:tr>
      <w:tr w14:paraId="45A3301B">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3307F517">
            <w:pPr>
              <w:widowControl/>
              <w:jc w:val="center"/>
              <w:rPr>
                <w:rFonts w:ascii="宋体" w:hAnsi="宋体" w:cs="宋体"/>
                <w:kern w:val="0"/>
                <w:szCs w:val="21"/>
              </w:rPr>
            </w:pPr>
            <w:r>
              <w:rPr>
                <w:rFonts w:hint="eastAsia" w:ascii="宋体" w:hAnsi="宋体" w:cs="宋体"/>
                <w:kern w:val="0"/>
                <w:szCs w:val="21"/>
              </w:rPr>
              <w:t>四</w:t>
            </w:r>
          </w:p>
        </w:tc>
        <w:tc>
          <w:tcPr>
            <w:tcW w:w="1278" w:type="dxa"/>
            <w:tcBorders>
              <w:top w:val="nil"/>
              <w:left w:val="nil"/>
              <w:bottom w:val="single" w:color="auto" w:sz="4" w:space="0"/>
              <w:right w:val="single" w:color="auto" w:sz="4" w:space="0"/>
            </w:tcBorders>
            <w:vAlign w:val="center"/>
          </w:tcPr>
          <w:p w14:paraId="63FA2740">
            <w:pPr>
              <w:widowControl/>
              <w:jc w:val="center"/>
              <w:rPr>
                <w:rFonts w:ascii="宋体" w:hAnsi="宋体" w:cs="宋体"/>
                <w:kern w:val="0"/>
                <w:szCs w:val="21"/>
              </w:rPr>
            </w:pPr>
            <w:r>
              <w:rPr>
                <w:rFonts w:hint="eastAsia" w:ascii="宋体" w:hAnsi="宋体" w:cs="宋体"/>
                <w:kern w:val="0"/>
                <w:szCs w:val="21"/>
              </w:rPr>
              <w:t>设计进度</w:t>
            </w:r>
          </w:p>
        </w:tc>
        <w:tc>
          <w:tcPr>
            <w:tcW w:w="709" w:type="dxa"/>
            <w:tcBorders>
              <w:top w:val="nil"/>
              <w:left w:val="nil"/>
              <w:bottom w:val="single" w:color="auto" w:sz="4" w:space="0"/>
              <w:right w:val="single" w:color="auto" w:sz="4" w:space="0"/>
            </w:tcBorders>
            <w:vAlign w:val="center"/>
          </w:tcPr>
          <w:p w14:paraId="366C64F3">
            <w:pPr>
              <w:widowControl/>
              <w:jc w:val="center"/>
              <w:rPr>
                <w:rFonts w:ascii="仿宋_GB2312" w:hAnsi="宋体" w:eastAsia="仿宋_GB2312" w:cs="宋体"/>
                <w:kern w:val="0"/>
                <w:szCs w:val="21"/>
              </w:rPr>
            </w:pPr>
            <w:r>
              <w:rPr>
                <w:rFonts w:ascii="仿宋_GB2312" w:hAnsi="宋体" w:eastAsia="仿宋_GB2312" w:cs="宋体"/>
                <w:kern w:val="0"/>
                <w:szCs w:val="21"/>
              </w:rPr>
              <w:t>20</w:t>
            </w:r>
          </w:p>
        </w:tc>
        <w:tc>
          <w:tcPr>
            <w:tcW w:w="2551" w:type="dxa"/>
            <w:tcBorders>
              <w:top w:val="nil"/>
              <w:left w:val="nil"/>
              <w:bottom w:val="single" w:color="auto" w:sz="4" w:space="0"/>
              <w:right w:val="single" w:color="auto" w:sz="4" w:space="0"/>
            </w:tcBorders>
            <w:vAlign w:val="center"/>
          </w:tcPr>
          <w:p w14:paraId="659D6864">
            <w:pPr>
              <w:widowControl/>
              <w:jc w:val="left"/>
              <w:rPr>
                <w:rFonts w:ascii="宋体" w:hAnsi="宋体" w:cs="宋体"/>
                <w:kern w:val="0"/>
                <w:szCs w:val="21"/>
              </w:rPr>
            </w:pPr>
            <w:r>
              <w:rPr>
                <w:rFonts w:hint="eastAsia" w:ascii="宋体" w:hAnsi="宋体" w:cs="宋体"/>
                <w:kern w:val="0"/>
                <w:szCs w:val="21"/>
              </w:rPr>
              <w:t>　</w:t>
            </w:r>
          </w:p>
        </w:tc>
        <w:tc>
          <w:tcPr>
            <w:tcW w:w="3261" w:type="dxa"/>
            <w:tcBorders>
              <w:top w:val="nil"/>
              <w:left w:val="nil"/>
              <w:bottom w:val="single" w:color="auto" w:sz="4" w:space="0"/>
              <w:right w:val="single" w:color="auto" w:sz="4" w:space="0"/>
            </w:tcBorders>
            <w:vAlign w:val="center"/>
          </w:tcPr>
          <w:p w14:paraId="37E85CC3">
            <w:pPr>
              <w:widowControl/>
              <w:jc w:val="left"/>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14:paraId="4E012E29">
            <w:pPr>
              <w:widowControl/>
              <w:jc w:val="left"/>
              <w:rPr>
                <w:rFonts w:ascii="宋体" w:hAnsi="宋体" w:cs="宋体"/>
                <w:kern w:val="0"/>
                <w:szCs w:val="21"/>
              </w:rPr>
            </w:pPr>
            <w:r>
              <w:rPr>
                <w:rFonts w:hint="eastAsia" w:ascii="宋体" w:hAnsi="宋体" w:cs="宋体"/>
                <w:kern w:val="0"/>
                <w:szCs w:val="21"/>
              </w:rPr>
              <w:t>　</w:t>
            </w:r>
          </w:p>
        </w:tc>
      </w:tr>
      <w:tr w14:paraId="333121F7">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047E7004">
            <w:pPr>
              <w:widowControl/>
              <w:jc w:val="center"/>
              <w:rPr>
                <w:rFonts w:ascii="宋体" w:hAnsi="宋体" w:cs="宋体"/>
                <w:kern w:val="0"/>
                <w:szCs w:val="21"/>
              </w:rPr>
            </w:pPr>
            <w:r>
              <w:rPr>
                <w:rFonts w:ascii="宋体" w:hAnsi="宋体" w:cs="宋体"/>
                <w:kern w:val="0"/>
                <w:szCs w:val="21"/>
              </w:rPr>
              <w:t>1</w:t>
            </w:r>
          </w:p>
        </w:tc>
        <w:tc>
          <w:tcPr>
            <w:tcW w:w="1278" w:type="dxa"/>
            <w:tcBorders>
              <w:top w:val="nil"/>
              <w:left w:val="nil"/>
              <w:bottom w:val="single" w:color="auto" w:sz="4" w:space="0"/>
              <w:right w:val="single" w:color="auto" w:sz="4" w:space="0"/>
            </w:tcBorders>
            <w:vAlign w:val="center"/>
          </w:tcPr>
          <w:p w14:paraId="5E12AF4D">
            <w:pPr>
              <w:widowControl/>
              <w:jc w:val="center"/>
              <w:rPr>
                <w:rFonts w:ascii="宋体" w:hAnsi="宋体" w:cs="宋体"/>
                <w:kern w:val="0"/>
                <w:szCs w:val="21"/>
              </w:rPr>
            </w:pPr>
            <w:r>
              <w:rPr>
                <w:rFonts w:hint="eastAsia" w:ascii="宋体" w:hAnsi="宋体" w:cs="宋体"/>
                <w:kern w:val="0"/>
                <w:szCs w:val="21"/>
              </w:rPr>
              <w:t>设计进度</w:t>
            </w:r>
          </w:p>
        </w:tc>
        <w:tc>
          <w:tcPr>
            <w:tcW w:w="709" w:type="dxa"/>
            <w:tcBorders>
              <w:top w:val="nil"/>
              <w:left w:val="nil"/>
              <w:bottom w:val="single" w:color="auto" w:sz="4" w:space="0"/>
              <w:right w:val="single" w:color="auto" w:sz="4" w:space="0"/>
            </w:tcBorders>
            <w:vAlign w:val="center"/>
          </w:tcPr>
          <w:p w14:paraId="164C45E6">
            <w:pPr>
              <w:widowControl/>
              <w:jc w:val="center"/>
              <w:rPr>
                <w:rFonts w:ascii="仿宋_GB2312" w:hAnsi="宋体" w:eastAsia="仿宋_GB2312" w:cs="宋体"/>
                <w:kern w:val="0"/>
                <w:szCs w:val="21"/>
              </w:rPr>
            </w:pPr>
            <w:r>
              <w:rPr>
                <w:rFonts w:ascii="仿宋_GB2312" w:hAnsi="宋体" w:eastAsia="仿宋_GB2312" w:cs="宋体"/>
                <w:kern w:val="0"/>
                <w:szCs w:val="21"/>
              </w:rPr>
              <w:t>20</w:t>
            </w:r>
          </w:p>
        </w:tc>
        <w:tc>
          <w:tcPr>
            <w:tcW w:w="2551" w:type="dxa"/>
            <w:tcBorders>
              <w:top w:val="nil"/>
              <w:left w:val="nil"/>
              <w:bottom w:val="single" w:color="auto" w:sz="4" w:space="0"/>
              <w:right w:val="single" w:color="auto" w:sz="4" w:space="0"/>
            </w:tcBorders>
            <w:vAlign w:val="center"/>
          </w:tcPr>
          <w:p w14:paraId="1F26C395">
            <w:pPr>
              <w:widowControl/>
              <w:jc w:val="left"/>
              <w:rPr>
                <w:rFonts w:ascii="宋体" w:hAnsi="宋体" w:cs="宋体"/>
                <w:kern w:val="0"/>
                <w:szCs w:val="21"/>
              </w:rPr>
            </w:pPr>
            <w:r>
              <w:rPr>
                <w:rFonts w:hint="eastAsia" w:ascii="宋体" w:hAnsi="宋体" w:cs="宋体"/>
                <w:kern w:val="0"/>
                <w:szCs w:val="21"/>
              </w:rPr>
              <w:t>是否按照合同、会议纪要、通知、函件等对进度的要求完成各项工作；能否按期完成甲方交办的其它相关工作</w:t>
            </w:r>
          </w:p>
        </w:tc>
        <w:tc>
          <w:tcPr>
            <w:tcW w:w="3261" w:type="dxa"/>
            <w:tcBorders>
              <w:top w:val="nil"/>
              <w:left w:val="nil"/>
              <w:bottom w:val="single" w:color="auto" w:sz="4" w:space="0"/>
              <w:right w:val="single" w:color="auto" w:sz="4" w:space="0"/>
            </w:tcBorders>
            <w:vAlign w:val="center"/>
          </w:tcPr>
          <w:p w14:paraId="709AF3AD">
            <w:pPr>
              <w:widowControl/>
              <w:jc w:val="left"/>
              <w:rPr>
                <w:rFonts w:ascii="宋体" w:hAnsi="宋体" w:cs="宋体"/>
                <w:kern w:val="0"/>
                <w:szCs w:val="21"/>
              </w:rPr>
            </w:pPr>
            <w:r>
              <w:rPr>
                <w:rFonts w:hint="eastAsia" w:ascii="宋体" w:hAnsi="宋体" w:cs="宋体"/>
                <w:kern w:val="0"/>
                <w:szCs w:val="21"/>
              </w:rPr>
              <w:t>因乙方原因，每延误一天扣</w:t>
            </w:r>
            <w:r>
              <w:rPr>
                <w:rFonts w:ascii="宋体" w:hAnsi="宋体" w:cs="宋体"/>
                <w:kern w:val="0"/>
                <w:szCs w:val="21"/>
              </w:rPr>
              <w:t>1分。</w:t>
            </w:r>
          </w:p>
        </w:tc>
        <w:tc>
          <w:tcPr>
            <w:tcW w:w="992" w:type="dxa"/>
            <w:tcBorders>
              <w:top w:val="nil"/>
              <w:left w:val="nil"/>
              <w:bottom w:val="single" w:color="auto" w:sz="4" w:space="0"/>
              <w:right w:val="single" w:color="auto" w:sz="4" w:space="0"/>
            </w:tcBorders>
            <w:vAlign w:val="center"/>
          </w:tcPr>
          <w:p w14:paraId="7A945CFE">
            <w:pPr>
              <w:widowControl/>
              <w:jc w:val="left"/>
              <w:rPr>
                <w:rFonts w:ascii="宋体" w:hAnsi="宋体" w:cs="宋体"/>
                <w:kern w:val="0"/>
                <w:szCs w:val="21"/>
              </w:rPr>
            </w:pPr>
            <w:r>
              <w:rPr>
                <w:rFonts w:hint="eastAsia" w:ascii="宋体" w:hAnsi="宋体" w:cs="宋体"/>
                <w:kern w:val="0"/>
                <w:szCs w:val="21"/>
              </w:rPr>
              <w:t>　</w:t>
            </w:r>
          </w:p>
        </w:tc>
      </w:tr>
      <w:tr w14:paraId="6B19770A">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2789C4A2">
            <w:pPr>
              <w:widowControl/>
              <w:jc w:val="center"/>
              <w:rPr>
                <w:rFonts w:ascii="宋体" w:hAnsi="宋体" w:cs="宋体"/>
                <w:kern w:val="0"/>
                <w:szCs w:val="21"/>
              </w:rPr>
            </w:pPr>
            <w:r>
              <w:rPr>
                <w:rFonts w:hint="eastAsia" w:ascii="宋体" w:hAnsi="宋体" w:cs="宋体"/>
                <w:kern w:val="0"/>
                <w:szCs w:val="21"/>
              </w:rPr>
              <w:t>五</w:t>
            </w:r>
          </w:p>
        </w:tc>
        <w:tc>
          <w:tcPr>
            <w:tcW w:w="1278" w:type="dxa"/>
            <w:tcBorders>
              <w:top w:val="nil"/>
              <w:left w:val="nil"/>
              <w:bottom w:val="single" w:color="auto" w:sz="4" w:space="0"/>
              <w:right w:val="single" w:color="auto" w:sz="4" w:space="0"/>
            </w:tcBorders>
            <w:vAlign w:val="center"/>
          </w:tcPr>
          <w:p w14:paraId="4DE56286">
            <w:pPr>
              <w:widowControl/>
              <w:jc w:val="center"/>
              <w:rPr>
                <w:rFonts w:ascii="宋体" w:hAnsi="宋体" w:cs="宋体"/>
                <w:kern w:val="0"/>
                <w:szCs w:val="21"/>
              </w:rPr>
            </w:pPr>
            <w:r>
              <w:rPr>
                <w:rFonts w:hint="eastAsia" w:ascii="宋体" w:hAnsi="宋体" w:cs="宋体"/>
                <w:kern w:val="0"/>
                <w:szCs w:val="21"/>
              </w:rPr>
              <w:t>设计配合</w:t>
            </w:r>
          </w:p>
        </w:tc>
        <w:tc>
          <w:tcPr>
            <w:tcW w:w="709" w:type="dxa"/>
            <w:tcBorders>
              <w:top w:val="nil"/>
              <w:left w:val="nil"/>
              <w:bottom w:val="single" w:color="auto" w:sz="4" w:space="0"/>
              <w:right w:val="single" w:color="auto" w:sz="4" w:space="0"/>
            </w:tcBorders>
            <w:vAlign w:val="center"/>
          </w:tcPr>
          <w:p w14:paraId="41E7D577">
            <w:pPr>
              <w:widowControl/>
              <w:jc w:val="center"/>
              <w:rPr>
                <w:rFonts w:ascii="仿宋_GB2312" w:hAnsi="宋体" w:eastAsia="仿宋_GB2312" w:cs="宋体"/>
                <w:kern w:val="0"/>
                <w:szCs w:val="21"/>
              </w:rPr>
            </w:pPr>
            <w:r>
              <w:rPr>
                <w:rFonts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60497F54">
            <w:pPr>
              <w:widowControl/>
              <w:jc w:val="left"/>
              <w:rPr>
                <w:rFonts w:ascii="宋体" w:hAnsi="宋体" w:cs="宋体"/>
                <w:kern w:val="0"/>
                <w:szCs w:val="21"/>
              </w:rPr>
            </w:pPr>
            <w:r>
              <w:rPr>
                <w:rFonts w:hint="eastAsia" w:ascii="宋体" w:hAnsi="宋体" w:cs="宋体"/>
                <w:kern w:val="0"/>
                <w:szCs w:val="21"/>
              </w:rPr>
              <w:t>　</w:t>
            </w:r>
          </w:p>
        </w:tc>
        <w:tc>
          <w:tcPr>
            <w:tcW w:w="3261" w:type="dxa"/>
            <w:tcBorders>
              <w:top w:val="nil"/>
              <w:left w:val="nil"/>
              <w:bottom w:val="single" w:color="auto" w:sz="4" w:space="0"/>
              <w:right w:val="single" w:color="auto" w:sz="4" w:space="0"/>
            </w:tcBorders>
            <w:vAlign w:val="center"/>
          </w:tcPr>
          <w:p w14:paraId="09769DD9">
            <w:pPr>
              <w:widowControl/>
              <w:jc w:val="left"/>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14:paraId="031A7D27">
            <w:pPr>
              <w:widowControl/>
              <w:jc w:val="left"/>
              <w:rPr>
                <w:rFonts w:ascii="宋体" w:hAnsi="宋体" w:cs="宋体"/>
                <w:kern w:val="0"/>
                <w:szCs w:val="21"/>
              </w:rPr>
            </w:pPr>
            <w:r>
              <w:rPr>
                <w:rFonts w:hint="eastAsia" w:ascii="宋体" w:hAnsi="宋体" w:cs="宋体"/>
                <w:kern w:val="0"/>
                <w:szCs w:val="21"/>
              </w:rPr>
              <w:t>　</w:t>
            </w:r>
          </w:p>
        </w:tc>
      </w:tr>
      <w:tr w14:paraId="40C377BB">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3E133B80">
            <w:pPr>
              <w:widowControl/>
              <w:jc w:val="center"/>
              <w:rPr>
                <w:rFonts w:ascii="宋体" w:hAnsi="宋体" w:cs="宋体"/>
                <w:kern w:val="0"/>
                <w:szCs w:val="21"/>
              </w:rPr>
            </w:pPr>
            <w:r>
              <w:rPr>
                <w:rFonts w:ascii="宋体" w:hAnsi="宋体" w:cs="宋体"/>
                <w:kern w:val="0"/>
                <w:szCs w:val="21"/>
              </w:rPr>
              <w:t>1</w:t>
            </w:r>
          </w:p>
        </w:tc>
        <w:tc>
          <w:tcPr>
            <w:tcW w:w="1278" w:type="dxa"/>
            <w:tcBorders>
              <w:top w:val="nil"/>
              <w:left w:val="nil"/>
              <w:bottom w:val="single" w:color="auto" w:sz="4" w:space="0"/>
              <w:right w:val="single" w:color="auto" w:sz="4" w:space="0"/>
            </w:tcBorders>
            <w:vAlign w:val="center"/>
          </w:tcPr>
          <w:p w14:paraId="20486D3B">
            <w:pPr>
              <w:widowControl/>
              <w:jc w:val="center"/>
              <w:rPr>
                <w:rFonts w:ascii="宋体" w:hAnsi="宋体" w:cs="宋体"/>
                <w:kern w:val="0"/>
                <w:szCs w:val="21"/>
              </w:rPr>
            </w:pPr>
            <w:r>
              <w:rPr>
                <w:rFonts w:hint="eastAsia" w:ascii="宋体" w:hAnsi="宋体" w:cs="宋体"/>
                <w:kern w:val="0"/>
                <w:szCs w:val="21"/>
              </w:rPr>
              <w:t>设计配合</w:t>
            </w:r>
          </w:p>
        </w:tc>
        <w:tc>
          <w:tcPr>
            <w:tcW w:w="709" w:type="dxa"/>
            <w:tcBorders>
              <w:top w:val="nil"/>
              <w:left w:val="nil"/>
              <w:bottom w:val="single" w:color="auto" w:sz="4" w:space="0"/>
              <w:right w:val="single" w:color="auto" w:sz="4" w:space="0"/>
            </w:tcBorders>
            <w:vAlign w:val="center"/>
          </w:tcPr>
          <w:p w14:paraId="79D56888">
            <w:pPr>
              <w:widowControl/>
              <w:jc w:val="center"/>
              <w:rPr>
                <w:rFonts w:ascii="仿宋_GB2312" w:hAnsi="宋体" w:eastAsia="仿宋_GB2312" w:cs="宋体"/>
                <w:kern w:val="0"/>
                <w:szCs w:val="21"/>
              </w:rPr>
            </w:pPr>
            <w:r>
              <w:rPr>
                <w:rFonts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14AC41D5">
            <w:pPr>
              <w:widowControl/>
              <w:jc w:val="left"/>
              <w:rPr>
                <w:rFonts w:ascii="宋体" w:hAnsi="宋体" w:cs="宋体"/>
                <w:kern w:val="0"/>
                <w:szCs w:val="21"/>
              </w:rPr>
            </w:pPr>
            <w:r>
              <w:rPr>
                <w:rFonts w:hint="eastAsia" w:ascii="宋体" w:hAnsi="宋体" w:cs="宋体"/>
                <w:kern w:val="0"/>
                <w:szCs w:val="21"/>
              </w:rPr>
              <w:t>能否按合同及甲方要求及时协调配合甲方、专项设计单位及其它相关部门的工作；是否具有较强的沟通协调能力</w:t>
            </w:r>
          </w:p>
        </w:tc>
        <w:tc>
          <w:tcPr>
            <w:tcW w:w="3261" w:type="dxa"/>
            <w:tcBorders>
              <w:top w:val="nil"/>
              <w:left w:val="nil"/>
              <w:bottom w:val="single" w:color="auto" w:sz="4" w:space="0"/>
              <w:right w:val="single" w:color="auto" w:sz="4" w:space="0"/>
            </w:tcBorders>
            <w:vAlign w:val="center"/>
          </w:tcPr>
          <w:p w14:paraId="647BFD2B">
            <w:pPr>
              <w:widowControl/>
              <w:jc w:val="left"/>
              <w:rPr>
                <w:rFonts w:ascii="宋体" w:hAnsi="宋体" w:cs="宋体"/>
                <w:kern w:val="0"/>
                <w:szCs w:val="21"/>
              </w:rPr>
            </w:pPr>
            <w:r>
              <w:rPr>
                <w:rFonts w:hint="eastAsia" w:ascii="宋体" w:hAnsi="宋体" w:cs="宋体"/>
                <w:kern w:val="0"/>
                <w:szCs w:val="21"/>
              </w:rPr>
              <w:t>好：得</w:t>
            </w:r>
            <w:r>
              <w:rPr>
                <w:rFonts w:ascii="宋体" w:hAnsi="宋体" w:cs="宋体"/>
                <w:kern w:val="0"/>
                <w:szCs w:val="21"/>
              </w:rPr>
              <w:t>10分</w:t>
            </w:r>
          </w:p>
          <w:p w14:paraId="0381C873">
            <w:pPr>
              <w:widowControl/>
              <w:jc w:val="left"/>
              <w:rPr>
                <w:rFonts w:ascii="宋体" w:hAnsi="宋体" w:cs="宋体"/>
                <w:kern w:val="0"/>
                <w:szCs w:val="21"/>
              </w:rPr>
            </w:pPr>
            <w:r>
              <w:rPr>
                <w:rFonts w:hint="eastAsia" w:ascii="宋体" w:hAnsi="宋体" w:cs="宋体"/>
                <w:kern w:val="0"/>
                <w:szCs w:val="21"/>
              </w:rPr>
              <w:t>较好：得</w:t>
            </w:r>
            <w:r>
              <w:rPr>
                <w:rFonts w:ascii="宋体" w:hAnsi="宋体" w:cs="宋体"/>
                <w:kern w:val="0"/>
                <w:szCs w:val="21"/>
              </w:rPr>
              <w:t>8分</w:t>
            </w:r>
          </w:p>
          <w:p w14:paraId="736C6797">
            <w:pPr>
              <w:widowControl/>
              <w:jc w:val="left"/>
              <w:rPr>
                <w:rFonts w:ascii="宋体" w:hAnsi="宋体" w:cs="宋体"/>
                <w:kern w:val="0"/>
                <w:szCs w:val="21"/>
              </w:rPr>
            </w:pPr>
            <w:r>
              <w:rPr>
                <w:rFonts w:hint="eastAsia" w:ascii="宋体" w:hAnsi="宋体" w:cs="宋体"/>
                <w:kern w:val="0"/>
                <w:szCs w:val="21"/>
              </w:rPr>
              <w:t>一般：得</w:t>
            </w:r>
            <w:r>
              <w:rPr>
                <w:rFonts w:ascii="宋体" w:hAnsi="宋体" w:cs="宋体"/>
                <w:kern w:val="0"/>
                <w:szCs w:val="21"/>
              </w:rPr>
              <w:t>6分</w:t>
            </w:r>
          </w:p>
          <w:p w14:paraId="1C196580">
            <w:pPr>
              <w:widowControl/>
              <w:jc w:val="left"/>
              <w:rPr>
                <w:rFonts w:ascii="宋体" w:hAnsi="宋体" w:cs="宋体"/>
                <w:kern w:val="0"/>
                <w:szCs w:val="21"/>
              </w:rPr>
            </w:pPr>
            <w:r>
              <w:rPr>
                <w:rFonts w:hint="eastAsia" w:ascii="宋体" w:hAnsi="宋体" w:cs="宋体"/>
                <w:kern w:val="0"/>
                <w:szCs w:val="21"/>
              </w:rPr>
              <w:t>较差：得</w:t>
            </w:r>
            <w:r>
              <w:rPr>
                <w:rFonts w:ascii="宋体" w:hAnsi="宋体" w:cs="宋体"/>
                <w:kern w:val="0"/>
                <w:szCs w:val="21"/>
              </w:rPr>
              <w:t>4分</w:t>
            </w:r>
          </w:p>
          <w:p w14:paraId="108B22E1">
            <w:pPr>
              <w:widowControl/>
              <w:jc w:val="left"/>
              <w:rPr>
                <w:rFonts w:ascii="宋体" w:hAnsi="宋体" w:cs="宋体"/>
                <w:kern w:val="0"/>
                <w:szCs w:val="21"/>
              </w:rPr>
            </w:pPr>
            <w:r>
              <w:rPr>
                <w:rFonts w:hint="eastAsia" w:ascii="宋体" w:hAnsi="宋体" w:cs="宋体"/>
                <w:kern w:val="0"/>
                <w:szCs w:val="21"/>
              </w:rPr>
              <w:t>差：得</w:t>
            </w:r>
            <w:r>
              <w:rPr>
                <w:rFonts w:ascii="宋体" w:hAnsi="宋体" w:cs="宋体"/>
                <w:kern w:val="0"/>
                <w:szCs w:val="21"/>
              </w:rPr>
              <w:t>2分</w:t>
            </w:r>
          </w:p>
        </w:tc>
        <w:tc>
          <w:tcPr>
            <w:tcW w:w="992" w:type="dxa"/>
            <w:tcBorders>
              <w:top w:val="nil"/>
              <w:left w:val="nil"/>
              <w:bottom w:val="single" w:color="auto" w:sz="4" w:space="0"/>
              <w:right w:val="single" w:color="auto" w:sz="4" w:space="0"/>
            </w:tcBorders>
            <w:vAlign w:val="center"/>
          </w:tcPr>
          <w:p w14:paraId="788F5803">
            <w:pPr>
              <w:widowControl/>
              <w:jc w:val="left"/>
              <w:rPr>
                <w:rFonts w:ascii="宋体" w:hAnsi="宋体" w:cs="宋体"/>
                <w:kern w:val="0"/>
                <w:szCs w:val="21"/>
              </w:rPr>
            </w:pPr>
            <w:r>
              <w:rPr>
                <w:rFonts w:hint="eastAsia" w:ascii="宋体" w:hAnsi="宋体" w:cs="宋体"/>
                <w:kern w:val="0"/>
                <w:szCs w:val="21"/>
              </w:rPr>
              <w:t>　</w:t>
            </w:r>
          </w:p>
        </w:tc>
      </w:tr>
      <w:tr w14:paraId="1934335F">
        <w:tblPrEx>
          <w:tblCellMar>
            <w:top w:w="0" w:type="dxa"/>
            <w:left w:w="108" w:type="dxa"/>
            <w:bottom w:w="0" w:type="dxa"/>
            <w:right w:w="108" w:type="dxa"/>
          </w:tblCellMar>
        </w:tblPrEx>
        <w:trPr>
          <w:jc w:val="center"/>
        </w:trPr>
        <w:tc>
          <w:tcPr>
            <w:tcW w:w="575" w:type="dxa"/>
            <w:tcBorders>
              <w:top w:val="nil"/>
              <w:left w:val="single" w:color="auto" w:sz="4" w:space="0"/>
              <w:bottom w:val="single" w:color="auto" w:sz="4" w:space="0"/>
              <w:right w:val="single" w:color="auto" w:sz="4" w:space="0"/>
            </w:tcBorders>
            <w:vAlign w:val="center"/>
          </w:tcPr>
          <w:p w14:paraId="4C1F1A57">
            <w:pPr>
              <w:widowControl/>
              <w:jc w:val="center"/>
              <w:rPr>
                <w:kern w:val="0"/>
                <w:szCs w:val="21"/>
              </w:rPr>
            </w:pPr>
            <w:r>
              <w:rPr>
                <w:rFonts w:hint="eastAsia"/>
                <w:kern w:val="0"/>
                <w:szCs w:val="21"/>
              </w:rPr>
              <w:t>　</w:t>
            </w:r>
          </w:p>
        </w:tc>
        <w:tc>
          <w:tcPr>
            <w:tcW w:w="1278" w:type="dxa"/>
            <w:tcBorders>
              <w:top w:val="nil"/>
              <w:left w:val="nil"/>
              <w:bottom w:val="single" w:color="auto" w:sz="4" w:space="0"/>
              <w:right w:val="single" w:color="auto" w:sz="4" w:space="0"/>
            </w:tcBorders>
            <w:vAlign w:val="center"/>
          </w:tcPr>
          <w:p w14:paraId="5FBE9169">
            <w:pPr>
              <w:widowControl/>
              <w:jc w:val="center"/>
              <w:rPr>
                <w:kern w:val="0"/>
                <w:szCs w:val="21"/>
              </w:rPr>
            </w:pPr>
            <w:r>
              <w:rPr>
                <w:rFonts w:hint="eastAsia"/>
                <w:kern w:val="0"/>
                <w:szCs w:val="21"/>
              </w:rPr>
              <w:t>合计</w:t>
            </w:r>
          </w:p>
        </w:tc>
        <w:tc>
          <w:tcPr>
            <w:tcW w:w="709" w:type="dxa"/>
            <w:tcBorders>
              <w:top w:val="nil"/>
              <w:left w:val="nil"/>
              <w:bottom w:val="single" w:color="auto" w:sz="4" w:space="0"/>
              <w:right w:val="single" w:color="auto" w:sz="4" w:space="0"/>
            </w:tcBorders>
            <w:vAlign w:val="center"/>
          </w:tcPr>
          <w:p w14:paraId="6805CB4F">
            <w:pPr>
              <w:widowControl/>
              <w:jc w:val="center"/>
              <w:rPr>
                <w:kern w:val="0"/>
                <w:szCs w:val="21"/>
              </w:rPr>
            </w:pPr>
            <w:r>
              <w:rPr>
                <w:kern w:val="0"/>
                <w:szCs w:val="21"/>
              </w:rPr>
              <w:t>100</w:t>
            </w:r>
          </w:p>
        </w:tc>
        <w:tc>
          <w:tcPr>
            <w:tcW w:w="2551" w:type="dxa"/>
            <w:tcBorders>
              <w:top w:val="nil"/>
              <w:left w:val="nil"/>
              <w:bottom w:val="single" w:color="auto" w:sz="4" w:space="0"/>
              <w:right w:val="single" w:color="auto" w:sz="4" w:space="0"/>
            </w:tcBorders>
            <w:vAlign w:val="center"/>
          </w:tcPr>
          <w:p w14:paraId="7BEAA7F1">
            <w:pPr>
              <w:widowControl/>
              <w:jc w:val="center"/>
              <w:rPr>
                <w:kern w:val="0"/>
                <w:szCs w:val="21"/>
              </w:rPr>
            </w:pPr>
            <w:r>
              <w:rPr>
                <w:rFonts w:hint="eastAsia"/>
                <w:kern w:val="0"/>
                <w:szCs w:val="21"/>
              </w:rPr>
              <w:t>　</w:t>
            </w:r>
          </w:p>
        </w:tc>
        <w:tc>
          <w:tcPr>
            <w:tcW w:w="3261" w:type="dxa"/>
            <w:tcBorders>
              <w:top w:val="nil"/>
              <w:left w:val="nil"/>
              <w:bottom w:val="single" w:color="auto" w:sz="4" w:space="0"/>
              <w:right w:val="single" w:color="auto" w:sz="4" w:space="0"/>
            </w:tcBorders>
            <w:vAlign w:val="center"/>
          </w:tcPr>
          <w:p w14:paraId="4F0BFDD0">
            <w:pPr>
              <w:widowControl/>
              <w:jc w:val="center"/>
              <w:rPr>
                <w:kern w:val="0"/>
                <w:szCs w:val="21"/>
              </w:rPr>
            </w:pPr>
            <w:r>
              <w:rPr>
                <w:rFonts w:hint="eastAsia"/>
                <w:kern w:val="0"/>
                <w:szCs w:val="21"/>
              </w:rPr>
              <w:t>　</w:t>
            </w:r>
          </w:p>
        </w:tc>
        <w:tc>
          <w:tcPr>
            <w:tcW w:w="992" w:type="dxa"/>
            <w:tcBorders>
              <w:top w:val="nil"/>
              <w:left w:val="nil"/>
              <w:bottom w:val="single" w:color="auto" w:sz="4" w:space="0"/>
              <w:right w:val="single" w:color="auto" w:sz="4" w:space="0"/>
            </w:tcBorders>
            <w:vAlign w:val="center"/>
          </w:tcPr>
          <w:p w14:paraId="4B943932">
            <w:pPr>
              <w:widowControl/>
              <w:jc w:val="center"/>
              <w:rPr>
                <w:kern w:val="0"/>
                <w:szCs w:val="21"/>
              </w:rPr>
            </w:pPr>
            <w:r>
              <w:rPr>
                <w:rFonts w:hint="eastAsia"/>
                <w:kern w:val="0"/>
                <w:szCs w:val="21"/>
              </w:rPr>
              <w:t>　</w:t>
            </w:r>
          </w:p>
        </w:tc>
      </w:tr>
    </w:tbl>
    <w:p w14:paraId="27C5F3B5">
      <w:pPr>
        <w:adjustRightInd w:val="0"/>
        <w:snapToGrid w:val="0"/>
        <w:rPr>
          <w:rFonts w:ascii="宋体" w:hAnsi="宋体" w:cs="宋体"/>
          <w:kern w:val="0"/>
          <w:szCs w:val="21"/>
        </w:rPr>
      </w:pPr>
      <w:r>
        <w:rPr>
          <w:rFonts w:hint="eastAsia" w:ascii="宋体" w:hAnsi="宋体" w:cs="宋体"/>
          <w:kern w:val="0"/>
          <w:szCs w:val="21"/>
        </w:rPr>
        <w:t>一、注：</w:t>
      </w:r>
    </w:p>
    <w:p w14:paraId="4C92FA2A">
      <w:pPr>
        <w:adjustRightInd w:val="0"/>
        <w:snapToGrid w:val="0"/>
        <w:rPr>
          <w:rFonts w:ascii="宋体" w:hAnsi="宋体" w:cs="宋体"/>
          <w:kern w:val="0"/>
          <w:szCs w:val="21"/>
        </w:rPr>
      </w:pPr>
      <w:r>
        <w:rPr>
          <w:rFonts w:ascii="宋体" w:hAnsi="宋体" w:cs="宋体"/>
          <w:kern w:val="0"/>
          <w:szCs w:val="21"/>
        </w:rPr>
        <w:t>1、每一评分项扣分，至该项对应分值扣完为止。</w:t>
      </w:r>
    </w:p>
    <w:p w14:paraId="3A740557">
      <w:pPr>
        <w:adjustRightInd w:val="0"/>
        <w:snapToGrid w:val="0"/>
        <w:rPr>
          <w:rFonts w:ascii="宋体" w:hAnsi="宋体" w:cs="宋体"/>
          <w:kern w:val="0"/>
          <w:szCs w:val="21"/>
        </w:rPr>
      </w:pPr>
      <w:r>
        <w:rPr>
          <w:rFonts w:ascii="宋体" w:hAnsi="宋体" w:cs="宋体"/>
          <w:kern w:val="0"/>
          <w:szCs w:val="21"/>
        </w:rPr>
        <w:t>2、应在岗实际未在岗累计达到3天的，或经问询明显不了解项目具体情况累计达到3次的，或未按甲方要求出席会议累计达到3次的，可认定自行更换</w:t>
      </w:r>
    </w:p>
    <w:p w14:paraId="5F4C481C">
      <w:pPr>
        <w:adjustRightInd w:val="0"/>
        <w:snapToGrid w:val="0"/>
        <w:rPr>
          <w:rFonts w:ascii="宋体" w:hAnsi="宋体" w:cs="宋体"/>
          <w:kern w:val="0"/>
          <w:szCs w:val="21"/>
        </w:rPr>
      </w:pPr>
    </w:p>
    <w:p w14:paraId="6752902B">
      <w:pPr>
        <w:adjustRightInd w:val="0"/>
        <w:snapToGrid w:val="0"/>
        <w:rPr>
          <w:rFonts w:ascii="宋体" w:hAnsi="宋体" w:cs="宋体"/>
          <w:kern w:val="0"/>
          <w:szCs w:val="21"/>
        </w:rPr>
      </w:pPr>
      <w:r>
        <w:rPr>
          <w:rFonts w:hint="eastAsia" w:ascii="宋体" w:hAnsi="宋体" w:cs="宋体"/>
          <w:kern w:val="0"/>
          <w:szCs w:val="21"/>
        </w:rPr>
        <w:t>二、扣分情况说明：</w:t>
      </w:r>
    </w:p>
    <w:p w14:paraId="6A5CA70A">
      <w:pPr>
        <w:adjustRightInd w:val="0"/>
        <w:snapToGrid w:val="0"/>
        <w:rPr>
          <w:rFonts w:ascii="宋体" w:hAnsi="宋体" w:cs="宋体"/>
          <w:kern w:val="0"/>
          <w:szCs w:val="21"/>
        </w:rPr>
      </w:pPr>
      <w:r>
        <w:rPr>
          <w:rFonts w:ascii="宋体" w:hAnsi="宋体" w:cs="宋体"/>
          <w:kern w:val="0"/>
          <w:szCs w:val="21"/>
        </w:rPr>
        <w:t>1、</w:t>
      </w:r>
    </w:p>
    <w:p w14:paraId="594FF5AB">
      <w:pPr>
        <w:adjustRightInd w:val="0"/>
        <w:snapToGrid w:val="0"/>
        <w:rPr>
          <w:rFonts w:ascii="宋体" w:hAnsi="宋体" w:cs="宋体"/>
          <w:kern w:val="0"/>
          <w:szCs w:val="21"/>
        </w:rPr>
      </w:pPr>
      <w:r>
        <w:rPr>
          <w:rFonts w:ascii="宋体" w:hAnsi="宋体" w:cs="宋体"/>
          <w:kern w:val="0"/>
          <w:szCs w:val="21"/>
        </w:rPr>
        <w:t>2、</w:t>
      </w:r>
    </w:p>
    <w:p w14:paraId="56C33197">
      <w:pPr>
        <w:adjustRightInd w:val="0"/>
        <w:snapToGrid w:val="0"/>
        <w:rPr>
          <w:rFonts w:ascii="宋体" w:hAnsi="宋体" w:cs="宋体"/>
          <w:kern w:val="0"/>
          <w:szCs w:val="21"/>
        </w:rPr>
      </w:pPr>
      <w:r>
        <w:rPr>
          <w:rFonts w:ascii="宋体" w:hAnsi="宋体" w:cs="宋体"/>
          <w:kern w:val="0"/>
          <w:szCs w:val="21"/>
        </w:rPr>
        <w:t>3、</w:t>
      </w:r>
    </w:p>
    <w:p w14:paraId="09017559">
      <w:pPr>
        <w:adjustRightInd w:val="0"/>
        <w:snapToGrid w:val="0"/>
        <w:rPr>
          <w:rFonts w:ascii="宋体" w:hAnsi="宋体" w:cs="宋体"/>
          <w:kern w:val="0"/>
          <w:szCs w:val="21"/>
        </w:rPr>
      </w:pPr>
      <w:r>
        <w:rPr>
          <w:rFonts w:hint="eastAsia" w:ascii="宋体" w:hAnsi="宋体" w:cs="宋体"/>
          <w:kern w:val="0"/>
          <w:szCs w:val="21"/>
        </w:rPr>
        <w:t>…</w:t>
      </w:r>
    </w:p>
    <w:p w14:paraId="61C7B56E">
      <w:pPr>
        <w:adjustRightInd w:val="0"/>
        <w:snapToGrid w:val="0"/>
        <w:rPr>
          <w:rFonts w:ascii="宋体" w:hAnsi="宋体" w:cs="宋体"/>
          <w:kern w:val="0"/>
          <w:szCs w:val="21"/>
        </w:rPr>
      </w:pPr>
    </w:p>
    <w:p w14:paraId="0ADCF5E3">
      <w:pPr>
        <w:adjustRightInd w:val="0"/>
        <w:snapToGrid w:val="0"/>
        <w:rPr>
          <w:rFonts w:ascii="宋体" w:hAnsi="宋体" w:cs="宋体"/>
          <w:kern w:val="0"/>
          <w:szCs w:val="21"/>
          <w:u w:val="single"/>
        </w:rPr>
      </w:pPr>
      <w:r>
        <w:rPr>
          <w:rFonts w:hint="eastAsia" w:ascii="宋体" w:hAnsi="宋体" w:cs="宋体"/>
          <w:kern w:val="0"/>
          <w:szCs w:val="21"/>
        </w:rPr>
        <w:t>项目负责人：×××</w:t>
      </w:r>
      <w:r>
        <w:rPr>
          <w:rFonts w:ascii="宋体" w:hAnsi="宋体" w:cs="宋体"/>
          <w:kern w:val="0"/>
          <w:szCs w:val="21"/>
        </w:rPr>
        <w:t xml:space="preserve">  </w:t>
      </w:r>
      <w:r>
        <w:rPr>
          <w:rFonts w:hint="eastAsia" w:ascii="宋体" w:hAnsi="宋体" w:cs="宋体"/>
          <w:kern w:val="0"/>
          <w:szCs w:val="21"/>
        </w:rPr>
        <w:t>签名：</w:t>
      </w:r>
      <w:r>
        <w:rPr>
          <w:rFonts w:ascii="宋体" w:hAnsi="宋体" w:cs="宋体"/>
          <w:kern w:val="0"/>
          <w:szCs w:val="21"/>
          <w:u w:val="single"/>
        </w:rPr>
        <w:t xml:space="preserve">             </w:t>
      </w:r>
    </w:p>
    <w:p w14:paraId="7C32259E">
      <w:pPr>
        <w:adjustRightInd w:val="0"/>
        <w:snapToGrid w:val="0"/>
        <w:rPr>
          <w:rFonts w:ascii="宋体" w:hAnsi="宋体" w:cs="宋体"/>
          <w:kern w:val="0"/>
          <w:szCs w:val="21"/>
        </w:rPr>
      </w:pPr>
    </w:p>
    <w:p w14:paraId="7B2CA72A">
      <w:pPr>
        <w:adjustRightInd w:val="0"/>
        <w:snapToGrid w:val="0"/>
        <w:rPr>
          <w:rFonts w:ascii="宋体" w:hAnsi="宋体" w:cs="宋体"/>
          <w:kern w:val="0"/>
          <w:szCs w:val="21"/>
          <w:u w:val="single"/>
        </w:rPr>
      </w:pPr>
      <w:r>
        <w:rPr>
          <w:rFonts w:hint="eastAsia" w:ascii="宋体" w:hAnsi="宋体" w:cs="宋体"/>
          <w:kern w:val="0"/>
          <w:szCs w:val="21"/>
        </w:rPr>
        <w:t>部门负责人：×××</w:t>
      </w:r>
      <w:r>
        <w:rPr>
          <w:rFonts w:ascii="宋体" w:hAnsi="宋体" w:cs="宋体"/>
          <w:kern w:val="0"/>
          <w:szCs w:val="21"/>
        </w:rPr>
        <w:t xml:space="preserve">  </w:t>
      </w:r>
      <w:r>
        <w:rPr>
          <w:rFonts w:hint="eastAsia" w:ascii="宋体" w:hAnsi="宋体" w:cs="宋体"/>
          <w:kern w:val="0"/>
          <w:szCs w:val="21"/>
        </w:rPr>
        <w:t>签名：</w:t>
      </w:r>
      <w:r>
        <w:rPr>
          <w:rFonts w:ascii="宋体" w:hAnsi="宋体" w:cs="宋体"/>
          <w:kern w:val="0"/>
          <w:szCs w:val="21"/>
          <w:u w:val="single"/>
        </w:rPr>
        <w:t xml:space="preserve">             </w:t>
      </w:r>
    </w:p>
    <w:p w14:paraId="7B5962FD">
      <w:pPr>
        <w:adjustRightInd w:val="0"/>
        <w:snapToGrid w:val="0"/>
        <w:rPr>
          <w:rFonts w:ascii="宋体" w:hAnsi="宋体" w:cs="宋体"/>
          <w:kern w:val="0"/>
          <w:szCs w:val="21"/>
        </w:rPr>
      </w:pPr>
    </w:p>
    <w:p w14:paraId="23C9B7CE">
      <w:pPr>
        <w:adjustRightInd w:val="0"/>
        <w:snapToGrid w:val="0"/>
        <w:rPr>
          <w:rFonts w:ascii="宋体" w:hAnsi="宋体" w:cs="宋体"/>
          <w:kern w:val="0"/>
          <w:szCs w:val="21"/>
        </w:rPr>
      </w:pPr>
      <w:r>
        <w:rPr>
          <w:rFonts w:hint="eastAsia" w:ascii="宋体" w:hAnsi="宋体" w:cs="宋体"/>
          <w:kern w:val="0"/>
          <w:szCs w:val="21"/>
        </w:rPr>
        <w:t>日期：</w:t>
      </w:r>
      <w:r>
        <w:rPr>
          <w:rFonts w:ascii="宋体" w:hAnsi="宋体" w:cs="宋体"/>
          <w:kern w:val="0"/>
          <w:szCs w:val="21"/>
        </w:rPr>
        <w:t xml:space="preserve">      </w:t>
      </w: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p>
    <w:p w14:paraId="62DFBC0C">
      <w:pPr>
        <w:adjustRightInd w:val="0"/>
        <w:snapToGrid w:val="0"/>
        <w:rPr>
          <w:rFonts w:ascii="宋体" w:hAnsi="宋体" w:cs="宋体"/>
          <w:kern w:val="0"/>
          <w:szCs w:val="21"/>
        </w:rPr>
      </w:pPr>
    </w:p>
    <w:p w14:paraId="36235C6F">
      <w:pPr>
        <w:spacing w:line="560" w:lineRule="exact"/>
        <w:ind w:firstLine="472"/>
        <w:rPr>
          <w:rFonts w:ascii="仿宋_GB2312" w:eastAsia="仿宋_GB2312"/>
          <w:sz w:val="32"/>
          <w:szCs w:val="32"/>
        </w:rPr>
      </w:pPr>
      <w:r>
        <w:rPr>
          <w:rFonts w:ascii="宋体" w:hAnsi="宋体"/>
          <w:szCs w:val="21"/>
        </w:rPr>
        <w:br w:type="page"/>
      </w:r>
      <w:r>
        <w:rPr>
          <w:rFonts w:hint="eastAsia" w:ascii="仿宋_GB2312" w:eastAsia="仿宋_GB2312"/>
          <w:sz w:val="32"/>
          <w:szCs w:val="32"/>
        </w:rPr>
        <w:t>附件四</w:t>
      </w:r>
    </w:p>
    <w:tbl>
      <w:tblPr>
        <w:tblStyle w:val="54"/>
        <w:tblW w:w="9376" w:type="dxa"/>
        <w:jc w:val="center"/>
        <w:tblLayout w:type="fixed"/>
        <w:tblCellMar>
          <w:top w:w="0" w:type="dxa"/>
          <w:left w:w="108" w:type="dxa"/>
          <w:bottom w:w="0" w:type="dxa"/>
          <w:right w:w="108" w:type="dxa"/>
        </w:tblCellMar>
      </w:tblPr>
      <w:tblGrid>
        <w:gridCol w:w="640"/>
        <w:gridCol w:w="1133"/>
        <w:gridCol w:w="799"/>
        <w:gridCol w:w="2551"/>
        <w:gridCol w:w="3261"/>
        <w:gridCol w:w="992"/>
      </w:tblGrid>
      <w:tr w14:paraId="6B198DE8">
        <w:tblPrEx>
          <w:tblCellMar>
            <w:top w:w="0" w:type="dxa"/>
            <w:left w:w="108" w:type="dxa"/>
            <w:bottom w:w="0" w:type="dxa"/>
            <w:right w:w="108" w:type="dxa"/>
          </w:tblCellMar>
        </w:tblPrEx>
        <w:trPr>
          <w:trHeight w:val="570" w:hRule="atLeast"/>
          <w:jc w:val="center"/>
        </w:trPr>
        <w:tc>
          <w:tcPr>
            <w:tcW w:w="9376" w:type="dxa"/>
            <w:gridSpan w:val="6"/>
            <w:tcBorders>
              <w:top w:val="nil"/>
              <w:left w:val="nil"/>
              <w:bottom w:val="nil"/>
              <w:right w:val="nil"/>
            </w:tcBorders>
            <w:vAlign w:val="center"/>
          </w:tcPr>
          <w:p w14:paraId="4E0C6696">
            <w:pPr>
              <w:widowControl/>
              <w:ind w:firstLine="549"/>
              <w:jc w:val="center"/>
              <w:rPr>
                <w:rFonts w:ascii="仿宋_GB2312" w:hAnsi="宋体" w:eastAsia="仿宋_GB2312"/>
                <w:sz w:val="28"/>
                <w:szCs w:val="28"/>
              </w:rPr>
            </w:pPr>
            <w:r>
              <w:rPr>
                <w:rFonts w:hint="eastAsia" w:ascii="仿宋_GB2312" w:hAnsi="宋体" w:eastAsia="仿宋_GB2312"/>
                <w:sz w:val="28"/>
                <w:szCs w:val="28"/>
              </w:rPr>
              <w:t>施工阶段设计合同履约评价表</w:t>
            </w:r>
          </w:p>
          <w:p w14:paraId="73058EAE">
            <w:pPr>
              <w:widowControl/>
              <w:jc w:val="right"/>
              <w:rPr>
                <w:rFonts w:ascii="仿宋_GB2312" w:hAnsi="宋体" w:eastAsia="仿宋_GB2312"/>
                <w:sz w:val="28"/>
                <w:szCs w:val="28"/>
              </w:rPr>
            </w:pPr>
            <w:r>
              <w:rPr>
                <w:rFonts w:ascii="仿宋_GB2312" w:hAnsi="宋体" w:eastAsia="仿宋_GB2312"/>
                <w:sz w:val="24"/>
              </w:rPr>
              <w:t xml:space="preserve">20   </w:t>
            </w:r>
            <w:r>
              <w:rPr>
                <w:rFonts w:hint="eastAsia" w:ascii="仿宋_GB2312" w:hAnsi="宋体" w:eastAsia="仿宋_GB2312"/>
                <w:sz w:val="24"/>
              </w:rPr>
              <w:t>年第</w:t>
            </w:r>
            <w:r>
              <w:rPr>
                <w:rFonts w:ascii="仿宋_GB2312" w:hAnsi="宋体" w:eastAsia="仿宋_GB2312"/>
                <w:sz w:val="24"/>
              </w:rPr>
              <w:t xml:space="preserve">  </w:t>
            </w:r>
            <w:r>
              <w:rPr>
                <w:rFonts w:hint="eastAsia" w:ascii="仿宋_GB2312" w:hAnsi="宋体" w:eastAsia="仿宋_GB2312"/>
                <w:sz w:val="24"/>
              </w:rPr>
              <w:t>季度</w:t>
            </w:r>
          </w:p>
        </w:tc>
      </w:tr>
      <w:tr w14:paraId="79DE86D6">
        <w:tblPrEx>
          <w:tblCellMar>
            <w:top w:w="0" w:type="dxa"/>
            <w:left w:w="108" w:type="dxa"/>
            <w:bottom w:w="0" w:type="dxa"/>
            <w:right w:w="108" w:type="dxa"/>
          </w:tblCellMar>
        </w:tblPrEx>
        <w:trPr>
          <w:jc w:val="center"/>
        </w:trPr>
        <w:tc>
          <w:tcPr>
            <w:tcW w:w="640" w:type="dxa"/>
            <w:tcBorders>
              <w:top w:val="single" w:color="auto" w:sz="4" w:space="0"/>
              <w:left w:val="single" w:color="auto" w:sz="4" w:space="0"/>
              <w:bottom w:val="single" w:color="auto" w:sz="4" w:space="0"/>
              <w:right w:val="single" w:color="auto" w:sz="4" w:space="0"/>
            </w:tcBorders>
            <w:vAlign w:val="center"/>
          </w:tcPr>
          <w:p w14:paraId="418DDA17">
            <w:pPr>
              <w:widowControl/>
              <w:rPr>
                <w:rFonts w:ascii="宋体" w:hAnsi="宋体" w:cs="宋体"/>
                <w:bCs/>
                <w:kern w:val="0"/>
                <w:szCs w:val="21"/>
              </w:rPr>
            </w:pPr>
            <w:r>
              <w:rPr>
                <w:rFonts w:hint="eastAsia" w:ascii="宋体" w:hAnsi="宋体" w:cs="宋体"/>
                <w:bCs/>
                <w:kern w:val="0"/>
                <w:szCs w:val="21"/>
              </w:rPr>
              <w:t>序号</w:t>
            </w:r>
          </w:p>
        </w:tc>
        <w:tc>
          <w:tcPr>
            <w:tcW w:w="1133" w:type="dxa"/>
            <w:tcBorders>
              <w:top w:val="single" w:color="auto" w:sz="4" w:space="0"/>
              <w:left w:val="nil"/>
              <w:bottom w:val="single" w:color="auto" w:sz="4" w:space="0"/>
              <w:right w:val="single" w:color="auto" w:sz="4" w:space="0"/>
            </w:tcBorders>
            <w:vAlign w:val="center"/>
          </w:tcPr>
          <w:p w14:paraId="3434DEED">
            <w:pPr>
              <w:widowControl/>
              <w:jc w:val="center"/>
              <w:rPr>
                <w:rFonts w:ascii="宋体" w:hAnsi="宋体" w:cs="宋体"/>
                <w:bCs/>
                <w:kern w:val="0"/>
                <w:szCs w:val="21"/>
              </w:rPr>
            </w:pPr>
            <w:r>
              <w:rPr>
                <w:rFonts w:hint="eastAsia" w:ascii="宋体" w:hAnsi="宋体" w:cs="宋体"/>
                <w:bCs/>
                <w:kern w:val="0"/>
                <w:szCs w:val="21"/>
              </w:rPr>
              <w:t>内容</w:t>
            </w:r>
          </w:p>
        </w:tc>
        <w:tc>
          <w:tcPr>
            <w:tcW w:w="799" w:type="dxa"/>
            <w:tcBorders>
              <w:top w:val="single" w:color="auto" w:sz="4" w:space="0"/>
              <w:left w:val="nil"/>
              <w:bottom w:val="single" w:color="auto" w:sz="4" w:space="0"/>
              <w:right w:val="single" w:color="auto" w:sz="4" w:space="0"/>
            </w:tcBorders>
            <w:vAlign w:val="center"/>
          </w:tcPr>
          <w:p w14:paraId="5F3AD504">
            <w:pPr>
              <w:widowControl/>
              <w:jc w:val="center"/>
              <w:rPr>
                <w:rFonts w:ascii="宋体" w:hAnsi="宋体" w:cs="宋体"/>
                <w:bCs/>
                <w:kern w:val="0"/>
                <w:szCs w:val="21"/>
              </w:rPr>
            </w:pPr>
            <w:r>
              <w:rPr>
                <w:rFonts w:hint="eastAsia" w:ascii="宋体" w:hAnsi="宋体" w:cs="宋体"/>
                <w:bCs/>
                <w:kern w:val="0"/>
                <w:szCs w:val="21"/>
              </w:rPr>
              <w:t>单项</w:t>
            </w:r>
          </w:p>
          <w:p w14:paraId="754796D4">
            <w:pPr>
              <w:widowControl/>
              <w:jc w:val="center"/>
              <w:rPr>
                <w:rFonts w:ascii="宋体" w:hAnsi="宋体" w:cs="宋体"/>
                <w:bCs/>
                <w:kern w:val="0"/>
                <w:szCs w:val="21"/>
              </w:rPr>
            </w:pPr>
            <w:r>
              <w:rPr>
                <w:rFonts w:hint="eastAsia" w:ascii="宋体" w:hAnsi="宋体" w:cs="宋体"/>
                <w:bCs/>
                <w:kern w:val="0"/>
                <w:szCs w:val="21"/>
              </w:rPr>
              <w:t>分值</w:t>
            </w:r>
          </w:p>
        </w:tc>
        <w:tc>
          <w:tcPr>
            <w:tcW w:w="2551" w:type="dxa"/>
            <w:tcBorders>
              <w:top w:val="single" w:color="auto" w:sz="4" w:space="0"/>
              <w:left w:val="nil"/>
              <w:bottom w:val="single" w:color="auto" w:sz="4" w:space="0"/>
              <w:right w:val="single" w:color="auto" w:sz="4" w:space="0"/>
            </w:tcBorders>
            <w:vAlign w:val="center"/>
          </w:tcPr>
          <w:p w14:paraId="6C74D019">
            <w:pPr>
              <w:widowControl/>
              <w:ind w:firstLine="472"/>
              <w:jc w:val="center"/>
              <w:rPr>
                <w:rFonts w:ascii="宋体" w:hAnsi="宋体" w:cs="宋体"/>
                <w:bCs/>
                <w:kern w:val="0"/>
                <w:szCs w:val="21"/>
              </w:rPr>
            </w:pPr>
            <w:r>
              <w:rPr>
                <w:rFonts w:hint="eastAsia" w:ascii="宋体" w:hAnsi="宋体" w:cs="宋体"/>
                <w:bCs/>
                <w:kern w:val="0"/>
                <w:szCs w:val="21"/>
              </w:rPr>
              <w:t>评价指标</w:t>
            </w:r>
          </w:p>
        </w:tc>
        <w:tc>
          <w:tcPr>
            <w:tcW w:w="3261" w:type="dxa"/>
            <w:tcBorders>
              <w:top w:val="single" w:color="auto" w:sz="4" w:space="0"/>
              <w:left w:val="nil"/>
              <w:bottom w:val="single" w:color="auto" w:sz="4" w:space="0"/>
              <w:right w:val="single" w:color="auto" w:sz="4" w:space="0"/>
            </w:tcBorders>
            <w:vAlign w:val="center"/>
          </w:tcPr>
          <w:p w14:paraId="7C391F4F">
            <w:pPr>
              <w:widowControl/>
              <w:ind w:firstLine="472"/>
              <w:jc w:val="center"/>
              <w:rPr>
                <w:rFonts w:ascii="宋体" w:hAnsi="宋体" w:cs="宋体"/>
                <w:bCs/>
                <w:kern w:val="0"/>
                <w:szCs w:val="21"/>
              </w:rPr>
            </w:pPr>
            <w:r>
              <w:rPr>
                <w:rFonts w:hint="eastAsia" w:ascii="宋体" w:hAnsi="宋体" w:cs="宋体"/>
                <w:bCs/>
                <w:kern w:val="0"/>
                <w:szCs w:val="21"/>
              </w:rPr>
              <w:t>评分标准</w:t>
            </w:r>
          </w:p>
        </w:tc>
        <w:tc>
          <w:tcPr>
            <w:tcW w:w="992" w:type="dxa"/>
            <w:tcBorders>
              <w:top w:val="single" w:color="auto" w:sz="4" w:space="0"/>
              <w:left w:val="nil"/>
              <w:bottom w:val="single" w:color="auto" w:sz="4" w:space="0"/>
              <w:right w:val="single" w:color="auto" w:sz="4" w:space="0"/>
            </w:tcBorders>
            <w:vAlign w:val="center"/>
          </w:tcPr>
          <w:p w14:paraId="2639B836">
            <w:pPr>
              <w:widowControl/>
              <w:jc w:val="center"/>
              <w:rPr>
                <w:rFonts w:ascii="宋体" w:hAnsi="宋体" w:cs="宋体"/>
                <w:kern w:val="0"/>
                <w:szCs w:val="21"/>
              </w:rPr>
            </w:pPr>
            <w:r>
              <w:rPr>
                <w:rFonts w:hint="eastAsia" w:ascii="宋体" w:hAnsi="宋体" w:cs="宋体"/>
                <w:kern w:val="0"/>
                <w:szCs w:val="21"/>
              </w:rPr>
              <w:t>得分</w:t>
            </w:r>
          </w:p>
        </w:tc>
      </w:tr>
      <w:tr w14:paraId="01A348B1">
        <w:tblPrEx>
          <w:tblCellMar>
            <w:top w:w="0" w:type="dxa"/>
            <w:left w:w="108" w:type="dxa"/>
            <w:bottom w:w="0" w:type="dxa"/>
            <w:right w:w="108" w:type="dxa"/>
          </w:tblCellMar>
        </w:tblPrEx>
        <w:trPr>
          <w:jc w:val="center"/>
        </w:trPr>
        <w:tc>
          <w:tcPr>
            <w:tcW w:w="640" w:type="dxa"/>
            <w:tcBorders>
              <w:top w:val="nil"/>
              <w:left w:val="single" w:color="auto" w:sz="4" w:space="0"/>
              <w:bottom w:val="single" w:color="auto" w:sz="4" w:space="0"/>
              <w:right w:val="single" w:color="auto" w:sz="4" w:space="0"/>
            </w:tcBorders>
            <w:vAlign w:val="center"/>
          </w:tcPr>
          <w:p w14:paraId="78A814C0">
            <w:pPr>
              <w:widowControl/>
              <w:jc w:val="center"/>
              <w:rPr>
                <w:rFonts w:ascii="宋体" w:hAnsi="宋体" w:cs="宋体"/>
                <w:kern w:val="0"/>
                <w:szCs w:val="21"/>
              </w:rPr>
            </w:pPr>
            <w:r>
              <w:rPr>
                <w:rFonts w:hint="eastAsia" w:ascii="宋体" w:hAnsi="宋体" w:cs="宋体"/>
                <w:kern w:val="0"/>
                <w:szCs w:val="21"/>
              </w:rPr>
              <w:t>一</w:t>
            </w:r>
          </w:p>
        </w:tc>
        <w:tc>
          <w:tcPr>
            <w:tcW w:w="1133" w:type="dxa"/>
            <w:tcBorders>
              <w:top w:val="nil"/>
              <w:left w:val="nil"/>
              <w:bottom w:val="single" w:color="auto" w:sz="4" w:space="0"/>
              <w:right w:val="single" w:color="auto" w:sz="4" w:space="0"/>
            </w:tcBorders>
            <w:vAlign w:val="center"/>
          </w:tcPr>
          <w:p w14:paraId="6A571BBA">
            <w:pPr>
              <w:widowControl/>
              <w:jc w:val="left"/>
              <w:rPr>
                <w:kern w:val="0"/>
                <w:szCs w:val="21"/>
              </w:rPr>
            </w:pPr>
            <w:r>
              <w:rPr>
                <w:rFonts w:hint="eastAsia" w:ascii="宋体" w:hAnsi="宋体"/>
                <w:kern w:val="0"/>
                <w:szCs w:val="21"/>
              </w:rPr>
              <w:t>能力水平及履约表现</w:t>
            </w:r>
          </w:p>
        </w:tc>
        <w:tc>
          <w:tcPr>
            <w:tcW w:w="799" w:type="dxa"/>
            <w:tcBorders>
              <w:top w:val="nil"/>
              <w:left w:val="nil"/>
              <w:bottom w:val="single" w:color="auto" w:sz="4" w:space="0"/>
              <w:right w:val="single" w:color="auto" w:sz="4" w:space="0"/>
            </w:tcBorders>
            <w:vAlign w:val="center"/>
          </w:tcPr>
          <w:p w14:paraId="7B2E57C2">
            <w:pPr>
              <w:widowControl/>
              <w:jc w:val="center"/>
              <w:rPr>
                <w:kern w:val="0"/>
                <w:szCs w:val="21"/>
              </w:rPr>
            </w:pPr>
            <w:r>
              <w:rPr>
                <w:kern w:val="0"/>
                <w:szCs w:val="21"/>
              </w:rPr>
              <w:t>20</w:t>
            </w:r>
          </w:p>
        </w:tc>
        <w:tc>
          <w:tcPr>
            <w:tcW w:w="2551" w:type="dxa"/>
            <w:tcBorders>
              <w:top w:val="nil"/>
              <w:left w:val="nil"/>
              <w:bottom w:val="single" w:color="auto" w:sz="4" w:space="0"/>
              <w:right w:val="single" w:color="auto" w:sz="4" w:space="0"/>
            </w:tcBorders>
            <w:vAlign w:val="center"/>
          </w:tcPr>
          <w:p w14:paraId="2E4921A8">
            <w:pPr>
              <w:widowControl/>
              <w:jc w:val="left"/>
              <w:rPr>
                <w:kern w:val="0"/>
                <w:szCs w:val="21"/>
              </w:rPr>
            </w:pPr>
            <w:r>
              <w:rPr>
                <w:rFonts w:hint="eastAsia"/>
                <w:kern w:val="0"/>
                <w:szCs w:val="21"/>
              </w:rPr>
              <w:t>　</w:t>
            </w:r>
          </w:p>
        </w:tc>
        <w:tc>
          <w:tcPr>
            <w:tcW w:w="3261" w:type="dxa"/>
            <w:tcBorders>
              <w:top w:val="nil"/>
              <w:left w:val="nil"/>
              <w:bottom w:val="single" w:color="auto" w:sz="4" w:space="0"/>
              <w:right w:val="single" w:color="auto" w:sz="4" w:space="0"/>
            </w:tcBorders>
            <w:vAlign w:val="center"/>
          </w:tcPr>
          <w:p w14:paraId="54BEEAAF">
            <w:pPr>
              <w:widowControl/>
              <w:jc w:val="left"/>
              <w:rPr>
                <w:kern w:val="0"/>
                <w:szCs w:val="21"/>
              </w:rPr>
            </w:pPr>
            <w:r>
              <w:rPr>
                <w:kern w:val="0"/>
                <w:szCs w:val="21"/>
              </w:rPr>
              <w:t xml:space="preserve"> </w:t>
            </w:r>
          </w:p>
        </w:tc>
        <w:tc>
          <w:tcPr>
            <w:tcW w:w="992" w:type="dxa"/>
            <w:tcBorders>
              <w:top w:val="nil"/>
              <w:left w:val="nil"/>
              <w:bottom w:val="single" w:color="auto" w:sz="4" w:space="0"/>
              <w:right w:val="single" w:color="auto" w:sz="4" w:space="0"/>
            </w:tcBorders>
            <w:vAlign w:val="center"/>
          </w:tcPr>
          <w:p w14:paraId="5409A121">
            <w:pPr>
              <w:widowControl/>
              <w:jc w:val="center"/>
              <w:rPr>
                <w:kern w:val="0"/>
                <w:szCs w:val="21"/>
              </w:rPr>
            </w:pPr>
            <w:r>
              <w:rPr>
                <w:rFonts w:hint="eastAsia"/>
                <w:kern w:val="0"/>
                <w:szCs w:val="21"/>
              </w:rPr>
              <w:t>　</w:t>
            </w:r>
          </w:p>
        </w:tc>
      </w:tr>
      <w:tr w14:paraId="6ABF0EE7">
        <w:tblPrEx>
          <w:tblCellMar>
            <w:top w:w="0" w:type="dxa"/>
            <w:left w:w="108" w:type="dxa"/>
            <w:bottom w:w="0" w:type="dxa"/>
            <w:right w:w="108" w:type="dxa"/>
          </w:tblCellMar>
        </w:tblPrEx>
        <w:trPr>
          <w:jc w:val="center"/>
        </w:trPr>
        <w:tc>
          <w:tcPr>
            <w:tcW w:w="640" w:type="dxa"/>
            <w:tcBorders>
              <w:top w:val="nil"/>
              <w:left w:val="single" w:color="auto" w:sz="4" w:space="0"/>
              <w:bottom w:val="single" w:color="auto" w:sz="4" w:space="0"/>
              <w:right w:val="single" w:color="auto" w:sz="4" w:space="0"/>
            </w:tcBorders>
            <w:vAlign w:val="center"/>
          </w:tcPr>
          <w:p w14:paraId="697DAC2B">
            <w:pPr>
              <w:widowControl/>
              <w:jc w:val="center"/>
              <w:rPr>
                <w:rFonts w:ascii="宋体" w:hAnsi="宋体" w:cs="宋体"/>
                <w:kern w:val="0"/>
                <w:szCs w:val="21"/>
              </w:rPr>
            </w:pPr>
            <w:r>
              <w:rPr>
                <w:rFonts w:ascii="宋体" w:hAnsi="宋体" w:cs="宋体"/>
                <w:kern w:val="0"/>
                <w:szCs w:val="21"/>
              </w:rPr>
              <w:t>1</w:t>
            </w:r>
          </w:p>
        </w:tc>
        <w:tc>
          <w:tcPr>
            <w:tcW w:w="1133" w:type="dxa"/>
            <w:tcBorders>
              <w:top w:val="nil"/>
              <w:left w:val="nil"/>
              <w:bottom w:val="single" w:color="auto" w:sz="4" w:space="0"/>
              <w:right w:val="single" w:color="auto" w:sz="4" w:space="0"/>
            </w:tcBorders>
            <w:vAlign w:val="center"/>
          </w:tcPr>
          <w:p w14:paraId="388B9D92">
            <w:pPr>
              <w:widowControl/>
              <w:jc w:val="center"/>
              <w:rPr>
                <w:rFonts w:ascii="宋体" w:hAnsi="宋体" w:cs="宋体"/>
                <w:kern w:val="0"/>
                <w:szCs w:val="21"/>
              </w:rPr>
            </w:pPr>
            <w:r>
              <w:rPr>
                <w:rFonts w:hint="eastAsia" w:ascii="宋体" w:hAnsi="宋体" w:cs="宋体"/>
                <w:kern w:val="0"/>
                <w:szCs w:val="21"/>
              </w:rPr>
              <w:t>现场配合人员</w:t>
            </w:r>
          </w:p>
        </w:tc>
        <w:tc>
          <w:tcPr>
            <w:tcW w:w="799" w:type="dxa"/>
            <w:tcBorders>
              <w:top w:val="nil"/>
              <w:left w:val="nil"/>
              <w:bottom w:val="single" w:color="auto" w:sz="4" w:space="0"/>
              <w:right w:val="single" w:color="auto" w:sz="4" w:space="0"/>
            </w:tcBorders>
            <w:vAlign w:val="center"/>
          </w:tcPr>
          <w:p w14:paraId="71B1C188">
            <w:pPr>
              <w:widowControl/>
              <w:jc w:val="center"/>
              <w:rPr>
                <w:rFonts w:ascii="仿宋_GB2312" w:hAnsi="宋体" w:eastAsia="仿宋_GB2312" w:cs="宋体"/>
                <w:kern w:val="0"/>
                <w:szCs w:val="21"/>
              </w:rPr>
            </w:pPr>
            <w:r>
              <w:rPr>
                <w:rFonts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25D7B74A">
            <w:pPr>
              <w:widowControl/>
              <w:jc w:val="left"/>
              <w:rPr>
                <w:rFonts w:ascii="宋体" w:hAnsi="宋体" w:cs="宋体"/>
                <w:kern w:val="0"/>
                <w:szCs w:val="21"/>
              </w:rPr>
            </w:pPr>
            <w:r>
              <w:rPr>
                <w:rFonts w:hint="eastAsia" w:ascii="宋体" w:hAnsi="宋体" w:cs="宋体"/>
                <w:kern w:val="0"/>
                <w:szCs w:val="21"/>
              </w:rPr>
              <w:t>能否按合同及甲方要求及时协调配合甲方、专项设计单位及其它相关部门的工作；是否具有较强的沟通协调能力；能否在验收环节积极协助甲方完成相关工作；设计配合是否及时；能否按要求参加项目例会</w:t>
            </w:r>
          </w:p>
        </w:tc>
        <w:tc>
          <w:tcPr>
            <w:tcW w:w="3261" w:type="dxa"/>
            <w:tcBorders>
              <w:top w:val="nil"/>
              <w:left w:val="nil"/>
              <w:bottom w:val="single" w:color="auto" w:sz="4" w:space="0"/>
              <w:right w:val="single" w:color="auto" w:sz="4" w:space="0"/>
            </w:tcBorders>
            <w:vAlign w:val="center"/>
          </w:tcPr>
          <w:p w14:paraId="5DB3BA6E">
            <w:pPr>
              <w:widowControl/>
              <w:jc w:val="left"/>
              <w:rPr>
                <w:rFonts w:ascii="宋体" w:hAnsi="宋体" w:cs="宋体"/>
                <w:kern w:val="0"/>
                <w:szCs w:val="21"/>
              </w:rPr>
            </w:pPr>
            <w:r>
              <w:rPr>
                <w:rFonts w:hint="eastAsia" w:ascii="宋体" w:hAnsi="宋体" w:cs="宋体"/>
                <w:kern w:val="0"/>
                <w:szCs w:val="21"/>
              </w:rPr>
              <w:t>好：得</w:t>
            </w:r>
            <w:r>
              <w:rPr>
                <w:rFonts w:ascii="宋体" w:hAnsi="宋体" w:cs="宋体"/>
                <w:kern w:val="0"/>
                <w:szCs w:val="21"/>
              </w:rPr>
              <w:t>10分</w:t>
            </w:r>
          </w:p>
          <w:p w14:paraId="19FDC2F3">
            <w:pPr>
              <w:widowControl/>
              <w:jc w:val="left"/>
              <w:rPr>
                <w:rFonts w:ascii="宋体" w:hAnsi="宋体" w:cs="宋体"/>
                <w:kern w:val="0"/>
                <w:szCs w:val="21"/>
              </w:rPr>
            </w:pPr>
            <w:r>
              <w:rPr>
                <w:rFonts w:hint="eastAsia" w:ascii="宋体" w:hAnsi="宋体" w:cs="宋体"/>
                <w:kern w:val="0"/>
                <w:szCs w:val="21"/>
              </w:rPr>
              <w:t>较好：得</w:t>
            </w:r>
            <w:r>
              <w:rPr>
                <w:rFonts w:ascii="宋体" w:hAnsi="宋体" w:cs="宋体"/>
                <w:kern w:val="0"/>
                <w:szCs w:val="21"/>
              </w:rPr>
              <w:t>8分</w:t>
            </w:r>
          </w:p>
          <w:p w14:paraId="7BFE00C1">
            <w:pPr>
              <w:widowControl/>
              <w:jc w:val="left"/>
              <w:rPr>
                <w:rFonts w:ascii="宋体" w:hAnsi="宋体" w:cs="宋体"/>
                <w:kern w:val="0"/>
                <w:szCs w:val="21"/>
              </w:rPr>
            </w:pPr>
            <w:r>
              <w:rPr>
                <w:rFonts w:hint="eastAsia" w:ascii="宋体" w:hAnsi="宋体" w:cs="宋体"/>
                <w:kern w:val="0"/>
                <w:szCs w:val="21"/>
              </w:rPr>
              <w:t>一般：得</w:t>
            </w:r>
            <w:r>
              <w:rPr>
                <w:rFonts w:ascii="宋体" w:hAnsi="宋体" w:cs="宋体"/>
                <w:kern w:val="0"/>
                <w:szCs w:val="21"/>
              </w:rPr>
              <w:t>6分</w:t>
            </w:r>
          </w:p>
          <w:p w14:paraId="164EBCCF">
            <w:pPr>
              <w:widowControl/>
              <w:jc w:val="left"/>
              <w:rPr>
                <w:rFonts w:ascii="宋体" w:hAnsi="宋体" w:cs="宋体"/>
                <w:kern w:val="0"/>
                <w:szCs w:val="21"/>
              </w:rPr>
            </w:pPr>
            <w:r>
              <w:rPr>
                <w:rFonts w:hint="eastAsia" w:ascii="宋体" w:hAnsi="宋体" w:cs="宋体"/>
                <w:kern w:val="0"/>
                <w:szCs w:val="21"/>
              </w:rPr>
              <w:t>较差：得</w:t>
            </w:r>
            <w:r>
              <w:rPr>
                <w:rFonts w:ascii="宋体" w:hAnsi="宋体" w:cs="宋体"/>
                <w:kern w:val="0"/>
                <w:szCs w:val="21"/>
              </w:rPr>
              <w:t>4分</w:t>
            </w:r>
          </w:p>
          <w:p w14:paraId="5A7862E7">
            <w:pPr>
              <w:widowControl/>
              <w:jc w:val="left"/>
              <w:rPr>
                <w:rFonts w:ascii="宋体" w:hAnsi="宋体" w:cs="宋体"/>
                <w:kern w:val="0"/>
                <w:szCs w:val="21"/>
              </w:rPr>
            </w:pPr>
            <w:r>
              <w:rPr>
                <w:rFonts w:hint="eastAsia" w:ascii="宋体" w:hAnsi="宋体" w:cs="宋体"/>
                <w:kern w:val="0"/>
                <w:szCs w:val="21"/>
              </w:rPr>
              <w:t>差：得</w:t>
            </w:r>
            <w:r>
              <w:rPr>
                <w:rFonts w:ascii="宋体" w:hAnsi="宋体" w:cs="宋体"/>
                <w:kern w:val="0"/>
                <w:szCs w:val="21"/>
              </w:rPr>
              <w:t>2分</w:t>
            </w:r>
          </w:p>
        </w:tc>
        <w:tc>
          <w:tcPr>
            <w:tcW w:w="992" w:type="dxa"/>
            <w:tcBorders>
              <w:top w:val="nil"/>
              <w:left w:val="nil"/>
              <w:bottom w:val="single" w:color="auto" w:sz="4" w:space="0"/>
              <w:right w:val="single" w:color="auto" w:sz="4" w:space="0"/>
            </w:tcBorders>
            <w:vAlign w:val="center"/>
          </w:tcPr>
          <w:p w14:paraId="31D0139C">
            <w:pPr>
              <w:widowControl/>
              <w:jc w:val="center"/>
              <w:rPr>
                <w:rFonts w:ascii="宋体" w:hAnsi="宋体" w:cs="宋体"/>
                <w:kern w:val="0"/>
                <w:szCs w:val="21"/>
              </w:rPr>
            </w:pPr>
            <w:r>
              <w:rPr>
                <w:rFonts w:hint="eastAsia" w:ascii="宋体" w:hAnsi="宋体" w:cs="宋体"/>
                <w:kern w:val="0"/>
                <w:szCs w:val="21"/>
              </w:rPr>
              <w:t>　</w:t>
            </w:r>
          </w:p>
        </w:tc>
      </w:tr>
      <w:tr w14:paraId="7360FCCA">
        <w:tblPrEx>
          <w:tblCellMar>
            <w:top w:w="0" w:type="dxa"/>
            <w:left w:w="108" w:type="dxa"/>
            <w:bottom w:w="0" w:type="dxa"/>
            <w:right w:w="108" w:type="dxa"/>
          </w:tblCellMar>
        </w:tblPrEx>
        <w:trPr>
          <w:jc w:val="center"/>
        </w:trPr>
        <w:tc>
          <w:tcPr>
            <w:tcW w:w="640" w:type="dxa"/>
            <w:tcBorders>
              <w:top w:val="nil"/>
              <w:left w:val="single" w:color="auto" w:sz="4" w:space="0"/>
              <w:bottom w:val="single" w:color="auto" w:sz="4" w:space="0"/>
              <w:right w:val="single" w:color="auto" w:sz="4" w:space="0"/>
            </w:tcBorders>
            <w:vAlign w:val="center"/>
          </w:tcPr>
          <w:p w14:paraId="0F69C88D">
            <w:pPr>
              <w:widowControl/>
              <w:jc w:val="center"/>
              <w:rPr>
                <w:rFonts w:ascii="宋体" w:hAnsi="宋体" w:cs="宋体"/>
                <w:kern w:val="0"/>
                <w:szCs w:val="21"/>
              </w:rPr>
            </w:pPr>
            <w:r>
              <w:rPr>
                <w:rFonts w:ascii="宋体" w:hAnsi="宋体" w:cs="宋体"/>
                <w:kern w:val="0"/>
                <w:szCs w:val="21"/>
              </w:rPr>
              <w:t>2</w:t>
            </w:r>
          </w:p>
        </w:tc>
        <w:tc>
          <w:tcPr>
            <w:tcW w:w="1133" w:type="dxa"/>
            <w:tcBorders>
              <w:top w:val="nil"/>
              <w:left w:val="nil"/>
              <w:bottom w:val="single" w:color="auto" w:sz="4" w:space="0"/>
              <w:right w:val="single" w:color="auto" w:sz="4" w:space="0"/>
            </w:tcBorders>
            <w:vAlign w:val="center"/>
          </w:tcPr>
          <w:p w14:paraId="1D6870AD">
            <w:pPr>
              <w:widowControl/>
              <w:jc w:val="center"/>
              <w:rPr>
                <w:rFonts w:ascii="宋体" w:hAnsi="宋体" w:cs="宋体"/>
                <w:kern w:val="0"/>
                <w:szCs w:val="21"/>
              </w:rPr>
            </w:pPr>
            <w:r>
              <w:rPr>
                <w:rFonts w:hint="eastAsia" w:ascii="宋体" w:hAnsi="宋体" w:cs="宋体"/>
                <w:kern w:val="0"/>
                <w:szCs w:val="21"/>
              </w:rPr>
              <w:t>设计技术交底</w:t>
            </w:r>
          </w:p>
        </w:tc>
        <w:tc>
          <w:tcPr>
            <w:tcW w:w="799" w:type="dxa"/>
            <w:tcBorders>
              <w:top w:val="single" w:color="auto" w:sz="4" w:space="0"/>
              <w:left w:val="nil"/>
              <w:bottom w:val="nil"/>
              <w:right w:val="single" w:color="auto" w:sz="4" w:space="0"/>
            </w:tcBorders>
            <w:vAlign w:val="center"/>
          </w:tcPr>
          <w:p w14:paraId="217E32A9">
            <w:pPr>
              <w:widowControl/>
              <w:jc w:val="center"/>
              <w:rPr>
                <w:rFonts w:ascii="仿宋_GB2312" w:hAnsi="宋体" w:eastAsia="仿宋_GB2312" w:cs="宋体"/>
                <w:kern w:val="0"/>
                <w:szCs w:val="21"/>
              </w:rPr>
            </w:pPr>
            <w:r>
              <w:rPr>
                <w:rFonts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0B640501">
            <w:pPr>
              <w:widowControl/>
              <w:jc w:val="left"/>
              <w:rPr>
                <w:rFonts w:ascii="宋体" w:hAnsi="宋体" w:cs="宋体"/>
                <w:kern w:val="0"/>
                <w:szCs w:val="21"/>
              </w:rPr>
            </w:pPr>
            <w:r>
              <w:rPr>
                <w:rFonts w:hint="eastAsia" w:ascii="宋体" w:hAnsi="宋体" w:cs="宋体"/>
                <w:kern w:val="0"/>
                <w:szCs w:val="21"/>
              </w:rPr>
              <w:t>是否满足现场施工要求</w:t>
            </w:r>
          </w:p>
        </w:tc>
        <w:tc>
          <w:tcPr>
            <w:tcW w:w="3261" w:type="dxa"/>
            <w:tcBorders>
              <w:top w:val="nil"/>
              <w:left w:val="nil"/>
              <w:bottom w:val="single" w:color="auto" w:sz="4" w:space="0"/>
              <w:right w:val="single" w:color="auto" w:sz="4" w:space="0"/>
            </w:tcBorders>
            <w:vAlign w:val="center"/>
          </w:tcPr>
          <w:p w14:paraId="26F04702">
            <w:pPr>
              <w:widowControl/>
              <w:jc w:val="left"/>
              <w:rPr>
                <w:rFonts w:ascii="宋体" w:hAnsi="宋体" w:cs="宋体"/>
                <w:kern w:val="0"/>
                <w:szCs w:val="21"/>
              </w:rPr>
            </w:pPr>
            <w:r>
              <w:rPr>
                <w:rFonts w:hint="eastAsia" w:ascii="宋体" w:hAnsi="宋体" w:cs="宋体"/>
                <w:kern w:val="0"/>
                <w:szCs w:val="21"/>
              </w:rPr>
              <w:t>好：得</w:t>
            </w:r>
            <w:r>
              <w:rPr>
                <w:rFonts w:ascii="宋体" w:hAnsi="宋体" w:cs="宋体"/>
                <w:kern w:val="0"/>
                <w:szCs w:val="21"/>
              </w:rPr>
              <w:t>10分</w:t>
            </w:r>
          </w:p>
          <w:p w14:paraId="56E397CF">
            <w:pPr>
              <w:widowControl/>
              <w:jc w:val="left"/>
              <w:rPr>
                <w:rFonts w:ascii="宋体" w:hAnsi="宋体" w:cs="宋体"/>
                <w:kern w:val="0"/>
                <w:szCs w:val="21"/>
              </w:rPr>
            </w:pPr>
            <w:r>
              <w:rPr>
                <w:rFonts w:hint="eastAsia" w:ascii="宋体" w:hAnsi="宋体" w:cs="宋体"/>
                <w:kern w:val="0"/>
                <w:szCs w:val="21"/>
              </w:rPr>
              <w:t>较好：得</w:t>
            </w:r>
            <w:r>
              <w:rPr>
                <w:rFonts w:ascii="宋体" w:hAnsi="宋体" w:cs="宋体"/>
                <w:kern w:val="0"/>
                <w:szCs w:val="21"/>
              </w:rPr>
              <w:t>8分</w:t>
            </w:r>
          </w:p>
          <w:p w14:paraId="4FFA536C">
            <w:pPr>
              <w:widowControl/>
              <w:jc w:val="left"/>
              <w:rPr>
                <w:rFonts w:ascii="宋体" w:hAnsi="宋体" w:cs="宋体"/>
                <w:kern w:val="0"/>
                <w:szCs w:val="21"/>
              </w:rPr>
            </w:pPr>
            <w:r>
              <w:rPr>
                <w:rFonts w:hint="eastAsia" w:ascii="宋体" w:hAnsi="宋体" w:cs="宋体"/>
                <w:kern w:val="0"/>
                <w:szCs w:val="21"/>
              </w:rPr>
              <w:t>一般：得</w:t>
            </w:r>
            <w:r>
              <w:rPr>
                <w:rFonts w:ascii="宋体" w:hAnsi="宋体" w:cs="宋体"/>
                <w:kern w:val="0"/>
                <w:szCs w:val="21"/>
              </w:rPr>
              <w:t>6分</w:t>
            </w:r>
          </w:p>
          <w:p w14:paraId="6E19B85E">
            <w:pPr>
              <w:widowControl/>
              <w:jc w:val="left"/>
              <w:rPr>
                <w:rFonts w:ascii="宋体" w:hAnsi="宋体" w:cs="宋体"/>
                <w:kern w:val="0"/>
                <w:szCs w:val="21"/>
              </w:rPr>
            </w:pPr>
            <w:r>
              <w:rPr>
                <w:rFonts w:hint="eastAsia" w:ascii="宋体" w:hAnsi="宋体" w:cs="宋体"/>
                <w:kern w:val="0"/>
                <w:szCs w:val="21"/>
              </w:rPr>
              <w:t>较差：得</w:t>
            </w:r>
            <w:r>
              <w:rPr>
                <w:rFonts w:ascii="宋体" w:hAnsi="宋体" w:cs="宋体"/>
                <w:kern w:val="0"/>
                <w:szCs w:val="21"/>
              </w:rPr>
              <w:t>4分</w:t>
            </w:r>
          </w:p>
          <w:p w14:paraId="13872B55">
            <w:pPr>
              <w:widowControl/>
              <w:jc w:val="left"/>
              <w:rPr>
                <w:rFonts w:ascii="宋体" w:hAnsi="宋体" w:cs="宋体"/>
                <w:kern w:val="0"/>
                <w:szCs w:val="21"/>
              </w:rPr>
            </w:pPr>
            <w:r>
              <w:rPr>
                <w:rFonts w:hint="eastAsia" w:ascii="宋体" w:hAnsi="宋体" w:cs="宋体"/>
                <w:kern w:val="0"/>
                <w:szCs w:val="21"/>
              </w:rPr>
              <w:t>差：得</w:t>
            </w:r>
            <w:r>
              <w:rPr>
                <w:rFonts w:ascii="宋体" w:hAnsi="宋体" w:cs="宋体"/>
                <w:kern w:val="0"/>
                <w:szCs w:val="21"/>
              </w:rPr>
              <w:t>2分</w:t>
            </w:r>
          </w:p>
        </w:tc>
        <w:tc>
          <w:tcPr>
            <w:tcW w:w="992" w:type="dxa"/>
            <w:tcBorders>
              <w:top w:val="nil"/>
              <w:left w:val="nil"/>
              <w:bottom w:val="single" w:color="auto" w:sz="4" w:space="0"/>
              <w:right w:val="single" w:color="auto" w:sz="4" w:space="0"/>
            </w:tcBorders>
            <w:vAlign w:val="center"/>
          </w:tcPr>
          <w:p w14:paraId="412A1C77">
            <w:pPr>
              <w:widowControl/>
              <w:jc w:val="center"/>
              <w:rPr>
                <w:rFonts w:ascii="宋体" w:hAnsi="宋体" w:cs="宋体"/>
                <w:kern w:val="0"/>
                <w:szCs w:val="21"/>
              </w:rPr>
            </w:pPr>
          </w:p>
        </w:tc>
      </w:tr>
      <w:tr w14:paraId="6194822B">
        <w:tblPrEx>
          <w:tblCellMar>
            <w:top w:w="0" w:type="dxa"/>
            <w:left w:w="108" w:type="dxa"/>
            <w:bottom w:w="0" w:type="dxa"/>
            <w:right w:w="108" w:type="dxa"/>
          </w:tblCellMar>
        </w:tblPrEx>
        <w:trPr>
          <w:jc w:val="center"/>
        </w:trPr>
        <w:tc>
          <w:tcPr>
            <w:tcW w:w="640" w:type="dxa"/>
            <w:tcBorders>
              <w:top w:val="nil"/>
              <w:left w:val="single" w:color="auto" w:sz="4" w:space="0"/>
              <w:bottom w:val="single" w:color="auto" w:sz="4" w:space="0"/>
              <w:right w:val="single" w:color="auto" w:sz="4" w:space="0"/>
            </w:tcBorders>
            <w:vAlign w:val="center"/>
          </w:tcPr>
          <w:p w14:paraId="196051B6">
            <w:pPr>
              <w:widowControl/>
              <w:jc w:val="center"/>
              <w:rPr>
                <w:rFonts w:ascii="宋体" w:hAnsi="宋体" w:cs="宋体"/>
                <w:kern w:val="0"/>
                <w:szCs w:val="21"/>
              </w:rPr>
            </w:pPr>
            <w:r>
              <w:rPr>
                <w:rFonts w:hint="eastAsia" w:ascii="宋体" w:hAnsi="宋体" w:cs="宋体"/>
                <w:kern w:val="0"/>
                <w:szCs w:val="21"/>
              </w:rPr>
              <w:t>二</w:t>
            </w:r>
          </w:p>
        </w:tc>
        <w:tc>
          <w:tcPr>
            <w:tcW w:w="1133" w:type="dxa"/>
            <w:tcBorders>
              <w:top w:val="nil"/>
              <w:left w:val="nil"/>
              <w:bottom w:val="single" w:color="auto" w:sz="4" w:space="0"/>
              <w:right w:val="single" w:color="auto" w:sz="4" w:space="0"/>
            </w:tcBorders>
            <w:vAlign w:val="center"/>
          </w:tcPr>
          <w:p w14:paraId="248BD196">
            <w:pPr>
              <w:widowControl/>
              <w:jc w:val="center"/>
              <w:rPr>
                <w:rFonts w:ascii="宋体" w:hAnsi="宋体" w:cs="宋体"/>
                <w:kern w:val="0"/>
                <w:szCs w:val="21"/>
              </w:rPr>
            </w:pPr>
            <w:r>
              <w:rPr>
                <w:rFonts w:hint="eastAsia" w:ascii="宋体" w:hAnsi="宋体" w:cs="宋体"/>
                <w:kern w:val="0"/>
                <w:szCs w:val="21"/>
              </w:rPr>
              <w:t>设计图纸质量</w:t>
            </w:r>
          </w:p>
        </w:tc>
        <w:tc>
          <w:tcPr>
            <w:tcW w:w="799" w:type="dxa"/>
            <w:tcBorders>
              <w:top w:val="single" w:color="auto" w:sz="4" w:space="0"/>
              <w:left w:val="nil"/>
              <w:bottom w:val="single" w:color="auto" w:sz="4" w:space="0"/>
              <w:right w:val="single" w:color="auto" w:sz="4" w:space="0"/>
            </w:tcBorders>
            <w:vAlign w:val="center"/>
          </w:tcPr>
          <w:p w14:paraId="4B37A2D6">
            <w:pPr>
              <w:widowControl/>
              <w:jc w:val="center"/>
              <w:rPr>
                <w:rFonts w:ascii="仿宋_GB2312" w:hAnsi="宋体" w:eastAsia="仿宋_GB2312" w:cs="宋体"/>
                <w:kern w:val="0"/>
                <w:szCs w:val="21"/>
              </w:rPr>
            </w:pPr>
            <w:r>
              <w:rPr>
                <w:rFonts w:ascii="仿宋_GB2312" w:hAnsi="宋体" w:eastAsia="仿宋_GB2312" w:cs="宋体"/>
                <w:kern w:val="0"/>
                <w:szCs w:val="21"/>
              </w:rPr>
              <w:t>30</w:t>
            </w:r>
          </w:p>
        </w:tc>
        <w:tc>
          <w:tcPr>
            <w:tcW w:w="2551" w:type="dxa"/>
            <w:tcBorders>
              <w:top w:val="nil"/>
              <w:left w:val="nil"/>
              <w:bottom w:val="single" w:color="auto" w:sz="4" w:space="0"/>
              <w:right w:val="single" w:color="auto" w:sz="4" w:space="0"/>
            </w:tcBorders>
            <w:vAlign w:val="center"/>
          </w:tcPr>
          <w:p w14:paraId="0724128C">
            <w:pPr>
              <w:widowControl/>
              <w:jc w:val="left"/>
              <w:rPr>
                <w:rFonts w:ascii="宋体" w:hAnsi="宋体" w:cs="宋体"/>
                <w:kern w:val="0"/>
                <w:szCs w:val="21"/>
              </w:rPr>
            </w:pPr>
            <w:r>
              <w:rPr>
                <w:rFonts w:hint="eastAsia" w:ascii="宋体" w:hAnsi="宋体" w:cs="宋体"/>
                <w:kern w:val="0"/>
                <w:szCs w:val="21"/>
              </w:rPr>
              <w:t>　</w:t>
            </w:r>
          </w:p>
        </w:tc>
        <w:tc>
          <w:tcPr>
            <w:tcW w:w="3261" w:type="dxa"/>
            <w:tcBorders>
              <w:top w:val="nil"/>
              <w:left w:val="nil"/>
              <w:bottom w:val="single" w:color="auto" w:sz="4" w:space="0"/>
              <w:right w:val="single" w:color="auto" w:sz="4" w:space="0"/>
            </w:tcBorders>
            <w:vAlign w:val="center"/>
          </w:tcPr>
          <w:p w14:paraId="399E45BC">
            <w:pPr>
              <w:widowControl/>
              <w:jc w:val="left"/>
              <w:rPr>
                <w:rFonts w:ascii="宋体" w:hAnsi="宋体" w:cs="宋体"/>
                <w:kern w:val="0"/>
                <w:szCs w:val="21"/>
              </w:rPr>
            </w:pPr>
          </w:p>
        </w:tc>
        <w:tc>
          <w:tcPr>
            <w:tcW w:w="992" w:type="dxa"/>
            <w:tcBorders>
              <w:top w:val="nil"/>
              <w:left w:val="nil"/>
              <w:bottom w:val="single" w:color="auto" w:sz="4" w:space="0"/>
              <w:right w:val="single" w:color="auto" w:sz="4" w:space="0"/>
            </w:tcBorders>
            <w:vAlign w:val="center"/>
          </w:tcPr>
          <w:p w14:paraId="796DEF53">
            <w:pPr>
              <w:widowControl/>
              <w:jc w:val="left"/>
              <w:rPr>
                <w:rFonts w:ascii="宋体" w:hAnsi="宋体" w:cs="宋体"/>
                <w:kern w:val="0"/>
                <w:szCs w:val="21"/>
              </w:rPr>
            </w:pPr>
            <w:r>
              <w:rPr>
                <w:rFonts w:hint="eastAsia" w:ascii="宋体" w:hAnsi="宋体" w:cs="宋体"/>
                <w:kern w:val="0"/>
                <w:szCs w:val="21"/>
              </w:rPr>
              <w:t>　</w:t>
            </w:r>
          </w:p>
        </w:tc>
      </w:tr>
      <w:tr w14:paraId="443D43F0">
        <w:tblPrEx>
          <w:tblCellMar>
            <w:top w:w="0" w:type="dxa"/>
            <w:left w:w="108" w:type="dxa"/>
            <w:bottom w:w="0" w:type="dxa"/>
            <w:right w:w="108" w:type="dxa"/>
          </w:tblCellMar>
        </w:tblPrEx>
        <w:trPr>
          <w:jc w:val="center"/>
        </w:trPr>
        <w:tc>
          <w:tcPr>
            <w:tcW w:w="640" w:type="dxa"/>
            <w:tcBorders>
              <w:top w:val="nil"/>
              <w:left w:val="single" w:color="auto" w:sz="4" w:space="0"/>
              <w:bottom w:val="single" w:color="auto" w:sz="4" w:space="0"/>
              <w:right w:val="single" w:color="auto" w:sz="4" w:space="0"/>
            </w:tcBorders>
            <w:vAlign w:val="center"/>
          </w:tcPr>
          <w:p w14:paraId="3C3EB1C2">
            <w:pPr>
              <w:widowControl/>
              <w:jc w:val="center"/>
              <w:rPr>
                <w:rFonts w:ascii="宋体" w:hAnsi="宋体" w:cs="宋体"/>
                <w:kern w:val="0"/>
                <w:szCs w:val="21"/>
              </w:rPr>
            </w:pPr>
            <w:r>
              <w:rPr>
                <w:rFonts w:ascii="宋体" w:hAnsi="宋体" w:cs="宋体"/>
                <w:kern w:val="0"/>
                <w:szCs w:val="21"/>
              </w:rPr>
              <w:t>1</w:t>
            </w:r>
          </w:p>
        </w:tc>
        <w:tc>
          <w:tcPr>
            <w:tcW w:w="1133" w:type="dxa"/>
            <w:tcBorders>
              <w:top w:val="nil"/>
              <w:left w:val="nil"/>
              <w:bottom w:val="single" w:color="auto" w:sz="4" w:space="0"/>
              <w:right w:val="single" w:color="auto" w:sz="4" w:space="0"/>
            </w:tcBorders>
            <w:vAlign w:val="center"/>
          </w:tcPr>
          <w:p w14:paraId="12D23A12">
            <w:pPr>
              <w:widowControl/>
              <w:jc w:val="center"/>
              <w:rPr>
                <w:rFonts w:ascii="宋体" w:hAnsi="宋体" w:cs="宋体"/>
                <w:kern w:val="0"/>
                <w:szCs w:val="21"/>
              </w:rPr>
            </w:pPr>
            <w:r>
              <w:rPr>
                <w:rFonts w:hint="eastAsia" w:ascii="宋体" w:hAnsi="宋体" w:cs="宋体"/>
                <w:kern w:val="0"/>
                <w:szCs w:val="21"/>
              </w:rPr>
              <w:t>错漏碰缺</w:t>
            </w:r>
          </w:p>
        </w:tc>
        <w:tc>
          <w:tcPr>
            <w:tcW w:w="799" w:type="dxa"/>
            <w:tcBorders>
              <w:top w:val="nil"/>
              <w:left w:val="nil"/>
              <w:bottom w:val="single" w:color="auto" w:sz="4" w:space="0"/>
              <w:right w:val="single" w:color="auto" w:sz="4" w:space="0"/>
            </w:tcBorders>
            <w:vAlign w:val="center"/>
          </w:tcPr>
          <w:p w14:paraId="7A74A9C4">
            <w:pPr>
              <w:widowControl/>
              <w:jc w:val="center"/>
              <w:rPr>
                <w:rFonts w:ascii="仿宋_GB2312" w:hAnsi="宋体" w:eastAsia="仿宋_GB2312" w:cs="宋体"/>
                <w:kern w:val="0"/>
                <w:szCs w:val="21"/>
              </w:rPr>
            </w:pPr>
            <w:r>
              <w:rPr>
                <w:rFonts w:ascii="仿宋_GB2312" w:hAnsi="宋体" w:eastAsia="仿宋_GB2312" w:cs="宋体"/>
                <w:kern w:val="0"/>
                <w:szCs w:val="21"/>
              </w:rPr>
              <w:t>20</w:t>
            </w:r>
          </w:p>
        </w:tc>
        <w:tc>
          <w:tcPr>
            <w:tcW w:w="2551" w:type="dxa"/>
            <w:tcBorders>
              <w:top w:val="nil"/>
              <w:left w:val="nil"/>
              <w:bottom w:val="single" w:color="auto" w:sz="4" w:space="0"/>
              <w:right w:val="single" w:color="auto" w:sz="4" w:space="0"/>
            </w:tcBorders>
            <w:vAlign w:val="center"/>
          </w:tcPr>
          <w:p w14:paraId="398DCA0F">
            <w:pPr>
              <w:widowControl/>
              <w:jc w:val="left"/>
              <w:rPr>
                <w:rFonts w:ascii="宋体" w:hAnsi="宋体" w:cs="宋体"/>
                <w:kern w:val="0"/>
                <w:szCs w:val="21"/>
              </w:rPr>
            </w:pPr>
            <w:r>
              <w:rPr>
                <w:rFonts w:hint="eastAsia" w:ascii="宋体" w:hAnsi="宋体" w:cs="宋体"/>
                <w:kern w:val="0"/>
                <w:szCs w:val="21"/>
              </w:rPr>
              <w:t>施工过程中发现设计图纸上存在的错漏碰缺对造价及工期的影响</w:t>
            </w:r>
          </w:p>
        </w:tc>
        <w:tc>
          <w:tcPr>
            <w:tcW w:w="3261" w:type="dxa"/>
            <w:tcBorders>
              <w:top w:val="nil"/>
              <w:left w:val="nil"/>
              <w:bottom w:val="single" w:color="auto" w:sz="4" w:space="0"/>
              <w:right w:val="single" w:color="auto" w:sz="4" w:space="0"/>
            </w:tcBorders>
            <w:vAlign w:val="center"/>
          </w:tcPr>
          <w:p w14:paraId="6CC07B2E">
            <w:pPr>
              <w:widowControl/>
              <w:jc w:val="left"/>
              <w:rPr>
                <w:rFonts w:ascii="宋体" w:hAnsi="宋体" w:cs="宋体"/>
                <w:kern w:val="0"/>
                <w:szCs w:val="21"/>
              </w:rPr>
            </w:pPr>
            <w:r>
              <w:rPr>
                <w:rFonts w:hint="eastAsia" w:ascii="宋体" w:hAnsi="宋体" w:cs="宋体"/>
                <w:kern w:val="0"/>
                <w:szCs w:val="21"/>
              </w:rPr>
              <w:t>设计图纸上存在的错漏碰缺，产生以下影响：</w:t>
            </w:r>
          </w:p>
          <w:p w14:paraId="3E30960A">
            <w:pPr>
              <w:widowControl/>
              <w:jc w:val="left"/>
              <w:rPr>
                <w:rFonts w:ascii="宋体" w:hAnsi="宋体" w:cs="宋体"/>
                <w:kern w:val="0"/>
                <w:szCs w:val="21"/>
              </w:rPr>
            </w:pPr>
            <w:r>
              <w:rPr>
                <w:rFonts w:ascii="宋体" w:hAnsi="宋体" w:cs="宋体"/>
                <w:kern w:val="0"/>
                <w:szCs w:val="21"/>
              </w:rPr>
              <w:t>1、工程造价增加10</w:t>
            </w:r>
            <w:r>
              <w:rPr>
                <w:rFonts w:hint="eastAsia" w:ascii="宋体" w:hAnsi="宋体" w:cs="宋体"/>
                <w:kern w:val="0"/>
                <w:szCs w:val="21"/>
              </w:rPr>
              <w:t>万元（含）以上，或影响总工期</w:t>
            </w:r>
            <w:r>
              <w:rPr>
                <w:rFonts w:ascii="宋体" w:hAnsi="宋体" w:cs="宋体"/>
                <w:kern w:val="0"/>
                <w:szCs w:val="21"/>
              </w:rPr>
              <w:t>10</w:t>
            </w:r>
            <w:r>
              <w:rPr>
                <w:rFonts w:hint="eastAsia" w:ascii="宋体" w:hAnsi="宋体" w:cs="宋体"/>
                <w:kern w:val="0"/>
                <w:szCs w:val="21"/>
              </w:rPr>
              <w:t>天（含）以上的，扣</w:t>
            </w:r>
            <w:r>
              <w:rPr>
                <w:rFonts w:ascii="宋体" w:hAnsi="宋体" w:cs="宋体"/>
                <w:kern w:val="0"/>
                <w:szCs w:val="21"/>
              </w:rPr>
              <w:t>10分；</w:t>
            </w:r>
          </w:p>
          <w:p w14:paraId="620C4526">
            <w:pPr>
              <w:widowControl/>
              <w:jc w:val="left"/>
              <w:rPr>
                <w:rFonts w:ascii="宋体" w:hAnsi="宋体" w:cs="宋体"/>
                <w:kern w:val="0"/>
                <w:szCs w:val="21"/>
              </w:rPr>
            </w:pPr>
            <w:r>
              <w:rPr>
                <w:rFonts w:ascii="宋体" w:hAnsi="宋体" w:cs="宋体"/>
                <w:kern w:val="0"/>
                <w:szCs w:val="21"/>
              </w:rPr>
              <w:t>2、工程造价增加5</w:t>
            </w:r>
            <w:r>
              <w:rPr>
                <w:rFonts w:hint="eastAsia" w:ascii="宋体" w:hAnsi="宋体" w:cs="宋体"/>
                <w:kern w:val="0"/>
                <w:szCs w:val="21"/>
              </w:rPr>
              <w:t>万元（含）</w:t>
            </w:r>
            <w:r>
              <w:rPr>
                <w:rFonts w:ascii="宋体" w:hAnsi="宋体" w:cs="宋体"/>
                <w:kern w:val="0"/>
                <w:szCs w:val="21"/>
              </w:rPr>
              <w:t>-10</w:t>
            </w:r>
            <w:r>
              <w:rPr>
                <w:rFonts w:hint="eastAsia" w:ascii="宋体" w:hAnsi="宋体" w:cs="宋体"/>
                <w:kern w:val="0"/>
                <w:szCs w:val="21"/>
              </w:rPr>
              <w:t>万元的，或影响总工期</w:t>
            </w:r>
            <w:r>
              <w:rPr>
                <w:rFonts w:ascii="宋体" w:hAnsi="宋体" w:cs="宋体"/>
                <w:kern w:val="0"/>
                <w:szCs w:val="21"/>
              </w:rPr>
              <w:t>5天（含）-10</w:t>
            </w:r>
            <w:r>
              <w:rPr>
                <w:rFonts w:hint="eastAsia" w:ascii="宋体" w:hAnsi="宋体" w:cs="宋体"/>
                <w:kern w:val="0"/>
                <w:szCs w:val="21"/>
              </w:rPr>
              <w:t>天的，扣</w:t>
            </w:r>
            <w:r>
              <w:rPr>
                <w:rFonts w:ascii="宋体" w:hAnsi="宋体" w:cs="宋体"/>
                <w:kern w:val="0"/>
                <w:szCs w:val="21"/>
              </w:rPr>
              <w:t>5分；</w:t>
            </w:r>
          </w:p>
          <w:p w14:paraId="6BCE7D58">
            <w:pPr>
              <w:widowControl/>
              <w:jc w:val="left"/>
              <w:rPr>
                <w:rFonts w:ascii="宋体" w:hAnsi="宋体" w:cs="宋体"/>
                <w:kern w:val="0"/>
                <w:szCs w:val="21"/>
              </w:rPr>
            </w:pPr>
            <w:r>
              <w:rPr>
                <w:rFonts w:ascii="宋体" w:hAnsi="宋体" w:cs="宋体"/>
                <w:kern w:val="0"/>
                <w:szCs w:val="21"/>
              </w:rPr>
              <w:t>3、工程造价增加5</w:t>
            </w:r>
            <w:r>
              <w:rPr>
                <w:rFonts w:hint="eastAsia" w:ascii="宋体" w:hAnsi="宋体" w:cs="宋体"/>
                <w:kern w:val="0"/>
                <w:szCs w:val="21"/>
              </w:rPr>
              <w:t>万元以下的，或影响总工期</w:t>
            </w:r>
            <w:r>
              <w:rPr>
                <w:rFonts w:ascii="宋体" w:hAnsi="宋体" w:cs="宋体"/>
                <w:kern w:val="0"/>
                <w:szCs w:val="21"/>
              </w:rPr>
              <w:t>5天以内的，扣2分。</w:t>
            </w:r>
          </w:p>
        </w:tc>
        <w:tc>
          <w:tcPr>
            <w:tcW w:w="992" w:type="dxa"/>
            <w:tcBorders>
              <w:top w:val="nil"/>
              <w:left w:val="nil"/>
              <w:bottom w:val="single" w:color="auto" w:sz="4" w:space="0"/>
              <w:right w:val="single" w:color="auto" w:sz="4" w:space="0"/>
            </w:tcBorders>
            <w:vAlign w:val="center"/>
          </w:tcPr>
          <w:p w14:paraId="48CEAD09">
            <w:pPr>
              <w:widowControl/>
              <w:jc w:val="left"/>
              <w:rPr>
                <w:rFonts w:ascii="宋体" w:hAnsi="宋体" w:cs="宋体"/>
                <w:kern w:val="0"/>
                <w:szCs w:val="21"/>
              </w:rPr>
            </w:pPr>
            <w:r>
              <w:rPr>
                <w:rFonts w:hint="eastAsia" w:ascii="宋体" w:hAnsi="宋体" w:cs="宋体"/>
                <w:kern w:val="0"/>
                <w:szCs w:val="21"/>
              </w:rPr>
              <w:t>　</w:t>
            </w:r>
          </w:p>
        </w:tc>
      </w:tr>
      <w:tr w14:paraId="66ABB326">
        <w:tblPrEx>
          <w:tblCellMar>
            <w:top w:w="0" w:type="dxa"/>
            <w:left w:w="108" w:type="dxa"/>
            <w:bottom w:w="0" w:type="dxa"/>
            <w:right w:w="108" w:type="dxa"/>
          </w:tblCellMar>
        </w:tblPrEx>
        <w:trPr>
          <w:jc w:val="center"/>
        </w:trPr>
        <w:tc>
          <w:tcPr>
            <w:tcW w:w="640" w:type="dxa"/>
            <w:tcBorders>
              <w:top w:val="nil"/>
              <w:left w:val="single" w:color="auto" w:sz="4" w:space="0"/>
              <w:bottom w:val="single" w:color="auto" w:sz="4" w:space="0"/>
              <w:right w:val="single" w:color="auto" w:sz="4" w:space="0"/>
            </w:tcBorders>
            <w:vAlign w:val="center"/>
          </w:tcPr>
          <w:p w14:paraId="22D0A8AF">
            <w:pPr>
              <w:widowControl/>
              <w:jc w:val="center"/>
              <w:rPr>
                <w:rFonts w:ascii="宋体" w:hAnsi="宋体" w:cs="宋体"/>
                <w:kern w:val="0"/>
                <w:szCs w:val="21"/>
              </w:rPr>
            </w:pPr>
            <w:r>
              <w:rPr>
                <w:rFonts w:ascii="宋体" w:hAnsi="宋体" w:cs="宋体"/>
                <w:kern w:val="0"/>
                <w:szCs w:val="21"/>
              </w:rPr>
              <w:t>2</w:t>
            </w:r>
          </w:p>
        </w:tc>
        <w:tc>
          <w:tcPr>
            <w:tcW w:w="1133" w:type="dxa"/>
            <w:tcBorders>
              <w:top w:val="nil"/>
              <w:left w:val="nil"/>
              <w:bottom w:val="single" w:color="auto" w:sz="4" w:space="0"/>
              <w:right w:val="single" w:color="auto" w:sz="4" w:space="0"/>
            </w:tcBorders>
            <w:vAlign w:val="center"/>
          </w:tcPr>
          <w:p w14:paraId="177046B5">
            <w:pPr>
              <w:widowControl/>
              <w:jc w:val="center"/>
              <w:rPr>
                <w:rFonts w:ascii="宋体" w:hAnsi="宋体" w:cs="宋体"/>
                <w:kern w:val="0"/>
                <w:szCs w:val="21"/>
              </w:rPr>
            </w:pPr>
            <w:r>
              <w:rPr>
                <w:rFonts w:hint="eastAsia" w:ascii="宋体" w:hAnsi="宋体" w:cs="宋体"/>
                <w:kern w:val="0"/>
                <w:szCs w:val="21"/>
              </w:rPr>
              <w:t>编制竣工图</w:t>
            </w:r>
          </w:p>
        </w:tc>
        <w:tc>
          <w:tcPr>
            <w:tcW w:w="799" w:type="dxa"/>
            <w:tcBorders>
              <w:top w:val="nil"/>
              <w:left w:val="nil"/>
              <w:bottom w:val="single" w:color="auto" w:sz="4" w:space="0"/>
              <w:right w:val="single" w:color="auto" w:sz="4" w:space="0"/>
            </w:tcBorders>
            <w:vAlign w:val="center"/>
          </w:tcPr>
          <w:p w14:paraId="29197D9A">
            <w:pPr>
              <w:widowControl/>
              <w:jc w:val="center"/>
              <w:rPr>
                <w:rFonts w:ascii="仿宋_GB2312" w:hAnsi="宋体" w:eastAsia="仿宋_GB2312" w:cs="宋体"/>
                <w:kern w:val="0"/>
                <w:szCs w:val="21"/>
              </w:rPr>
            </w:pPr>
            <w:r>
              <w:rPr>
                <w:rFonts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4440F1EF">
            <w:pPr>
              <w:widowControl/>
              <w:jc w:val="left"/>
              <w:rPr>
                <w:rFonts w:ascii="宋体" w:hAnsi="宋体" w:cs="宋体"/>
                <w:kern w:val="0"/>
                <w:szCs w:val="21"/>
              </w:rPr>
            </w:pPr>
            <w:r>
              <w:rPr>
                <w:rFonts w:hint="eastAsia" w:ascii="宋体" w:hAnsi="宋体" w:cs="宋体"/>
                <w:kern w:val="0"/>
                <w:szCs w:val="21"/>
              </w:rPr>
              <w:t>竣工图是否准确反映实际情况</w:t>
            </w:r>
          </w:p>
        </w:tc>
        <w:tc>
          <w:tcPr>
            <w:tcW w:w="3261" w:type="dxa"/>
            <w:tcBorders>
              <w:top w:val="nil"/>
              <w:left w:val="nil"/>
              <w:bottom w:val="single" w:color="auto" w:sz="4" w:space="0"/>
              <w:right w:val="single" w:color="auto" w:sz="4" w:space="0"/>
            </w:tcBorders>
            <w:vAlign w:val="center"/>
          </w:tcPr>
          <w:p w14:paraId="0D5DD27B">
            <w:pPr>
              <w:widowControl/>
              <w:jc w:val="left"/>
              <w:rPr>
                <w:rFonts w:ascii="宋体" w:hAnsi="宋体" w:cs="宋体"/>
                <w:kern w:val="0"/>
                <w:szCs w:val="21"/>
              </w:rPr>
            </w:pPr>
            <w:r>
              <w:rPr>
                <w:rFonts w:hint="eastAsia" w:ascii="宋体" w:hAnsi="宋体" w:cs="宋体"/>
                <w:kern w:val="0"/>
                <w:szCs w:val="21"/>
              </w:rPr>
              <w:t>竣工图不符合实际情况的，每处扣</w:t>
            </w:r>
            <w:r>
              <w:rPr>
                <w:rFonts w:ascii="宋体" w:hAnsi="宋体" w:cs="宋体"/>
                <w:kern w:val="0"/>
                <w:szCs w:val="21"/>
              </w:rPr>
              <w:t>2分。</w:t>
            </w:r>
          </w:p>
        </w:tc>
        <w:tc>
          <w:tcPr>
            <w:tcW w:w="992" w:type="dxa"/>
            <w:tcBorders>
              <w:top w:val="nil"/>
              <w:left w:val="nil"/>
              <w:bottom w:val="single" w:color="auto" w:sz="4" w:space="0"/>
              <w:right w:val="single" w:color="auto" w:sz="4" w:space="0"/>
            </w:tcBorders>
            <w:vAlign w:val="center"/>
          </w:tcPr>
          <w:p w14:paraId="60990A56">
            <w:pPr>
              <w:widowControl/>
              <w:jc w:val="left"/>
              <w:rPr>
                <w:rFonts w:ascii="宋体" w:hAnsi="宋体" w:cs="宋体"/>
                <w:kern w:val="0"/>
                <w:szCs w:val="21"/>
              </w:rPr>
            </w:pPr>
          </w:p>
        </w:tc>
      </w:tr>
      <w:tr w14:paraId="53D2E7CF">
        <w:tblPrEx>
          <w:tblCellMar>
            <w:top w:w="0" w:type="dxa"/>
            <w:left w:w="108" w:type="dxa"/>
            <w:bottom w:w="0" w:type="dxa"/>
            <w:right w:w="108" w:type="dxa"/>
          </w:tblCellMar>
        </w:tblPrEx>
        <w:trPr>
          <w:jc w:val="center"/>
        </w:trPr>
        <w:tc>
          <w:tcPr>
            <w:tcW w:w="640" w:type="dxa"/>
            <w:tcBorders>
              <w:top w:val="nil"/>
              <w:left w:val="single" w:color="auto" w:sz="4" w:space="0"/>
              <w:bottom w:val="single" w:color="auto" w:sz="4" w:space="0"/>
              <w:right w:val="single" w:color="auto" w:sz="4" w:space="0"/>
            </w:tcBorders>
            <w:vAlign w:val="center"/>
          </w:tcPr>
          <w:p w14:paraId="369FDD29">
            <w:pPr>
              <w:widowControl/>
              <w:jc w:val="center"/>
              <w:rPr>
                <w:rFonts w:ascii="宋体" w:hAnsi="宋体" w:cs="宋体"/>
                <w:kern w:val="0"/>
                <w:szCs w:val="21"/>
              </w:rPr>
            </w:pPr>
            <w:r>
              <w:rPr>
                <w:rFonts w:hint="eastAsia" w:ascii="宋体" w:hAnsi="宋体" w:cs="宋体"/>
                <w:kern w:val="0"/>
                <w:szCs w:val="21"/>
              </w:rPr>
              <w:t>三</w:t>
            </w:r>
          </w:p>
        </w:tc>
        <w:tc>
          <w:tcPr>
            <w:tcW w:w="1133" w:type="dxa"/>
            <w:tcBorders>
              <w:top w:val="nil"/>
              <w:left w:val="nil"/>
              <w:bottom w:val="single" w:color="auto" w:sz="4" w:space="0"/>
              <w:right w:val="single" w:color="auto" w:sz="4" w:space="0"/>
            </w:tcBorders>
            <w:vAlign w:val="center"/>
          </w:tcPr>
          <w:p w14:paraId="1BE01E0C">
            <w:pPr>
              <w:widowControl/>
              <w:jc w:val="center"/>
              <w:rPr>
                <w:rFonts w:ascii="宋体" w:hAnsi="宋体" w:cs="宋体"/>
                <w:kern w:val="0"/>
                <w:szCs w:val="21"/>
              </w:rPr>
            </w:pPr>
            <w:r>
              <w:rPr>
                <w:rFonts w:hint="eastAsia" w:ascii="宋体" w:hAnsi="宋体" w:cs="宋体"/>
                <w:kern w:val="0"/>
                <w:szCs w:val="21"/>
              </w:rPr>
              <w:t>工程变更</w:t>
            </w:r>
          </w:p>
        </w:tc>
        <w:tc>
          <w:tcPr>
            <w:tcW w:w="799" w:type="dxa"/>
            <w:tcBorders>
              <w:top w:val="nil"/>
              <w:left w:val="nil"/>
              <w:bottom w:val="single" w:color="auto" w:sz="4" w:space="0"/>
              <w:right w:val="single" w:color="auto" w:sz="4" w:space="0"/>
            </w:tcBorders>
            <w:vAlign w:val="center"/>
          </w:tcPr>
          <w:p w14:paraId="68A10C83">
            <w:pPr>
              <w:widowControl/>
              <w:jc w:val="center"/>
              <w:rPr>
                <w:rFonts w:ascii="仿宋_GB2312" w:hAnsi="宋体" w:eastAsia="仿宋_GB2312" w:cs="宋体"/>
                <w:kern w:val="0"/>
                <w:szCs w:val="21"/>
              </w:rPr>
            </w:pPr>
            <w:r>
              <w:rPr>
                <w:rFonts w:ascii="仿宋_GB2312" w:hAnsi="宋体" w:eastAsia="仿宋_GB2312" w:cs="宋体"/>
                <w:kern w:val="0"/>
                <w:szCs w:val="21"/>
              </w:rPr>
              <w:t>50</w:t>
            </w:r>
          </w:p>
        </w:tc>
        <w:tc>
          <w:tcPr>
            <w:tcW w:w="2551" w:type="dxa"/>
            <w:tcBorders>
              <w:top w:val="nil"/>
              <w:left w:val="nil"/>
              <w:bottom w:val="single" w:color="auto" w:sz="4" w:space="0"/>
              <w:right w:val="single" w:color="auto" w:sz="4" w:space="0"/>
            </w:tcBorders>
            <w:vAlign w:val="center"/>
          </w:tcPr>
          <w:p w14:paraId="6C49C22E">
            <w:pPr>
              <w:widowControl/>
              <w:jc w:val="left"/>
              <w:rPr>
                <w:rFonts w:ascii="宋体" w:hAnsi="宋体" w:cs="宋体"/>
                <w:kern w:val="0"/>
                <w:szCs w:val="21"/>
              </w:rPr>
            </w:pPr>
          </w:p>
        </w:tc>
        <w:tc>
          <w:tcPr>
            <w:tcW w:w="3261" w:type="dxa"/>
            <w:tcBorders>
              <w:top w:val="nil"/>
              <w:left w:val="nil"/>
              <w:bottom w:val="single" w:color="auto" w:sz="4" w:space="0"/>
              <w:right w:val="single" w:color="auto" w:sz="4" w:space="0"/>
            </w:tcBorders>
            <w:vAlign w:val="center"/>
          </w:tcPr>
          <w:p w14:paraId="3D561CC2">
            <w:pPr>
              <w:widowControl/>
              <w:jc w:val="left"/>
              <w:rPr>
                <w:rFonts w:ascii="宋体" w:hAnsi="宋体" w:cs="宋体"/>
                <w:kern w:val="0"/>
                <w:szCs w:val="21"/>
              </w:rPr>
            </w:pPr>
          </w:p>
        </w:tc>
        <w:tc>
          <w:tcPr>
            <w:tcW w:w="992" w:type="dxa"/>
            <w:tcBorders>
              <w:top w:val="nil"/>
              <w:left w:val="nil"/>
              <w:bottom w:val="single" w:color="auto" w:sz="4" w:space="0"/>
              <w:right w:val="single" w:color="auto" w:sz="4" w:space="0"/>
            </w:tcBorders>
            <w:vAlign w:val="center"/>
          </w:tcPr>
          <w:p w14:paraId="1CF171FC">
            <w:pPr>
              <w:widowControl/>
              <w:jc w:val="left"/>
              <w:rPr>
                <w:rFonts w:ascii="宋体" w:hAnsi="宋体" w:cs="宋体"/>
                <w:kern w:val="0"/>
                <w:szCs w:val="21"/>
              </w:rPr>
            </w:pPr>
          </w:p>
        </w:tc>
      </w:tr>
      <w:tr w14:paraId="6951A7F6">
        <w:tblPrEx>
          <w:tblCellMar>
            <w:top w:w="0" w:type="dxa"/>
            <w:left w:w="108" w:type="dxa"/>
            <w:bottom w:w="0" w:type="dxa"/>
            <w:right w:w="108" w:type="dxa"/>
          </w:tblCellMar>
        </w:tblPrEx>
        <w:trPr>
          <w:jc w:val="center"/>
        </w:trPr>
        <w:tc>
          <w:tcPr>
            <w:tcW w:w="640" w:type="dxa"/>
            <w:tcBorders>
              <w:top w:val="nil"/>
              <w:left w:val="single" w:color="auto" w:sz="4" w:space="0"/>
              <w:bottom w:val="single" w:color="auto" w:sz="4" w:space="0"/>
              <w:right w:val="single" w:color="auto" w:sz="4" w:space="0"/>
            </w:tcBorders>
            <w:vAlign w:val="center"/>
          </w:tcPr>
          <w:p w14:paraId="1A75917D">
            <w:pPr>
              <w:widowControl/>
              <w:jc w:val="center"/>
              <w:rPr>
                <w:rFonts w:ascii="宋体" w:hAnsi="宋体" w:cs="宋体"/>
                <w:kern w:val="0"/>
                <w:szCs w:val="21"/>
              </w:rPr>
            </w:pPr>
            <w:r>
              <w:rPr>
                <w:rFonts w:ascii="宋体" w:hAnsi="宋体" w:cs="宋体"/>
                <w:kern w:val="0"/>
                <w:szCs w:val="21"/>
              </w:rPr>
              <w:t>1</w:t>
            </w:r>
          </w:p>
        </w:tc>
        <w:tc>
          <w:tcPr>
            <w:tcW w:w="1133" w:type="dxa"/>
            <w:tcBorders>
              <w:top w:val="nil"/>
              <w:left w:val="nil"/>
              <w:bottom w:val="single" w:color="auto" w:sz="4" w:space="0"/>
              <w:right w:val="single" w:color="auto" w:sz="4" w:space="0"/>
            </w:tcBorders>
            <w:vAlign w:val="center"/>
          </w:tcPr>
          <w:p w14:paraId="1F269956">
            <w:pPr>
              <w:widowControl/>
              <w:jc w:val="center"/>
              <w:rPr>
                <w:rFonts w:ascii="宋体" w:hAnsi="宋体" w:cs="宋体"/>
                <w:kern w:val="0"/>
                <w:szCs w:val="21"/>
              </w:rPr>
            </w:pPr>
            <w:r>
              <w:rPr>
                <w:rFonts w:hint="eastAsia" w:ascii="宋体" w:hAnsi="宋体" w:cs="宋体"/>
                <w:kern w:val="0"/>
                <w:szCs w:val="21"/>
              </w:rPr>
              <w:t>工程变更</w:t>
            </w:r>
          </w:p>
        </w:tc>
        <w:tc>
          <w:tcPr>
            <w:tcW w:w="799" w:type="dxa"/>
            <w:tcBorders>
              <w:top w:val="nil"/>
              <w:left w:val="nil"/>
              <w:bottom w:val="single" w:color="auto" w:sz="4" w:space="0"/>
              <w:right w:val="single" w:color="auto" w:sz="4" w:space="0"/>
            </w:tcBorders>
            <w:vAlign w:val="center"/>
          </w:tcPr>
          <w:p w14:paraId="735AFFAB">
            <w:pPr>
              <w:widowControl/>
              <w:jc w:val="center"/>
              <w:rPr>
                <w:rFonts w:ascii="仿宋_GB2312" w:hAnsi="宋体" w:eastAsia="仿宋_GB2312" w:cs="宋体"/>
                <w:kern w:val="0"/>
                <w:szCs w:val="21"/>
              </w:rPr>
            </w:pPr>
            <w:r>
              <w:rPr>
                <w:rFonts w:ascii="仿宋_GB2312" w:hAnsi="宋体" w:eastAsia="仿宋_GB2312" w:cs="宋体"/>
                <w:kern w:val="0"/>
                <w:szCs w:val="21"/>
              </w:rPr>
              <w:t>40</w:t>
            </w:r>
          </w:p>
        </w:tc>
        <w:tc>
          <w:tcPr>
            <w:tcW w:w="2551" w:type="dxa"/>
            <w:tcBorders>
              <w:top w:val="nil"/>
              <w:left w:val="nil"/>
              <w:bottom w:val="single" w:color="auto" w:sz="4" w:space="0"/>
              <w:right w:val="single" w:color="auto" w:sz="4" w:space="0"/>
            </w:tcBorders>
            <w:vAlign w:val="center"/>
          </w:tcPr>
          <w:p w14:paraId="131F1567">
            <w:pPr>
              <w:widowControl/>
              <w:jc w:val="left"/>
              <w:rPr>
                <w:rFonts w:ascii="宋体" w:hAnsi="宋体" w:cs="宋体"/>
                <w:kern w:val="0"/>
                <w:szCs w:val="21"/>
              </w:rPr>
            </w:pPr>
            <w:r>
              <w:rPr>
                <w:rFonts w:hint="eastAsia" w:ascii="宋体" w:hAnsi="宋体" w:cs="宋体"/>
                <w:kern w:val="0"/>
                <w:szCs w:val="21"/>
              </w:rPr>
              <w:t>是否由乙方设计原因造成设计变更，设计变更是否引起工程费用增加，是否影响工程总工期</w:t>
            </w:r>
          </w:p>
        </w:tc>
        <w:tc>
          <w:tcPr>
            <w:tcW w:w="3261" w:type="dxa"/>
            <w:tcBorders>
              <w:top w:val="nil"/>
              <w:left w:val="nil"/>
              <w:bottom w:val="single" w:color="auto" w:sz="4" w:space="0"/>
              <w:right w:val="single" w:color="auto" w:sz="4" w:space="0"/>
            </w:tcBorders>
            <w:vAlign w:val="center"/>
          </w:tcPr>
          <w:p w14:paraId="2176BACC">
            <w:pPr>
              <w:widowControl/>
              <w:jc w:val="left"/>
              <w:rPr>
                <w:rFonts w:ascii="宋体" w:hAnsi="宋体" w:cs="宋体"/>
                <w:kern w:val="0"/>
                <w:szCs w:val="21"/>
              </w:rPr>
            </w:pPr>
            <w:r>
              <w:rPr>
                <w:rFonts w:hint="eastAsia" w:ascii="宋体" w:hAnsi="宋体" w:cs="宋体"/>
                <w:kern w:val="0"/>
                <w:szCs w:val="21"/>
              </w:rPr>
              <w:t>由乙方原因造成的设计变更，产生以下影响：</w:t>
            </w:r>
          </w:p>
          <w:p w14:paraId="0BCD6861">
            <w:pPr>
              <w:widowControl/>
              <w:jc w:val="left"/>
              <w:rPr>
                <w:rFonts w:ascii="宋体" w:hAnsi="宋体" w:cs="宋体"/>
                <w:kern w:val="0"/>
                <w:szCs w:val="21"/>
              </w:rPr>
            </w:pPr>
            <w:r>
              <w:rPr>
                <w:rFonts w:hint="eastAsia" w:ascii="宋体" w:hAnsi="宋体" w:cs="宋体"/>
                <w:kern w:val="0"/>
                <w:szCs w:val="21"/>
              </w:rPr>
              <w:t>设计变更超过施工合同价</w:t>
            </w:r>
            <w:r>
              <w:rPr>
                <w:rFonts w:ascii="宋体" w:hAnsi="宋体" w:cs="宋体"/>
                <w:kern w:val="0"/>
                <w:szCs w:val="21"/>
              </w:rPr>
              <w:t>10%的，扣40分；</w:t>
            </w:r>
          </w:p>
          <w:p w14:paraId="05EA8795">
            <w:pPr>
              <w:widowControl/>
              <w:jc w:val="left"/>
              <w:rPr>
                <w:rFonts w:ascii="宋体" w:hAnsi="宋体" w:cs="宋体"/>
                <w:kern w:val="0"/>
                <w:szCs w:val="21"/>
              </w:rPr>
            </w:pPr>
            <w:r>
              <w:rPr>
                <w:rFonts w:hint="eastAsia" w:ascii="宋体" w:hAnsi="宋体" w:cs="宋体"/>
                <w:kern w:val="0"/>
                <w:szCs w:val="21"/>
              </w:rPr>
              <w:t>设计变更超过施工合同价</w:t>
            </w:r>
            <w:r>
              <w:rPr>
                <w:rFonts w:ascii="宋体" w:hAnsi="宋体" w:cs="宋体"/>
                <w:kern w:val="0"/>
                <w:szCs w:val="21"/>
              </w:rPr>
              <w:t>5%的，扣20分；</w:t>
            </w:r>
          </w:p>
          <w:p w14:paraId="4C09939B">
            <w:pPr>
              <w:widowControl/>
              <w:jc w:val="left"/>
              <w:rPr>
                <w:rFonts w:ascii="宋体" w:hAnsi="宋体" w:cs="宋体"/>
                <w:kern w:val="0"/>
                <w:szCs w:val="21"/>
              </w:rPr>
            </w:pPr>
            <w:r>
              <w:rPr>
                <w:rFonts w:hint="eastAsia" w:ascii="宋体" w:hAnsi="宋体" w:cs="宋体"/>
                <w:kern w:val="0"/>
                <w:szCs w:val="21"/>
              </w:rPr>
              <w:t>需调整工程总概算来处理其费用变化，或影响总工期</w:t>
            </w:r>
            <w:r>
              <w:rPr>
                <w:rFonts w:ascii="宋体" w:hAnsi="宋体" w:cs="宋体"/>
                <w:kern w:val="0"/>
                <w:szCs w:val="21"/>
              </w:rPr>
              <w:t>30天以上（含30天），每次扣20分；</w:t>
            </w:r>
          </w:p>
          <w:p w14:paraId="76792ED5">
            <w:pPr>
              <w:widowControl/>
              <w:jc w:val="left"/>
              <w:rPr>
                <w:rFonts w:ascii="宋体" w:hAnsi="宋体" w:cs="宋体"/>
                <w:kern w:val="0"/>
                <w:szCs w:val="21"/>
              </w:rPr>
            </w:pPr>
            <w:r>
              <w:rPr>
                <w:rFonts w:hint="eastAsia" w:ascii="宋体" w:hAnsi="宋体" w:cs="宋体"/>
                <w:kern w:val="0"/>
                <w:szCs w:val="21"/>
              </w:rPr>
              <w:t>一次工程变更估算金额增加在</w:t>
            </w:r>
            <w:r>
              <w:rPr>
                <w:rFonts w:ascii="宋体" w:hAnsi="宋体" w:cs="宋体"/>
                <w:kern w:val="0"/>
                <w:szCs w:val="21"/>
              </w:rPr>
              <w:t>50万元（含）以上，或影响总工期10-30天（含10天）的工程变更，扣10分；</w:t>
            </w:r>
          </w:p>
          <w:p w14:paraId="063347B0">
            <w:pPr>
              <w:widowControl/>
              <w:jc w:val="left"/>
              <w:rPr>
                <w:rFonts w:ascii="宋体" w:hAnsi="宋体" w:cs="宋体"/>
                <w:kern w:val="0"/>
                <w:szCs w:val="21"/>
              </w:rPr>
            </w:pPr>
            <w:r>
              <w:rPr>
                <w:rFonts w:hint="eastAsia" w:ascii="宋体" w:hAnsi="宋体" w:cs="宋体"/>
                <w:kern w:val="0"/>
                <w:szCs w:val="21"/>
              </w:rPr>
              <w:t>一次工程变更估算金额增加在</w:t>
            </w:r>
            <w:r>
              <w:rPr>
                <w:rFonts w:ascii="宋体" w:hAnsi="宋体" w:cs="宋体"/>
                <w:kern w:val="0"/>
                <w:szCs w:val="21"/>
              </w:rPr>
              <w:t>5-50万元（含5万元）的工程变更，或影响总工期10天以内的工程变更，扣5分；</w:t>
            </w:r>
          </w:p>
          <w:p w14:paraId="3A296760">
            <w:pPr>
              <w:widowControl/>
              <w:jc w:val="left"/>
              <w:rPr>
                <w:rFonts w:ascii="宋体" w:hAnsi="宋体" w:cs="宋体"/>
                <w:kern w:val="0"/>
                <w:szCs w:val="21"/>
              </w:rPr>
            </w:pPr>
            <w:r>
              <w:rPr>
                <w:rFonts w:hint="eastAsia" w:ascii="宋体" w:hAnsi="宋体" w:cs="宋体"/>
                <w:kern w:val="0"/>
                <w:szCs w:val="21"/>
              </w:rPr>
              <w:t>一次工程变更估算金额增加在</w:t>
            </w:r>
            <w:r>
              <w:rPr>
                <w:rFonts w:ascii="宋体" w:hAnsi="宋体" w:cs="宋体"/>
                <w:kern w:val="0"/>
                <w:szCs w:val="21"/>
              </w:rPr>
              <w:t>5万元以下的工程变更，扣3分。</w:t>
            </w:r>
          </w:p>
        </w:tc>
        <w:tc>
          <w:tcPr>
            <w:tcW w:w="992" w:type="dxa"/>
            <w:tcBorders>
              <w:top w:val="nil"/>
              <w:left w:val="nil"/>
              <w:bottom w:val="single" w:color="auto" w:sz="4" w:space="0"/>
              <w:right w:val="single" w:color="auto" w:sz="4" w:space="0"/>
            </w:tcBorders>
            <w:vAlign w:val="center"/>
          </w:tcPr>
          <w:p w14:paraId="67B67DA7">
            <w:pPr>
              <w:widowControl/>
              <w:jc w:val="left"/>
              <w:rPr>
                <w:rFonts w:ascii="宋体" w:hAnsi="宋体" w:cs="宋体"/>
                <w:kern w:val="0"/>
                <w:szCs w:val="21"/>
              </w:rPr>
            </w:pPr>
          </w:p>
        </w:tc>
      </w:tr>
      <w:tr w14:paraId="6ED92A05">
        <w:tblPrEx>
          <w:tblCellMar>
            <w:top w:w="0" w:type="dxa"/>
            <w:left w:w="108" w:type="dxa"/>
            <w:bottom w:w="0" w:type="dxa"/>
            <w:right w:w="108" w:type="dxa"/>
          </w:tblCellMar>
        </w:tblPrEx>
        <w:trPr>
          <w:jc w:val="center"/>
        </w:trPr>
        <w:tc>
          <w:tcPr>
            <w:tcW w:w="640" w:type="dxa"/>
            <w:tcBorders>
              <w:top w:val="nil"/>
              <w:left w:val="single" w:color="auto" w:sz="4" w:space="0"/>
              <w:bottom w:val="single" w:color="auto" w:sz="4" w:space="0"/>
              <w:right w:val="single" w:color="auto" w:sz="4" w:space="0"/>
            </w:tcBorders>
            <w:vAlign w:val="center"/>
          </w:tcPr>
          <w:p w14:paraId="3717633B">
            <w:pPr>
              <w:widowControl/>
              <w:jc w:val="center"/>
              <w:rPr>
                <w:rFonts w:ascii="宋体" w:hAnsi="宋体" w:cs="宋体"/>
                <w:kern w:val="0"/>
                <w:szCs w:val="21"/>
              </w:rPr>
            </w:pPr>
            <w:r>
              <w:rPr>
                <w:rFonts w:ascii="宋体" w:hAnsi="宋体" w:cs="宋体"/>
                <w:kern w:val="0"/>
                <w:szCs w:val="21"/>
              </w:rPr>
              <w:t>2</w:t>
            </w:r>
          </w:p>
        </w:tc>
        <w:tc>
          <w:tcPr>
            <w:tcW w:w="1133" w:type="dxa"/>
            <w:tcBorders>
              <w:top w:val="nil"/>
              <w:left w:val="nil"/>
              <w:bottom w:val="single" w:color="auto" w:sz="4" w:space="0"/>
              <w:right w:val="single" w:color="auto" w:sz="4" w:space="0"/>
            </w:tcBorders>
            <w:vAlign w:val="center"/>
          </w:tcPr>
          <w:p w14:paraId="37CC2B02">
            <w:pPr>
              <w:widowControl/>
              <w:jc w:val="center"/>
              <w:rPr>
                <w:rFonts w:ascii="宋体" w:hAnsi="宋体" w:cs="宋体"/>
                <w:kern w:val="0"/>
                <w:szCs w:val="21"/>
              </w:rPr>
            </w:pPr>
            <w:r>
              <w:rPr>
                <w:rFonts w:hint="eastAsia" w:ascii="宋体" w:hAnsi="宋体" w:cs="宋体"/>
                <w:kern w:val="0"/>
                <w:szCs w:val="21"/>
              </w:rPr>
              <w:t>工程变更设计进度</w:t>
            </w:r>
          </w:p>
        </w:tc>
        <w:tc>
          <w:tcPr>
            <w:tcW w:w="799" w:type="dxa"/>
            <w:tcBorders>
              <w:top w:val="nil"/>
              <w:left w:val="nil"/>
              <w:bottom w:val="single" w:color="auto" w:sz="4" w:space="0"/>
              <w:right w:val="single" w:color="auto" w:sz="4" w:space="0"/>
            </w:tcBorders>
            <w:vAlign w:val="center"/>
          </w:tcPr>
          <w:p w14:paraId="5D3231A5">
            <w:pPr>
              <w:widowControl/>
              <w:jc w:val="center"/>
              <w:rPr>
                <w:rFonts w:ascii="仿宋_GB2312" w:hAnsi="宋体" w:eastAsia="仿宋_GB2312" w:cs="宋体"/>
                <w:kern w:val="0"/>
                <w:szCs w:val="21"/>
              </w:rPr>
            </w:pPr>
            <w:r>
              <w:rPr>
                <w:rFonts w:ascii="仿宋_GB2312" w:hAnsi="宋体" w:eastAsia="仿宋_GB2312" w:cs="宋体"/>
                <w:kern w:val="0"/>
                <w:szCs w:val="21"/>
              </w:rPr>
              <w:t>10</w:t>
            </w:r>
          </w:p>
        </w:tc>
        <w:tc>
          <w:tcPr>
            <w:tcW w:w="2551" w:type="dxa"/>
            <w:tcBorders>
              <w:top w:val="nil"/>
              <w:left w:val="nil"/>
              <w:bottom w:val="single" w:color="auto" w:sz="4" w:space="0"/>
              <w:right w:val="single" w:color="auto" w:sz="4" w:space="0"/>
            </w:tcBorders>
            <w:vAlign w:val="center"/>
          </w:tcPr>
          <w:p w14:paraId="43FFCCBD">
            <w:pPr>
              <w:widowControl/>
              <w:jc w:val="left"/>
              <w:rPr>
                <w:rFonts w:ascii="宋体" w:hAnsi="宋体" w:cs="宋体"/>
                <w:kern w:val="0"/>
                <w:szCs w:val="21"/>
              </w:rPr>
            </w:pPr>
            <w:r>
              <w:rPr>
                <w:rFonts w:hint="eastAsia" w:ascii="宋体" w:hAnsi="宋体" w:cs="宋体"/>
                <w:kern w:val="0"/>
                <w:szCs w:val="21"/>
              </w:rPr>
              <w:t>是否及时按甲方要求完成设计变更</w:t>
            </w:r>
          </w:p>
        </w:tc>
        <w:tc>
          <w:tcPr>
            <w:tcW w:w="3261" w:type="dxa"/>
            <w:tcBorders>
              <w:top w:val="nil"/>
              <w:left w:val="nil"/>
              <w:bottom w:val="single" w:color="auto" w:sz="4" w:space="0"/>
              <w:right w:val="single" w:color="auto" w:sz="4" w:space="0"/>
            </w:tcBorders>
            <w:vAlign w:val="center"/>
          </w:tcPr>
          <w:p w14:paraId="76BF48A2">
            <w:pPr>
              <w:widowControl/>
              <w:jc w:val="left"/>
              <w:rPr>
                <w:rFonts w:ascii="宋体" w:hAnsi="宋体" w:cs="宋体"/>
                <w:kern w:val="0"/>
                <w:szCs w:val="21"/>
              </w:rPr>
            </w:pPr>
            <w:r>
              <w:rPr>
                <w:rFonts w:hint="eastAsia" w:ascii="宋体" w:hAnsi="宋体" w:cs="宋体"/>
                <w:kern w:val="0"/>
                <w:szCs w:val="21"/>
              </w:rPr>
              <w:t>好：得</w:t>
            </w:r>
            <w:r>
              <w:rPr>
                <w:rFonts w:ascii="宋体" w:hAnsi="宋体" w:cs="宋体"/>
                <w:kern w:val="0"/>
                <w:szCs w:val="21"/>
              </w:rPr>
              <w:t>10分</w:t>
            </w:r>
          </w:p>
          <w:p w14:paraId="11399E7B">
            <w:pPr>
              <w:widowControl/>
              <w:jc w:val="left"/>
              <w:rPr>
                <w:rFonts w:ascii="宋体" w:hAnsi="宋体" w:cs="宋体"/>
                <w:kern w:val="0"/>
                <w:szCs w:val="21"/>
              </w:rPr>
            </w:pPr>
            <w:r>
              <w:rPr>
                <w:rFonts w:hint="eastAsia" w:ascii="宋体" w:hAnsi="宋体" w:cs="宋体"/>
                <w:kern w:val="0"/>
                <w:szCs w:val="21"/>
              </w:rPr>
              <w:t>较好：得</w:t>
            </w:r>
            <w:r>
              <w:rPr>
                <w:rFonts w:ascii="宋体" w:hAnsi="宋体" w:cs="宋体"/>
                <w:kern w:val="0"/>
                <w:szCs w:val="21"/>
              </w:rPr>
              <w:t>8分</w:t>
            </w:r>
          </w:p>
          <w:p w14:paraId="4D4F8927">
            <w:pPr>
              <w:widowControl/>
              <w:jc w:val="left"/>
              <w:rPr>
                <w:rFonts w:ascii="宋体" w:hAnsi="宋体" w:cs="宋体"/>
                <w:kern w:val="0"/>
                <w:szCs w:val="21"/>
              </w:rPr>
            </w:pPr>
            <w:r>
              <w:rPr>
                <w:rFonts w:hint="eastAsia" w:ascii="宋体" w:hAnsi="宋体" w:cs="宋体"/>
                <w:kern w:val="0"/>
                <w:szCs w:val="21"/>
              </w:rPr>
              <w:t>一般：得</w:t>
            </w:r>
            <w:r>
              <w:rPr>
                <w:rFonts w:ascii="宋体" w:hAnsi="宋体" w:cs="宋体"/>
                <w:kern w:val="0"/>
                <w:szCs w:val="21"/>
              </w:rPr>
              <w:t>6分</w:t>
            </w:r>
          </w:p>
          <w:p w14:paraId="1003C4A9">
            <w:pPr>
              <w:widowControl/>
              <w:jc w:val="left"/>
              <w:rPr>
                <w:rFonts w:ascii="宋体" w:hAnsi="宋体" w:cs="宋体"/>
                <w:kern w:val="0"/>
                <w:szCs w:val="21"/>
              </w:rPr>
            </w:pPr>
            <w:r>
              <w:rPr>
                <w:rFonts w:hint="eastAsia" w:ascii="宋体" w:hAnsi="宋体" w:cs="宋体"/>
                <w:kern w:val="0"/>
                <w:szCs w:val="21"/>
              </w:rPr>
              <w:t>较差：得</w:t>
            </w:r>
            <w:r>
              <w:rPr>
                <w:rFonts w:ascii="宋体" w:hAnsi="宋体" w:cs="宋体"/>
                <w:kern w:val="0"/>
                <w:szCs w:val="21"/>
              </w:rPr>
              <w:t>4分</w:t>
            </w:r>
          </w:p>
          <w:p w14:paraId="7FE29138">
            <w:pPr>
              <w:widowControl/>
              <w:jc w:val="left"/>
              <w:rPr>
                <w:rFonts w:ascii="宋体" w:hAnsi="宋体" w:cs="宋体"/>
                <w:kern w:val="0"/>
                <w:szCs w:val="21"/>
              </w:rPr>
            </w:pPr>
            <w:r>
              <w:rPr>
                <w:rFonts w:hint="eastAsia" w:ascii="宋体" w:hAnsi="宋体" w:cs="宋体"/>
                <w:kern w:val="0"/>
                <w:szCs w:val="21"/>
              </w:rPr>
              <w:t>差：得</w:t>
            </w:r>
            <w:r>
              <w:rPr>
                <w:rFonts w:ascii="宋体" w:hAnsi="宋体" w:cs="宋体"/>
                <w:kern w:val="0"/>
                <w:szCs w:val="21"/>
              </w:rPr>
              <w:t>2分</w:t>
            </w:r>
          </w:p>
        </w:tc>
        <w:tc>
          <w:tcPr>
            <w:tcW w:w="992" w:type="dxa"/>
            <w:tcBorders>
              <w:top w:val="nil"/>
              <w:left w:val="nil"/>
              <w:bottom w:val="single" w:color="auto" w:sz="4" w:space="0"/>
              <w:right w:val="single" w:color="auto" w:sz="4" w:space="0"/>
            </w:tcBorders>
            <w:vAlign w:val="center"/>
          </w:tcPr>
          <w:p w14:paraId="1E1B5DF5">
            <w:pPr>
              <w:widowControl/>
              <w:jc w:val="left"/>
              <w:rPr>
                <w:rFonts w:ascii="宋体" w:hAnsi="宋体" w:cs="宋体"/>
                <w:kern w:val="0"/>
                <w:szCs w:val="21"/>
              </w:rPr>
            </w:pPr>
          </w:p>
        </w:tc>
      </w:tr>
      <w:tr w14:paraId="3ED7A823">
        <w:tblPrEx>
          <w:tblCellMar>
            <w:top w:w="0" w:type="dxa"/>
            <w:left w:w="108" w:type="dxa"/>
            <w:bottom w:w="0" w:type="dxa"/>
            <w:right w:w="108" w:type="dxa"/>
          </w:tblCellMar>
        </w:tblPrEx>
        <w:trPr>
          <w:jc w:val="center"/>
        </w:trPr>
        <w:tc>
          <w:tcPr>
            <w:tcW w:w="640" w:type="dxa"/>
            <w:tcBorders>
              <w:top w:val="nil"/>
              <w:left w:val="single" w:color="auto" w:sz="4" w:space="0"/>
              <w:bottom w:val="single" w:color="auto" w:sz="4" w:space="0"/>
              <w:right w:val="single" w:color="auto" w:sz="4" w:space="0"/>
            </w:tcBorders>
            <w:vAlign w:val="center"/>
          </w:tcPr>
          <w:p w14:paraId="25F740B9">
            <w:pPr>
              <w:widowControl/>
              <w:jc w:val="center"/>
              <w:rPr>
                <w:kern w:val="0"/>
                <w:szCs w:val="21"/>
              </w:rPr>
            </w:pPr>
            <w:r>
              <w:rPr>
                <w:rFonts w:hint="eastAsia"/>
                <w:kern w:val="0"/>
                <w:szCs w:val="21"/>
              </w:rPr>
              <w:t>　</w:t>
            </w:r>
          </w:p>
        </w:tc>
        <w:tc>
          <w:tcPr>
            <w:tcW w:w="1133" w:type="dxa"/>
            <w:tcBorders>
              <w:top w:val="nil"/>
              <w:left w:val="nil"/>
              <w:bottom w:val="single" w:color="auto" w:sz="4" w:space="0"/>
              <w:right w:val="single" w:color="auto" w:sz="4" w:space="0"/>
            </w:tcBorders>
            <w:vAlign w:val="center"/>
          </w:tcPr>
          <w:p w14:paraId="1D890A0E">
            <w:pPr>
              <w:widowControl/>
              <w:jc w:val="center"/>
              <w:rPr>
                <w:kern w:val="0"/>
                <w:szCs w:val="21"/>
              </w:rPr>
            </w:pPr>
            <w:r>
              <w:rPr>
                <w:rFonts w:hint="eastAsia"/>
                <w:kern w:val="0"/>
                <w:szCs w:val="21"/>
              </w:rPr>
              <w:t>合计</w:t>
            </w:r>
          </w:p>
        </w:tc>
        <w:tc>
          <w:tcPr>
            <w:tcW w:w="799" w:type="dxa"/>
            <w:tcBorders>
              <w:top w:val="nil"/>
              <w:left w:val="nil"/>
              <w:bottom w:val="single" w:color="auto" w:sz="4" w:space="0"/>
              <w:right w:val="single" w:color="auto" w:sz="4" w:space="0"/>
            </w:tcBorders>
            <w:vAlign w:val="center"/>
          </w:tcPr>
          <w:p w14:paraId="37AC1B0D">
            <w:pPr>
              <w:widowControl/>
              <w:jc w:val="center"/>
              <w:rPr>
                <w:kern w:val="0"/>
                <w:szCs w:val="21"/>
              </w:rPr>
            </w:pPr>
            <w:r>
              <w:rPr>
                <w:kern w:val="0"/>
                <w:szCs w:val="21"/>
              </w:rPr>
              <w:t>100</w:t>
            </w:r>
          </w:p>
        </w:tc>
        <w:tc>
          <w:tcPr>
            <w:tcW w:w="2551" w:type="dxa"/>
            <w:tcBorders>
              <w:top w:val="nil"/>
              <w:left w:val="nil"/>
              <w:bottom w:val="single" w:color="auto" w:sz="4" w:space="0"/>
              <w:right w:val="single" w:color="auto" w:sz="4" w:space="0"/>
            </w:tcBorders>
            <w:vAlign w:val="center"/>
          </w:tcPr>
          <w:p w14:paraId="26AD5A50">
            <w:pPr>
              <w:widowControl/>
              <w:rPr>
                <w:kern w:val="0"/>
                <w:szCs w:val="21"/>
              </w:rPr>
            </w:pPr>
          </w:p>
        </w:tc>
        <w:tc>
          <w:tcPr>
            <w:tcW w:w="3261" w:type="dxa"/>
            <w:tcBorders>
              <w:top w:val="nil"/>
              <w:left w:val="nil"/>
              <w:bottom w:val="single" w:color="auto" w:sz="4" w:space="0"/>
              <w:right w:val="single" w:color="auto" w:sz="4" w:space="0"/>
            </w:tcBorders>
            <w:vAlign w:val="center"/>
          </w:tcPr>
          <w:p w14:paraId="6BA4381B">
            <w:pPr>
              <w:widowControl/>
              <w:rPr>
                <w:kern w:val="0"/>
                <w:szCs w:val="21"/>
              </w:rPr>
            </w:pPr>
          </w:p>
        </w:tc>
        <w:tc>
          <w:tcPr>
            <w:tcW w:w="992" w:type="dxa"/>
            <w:tcBorders>
              <w:top w:val="nil"/>
              <w:left w:val="nil"/>
              <w:bottom w:val="single" w:color="auto" w:sz="4" w:space="0"/>
              <w:right w:val="single" w:color="auto" w:sz="4" w:space="0"/>
            </w:tcBorders>
            <w:vAlign w:val="center"/>
          </w:tcPr>
          <w:p w14:paraId="665C234D">
            <w:pPr>
              <w:widowControl/>
              <w:rPr>
                <w:kern w:val="0"/>
                <w:szCs w:val="21"/>
              </w:rPr>
            </w:pPr>
          </w:p>
        </w:tc>
      </w:tr>
    </w:tbl>
    <w:p w14:paraId="4A97489E">
      <w:pPr>
        <w:adjustRightInd w:val="0"/>
        <w:snapToGrid w:val="0"/>
        <w:rPr>
          <w:rFonts w:ascii="宋体" w:hAnsi="宋体" w:cs="宋体"/>
          <w:kern w:val="0"/>
          <w:szCs w:val="21"/>
        </w:rPr>
      </w:pPr>
      <w:r>
        <w:rPr>
          <w:rFonts w:hint="eastAsia" w:ascii="宋体" w:hAnsi="宋体" w:cs="宋体"/>
          <w:kern w:val="0"/>
          <w:szCs w:val="21"/>
        </w:rPr>
        <w:t>一、注：</w:t>
      </w:r>
    </w:p>
    <w:p w14:paraId="3FA17C06">
      <w:pPr>
        <w:adjustRightInd w:val="0"/>
        <w:snapToGrid w:val="0"/>
        <w:rPr>
          <w:rFonts w:ascii="宋体" w:hAnsi="宋体" w:cs="宋体"/>
          <w:kern w:val="0"/>
          <w:szCs w:val="21"/>
        </w:rPr>
      </w:pPr>
      <w:r>
        <w:rPr>
          <w:rFonts w:ascii="宋体" w:hAnsi="宋体" w:cs="宋体"/>
          <w:kern w:val="0"/>
          <w:szCs w:val="21"/>
        </w:rPr>
        <w:t>1、每一评分项扣分，至该项对应分值扣完为止。</w:t>
      </w:r>
    </w:p>
    <w:p w14:paraId="388A9066">
      <w:pPr>
        <w:adjustRightInd w:val="0"/>
        <w:snapToGrid w:val="0"/>
        <w:rPr>
          <w:rFonts w:ascii="宋体" w:hAnsi="宋体" w:cs="宋体"/>
          <w:kern w:val="0"/>
          <w:szCs w:val="21"/>
        </w:rPr>
      </w:pPr>
      <w:r>
        <w:rPr>
          <w:rFonts w:ascii="宋体" w:hAnsi="宋体" w:cs="宋体"/>
          <w:kern w:val="0"/>
          <w:szCs w:val="21"/>
        </w:rPr>
        <w:t>2、应在岗实际未在岗累计达到3天的，或经问询明显不了解项目具体情况累计达到3次的，或未按甲方要求出席会议累计达到3次的，可认定自行更换</w:t>
      </w:r>
    </w:p>
    <w:p w14:paraId="468176ED">
      <w:pPr>
        <w:adjustRightInd w:val="0"/>
        <w:snapToGrid w:val="0"/>
        <w:rPr>
          <w:rFonts w:ascii="宋体" w:hAnsi="宋体" w:cs="宋体"/>
          <w:kern w:val="0"/>
          <w:szCs w:val="21"/>
        </w:rPr>
      </w:pPr>
    </w:p>
    <w:p w14:paraId="7352DB54">
      <w:pPr>
        <w:adjustRightInd w:val="0"/>
        <w:snapToGrid w:val="0"/>
        <w:rPr>
          <w:rFonts w:ascii="宋体" w:hAnsi="宋体" w:cs="宋体"/>
          <w:kern w:val="0"/>
          <w:szCs w:val="21"/>
        </w:rPr>
      </w:pPr>
      <w:r>
        <w:rPr>
          <w:rFonts w:hint="eastAsia" w:ascii="宋体" w:hAnsi="宋体" w:cs="宋体"/>
          <w:kern w:val="0"/>
          <w:szCs w:val="21"/>
        </w:rPr>
        <w:t>二、扣分情况说明：</w:t>
      </w:r>
    </w:p>
    <w:p w14:paraId="37E26012">
      <w:pPr>
        <w:adjustRightInd w:val="0"/>
        <w:snapToGrid w:val="0"/>
        <w:rPr>
          <w:rFonts w:ascii="宋体" w:hAnsi="宋体" w:cs="宋体"/>
          <w:kern w:val="0"/>
          <w:szCs w:val="21"/>
        </w:rPr>
      </w:pPr>
      <w:r>
        <w:rPr>
          <w:rFonts w:ascii="宋体" w:hAnsi="宋体" w:cs="宋体"/>
          <w:kern w:val="0"/>
          <w:szCs w:val="21"/>
        </w:rPr>
        <w:t>1、</w:t>
      </w:r>
    </w:p>
    <w:p w14:paraId="2DF87A5E">
      <w:pPr>
        <w:adjustRightInd w:val="0"/>
        <w:snapToGrid w:val="0"/>
        <w:rPr>
          <w:rFonts w:ascii="宋体" w:hAnsi="宋体" w:cs="宋体"/>
          <w:kern w:val="0"/>
          <w:szCs w:val="21"/>
        </w:rPr>
      </w:pPr>
      <w:r>
        <w:rPr>
          <w:rFonts w:ascii="宋体" w:hAnsi="宋体" w:cs="宋体"/>
          <w:kern w:val="0"/>
          <w:szCs w:val="21"/>
        </w:rPr>
        <w:t>2、</w:t>
      </w:r>
    </w:p>
    <w:p w14:paraId="548D7E3A">
      <w:pPr>
        <w:adjustRightInd w:val="0"/>
        <w:snapToGrid w:val="0"/>
        <w:rPr>
          <w:rFonts w:ascii="宋体" w:hAnsi="宋体" w:cs="宋体"/>
          <w:kern w:val="0"/>
          <w:szCs w:val="21"/>
        </w:rPr>
      </w:pPr>
      <w:r>
        <w:rPr>
          <w:rFonts w:ascii="宋体" w:hAnsi="宋体" w:cs="宋体"/>
          <w:kern w:val="0"/>
          <w:szCs w:val="21"/>
        </w:rPr>
        <w:t>3、</w:t>
      </w:r>
    </w:p>
    <w:p w14:paraId="64FE40B2">
      <w:pPr>
        <w:adjustRightInd w:val="0"/>
        <w:snapToGrid w:val="0"/>
        <w:rPr>
          <w:rFonts w:ascii="宋体" w:hAnsi="宋体" w:cs="宋体"/>
          <w:kern w:val="0"/>
          <w:szCs w:val="21"/>
        </w:rPr>
      </w:pPr>
      <w:r>
        <w:rPr>
          <w:rFonts w:hint="eastAsia" w:ascii="宋体" w:hAnsi="宋体" w:cs="宋体"/>
          <w:kern w:val="0"/>
          <w:szCs w:val="21"/>
        </w:rPr>
        <w:t>…</w:t>
      </w:r>
    </w:p>
    <w:p w14:paraId="28530C83">
      <w:pPr>
        <w:adjustRightInd w:val="0"/>
        <w:snapToGrid w:val="0"/>
        <w:rPr>
          <w:rFonts w:ascii="宋体" w:hAnsi="宋体" w:cs="宋体"/>
          <w:kern w:val="0"/>
          <w:szCs w:val="21"/>
        </w:rPr>
      </w:pPr>
    </w:p>
    <w:p w14:paraId="3384F05B">
      <w:pPr>
        <w:adjustRightInd w:val="0"/>
        <w:snapToGrid w:val="0"/>
        <w:rPr>
          <w:rFonts w:ascii="宋体" w:hAnsi="宋体" w:cs="宋体"/>
          <w:kern w:val="0"/>
          <w:szCs w:val="21"/>
          <w:u w:val="single"/>
        </w:rPr>
      </w:pPr>
      <w:r>
        <w:rPr>
          <w:rFonts w:hint="eastAsia" w:ascii="宋体" w:hAnsi="宋体" w:cs="宋体"/>
          <w:kern w:val="0"/>
          <w:szCs w:val="21"/>
        </w:rPr>
        <w:t>项目负责人：×××</w:t>
      </w:r>
      <w:r>
        <w:rPr>
          <w:rFonts w:ascii="宋体" w:hAnsi="宋体" w:cs="宋体"/>
          <w:kern w:val="0"/>
          <w:szCs w:val="21"/>
        </w:rPr>
        <w:t xml:space="preserve">  </w:t>
      </w:r>
      <w:r>
        <w:rPr>
          <w:rFonts w:hint="eastAsia" w:ascii="宋体" w:hAnsi="宋体" w:cs="宋体"/>
          <w:kern w:val="0"/>
          <w:szCs w:val="21"/>
        </w:rPr>
        <w:t>签名：</w:t>
      </w:r>
      <w:r>
        <w:rPr>
          <w:rFonts w:ascii="宋体" w:hAnsi="宋体" w:cs="宋体"/>
          <w:kern w:val="0"/>
          <w:szCs w:val="21"/>
          <w:u w:val="single"/>
        </w:rPr>
        <w:t xml:space="preserve">             </w:t>
      </w:r>
    </w:p>
    <w:p w14:paraId="39FC189C">
      <w:pPr>
        <w:adjustRightInd w:val="0"/>
        <w:snapToGrid w:val="0"/>
        <w:rPr>
          <w:rFonts w:ascii="宋体" w:hAnsi="宋体" w:cs="宋体"/>
          <w:kern w:val="0"/>
          <w:szCs w:val="21"/>
        </w:rPr>
      </w:pPr>
    </w:p>
    <w:p w14:paraId="39A6E161">
      <w:pPr>
        <w:adjustRightInd w:val="0"/>
        <w:snapToGrid w:val="0"/>
        <w:rPr>
          <w:rFonts w:ascii="宋体" w:hAnsi="宋体" w:cs="宋体"/>
          <w:kern w:val="0"/>
          <w:szCs w:val="21"/>
          <w:u w:val="single"/>
        </w:rPr>
      </w:pPr>
      <w:r>
        <w:rPr>
          <w:rFonts w:hint="eastAsia" w:ascii="宋体" w:hAnsi="宋体" w:cs="宋体"/>
          <w:kern w:val="0"/>
          <w:szCs w:val="21"/>
        </w:rPr>
        <w:t>部门负责人：×××</w:t>
      </w:r>
      <w:r>
        <w:rPr>
          <w:rFonts w:ascii="宋体" w:hAnsi="宋体" w:cs="宋体"/>
          <w:kern w:val="0"/>
          <w:szCs w:val="21"/>
        </w:rPr>
        <w:t xml:space="preserve">  </w:t>
      </w:r>
      <w:r>
        <w:rPr>
          <w:rFonts w:hint="eastAsia" w:ascii="宋体" w:hAnsi="宋体" w:cs="宋体"/>
          <w:kern w:val="0"/>
          <w:szCs w:val="21"/>
        </w:rPr>
        <w:t>签名：</w:t>
      </w:r>
      <w:r>
        <w:rPr>
          <w:rFonts w:ascii="宋体" w:hAnsi="宋体" w:cs="宋体"/>
          <w:kern w:val="0"/>
          <w:szCs w:val="21"/>
          <w:u w:val="single"/>
        </w:rPr>
        <w:t xml:space="preserve">             </w:t>
      </w:r>
    </w:p>
    <w:p w14:paraId="39C4DF7E">
      <w:pPr>
        <w:adjustRightInd w:val="0"/>
        <w:snapToGrid w:val="0"/>
        <w:rPr>
          <w:rFonts w:ascii="宋体" w:hAnsi="宋体" w:cs="宋体"/>
          <w:kern w:val="0"/>
          <w:szCs w:val="21"/>
        </w:rPr>
      </w:pPr>
    </w:p>
    <w:p w14:paraId="42BD9A35">
      <w:pPr>
        <w:adjustRightInd w:val="0"/>
        <w:snapToGrid w:val="0"/>
        <w:rPr>
          <w:rFonts w:ascii="宋体" w:hAnsi="宋体" w:cs="宋体"/>
          <w:kern w:val="0"/>
          <w:szCs w:val="21"/>
        </w:rPr>
      </w:pPr>
      <w:r>
        <w:rPr>
          <w:rFonts w:hint="eastAsia" w:ascii="宋体" w:hAnsi="宋体" w:cs="宋体"/>
          <w:kern w:val="0"/>
          <w:szCs w:val="21"/>
        </w:rPr>
        <w:t>日期：</w:t>
      </w:r>
      <w:r>
        <w:rPr>
          <w:rFonts w:ascii="宋体" w:hAnsi="宋体" w:cs="宋体"/>
          <w:kern w:val="0"/>
          <w:szCs w:val="21"/>
        </w:rPr>
        <w:t xml:space="preserve">      </w:t>
      </w: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p>
    <w:p w14:paraId="48869A73">
      <w:pPr>
        <w:adjustRightInd w:val="0"/>
        <w:snapToGrid w:val="0"/>
        <w:rPr>
          <w:rFonts w:ascii="宋体" w:hAnsi="宋体" w:cs="宋体"/>
          <w:kern w:val="0"/>
          <w:szCs w:val="21"/>
        </w:rPr>
      </w:pPr>
    </w:p>
    <w:p w14:paraId="2C131412">
      <w:pPr>
        <w:spacing w:line="560" w:lineRule="exact"/>
        <w:ind w:firstLine="472"/>
        <w:rPr>
          <w:rFonts w:ascii="仿宋_GB2312" w:eastAsia="仿宋_GB2312"/>
          <w:sz w:val="32"/>
          <w:szCs w:val="32"/>
        </w:rPr>
      </w:pPr>
      <w:r>
        <w:rPr>
          <w:rFonts w:ascii="宋体" w:hAnsi="宋体"/>
          <w:szCs w:val="21"/>
        </w:rPr>
        <w:br w:type="page"/>
      </w:r>
      <w:r>
        <w:rPr>
          <w:rFonts w:hint="eastAsia" w:ascii="仿宋_GB2312" w:eastAsia="仿宋_GB2312"/>
          <w:sz w:val="32"/>
          <w:szCs w:val="32"/>
        </w:rPr>
        <w:t>附件五</w:t>
      </w:r>
    </w:p>
    <w:tbl>
      <w:tblPr>
        <w:tblStyle w:val="54"/>
        <w:tblW w:w="9376" w:type="dxa"/>
        <w:jc w:val="center"/>
        <w:tblLayout w:type="fixed"/>
        <w:tblCellMar>
          <w:top w:w="0" w:type="dxa"/>
          <w:left w:w="108" w:type="dxa"/>
          <w:bottom w:w="0" w:type="dxa"/>
          <w:right w:w="108" w:type="dxa"/>
        </w:tblCellMar>
      </w:tblPr>
      <w:tblGrid>
        <w:gridCol w:w="580"/>
        <w:gridCol w:w="1193"/>
        <w:gridCol w:w="799"/>
        <w:gridCol w:w="2551"/>
        <w:gridCol w:w="3261"/>
        <w:gridCol w:w="992"/>
      </w:tblGrid>
      <w:tr w14:paraId="77B0BDA4">
        <w:tblPrEx>
          <w:tblCellMar>
            <w:top w:w="0" w:type="dxa"/>
            <w:left w:w="108" w:type="dxa"/>
            <w:bottom w:w="0" w:type="dxa"/>
            <w:right w:w="108" w:type="dxa"/>
          </w:tblCellMar>
        </w:tblPrEx>
        <w:trPr>
          <w:trHeight w:val="570" w:hRule="atLeast"/>
          <w:jc w:val="center"/>
        </w:trPr>
        <w:tc>
          <w:tcPr>
            <w:tcW w:w="9376" w:type="dxa"/>
            <w:gridSpan w:val="6"/>
            <w:tcBorders>
              <w:top w:val="nil"/>
              <w:left w:val="nil"/>
              <w:bottom w:val="nil"/>
              <w:right w:val="nil"/>
            </w:tcBorders>
            <w:vAlign w:val="center"/>
          </w:tcPr>
          <w:p w14:paraId="3217994F">
            <w:pPr>
              <w:widowControl/>
              <w:ind w:firstLine="549"/>
              <w:jc w:val="center"/>
              <w:rPr>
                <w:rFonts w:ascii="仿宋_GB2312" w:hAnsi="宋体" w:eastAsia="仿宋_GB2312"/>
                <w:sz w:val="28"/>
                <w:szCs w:val="28"/>
              </w:rPr>
            </w:pPr>
            <w:r>
              <w:rPr>
                <w:rFonts w:hint="eastAsia" w:ascii="仿宋_GB2312" w:hAnsi="宋体" w:eastAsia="仿宋_GB2312"/>
                <w:sz w:val="28"/>
                <w:szCs w:val="28"/>
              </w:rPr>
              <w:t>缺陷责任期阶段设计合同履约评价表</w:t>
            </w:r>
          </w:p>
          <w:p w14:paraId="704EC666">
            <w:pPr>
              <w:widowControl/>
              <w:wordWrap w:val="0"/>
              <w:jc w:val="right"/>
              <w:rPr>
                <w:rFonts w:ascii="仿宋_GB2312" w:hAnsi="宋体" w:eastAsia="仿宋_GB2312"/>
                <w:sz w:val="24"/>
              </w:rPr>
            </w:pPr>
            <w:r>
              <w:rPr>
                <w:rFonts w:ascii="仿宋_GB2312" w:hAnsi="宋体" w:eastAsia="仿宋_GB2312"/>
                <w:sz w:val="24"/>
              </w:rPr>
              <w:t xml:space="preserve">20   </w:t>
            </w:r>
            <w:r>
              <w:rPr>
                <w:rFonts w:hint="eastAsia" w:ascii="仿宋_GB2312" w:hAnsi="宋体" w:eastAsia="仿宋_GB2312"/>
                <w:sz w:val="24"/>
              </w:rPr>
              <w:t>年度</w:t>
            </w:r>
          </w:p>
        </w:tc>
      </w:tr>
      <w:tr w14:paraId="693C7E8C">
        <w:tblPrEx>
          <w:tblCellMar>
            <w:top w:w="0" w:type="dxa"/>
            <w:left w:w="108" w:type="dxa"/>
            <w:bottom w:w="0" w:type="dxa"/>
            <w:right w:w="108" w:type="dxa"/>
          </w:tblCellMar>
        </w:tblPrEx>
        <w:trPr>
          <w:trHeight w:val="75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40D80B17">
            <w:pPr>
              <w:widowControl/>
              <w:rPr>
                <w:rFonts w:ascii="宋体" w:hAnsi="宋体" w:cs="宋体"/>
                <w:bCs/>
                <w:kern w:val="0"/>
                <w:szCs w:val="21"/>
              </w:rPr>
            </w:pPr>
            <w:r>
              <w:rPr>
                <w:rFonts w:hint="eastAsia" w:ascii="宋体" w:hAnsi="宋体" w:cs="宋体"/>
                <w:bCs/>
                <w:kern w:val="0"/>
                <w:szCs w:val="21"/>
              </w:rPr>
              <w:t>序号</w:t>
            </w:r>
          </w:p>
        </w:tc>
        <w:tc>
          <w:tcPr>
            <w:tcW w:w="1193" w:type="dxa"/>
            <w:tcBorders>
              <w:top w:val="single" w:color="auto" w:sz="4" w:space="0"/>
              <w:left w:val="nil"/>
              <w:bottom w:val="single" w:color="auto" w:sz="4" w:space="0"/>
              <w:right w:val="single" w:color="auto" w:sz="4" w:space="0"/>
            </w:tcBorders>
            <w:vAlign w:val="center"/>
          </w:tcPr>
          <w:p w14:paraId="21281532">
            <w:pPr>
              <w:widowControl/>
              <w:jc w:val="center"/>
              <w:rPr>
                <w:rFonts w:ascii="宋体" w:hAnsi="宋体" w:cs="宋体"/>
                <w:bCs/>
                <w:kern w:val="0"/>
                <w:szCs w:val="21"/>
              </w:rPr>
            </w:pPr>
            <w:r>
              <w:rPr>
                <w:rFonts w:hint="eastAsia" w:ascii="宋体" w:hAnsi="宋体" w:cs="宋体"/>
                <w:bCs/>
                <w:kern w:val="0"/>
                <w:szCs w:val="21"/>
              </w:rPr>
              <w:t>内容</w:t>
            </w:r>
          </w:p>
        </w:tc>
        <w:tc>
          <w:tcPr>
            <w:tcW w:w="799" w:type="dxa"/>
            <w:tcBorders>
              <w:top w:val="single" w:color="auto" w:sz="4" w:space="0"/>
              <w:left w:val="nil"/>
              <w:bottom w:val="single" w:color="auto" w:sz="4" w:space="0"/>
              <w:right w:val="single" w:color="auto" w:sz="4" w:space="0"/>
            </w:tcBorders>
            <w:vAlign w:val="center"/>
          </w:tcPr>
          <w:p w14:paraId="04DF0698">
            <w:pPr>
              <w:widowControl/>
              <w:jc w:val="center"/>
              <w:rPr>
                <w:rFonts w:ascii="宋体" w:hAnsi="宋体" w:cs="宋体"/>
                <w:bCs/>
                <w:kern w:val="0"/>
                <w:szCs w:val="21"/>
              </w:rPr>
            </w:pPr>
            <w:r>
              <w:rPr>
                <w:rFonts w:hint="eastAsia" w:ascii="宋体" w:hAnsi="宋体" w:cs="宋体"/>
                <w:bCs/>
                <w:kern w:val="0"/>
                <w:szCs w:val="21"/>
              </w:rPr>
              <w:t>单项</w:t>
            </w:r>
          </w:p>
          <w:p w14:paraId="1B218CF7">
            <w:pPr>
              <w:widowControl/>
              <w:jc w:val="center"/>
              <w:rPr>
                <w:rFonts w:ascii="宋体" w:hAnsi="宋体" w:cs="宋体"/>
                <w:bCs/>
                <w:kern w:val="0"/>
                <w:szCs w:val="21"/>
              </w:rPr>
            </w:pPr>
            <w:r>
              <w:rPr>
                <w:rFonts w:hint="eastAsia" w:ascii="宋体" w:hAnsi="宋体" w:cs="宋体"/>
                <w:bCs/>
                <w:kern w:val="0"/>
                <w:szCs w:val="21"/>
              </w:rPr>
              <w:t>分值</w:t>
            </w:r>
          </w:p>
        </w:tc>
        <w:tc>
          <w:tcPr>
            <w:tcW w:w="2551" w:type="dxa"/>
            <w:tcBorders>
              <w:top w:val="single" w:color="auto" w:sz="4" w:space="0"/>
              <w:left w:val="nil"/>
              <w:bottom w:val="single" w:color="auto" w:sz="4" w:space="0"/>
              <w:right w:val="single" w:color="auto" w:sz="4" w:space="0"/>
            </w:tcBorders>
            <w:vAlign w:val="center"/>
          </w:tcPr>
          <w:p w14:paraId="2A5C6028">
            <w:pPr>
              <w:widowControl/>
              <w:ind w:firstLine="472"/>
              <w:jc w:val="center"/>
              <w:rPr>
                <w:rFonts w:ascii="宋体" w:hAnsi="宋体" w:cs="宋体"/>
                <w:bCs/>
                <w:kern w:val="0"/>
                <w:szCs w:val="21"/>
              </w:rPr>
            </w:pPr>
            <w:r>
              <w:rPr>
                <w:rFonts w:hint="eastAsia" w:ascii="宋体" w:hAnsi="宋体" w:cs="宋体"/>
                <w:bCs/>
                <w:kern w:val="0"/>
                <w:szCs w:val="21"/>
              </w:rPr>
              <w:t>评价指标</w:t>
            </w:r>
          </w:p>
        </w:tc>
        <w:tc>
          <w:tcPr>
            <w:tcW w:w="3261" w:type="dxa"/>
            <w:tcBorders>
              <w:top w:val="single" w:color="auto" w:sz="4" w:space="0"/>
              <w:left w:val="nil"/>
              <w:bottom w:val="single" w:color="auto" w:sz="4" w:space="0"/>
              <w:right w:val="single" w:color="auto" w:sz="4" w:space="0"/>
            </w:tcBorders>
            <w:vAlign w:val="center"/>
          </w:tcPr>
          <w:p w14:paraId="08948C18">
            <w:pPr>
              <w:widowControl/>
              <w:ind w:firstLine="472"/>
              <w:jc w:val="center"/>
              <w:rPr>
                <w:rFonts w:ascii="宋体" w:hAnsi="宋体" w:cs="宋体"/>
                <w:bCs/>
                <w:kern w:val="0"/>
                <w:szCs w:val="21"/>
              </w:rPr>
            </w:pPr>
            <w:r>
              <w:rPr>
                <w:rFonts w:hint="eastAsia" w:ascii="宋体" w:hAnsi="宋体" w:cs="宋体"/>
                <w:bCs/>
                <w:kern w:val="0"/>
                <w:szCs w:val="21"/>
              </w:rPr>
              <w:t>评分标准</w:t>
            </w:r>
          </w:p>
        </w:tc>
        <w:tc>
          <w:tcPr>
            <w:tcW w:w="992" w:type="dxa"/>
            <w:tcBorders>
              <w:top w:val="single" w:color="auto" w:sz="4" w:space="0"/>
              <w:left w:val="nil"/>
              <w:bottom w:val="single" w:color="auto" w:sz="4" w:space="0"/>
              <w:right w:val="single" w:color="auto" w:sz="4" w:space="0"/>
            </w:tcBorders>
            <w:vAlign w:val="center"/>
          </w:tcPr>
          <w:p w14:paraId="620B8285">
            <w:pPr>
              <w:widowControl/>
              <w:jc w:val="center"/>
              <w:rPr>
                <w:rFonts w:ascii="宋体" w:hAnsi="宋体" w:cs="宋体"/>
                <w:kern w:val="0"/>
                <w:szCs w:val="21"/>
              </w:rPr>
            </w:pPr>
            <w:r>
              <w:rPr>
                <w:rFonts w:hint="eastAsia" w:ascii="宋体" w:hAnsi="宋体" w:cs="宋体"/>
                <w:kern w:val="0"/>
                <w:szCs w:val="21"/>
              </w:rPr>
              <w:t>得分</w:t>
            </w:r>
          </w:p>
        </w:tc>
      </w:tr>
      <w:tr w14:paraId="74AC39ED">
        <w:tblPrEx>
          <w:tblCellMar>
            <w:top w:w="0" w:type="dxa"/>
            <w:left w:w="108" w:type="dxa"/>
            <w:bottom w:w="0" w:type="dxa"/>
            <w:right w:w="108" w:type="dxa"/>
          </w:tblCellMar>
        </w:tblPrEx>
        <w:trPr>
          <w:trHeight w:val="870" w:hRule="atLeast"/>
          <w:jc w:val="center"/>
        </w:trPr>
        <w:tc>
          <w:tcPr>
            <w:tcW w:w="580" w:type="dxa"/>
            <w:tcBorders>
              <w:top w:val="nil"/>
              <w:left w:val="single" w:color="auto" w:sz="4" w:space="0"/>
              <w:bottom w:val="single" w:color="auto" w:sz="4" w:space="0"/>
              <w:right w:val="single" w:color="auto" w:sz="4" w:space="0"/>
            </w:tcBorders>
            <w:vAlign w:val="center"/>
          </w:tcPr>
          <w:p w14:paraId="0FCB00E3">
            <w:pPr>
              <w:widowControl/>
              <w:jc w:val="center"/>
              <w:rPr>
                <w:rFonts w:ascii="宋体" w:hAnsi="宋体" w:cs="宋体"/>
                <w:kern w:val="0"/>
                <w:szCs w:val="21"/>
              </w:rPr>
            </w:pPr>
            <w:r>
              <w:rPr>
                <w:rFonts w:hint="eastAsia" w:ascii="宋体" w:hAnsi="宋体" w:cs="宋体"/>
                <w:kern w:val="0"/>
                <w:szCs w:val="21"/>
              </w:rPr>
              <w:t>一</w:t>
            </w:r>
          </w:p>
        </w:tc>
        <w:tc>
          <w:tcPr>
            <w:tcW w:w="1193" w:type="dxa"/>
            <w:tcBorders>
              <w:top w:val="nil"/>
              <w:left w:val="nil"/>
              <w:bottom w:val="single" w:color="auto" w:sz="4" w:space="0"/>
              <w:right w:val="single" w:color="auto" w:sz="4" w:space="0"/>
            </w:tcBorders>
            <w:vAlign w:val="center"/>
          </w:tcPr>
          <w:p w14:paraId="36958810">
            <w:pPr>
              <w:widowControl/>
              <w:jc w:val="left"/>
              <w:rPr>
                <w:kern w:val="0"/>
                <w:szCs w:val="21"/>
              </w:rPr>
            </w:pPr>
            <w:r>
              <w:rPr>
                <w:rFonts w:hint="eastAsia" w:ascii="宋体" w:hAnsi="宋体"/>
                <w:kern w:val="0"/>
                <w:szCs w:val="21"/>
              </w:rPr>
              <w:t>能力水平及履约表现</w:t>
            </w:r>
          </w:p>
        </w:tc>
        <w:tc>
          <w:tcPr>
            <w:tcW w:w="799" w:type="dxa"/>
            <w:tcBorders>
              <w:top w:val="nil"/>
              <w:left w:val="nil"/>
              <w:bottom w:val="single" w:color="auto" w:sz="4" w:space="0"/>
              <w:right w:val="single" w:color="auto" w:sz="4" w:space="0"/>
            </w:tcBorders>
            <w:vAlign w:val="center"/>
          </w:tcPr>
          <w:p w14:paraId="78B773D6">
            <w:pPr>
              <w:widowControl/>
              <w:jc w:val="center"/>
              <w:rPr>
                <w:kern w:val="0"/>
                <w:szCs w:val="21"/>
              </w:rPr>
            </w:pPr>
            <w:r>
              <w:rPr>
                <w:kern w:val="0"/>
                <w:szCs w:val="21"/>
              </w:rPr>
              <w:t>30</w:t>
            </w:r>
          </w:p>
        </w:tc>
        <w:tc>
          <w:tcPr>
            <w:tcW w:w="2551" w:type="dxa"/>
            <w:tcBorders>
              <w:top w:val="nil"/>
              <w:left w:val="nil"/>
              <w:bottom w:val="single" w:color="auto" w:sz="4" w:space="0"/>
              <w:right w:val="single" w:color="auto" w:sz="4" w:space="0"/>
            </w:tcBorders>
            <w:vAlign w:val="center"/>
          </w:tcPr>
          <w:p w14:paraId="11064D77">
            <w:pPr>
              <w:widowControl/>
              <w:jc w:val="left"/>
              <w:rPr>
                <w:kern w:val="0"/>
                <w:szCs w:val="21"/>
              </w:rPr>
            </w:pPr>
            <w:r>
              <w:rPr>
                <w:rFonts w:hint="eastAsia"/>
                <w:kern w:val="0"/>
                <w:szCs w:val="21"/>
              </w:rPr>
              <w:t>　</w:t>
            </w:r>
          </w:p>
        </w:tc>
        <w:tc>
          <w:tcPr>
            <w:tcW w:w="3261" w:type="dxa"/>
            <w:tcBorders>
              <w:top w:val="nil"/>
              <w:left w:val="nil"/>
              <w:bottom w:val="single" w:color="auto" w:sz="4" w:space="0"/>
              <w:right w:val="single" w:color="auto" w:sz="4" w:space="0"/>
            </w:tcBorders>
            <w:vAlign w:val="center"/>
          </w:tcPr>
          <w:p w14:paraId="4AA46384">
            <w:pPr>
              <w:widowControl/>
              <w:jc w:val="left"/>
              <w:rPr>
                <w:kern w:val="0"/>
                <w:szCs w:val="21"/>
              </w:rPr>
            </w:pPr>
            <w:r>
              <w:rPr>
                <w:kern w:val="0"/>
                <w:szCs w:val="21"/>
              </w:rPr>
              <w:t xml:space="preserve"> </w:t>
            </w:r>
          </w:p>
        </w:tc>
        <w:tc>
          <w:tcPr>
            <w:tcW w:w="992" w:type="dxa"/>
            <w:tcBorders>
              <w:top w:val="nil"/>
              <w:left w:val="nil"/>
              <w:bottom w:val="single" w:color="auto" w:sz="4" w:space="0"/>
              <w:right w:val="single" w:color="auto" w:sz="4" w:space="0"/>
            </w:tcBorders>
            <w:vAlign w:val="center"/>
          </w:tcPr>
          <w:p w14:paraId="059E2278">
            <w:pPr>
              <w:widowControl/>
              <w:jc w:val="center"/>
              <w:rPr>
                <w:kern w:val="0"/>
                <w:szCs w:val="21"/>
              </w:rPr>
            </w:pPr>
            <w:r>
              <w:rPr>
                <w:rFonts w:hint="eastAsia"/>
                <w:kern w:val="0"/>
                <w:szCs w:val="21"/>
              </w:rPr>
              <w:t>　</w:t>
            </w:r>
          </w:p>
        </w:tc>
      </w:tr>
      <w:tr w14:paraId="31DFB1C7">
        <w:tblPrEx>
          <w:tblCellMar>
            <w:top w:w="0" w:type="dxa"/>
            <w:left w:w="108" w:type="dxa"/>
            <w:bottom w:w="0" w:type="dxa"/>
            <w:right w:w="108" w:type="dxa"/>
          </w:tblCellMar>
        </w:tblPrEx>
        <w:trPr>
          <w:trHeight w:val="1890" w:hRule="atLeast"/>
          <w:jc w:val="center"/>
        </w:trPr>
        <w:tc>
          <w:tcPr>
            <w:tcW w:w="580" w:type="dxa"/>
            <w:tcBorders>
              <w:top w:val="nil"/>
              <w:left w:val="single" w:color="auto" w:sz="4" w:space="0"/>
              <w:bottom w:val="single" w:color="auto" w:sz="4" w:space="0"/>
              <w:right w:val="single" w:color="auto" w:sz="4" w:space="0"/>
            </w:tcBorders>
            <w:vAlign w:val="center"/>
          </w:tcPr>
          <w:p w14:paraId="5F34CA04">
            <w:pPr>
              <w:widowControl/>
              <w:jc w:val="center"/>
              <w:rPr>
                <w:rFonts w:ascii="宋体" w:hAnsi="宋体" w:cs="宋体"/>
                <w:kern w:val="0"/>
                <w:szCs w:val="21"/>
              </w:rPr>
            </w:pPr>
            <w:r>
              <w:rPr>
                <w:rFonts w:ascii="宋体" w:hAnsi="宋体" w:cs="宋体"/>
                <w:kern w:val="0"/>
                <w:szCs w:val="21"/>
              </w:rPr>
              <w:t>1</w:t>
            </w:r>
          </w:p>
        </w:tc>
        <w:tc>
          <w:tcPr>
            <w:tcW w:w="1193" w:type="dxa"/>
            <w:tcBorders>
              <w:top w:val="nil"/>
              <w:left w:val="nil"/>
              <w:bottom w:val="single" w:color="auto" w:sz="4" w:space="0"/>
              <w:right w:val="single" w:color="auto" w:sz="4" w:space="0"/>
            </w:tcBorders>
            <w:vAlign w:val="center"/>
          </w:tcPr>
          <w:p w14:paraId="65FBA5F1">
            <w:pPr>
              <w:widowControl/>
              <w:jc w:val="center"/>
              <w:rPr>
                <w:rFonts w:ascii="宋体" w:hAnsi="宋体" w:cs="宋体"/>
                <w:kern w:val="0"/>
                <w:szCs w:val="21"/>
              </w:rPr>
            </w:pPr>
            <w:r>
              <w:rPr>
                <w:rFonts w:hint="eastAsia" w:ascii="宋体" w:hAnsi="宋体" w:cs="宋体"/>
                <w:kern w:val="0"/>
                <w:szCs w:val="21"/>
              </w:rPr>
              <w:t>现场配合人员</w:t>
            </w:r>
          </w:p>
        </w:tc>
        <w:tc>
          <w:tcPr>
            <w:tcW w:w="799" w:type="dxa"/>
            <w:tcBorders>
              <w:top w:val="nil"/>
              <w:left w:val="nil"/>
              <w:bottom w:val="single" w:color="auto" w:sz="4" w:space="0"/>
              <w:right w:val="single" w:color="auto" w:sz="4" w:space="0"/>
            </w:tcBorders>
            <w:vAlign w:val="center"/>
          </w:tcPr>
          <w:p w14:paraId="7DCDE817">
            <w:pPr>
              <w:widowControl/>
              <w:jc w:val="center"/>
              <w:rPr>
                <w:rFonts w:ascii="仿宋_GB2312" w:hAnsi="宋体" w:eastAsia="仿宋_GB2312" w:cs="宋体"/>
                <w:kern w:val="0"/>
                <w:szCs w:val="21"/>
              </w:rPr>
            </w:pPr>
            <w:r>
              <w:rPr>
                <w:rFonts w:ascii="仿宋_GB2312" w:hAnsi="宋体" w:eastAsia="仿宋_GB2312" w:cs="宋体"/>
                <w:kern w:val="0"/>
                <w:szCs w:val="21"/>
              </w:rPr>
              <w:t>30</w:t>
            </w:r>
          </w:p>
        </w:tc>
        <w:tc>
          <w:tcPr>
            <w:tcW w:w="2551" w:type="dxa"/>
            <w:tcBorders>
              <w:top w:val="nil"/>
              <w:left w:val="nil"/>
              <w:bottom w:val="single" w:color="auto" w:sz="4" w:space="0"/>
              <w:right w:val="single" w:color="auto" w:sz="4" w:space="0"/>
            </w:tcBorders>
            <w:vAlign w:val="center"/>
          </w:tcPr>
          <w:p w14:paraId="68F291FF">
            <w:pPr>
              <w:widowControl/>
              <w:jc w:val="left"/>
              <w:rPr>
                <w:rFonts w:ascii="宋体" w:hAnsi="宋体" w:cs="宋体"/>
                <w:kern w:val="0"/>
                <w:szCs w:val="21"/>
              </w:rPr>
            </w:pPr>
            <w:r>
              <w:rPr>
                <w:rFonts w:hint="eastAsia" w:ascii="宋体" w:hAnsi="宋体" w:cs="宋体"/>
                <w:kern w:val="0"/>
                <w:szCs w:val="21"/>
              </w:rPr>
              <w:t>能否按合同及甲方要求及时协调配合甲方、专项设计单位及其它相关部门的工作；是否具有较强的沟通协调能力；能否在该阶段积极协助甲方完成相关工作；设计配合是否及时；能否按要求参加有关会议</w:t>
            </w:r>
          </w:p>
        </w:tc>
        <w:tc>
          <w:tcPr>
            <w:tcW w:w="3261" w:type="dxa"/>
            <w:tcBorders>
              <w:top w:val="nil"/>
              <w:left w:val="nil"/>
              <w:bottom w:val="single" w:color="auto" w:sz="4" w:space="0"/>
              <w:right w:val="single" w:color="auto" w:sz="4" w:space="0"/>
            </w:tcBorders>
            <w:vAlign w:val="center"/>
          </w:tcPr>
          <w:p w14:paraId="7815028E">
            <w:pPr>
              <w:widowControl/>
              <w:jc w:val="left"/>
              <w:rPr>
                <w:rFonts w:ascii="宋体" w:hAnsi="宋体" w:cs="宋体"/>
                <w:kern w:val="0"/>
                <w:szCs w:val="21"/>
              </w:rPr>
            </w:pPr>
            <w:r>
              <w:rPr>
                <w:rFonts w:hint="eastAsia" w:ascii="宋体" w:hAnsi="宋体" w:cs="宋体"/>
                <w:kern w:val="0"/>
                <w:szCs w:val="21"/>
              </w:rPr>
              <w:t>好：得</w:t>
            </w:r>
            <w:r>
              <w:rPr>
                <w:rFonts w:ascii="宋体" w:hAnsi="宋体" w:cs="宋体"/>
                <w:kern w:val="0"/>
                <w:szCs w:val="21"/>
              </w:rPr>
              <w:t>30分</w:t>
            </w:r>
          </w:p>
          <w:p w14:paraId="26E51BA9">
            <w:pPr>
              <w:widowControl/>
              <w:jc w:val="left"/>
              <w:rPr>
                <w:rFonts w:ascii="宋体" w:hAnsi="宋体" w:cs="宋体"/>
                <w:kern w:val="0"/>
                <w:szCs w:val="21"/>
              </w:rPr>
            </w:pPr>
            <w:r>
              <w:rPr>
                <w:rFonts w:hint="eastAsia" w:ascii="宋体" w:hAnsi="宋体" w:cs="宋体"/>
                <w:kern w:val="0"/>
                <w:szCs w:val="21"/>
              </w:rPr>
              <w:t>较好：得</w:t>
            </w:r>
            <w:r>
              <w:rPr>
                <w:rFonts w:ascii="宋体" w:hAnsi="宋体" w:cs="宋体"/>
                <w:kern w:val="0"/>
                <w:szCs w:val="21"/>
              </w:rPr>
              <w:t>20分</w:t>
            </w:r>
          </w:p>
          <w:p w14:paraId="566CF410">
            <w:pPr>
              <w:widowControl/>
              <w:jc w:val="left"/>
              <w:rPr>
                <w:rFonts w:ascii="宋体" w:hAnsi="宋体" w:cs="宋体"/>
                <w:kern w:val="0"/>
                <w:szCs w:val="21"/>
              </w:rPr>
            </w:pPr>
            <w:r>
              <w:rPr>
                <w:rFonts w:hint="eastAsia" w:ascii="宋体" w:hAnsi="宋体" w:cs="宋体"/>
                <w:kern w:val="0"/>
                <w:szCs w:val="21"/>
              </w:rPr>
              <w:t>一般：得</w:t>
            </w:r>
            <w:r>
              <w:rPr>
                <w:rFonts w:ascii="宋体" w:hAnsi="宋体" w:cs="宋体"/>
                <w:kern w:val="0"/>
                <w:szCs w:val="21"/>
              </w:rPr>
              <w:t>10分</w:t>
            </w:r>
          </w:p>
          <w:p w14:paraId="6A71BD30">
            <w:pPr>
              <w:widowControl/>
              <w:jc w:val="left"/>
              <w:rPr>
                <w:rFonts w:ascii="宋体" w:hAnsi="宋体" w:cs="宋体"/>
                <w:kern w:val="0"/>
                <w:szCs w:val="21"/>
              </w:rPr>
            </w:pPr>
            <w:r>
              <w:rPr>
                <w:rFonts w:hint="eastAsia" w:ascii="宋体" w:hAnsi="宋体" w:cs="宋体"/>
                <w:kern w:val="0"/>
                <w:szCs w:val="21"/>
              </w:rPr>
              <w:t>较差：得</w:t>
            </w:r>
            <w:r>
              <w:rPr>
                <w:rFonts w:ascii="宋体" w:hAnsi="宋体" w:cs="宋体"/>
                <w:kern w:val="0"/>
                <w:szCs w:val="21"/>
              </w:rPr>
              <w:t>5分</w:t>
            </w:r>
          </w:p>
          <w:p w14:paraId="195F2805">
            <w:pPr>
              <w:widowControl/>
              <w:jc w:val="left"/>
              <w:rPr>
                <w:rFonts w:ascii="宋体" w:hAnsi="宋体" w:cs="宋体"/>
                <w:kern w:val="0"/>
                <w:szCs w:val="21"/>
              </w:rPr>
            </w:pPr>
            <w:r>
              <w:rPr>
                <w:rFonts w:hint="eastAsia" w:ascii="宋体" w:hAnsi="宋体" w:cs="宋体"/>
                <w:kern w:val="0"/>
                <w:szCs w:val="21"/>
              </w:rPr>
              <w:t>差：得</w:t>
            </w:r>
            <w:r>
              <w:rPr>
                <w:rFonts w:ascii="宋体" w:hAnsi="宋体" w:cs="宋体"/>
                <w:kern w:val="0"/>
                <w:szCs w:val="21"/>
              </w:rPr>
              <w:t>2分</w:t>
            </w:r>
          </w:p>
        </w:tc>
        <w:tc>
          <w:tcPr>
            <w:tcW w:w="992" w:type="dxa"/>
            <w:tcBorders>
              <w:top w:val="nil"/>
              <w:left w:val="nil"/>
              <w:bottom w:val="single" w:color="auto" w:sz="4" w:space="0"/>
              <w:right w:val="single" w:color="auto" w:sz="4" w:space="0"/>
            </w:tcBorders>
            <w:vAlign w:val="center"/>
          </w:tcPr>
          <w:p w14:paraId="6EA9A1AC">
            <w:pPr>
              <w:widowControl/>
              <w:jc w:val="center"/>
              <w:rPr>
                <w:rFonts w:ascii="宋体" w:hAnsi="宋体" w:cs="宋体"/>
                <w:kern w:val="0"/>
                <w:szCs w:val="21"/>
              </w:rPr>
            </w:pPr>
            <w:r>
              <w:rPr>
                <w:rFonts w:hint="eastAsia" w:ascii="宋体" w:hAnsi="宋体" w:cs="宋体"/>
                <w:kern w:val="0"/>
                <w:szCs w:val="21"/>
              </w:rPr>
              <w:t>　</w:t>
            </w:r>
          </w:p>
        </w:tc>
      </w:tr>
      <w:tr w14:paraId="0C4D6156">
        <w:tblPrEx>
          <w:tblCellMar>
            <w:top w:w="0" w:type="dxa"/>
            <w:left w:w="108" w:type="dxa"/>
            <w:bottom w:w="0" w:type="dxa"/>
            <w:right w:w="108" w:type="dxa"/>
          </w:tblCellMar>
        </w:tblPrEx>
        <w:trPr>
          <w:trHeight w:val="720" w:hRule="atLeast"/>
          <w:jc w:val="center"/>
        </w:trPr>
        <w:tc>
          <w:tcPr>
            <w:tcW w:w="580" w:type="dxa"/>
            <w:tcBorders>
              <w:top w:val="nil"/>
              <w:left w:val="single" w:color="auto" w:sz="4" w:space="0"/>
              <w:bottom w:val="single" w:color="auto" w:sz="4" w:space="0"/>
              <w:right w:val="single" w:color="auto" w:sz="4" w:space="0"/>
            </w:tcBorders>
            <w:vAlign w:val="center"/>
          </w:tcPr>
          <w:p w14:paraId="7817884F">
            <w:pPr>
              <w:widowControl/>
              <w:jc w:val="center"/>
              <w:rPr>
                <w:rFonts w:ascii="宋体" w:hAnsi="宋体" w:cs="宋体"/>
                <w:kern w:val="0"/>
                <w:szCs w:val="21"/>
              </w:rPr>
            </w:pPr>
            <w:r>
              <w:rPr>
                <w:rFonts w:hint="eastAsia" w:ascii="宋体" w:hAnsi="宋体" w:cs="宋体"/>
                <w:kern w:val="0"/>
                <w:szCs w:val="21"/>
              </w:rPr>
              <w:t>二</w:t>
            </w:r>
          </w:p>
        </w:tc>
        <w:tc>
          <w:tcPr>
            <w:tcW w:w="1193" w:type="dxa"/>
            <w:tcBorders>
              <w:top w:val="nil"/>
              <w:left w:val="nil"/>
              <w:bottom w:val="single" w:color="auto" w:sz="4" w:space="0"/>
              <w:right w:val="single" w:color="auto" w:sz="4" w:space="0"/>
            </w:tcBorders>
            <w:vAlign w:val="center"/>
          </w:tcPr>
          <w:p w14:paraId="69880D0D">
            <w:pPr>
              <w:widowControl/>
              <w:jc w:val="center"/>
              <w:rPr>
                <w:rFonts w:ascii="宋体" w:hAnsi="宋体" w:cs="宋体"/>
                <w:kern w:val="0"/>
                <w:szCs w:val="21"/>
              </w:rPr>
            </w:pPr>
            <w:r>
              <w:rPr>
                <w:rFonts w:hint="eastAsia" w:ascii="宋体" w:hAnsi="宋体" w:cs="宋体"/>
                <w:kern w:val="0"/>
                <w:szCs w:val="21"/>
              </w:rPr>
              <w:t>设计质量</w:t>
            </w:r>
          </w:p>
        </w:tc>
        <w:tc>
          <w:tcPr>
            <w:tcW w:w="799" w:type="dxa"/>
            <w:tcBorders>
              <w:top w:val="single" w:color="auto" w:sz="4" w:space="0"/>
              <w:left w:val="nil"/>
              <w:bottom w:val="single" w:color="auto" w:sz="4" w:space="0"/>
              <w:right w:val="single" w:color="auto" w:sz="4" w:space="0"/>
            </w:tcBorders>
            <w:vAlign w:val="center"/>
          </w:tcPr>
          <w:p w14:paraId="4BE21899">
            <w:pPr>
              <w:widowControl/>
              <w:jc w:val="center"/>
              <w:rPr>
                <w:rFonts w:ascii="仿宋_GB2312" w:hAnsi="宋体" w:eastAsia="仿宋_GB2312" w:cs="宋体"/>
                <w:kern w:val="0"/>
                <w:szCs w:val="21"/>
              </w:rPr>
            </w:pPr>
            <w:r>
              <w:rPr>
                <w:rFonts w:ascii="仿宋_GB2312" w:hAnsi="宋体" w:eastAsia="仿宋_GB2312" w:cs="宋体"/>
                <w:kern w:val="0"/>
                <w:szCs w:val="21"/>
              </w:rPr>
              <w:t>70</w:t>
            </w:r>
          </w:p>
        </w:tc>
        <w:tc>
          <w:tcPr>
            <w:tcW w:w="2551" w:type="dxa"/>
            <w:tcBorders>
              <w:top w:val="nil"/>
              <w:left w:val="nil"/>
              <w:bottom w:val="single" w:color="auto" w:sz="4" w:space="0"/>
              <w:right w:val="single" w:color="auto" w:sz="4" w:space="0"/>
            </w:tcBorders>
            <w:vAlign w:val="center"/>
          </w:tcPr>
          <w:p w14:paraId="68DD02BC">
            <w:pPr>
              <w:widowControl/>
              <w:jc w:val="left"/>
              <w:rPr>
                <w:rFonts w:ascii="宋体" w:hAnsi="宋体" w:cs="宋体"/>
                <w:kern w:val="0"/>
                <w:szCs w:val="21"/>
              </w:rPr>
            </w:pPr>
            <w:r>
              <w:rPr>
                <w:rFonts w:hint="eastAsia" w:ascii="宋体" w:hAnsi="宋体" w:cs="宋体"/>
                <w:kern w:val="0"/>
                <w:szCs w:val="21"/>
              </w:rPr>
              <w:t>　</w:t>
            </w:r>
          </w:p>
        </w:tc>
        <w:tc>
          <w:tcPr>
            <w:tcW w:w="3261" w:type="dxa"/>
            <w:tcBorders>
              <w:top w:val="nil"/>
              <w:left w:val="nil"/>
              <w:bottom w:val="single" w:color="auto" w:sz="4" w:space="0"/>
              <w:right w:val="single" w:color="auto" w:sz="4" w:space="0"/>
            </w:tcBorders>
            <w:vAlign w:val="center"/>
          </w:tcPr>
          <w:p w14:paraId="406F7E7E">
            <w:pPr>
              <w:widowControl/>
              <w:jc w:val="left"/>
              <w:rPr>
                <w:rFonts w:ascii="宋体" w:hAnsi="宋体" w:cs="宋体"/>
                <w:kern w:val="0"/>
                <w:szCs w:val="21"/>
              </w:rPr>
            </w:pPr>
          </w:p>
        </w:tc>
        <w:tc>
          <w:tcPr>
            <w:tcW w:w="992" w:type="dxa"/>
            <w:tcBorders>
              <w:top w:val="nil"/>
              <w:left w:val="nil"/>
              <w:bottom w:val="single" w:color="auto" w:sz="4" w:space="0"/>
              <w:right w:val="single" w:color="auto" w:sz="4" w:space="0"/>
            </w:tcBorders>
            <w:vAlign w:val="center"/>
          </w:tcPr>
          <w:p w14:paraId="6B31899B">
            <w:pPr>
              <w:widowControl/>
              <w:jc w:val="left"/>
              <w:rPr>
                <w:rFonts w:ascii="宋体" w:hAnsi="宋体" w:cs="宋体"/>
                <w:kern w:val="0"/>
                <w:szCs w:val="21"/>
              </w:rPr>
            </w:pPr>
            <w:r>
              <w:rPr>
                <w:rFonts w:hint="eastAsia" w:ascii="宋体" w:hAnsi="宋体" w:cs="宋体"/>
                <w:kern w:val="0"/>
                <w:szCs w:val="21"/>
              </w:rPr>
              <w:t>　</w:t>
            </w:r>
          </w:p>
        </w:tc>
      </w:tr>
      <w:tr w14:paraId="48DDF9C3">
        <w:tblPrEx>
          <w:tblCellMar>
            <w:top w:w="0" w:type="dxa"/>
            <w:left w:w="108" w:type="dxa"/>
            <w:bottom w:w="0" w:type="dxa"/>
            <w:right w:w="108" w:type="dxa"/>
          </w:tblCellMar>
        </w:tblPrEx>
        <w:trPr>
          <w:trHeight w:val="2430" w:hRule="atLeast"/>
          <w:jc w:val="center"/>
        </w:trPr>
        <w:tc>
          <w:tcPr>
            <w:tcW w:w="580" w:type="dxa"/>
            <w:tcBorders>
              <w:top w:val="nil"/>
              <w:left w:val="single" w:color="auto" w:sz="4" w:space="0"/>
              <w:bottom w:val="single" w:color="auto" w:sz="4" w:space="0"/>
              <w:right w:val="single" w:color="auto" w:sz="4" w:space="0"/>
            </w:tcBorders>
            <w:vAlign w:val="center"/>
          </w:tcPr>
          <w:p w14:paraId="703B68B0">
            <w:pPr>
              <w:widowControl/>
              <w:jc w:val="center"/>
              <w:rPr>
                <w:rFonts w:ascii="宋体" w:hAnsi="宋体" w:cs="宋体"/>
                <w:kern w:val="0"/>
                <w:szCs w:val="21"/>
              </w:rPr>
            </w:pPr>
            <w:r>
              <w:rPr>
                <w:rFonts w:ascii="宋体" w:hAnsi="宋体" w:cs="宋体"/>
                <w:kern w:val="0"/>
                <w:szCs w:val="21"/>
              </w:rPr>
              <w:t>1</w:t>
            </w:r>
          </w:p>
        </w:tc>
        <w:tc>
          <w:tcPr>
            <w:tcW w:w="1193" w:type="dxa"/>
            <w:tcBorders>
              <w:top w:val="nil"/>
              <w:left w:val="nil"/>
              <w:bottom w:val="single" w:color="auto" w:sz="4" w:space="0"/>
              <w:right w:val="single" w:color="auto" w:sz="4" w:space="0"/>
            </w:tcBorders>
            <w:vAlign w:val="center"/>
          </w:tcPr>
          <w:p w14:paraId="32EE73CF">
            <w:pPr>
              <w:widowControl/>
              <w:jc w:val="center"/>
              <w:rPr>
                <w:rFonts w:ascii="宋体" w:hAnsi="宋体" w:cs="宋体"/>
                <w:kern w:val="0"/>
                <w:szCs w:val="21"/>
              </w:rPr>
            </w:pPr>
            <w:r>
              <w:rPr>
                <w:rFonts w:hint="eastAsia" w:ascii="宋体" w:hAnsi="宋体" w:cs="宋体"/>
                <w:kern w:val="0"/>
                <w:szCs w:val="21"/>
              </w:rPr>
              <w:t>设计缺陷</w:t>
            </w:r>
          </w:p>
        </w:tc>
        <w:tc>
          <w:tcPr>
            <w:tcW w:w="799" w:type="dxa"/>
            <w:tcBorders>
              <w:top w:val="nil"/>
              <w:left w:val="nil"/>
              <w:bottom w:val="single" w:color="auto" w:sz="4" w:space="0"/>
              <w:right w:val="single" w:color="auto" w:sz="4" w:space="0"/>
            </w:tcBorders>
            <w:vAlign w:val="center"/>
          </w:tcPr>
          <w:p w14:paraId="353D39E0">
            <w:pPr>
              <w:widowControl/>
              <w:jc w:val="center"/>
              <w:rPr>
                <w:rFonts w:ascii="仿宋_GB2312" w:hAnsi="宋体" w:eastAsia="仿宋_GB2312" w:cs="宋体"/>
                <w:kern w:val="0"/>
                <w:szCs w:val="21"/>
              </w:rPr>
            </w:pPr>
            <w:r>
              <w:rPr>
                <w:rFonts w:ascii="仿宋_GB2312" w:hAnsi="宋体" w:eastAsia="仿宋_GB2312" w:cs="宋体"/>
                <w:kern w:val="0"/>
                <w:szCs w:val="21"/>
              </w:rPr>
              <w:t>40</w:t>
            </w:r>
          </w:p>
        </w:tc>
        <w:tc>
          <w:tcPr>
            <w:tcW w:w="2551" w:type="dxa"/>
            <w:tcBorders>
              <w:top w:val="nil"/>
              <w:left w:val="nil"/>
              <w:bottom w:val="single" w:color="auto" w:sz="4" w:space="0"/>
              <w:right w:val="single" w:color="auto" w:sz="4" w:space="0"/>
            </w:tcBorders>
            <w:vAlign w:val="center"/>
          </w:tcPr>
          <w:p w14:paraId="178CC9A2">
            <w:pPr>
              <w:widowControl/>
              <w:jc w:val="left"/>
              <w:rPr>
                <w:rFonts w:ascii="宋体" w:hAnsi="宋体" w:cs="宋体"/>
                <w:kern w:val="0"/>
                <w:szCs w:val="21"/>
              </w:rPr>
            </w:pPr>
            <w:r>
              <w:rPr>
                <w:rFonts w:hint="eastAsia" w:ascii="宋体" w:hAnsi="宋体" w:cs="宋体"/>
                <w:kern w:val="0"/>
                <w:szCs w:val="21"/>
              </w:rPr>
              <w:t>使用过程中发现由于设计原因造成使用功能缺陷、使用上的不便等情形</w:t>
            </w:r>
          </w:p>
        </w:tc>
        <w:tc>
          <w:tcPr>
            <w:tcW w:w="3261" w:type="dxa"/>
            <w:tcBorders>
              <w:top w:val="nil"/>
              <w:left w:val="nil"/>
              <w:bottom w:val="single" w:color="auto" w:sz="4" w:space="0"/>
              <w:right w:val="single" w:color="auto" w:sz="4" w:space="0"/>
            </w:tcBorders>
            <w:vAlign w:val="center"/>
          </w:tcPr>
          <w:p w14:paraId="28E22B69">
            <w:pPr>
              <w:widowControl/>
              <w:jc w:val="left"/>
              <w:rPr>
                <w:rFonts w:ascii="宋体" w:hAnsi="宋体" w:cs="宋体"/>
                <w:kern w:val="0"/>
                <w:szCs w:val="21"/>
              </w:rPr>
            </w:pPr>
            <w:r>
              <w:rPr>
                <w:rFonts w:hint="eastAsia" w:ascii="宋体" w:hAnsi="宋体" w:cs="宋体"/>
                <w:kern w:val="0"/>
                <w:szCs w:val="21"/>
              </w:rPr>
              <w:t>使用过程中由于设计原因，产生以下影响：</w:t>
            </w:r>
          </w:p>
          <w:p w14:paraId="6DABECE9">
            <w:pPr>
              <w:widowControl/>
              <w:jc w:val="left"/>
              <w:rPr>
                <w:rFonts w:ascii="宋体" w:hAnsi="宋体" w:cs="宋体"/>
                <w:kern w:val="0"/>
                <w:szCs w:val="21"/>
              </w:rPr>
            </w:pPr>
            <w:r>
              <w:rPr>
                <w:rFonts w:ascii="宋体" w:hAnsi="宋体" w:cs="宋体"/>
                <w:kern w:val="0"/>
                <w:szCs w:val="21"/>
              </w:rPr>
              <w:t>1、修补费用10</w:t>
            </w:r>
            <w:r>
              <w:rPr>
                <w:rFonts w:hint="eastAsia" w:ascii="宋体" w:hAnsi="宋体" w:cs="宋体"/>
                <w:kern w:val="0"/>
                <w:szCs w:val="21"/>
              </w:rPr>
              <w:t>万元（含）以上，扣</w:t>
            </w:r>
            <w:r>
              <w:rPr>
                <w:rFonts w:ascii="宋体" w:hAnsi="宋体" w:cs="宋体"/>
                <w:kern w:val="0"/>
                <w:szCs w:val="21"/>
              </w:rPr>
              <w:t>10分；</w:t>
            </w:r>
          </w:p>
          <w:p w14:paraId="17FE036B">
            <w:pPr>
              <w:widowControl/>
              <w:jc w:val="left"/>
              <w:rPr>
                <w:rFonts w:ascii="宋体" w:hAnsi="宋体" w:cs="宋体"/>
                <w:kern w:val="0"/>
                <w:szCs w:val="21"/>
              </w:rPr>
            </w:pPr>
            <w:r>
              <w:rPr>
                <w:rFonts w:ascii="宋体" w:hAnsi="宋体" w:cs="宋体"/>
                <w:kern w:val="0"/>
                <w:szCs w:val="21"/>
              </w:rPr>
              <w:t>2、修补费用5</w:t>
            </w:r>
            <w:r>
              <w:rPr>
                <w:rFonts w:hint="eastAsia" w:ascii="宋体" w:hAnsi="宋体" w:cs="宋体"/>
                <w:kern w:val="0"/>
                <w:szCs w:val="21"/>
              </w:rPr>
              <w:t>万元（含）</w:t>
            </w:r>
            <w:r>
              <w:rPr>
                <w:rFonts w:ascii="宋体" w:hAnsi="宋体" w:cs="宋体"/>
                <w:kern w:val="0"/>
                <w:szCs w:val="21"/>
              </w:rPr>
              <w:t>-10</w:t>
            </w:r>
            <w:r>
              <w:rPr>
                <w:rFonts w:hint="eastAsia" w:ascii="宋体" w:hAnsi="宋体" w:cs="宋体"/>
                <w:kern w:val="0"/>
                <w:szCs w:val="21"/>
              </w:rPr>
              <w:t>万元的扣</w:t>
            </w:r>
            <w:r>
              <w:rPr>
                <w:rFonts w:ascii="宋体" w:hAnsi="宋体" w:cs="宋体"/>
                <w:kern w:val="0"/>
                <w:szCs w:val="21"/>
              </w:rPr>
              <w:t>6分；</w:t>
            </w:r>
          </w:p>
          <w:p w14:paraId="2F40753B">
            <w:pPr>
              <w:widowControl/>
              <w:jc w:val="left"/>
              <w:rPr>
                <w:rFonts w:ascii="宋体" w:hAnsi="宋体" w:cs="宋体"/>
                <w:kern w:val="0"/>
                <w:szCs w:val="21"/>
              </w:rPr>
            </w:pPr>
            <w:r>
              <w:rPr>
                <w:rFonts w:ascii="宋体" w:hAnsi="宋体" w:cs="宋体"/>
                <w:kern w:val="0"/>
                <w:szCs w:val="21"/>
              </w:rPr>
              <w:t>3、修补费用5</w:t>
            </w:r>
            <w:r>
              <w:rPr>
                <w:rFonts w:hint="eastAsia" w:ascii="宋体" w:hAnsi="宋体" w:cs="宋体"/>
                <w:kern w:val="0"/>
                <w:szCs w:val="21"/>
              </w:rPr>
              <w:t>万元以下的，扣</w:t>
            </w:r>
            <w:r>
              <w:rPr>
                <w:rFonts w:ascii="宋体" w:hAnsi="宋体" w:cs="宋体"/>
                <w:kern w:val="0"/>
                <w:szCs w:val="21"/>
              </w:rPr>
              <w:t>4分；</w:t>
            </w:r>
          </w:p>
          <w:p w14:paraId="03D557D1">
            <w:pPr>
              <w:widowControl/>
              <w:jc w:val="left"/>
              <w:rPr>
                <w:rFonts w:ascii="宋体" w:hAnsi="宋体" w:cs="宋体"/>
                <w:kern w:val="0"/>
                <w:szCs w:val="21"/>
              </w:rPr>
            </w:pPr>
            <w:r>
              <w:rPr>
                <w:rFonts w:ascii="宋体" w:hAnsi="宋体" w:cs="宋体"/>
                <w:kern w:val="0"/>
                <w:szCs w:val="21"/>
              </w:rPr>
              <w:t>4、使用上不便造成使用单位接到投诉的，每次扣2分。</w:t>
            </w:r>
          </w:p>
        </w:tc>
        <w:tc>
          <w:tcPr>
            <w:tcW w:w="992" w:type="dxa"/>
            <w:tcBorders>
              <w:top w:val="nil"/>
              <w:left w:val="nil"/>
              <w:bottom w:val="single" w:color="auto" w:sz="4" w:space="0"/>
              <w:right w:val="single" w:color="auto" w:sz="4" w:space="0"/>
            </w:tcBorders>
            <w:vAlign w:val="center"/>
          </w:tcPr>
          <w:p w14:paraId="0F27BEB8">
            <w:pPr>
              <w:widowControl/>
              <w:jc w:val="left"/>
              <w:rPr>
                <w:rFonts w:ascii="宋体" w:hAnsi="宋体" w:cs="宋体"/>
                <w:kern w:val="0"/>
                <w:szCs w:val="21"/>
              </w:rPr>
            </w:pPr>
            <w:r>
              <w:rPr>
                <w:rFonts w:hint="eastAsia" w:ascii="宋体" w:hAnsi="宋体" w:cs="宋体"/>
                <w:kern w:val="0"/>
                <w:szCs w:val="21"/>
              </w:rPr>
              <w:t>　</w:t>
            </w:r>
          </w:p>
        </w:tc>
      </w:tr>
      <w:tr w14:paraId="66A36937">
        <w:tblPrEx>
          <w:tblCellMar>
            <w:top w:w="0" w:type="dxa"/>
            <w:left w:w="108" w:type="dxa"/>
            <w:bottom w:w="0" w:type="dxa"/>
            <w:right w:w="108" w:type="dxa"/>
          </w:tblCellMar>
        </w:tblPrEx>
        <w:trPr>
          <w:trHeight w:val="540" w:hRule="atLeast"/>
          <w:jc w:val="center"/>
        </w:trPr>
        <w:tc>
          <w:tcPr>
            <w:tcW w:w="580" w:type="dxa"/>
            <w:tcBorders>
              <w:top w:val="nil"/>
              <w:left w:val="single" w:color="auto" w:sz="4" w:space="0"/>
              <w:bottom w:val="single" w:color="auto" w:sz="4" w:space="0"/>
              <w:right w:val="single" w:color="auto" w:sz="4" w:space="0"/>
            </w:tcBorders>
            <w:vAlign w:val="center"/>
          </w:tcPr>
          <w:p w14:paraId="6797F5EC">
            <w:pPr>
              <w:widowControl/>
              <w:jc w:val="center"/>
              <w:rPr>
                <w:rFonts w:ascii="宋体" w:hAnsi="宋体" w:cs="宋体"/>
                <w:kern w:val="0"/>
                <w:szCs w:val="21"/>
              </w:rPr>
            </w:pPr>
            <w:r>
              <w:rPr>
                <w:rFonts w:ascii="宋体" w:hAnsi="宋体" w:cs="宋体"/>
                <w:kern w:val="0"/>
                <w:szCs w:val="21"/>
              </w:rPr>
              <w:t>2</w:t>
            </w:r>
          </w:p>
        </w:tc>
        <w:tc>
          <w:tcPr>
            <w:tcW w:w="1193" w:type="dxa"/>
            <w:tcBorders>
              <w:top w:val="nil"/>
              <w:left w:val="nil"/>
              <w:bottom w:val="single" w:color="auto" w:sz="4" w:space="0"/>
              <w:right w:val="single" w:color="auto" w:sz="4" w:space="0"/>
            </w:tcBorders>
            <w:vAlign w:val="center"/>
          </w:tcPr>
          <w:p w14:paraId="325E0138">
            <w:pPr>
              <w:widowControl/>
              <w:jc w:val="center"/>
              <w:rPr>
                <w:rFonts w:ascii="宋体" w:hAnsi="宋体" w:cs="宋体"/>
                <w:kern w:val="0"/>
                <w:szCs w:val="21"/>
              </w:rPr>
            </w:pPr>
            <w:r>
              <w:rPr>
                <w:rFonts w:hint="eastAsia" w:ascii="宋体" w:hAnsi="宋体" w:cs="宋体"/>
                <w:kern w:val="0"/>
                <w:szCs w:val="21"/>
              </w:rPr>
              <w:t>设计缺陷处理进度</w:t>
            </w:r>
          </w:p>
        </w:tc>
        <w:tc>
          <w:tcPr>
            <w:tcW w:w="799" w:type="dxa"/>
            <w:tcBorders>
              <w:top w:val="nil"/>
              <w:left w:val="nil"/>
              <w:bottom w:val="single" w:color="auto" w:sz="4" w:space="0"/>
              <w:right w:val="single" w:color="auto" w:sz="4" w:space="0"/>
            </w:tcBorders>
            <w:vAlign w:val="center"/>
          </w:tcPr>
          <w:p w14:paraId="5A31C0FF">
            <w:pPr>
              <w:widowControl/>
              <w:jc w:val="center"/>
              <w:rPr>
                <w:rFonts w:ascii="仿宋_GB2312" w:hAnsi="宋体" w:eastAsia="仿宋_GB2312" w:cs="宋体"/>
                <w:kern w:val="0"/>
                <w:szCs w:val="21"/>
              </w:rPr>
            </w:pPr>
            <w:r>
              <w:rPr>
                <w:rFonts w:ascii="仿宋_GB2312" w:hAnsi="宋体" w:eastAsia="仿宋_GB2312" w:cs="宋体"/>
                <w:kern w:val="0"/>
                <w:szCs w:val="21"/>
              </w:rPr>
              <w:t>30</w:t>
            </w:r>
          </w:p>
        </w:tc>
        <w:tc>
          <w:tcPr>
            <w:tcW w:w="2551" w:type="dxa"/>
            <w:tcBorders>
              <w:top w:val="nil"/>
              <w:left w:val="nil"/>
              <w:bottom w:val="single" w:color="auto" w:sz="4" w:space="0"/>
              <w:right w:val="single" w:color="auto" w:sz="4" w:space="0"/>
            </w:tcBorders>
            <w:vAlign w:val="center"/>
          </w:tcPr>
          <w:p w14:paraId="0AFEA52C">
            <w:pPr>
              <w:widowControl/>
              <w:jc w:val="left"/>
              <w:rPr>
                <w:rFonts w:ascii="宋体" w:hAnsi="宋体" w:cs="宋体"/>
                <w:kern w:val="0"/>
                <w:szCs w:val="21"/>
              </w:rPr>
            </w:pPr>
            <w:r>
              <w:rPr>
                <w:rFonts w:hint="eastAsia" w:ascii="宋体" w:hAnsi="宋体" w:cs="宋体"/>
                <w:kern w:val="0"/>
                <w:szCs w:val="21"/>
              </w:rPr>
              <w:t>是否及时按甲方要求完成设计工作</w:t>
            </w:r>
          </w:p>
        </w:tc>
        <w:tc>
          <w:tcPr>
            <w:tcW w:w="3261" w:type="dxa"/>
            <w:tcBorders>
              <w:top w:val="nil"/>
              <w:left w:val="nil"/>
              <w:bottom w:val="single" w:color="auto" w:sz="4" w:space="0"/>
              <w:right w:val="single" w:color="auto" w:sz="4" w:space="0"/>
            </w:tcBorders>
            <w:vAlign w:val="center"/>
          </w:tcPr>
          <w:p w14:paraId="6A75B454">
            <w:pPr>
              <w:widowControl/>
              <w:jc w:val="left"/>
              <w:rPr>
                <w:rFonts w:ascii="宋体" w:hAnsi="宋体" w:cs="宋体"/>
                <w:kern w:val="0"/>
                <w:szCs w:val="21"/>
              </w:rPr>
            </w:pPr>
            <w:r>
              <w:rPr>
                <w:rFonts w:hint="eastAsia" w:ascii="宋体" w:hAnsi="宋体" w:cs="宋体"/>
                <w:kern w:val="0"/>
                <w:szCs w:val="21"/>
              </w:rPr>
              <w:t>好：得</w:t>
            </w:r>
            <w:r>
              <w:rPr>
                <w:rFonts w:ascii="宋体" w:hAnsi="宋体" w:cs="宋体"/>
                <w:kern w:val="0"/>
                <w:szCs w:val="21"/>
              </w:rPr>
              <w:t>30分</w:t>
            </w:r>
          </w:p>
          <w:p w14:paraId="2F0F4993">
            <w:pPr>
              <w:widowControl/>
              <w:jc w:val="left"/>
              <w:rPr>
                <w:rFonts w:ascii="宋体" w:hAnsi="宋体" w:cs="宋体"/>
                <w:kern w:val="0"/>
                <w:szCs w:val="21"/>
              </w:rPr>
            </w:pPr>
            <w:r>
              <w:rPr>
                <w:rFonts w:hint="eastAsia" w:ascii="宋体" w:hAnsi="宋体" w:cs="宋体"/>
                <w:kern w:val="0"/>
                <w:szCs w:val="21"/>
              </w:rPr>
              <w:t>较好：得</w:t>
            </w:r>
            <w:r>
              <w:rPr>
                <w:rFonts w:ascii="宋体" w:hAnsi="宋体" w:cs="宋体"/>
                <w:kern w:val="0"/>
                <w:szCs w:val="21"/>
              </w:rPr>
              <w:t>20分</w:t>
            </w:r>
          </w:p>
          <w:p w14:paraId="7FD0F005">
            <w:pPr>
              <w:widowControl/>
              <w:jc w:val="left"/>
              <w:rPr>
                <w:rFonts w:ascii="宋体" w:hAnsi="宋体" w:cs="宋体"/>
                <w:kern w:val="0"/>
                <w:szCs w:val="21"/>
              </w:rPr>
            </w:pPr>
            <w:r>
              <w:rPr>
                <w:rFonts w:hint="eastAsia" w:ascii="宋体" w:hAnsi="宋体" w:cs="宋体"/>
                <w:kern w:val="0"/>
                <w:szCs w:val="21"/>
              </w:rPr>
              <w:t>一般：得</w:t>
            </w:r>
            <w:r>
              <w:rPr>
                <w:rFonts w:ascii="宋体" w:hAnsi="宋体" w:cs="宋体"/>
                <w:kern w:val="0"/>
                <w:szCs w:val="21"/>
              </w:rPr>
              <w:t>10分</w:t>
            </w:r>
          </w:p>
          <w:p w14:paraId="4803FA02">
            <w:pPr>
              <w:widowControl/>
              <w:jc w:val="left"/>
              <w:rPr>
                <w:rFonts w:ascii="宋体" w:hAnsi="宋体" w:cs="宋体"/>
                <w:kern w:val="0"/>
                <w:szCs w:val="21"/>
              </w:rPr>
            </w:pPr>
            <w:r>
              <w:rPr>
                <w:rFonts w:hint="eastAsia" w:ascii="宋体" w:hAnsi="宋体" w:cs="宋体"/>
                <w:kern w:val="0"/>
                <w:szCs w:val="21"/>
              </w:rPr>
              <w:t>较差：得</w:t>
            </w:r>
            <w:r>
              <w:rPr>
                <w:rFonts w:ascii="宋体" w:hAnsi="宋体" w:cs="宋体"/>
                <w:kern w:val="0"/>
                <w:szCs w:val="21"/>
              </w:rPr>
              <w:t>5分</w:t>
            </w:r>
          </w:p>
          <w:p w14:paraId="47D22C50">
            <w:pPr>
              <w:widowControl/>
              <w:jc w:val="left"/>
              <w:rPr>
                <w:rFonts w:ascii="宋体" w:hAnsi="宋体" w:cs="宋体"/>
                <w:kern w:val="0"/>
                <w:szCs w:val="21"/>
              </w:rPr>
            </w:pPr>
            <w:r>
              <w:rPr>
                <w:rFonts w:hint="eastAsia" w:ascii="宋体" w:hAnsi="宋体" w:cs="宋体"/>
                <w:kern w:val="0"/>
                <w:szCs w:val="21"/>
              </w:rPr>
              <w:t>差：得</w:t>
            </w:r>
            <w:r>
              <w:rPr>
                <w:rFonts w:ascii="宋体" w:hAnsi="宋体" w:cs="宋体"/>
                <w:kern w:val="0"/>
                <w:szCs w:val="21"/>
              </w:rPr>
              <w:t>2分</w:t>
            </w:r>
          </w:p>
        </w:tc>
        <w:tc>
          <w:tcPr>
            <w:tcW w:w="992" w:type="dxa"/>
            <w:tcBorders>
              <w:top w:val="nil"/>
              <w:left w:val="nil"/>
              <w:bottom w:val="single" w:color="auto" w:sz="4" w:space="0"/>
              <w:right w:val="single" w:color="auto" w:sz="4" w:space="0"/>
            </w:tcBorders>
            <w:vAlign w:val="center"/>
          </w:tcPr>
          <w:p w14:paraId="12EB3B1E">
            <w:pPr>
              <w:widowControl/>
              <w:jc w:val="left"/>
              <w:rPr>
                <w:rFonts w:ascii="宋体" w:hAnsi="宋体" w:cs="宋体"/>
                <w:kern w:val="0"/>
                <w:szCs w:val="21"/>
              </w:rPr>
            </w:pPr>
            <w:r>
              <w:rPr>
                <w:rFonts w:hint="eastAsia" w:ascii="宋体" w:hAnsi="宋体" w:cs="宋体"/>
                <w:kern w:val="0"/>
                <w:szCs w:val="21"/>
              </w:rPr>
              <w:t>　</w:t>
            </w:r>
          </w:p>
        </w:tc>
      </w:tr>
      <w:tr w14:paraId="63B86C70">
        <w:tblPrEx>
          <w:tblCellMar>
            <w:top w:w="0" w:type="dxa"/>
            <w:left w:w="108" w:type="dxa"/>
            <w:bottom w:w="0" w:type="dxa"/>
            <w:right w:w="108" w:type="dxa"/>
          </w:tblCellMar>
        </w:tblPrEx>
        <w:trPr>
          <w:trHeight w:val="499" w:hRule="atLeast"/>
          <w:jc w:val="center"/>
        </w:trPr>
        <w:tc>
          <w:tcPr>
            <w:tcW w:w="580" w:type="dxa"/>
            <w:tcBorders>
              <w:top w:val="nil"/>
              <w:left w:val="single" w:color="auto" w:sz="4" w:space="0"/>
              <w:bottom w:val="single" w:color="auto" w:sz="4" w:space="0"/>
              <w:right w:val="single" w:color="auto" w:sz="4" w:space="0"/>
            </w:tcBorders>
            <w:vAlign w:val="center"/>
          </w:tcPr>
          <w:p w14:paraId="3EFE9771">
            <w:pPr>
              <w:widowControl/>
              <w:jc w:val="center"/>
              <w:rPr>
                <w:kern w:val="0"/>
                <w:szCs w:val="21"/>
              </w:rPr>
            </w:pPr>
            <w:r>
              <w:rPr>
                <w:rFonts w:hint="eastAsia"/>
                <w:kern w:val="0"/>
                <w:szCs w:val="21"/>
              </w:rPr>
              <w:t>　</w:t>
            </w:r>
          </w:p>
        </w:tc>
        <w:tc>
          <w:tcPr>
            <w:tcW w:w="1193" w:type="dxa"/>
            <w:tcBorders>
              <w:top w:val="nil"/>
              <w:left w:val="nil"/>
              <w:bottom w:val="single" w:color="auto" w:sz="4" w:space="0"/>
              <w:right w:val="single" w:color="auto" w:sz="4" w:space="0"/>
            </w:tcBorders>
            <w:vAlign w:val="center"/>
          </w:tcPr>
          <w:p w14:paraId="2750D2C7">
            <w:pPr>
              <w:widowControl/>
              <w:jc w:val="center"/>
              <w:rPr>
                <w:kern w:val="0"/>
                <w:szCs w:val="21"/>
              </w:rPr>
            </w:pPr>
            <w:r>
              <w:rPr>
                <w:rFonts w:hint="eastAsia"/>
                <w:kern w:val="0"/>
                <w:szCs w:val="21"/>
              </w:rPr>
              <w:t>合计</w:t>
            </w:r>
          </w:p>
        </w:tc>
        <w:tc>
          <w:tcPr>
            <w:tcW w:w="799" w:type="dxa"/>
            <w:tcBorders>
              <w:top w:val="nil"/>
              <w:left w:val="nil"/>
              <w:bottom w:val="single" w:color="auto" w:sz="4" w:space="0"/>
              <w:right w:val="single" w:color="auto" w:sz="4" w:space="0"/>
            </w:tcBorders>
            <w:vAlign w:val="center"/>
          </w:tcPr>
          <w:p w14:paraId="4FF5003C">
            <w:pPr>
              <w:widowControl/>
              <w:jc w:val="center"/>
              <w:rPr>
                <w:kern w:val="0"/>
                <w:szCs w:val="21"/>
              </w:rPr>
            </w:pPr>
            <w:r>
              <w:rPr>
                <w:kern w:val="0"/>
                <w:szCs w:val="21"/>
              </w:rPr>
              <w:t>100</w:t>
            </w:r>
          </w:p>
        </w:tc>
        <w:tc>
          <w:tcPr>
            <w:tcW w:w="2551" w:type="dxa"/>
            <w:tcBorders>
              <w:top w:val="nil"/>
              <w:left w:val="nil"/>
              <w:bottom w:val="single" w:color="auto" w:sz="4" w:space="0"/>
              <w:right w:val="single" w:color="auto" w:sz="4" w:space="0"/>
            </w:tcBorders>
            <w:vAlign w:val="center"/>
          </w:tcPr>
          <w:p w14:paraId="09C05839">
            <w:pPr>
              <w:widowControl/>
              <w:jc w:val="center"/>
              <w:rPr>
                <w:kern w:val="0"/>
                <w:szCs w:val="21"/>
              </w:rPr>
            </w:pPr>
            <w:r>
              <w:rPr>
                <w:rFonts w:hint="eastAsia"/>
                <w:kern w:val="0"/>
                <w:szCs w:val="21"/>
              </w:rPr>
              <w:t>　</w:t>
            </w:r>
          </w:p>
        </w:tc>
        <w:tc>
          <w:tcPr>
            <w:tcW w:w="3261" w:type="dxa"/>
            <w:tcBorders>
              <w:top w:val="nil"/>
              <w:left w:val="nil"/>
              <w:bottom w:val="single" w:color="auto" w:sz="4" w:space="0"/>
              <w:right w:val="single" w:color="auto" w:sz="4" w:space="0"/>
            </w:tcBorders>
            <w:vAlign w:val="center"/>
          </w:tcPr>
          <w:p w14:paraId="10A6E1B3">
            <w:pPr>
              <w:widowControl/>
              <w:jc w:val="center"/>
              <w:rPr>
                <w:kern w:val="0"/>
                <w:szCs w:val="21"/>
              </w:rPr>
            </w:pPr>
            <w:r>
              <w:rPr>
                <w:rFonts w:hint="eastAsia"/>
                <w:kern w:val="0"/>
                <w:szCs w:val="21"/>
              </w:rPr>
              <w:t>　</w:t>
            </w:r>
          </w:p>
        </w:tc>
        <w:tc>
          <w:tcPr>
            <w:tcW w:w="992" w:type="dxa"/>
            <w:tcBorders>
              <w:top w:val="nil"/>
              <w:left w:val="nil"/>
              <w:bottom w:val="single" w:color="auto" w:sz="4" w:space="0"/>
              <w:right w:val="single" w:color="auto" w:sz="4" w:space="0"/>
            </w:tcBorders>
            <w:vAlign w:val="center"/>
          </w:tcPr>
          <w:p w14:paraId="73B36DBF">
            <w:pPr>
              <w:widowControl/>
              <w:jc w:val="center"/>
              <w:rPr>
                <w:kern w:val="0"/>
                <w:szCs w:val="21"/>
              </w:rPr>
            </w:pPr>
            <w:r>
              <w:rPr>
                <w:rFonts w:hint="eastAsia"/>
                <w:kern w:val="0"/>
                <w:szCs w:val="21"/>
              </w:rPr>
              <w:t>　</w:t>
            </w:r>
          </w:p>
        </w:tc>
      </w:tr>
    </w:tbl>
    <w:p w14:paraId="69A7602C">
      <w:pPr>
        <w:adjustRightInd w:val="0"/>
        <w:snapToGrid w:val="0"/>
        <w:rPr>
          <w:rFonts w:ascii="宋体" w:hAnsi="宋体" w:cs="宋体"/>
          <w:kern w:val="0"/>
          <w:szCs w:val="21"/>
        </w:rPr>
      </w:pPr>
      <w:r>
        <w:rPr>
          <w:rFonts w:hint="eastAsia" w:ascii="宋体" w:hAnsi="宋体" w:cs="宋体"/>
          <w:kern w:val="0"/>
          <w:szCs w:val="21"/>
        </w:rPr>
        <w:t>一、注：</w:t>
      </w:r>
    </w:p>
    <w:p w14:paraId="357E0DBE">
      <w:pPr>
        <w:adjustRightInd w:val="0"/>
        <w:snapToGrid w:val="0"/>
        <w:rPr>
          <w:rFonts w:ascii="宋体" w:hAnsi="宋体" w:cs="宋体"/>
          <w:kern w:val="0"/>
          <w:szCs w:val="21"/>
        </w:rPr>
      </w:pPr>
      <w:r>
        <w:rPr>
          <w:rFonts w:ascii="宋体" w:hAnsi="宋体" w:cs="宋体"/>
          <w:kern w:val="0"/>
          <w:szCs w:val="21"/>
        </w:rPr>
        <w:t>1、每一评分项扣分，至该项对应分值扣完为止。</w:t>
      </w:r>
    </w:p>
    <w:p w14:paraId="33EB4FDA">
      <w:pPr>
        <w:adjustRightInd w:val="0"/>
        <w:snapToGrid w:val="0"/>
        <w:rPr>
          <w:rFonts w:ascii="宋体" w:hAnsi="宋体" w:cs="宋体"/>
          <w:kern w:val="0"/>
          <w:szCs w:val="21"/>
        </w:rPr>
      </w:pPr>
      <w:r>
        <w:rPr>
          <w:rFonts w:ascii="宋体" w:hAnsi="宋体" w:cs="宋体"/>
          <w:kern w:val="0"/>
          <w:szCs w:val="21"/>
        </w:rPr>
        <w:t>2、应在岗实际未在岗累计达到3天的，或经问询明显不了解项目具体情况累计达到3次的，或未按甲方要求出席会议累计达到3次的，可认定自行更换</w:t>
      </w:r>
    </w:p>
    <w:p w14:paraId="5FAE7EA5">
      <w:pPr>
        <w:adjustRightInd w:val="0"/>
        <w:snapToGrid w:val="0"/>
        <w:rPr>
          <w:rFonts w:ascii="宋体" w:hAnsi="宋体" w:cs="宋体"/>
          <w:kern w:val="0"/>
          <w:szCs w:val="21"/>
        </w:rPr>
      </w:pPr>
    </w:p>
    <w:p w14:paraId="4F5B637B">
      <w:pPr>
        <w:adjustRightInd w:val="0"/>
        <w:snapToGrid w:val="0"/>
        <w:rPr>
          <w:rFonts w:ascii="宋体" w:hAnsi="宋体" w:cs="宋体"/>
          <w:kern w:val="0"/>
          <w:szCs w:val="21"/>
        </w:rPr>
      </w:pPr>
      <w:r>
        <w:rPr>
          <w:rFonts w:hint="eastAsia" w:ascii="宋体" w:hAnsi="宋体" w:cs="宋体"/>
          <w:kern w:val="0"/>
          <w:szCs w:val="21"/>
        </w:rPr>
        <w:t>二、扣分情况说明：</w:t>
      </w:r>
    </w:p>
    <w:p w14:paraId="2D2AC349">
      <w:pPr>
        <w:adjustRightInd w:val="0"/>
        <w:snapToGrid w:val="0"/>
        <w:rPr>
          <w:rFonts w:ascii="宋体" w:hAnsi="宋体" w:cs="宋体"/>
          <w:kern w:val="0"/>
          <w:szCs w:val="21"/>
        </w:rPr>
      </w:pPr>
      <w:r>
        <w:rPr>
          <w:rFonts w:ascii="宋体" w:hAnsi="宋体" w:cs="宋体"/>
          <w:kern w:val="0"/>
          <w:szCs w:val="21"/>
        </w:rPr>
        <w:t>1、</w:t>
      </w:r>
    </w:p>
    <w:p w14:paraId="7B7CA4DE">
      <w:pPr>
        <w:adjustRightInd w:val="0"/>
        <w:snapToGrid w:val="0"/>
        <w:rPr>
          <w:rFonts w:ascii="宋体" w:hAnsi="宋体" w:cs="宋体"/>
          <w:kern w:val="0"/>
          <w:szCs w:val="21"/>
        </w:rPr>
      </w:pPr>
      <w:r>
        <w:rPr>
          <w:rFonts w:ascii="宋体" w:hAnsi="宋体" w:cs="宋体"/>
          <w:kern w:val="0"/>
          <w:szCs w:val="21"/>
        </w:rPr>
        <w:t>2、</w:t>
      </w:r>
    </w:p>
    <w:p w14:paraId="6F30A02A">
      <w:pPr>
        <w:adjustRightInd w:val="0"/>
        <w:snapToGrid w:val="0"/>
        <w:rPr>
          <w:rFonts w:ascii="宋体" w:hAnsi="宋体" w:cs="宋体"/>
          <w:kern w:val="0"/>
          <w:szCs w:val="21"/>
        </w:rPr>
      </w:pPr>
      <w:r>
        <w:rPr>
          <w:rFonts w:ascii="宋体" w:hAnsi="宋体" w:cs="宋体"/>
          <w:kern w:val="0"/>
          <w:szCs w:val="21"/>
        </w:rPr>
        <w:t>3、</w:t>
      </w:r>
    </w:p>
    <w:p w14:paraId="6987B1E3">
      <w:pPr>
        <w:adjustRightInd w:val="0"/>
        <w:snapToGrid w:val="0"/>
        <w:rPr>
          <w:rFonts w:ascii="宋体" w:hAnsi="宋体" w:cs="宋体"/>
          <w:kern w:val="0"/>
          <w:szCs w:val="21"/>
        </w:rPr>
      </w:pPr>
      <w:r>
        <w:rPr>
          <w:rFonts w:hint="eastAsia" w:ascii="宋体" w:hAnsi="宋体" w:cs="宋体"/>
          <w:kern w:val="0"/>
          <w:szCs w:val="21"/>
        </w:rPr>
        <w:t>…</w:t>
      </w:r>
    </w:p>
    <w:p w14:paraId="4D0F47AD">
      <w:pPr>
        <w:adjustRightInd w:val="0"/>
        <w:snapToGrid w:val="0"/>
        <w:rPr>
          <w:rFonts w:ascii="宋体" w:hAnsi="宋体" w:cs="宋体"/>
          <w:kern w:val="0"/>
          <w:szCs w:val="21"/>
        </w:rPr>
      </w:pPr>
    </w:p>
    <w:p w14:paraId="6691C270">
      <w:pPr>
        <w:adjustRightInd w:val="0"/>
        <w:snapToGrid w:val="0"/>
        <w:rPr>
          <w:rFonts w:ascii="宋体" w:hAnsi="宋体" w:cs="宋体"/>
          <w:kern w:val="0"/>
          <w:szCs w:val="21"/>
          <w:u w:val="single"/>
        </w:rPr>
      </w:pPr>
      <w:r>
        <w:rPr>
          <w:rFonts w:hint="eastAsia" w:ascii="宋体" w:hAnsi="宋体" w:cs="宋体"/>
          <w:kern w:val="0"/>
          <w:szCs w:val="21"/>
        </w:rPr>
        <w:t>项目负责人：×××</w:t>
      </w:r>
      <w:r>
        <w:rPr>
          <w:rFonts w:ascii="宋体" w:hAnsi="宋体" w:cs="宋体"/>
          <w:kern w:val="0"/>
          <w:szCs w:val="21"/>
        </w:rPr>
        <w:t xml:space="preserve">  </w:t>
      </w:r>
      <w:r>
        <w:rPr>
          <w:rFonts w:hint="eastAsia" w:ascii="宋体" w:hAnsi="宋体" w:cs="宋体"/>
          <w:kern w:val="0"/>
          <w:szCs w:val="21"/>
        </w:rPr>
        <w:t>签名：</w:t>
      </w:r>
      <w:r>
        <w:rPr>
          <w:rFonts w:ascii="宋体" w:hAnsi="宋体" w:cs="宋体"/>
          <w:kern w:val="0"/>
          <w:szCs w:val="21"/>
          <w:u w:val="single"/>
        </w:rPr>
        <w:t xml:space="preserve">             </w:t>
      </w:r>
    </w:p>
    <w:p w14:paraId="57B5EA77">
      <w:pPr>
        <w:adjustRightInd w:val="0"/>
        <w:snapToGrid w:val="0"/>
        <w:rPr>
          <w:rFonts w:ascii="宋体" w:hAnsi="宋体" w:cs="宋体"/>
          <w:kern w:val="0"/>
          <w:szCs w:val="21"/>
        </w:rPr>
      </w:pPr>
    </w:p>
    <w:p w14:paraId="72F2A5E4">
      <w:pPr>
        <w:adjustRightInd w:val="0"/>
        <w:snapToGrid w:val="0"/>
        <w:rPr>
          <w:rFonts w:ascii="宋体" w:hAnsi="宋体" w:cs="宋体"/>
          <w:kern w:val="0"/>
          <w:szCs w:val="21"/>
          <w:u w:val="single"/>
        </w:rPr>
      </w:pPr>
      <w:r>
        <w:rPr>
          <w:rFonts w:hint="eastAsia" w:ascii="宋体" w:hAnsi="宋体" w:cs="宋体"/>
          <w:kern w:val="0"/>
          <w:szCs w:val="21"/>
        </w:rPr>
        <w:t>部门负责人：×××</w:t>
      </w:r>
      <w:r>
        <w:rPr>
          <w:rFonts w:ascii="宋体" w:hAnsi="宋体" w:cs="宋体"/>
          <w:kern w:val="0"/>
          <w:szCs w:val="21"/>
        </w:rPr>
        <w:t xml:space="preserve">  </w:t>
      </w:r>
      <w:r>
        <w:rPr>
          <w:rFonts w:hint="eastAsia" w:ascii="宋体" w:hAnsi="宋体" w:cs="宋体"/>
          <w:kern w:val="0"/>
          <w:szCs w:val="21"/>
        </w:rPr>
        <w:t>签名：</w:t>
      </w:r>
      <w:r>
        <w:rPr>
          <w:rFonts w:ascii="宋体" w:hAnsi="宋体" w:cs="宋体"/>
          <w:kern w:val="0"/>
          <w:szCs w:val="21"/>
          <w:u w:val="single"/>
        </w:rPr>
        <w:t xml:space="preserve">             </w:t>
      </w:r>
    </w:p>
    <w:p w14:paraId="4BF2CB23">
      <w:pPr>
        <w:adjustRightInd w:val="0"/>
        <w:snapToGrid w:val="0"/>
        <w:rPr>
          <w:rFonts w:ascii="宋体" w:hAnsi="宋体" w:cs="宋体"/>
          <w:kern w:val="0"/>
          <w:szCs w:val="21"/>
        </w:rPr>
      </w:pPr>
    </w:p>
    <w:p w14:paraId="3608A070">
      <w:pPr>
        <w:adjustRightInd w:val="0"/>
        <w:snapToGrid w:val="0"/>
        <w:rPr>
          <w:rFonts w:ascii="宋体" w:hAnsi="宋体" w:cs="宋体"/>
          <w:kern w:val="0"/>
          <w:szCs w:val="21"/>
        </w:rPr>
      </w:pPr>
      <w:r>
        <w:rPr>
          <w:rFonts w:hint="eastAsia" w:ascii="宋体" w:hAnsi="宋体" w:cs="宋体"/>
          <w:kern w:val="0"/>
          <w:szCs w:val="21"/>
        </w:rPr>
        <w:t>日期：</w:t>
      </w:r>
      <w:r>
        <w:rPr>
          <w:rFonts w:ascii="宋体" w:hAnsi="宋体" w:cs="宋体"/>
          <w:kern w:val="0"/>
          <w:szCs w:val="21"/>
        </w:rPr>
        <w:t xml:space="preserve">      </w:t>
      </w: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r>
        <w:rPr>
          <w:rFonts w:hint="eastAsia" w:ascii="宋体" w:hAnsi="宋体" w:cs="宋体"/>
          <w:kern w:val="0"/>
          <w:szCs w:val="21"/>
        </w:rPr>
        <w:t>日</w:t>
      </w:r>
    </w:p>
    <w:p w14:paraId="7B271A22">
      <w:pPr>
        <w:adjustRightInd w:val="0"/>
        <w:snapToGrid w:val="0"/>
        <w:rPr>
          <w:rFonts w:ascii="宋体" w:hAnsi="宋体" w:cs="宋体"/>
          <w:kern w:val="0"/>
          <w:szCs w:val="21"/>
        </w:rPr>
      </w:pPr>
    </w:p>
    <w:p w14:paraId="4EA50AB9">
      <w:pPr>
        <w:spacing w:line="560" w:lineRule="exact"/>
        <w:ind w:firstLine="472"/>
        <w:rPr>
          <w:rFonts w:ascii="仿宋_GB2312" w:eastAsia="仿宋_GB2312"/>
          <w:sz w:val="32"/>
          <w:szCs w:val="32"/>
        </w:rPr>
      </w:pPr>
      <w:r>
        <w:rPr>
          <w:rFonts w:ascii="宋体" w:hAnsi="宋体"/>
          <w:szCs w:val="21"/>
        </w:rPr>
        <w:br w:type="page"/>
      </w:r>
      <w:r>
        <w:rPr>
          <w:rFonts w:hint="eastAsia" w:ascii="仿宋_GB2312" w:eastAsia="仿宋_GB2312"/>
          <w:sz w:val="32"/>
          <w:szCs w:val="32"/>
        </w:rPr>
        <w:t>附件六</w:t>
      </w:r>
    </w:p>
    <w:p w14:paraId="116B50C0">
      <w:pPr>
        <w:adjustRightInd w:val="0"/>
        <w:snapToGrid w:val="0"/>
        <w:ind w:firstLine="549"/>
        <w:jc w:val="center"/>
        <w:rPr>
          <w:rFonts w:ascii="仿宋_GB2312" w:hAnsi="宋体" w:eastAsia="仿宋_GB2312"/>
          <w:sz w:val="28"/>
          <w:szCs w:val="28"/>
        </w:rPr>
      </w:pPr>
      <w:r>
        <w:rPr>
          <w:rFonts w:hint="eastAsia" w:ascii="仿宋_GB2312" w:hAnsi="宋体" w:eastAsia="仿宋_GB2312"/>
          <w:sz w:val="28"/>
          <w:szCs w:val="28"/>
        </w:rPr>
        <w:t>设计错误分类</w:t>
      </w:r>
    </w:p>
    <w:p w14:paraId="6B5AD619">
      <w:pPr>
        <w:adjustRightInd w:val="0"/>
        <w:snapToGrid w:val="0"/>
        <w:ind w:firstLine="472"/>
        <w:rPr>
          <w:rFonts w:ascii="宋体" w:hAnsi="宋体"/>
          <w:szCs w:val="21"/>
        </w:rPr>
      </w:pPr>
    </w:p>
    <w:p w14:paraId="51B4B33B">
      <w:pPr>
        <w:adjustRightInd w:val="0"/>
        <w:snapToGrid w:val="0"/>
        <w:ind w:firstLine="525" w:firstLineChars="250"/>
        <w:rPr>
          <w:rFonts w:ascii="宋体" w:hAnsi="宋体"/>
          <w:szCs w:val="21"/>
        </w:rPr>
      </w:pPr>
      <w:r>
        <w:rPr>
          <w:rFonts w:hint="eastAsia" w:ascii="宋体" w:hAnsi="宋体"/>
          <w:szCs w:val="21"/>
        </w:rPr>
        <w:t>Ⅰ类错误：</w:t>
      </w:r>
    </w:p>
    <w:p w14:paraId="647EBCA6">
      <w:pPr>
        <w:adjustRightInd w:val="0"/>
        <w:snapToGrid w:val="0"/>
        <w:ind w:firstLine="525" w:firstLineChars="250"/>
        <w:rPr>
          <w:rFonts w:ascii="宋体" w:hAnsi="宋体"/>
          <w:szCs w:val="21"/>
        </w:rPr>
      </w:pPr>
      <w:r>
        <w:rPr>
          <w:rFonts w:hint="eastAsia" w:ascii="宋体" w:hAnsi="宋体"/>
          <w:szCs w:val="21"/>
        </w:rPr>
        <w:t>指设计文件中存在原则性或方案性的错误，并将导致工程决策错误，或造成不能正常使用、返工，或造成重大经济损失，或造成安全事故，如：1、违反国家有关法律、法规及政策，或选用无效的标准规范；2、不符合合同要求的用途或目的或规定的规模；3、不满足城市规划对项目控制性指标的规定和要求；4、违反国家现行技术规范、规定、标准的强制性条文；5、设计方案不正确；6、主要部位设计错误并影响安全性能或使用功能，或结构施工图设计没有计算书；7、出现因设计责任引起的一类变更；8、造价文件严重失实。</w:t>
      </w:r>
    </w:p>
    <w:p w14:paraId="6A640A99">
      <w:pPr>
        <w:adjustRightInd w:val="0"/>
        <w:snapToGrid w:val="0"/>
        <w:ind w:firstLine="525" w:firstLineChars="250"/>
        <w:rPr>
          <w:rFonts w:ascii="宋体" w:hAnsi="宋体"/>
          <w:szCs w:val="21"/>
        </w:rPr>
      </w:pPr>
      <w:r>
        <w:rPr>
          <w:rFonts w:hint="eastAsia" w:ascii="宋体" w:hAnsi="宋体"/>
          <w:szCs w:val="21"/>
        </w:rPr>
        <w:t>具体按照专业又可分为：</w:t>
      </w:r>
    </w:p>
    <w:p w14:paraId="78090E63">
      <w:pPr>
        <w:adjustRightInd w:val="0"/>
        <w:snapToGrid w:val="0"/>
        <w:ind w:firstLine="525" w:firstLineChars="250"/>
        <w:rPr>
          <w:rFonts w:ascii="宋体" w:hAnsi="宋体"/>
          <w:szCs w:val="21"/>
        </w:rPr>
      </w:pPr>
      <w:r>
        <w:rPr>
          <w:rFonts w:hint="eastAsia" w:ascii="宋体" w:hAnsi="宋体"/>
          <w:szCs w:val="21"/>
        </w:rPr>
        <w:t>严重违反规范、标准、规定，有可能造成严重影响安全和使用的错误，如：</w:t>
      </w:r>
    </w:p>
    <w:p w14:paraId="34E3F5AC">
      <w:pPr>
        <w:adjustRightInd w:val="0"/>
        <w:snapToGrid w:val="0"/>
        <w:ind w:firstLine="525" w:firstLineChars="250"/>
        <w:rPr>
          <w:rFonts w:ascii="宋体" w:hAnsi="宋体"/>
          <w:szCs w:val="21"/>
        </w:rPr>
      </w:pPr>
      <w:r>
        <w:rPr>
          <w:rFonts w:hint="eastAsia" w:ascii="宋体" w:hAnsi="宋体"/>
          <w:szCs w:val="21"/>
        </w:rPr>
        <w:t>建筑专业：规范中消防间距不够，而又未采取措施；规划中日照间距不够；防火分区面积超规定，电梯/楼梯厅不符合防火要求等。</w:t>
      </w:r>
    </w:p>
    <w:p w14:paraId="6C55B63D">
      <w:pPr>
        <w:adjustRightInd w:val="0"/>
        <w:snapToGrid w:val="0"/>
        <w:ind w:firstLine="525" w:firstLineChars="250"/>
        <w:rPr>
          <w:rFonts w:ascii="宋体" w:hAnsi="宋体"/>
          <w:szCs w:val="21"/>
        </w:rPr>
      </w:pPr>
      <w:r>
        <w:rPr>
          <w:rFonts w:hint="eastAsia" w:ascii="宋体" w:hAnsi="宋体"/>
          <w:szCs w:val="21"/>
        </w:rPr>
        <w:t>结构专业：结构(含基础、基坑支护)选型错误；计算原则错误；未考虑抗震设计；出现超限而未采取任何措施等。</w:t>
      </w:r>
    </w:p>
    <w:p w14:paraId="333314C0">
      <w:pPr>
        <w:adjustRightInd w:val="0"/>
        <w:snapToGrid w:val="0"/>
        <w:ind w:firstLine="525" w:firstLineChars="250"/>
        <w:rPr>
          <w:rFonts w:ascii="宋体" w:hAnsi="宋体"/>
          <w:szCs w:val="21"/>
        </w:rPr>
      </w:pPr>
      <w:r>
        <w:rPr>
          <w:rFonts w:hint="eastAsia" w:ascii="宋体" w:hAnsi="宋体"/>
          <w:szCs w:val="21"/>
        </w:rPr>
        <w:t>给排水专业：规范要求的消防设施未设计；消防水量、水压达不到规范要求；生活给水水量、水压达不到规范要求等。</w:t>
      </w:r>
    </w:p>
    <w:p w14:paraId="4CACBCF3">
      <w:pPr>
        <w:adjustRightInd w:val="0"/>
        <w:snapToGrid w:val="0"/>
        <w:ind w:firstLine="525" w:firstLineChars="250"/>
        <w:rPr>
          <w:rFonts w:ascii="宋体" w:hAnsi="宋体"/>
          <w:szCs w:val="21"/>
        </w:rPr>
      </w:pPr>
      <w:r>
        <w:rPr>
          <w:rFonts w:hint="eastAsia" w:ascii="宋体" w:hAnsi="宋体"/>
          <w:szCs w:val="21"/>
        </w:rPr>
        <w:t>暖通专业：规范要求的防火排烟设施未设计，排烟风量达不到规范要求，又未采取必要的措施等。</w:t>
      </w:r>
    </w:p>
    <w:p w14:paraId="27DD8697">
      <w:pPr>
        <w:adjustRightInd w:val="0"/>
        <w:snapToGrid w:val="0"/>
        <w:ind w:firstLine="525" w:firstLineChars="250"/>
        <w:rPr>
          <w:rFonts w:ascii="宋体" w:hAnsi="宋体"/>
          <w:szCs w:val="21"/>
        </w:rPr>
      </w:pPr>
      <w:r>
        <w:rPr>
          <w:rFonts w:hint="eastAsia" w:ascii="宋体" w:hAnsi="宋体"/>
          <w:szCs w:val="21"/>
        </w:rPr>
        <w:t>电气专业：变配电、电话、电视、消防、广播音响等系统及各种机房平、剖面设备布置等严重违反规范、标准、规定；配电方案有严重缺陷等。</w:t>
      </w:r>
    </w:p>
    <w:p w14:paraId="026EE522">
      <w:pPr>
        <w:adjustRightInd w:val="0"/>
        <w:snapToGrid w:val="0"/>
        <w:ind w:firstLine="525" w:firstLineChars="250"/>
        <w:rPr>
          <w:rFonts w:ascii="宋体" w:hAnsi="宋体"/>
          <w:szCs w:val="21"/>
        </w:rPr>
      </w:pPr>
      <w:r>
        <w:rPr>
          <w:rFonts w:hint="eastAsia" w:ascii="宋体" w:hAnsi="宋体"/>
          <w:szCs w:val="21"/>
        </w:rPr>
        <w:t>造价专业：提交给甲方的造价文件，经核查后，偏差大于±30%的。</w:t>
      </w:r>
    </w:p>
    <w:p w14:paraId="69FB4012">
      <w:pPr>
        <w:adjustRightInd w:val="0"/>
        <w:snapToGrid w:val="0"/>
        <w:ind w:firstLine="525" w:firstLineChars="250"/>
        <w:rPr>
          <w:rFonts w:ascii="宋体" w:hAnsi="宋体"/>
          <w:szCs w:val="21"/>
        </w:rPr>
      </w:pPr>
    </w:p>
    <w:p w14:paraId="4D54380D">
      <w:pPr>
        <w:adjustRightInd w:val="0"/>
        <w:snapToGrid w:val="0"/>
        <w:ind w:firstLine="525" w:firstLineChars="250"/>
        <w:rPr>
          <w:rFonts w:ascii="宋体" w:hAnsi="宋体"/>
          <w:szCs w:val="21"/>
        </w:rPr>
      </w:pPr>
      <w:r>
        <w:rPr>
          <w:rFonts w:hint="eastAsia" w:ascii="宋体" w:hAnsi="宋体"/>
          <w:szCs w:val="21"/>
        </w:rPr>
        <w:t>Ⅱ类错误</w:t>
      </w:r>
    </w:p>
    <w:p w14:paraId="376CD3AA">
      <w:pPr>
        <w:adjustRightInd w:val="0"/>
        <w:snapToGrid w:val="0"/>
        <w:ind w:firstLine="525" w:firstLineChars="250"/>
        <w:rPr>
          <w:rFonts w:ascii="宋体" w:hAnsi="宋体"/>
          <w:szCs w:val="21"/>
        </w:rPr>
      </w:pPr>
      <w:r>
        <w:rPr>
          <w:rFonts w:hint="eastAsia" w:ascii="宋体" w:hAnsi="宋体"/>
          <w:szCs w:val="21"/>
        </w:rPr>
        <w:t>指设计文件中存在错误，有可能造成施工困难、使用困难或较大经济损失,如：1、违反国家现行技术规范、规定、标准的重要条文；2、设计漏项；3、选用淘汰的设备; 4、出现因设计责任引起的二类变更；5、造价文件失实较严重。</w:t>
      </w:r>
    </w:p>
    <w:p w14:paraId="256C4B68">
      <w:pPr>
        <w:adjustRightInd w:val="0"/>
        <w:snapToGrid w:val="0"/>
        <w:ind w:firstLine="525" w:firstLineChars="250"/>
        <w:rPr>
          <w:rFonts w:ascii="宋体" w:hAnsi="宋体"/>
          <w:szCs w:val="21"/>
        </w:rPr>
      </w:pPr>
      <w:r>
        <w:rPr>
          <w:rFonts w:hint="eastAsia" w:ascii="宋体" w:hAnsi="宋体"/>
          <w:szCs w:val="21"/>
        </w:rPr>
        <w:t>具体按照专业又可分为：</w:t>
      </w:r>
    </w:p>
    <w:p w14:paraId="3BBCF95A">
      <w:pPr>
        <w:adjustRightInd w:val="0"/>
        <w:snapToGrid w:val="0"/>
        <w:ind w:firstLine="525" w:firstLineChars="250"/>
        <w:rPr>
          <w:rFonts w:ascii="宋体" w:hAnsi="宋体"/>
          <w:szCs w:val="21"/>
        </w:rPr>
      </w:pPr>
      <w:r>
        <w:rPr>
          <w:rFonts w:hint="eastAsia" w:ascii="宋体" w:hAnsi="宋体"/>
          <w:szCs w:val="21"/>
        </w:rPr>
        <w:t>A、设计存在错误，有可能造成施工困难、使用困难或较大经济损失，如：</w:t>
      </w:r>
    </w:p>
    <w:p w14:paraId="18FDCC87">
      <w:pPr>
        <w:adjustRightInd w:val="0"/>
        <w:snapToGrid w:val="0"/>
        <w:ind w:firstLine="525" w:firstLineChars="250"/>
        <w:rPr>
          <w:rFonts w:ascii="宋体" w:hAnsi="宋体"/>
          <w:szCs w:val="21"/>
        </w:rPr>
      </w:pPr>
      <w:r>
        <w:rPr>
          <w:rFonts w:hint="eastAsia" w:ascii="宋体" w:hAnsi="宋体"/>
          <w:szCs w:val="21"/>
        </w:rPr>
        <w:t>建筑专业：总平面竖向设计错误；轴线错误或对不上，楼梯碰头；视线计算错误等。</w:t>
      </w:r>
    </w:p>
    <w:p w14:paraId="1A8DBC24">
      <w:pPr>
        <w:adjustRightInd w:val="0"/>
        <w:snapToGrid w:val="0"/>
        <w:ind w:firstLine="525" w:firstLineChars="250"/>
        <w:rPr>
          <w:rFonts w:ascii="宋体" w:hAnsi="宋体"/>
          <w:szCs w:val="21"/>
        </w:rPr>
      </w:pPr>
      <w:r>
        <w:rPr>
          <w:rFonts w:hint="eastAsia" w:ascii="宋体" w:hAnsi="宋体"/>
          <w:szCs w:val="21"/>
        </w:rPr>
        <w:t>结构专业：计算书未经校对；结构构件安全储备不足；结构与建筑节点不一致等。</w:t>
      </w:r>
    </w:p>
    <w:p w14:paraId="592BC662">
      <w:pPr>
        <w:adjustRightInd w:val="0"/>
        <w:snapToGrid w:val="0"/>
        <w:ind w:firstLine="525" w:firstLineChars="250"/>
        <w:rPr>
          <w:rFonts w:ascii="宋体" w:hAnsi="宋体"/>
          <w:szCs w:val="21"/>
        </w:rPr>
      </w:pPr>
      <w:r>
        <w:rPr>
          <w:rFonts w:hint="eastAsia" w:ascii="宋体" w:hAnsi="宋体"/>
          <w:szCs w:val="21"/>
        </w:rPr>
        <w:t>给排水专业：由于设计的水塔或水箱高度不够，造成水压不足，出水量不能满足使用要求；高层建筑消防减压、止回等设计不当等。</w:t>
      </w:r>
    </w:p>
    <w:p w14:paraId="133891B9">
      <w:pPr>
        <w:adjustRightInd w:val="0"/>
        <w:snapToGrid w:val="0"/>
        <w:ind w:firstLine="525" w:firstLineChars="250"/>
        <w:rPr>
          <w:rFonts w:ascii="宋体" w:hAnsi="宋体"/>
          <w:szCs w:val="21"/>
        </w:rPr>
      </w:pPr>
      <w:r>
        <w:rPr>
          <w:rFonts w:hint="eastAsia" w:ascii="宋体" w:hAnsi="宋体"/>
          <w:szCs w:val="21"/>
        </w:rPr>
        <w:t>暖通专业：冷、热负荷计算有重大错误或系统选择不当；膨胀水箱高度低于采暖系统等。</w:t>
      </w:r>
    </w:p>
    <w:p w14:paraId="399E52D5">
      <w:pPr>
        <w:adjustRightInd w:val="0"/>
        <w:snapToGrid w:val="0"/>
        <w:ind w:firstLine="525" w:firstLineChars="250"/>
        <w:rPr>
          <w:rFonts w:ascii="宋体" w:hAnsi="宋体"/>
          <w:szCs w:val="21"/>
        </w:rPr>
      </w:pPr>
      <w:r>
        <w:rPr>
          <w:rFonts w:hint="eastAsia" w:ascii="宋体" w:hAnsi="宋体"/>
          <w:szCs w:val="21"/>
        </w:rPr>
        <w:t>电气专业：选用国家已公布的机电淘汰产品；供配电系统的控制保护，自动控制和自动调节原理图，各站弱电设备之间线路连接图等设计不周或有严重错误；低压配电柜开关与所保护电缆选型不匹配，电缆母线容量不匹配等。</w:t>
      </w:r>
    </w:p>
    <w:p w14:paraId="2CA506C3">
      <w:pPr>
        <w:adjustRightInd w:val="0"/>
        <w:snapToGrid w:val="0"/>
        <w:ind w:firstLine="525" w:firstLineChars="250"/>
        <w:rPr>
          <w:rFonts w:ascii="宋体" w:hAnsi="宋体"/>
          <w:szCs w:val="21"/>
        </w:rPr>
      </w:pPr>
      <w:r>
        <w:rPr>
          <w:rFonts w:hint="eastAsia" w:ascii="宋体" w:hAnsi="宋体"/>
          <w:szCs w:val="21"/>
        </w:rPr>
        <w:t>造价专业：提交给甲方的造价文件，经核查后，偏差大于±20%的。</w:t>
      </w:r>
    </w:p>
    <w:p w14:paraId="6103A17C">
      <w:pPr>
        <w:adjustRightInd w:val="0"/>
        <w:snapToGrid w:val="0"/>
        <w:ind w:firstLine="525" w:firstLineChars="250"/>
        <w:rPr>
          <w:rFonts w:ascii="宋体" w:hAnsi="宋体"/>
          <w:szCs w:val="21"/>
        </w:rPr>
      </w:pPr>
      <w:r>
        <w:rPr>
          <w:rFonts w:hint="eastAsia" w:ascii="宋体" w:hAnsi="宋体"/>
          <w:szCs w:val="21"/>
        </w:rPr>
        <w:t>B、严重影响报建：如计容积率面积（包含各个分部）超过允许的误差范围；平立剖面对不上；民防单元面积超过规范。</w:t>
      </w:r>
    </w:p>
    <w:p w14:paraId="498B7512">
      <w:pPr>
        <w:adjustRightInd w:val="0"/>
        <w:snapToGrid w:val="0"/>
        <w:ind w:firstLine="525" w:firstLineChars="250"/>
        <w:rPr>
          <w:rFonts w:ascii="宋体" w:hAnsi="宋体"/>
          <w:szCs w:val="21"/>
        </w:rPr>
      </w:pPr>
    </w:p>
    <w:p w14:paraId="02D95209">
      <w:pPr>
        <w:adjustRightInd w:val="0"/>
        <w:snapToGrid w:val="0"/>
        <w:ind w:firstLine="525" w:firstLineChars="250"/>
        <w:rPr>
          <w:rFonts w:ascii="宋体" w:hAnsi="宋体"/>
          <w:szCs w:val="21"/>
        </w:rPr>
      </w:pPr>
      <w:r>
        <w:rPr>
          <w:rFonts w:hint="eastAsia" w:ascii="宋体" w:hAnsi="宋体"/>
          <w:szCs w:val="21"/>
        </w:rPr>
        <w:t>Ⅲ类错误</w:t>
      </w:r>
    </w:p>
    <w:p w14:paraId="051F4B59">
      <w:pPr>
        <w:adjustRightInd w:val="0"/>
        <w:snapToGrid w:val="0"/>
        <w:ind w:firstLine="525" w:firstLineChars="250"/>
        <w:rPr>
          <w:rFonts w:ascii="宋体" w:hAnsi="宋体"/>
          <w:szCs w:val="21"/>
        </w:rPr>
      </w:pPr>
      <w:r>
        <w:rPr>
          <w:rFonts w:hint="eastAsia" w:ascii="宋体" w:hAnsi="宋体"/>
          <w:szCs w:val="21"/>
        </w:rPr>
        <w:t>设计中局部细节存在不合理或缺点，但对工程决策和质量无重大影响，如：1、违反国家现行技术规范、规定、标准的一般条文；2、设计的流程、系统、平面布置不够合理；3、设备、构造、材料等选用不当；4、重要的数据、计量单位、尺寸出错；5、不符合国家对工程设计文件内容深度及格式的规定要求;6、出现因设计责任引起的三类变更；6、造价文件失实。</w:t>
      </w:r>
    </w:p>
    <w:p w14:paraId="727B31D9">
      <w:pPr>
        <w:adjustRightInd w:val="0"/>
        <w:snapToGrid w:val="0"/>
        <w:ind w:firstLine="525" w:firstLineChars="250"/>
        <w:rPr>
          <w:rFonts w:ascii="宋体" w:hAnsi="宋体"/>
          <w:szCs w:val="21"/>
        </w:rPr>
      </w:pPr>
      <w:r>
        <w:rPr>
          <w:rFonts w:hint="eastAsia" w:ascii="宋体" w:hAnsi="宋体"/>
          <w:szCs w:val="21"/>
        </w:rPr>
        <w:t>具体按照专业又可分为：</w:t>
      </w:r>
    </w:p>
    <w:p w14:paraId="7E8B91AB">
      <w:pPr>
        <w:adjustRightInd w:val="0"/>
        <w:snapToGrid w:val="0"/>
        <w:ind w:firstLine="525" w:firstLineChars="250"/>
        <w:rPr>
          <w:rFonts w:ascii="宋体" w:hAnsi="宋体"/>
          <w:szCs w:val="21"/>
        </w:rPr>
      </w:pPr>
      <w:r>
        <w:rPr>
          <w:rFonts w:hint="eastAsia" w:ascii="宋体" w:hAnsi="宋体"/>
          <w:szCs w:val="21"/>
        </w:rPr>
        <w:t>A、局部违反规范、标准、规定，但容易修正、且返工量不大，如：</w:t>
      </w:r>
    </w:p>
    <w:p w14:paraId="4B512642">
      <w:pPr>
        <w:adjustRightInd w:val="0"/>
        <w:snapToGrid w:val="0"/>
        <w:ind w:firstLine="525" w:firstLineChars="250"/>
        <w:rPr>
          <w:rFonts w:ascii="宋体" w:hAnsi="宋体"/>
          <w:szCs w:val="21"/>
        </w:rPr>
      </w:pPr>
      <w:r>
        <w:rPr>
          <w:rFonts w:hint="eastAsia" w:ascii="宋体" w:hAnsi="宋体"/>
          <w:szCs w:val="21"/>
        </w:rPr>
        <w:t>建筑专业：栏杆的高度及强度不符合要求；消防电梯不合防火要求，疏散门宽度不够、管道井不合防火规范等。</w:t>
      </w:r>
    </w:p>
    <w:p w14:paraId="2C90120E">
      <w:pPr>
        <w:adjustRightInd w:val="0"/>
        <w:snapToGrid w:val="0"/>
        <w:ind w:firstLine="525" w:firstLineChars="250"/>
        <w:rPr>
          <w:rFonts w:ascii="宋体" w:hAnsi="宋体"/>
          <w:szCs w:val="21"/>
        </w:rPr>
      </w:pPr>
      <w:r>
        <w:rPr>
          <w:rFonts w:hint="eastAsia" w:ascii="宋体" w:hAnsi="宋体"/>
          <w:szCs w:val="21"/>
        </w:rPr>
        <w:t>结构专业：按简支计算的梁、支座与梁柱整体连接构造用负筋不够；悬挑构件配筋错误等。</w:t>
      </w:r>
    </w:p>
    <w:p w14:paraId="50E5B133">
      <w:pPr>
        <w:adjustRightInd w:val="0"/>
        <w:snapToGrid w:val="0"/>
        <w:ind w:firstLine="525" w:firstLineChars="250"/>
        <w:rPr>
          <w:rFonts w:ascii="宋体" w:hAnsi="宋体"/>
          <w:szCs w:val="21"/>
        </w:rPr>
      </w:pPr>
      <w:r>
        <w:rPr>
          <w:rFonts w:hint="eastAsia" w:ascii="宋体" w:hAnsi="宋体"/>
          <w:szCs w:val="21"/>
        </w:rPr>
        <w:t>给排水专业：生活饮用水管理与非饮用水道连接，未采取防回流污染措施等。</w:t>
      </w:r>
    </w:p>
    <w:p w14:paraId="7A429EFF">
      <w:pPr>
        <w:adjustRightInd w:val="0"/>
        <w:snapToGrid w:val="0"/>
        <w:ind w:firstLine="525" w:firstLineChars="250"/>
        <w:rPr>
          <w:rFonts w:ascii="宋体" w:hAnsi="宋体"/>
          <w:szCs w:val="21"/>
        </w:rPr>
      </w:pPr>
      <w:r>
        <w:rPr>
          <w:rFonts w:hint="eastAsia" w:ascii="宋体" w:hAnsi="宋体"/>
          <w:szCs w:val="21"/>
        </w:rPr>
        <w:t>暖通专业：管道井不符合防火规定；穿越防火墙未装防火阀；风管材料及保温材料不符合防火要求等。</w:t>
      </w:r>
    </w:p>
    <w:p w14:paraId="56858B3E">
      <w:pPr>
        <w:adjustRightInd w:val="0"/>
        <w:snapToGrid w:val="0"/>
        <w:ind w:firstLine="525" w:firstLineChars="250"/>
        <w:rPr>
          <w:rFonts w:ascii="宋体" w:hAnsi="宋体"/>
          <w:szCs w:val="21"/>
        </w:rPr>
      </w:pPr>
      <w:r>
        <w:rPr>
          <w:rFonts w:hint="eastAsia" w:ascii="宋体" w:hAnsi="宋体"/>
          <w:szCs w:val="21"/>
        </w:rPr>
        <w:t>电气专业：低压配电级数超过三级；照明系统中单向回路灯和插座数量超过25个；烟、温感探测器位置；自动喷淋、排烟防火等系统连锁方式局部违反规范、标准、规定；双电源未考虑末端切换等。</w:t>
      </w:r>
    </w:p>
    <w:p w14:paraId="40DEEFE4">
      <w:pPr>
        <w:adjustRightInd w:val="0"/>
        <w:snapToGrid w:val="0"/>
        <w:ind w:firstLine="525" w:firstLineChars="250"/>
        <w:rPr>
          <w:rFonts w:ascii="宋体" w:hAnsi="宋体"/>
          <w:szCs w:val="21"/>
        </w:rPr>
      </w:pPr>
      <w:r>
        <w:rPr>
          <w:rFonts w:hint="eastAsia" w:ascii="宋体" w:hAnsi="宋体"/>
          <w:szCs w:val="21"/>
        </w:rPr>
        <w:t>造价专业：提交给甲方的造价文件，经核查后，偏差大于±10%的。</w:t>
      </w:r>
    </w:p>
    <w:p w14:paraId="6C63E15C">
      <w:pPr>
        <w:adjustRightInd w:val="0"/>
        <w:snapToGrid w:val="0"/>
        <w:ind w:firstLine="525" w:firstLineChars="250"/>
        <w:rPr>
          <w:rFonts w:ascii="宋体" w:hAnsi="宋体"/>
          <w:szCs w:val="21"/>
        </w:rPr>
      </w:pPr>
      <w:r>
        <w:rPr>
          <w:rFonts w:hint="eastAsia" w:ascii="宋体" w:hAnsi="宋体"/>
          <w:szCs w:val="21"/>
        </w:rPr>
        <w:t>B、设计不周、构造或用料不当，有可能造成影响局部使用效果，或重要部位尺寸错误，有可能造成严重后果，如：</w:t>
      </w:r>
    </w:p>
    <w:p w14:paraId="2006FE5F">
      <w:pPr>
        <w:adjustRightInd w:val="0"/>
        <w:snapToGrid w:val="0"/>
        <w:ind w:firstLine="525" w:firstLineChars="250"/>
        <w:rPr>
          <w:rFonts w:ascii="宋体" w:hAnsi="宋体"/>
          <w:szCs w:val="21"/>
        </w:rPr>
      </w:pPr>
      <w:r>
        <w:rPr>
          <w:rFonts w:hint="eastAsia" w:ascii="宋体" w:hAnsi="宋体"/>
          <w:szCs w:val="21"/>
        </w:rPr>
        <w:t>建筑专业：结构承重部分在建筑图中未完全反映或错误；声光热防水防潮等的技术处理欠妥等。</w:t>
      </w:r>
    </w:p>
    <w:p w14:paraId="2126A9E4">
      <w:pPr>
        <w:adjustRightInd w:val="0"/>
        <w:snapToGrid w:val="0"/>
        <w:ind w:firstLine="525" w:firstLineChars="250"/>
        <w:rPr>
          <w:rFonts w:ascii="宋体" w:hAnsi="宋体"/>
          <w:szCs w:val="21"/>
        </w:rPr>
      </w:pPr>
      <w:r>
        <w:rPr>
          <w:rFonts w:hint="eastAsia" w:ascii="宋体" w:hAnsi="宋体"/>
          <w:szCs w:val="21"/>
        </w:rPr>
        <w:t>结构专业:各种门/窗洞高度不符合建筑设计要求，严重影响使用要求；存在明显的未设计部分，影响现场进度；结构标高与建筑面层要求不符；阳台、雨蓬的倾覆安全不够，钢筋混凝土构件配筋与计算书不符；应设置构造钢筋的部位不设或少设。</w:t>
      </w:r>
    </w:p>
    <w:p w14:paraId="3F525223">
      <w:pPr>
        <w:adjustRightInd w:val="0"/>
        <w:snapToGrid w:val="0"/>
        <w:ind w:firstLine="525" w:firstLineChars="250"/>
        <w:rPr>
          <w:rFonts w:ascii="宋体" w:hAnsi="宋体"/>
          <w:szCs w:val="21"/>
        </w:rPr>
      </w:pPr>
      <w:r>
        <w:rPr>
          <w:rFonts w:hint="eastAsia" w:ascii="宋体" w:hAnsi="宋体"/>
          <w:szCs w:val="21"/>
        </w:rPr>
        <w:t>给排水专业:选用了已淘汰的耗能大的设备。热交换间未考虑检修条件等。</w:t>
      </w:r>
    </w:p>
    <w:p w14:paraId="2E689D21">
      <w:pPr>
        <w:adjustRightInd w:val="0"/>
        <w:snapToGrid w:val="0"/>
        <w:ind w:firstLine="525" w:firstLineChars="250"/>
        <w:rPr>
          <w:rFonts w:ascii="宋体" w:hAnsi="宋体"/>
          <w:szCs w:val="21"/>
        </w:rPr>
      </w:pPr>
      <w:r>
        <w:rPr>
          <w:rFonts w:hint="eastAsia" w:ascii="宋体" w:hAnsi="宋体"/>
          <w:szCs w:val="21"/>
        </w:rPr>
        <w:t>暖通专业:选用了已淘汰的产品；机房布置未考虑检修条件；地下室的机房未考虑设备进出孔；风机的消声、减震处理不当等。</w:t>
      </w:r>
    </w:p>
    <w:p w14:paraId="5F24CC7A">
      <w:pPr>
        <w:adjustRightInd w:val="0"/>
        <w:snapToGrid w:val="0"/>
        <w:ind w:firstLine="525" w:firstLineChars="250"/>
        <w:rPr>
          <w:rFonts w:ascii="宋体" w:hAnsi="宋体"/>
          <w:szCs w:val="21"/>
        </w:rPr>
      </w:pPr>
      <w:r>
        <w:rPr>
          <w:rFonts w:hint="eastAsia" w:ascii="宋体" w:hAnsi="宋体"/>
          <w:szCs w:val="21"/>
        </w:rPr>
        <w:t>电气专业:强、弱电各种线路布局，设备选型不当，安装图和非标准图制作尺寸以及安装不符等。</w:t>
      </w:r>
    </w:p>
    <w:p w14:paraId="48C3230C">
      <w:pPr>
        <w:adjustRightInd w:val="0"/>
        <w:snapToGrid w:val="0"/>
        <w:ind w:firstLine="525" w:firstLineChars="250"/>
        <w:rPr>
          <w:rFonts w:ascii="宋体" w:hAnsi="宋体"/>
          <w:szCs w:val="21"/>
        </w:rPr>
      </w:pPr>
      <w:r>
        <w:rPr>
          <w:rFonts w:hint="eastAsia" w:ascii="宋体" w:hAnsi="宋体"/>
          <w:szCs w:val="21"/>
        </w:rPr>
        <w:t>C、工种配合严重错误或局部遗漏有可能造成影响使用，或造成施工返工，如梁上预埋孔洞严重影响结构安全。</w:t>
      </w:r>
    </w:p>
    <w:p w14:paraId="2AD5656B">
      <w:pPr>
        <w:adjustRightInd w:val="0"/>
        <w:snapToGrid w:val="0"/>
        <w:ind w:firstLine="525" w:firstLineChars="250"/>
        <w:rPr>
          <w:rFonts w:ascii="宋体" w:hAnsi="宋体"/>
          <w:szCs w:val="21"/>
        </w:rPr>
      </w:pPr>
      <w:r>
        <w:rPr>
          <w:rFonts w:hint="eastAsia" w:ascii="宋体" w:hAnsi="宋体"/>
          <w:szCs w:val="21"/>
        </w:rPr>
        <w:t>D、结构专业计算、构造层层加码，造成严重浪费者。如设计荷载取用过大，实际配筋又大于计算要求很多等。</w:t>
      </w:r>
    </w:p>
    <w:p w14:paraId="5A821C2E">
      <w:pPr>
        <w:adjustRightInd w:val="0"/>
        <w:snapToGrid w:val="0"/>
        <w:ind w:firstLine="525" w:firstLineChars="250"/>
        <w:rPr>
          <w:rFonts w:ascii="宋体" w:hAnsi="宋体"/>
          <w:szCs w:val="21"/>
        </w:rPr>
      </w:pPr>
      <w:r>
        <w:rPr>
          <w:rFonts w:hint="eastAsia" w:ascii="宋体" w:hAnsi="宋体"/>
          <w:szCs w:val="21"/>
        </w:rPr>
        <w:t>E、影响报建工作的进行；各配套设施建筑或功能区未详细标明或建筑标识不清，影响面积查丈及验收。</w:t>
      </w:r>
    </w:p>
    <w:p w14:paraId="3BD75EA2">
      <w:pPr>
        <w:adjustRightInd w:val="0"/>
        <w:snapToGrid w:val="0"/>
        <w:ind w:firstLine="525" w:firstLineChars="250"/>
        <w:rPr>
          <w:rFonts w:ascii="宋体" w:hAnsi="宋体"/>
          <w:szCs w:val="21"/>
        </w:rPr>
      </w:pPr>
    </w:p>
    <w:p w14:paraId="2D8FC03E">
      <w:pPr>
        <w:adjustRightInd w:val="0"/>
        <w:snapToGrid w:val="0"/>
        <w:ind w:firstLine="525" w:firstLineChars="250"/>
        <w:rPr>
          <w:rFonts w:ascii="宋体" w:hAnsi="宋体"/>
          <w:szCs w:val="21"/>
        </w:rPr>
      </w:pPr>
      <w:r>
        <w:rPr>
          <w:rFonts w:hint="eastAsia" w:ascii="宋体" w:hAnsi="宋体"/>
          <w:szCs w:val="21"/>
        </w:rPr>
        <w:t>Ⅳ类错误</w:t>
      </w:r>
    </w:p>
    <w:p w14:paraId="142008E5">
      <w:pPr>
        <w:adjustRightInd w:val="0"/>
        <w:snapToGrid w:val="0"/>
        <w:ind w:firstLine="525" w:firstLineChars="250"/>
        <w:rPr>
          <w:rFonts w:ascii="宋体" w:hAnsi="宋体"/>
          <w:szCs w:val="21"/>
        </w:rPr>
      </w:pPr>
      <w:r>
        <w:rPr>
          <w:rFonts w:hint="eastAsia" w:ascii="宋体" w:hAnsi="宋体"/>
          <w:szCs w:val="21"/>
        </w:rPr>
        <w:t>指设计文件编制上的差错，如1、说明表达错误；2、不重要的数据、计量单位、尺寸出错；3、不重要的尺寸线、剖面线、引出线等漏划；4、出现因设计责任引起的四类变更；5、造价文件失实较轻。</w:t>
      </w:r>
    </w:p>
    <w:p w14:paraId="0997E61C">
      <w:pPr>
        <w:adjustRightInd w:val="0"/>
        <w:snapToGrid w:val="0"/>
        <w:ind w:firstLine="525" w:firstLineChars="250"/>
        <w:rPr>
          <w:rFonts w:ascii="宋体" w:hAnsi="宋体"/>
          <w:szCs w:val="21"/>
        </w:rPr>
      </w:pPr>
      <w:r>
        <w:rPr>
          <w:rFonts w:hint="eastAsia" w:ascii="宋体" w:hAnsi="宋体"/>
          <w:szCs w:val="21"/>
        </w:rPr>
        <w:t>按照专业具体分为：</w:t>
      </w:r>
    </w:p>
    <w:p w14:paraId="1ADE270C">
      <w:pPr>
        <w:adjustRightInd w:val="0"/>
        <w:snapToGrid w:val="0"/>
        <w:ind w:firstLine="525" w:firstLineChars="250"/>
        <w:rPr>
          <w:rFonts w:ascii="宋体" w:hAnsi="宋体"/>
          <w:szCs w:val="21"/>
        </w:rPr>
      </w:pPr>
      <w:r>
        <w:rPr>
          <w:rFonts w:hint="eastAsia" w:ascii="宋体" w:hAnsi="宋体"/>
          <w:szCs w:val="21"/>
        </w:rPr>
        <w:t>A、容易修正、且不造成使用或安全缺陷，但会给建设单位、施工单位带来麻烦，如：</w:t>
      </w:r>
    </w:p>
    <w:p w14:paraId="213C19BB">
      <w:pPr>
        <w:adjustRightInd w:val="0"/>
        <w:snapToGrid w:val="0"/>
        <w:ind w:firstLine="525" w:firstLineChars="250"/>
        <w:rPr>
          <w:rFonts w:ascii="宋体" w:hAnsi="宋体"/>
          <w:szCs w:val="21"/>
        </w:rPr>
      </w:pPr>
      <w:r>
        <w:rPr>
          <w:rFonts w:hint="eastAsia" w:ascii="宋体" w:hAnsi="宋体"/>
          <w:szCs w:val="21"/>
        </w:rPr>
        <w:t>建筑、结构、水、暖、电各专业；图纸目录不全、表达不够清楚、平立剖面图不一致、一般性尺寸错误或不全、图例或符号不合规定、平面图与系统图不一致等。又如：设计文件、计算书及存档材料的完整性不够；设计说明、图纸目录不全、图例符号表达不合规定；系统图与平面图的一致性的错、漏、碰、缺等。</w:t>
      </w:r>
    </w:p>
    <w:p w14:paraId="6CD5203B">
      <w:pPr>
        <w:adjustRightInd w:val="0"/>
        <w:snapToGrid w:val="0"/>
        <w:ind w:firstLine="525" w:firstLineChars="250"/>
        <w:rPr>
          <w:rFonts w:ascii="宋体" w:hAnsi="宋体"/>
          <w:szCs w:val="21"/>
        </w:rPr>
      </w:pPr>
      <w:r>
        <w:rPr>
          <w:rFonts w:hint="eastAsia" w:ascii="宋体" w:hAnsi="宋体"/>
          <w:szCs w:val="21"/>
        </w:rPr>
        <w:t>造价专业：提交给甲方的造价文件，经核查后，偏差大于±5%的。</w:t>
      </w:r>
    </w:p>
    <w:p w14:paraId="0922E010">
      <w:pPr>
        <w:adjustRightInd w:val="0"/>
        <w:snapToGrid w:val="0"/>
        <w:ind w:firstLine="525" w:firstLineChars="250"/>
        <w:rPr>
          <w:rFonts w:ascii="宋体" w:hAnsi="宋体"/>
          <w:szCs w:val="21"/>
        </w:rPr>
      </w:pPr>
      <w:r>
        <w:rPr>
          <w:rFonts w:hint="eastAsia" w:ascii="宋体" w:hAnsi="宋体"/>
          <w:szCs w:val="21"/>
        </w:rPr>
        <w:t>B、工种配合中的一般性错误，容易修正，且不致造成影响使用效果或安全。</w:t>
      </w:r>
    </w:p>
    <w:p w14:paraId="0E266397">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p>
    <w:p w14:paraId="29E495F6">
      <w:pPr>
        <w:tabs>
          <w:tab w:val="left" w:pos="0"/>
        </w:tabs>
        <w:spacing w:line="320" w:lineRule="exact"/>
        <w:jc w:val="center"/>
        <w:rPr>
          <w:rFonts w:asciiTheme="minorEastAsia" w:hAnsiTheme="minorEastAsia" w:eastAsiaTheme="minorEastAsia"/>
          <w:sz w:val="28"/>
        </w:rPr>
      </w:pPr>
    </w:p>
    <w:p w14:paraId="7E7B4EC1">
      <w:pPr>
        <w:pStyle w:val="3"/>
        <w:jc w:val="center"/>
        <w:rPr>
          <w:rFonts w:asciiTheme="minorEastAsia" w:hAnsiTheme="minorEastAsia" w:eastAsiaTheme="minorEastAsia"/>
          <w:sz w:val="36"/>
          <w:szCs w:val="36"/>
        </w:rPr>
      </w:pPr>
      <w:bookmarkStart w:id="187" w:name="_Toc57189784"/>
      <w:r>
        <w:rPr>
          <w:rFonts w:hint="eastAsia" w:asciiTheme="minorEastAsia" w:hAnsiTheme="minorEastAsia" w:eastAsiaTheme="minorEastAsia"/>
          <w:sz w:val="36"/>
          <w:szCs w:val="36"/>
        </w:rPr>
        <w:t>第六章  附件清单</w:t>
      </w:r>
      <w:bookmarkEnd w:id="187"/>
    </w:p>
    <w:p w14:paraId="707FDB7F">
      <w:pPr>
        <w:pStyle w:val="4"/>
        <w:spacing w:after="0" w:line="360" w:lineRule="auto"/>
        <w:rPr>
          <w:rFonts w:asciiTheme="minorEastAsia" w:hAnsiTheme="minorEastAsia" w:eastAsiaTheme="minorEastAsia"/>
          <w:sz w:val="24"/>
          <w:szCs w:val="24"/>
        </w:rPr>
      </w:pPr>
      <w:bookmarkStart w:id="188" w:name="_Toc57189785"/>
      <w:r>
        <w:rPr>
          <w:rFonts w:hint="eastAsia" w:asciiTheme="minorEastAsia" w:hAnsiTheme="minorEastAsia" w:eastAsiaTheme="minorEastAsia"/>
          <w:sz w:val="24"/>
          <w:szCs w:val="24"/>
        </w:rPr>
        <w:t>6.1参考的法律法规及范本文件</w:t>
      </w:r>
      <w:bookmarkEnd w:id="188"/>
    </w:p>
    <w:p w14:paraId="70EBB830">
      <w:pPr>
        <w:pStyle w:val="209"/>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（1）《中华人民共和国招标投标法》及实施条例（略）</w:t>
      </w:r>
    </w:p>
    <w:p w14:paraId="618ED68A">
      <w:pPr>
        <w:pStyle w:val="209"/>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（2）《必须招标的工程项目规定》（略）</w:t>
      </w:r>
    </w:p>
    <w:p w14:paraId="6FCE707E">
      <w:pPr>
        <w:pStyle w:val="209"/>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（3）《广东省实施&lt;中华人民共和国招标投标法&gt;办法》（略）</w:t>
      </w:r>
    </w:p>
    <w:p w14:paraId="47D7A3FA">
      <w:pPr>
        <w:pStyle w:val="209"/>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（4）《建筑工程设计招标投标管理办法》（略）</w:t>
      </w:r>
    </w:p>
    <w:p w14:paraId="50EDB960">
      <w:pPr>
        <w:pStyle w:val="209"/>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（5）《广东省住房和城乡建设厅关于繁荣建筑创作的若干意见》</w:t>
      </w:r>
    </w:p>
    <w:p w14:paraId="2C74706C">
      <w:pPr>
        <w:pStyle w:val="209"/>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（6）《关于广州市推进设计招标改革有关事项的通知》（略）</w:t>
      </w:r>
    </w:p>
    <w:p w14:paraId="1E0A9E9A">
      <w:pPr>
        <w:pStyle w:val="209"/>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（7）《广州市人民政府办公厅关于印发广州市深化建设工程招标投标制度改革试点实施方案的通知》</w:t>
      </w:r>
    </w:p>
    <w:p w14:paraId="1094B3DD">
      <w:pPr>
        <w:pStyle w:val="209"/>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（8）《2017 标准设计招标文件》（略）</w:t>
      </w:r>
    </w:p>
    <w:p w14:paraId="2FF82534">
      <w:pPr>
        <w:pStyle w:val="209"/>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（9）《广州市房屋建筑工程勘察设计全过程电子化招标文件范本（适用于设计方案招标和评定分离）GZSJZB2020-1》（略）</w:t>
      </w:r>
    </w:p>
    <w:p w14:paraId="3AE86DAE">
      <w:pPr>
        <w:pStyle w:val="209"/>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kern w:val="0"/>
          <w:sz w:val="24"/>
          <w:szCs w:val="24"/>
        </w:rPr>
        <w:t>（10）广东省代建局内部相关管理规定（略）</w:t>
      </w:r>
    </w:p>
    <w:sectPr>
      <w:footerReference r:id="rId4" w:type="default"/>
      <w:pgSz w:w="12240" w:h="15840"/>
      <w:pgMar w:top="1440" w:right="1440" w:bottom="1440" w:left="1440" w:header="113" w:footer="1020" w:gutter="0"/>
      <w:cols w:space="720" w:num="1"/>
      <w:rtlGutter w:val="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Arial Black">
    <w:panose1 w:val="020B0A04020102020204"/>
    <w:charset w:val="00"/>
    <w:family w:val="swiss"/>
    <w:pitch w:val="default"/>
    <w:sig w:usb0="00000287" w:usb1="00000000" w:usb2="00000000" w:usb3="00000000" w:csb0="2000009F" w:csb1="DFD70000"/>
  </w:font>
  <w:font w:name="Consolas">
    <w:panose1 w:val="020B0609020204030204"/>
    <w:charset w:val="00"/>
    <w:family w:val="modern"/>
    <w:pitch w:val="default"/>
    <w:sig w:usb0="E10002FF" w:usb1="4000FCFF" w:usb2="00000009" w:usb3="00000000" w:csb0="6000019F" w:csb1="DFD7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Lucida Fax">
    <w:altName w:val="Segoe Print"/>
    <w:panose1 w:val="02060602050505020204"/>
    <w:charset w:val="00"/>
    <w:family w:val="roman"/>
    <w:pitch w:val="default"/>
    <w:sig w:usb0="00000000" w:usb1="00000000" w:usb2="00000000" w:usb3="00000000" w:csb0="00000001" w:csb1="00000000"/>
  </w:font>
  <w:font w:name="DejaVu Serif">
    <w:altName w:val="Segoe Print"/>
    <w:panose1 w:val="02060603050605020204"/>
    <w:charset w:val="00"/>
    <w:family w:val="auto"/>
    <w:pitch w:val="default"/>
    <w:sig w:usb0="00000000" w:usb1="00000000" w:usb2="0A040020" w:usb3="00000000" w:csb0="6000009F" w:csb1="DFD70000"/>
  </w:font>
  <w:font w:name="长城仿宋">
    <w:altName w:val="黑体"/>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FreeSerif">
    <w:altName w:val="Simplified Arabic"/>
    <w:panose1 w:val="02020603050405020304"/>
    <w:charset w:val="00"/>
    <w:family w:val="auto"/>
    <w:pitch w:val="default"/>
    <w:sig w:usb0="00000000" w:usb1="00000000" w:usb2="43501B29" w:usb3="04000043" w:csb0="600101FF" w:csb1="FFFF0000"/>
  </w:font>
  <w:font w:name="Times New Roman Bold">
    <w:altName w:val="DejaVu Sans"/>
    <w:panose1 w:val="02020803070505020304"/>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DejaVu Sans">
    <w:altName w:val="Segoe Print"/>
    <w:panose1 w:val="020B0603030804020204"/>
    <w:charset w:val="00"/>
    <w:family w:val="auto"/>
    <w:pitch w:val="default"/>
    <w:sig w:usb0="00000000" w:usb1="00000000" w:usb2="0A246029" w:usb3="0400200C" w:csb0="600001FF" w:csb1="DFFF0000"/>
  </w:font>
  <w:font w:name="Arial Bold">
    <w:altName w:val="DejaVu Sans"/>
    <w:panose1 w:val="020B0704020202020204"/>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Liberation Sans">
    <w:altName w:val="Vijaya"/>
    <w:panose1 w:val="020B0604020202020204"/>
    <w:charset w:val="00"/>
    <w:family w:val="auto"/>
    <w:pitch w:val="default"/>
    <w:sig w:usb0="00000000" w:usb1="00000000" w:usb2="00000000" w:usb3="00000000" w:csb0="6000009F" w:csb1="DFD70000"/>
  </w:font>
  <w:font w:name="Adobe 宋体 Std L">
    <w:altName w:val="宋体"/>
    <w:panose1 w:val="00000000000000000000"/>
    <w:charset w:val="86"/>
    <w:family w:val="roman"/>
    <w:pitch w:val="default"/>
    <w:sig w:usb0="00000000" w:usb1="00000000" w:usb2="00000016" w:usb3="00000000" w:csb0="00060007" w:csb1="00000000"/>
  </w:font>
  <w:font w:name="方正书宋_GBK">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4C679">
    <w:pPr>
      <w:pStyle w:val="36"/>
      <w:jc w:val="center"/>
    </w:pPr>
    <w:r>
      <w:fldChar w:fldCharType="begin"/>
    </w:r>
    <w:r>
      <w:instrText xml:space="preserve"> PAGE   \* MERGEFORMAT </w:instrText>
    </w:r>
    <w:r>
      <w:fldChar w:fldCharType="separate"/>
    </w:r>
    <w:r>
      <w:t>4</w:t>
    </w:r>
    <w:r>
      <w:fldChar w:fldCharType="end"/>
    </w:r>
  </w:p>
  <w:p w14:paraId="2CCDF49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6492">
    <w:pPr>
      <w:pStyle w:val="36"/>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34777D41">
                          <w:pPr>
                            <w:pStyle w:val="36"/>
                          </w:pPr>
                          <w:r>
                            <w:fldChar w:fldCharType="begin"/>
                          </w:r>
                          <w:r>
                            <w:instrText xml:space="preserve"> PAGE  \* MERGEFORMAT </w:instrText>
                          </w:r>
                          <w:r>
                            <w:fldChar w:fldCharType="separate"/>
                          </w:r>
                          <w:r>
                            <w:t>111</w:t>
                          </w:r>
                          <w:r>
                            <w:fldChar w:fldCharType="end"/>
                          </w:r>
                        </w:p>
                      </w:txbxContent>
                    </wps:txbx>
                    <wps:bodyPr rot="0" vert="horz" wrap="none" lIns="0" tIns="0" rIns="0" bIns="0" anchor="t" anchorCtr="0" upright="1">
                      <a:spAutoFit/>
                    </wps:bodyPr>
                  </wps:wsp>
                </a:graphicData>
              </a:graphic>
            </wp:anchor>
          </w:drawing>
        </mc:Choice>
        <mc:Fallback>
          <w:pict>
            <v:shape id="文本框 102"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&#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XQ5c8AAAADAQAADwAAAAAAAAABACAAAAAiAAAA&#10;ZHJzL2Rvd25yZXYueG1sUEsBAhQAFAAAAAgAh07iQJIBTRoQAgAAEgQAAA4AAAAAAAAAAQAgAAAA&#10;HgEAAGRycy9lMm9Eb2MueG1sUEsFBgAAAAAGAAYAWQEAAKAFAAAAAA==&#10;">
              <v:fill on="f" focussize="0,0"/>
              <v:stroke on="f"/>
              <v:imagedata o:title=""/>
              <o:lock v:ext="edit" aspectratio="f"/>
              <v:textbox inset="0mm,0mm,0mm,0mm" style="mso-fit-shape-to-text:t;">
                <w:txbxContent>
                  <w:p w14:paraId="34777D41">
                    <w:pPr>
                      <w:pStyle w:val="36"/>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B290E"/>
    <w:multiLevelType w:val="multilevel"/>
    <w:tmpl w:val="011B290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2D3B5F1D"/>
    <w:multiLevelType w:val="multilevel"/>
    <w:tmpl w:val="2D3B5F1D"/>
    <w:lvl w:ilvl="0" w:tentative="0">
      <w:start w:val="1"/>
      <w:numFmt w:val="decimal"/>
      <w:lvlText w:val="%1、"/>
      <w:lvlJc w:val="left"/>
      <w:pPr>
        <w:tabs>
          <w:tab w:val="left" w:pos="840"/>
        </w:tabs>
        <w:ind w:left="840" w:hanging="60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
    <w:nsid w:val="36301677"/>
    <w:multiLevelType w:val="multilevel"/>
    <w:tmpl w:val="36301677"/>
    <w:lvl w:ilvl="0" w:tentative="0">
      <w:start w:val="1"/>
      <w:numFmt w:val="decimal"/>
      <w:lvlText w:val="%1、"/>
      <w:lvlJc w:val="left"/>
      <w:pPr>
        <w:ind w:left="926" w:hanging="36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pStyle w:val="9"/>
      <w:lvlText w:val="%7."/>
      <w:lvlJc w:val="left"/>
      <w:pPr>
        <w:ind w:left="3506" w:hanging="420"/>
      </w:pPr>
    </w:lvl>
    <w:lvl w:ilvl="7" w:tentative="0">
      <w:start w:val="1"/>
      <w:numFmt w:val="lowerLetter"/>
      <w:pStyle w:val="10"/>
      <w:lvlText w:val="%8)"/>
      <w:lvlJc w:val="left"/>
      <w:pPr>
        <w:ind w:left="3926" w:hanging="420"/>
      </w:pPr>
    </w:lvl>
    <w:lvl w:ilvl="8" w:tentative="0">
      <w:start w:val="1"/>
      <w:numFmt w:val="lowerRoman"/>
      <w:pStyle w:val="11"/>
      <w:lvlText w:val="%9."/>
      <w:lvlJc w:val="right"/>
      <w:pPr>
        <w:ind w:left="4346" w:hanging="420"/>
      </w:pPr>
    </w:lvl>
  </w:abstractNum>
  <w:abstractNum w:abstractNumId="3">
    <w:nsid w:val="39B63B1A"/>
    <w:multiLevelType w:val="multilevel"/>
    <w:tmpl w:val="39B63B1A"/>
    <w:lvl w:ilvl="0" w:tentative="0">
      <w:start w:val="1"/>
      <w:numFmt w:val="decimal"/>
      <w:lvlText w:val="%1、"/>
      <w:lvlJc w:val="left"/>
      <w:pPr>
        <w:tabs>
          <w:tab w:val="left" w:pos="644"/>
        </w:tabs>
        <w:ind w:left="644" w:hanging="360"/>
      </w:pPr>
      <w:rPr>
        <w:rFonts w:hint="default"/>
      </w:rPr>
    </w:lvl>
    <w:lvl w:ilvl="1" w:tentative="0">
      <w:start w:val="1"/>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
    <w:nsid w:val="6CEA2025"/>
    <w:multiLevelType w:val="multilevel"/>
    <w:tmpl w:val="6CEA2025"/>
    <w:lvl w:ilvl="0" w:tentative="0">
      <w:start w:val="1"/>
      <w:numFmt w:val="none"/>
      <w:pStyle w:val="497"/>
      <w:suff w:val="nothing"/>
      <w:lvlText w:val="%1"/>
      <w:lvlJc w:val="left"/>
      <w:rPr>
        <w:rFonts w:hint="default" w:ascii="Times New Roman" w:hAnsi="Times New Roman" w:cs="Times New Roman"/>
        <w:b/>
        <w:i w:val="0"/>
        <w:sz w:val="21"/>
      </w:rPr>
    </w:lvl>
    <w:lvl w:ilvl="1" w:tentative="0">
      <w:start w:val="1"/>
      <w:numFmt w:val="decimal"/>
      <w:suff w:val="nothing"/>
      <w:lvlText w:val="%1%2　"/>
      <w:lvlJc w:val="left"/>
      <w:rPr>
        <w:rFonts w:hint="eastAsia" w:ascii="黑体" w:hAnsi="Times New Roman" w:eastAsia="黑体" w:cs="Times New Roman"/>
        <w:b w:val="0"/>
        <w:i w:val="0"/>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5">
    <w:nsid w:val="6F65467A"/>
    <w:multiLevelType w:val="multilevel"/>
    <w:tmpl w:val="6F65467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3B"/>
    <w:rsid w:val="00005654"/>
    <w:rsid w:val="000204D4"/>
    <w:rsid w:val="00020F71"/>
    <w:rsid w:val="00022677"/>
    <w:rsid w:val="0002367D"/>
    <w:rsid w:val="00023E26"/>
    <w:rsid w:val="000311F7"/>
    <w:rsid w:val="000312C8"/>
    <w:rsid w:val="0003274E"/>
    <w:rsid w:val="00032D9A"/>
    <w:rsid w:val="00033020"/>
    <w:rsid w:val="00034B38"/>
    <w:rsid w:val="00034D8A"/>
    <w:rsid w:val="00044534"/>
    <w:rsid w:val="0004505C"/>
    <w:rsid w:val="000454F8"/>
    <w:rsid w:val="000563C5"/>
    <w:rsid w:val="00067449"/>
    <w:rsid w:val="00072188"/>
    <w:rsid w:val="00073D1F"/>
    <w:rsid w:val="00076796"/>
    <w:rsid w:val="00085454"/>
    <w:rsid w:val="00091D6B"/>
    <w:rsid w:val="000A1701"/>
    <w:rsid w:val="000A5DE8"/>
    <w:rsid w:val="000B5074"/>
    <w:rsid w:val="000B6578"/>
    <w:rsid w:val="000B6E16"/>
    <w:rsid w:val="000C20CF"/>
    <w:rsid w:val="000C2827"/>
    <w:rsid w:val="000D1B85"/>
    <w:rsid w:val="000D70FA"/>
    <w:rsid w:val="000E3793"/>
    <w:rsid w:val="000E4911"/>
    <w:rsid w:val="000E6752"/>
    <w:rsid w:val="0010001F"/>
    <w:rsid w:val="0010192D"/>
    <w:rsid w:val="00101E10"/>
    <w:rsid w:val="00103C5F"/>
    <w:rsid w:val="001057A7"/>
    <w:rsid w:val="001057E5"/>
    <w:rsid w:val="00120DFB"/>
    <w:rsid w:val="00121C64"/>
    <w:rsid w:val="00121CEF"/>
    <w:rsid w:val="00123217"/>
    <w:rsid w:val="00124692"/>
    <w:rsid w:val="00124F52"/>
    <w:rsid w:val="00125064"/>
    <w:rsid w:val="00125EF4"/>
    <w:rsid w:val="001359A6"/>
    <w:rsid w:val="00136491"/>
    <w:rsid w:val="00136ACB"/>
    <w:rsid w:val="00143686"/>
    <w:rsid w:val="00145161"/>
    <w:rsid w:val="00146D8C"/>
    <w:rsid w:val="00153C4B"/>
    <w:rsid w:val="00154782"/>
    <w:rsid w:val="001571C9"/>
    <w:rsid w:val="001612D2"/>
    <w:rsid w:val="00162C9F"/>
    <w:rsid w:val="00165D9A"/>
    <w:rsid w:val="001743ED"/>
    <w:rsid w:val="0017732E"/>
    <w:rsid w:val="00177BD2"/>
    <w:rsid w:val="00182396"/>
    <w:rsid w:val="00184084"/>
    <w:rsid w:val="001921CC"/>
    <w:rsid w:val="001A5133"/>
    <w:rsid w:val="001A647A"/>
    <w:rsid w:val="001B084F"/>
    <w:rsid w:val="001B141E"/>
    <w:rsid w:val="001B1518"/>
    <w:rsid w:val="001B1555"/>
    <w:rsid w:val="001B25F4"/>
    <w:rsid w:val="001B3DB2"/>
    <w:rsid w:val="001C2C53"/>
    <w:rsid w:val="001C4206"/>
    <w:rsid w:val="001C6298"/>
    <w:rsid w:val="001D22B4"/>
    <w:rsid w:val="001D3607"/>
    <w:rsid w:val="001E31B0"/>
    <w:rsid w:val="001E7A44"/>
    <w:rsid w:val="001E7E6C"/>
    <w:rsid w:val="001F0167"/>
    <w:rsid w:val="001F0EEC"/>
    <w:rsid w:val="001F49D6"/>
    <w:rsid w:val="001F7CE8"/>
    <w:rsid w:val="0020143E"/>
    <w:rsid w:val="00204CB7"/>
    <w:rsid w:val="00212C75"/>
    <w:rsid w:val="002130B4"/>
    <w:rsid w:val="00217F55"/>
    <w:rsid w:val="0022015D"/>
    <w:rsid w:val="002260BF"/>
    <w:rsid w:val="0023616B"/>
    <w:rsid w:val="0024055A"/>
    <w:rsid w:val="0024170C"/>
    <w:rsid w:val="00243F12"/>
    <w:rsid w:val="0024779C"/>
    <w:rsid w:val="002608F5"/>
    <w:rsid w:val="00262811"/>
    <w:rsid w:val="00262E3F"/>
    <w:rsid w:val="00263768"/>
    <w:rsid w:val="002658C0"/>
    <w:rsid w:val="00270B5E"/>
    <w:rsid w:val="00274BFB"/>
    <w:rsid w:val="002917E8"/>
    <w:rsid w:val="002958BD"/>
    <w:rsid w:val="002A053A"/>
    <w:rsid w:val="002A6644"/>
    <w:rsid w:val="002B244E"/>
    <w:rsid w:val="002B7018"/>
    <w:rsid w:val="002B7E40"/>
    <w:rsid w:val="002C2F3B"/>
    <w:rsid w:val="002C3584"/>
    <w:rsid w:val="002C5530"/>
    <w:rsid w:val="002C65B1"/>
    <w:rsid w:val="002D39F1"/>
    <w:rsid w:val="002E037A"/>
    <w:rsid w:val="002E1214"/>
    <w:rsid w:val="002E260F"/>
    <w:rsid w:val="002F0B64"/>
    <w:rsid w:val="00300824"/>
    <w:rsid w:val="00301E5D"/>
    <w:rsid w:val="0032144D"/>
    <w:rsid w:val="003254F4"/>
    <w:rsid w:val="00326C67"/>
    <w:rsid w:val="0033179A"/>
    <w:rsid w:val="003343D8"/>
    <w:rsid w:val="00346EFB"/>
    <w:rsid w:val="003505FA"/>
    <w:rsid w:val="00353CE0"/>
    <w:rsid w:val="00354C88"/>
    <w:rsid w:val="00355D76"/>
    <w:rsid w:val="00355ED6"/>
    <w:rsid w:val="003701AE"/>
    <w:rsid w:val="00370FED"/>
    <w:rsid w:val="0037646F"/>
    <w:rsid w:val="00381A77"/>
    <w:rsid w:val="00381C77"/>
    <w:rsid w:val="00382EAF"/>
    <w:rsid w:val="003848CC"/>
    <w:rsid w:val="0038541F"/>
    <w:rsid w:val="00386050"/>
    <w:rsid w:val="00386354"/>
    <w:rsid w:val="00391F07"/>
    <w:rsid w:val="0039361E"/>
    <w:rsid w:val="0039743F"/>
    <w:rsid w:val="003A4E51"/>
    <w:rsid w:val="003B0245"/>
    <w:rsid w:val="003B5095"/>
    <w:rsid w:val="003C1B19"/>
    <w:rsid w:val="003C2A81"/>
    <w:rsid w:val="003C30BC"/>
    <w:rsid w:val="003C74C4"/>
    <w:rsid w:val="003C7F9D"/>
    <w:rsid w:val="003D53AB"/>
    <w:rsid w:val="003D6C7C"/>
    <w:rsid w:val="003E00E2"/>
    <w:rsid w:val="003E1143"/>
    <w:rsid w:val="003E2AB6"/>
    <w:rsid w:val="003F6291"/>
    <w:rsid w:val="003F7782"/>
    <w:rsid w:val="003F7EF7"/>
    <w:rsid w:val="00405F97"/>
    <w:rsid w:val="004061FD"/>
    <w:rsid w:val="00411F6D"/>
    <w:rsid w:val="00413421"/>
    <w:rsid w:val="0041613C"/>
    <w:rsid w:val="00427920"/>
    <w:rsid w:val="00430AA5"/>
    <w:rsid w:val="00431754"/>
    <w:rsid w:val="00433977"/>
    <w:rsid w:val="004354CD"/>
    <w:rsid w:val="0044162F"/>
    <w:rsid w:val="00441AD5"/>
    <w:rsid w:val="0044271F"/>
    <w:rsid w:val="00443468"/>
    <w:rsid w:val="00444AA5"/>
    <w:rsid w:val="00447ACD"/>
    <w:rsid w:val="004513D7"/>
    <w:rsid w:val="00457C06"/>
    <w:rsid w:val="00461159"/>
    <w:rsid w:val="004644B5"/>
    <w:rsid w:val="0046687B"/>
    <w:rsid w:val="00466B7E"/>
    <w:rsid w:val="004676BE"/>
    <w:rsid w:val="004811ED"/>
    <w:rsid w:val="00483A0D"/>
    <w:rsid w:val="004A0961"/>
    <w:rsid w:val="004A2AC5"/>
    <w:rsid w:val="004A548A"/>
    <w:rsid w:val="004B183E"/>
    <w:rsid w:val="004B1DEE"/>
    <w:rsid w:val="004B1F19"/>
    <w:rsid w:val="004C01F3"/>
    <w:rsid w:val="004C2160"/>
    <w:rsid w:val="004C38C0"/>
    <w:rsid w:val="004C3BB7"/>
    <w:rsid w:val="004D25CC"/>
    <w:rsid w:val="004D6A29"/>
    <w:rsid w:val="004D77D0"/>
    <w:rsid w:val="004E03B1"/>
    <w:rsid w:val="004E0FEB"/>
    <w:rsid w:val="004E3B64"/>
    <w:rsid w:val="004E491D"/>
    <w:rsid w:val="004E6049"/>
    <w:rsid w:val="004F094E"/>
    <w:rsid w:val="004F41FA"/>
    <w:rsid w:val="004F5B1C"/>
    <w:rsid w:val="005018D6"/>
    <w:rsid w:val="00502256"/>
    <w:rsid w:val="00503A2A"/>
    <w:rsid w:val="00505C63"/>
    <w:rsid w:val="00506BBB"/>
    <w:rsid w:val="00507CD1"/>
    <w:rsid w:val="0051037E"/>
    <w:rsid w:val="00512348"/>
    <w:rsid w:val="00514591"/>
    <w:rsid w:val="005164DF"/>
    <w:rsid w:val="005209AB"/>
    <w:rsid w:val="00523E40"/>
    <w:rsid w:val="00524230"/>
    <w:rsid w:val="005267D2"/>
    <w:rsid w:val="005318FA"/>
    <w:rsid w:val="005333E0"/>
    <w:rsid w:val="00534A5B"/>
    <w:rsid w:val="00543CE0"/>
    <w:rsid w:val="0055009C"/>
    <w:rsid w:val="00554F09"/>
    <w:rsid w:val="00556C15"/>
    <w:rsid w:val="00557228"/>
    <w:rsid w:val="00557498"/>
    <w:rsid w:val="0056363C"/>
    <w:rsid w:val="00564927"/>
    <w:rsid w:val="00565885"/>
    <w:rsid w:val="00571106"/>
    <w:rsid w:val="00572826"/>
    <w:rsid w:val="00574EB9"/>
    <w:rsid w:val="0058245C"/>
    <w:rsid w:val="00584606"/>
    <w:rsid w:val="00587CB4"/>
    <w:rsid w:val="00594C98"/>
    <w:rsid w:val="00596631"/>
    <w:rsid w:val="00596E03"/>
    <w:rsid w:val="00597123"/>
    <w:rsid w:val="00597AA4"/>
    <w:rsid w:val="005A5D0C"/>
    <w:rsid w:val="005A7072"/>
    <w:rsid w:val="005A718F"/>
    <w:rsid w:val="005B4F7A"/>
    <w:rsid w:val="005C2C54"/>
    <w:rsid w:val="005C4F63"/>
    <w:rsid w:val="005D5AFC"/>
    <w:rsid w:val="005F1E1B"/>
    <w:rsid w:val="005F4585"/>
    <w:rsid w:val="005F65E8"/>
    <w:rsid w:val="005F6C85"/>
    <w:rsid w:val="006057EF"/>
    <w:rsid w:val="00611B92"/>
    <w:rsid w:val="006218CC"/>
    <w:rsid w:val="00622365"/>
    <w:rsid w:val="0062268C"/>
    <w:rsid w:val="006234A2"/>
    <w:rsid w:val="0062680B"/>
    <w:rsid w:val="006306B5"/>
    <w:rsid w:val="00631A7E"/>
    <w:rsid w:val="0065694C"/>
    <w:rsid w:val="00661EB0"/>
    <w:rsid w:val="00663434"/>
    <w:rsid w:val="00664DE8"/>
    <w:rsid w:val="00670D64"/>
    <w:rsid w:val="0067557E"/>
    <w:rsid w:val="00684CC5"/>
    <w:rsid w:val="006872AC"/>
    <w:rsid w:val="00690F24"/>
    <w:rsid w:val="006A0664"/>
    <w:rsid w:val="006A696A"/>
    <w:rsid w:val="006A7C3D"/>
    <w:rsid w:val="006A7F28"/>
    <w:rsid w:val="006B0EAB"/>
    <w:rsid w:val="006B21A9"/>
    <w:rsid w:val="006B34B0"/>
    <w:rsid w:val="006B5214"/>
    <w:rsid w:val="006B5FE6"/>
    <w:rsid w:val="006B6994"/>
    <w:rsid w:val="006C04B9"/>
    <w:rsid w:val="006C6282"/>
    <w:rsid w:val="006D7BC8"/>
    <w:rsid w:val="006E36EA"/>
    <w:rsid w:val="006E41EB"/>
    <w:rsid w:val="006F1764"/>
    <w:rsid w:val="006F42AB"/>
    <w:rsid w:val="006F5552"/>
    <w:rsid w:val="007004D3"/>
    <w:rsid w:val="0070296B"/>
    <w:rsid w:val="007070D6"/>
    <w:rsid w:val="00712B6C"/>
    <w:rsid w:val="00715D56"/>
    <w:rsid w:val="00716D96"/>
    <w:rsid w:val="00717EFA"/>
    <w:rsid w:val="00732038"/>
    <w:rsid w:val="00732F97"/>
    <w:rsid w:val="0075335A"/>
    <w:rsid w:val="007542AC"/>
    <w:rsid w:val="00764850"/>
    <w:rsid w:val="007701D4"/>
    <w:rsid w:val="007732F9"/>
    <w:rsid w:val="00791A62"/>
    <w:rsid w:val="00794FE2"/>
    <w:rsid w:val="00795343"/>
    <w:rsid w:val="007959E1"/>
    <w:rsid w:val="007A16D6"/>
    <w:rsid w:val="007A1853"/>
    <w:rsid w:val="007A2660"/>
    <w:rsid w:val="007A52B0"/>
    <w:rsid w:val="007B1A3C"/>
    <w:rsid w:val="007B4E91"/>
    <w:rsid w:val="007B5F5C"/>
    <w:rsid w:val="007C046C"/>
    <w:rsid w:val="007C0900"/>
    <w:rsid w:val="007C52C3"/>
    <w:rsid w:val="007C6FA1"/>
    <w:rsid w:val="007D4BEF"/>
    <w:rsid w:val="007D51D7"/>
    <w:rsid w:val="007D530F"/>
    <w:rsid w:val="007F0D42"/>
    <w:rsid w:val="00807F79"/>
    <w:rsid w:val="008102BD"/>
    <w:rsid w:val="00811C3B"/>
    <w:rsid w:val="008238A7"/>
    <w:rsid w:val="0082669C"/>
    <w:rsid w:val="00827CF0"/>
    <w:rsid w:val="008309E2"/>
    <w:rsid w:val="0083286E"/>
    <w:rsid w:val="00833002"/>
    <w:rsid w:val="00846500"/>
    <w:rsid w:val="00851771"/>
    <w:rsid w:val="00855272"/>
    <w:rsid w:val="00856A29"/>
    <w:rsid w:val="00860467"/>
    <w:rsid w:val="008609E6"/>
    <w:rsid w:val="00862704"/>
    <w:rsid w:val="00862DBD"/>
    <w:rsid w:val="00864A11"/>
    <w:rsid w:val="00865168"/>
    <w:rsid w:val="0086662C"/>
    <w:rsid w:val="00867859"/>
    <w:rsid w:val="00867910"/>
    <w:rsid w:val="00870241"/>
    <w:rsid w:val="008823D5"/>
    <w:rsid w:val="008855B4"/>
    <w:rsid w:val="00896038"/>
    <w:rsid w:val="008A1100"/>
    <w:rsid w:val="008A18DE"/>
    <w:rsid w:val="008A769D"/>
    <w:rsid w:val="008C54FC"/>
    <w:rsid w:val="008C7135"/>
    <w:rsid w:val="008D4706"/>
    <w:rsid w:val="008D512D"/>
    <w:rsid w:val="008D680C"/>
    <w:rsid w:val="008E2E66"/>
    <w:rsid w:val="008E67F2"/>
    <w:rsid w:val="008F17F0"/>
    <w:rsid w:val="008F3120"/>
    <w:rsid w:val="009065E6"/>
    <w:rsid w:val="00912DEE"/>
    <w:rsid w:val="0091571B"/>
    <w:rsid w:val="0092031F"/>
    <w:rsid w:val="00921628"/>
    <w:rsid w:val="00921CFD"/>
    <w:rsid w:val="00921F14"/>
    <w:rsid w:val="00922936"/>
    <w:rsid w:val="00926BEA"/>
    <w:rsid w:val="009335F6"/>
    <w:rsid w:val="00936630"/>
    <w:rsid w:val="00936D56"/>
    <w:rsid w:val="00940596"/>
    <w:rsid w:val="009461D5"/>
    <w:rsid w:val="00956326"/>
    <w:rsid w:val="009564F0"/>
    <w:rsid w:val="00956675"/>
    <w:rsid w:val="0096206D"/>
    <w:rsid w:val="00963DC0"/>
    <w:rsid w:val="00970FE7"/>
    <w:rsid w:val="00972FB1"/>
    <w:rsid w:val="009733FC"/>
    <w:rsid w:val="00982E11"/>
    <w:rsid w:val="00985C2D"/>
    <w:rsid w:val="009912B8"/>
    <w:rsid w:val="00991406"/>
    <w:rsid w:val="009A17EB"/>
    <w:rsid w:val="009A2652"/>
    <w:rsid w:val="009A2906"/>
    <w:rsid w:val="009A50A2"/>
    <w:rsid w:val="009A6661"/>
    <w:rsid w:val="009A6FB5"/>
    <w:rsid w:val="009A7B16"/>
    <w:rsid w:val="009B0FF8"/>
    <w:rsid w:val="009B5106"/>
    <w:rsid w:val="009B643B"/>
    <w:rsid w:val="009C4C77"/>
    <w:rsid w:val="009D0E25"/>
    <w:rsid w:val="009D2AF3"/>
    <w:rsid w:val="009E42CD"/>
    <w:rsid w:val="009F2C4C"/>
    <w:rsid w:val="009F60ED"/>
    <w:rsid w:val="00A0155D"/>
    <w:rsid w:val="00A064A3"/>
    <w:rsid w:val="00A11152"/>
    <w:rsid w:val="00A130F4"/>
    <w:rsid w:val="00A14386"/>
    <w:rsid w:val="00A150F8"/>
    <w:rsid w:val="00A21D4A"/>
    <w:rsid w:val="00A22A5A"/>
    <w:rsid w:val="00A23AA2"/>
    <w:rsid w:val="00A24818"/>
    <w:rsid w:val="00A2629F"/>
    <w:rsid w:val="00A26B3D"/>
    <w:rsid w:val="00A2763A"/>
    <w:rsid w:val="00A336B6"/>
    <w:rsid w:val="00A339CA"/>
    <w:rsid w:val="00A35EE7"/>
    <w:rsid w:val="00A36AB0"/>
    <w:rsid w:val="00A41916"/>
    <w:rsid w:val="00A519F3"/>
    <w:rsid w:val="00A54997"/>
    <w:rsid w:val="00A54D89"/>
    <w:rsid w:val="00A6078F"/>
    <w:rsid w:val="00A61B86"/>
    <w:rsid w:val="00A70724"/>
    <w:rsid w:val="00A7172C"/>
    <w:rsid w:val="00A80598"/>
    <w:rsid w:val="00A83891"/>
    <w:rsid w:val="00A843FE"/>
    <w:rsid w:val="00A856EE"/>
    <w:rsid w:val="00A92DC5"/>
    <w:rsid w:val="00A95A69"/>
    <w:rsid w:val="00AA4260"/>
    <w:rsid w:val="00AA5673"/>
    <w:rsid w:val="00AB2683"/>
    <w:rsid w:val="00AC18A1"/>
    <w:rsid w:val="00AC2610"/>
    <w:rsid w:val="00AD4569"/>
    <w:rsid w:val="00AD5C6E"/>
    <w:rsid w:val="00AE06B8"/>
    <w:rsid w:val="00AE33F5"/>
    <w:rsid w:val="00AF73FF"/>
    <w:rsid w:val="00AF76D7"/>
    <w:rsid w:val="00B00920"/>
    <w:rsid w:val="00B053C2"/>
    <w:rsid w:val="00B0546F"/>
    <w:rsid w:val="00B06E2D"/>
    <w:rsid w:val="00B1001B"/>
    <w:rsid w:val="00B21EBC"/>
    <w:rsid w:val="00B22C69"/>
    <w:rsid w:val="00B23627"/>
    <w:rsid w:val="00B25E00"/>
    <w:rsid w:val="00B2622C"/>
    <w:rsid w:val="00B271F8"/>
    <w:rsid w:val="00B323CE"/>
    <w:rsid w:val="00B40180"/>
    <w:rsid w:val="00B42985"/>
    <w:rsid w:val="00B469AA"/>
    <w:rsid w:val="00B5317A"/>
    <w:rsid w:val="00B535AD"/>
    <w:rsid w:val="00B56959"/>
    <w:rsid w:val="00B60F85"/>
    <w:rsid w:val="00B62049"/>
    <w:rsid w:val="00B648DB"/>
    <w:rsid w:val="00B64D20"/>
    <w:rsid w:val="00B72B33"/>
    <w:rsid w:val="00B72BC5"/>
    <w:rsid w:val="00B74590"/>
    <w:rsid w:val="00B753C5"/>
    <w:rsid w:val="00B906E0"/>
    <w:rsid w:val="00B92F4B"/>
    <w:rsid w:val="00B95FAA"/>
    <w:rsid w:val="00BA0B5D"/>
    <w:rsid w:val="00BA3F2C"/>
    <w:rsid w:val="00BC1138"/>
    <w:rsid w:val="00BC4761"/>
    <w:rsid w:val="00BC6533"/>
    <w:rsid w:val="00BC7BF0"/>
    <w:rsid w:val="00BD2BFF"/>
    <w:rsid w:val="00BD75BC"/>
    <w:rsid w:val="00BE614E"/>
    <w:rsid w:val="00BF5962"/>
    <w:rsid w:val="00BF6156"/>
    <w:rsid w:val="00BF6F42"/>
    <w:rsid w:val="00BF7FC5"/>
    <w:rsid w:val="00C01BB9"/>
    <w:rsid w:val="00C03918"/>
    <w:rsid w:val="00C04F62"/>
    <w:rsid w:val="00C12F51"/>
    <w:rsid w:val="00C13ABB"/>
    <w:rsid w:val="00C14D6A"/>
    <w:rsid w:val="00C17DE1"/>
    <w:rsid w:val="00C21DF0"/>
    <w:rsid w:val="00C235C1"/>
    <w:rsid w:val="00C24A53"/>
    <w:rsid w:val="00C25414"/>
    <w:rsid w:val="00C46A49"/>
    <w:rsid w:val="00C50475"/>
    <w:rsid w:val="00C51D20"/>
    <w:rsid w:val="00C52FEF"/>
    <w:rsid w:val="00C55818"/>
    <w:rsid w:val="00C61811"/>
    <w:rsid w:val="00C63E1D"/>
    <w:rsid w:val="00C67A03"/>
    <w:rsid w:val="00C703C6"/>
    <w:rsid w:val="00C70D42"/>
    <w:rsid w:val="00C75F42"/>
    <w:rsid w:val="00C77FE6"/>
    <w:rsid w:val="00C8156B"/>
    <w:rsid w:val="00C81CEE"/>
    <w:rsid w:val="00C86494"/>
    <w:rsid w:val="00C93518"/>
    <w:rsid w:val="00CA3220"/>
    <w:rsid w:val="00CA749D"/>
    <w:rsid w:val="00CA7649"/>
    <w:rsid w:val="00CB0251"/>
    <w:rsid w:val="00CB55A6"/>
    <w:rsid w:val="00CC48D3"/>
    <w:rsid w:val="00CC6BBD"/>
    <w:rsid w:val="00CC76DB"/>
    <w:rsid w:val="00CD03DD"/>
    <w:rsid w:val="00CD1FBE"/>
    <w:rsid w:val="00CD3F00"/>
    <w:rsid w:val="00CD6675"/>
    <w:rsid w:val="00CE4BEB"/>
    <w:rsid w:val="00CF0359"/>
    <w:rsid w:val="00CF08BC"/>
    <w:rsid w:val="00CF14F1"/>
    <w:rsid w:val="00CF27C0"/>
    <w:rsid w:val="00CF51FC"/>
    <w:rsid w:val="00D00010"/>
    <w:rsid w:val="00D018E3"/>
    <w:rsid w:val="00D0378C"/>
    <w:rsid w:val="00D05114"/>
    <w:rsid w:val="00D12A83"/>
    <w:rsid w:val="00D13BE5"/>
    <w:rsid w:val="00D2129D"/>
    <w:rsid w:val="00D3044E"/>
    <w:rsid w:val="00D30A9B"/>
    <w:rsid w:val="00D33EB3"/>
    <w:rsid w:val="00D35DD9"/>
    <w:rsid w:val="00D36C4B"/>
    <w:rsid w:val="00D44CBD"/>
    <w:rsid w:val="00D45551"/>
    <w:rsid w:val="00D45FAC"/>
    <w:rsid w:val="00D46AA4"/>
    <w:rsid w:val="00D476CF"/>
    <w:rsid w:val="00D47960"/>
    <w:rsid w:val="00D52A40"/>
    <w:rsid w:val="00D54079"/>
    <w:rsid w:val="00D540BE"/>
    <w:rsid w:val="00D54908"/>
    <w:rsid w:val="00D5750D"/>
    <w:rsid w:val="00D61D7A"/>
    <w:rsid w:val="00D621E6"/>
    <w:rsid w:val="00D71F00"/>
    <w:rsid w:val="00D77687"/>
    <w:rsid w:val="00D80A58"/>
    <w:rsid w:val="00D87F6E"/>
    <w:rsid w:val="00D90D68"/>
    <w:rsid w:val="00D94D10"/>
    <w:rsid w:val="00D95894"/>
    <w:rsid w:val="00D97082"/>
    <w:rsid w:val="00D97390"/>
    <w:rsid w:val="00DA4A9F"/>
    <w:rsid w:val="00DA4F79"/>
    <w:rsid w:val="00DA5B2E"/>
    <w:rsid w:val="00DA664D"/>
    <w:rsid w:val="00DB12F7"/>
    <w:rsid w:val="00DC05CC"/>
    <w:rsid w:val="00DC14DF"/>
    <w:rsid w:val="00DC2E92"/>
    <w:rsid w:val="00DC5020"/>
    <w:rsid w:val="00DC5683"/>
    <w:rsid w:val="00DD2150"/>
    <w:rsid w:val="00DD45B9"/>
    <w:rsid w:val="00DE29BF"/>
    <w:rsid w:val="00DE3AE0"/>
    <w:rsid w:val="00E02B8A"/>
    <w:rsid w:val="00E037A1"/>
    <w:rsid w:val="00E052A5"/>
    <w:rsid w:val="00E06A27"/>
    <w:rsid w:val="00E11095"/>
    <w:rsid w:val="00E21D08"/>
    <w:rsid w:val="00E2554E"/>
    <w:rsid w:val="00E33C6C"/>
    <w:rsid w:val="00E36C1D"/>
    <w:rsid w:val="00E41A37"/>
    <w:rsid w:val="00E4283A"/>
    <w:rsid w:val="00E50CC7"/>
    <w:rsid w:val="00E51907"/>
    <w:rsid w:val="00E61AEB"/>
    <w:rsid w:val="00E62589"/>
    <w:rsid w:val="00E63C6F"/>
    <w:rsid w:val="00E7156D"/>
    <w:rsid w:val="00E72795"/>
    <w:rsid w:val="00E72C83"/>
    <w:rsid w:val="00E76973"/>
    <w:rsid w:val="00E81476"/>
    <w:rsid w:val="00E85AC0"/>
    <w:rsid w:val="00E8671F"/>
    <w:rsid w:val="00E86CA1"/>
    <w:rsid w:val="00E87D95"/>
    <w:rsid w:val="00E909D5"/>
    <w:rsid w:val="00E9796B"/>
    <w:rsid w:val="00EB20DC"/>
    <w:rsid w:val="00EC10CF"/>
    <w:rsid w:val="00EC267A"/>
    <w:rsid w:val="00ED0234"/>
    <w:rsid w:val="00EE22A8"/>
    <w:rsid w:val="00EE420C"/>
    <w:rsid w:val="00EF013E"/>
    <w:rsid w:val="00EF30F8"/>
    <w:rsid w:val="00EF4FB1"/>
    <w:rsid w:val="00F01BE8"/>
    <w:rsid w:val="00F02546"/>
    <w:rsid w:val="00F04C7C"/>
    <w:rsid w:val="00F04F4A"/>
    <w:rsid w:val="00F10F69"/>
    <w:rsid w:val="00F11799"/>
    <w:rsid w:val="00F137BA"/>
    <w:rsid w:val="00F22237"/>
    <w:rsid w:val="00F22A98"/>
    <w:rsid w:val="00F276CB"/>
    <w:rsid w:val="00F27D19"/>
    <w:rsid w:val="00F31FD3"/>
    <w:rsid w:val="00F403E9"/>
    <w:rsid w:val="00F457F6"/>
    <w:rsid w:val="00F516F3"/>
    <w:rsid w:val="00F52545"/>
    <w:rsid w:val="00F57410"/>
    <w:rsid w:val="00F64493"/>
    <w:rsid w:val="00F64ABA"/>
    <w:rsid w:val="00F654C6"/>
    <w:rsid w:val="00F65F80"/>
    <w:rsid w:val="00F728E6"/>
    <w:rsid w:val="00F80DEE"/>
    <w:rsid w:val="00F840C7"/>
    <w:rsid w:val="00F85953"/>
    <w:rsid w:val="00F87A8C"/>
    <w:rsid w:val="00F906CD"/>
    <w:rsid w:val="00F9263C"/>
    <w:rsid w:val="00F955FE"/>
    <w:rsid w:val="00F96A4D"/>
    <w:rsid w:val="00F974B7"/>
    <w:rsid w:val="00FA5FF0"/>
    <w:rsid w:val="00FA7F3D"/>
    <w:rsid w:val="00FB04EE"/>
    <w:rsid w:val="00FB5182"/>
    <w:rsid w:val="00FB6F11"/>
    <w:rsid w:val="00FC621D"/>
    <w:rsid w:val="00FC70B3"/>
    <w:rsid w:val="00FD2E3A"/>
    <w:rsid w:val="00FE0E98"/>
    <w:rsid w:val="00FE2C00"/>
    <w:rsid w:val="00FE5D85"/>
    <w:rsid w:val="00FE717E"/>
    <w:rsid w:val="00FE7DC5"/>
    <w:rsid w:val="00FF013C"/>
    <w:rsid w:val="00FF0879"/>
    <w:rsid w:val="00FF24D5"/>
    <w:rsid w:val="00FF6E43"/>
    <w:rsid w:val="01773F43"/>
    <w:rsid w:val="061C73BB"/>
    <w:rsid w:val="06D33DE7"/>
    <w:rsid w:val="076B31DA"/>
    <w:rsid w:val="0C1D0813"/>
    <w:rsid w:val="1A735080"/>
    <w:rsid w:val="1DDC2ACA"/>
    <w:rsid w:val="1EA63630"/>
    <w:rsid w:val="212B02A4"/>
    <w:rsid w:val="232B6774"/>
    <w:rsid w:val="24BB62D9"/>
    <w:rsid w:val="25705B8F"/>
    <w:rsid w:val="26436741"/>
    <w:rsid w:val="28A82888"/>
    <w:rsid w:val="28F765AC"/>
    <w:rsid w:val="2CF409C8"/>
    <w:rsid w:val="2EC667B9"/>
    <w:rsid w:val="2F342A24"/>
    <w:rsid w:val="30D20969"/>
    <w:rsid w:val="334444CF"/>
    <w:rsid w:val="3CAE31DE"/>
    <w:rsid w:val="3D333EC8"/>
    <w:rsid w:val="3D5151C1"/>
    <w:rsid w:val="47715A3A"/>
    <w:rsid w:val="490A1142"/>
    <w:rsid w:val="4C5E7653"/>
    <w:rsid w:val="503C2246"/>
    <w:rsid w:val="50453A98"/>
    <w:rsid w:val="5198253B"/>
    <w:rsid w:val="5591F27D"/>
    <w:rsid w:val="5836349C"/>
    <w:rsid w:val="596B6097"/>
    <w:rsid w:val="5A761F59"/>
    <w:rsid w:val="5AC46353"/>
    <w:rsid w:val="60176817"/>
    <w:rsid w:val="6547100E"/>
    <w:rsid w:val="6D5841E8"/>
    <w:rsid w:val="6EFA1300"/>
    <w:rsid w:val="73A17281"/>
    <w:rsid w:val="7A971C32"/>
    <w:rsid w:val="7AFB19E6"/>
    <w:rsid w:val="7BBA37C5"/>
    <w:rsid w:val="7EBA265B"/>
    <w:rsid w:val="7ED324D1"/>
    <w:rsid w:val="7FF7C84F"/>
    <w:rsid w:val="A2EFA1E6"/>
    <w:rsid w:val="B7FFCCA6"/>
    <w:rsid w:val="EFFFE15A"/>
    <w:rsid w:val="FBF06AD3"/>
    <w:rsid w:val="FCFF367B"/>
    <w:rsid w:val="FDFF70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iPriority="1"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2"/>
    <w:qFormat/>
    <w:uiPriority w:val="1"/>
    <w:pPr>
      <w:keepNext/>
      <w:keepLines/>
      <w:spacing w:before="340" w:after="330" w:line="578" w:lineRule="auto"/>
      <w:outlineLvl w:val="0"/>
    </w:pPr>
    <w:rPr>
      <w:b/>
      <w:bCs/>
      <w:kern w:val="44"/>
      <w:sz w:val="44"/>
      <w:szCs w:val="44"/>
      <w:lang w:val="zh-CN"/>
    </w:rPr>
  </w:style>
  <w:style w:type="paragraph" w:styleId="4">
    <w:name w:val="heading 2"/>
    <w:basedOn w:val="1"/>
    <w:next w:val="1"/>
    <w:link w:val="238"/>
    <w:qFormat/>
    <w:uiPriority w:val="1"/>
    <w:pPr>
      <w:keepNext/>
      <w:keepLines/>
      <w:spacing w:before="260" w:after="260" w:line="416" w:lineRule="auto"/>
      <w:outlineLvl w:val="1"/>
    </w:pPr>
    <w:rPr>
      <w:rFonts w:ascii="Calibri Light" w:hAnsi="Calibri Light"/>
      <w:b/>
      <w:bCs/>
      <w:kern w:val="0"/>
      <w:sz w:val="32"/>
      <w:szCs w:val="32"/>
      <w:lang w:val="zh-CN"/>
    </w:rPr>
  </w:style>
  <w:style w:type="paragraph" w:styleId="5">
    <w:name w:val="heading 3"/>
    <w:basedOn w:val="1"/>
    <w:next w:val="1"/>
    <w:link w:val="234"/>
    <w:qFormat/>
    <w:uiPriority w:val="0"/>
    <w:pPr>
      <w:keepNext/>
      <w:keepLines/>
      <w:spacing w:before="260" w:after="260" w:line="416" w:lineRule="auto"/>
      <w:outlineLvl w:val="2"/>
    </w:pPr>
    <w:rPr>
      <w:rFonts w:ascii="宋体"/>
      <w:b/>
      <w:bCs/>
      <w:kern w:val="0"/>
      <w:sz w:val="32"/>
      <w:szCs w:val="32"/>
    </w:rPr>
  </w:style>
  <w:style w:type="paragraph" w:styleId="6">
    <w:name w:val="heading 4"/>
    <w:basedOn w:val="1"/>
    <w:next w:val="1"/>
    <w:link w:val="244"/>
    <w:qFormat/>
    <w:uiPriority w:val="0"/>
    <w:pPr>
      <w:keepNext/>
      <w:keepLines/>
      <w:spacing w:before="280" w:after="290" w:line="376" w:lineRule="auto"/>
      <w:outlineLvl w:val="3"/>
    </w:pPr>
    <w:rPr>
      <w:rFonts w:ascii="Calibri Light" w:hAnsi="Calibri Light"/>
      <w:b/>
      <w:bCs/>
      <w:kern w:val="0"/>
      <w:sz w:val="28"/>
      <w:szCs w:val="28"/>
      <w:lang w:val="zh-CN"/>
    </w:rPr>
  </w:style>
  <w:style w:type="paragraph" w:styleId="7">
    <w:name w:val="heading 5"/>
    <w:basedOn w:val="1"/>
    <w:next w:val="1"/>
    <w:link w:val="212"/>
    <w:qFormat/>
    <w:uiPriority w:val="0"/>
    <w:pPr>
      <w:keepNext/>
      <w:keepLines/>
      <w:spacing w:before="280" w:after="290" w:line="376" w:lineRule="auto"/>
      <w:outlineLvl w:val="4"/>
    </w:pPr>
    <w:rPr>
      <w:b/>
      <w:bCs/>
      <w:sz w:val="28"/>
      <w:szCs w:val="28"/>
    </w:rPr>
  </w:style>
  <w:style w:type="paragraph" w:styleId="8">
    <w:name w:val="heading 6"/>
    <w:basedOn w:val="1"/>
    <w:next w:val="1"/>
    <w:link w:val="232"/>
    <w:qFormat/>
    <w:uiPriority w:val="0"/>
    <w:pPr>
      <w:keepNext/>
      <w:keepLines/>
      <w:widowControl/>
      <w:spacing w:before="240" w:after="64" w:line="320" w:lineRule="auto"/>
      <w:jc w:val="left"/>
      <w:outlineLvl w:val="5"/>
    </w:pPr>
    <w:rPr>
      <w:rFonts w:ascii="Cambria" w:hAnsi="Cambria"/>
      <w:b/>
      <w:bCs/>
      <w:kern w:val="0"/>
      <w:sz w:val="24"/>
      <w:szCs w:val="24"/>
    </w:rPr>
  </w:style>
  <w:style w:type="paragraph" w:styleId="9">
    <w:name w:val="heading 7"/>
    <w:basedOn w:val="1"/>
    <w:next w:val="1"/>
    <w:link w:val="257"/>
    <w:qFormat/>
    <w:uiPriority w:val="0"/>
    <w:pPr>
      <w:keepNext/>
      <w:keepLines/>
      <w:numPr>
        <w:ilvl w:val="6"/>
        <w:numId w:val="1"/>
      </w:numPr>
      <w:adjustRightInd w:val="0"/>
      <w:spacing w:before="240" w:after="64" w:line="320" w:lineRule="atLeast"/>
      <w:textAlignment w:val="baseline"/>
      <w:outlineLvl w:val="6"/>
    </w:pPr>
    <w:rPr>
      <w:rFonts w:ascii="Times New Roman" w:hAnsi="Times New Roman"/>
      <w:b/>
      <w:kern w:val="0"/>
      <w:sz w:val="24"/>
      <w:szCs w:val="20"/>
    </w:rPr>
  </w:style>
  <w:style w:type="paragraph" w:styleId="10">
    <w:name w:val="heading 8"/>
    <w:basedOn w:val="1"/>
    <w:next w:val="1"/>
    <w:link w:val="211"/>
    <w:qFormat/>
    <w:uiPriority w:val="0"/>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10"/>
    <w:qFormat/>
    <w:uiPriority w:val="0"/>
    <w:pPr>
      <w:keepNext/>
      <w:keepLines/>
      <w:numPr>
        <w:ilvl w:val="8"/>
        <w:numId w:val="1"/>
      </w:numPr>
      <w:adjustRightInd w:val="0"/>
      <w:spacing w:before="240" w:after="64" w:line="320" w:lineRule="atLeast"/>
      <w:textAlignment w:val="baseline"/>
      <w:outlineLvl w:val="8"/>
    </w:pPr>
    <w:rPr>
      <w:rFonts w:ascii="Arial" w:hAnsi="Arial" w:eastAsia="黑体"/>
      <w:kern w:val="0"/>
      <w:sz w:val="24"/>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231"/>
    <w:qFormat/>
    <w:uiPriority w:val="0"/>
    <w:pPr>
      <w:widowControl/>
      <w:jc w:val="left"/>
    </w:pPr>
    <w:rPr>
      <w:rFonts w:ascii="宋体" w:hAnsi="Courier New" w:eastAsia="楷体_GB2312"/>
      <w:kern w:val="0"/>
      <w:sz w:val="20"/>
      <w:szCs w:val="20"/>
    </w:rPr>
  </w:style>
  <w:style w:type="paragraph" w:styleId="12">
    <w:name w:val="List 3"/>
    <w:basedOn w:val="1"/>
    <w:qFormat/>
    <w:uiPriority w:val="0"/>
    <w:pPr>
      <w:ind w:left="100" w:leftChars="400" w:hanging="200" w:hangingChars="200"/>
    </w:pPr>
    <w:rPr>
      <w:szCs w:val="24"/>
    </w:rPr>
  </w:style>
  <w:style w:type="paragraph" w:styleId="13">
    <w:name w:val="toc 7"/>
    <w:basedOn w:val="1"/>
    <w:next w:val="1"/>
    <w:unhideWhenUsed/>
    <w:qFormat/>
    <w:uiPriority w:val="0"/>
    <w:pPr>
      <w:ind w:left="2520" w:leftChars="1200"/>
    </w:pPr>
  </w:style>
  <w:style w:type="paragraph" w:styleId="14">
    <w:name w:val="Normal Indent"/>
    <w:basedOn w:val="1"/>
    <w:link w:val="177"/>
    <w:qFormat/>
    <w:uiPriority w:val="0"/>
    <w:pPr>
      <w:ind w:firstLine="420"/>
    </w:pPr>
    <w:rPr>
      <w:rFonts w:ascii="宋体"/>
      <w:kern w:val="0"/>
      <w:sz w:val="34"/>
      <w:szCs w:val="20"/>
    </w:r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360"/>
      </w:tabs>
      <w:ind w:left="360" w:hanging="360"/>
      <w:contextualSpacing/>
    </w:pPr>
    <w:rPr>
      <w:szCs w:val="24"/>
    </w:rPr>
  </w:style>
  <w:style w:type="paragraph" w:styleId="17">
    <w:name w:val="Document Map"/>
    <w:basedOn w:val="1"/>
    <w:link w:val="236"/>
    <w:unhideWhenUsed/>
    <w:qFormat/>
    <w:uiPriority w:val="99"/>
    <w:rPr>
      <w:rFonts w:ascii="宋体"/>
      <w:sz w:val="18"/>
      <w:szCs w:val="18"/>
      <w:lang w:val="zh-CN"/>
    </w:rPr>
  </w:style>
  <w:style w:type="paragraph" w:styleId="18">
    <w:name w:val="annotation text"/>
    <w:basedOn w:val="1"/>
    <w:link w:val="248"/>
    <w:unhideWhenUsed/>
    <w:qFormat/>
    <w:uiPriority w:val="0"/>
    <w:pPr>
      <w:jc w:val="left"/>
    </w:pPr>
    <w:rPr>
      <w:kern w:val="0"/>
      <w:sz w:val="20"/>
      <w:szCs w:val="20"/>
      <w:lang w:val="zh-CN"/>
    </w:rPr>
  </w:style>
  <w:style w:type="paragraph" w:styleId="19">
    <w:name w:val="index 6"/>
    <w:basedOn w:val="1"/>
    <w:next w:val="1"/>
    <w:qFormat/>
    <w:uiPriority w:val="0"/>
    <w:pPr>
      <w:ind w:left="1000" w:leftChars="1000"/>
    </w:pPr>
    <w:rPr>
      <w:szCs w:val="24"/>
    </w:rPr>
  </w:style>
  <w:style w:type="paragraph" w:styleId="20">
    <w:name w:val="Salutation"/>
    <w:basedOn w:val="1"/>
    <w:next w:val="1"/>
    <w:link w:val="191"/>
    <w:qFormat/>
    <w:uiPriority w:val="0"/>
    <w:rPr>
      <w:rFonts w:ascii="宋体" w:hAnsi="Times New Roman" w:eastAsia="仿宋_GB2312"/>
      <w:kern w:val="0"/>
      <w:sz w:val="24"/>
      <w:szCs w:val="20"/>
    </w:rPr>
  </w:style>
  <w:style w:type="paragraph" w:styleId="21">
    <w:name w:val="Body Text 3"/>
    <w:basedOn w:val="1"/>
    <w:link w:val="215"/>
    <w:qFormat/>
    <w:uiPriority w:val="0"/>
    <w:pPr>
      <w:widowControl/>
      <w:jc w:val="left"/>
    </w:pPr>
    <w:rPr>
      <w:rFonts w:ascii="宋体"/>
      <w:kern w:val="0"/>
      <w:sz w:val="24"/>
      <w:szCs w:val="20"/>
    </w:rPr>
  </w:style>
  <w:style w:type="paragraph" w:styleId="22">
    <w:name w:val="Body Text"/>
    <w:basedOn w:val="1"/>
    <w:link w:val="243"/>
    <w:unhideWhenUsed/>
    <w:qFormat/>
    <w:uiPriority w:val="1"/>
    <w:pPr>
      <w:spacing w:after="120"/>
    </w:pPr>
  </w:style>
  <w:style w:type="paragraph" w:styleId="23">
    <w:name w:val="Body Text Indent"/>
    <w:basedOn w:val="1"/>
    <w:link w:val="245"/>
    <w:qFormat/>
    <w:uiPriority w:val="0"/>
    <w:pPr>
      <w:ind w:firstLine="560" w:firstLineChars="200"/>
    </w:pPr>
    <w:rPr>
      <w:rFonts w:ascii="Times New Roman" w:hAnsi="Times New Roman"/>
      <w:kern w:val="0"/>
      <w:sz w:val="28"/>
      <w:szCs w:val="24"/>
      <w:lang w:val="zh-CN"/>
    </w:rPr>
  </w:style>
  <w:style w:type="paragraph" w:styleId="24">
    <w:name w:val="List 2"/>
    <w:basedOn w:val="1"/>
    <w:qFormat/>
    <w:uiPriority w:val="0"/>
    <w:pPr>
      <w:widowControl/>
      <w:ind w:left="840" w:hanging="420"/>
      <w:jc w:val="left"/>
    </w:pPr>
    <w:rPr>
      <w:rFonts w:ascii="宋体"/>
      <w:kern w:val="0"/>
      <w:sz w:val="22"/>
      <w:szCs w:val="20"/>
    </w:rPr>
  </w:style>
  <w:style w:type="paragraph" w:styleId="25">
    <w:name w:val="List Continue"/>
    <w:basedOn w:val="1"/>
    <w:qFormat/>
    <w:uiPriority w:val="0"/>
    <w:pPr>
      <w:widowControl/>
      <w:spacing w:after="120"/>
      <w:ind w:left="420"/>
      <w:jc w:val="left"/>
    </w:pPr>
    <w:rPr>
      <w:rFonts w:ascii="宋体"/>
      <w:kern w:val="0"/>
      <w:sz w:val="22"/>
      <w:szCs w:val="20"/>
    </w:rPr>
  </w:style>
  <w:style w:type="paragraph" w:styleId="26">
    <w:name w:val="Block Text"/>
    <w:basedOn w:val="1"/>
    <w:qFormat/>
    <w:uiPriority w:val="0"/>
    <w:pPr>
      <w:autoSpaceDE w:val="0"/>
      <w:autoSpaceDN w:val="0"/>
      <w:adjustRightInd w:val="0"/>
      <w:spacing w:line="360" w:lineRule="auto"/>
      <w:ind w:left="286" w:right="6" w:firstLine="554"/>
    </w:pPr>
    <w:rPr>
      <w:kern w:val="0"/>
      <w:sz w:val="24"/>
      <w:szCs w:val="24"/>
    </w:rPr>
  </w:style>
  <w:style w:type="paragraph" w:styleId="27">
    <w:name w:val="List Bullet 2"/>
    <w:basedOn w:val="1"/>
    <w:qFormat/>
    <w:uiPriority w:val="0"/>
    <w:pPr>
      <w:widowControl/>
      <w:tabs>
        <w:tab w:val="left" w:pos="360"/>
        <w:tab w:val="left" w:pos="720"/>
      </w:tabs>
      <w:spacing w:after="200" w:line="276" w:lineRule="auto"/>
      <w:ind w:left="720" w:hanging="720"/>
      <w:jc w:val="left"/>
    </w:pPr>
    <w:rPr>
      <w:kern w:val="0"/>
      <w:sz w:val="22"/>
    </w:rPr>
  </w:style>
  <w:style w:type="paragraph" w:styleId="28">
    <w:name w:val="index 4"/>
    <w:basedOn w:val="1"/>
    <w:next w:val="1"/>
    <w:qFormat/>
    <w:uiPriority w:val="0"/>
    <w:pPr>
      <w:ind w:left="600" w:leftChars="600"/>
    </w:pPr>
    <w:rPr>
      <w:szCs w:val="24"/>
    </w:rPr>
  </w:style>
  <w:style w:type="paragraph" w:styleId="29">
    <w:name w:val="toc 5"/>
    <w:basedOn w:val="1"/>
    <w:next w:val="1"/>
    <w:unhideWhenUsed/>
    <w:qFormat/>
    <w:uiPriority w:val="0"/>
    <w:pPr>
      <w:ind w:left="1680" w:leftChars="800"/>
    </w:pPr>
  </w:style>
  <w:style w:type="paragraph" w:styleId="30">
    <w:name w:val="toc 3"/>
    <w:basedOn w:val="1"/>
    <w:next w:val="1"/>
    <w:qFormat/>
    <w:uiPriority w:val="39"/>
    <w:pPr>
      <w:widowControl/>
      <w:ind w:left="400" w:leftChars="400"/>
      <w:jc w:val="left"/>
    </w:pPr>
    <w:rPr>
      <w:kern w:val="0"/>
      <w:sz w:val="20"/>
      <w:szCs w:val="20"/>
    </w:rPr>
  </w:style>
  <w:style w:type="paragraph" w:styleId="31">
    <w:name w:val="toc 8"/>
    <w:basedOn w:val="1"/>
    <w:next w:val="1"/>
    <w:unhideWhenUsed/>
    <w:qFormat/>
    <w:uiPriority w:val="0"/>
    <w:pPr>
      <w:ind w:left="2940" w:leftChars="1400"/>
    </w:pPr>
  </w:style>
  <w:style w:type="paragraph" w:styleId="32">
    <w:name w:val="Date"/>
    <w:basedOn w:val="1"/>
    <w:next w:val="1"/>
    <w:link w:val="161"/>
    <w:qFormat/>
    <w:uiPriority w:val="0"/>
    <w:rPr>
      <w:rFonts w:ascii="Times New Roman" w:hAnsi="Times New Roman"/>
      <w:kern w:val="0"/>
      <w:sz w:val="24"/>
      <w:szCs w:val="20"/>
    </w:rPr>
  </w:style>
  <w:style w:type="paragraph" w:styleId="33">
    <w:name w:val="Body Text Indent 2"/>
    <w:basedOn w:val="1"/>
    <w:link w:val="227"/>
    <w:unhideWhenUsed/>
    <w:qFormat/>
    <w:uiPriority w:val="0"/>
    <w:pPr>
      <w:widowControl/>
      <w:spacing w:after="120" w:line="480" w:lineRule="auto"/>
      <w:ind w:left="420" w:leftChars="200"/>
      <w:jc w:val="left"/>
    </w:pPr>
    <w:rPr>
      <w:rFonts w:ascii="Times New Roman" w:hAnsi="Times New Roman"/>
      <w:kern w:val="0"/>
      <w:sz w:val="20"/>
      <w:szCs w:val="20"/>
    </w:rPr>
  </w:style>
  <w:style w:type="paragraph" w:styleId="34">
    <w:name w:val="endnote text"/>
    <w:basedOn w:val="1"/>
    <w:link w:val="187"/>
    <w:qFormat/>
    <w:uiPriority w:val="0"/>
    <w:pPr>
      <w:snapToGrid w:val="0"/>
      <w:jc w:val="left"/>
    </w:pPr>
    <w:rPr>
      <w:rFonts w:ascii="Times New Roman" w:hAnsi="Times New Roman"/>
      <w:kern w:val="0"/>
      <w:sz w:val="20"/>
      <w:szCs w:val="24"/>
    </w:rPr>
  </w:style>
  <w:style w:type="paragraph" w:styleId="35">
    <w:name w:val="Balloon Text"/>
    <w:basedOn w:val="1"/>
    <w:link w:val="247"/>
    <w:unhideWhenUsed/>
    <w:qFormat/>
    <w:uiPriority w:val="0"/>
    <w:rPr>
      <w:rFonts w:ascii="Times New Roman" w:hAnsi="Times New Roman"/>
      <w:kern w:val="0"/>
      <w:sz w:val="18"/>
      <w:szCs w:val="18"/>
      <w:lang w:val="zh-CN"/>
    </w:rPr>
  </w:style>
  <w:style w:type="paragraph" w:styleId="36">
    <w:name w:val="footer"/>
    <w:basedOn w:val="1"/>
    <w:link w:val="239"/>
    <w:unhideWhenUsed/>
    <w:qFormat/>
    <w:uiPriority w:val="99"/>
    <w:pPr>
      <w:tabs>
        <w:tab w:val="center" w:pos="4153"/>
        <w:tab w:val="right" w:pos="8306"/>
      </w:tabs>
      <w:snapToGrid w:val="0"/>
      <w:jc w:val="left"/>
    </w:pPr>
    <w:rPr>
      <w:rFonts w:ascii="Times New Roman" w:hAnsi="Times New Roman"/>
      <w:kern w:val="0"/>
      <w:sz w:val="18"/>
      <w:szCs w:val="18"/>
      <w:lang w:val="zh-CN"/>
    </w:rPr>
  </w:style>
  <w:style w:type="paragraph" w:styleId="37">
    <w:name w:val="header"/>
    <w:basedOn w:val="1"/>
    <w:link w:val="240"/>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38">
    <w:name w:val="toc 1"/>
    <w:basedOn w:val="1"/>
    <w:next w:val="1"/>
    <w:unhideWhenUsed/>
    <w:qFormat/>
    <w:uiPriority w:val="39"/>
    <w:pPr>
      <w:widowControl/>
      <w:tabs>
        <w:tab w:val="right" w:leader="dot" w:pos="8296"/>
      </w:tabs>
      <w:spacing w:after="100" w:line="276" w:lineRule="auto"/>
      <w:jc w:val="center"/>
    </w:pPr>
    <w:rPr>
      <w:rFonts w:ascii="Times New Roman" w:hAnsi="Times New Roman" w:eastAsia="仿宋_GB2312"/>
      <w:b/>
      <w:kern w:val="0"/>
      <w:sz w:val="28"/>
    </w:rPr>
  </w:style>
  <w:style w:type="paragraph" w:styleId="39">
    <w:name w:val="toc 4"/>
    <w:basedOn w:val="1"/>
    <w:next w:val="1"/>
    <w:unhideWhenUsed/>
    <w:qFormat/>
    <w:uiPriority w:val="1"/>
    <w:pPr>
      <w:ind w:left="1260" w:leftChars="600"/>
    </w:pPr>
  </w:style>
  <w:style w:type="paragraph" w:styleId="40">
    <w:name w:val="Subtitle"/>
    <w:basedOn w:val="1"/>
    <w:next w:val="1"/>
    <w:link w:val="195"/>
    <w:qFormat/>
    <w:uiPriority w:val="0"/>
    <w:pPr>
      <w:spacing w:before="240" w:after="60" w:line="312" w:lineRule="auto"/>
      <w:jc w:val="center"/>
      <w:outlineLvl w:val="1"/>
    </w:pPr>
    <w:rPr>
      <w:rFonts w:ascii="Times New Roman" w:hAnsi="Times New Roman"/>
      <w:kern w:val="0"/>
      <w:sz w:val="18"/>
      <w:szCs w:val="18"/>
    </w:rPr>
  </w:style>
  <w:style w:type="paragraph" w:styleId="41">
    <w:name w:val="List"/>
    <w:basedOn w:val="1"/>
    <w:qFormat/>
    <w:uiPriority w:val="0"/>
    <w:pPr>
      <w:widowControl/>
      <w:ind w:left="420" w:hanging="420"/>
      <w:jc w:val="left"/>
    </w:pPr>
    <w:rPr>
      <w:rFonts w:ascii="宋体"/>
      <w:kern w:val="0"/>
      <w:sz w:val="22"/>
      <w:szCs w:val="20"/>
    </w:rPr>
  </w:style>
  <w:style w:type="paragraph" w:styleId="42">
    <w:name w:val="toc 6"/>
    <w:basedOn w:val="1"/>
    <w:next w:val="1"/>
    <w:unhideWhenUsed/>
    <w:qFormat/>
    <w:uiPriority w:val="0"/>
    <w:pPr>
      <w:ind w:left="2100" w:leftChars="1000"/>
    </w:pPr>
  </w:style>
  <w:style w:type="paragraph" w:styleId="43">
    <w:name w:val="Body Text Indent 3"/>
    <w:basedOn w:val="1"/>
    <w:link w:val="253"/>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44">
    <w:name w:val="toc 2"/>
    <w:basedOn w:val="1"/>
    <w:next w:val="1"/>
    <w:unhideWhenUsed/>
    <w:qFormat/>
    <w:uiPriority w:val="39"/>
    <w:pPr>
      <w:widowControl/>
      <w:spacing w:after="100" w:line="276" w:lineRule="auto"/>
      <w:ind w:left="220"/>
      <w:jc w:val="left"/>
    </w:pPr>
    <w:rPr>
      <w:rFonts w:ascii="Times New Roman" w:hAnsi="Times New Roman" w:eastAsia="仿宋_GB2312"/>
      <w:kern w:val="0"/>
      <w:sz w:val="22"/>
    </w:rPr>
  </w:style>
  <w:style w:type="paragraph" w:styleId="45">
    <w:name w:val="toc 9"/>
    <w:basedOn w:val="1"/>
    <w:next w:val="1"/>
    <w:unhideWhenUsed/>
    <w:qFormat/>
    <w:uiPriority w:val="0"/>
    <w:pPr>
      <w:ind w:left="3360" w:leftChars="1600"/>
    </w:pPr>
  </w:style>
  <w:style w:type="paragraph" w:styleId="46">
    <w:name w:val="Body Text 2"/>
    <w:basedOn w:val="1"/>
    <w:link w:val="217"/>
    <w:qFormat/>
    <w:uiPriority w:val="0"/>
    <w:pPr>
      <w:widowControl/>
      <w:jc w:val="left"/>
    </w:pPr>
    <w:rPr>
      <w:sz w:val="44"/>
      <w:szCs w:val="24"/>
    </w:rPr>
  </w:style>
  <w:style w:type="paragraph" w:styleId="47">
    <w:name w:val="HTML Preformatted"/>
    <w:basedOn w:val="1"/>
    <w:link w:val="2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qFormat/>
    <w:uiPriority w:val="0"/>
    <w:pPr>
      <w:spacing w:line="220" w:lineRule="exact"/>
      <w:jc w:val="center"/>
    </w:pPr>
    <w:rPr>
      <w:rFonts w:ascii="仿宋_GB2312" w:hAnsi="Times New Roman" w:eastAsia="仿宋_GB2312"/>
      <w:szCs w:val="21"/>
    </w:rPr>
  </w:style>
  <w:style w:type="paragraph" w:styleId="50">
    <w:name w:val="Title"/>
    <w:basedOn w:val="1"/>
    <w:next w:val="1"/>
    <w:link w:val="139"/>
    <w:qFormat/>
    <w:uiPriority w:val="0"/>
    <w:pPr>
      <w:spacing w:before="240" w:after="60"/>
      <w:jc w:val="center"/>
      <w:outlineLvl w:val="0"/>
    </w:pPr>
    <w:rPr>
      <w:rFonts w:ascii="Cambria" w:hAnsi="Cambria"/>
      <w:b/>
      <w:bCs/>
      <w:kern w:val="0"/>
      <w:sz w:val="32"/>
      <w:szCs w:val="32"/>
    </w:rPr>
  </w:style>
  <w:style w:type="paragraph" w:styleId="51">
    <w:name w:val="annotation subject"/>
    <w:basedOn w:val="18"/>
    <w:next w:val="18"/>
    <w:link w:val="223"/>
    <w:unhideWhenUsed/>
    <w:qFormat/>
    <w:uiPriority w:val="0"/>
    <w:pPr>
      <w:widowControl/>
    </w:pPr>
    <w:rPr>
      <w:rFonts w:ascii="Times New Roman" w:hAnsi="Times New Roman"/>
      <w:lang w:val="en-US"/>
    </w:rPr>
  </w:style>
  <w:style w:type="paragraph" w:styleId="52">
    <w:name w:val="Body Text First Indent"/>
    <w:basedOn w:val="22"/>
    <w:link w:val="230"/>
    <w:unhideWhenUsed/>
    <w:qFormat/>
    <w:uiPriority w:val="0"/>
    <w:pPr>
      <w:widowControl/>
      <w:ind w:firstLine="420" w:firstLineChars="100"/>
      <w:jc w:val="left"/>
    </w:pPr>
    <w:rPr>
      <w:rFonts w:ascii="Times New Roman" w:hAnsi="Times New Roman"/>
      <w:kern w:val="0"/>
      <w:sz w:val="20"/>
      <w:szCs w:val="20"/>
    </w:rPr>
  </w:style>
  <w:style w:type="paragraph" w:styleId="53">
    <w:name w:val="Body Text First Indent 2"/>
    <w:basedOn w:val="23"/>
    <w:link w:val="539"/>
    <w:qFormat/>
    <w:uiPriority w:val="0"/>
    <w:pPr>
      <w:spacing w:after="120"/>
      <w:ind w:left="420" w:leftChars="200" w:firstLine="420"/>
    </w:pPr>
    <w:rPr>
      <w:rFonts w:ascii="Calibri" w:hAnsi="Calibri"/>
      <w:sz w:val="20"/>
      <w:lang w:val="en-US"/>
    </w:rPr>
  </w:style>
  <w:style w:type="table" w:styleId="55">
    <w:name w:val="Table Grid"/>
    <w:basedOn w:val="5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endnote reference"/>
    <w:qFormat/>
    <w:uiPriority w:val="0"/>
    <w:rPr>
      <w:vertAlign w:val="superscript"/>
    </w:rPr>
  </w:style>
  <w:style w:type="character" w:styleId="59">
    <w:name w:val="page number"/>
    <w:qFormat/>
    <w:uiPriority w:val="0"/>
  </w:style>
  <w:style w:type="character" w:styleId="60">
    <w:name w:val="FollowedHyperlink"/>
    <w:unhideWhenUsed/>
    <w:qFormat/>
    <w:uiPriority w:val="0"/>
    <w:rPr>
      <w:color w:val="000000"/>
      <w:u w:val="none"/>
    </w:rPr>
  </w:style>
  <w:style w:type="character" w:styleId="61">
    <w:name w:val="Emphasis"/>
    <w:qFormat/>
    <w:uiPriority w:val="0"/>
    <w:rPr>
      <w:rFonts w:ascii="Arial Black" w:hAnsi="Arial Black" w:eastAsia="黑体"/>
      <w:b/>
      <w:spacing w:val="0"/>
      <w:sz w:val="21"/>
      <w:lang w:eastAsia="zh-CN"/>
    </w:rPr>
  </w:style>
  <w:style w:type="character" w:styleId="62">
    <w:name w:val="HTML Definition"/>
    <w:qFormat/>
    <w:uiPriority w:val="0"/>
    <w:rPr>
      <w:i/>
    </w:rPr>
  </w:style>
  <w:style w:type="character" w:styleId="63">
    <w:name w:val="Hyperlink"/>
    <w:unhideWhenUsed/>
    <w:qFormat/>
    <w:uiPriority w:val="99"/>
    <w:rPr>
      <w:color w:val="6D6D6D"/>
      <w:u w:val="none"/>
      <w:shd w:val="clear" w:color="auto" w:fill="auto"/>
    </w:rPr>
  </w:style>
  <w:style w:type="character" w:styleId="64">
    <w:name w:val="HTML Code"/>
    <w:qFormat/>
    <w:uiPriority w:val="0"/>
    <w:rPr>
      <w:rFonts w:hint="default" w:ascii="Consolas" w:hAnsi="Consolas" w:eastAsia="Consolas" w:cs="Consolas"/>
      <w:color w:val="C7254E"/>
      <w:sz w:val="21"/>
      <w:szCs w:val="21"/>
      <w:bdr w:val="single" w:color="E1E1E1" w:sz="6" w:space="0"/>
      <w:shd w:val="clear" w:color="auto" w:fill="F9F2F4"/>
    </w:rPr>
  </w:style>
  <w:style w:type="character" w:styleId="65">
    <w:name w:val="annotation reference"/>
    <w:unhideWhenUsed/>
    <w:qFormat/>
    <w:uiPriority w:val="0"/>
    <w:rPr>
      <w:sz w:val="21"/>
      <w:szCs w:val="21"/>
    </w:rPr>
  </w:style>
  <w:style w:type="character" w:styleId="66">
    <w:name w:val="footnote reference"/>
    <w:qFormat/>
    <w:uiPriority w:val="0"/>
    <w:rPr>
      <w:vertAlign w:val="superscript"/>
    </w:rPr>
  </w:style>
  <w:style w:type="character" w:styleId="67">
    <w:name w:val="HTML Keyboard"/>
    <w:qFormat/>
    <w:uiPriority w:val="0"/>
    <w:rPr>
      <w:rFonts w:ascii="Consolas" w:hAnsi="Consolas" w:eastAsia="Consolas" w:cs="Consolas"/>
      <w:color w:val="FFFFFF"/>
      <w:sz w:val="21"/>
      <w:szCs w:val="21"/>
      <w:shd w:val="clear" w:color="auto" w:fill="333333"/>
    </w:rPr>
  </w:style>
  <w:style w:type="character" w:styleId="68">
    <w:name w:val="HTML Sample"/>
    <w:qFormat/>
    <w:uiPriority w:val="0"/>
    <w:rPr>
      <w:rFonts w:hint="default" w:ascii="Consolas" w:hAnsi="Consolas" w:eastAsia="Consolas" w:cs="Consolas"/>
      <w:sz w:val="21"/>
      <w:szCs w:val="21"/>
    </w:rPr>
  </w:style>
  <w:style w:type="character" w:customStyle="1" w:styleId="69">
    <w:name w:val="msoins"/>
    <w:qFormat/>
    <w:uiPriority w:val="0"/>
  </w:style>
  <w:style w:type="character" w:customStyle="1" w:styleId="70">
    <w:name w:val="明显强调1"/>
    <w:qFormat/>
    <w:uiPriority w:val="0"/>
    <w:rPr>
      <w:b/>
      <w:bCs/>
      <w:i/>
      <w:iCs/>
      <w:color w:val="4F81BD"/>
    </w:rPr>
  </w:style>
  <w:style w:type="character" w:customStyle="1" w:styleId="71">
    <w:name w:val="文档结构图 Char2"/>
    <w:semiHidden/>
    <w:qFormat/>
    <w:uiPriority w:val="0"/>
    <w:rPr>
      <w:rFonts w:ascii="宋体"/>
      <w:kern w:val="2"/>
      <w:sz w:val="18"/>
    </w:rPr>
  </w:style>
  <w:style w:type="character" w:customStyle="1" w:styleId="72">
    <w:name w:val="style_kwd"/>
    <w:basedOn w:val="56"/>
    <w:qFormat/>
    <w:uiPriority w:val="0"/>
  </w:style>
  <w:style w:type="character" w:customStyle="1" w:styleId="73">
    <w:name w:val="正文文本缩进 2 Char2"/>
    <w:qFormat/>
    <w:uiPriority w:val="99"/>
    <w:rPr>
      <w:rFonts w:eastAsia="楷体_GB2312"/>
      <w:kern w:val="2"/>
      <w:sz w:val="21"/>
    </w:rPr>
  </w:style>
  <w:style w:type="character" w:customStyle="1" w:styleId="74">
    <w:name w:val="正文文本 2 Char2"/>
    <w:semiHidden/>
    <w:qFormat/>
    <w:uiPriority w:val="99"/>
    <w:rPr>
      <w:rFonts w:ascii="Calibri" w:hAnsi="Calibri" w:eastAsia="宋体" w:cs="Times New Roman"/>
      <w:kern w:val="0"/>
      <w:sz w:val="20"/>
      <w:szCs w:val="20"/>
    </w:rPr>
  </w:style>
  <w:style w:type="character" w:customStyle="1" w:styleId="75">
    <w:name w:val="不明显参考1"/>
    <w:qFormat/>
    <w:uiPriority w:val="0"/>
    <w:rPr>
      <w:smallCaps/>
      <w:color w:val="C0504D"/>
      <w:u w:val="single"/>
    </w:rPr>
  </w:style>
  <w:style w:type="character" w:customStyle="1" w:styleId="76">
    <w:name w:val="批注文字 Char2"/>
    <w:semiHidden/>
    <w:qFormat/>
    <w:uiPriority w:val="99"/>
    <w:rPr>
      <w:rFonts w:ascii="Calibri" w:hAnsi="Calibri" w:eastAsia="宋体" w:cs="Times New Roman"/>
      <w:kern w:val="0"/>
      <w:sz w:val="20"/>
      <w:szCs w:val="20"/>
    </w:rPr>
  </w:style>
  <w:style w:type="character" w:customStyle="1" w:styleId="77">
    <w:name w:val="正文文本缩进 Char2"/>
    <w:qFormat/>
    <w:uiPriority w:val="99"/>
    <w:rPr>
      <w:rFonts w:eastAsia="楷体_GB2312"/>
      <w:kern w:val="2"/>
      <w:sz w:val="21"/>
    </w:rPr>
  </w:style>
  <w:style w:type="character" w:customStyle="1" w:styleId="78">
    <w:name w:val="纯文本 Char4"/>
    <w:semiHidden/>
    <w:qFormat/>
    <w:uiPriority w:val="99"/>
    <w:rPr>
      <w:rFonts w:ascii="宋体" w:hAnsi="Courier New" w:eastAsia="宋体" w:cs="Courier New"/>
      <w:kern w:val="0"/>
      <w:szCs w:val="21"/>
    </w:rPr>
  </w:style>
  <w:style w:type="character" w:customStyle="1" w:styleId="79">
    <w:name w:val="纯文本 Char3"/>
    <w:qFormat/>
    <w:locked/>
    <w:uiPriority w:val="0"/>
    <w:rPr>
      <w:rFonts w:ascii="宋体" w:hAnsi="Courier New" w:cs="Courier New"/>
      <w:szCs w:val="21"/>
    </w:rPr>
  </w:style>
  <w:style w:type="character" w:customStyle="1" w:styleId="80">
    <w:name w:val="Comment Text Char"/>
    <w:qFormat/>
    <w:locked/>
    <w:uiPriority w:val="0"/>
    <w:rPr>
      <w:rFonts w:eastAsia="宋体"/>
      <w:kern w:val="2"/>
      <w:sz w:val="24"/>
      <w:lang w:val="en-US" w:eastAsia="zh-CN"/>
    </w:rPr>
  </w:style>
  <w:style w:type="character" w:customStyle="1" w:styleId="81">
    <w:name w:val="Plain Text Char"/>
    <w:qFormat/>
    <w:locked/>
    <w:uiPriority w:val="99"/>
    <w:rPr>
      <w:rFonts w:ascii="宋体" w:hAnsi="Courier New" w:eastAsia="宋体"/>
      <w:kern w:val="2"/>
      <w:sz w:val="21"/>
      <w:lang w:val="en-US" w:eastAsia="zh-CN"/>
    </w:rPr>
  </w:style>
  <w:style w:type="character" w:customStyle="1" w:styleId="82">
    <w:name w:val="Endnote Text Char"/>
    <w:qFormat/>
    <w:locked/>
    <w:uiPriority w:val="0"/>
    <w:rPr>
      <w:rFonts w:cs="Times New Roman"/>
      <w:kern w:val="2"/>
      <w:sz w:val="21"/>
    </w:rPr>
  </w:style>
  <w:style w:type="character" w:customStyle="1" w:styleId="83">
    <w:name w:val="正文文本 Char2"/>
    <w:qFormat/>
    <w:uiPriority w:val="99"/>
    <w:rPr>
      <w:rFonts w:eastAsia="楷体_GB2312"/>
      <w:kern w:val="2"/>
      <w:sz w:val="21"/>
    </w:rPr>
  </w:style>
  <w:style w:type="character" w:customStyle="1" w:styleId="84">
    <w:name w:val="批注引用1"/>
    <w:qFormat/>
    <w:uiPriority w:val="0"/>
    <w:rPr>
      <w:sz w:val="21"/>
    </w:rPr>
  </w:style>
  <w:style w:type="character" w:customStyle="1" w:styleId="85">
    <w:name w:val="明显引用 Char2"/>
    <w:semiHidden/>
    <w:qFormat/>
    <w:uiPriority w:val="99"/>
    <w:rPr>
      <w:rFonts w:ascii="Calibri" w:hAnsi="Calibri"/>
      <w:b/>
      <w:bCs/>
      <w:i/>
      <w:iCs/>
      <w:color w:val="4F81BD"/>
      <w:kern w:val="2"/>
      <w:sz w:val="21"/>
      <w:szCs w:val="22"/>
    </w:rPr>
  </w:style>
  <w:style w:type="character" w:customStyle="1" w:styleId="86">
    <w:name w:val="引用 Char2"/>
    <w:semiHidden/>
    <w:qFormat/>
    <w:uiPriority w:val="99"/>
    <w:rPr>
      <w:rFonts w:ascii="Calibri" w:hAnsi="Calibri"/>
      <w:i/>
      <w:iCs/>
      <w:color w:val="000000"/>
      <w:kern w:val="2"/>
      <w:sz w:val="21"/>
      <w:szCs w:val="22"/>
    </w:rPr>
  </w:style>
  <w:style w:type="character" w:customStyle="1" w:styleId="87">
    <w:name w:val="页码1"/>
    <w:qFormat/>
    <w:uiPriority w:val="0"/>
    <w:rPr>
      <w:rFonts w:cs="Times New Roman"/>
    </w:rPr>
  </w:style>
  <w:style w:type="character" w:customStyle="1" w:styleId="88">
    <w:name w:val="称呼 Char1"/>
    <w:semiHidden/>
    <w:qFormat/>
    <w:uiPriority w:val="99"/>
    <w:rPr>
      <w:rFonts w:ascii="Calibri" w:hAnsi="Calibri"/>
      <w:kern w:val="2"/>
      <w:sz w:val="21"/>
      <w:szCs w:val="22"/>
    </w:rPr>
  </w:style>
  <w:style w:type="character" w:customStyle="1" w:styleId="89">
    <w:name w:val="正文文本缩进 3 Char1"/>
    <w:qFormat/>
    <w:uiPriority w:val="0"/>
    <w:rPr>
      <w:rFonts w:ascii="Calibri" w:hAnsi="Calibri"/>
      <w:kern w:val="2"/>
      <w:sz w:val="16"/>
      <w:szCs w:val="16"/>
    </w:rPr>
  </w:style>
  <w:style w:type="character" w:customStyle="1" w:styleId="90">
    <w:name w:val="HTML 预设格式 Char2"/>
    <w:semiHidden/>
    <w:qFormat/>
    <w:uiPriority w:val="99"/>
    <w:rPr>
      <w:rFonts w:ascii="Courier New" w:hAnsi="Courier New" w:cs="Courier New"/>
      <w:kern w:val="2"/>
    </w:rPr>
  </w:style>
  <w:style w:type="character" w:customStyle="1" w:styleId="91">
    <w:name w:val="标题 Char2"/>
    <w:qFormat/>
    <w:uiPriority w:val="10"/>
    <w:rPr>
      <w:rFonts w:ascii="Cambria" w:hAnsi="Cambria" w:cs="Times New Roman"/>
      <w:b/>
      <w:bCs/>
      <w:kern w:val="2"/>
      <w:sz w:val="32"/>
      <w:szCs w:val="32"/>
    </w:rPr>
  </w:style>
  <w:style w:type="character" w:customStyle="1" w:styleId="92">
    <w:name w:val="尾注文本 Char4"/>
    <w:semiHidden/>
    <w:qFormat/>
    <w:uiPriority w:val="99"/>
    <w:rPr>
      <w:rFonts w:ascii="Calibri" w:hAnsi="Calibri"/>
      <w:kern w:val="2"/>
      <w:sz w:val="21"/>
      <w:szCs w:val="22"/>
    </w:rPr>
  </w:style>
  <w:style w:type="character" w:customStyle="1" w:styleId="93">
    <w:name w:val="副标题 Char3"/>
    <w:qFormat/>
    <w:uiPriority w:val="11"/>
    <w:rPr>
      <w:rFonts w:ascii="Cambria" w:hAnsi="Cambria" w:cs="Times New Roman"/>
      <w:b/>
      <w:bCs/>
      <w:kern w:val="28"/>
      <w:sz w:val="32"/>
      <w:szCs w:val="32"/>
    </w:rPr>
  </w:style>
  <w:style w:type="character" w:customStyle="1" w:styleId="94">
    <w:name w:val="批注主题 字符"/>
    <w:qFormat/>
    <w:uiPriority w:val="0"/>
    <w:rPr>
      <w:b/>
      <w:bCs/>
      <w:kern w:val="2"/>
      <w:sz w:val="21"/>
      <w:szCs w:val="24"/>
    </w:rPr>
  </w:style>
  <w:style w:type="character" w:customStyle="1" w:styleId="95">
    <w:name w:val="标题 2 Char Char Char1"/>
    <w:qFormat/>
    <w:uiPriority w:val="0"/>
    <w:rPr>
      <w:rFonts w:ascii="Arial" w:hAnsi="Arial" w:eastAsia="黑体"/>
      <w:b/>
      <w:bCs/>
      <w:kern w:val="2"/>
      <w:sz w:val="32"/>
      <w:szCs w:val="32"/>
      <w:lang w:val="en-US" w:eastAsia="zh-CN" w:bidi="ar-SA"/>
    </w:rPr>
  </w:style>
  <w:style w:type="character" w:customStyle="1" w:styleId="96">
    <w:name w:val="Char Char15"/>
    <w:qFormat/>
    <w:uiPriority w:val="0"/>
    <w:rPr>
      <w:rFonts w:ascii="Arial" w:hAnsi="Arial" w:eastAsia="宋体"/>
      <w:b/>
      <w:bCs/>
      <w:kern w:val="2"/>
      <w:sz w:val="21"/>
      <w:szCs w:val="28"/>
      <w:lang w:val="en-US" w:eastAsia="zh-CN" w:bidi="ar-SA"/>
    </w:rPr>
  </w:style>
  <w:style w:type="character" w:customStyle="1" w:styleId="97">
    <w:name w:val="页眉 Char1"/>
    <w:semiHidden/>
    <w:qFormat/>
    <w:uiPriority w:val="99"/>
    <w:rPr>
      <w:rFonts w:ascii="Times New Roman" w:hAnsi="Times New Roman" w:eastAsia="宋体" w:cs="Times New Roman"/>
      <w:kern w:val="0"/>
      <w:sz w:val="18"/>
      <w:szCs w:val="18"/>
      <w:lang w:eastAsia="en-US"/>
    </w:rPr>
  </w:style>
  <w:style w:type="character" w:customStyle="1" w:styleId="98">
    <w:name w:val="批注文字 字符"/>
    <w:qFormat/>
    <w:uiPriority w:val="0"/>
    <w:rPr>
      <w:kern w:val="2"/>
      <w:sz w:val="21"/>
      <w:szCs w:val="24"/>
    </w:rPr>
  </w:style>
  <w:style w:type="character" w:customStyle="1" w:styleId="99">
    <w:name w:val="HTML Markup"/>
    <w:qFormat/>
    <w:uiPriority w:val="0"/>
    <w:rPr>
      <w:vanish/>
      <w:color w:val="FF0000"/>
    </w:rPr>
  </w:style>
  <w:style w:type="character" w:customStyle="1" w:styleId="100">
    <w:name w:val="标题1"/>
    <w:qFormat/>
    <w:uiPriority w:val="0"/>
    <w:rPr>
      <w:rFonts w:ascii="宋体" w:hAnsi="宋体" w:cs="宋体"/>
      <w:kern w:val="2"/>
      <w:sz w:val="24"/>
      <w:szCs w:val="24"/>
    </w:rPr>
  </w:style>
  <w:style w:type="character" w:customStyle="1" w:styleId="101">
    <w:name w:val="日期 Char1"/>
    <w:qFormat/>
    <w:uiPriority w:val="99"/>
    <w:rPr>
      <w:kern w:val="2"/>
      <w:sz w:val="21"/>
      <w:szCs w:val="22"/>
    </w:rPr>
  </w:style>
  <w:style w:type="character" w:customStyle="1" w:styleId="102">
    <w:name w:val="日期 Char3"/>
    <w:semiHidden/>
    <w:qFormat/>
    <w:uiPriority w:val="99"/>
    <w:rPr>
      <w:rFonts w:ascii="Calibri" w:hAnsi="Calibri" w:eastAsia="宋体" w:cs="Times New Roman"/>
      <w:kern w:val="0"/>
      <w:sz w:val="20"/>
      <w:szCs w:val="20"/>
    </w:rPr>
  </w:style>
  <w:style w:type="character" w:customStyle="1" w:styleId="103">
    <w:name w:val="tdrownotice1"/>
    <w:qFormat/>
    <w:uiPriority w:val="0"/>
    <w:rPr>
      <w:sz w:val="22"/>
      <w:szCs w:val="22"/>
    </w:rPr>
  </w:style>
  <w:style w:type="character" w:customStyle="1" w:styleId="104">
    <w:name w:val="H1 Char"/>
    <w:qFormat/>
    <w:uiPriority w:val="0"/>
    <w:rPr>
      <w:rFonts w:eastAsia="宋体"/>
      <w:b/>
      <w:bCs/>
      <w:kern w:val="44"/>
      <w:sz w:val="32"/>
      <w:szCs w:val="44"/>
      <w:lang w:val="en-US" w:eastAsia="zh-CN" w:bidi="ar-SA"/>
    </w:rPr>
  </w:style>
  <w:style w:type="character" w:customStyle="1" w:styleId="105">
    <w:name w:val="ca-10"/>
    <w:qFormat/>
    <w:uiPriority w:val="0"/>
  </w:style>
  <w:style w:type="character" w:customStyle="1" w:styleId="106">
    <w:name w:val="font161"/>
    <w:qFormat/>
    <w:uiPriority w:val="0"/>
    <w:rPr>
      <w:b/>
      <w:bCs/>
      <w:sz w:val="32"/>
      <w:szCs w:val="32"/>
    </w:rPr>
  </w:style>
  <w:style w:type="character" w:customStyle="1" w:styleId="107">
    <w:name w:val="正文编号 Char"/>
    <w:link w:val="108"/>
    <w:qFormat/>
    <w:uiPriority w:val="0"/>
    <w:rPr>
      <w:rFonts w:ascii="宋体" w:hAnsi="宋体"/>
      <w:kern w:val="2"/>
      <w:sz w:val="24"/>
      <w:szCs w:val="24"/>
    </w:rPr>
  </w:style>
  <w:style w:type="paragraph" w:customStyle="1" w:styleId="108">
    <w:name w:val="正文编号"/>
    <w:basedOn w:val="109"/>
    <w:link w:val="107"/>
    <w:qFormat/>
    <w:uiPriority w:val="0"/>
    <w:pPr>
      <w:widowControl/>
      <w:tabs>
        <w:tab w:val="left" w:pos="567"/>
      </w:tabs>
      <w:snapToGrid w:val="0"/>
      <w:spacing w:beforeLines="50" w:afterLines="50" w:line="288" w:lineRule="auto"/>
      <w:ind w:left="567" w:hanging="567"/>
      <w:jc w:val="left"/>
    </w:pPr>
    <w:rPr>
      <w:rFonts w:ascii="宋体" w:hAnsi="宋体"/>
      <w:color w:val="auto"/>
      <w:kern w:val="2"/>
      <w:sz w:val="24"/>
      <w:szCs w:val="24"/>
    </w:rPr>
  </w:style>
  <w:style w:type="paragraph" w:customStyle="1" w:styleId="109">
    <w:name w:val="_Style 7"/>
    <w:basedOn w:val="1"/>
    <w:qFormat/>
    <w:uiPriority w:val="0"/>
    <w:pPr>
      <w:spacing w:line="312" w:lineRule="atLeast"/>
      <w:ind w:firstLine="420"/>
    </w:pPr>
    <w:rPr>
      <w:color w:val="000000"/>
      <w:kern w:val="0"/>
      <w:szCs w:val="20"/>
    </w:rPr>
  </w:style>
  <w:style w:type="character" w:customStyle="1" w:styleId="110">
    <w:name w:val="h3 Char2"/>
    <w:qFormat/>
    <w:uiPriority w:val="0"/>
    <w:rPr>
      <w:rFonts w:eastAsia="宋体"/>
      <w:b/>
      <w:bCs/>
      <w:kern w:val="2"/>
      <w:sz w:val="24"/>
      <w:szCs w:val="32"/>
      <w:lang w:val="en-US" w:eastAsia="zh-CN" w:bidi="ar-SA"/>
    </w:rPr>
  </w:style>
  <w:style w:type="character" w:customStyle="1" w:styleId="111">
    <w:name w:val="明显参考1"/>
    <w:qFormat/>
    <w:uiPriority w:val="0"/>
    <w:rPr>
      <w:b/>
      <w:bCs/>
      <w:smallCaps/>
      <w:color w:val="C0504D"/>
      <w:spacing w:val="5"/>
      <w:u w:val="single"/>
    </w:rPr>
  </w:style>
  <w:style w:type="character" w:customStyle="1" w:styleId="112">
    <w:name w:val="Char Char3"/>
    <w:qFormat/>
    <w:uiPriority w:val="0"/>
    <w:rPr>
      <w:rFonts w:eastAsia="宋体"/>
      <w:kern w:val="2"/>
      <w:sz w:val="21"/>
      <w:szCs w:val="24"/>
      <w:lang w:val="en-US" w:eastAsia="zh-CN" w:bidi="ar-SA"/>
    </w:rPr>
  </w:style>
  <w:style w:type="character" w:customStyle="1" w:styleId="113">
    <w:name w:val="article"/>
    <w:qFormat/>
    <w:uiPriority w:val="0"/>
  </w:style>
  <w:style w:type="character" w:customStyle="1" w:styleId="114">
    <w:name w:val="页脚 字符"/>
    <w:qFormat/>
    <w:uiPriority w:val="99"/>
    <w:rPr>
      <w:kern w:val="2"/>
      <w:sz w:val="18"/>
      <w:szCs w:val="18"/>
    </w:rPr>
  </w:style>
  <w:style w:type="character" w:customStyle="1" w:styleId="115">
    <w:name w:val="副标题 Char1"/>
    <w:qFormat/>
    <w:uiPriority w:val="0"/>
    <w:rPr>
      <w:rFonts w:ascii="Calibri Light" w:hAnsi="Calibri Light" w:eastAsia="宋体" w:cs="Times New Roman"/>
      <w:b/>
      <w:bCs/>
      <w:kern w:val="28"/>
      <w:sz w:val="32"/>
      <w:szCs w:val="32"/>
    </w:rPr>
  </w:style>
  <w:style w:type="character" w:customStyle="1" w:styleId="116">
    <w:name w:val="纯文本 Char2"/>
    <w:qFormat/>
    <w:uiPriority w:val="0"/>
    <w:rPr>
      <w:rFonts w:ascii="宋体" w:hAnsi="Courier New" w:cs="Courier New"/>
      <w:sz w:val="21"/>
      <w:szCs w:val="21"/>
    </w:rPr>
  </w:style>
  <w:style w:type="character" w:customStyle="1" w:styleId="117">
    <w:name w:val="文一 Char Char"/>
    <w:qFormat/>
    <w:uiPriority w:val="0"/>
    <w:rPr>
      <w:snapToGrid/>
      <w:spacing w:val="4"/>
      <w:sz w:val="24"/>
      <w:szCs w:val="24"/>
    </w:rPr>
  </w:style>
  <w:style w:type="character" w:customStyle="1" w:styleId="118">
    <w:name w:val="正文文本 2 字符"/>
    <w:qFormat/>
    <w:uiPriority w:val="0"/>
    <w:rPr>
      <w:kern w:val="2"/>
      <w:sz w:val="44"/>
      <w:szCs w:val="24"/>
    </w:rPr>
  </w:style>
  <w:style w:type="character" w:customStyle="1" w:styleId="119">
    <w:name w:val="标题 5 字符"/>
    <w:qFormat/>
    <w:uiPriority w:val="0"/>
    <w:rPr>
      <w:b/>
      <w:bCs/>
      <w:kern w:val="2"/>
      <w:sz w:val="28"/>
      <w:szCs w:val="28"/>
    </w:rPr>
  </w:style>
  <w:style w:type="character" w:customStyle="1" w:styleId="120">
    <w:name w:val="标题5 Char Char"/>
    <w:link w:val="121"/>
    <w:qFormat/>
    <w:uiPriority w:val="0"/>
    <w:rPr>
      <w:rFonts w:ascii="Arial" w:hAnsi="Arial"/>
      <w:b/>
      <w:bCs/>
      <w:sz w:val="24"/>
      <w:szCs w:val="32"/>
    </w:rPr>
  </w:style>
  <w:style w:type="paragraph" w:customStyle="1" w:styleId="121">
    <w:name w:val="标题5"/>
    <w:basedOn w:val="5"/>
    <w:link w:val="120"/>
    <w:qFormat/>
    <w:uiPriority w:val="0"/>
    <w:pPr>
      <w:spacing w:line="413" w:lineRule="auto"/>
    </w:pPr>
    <w:rPr>
      <w:rFonts w:ascii="Arial" w:hAnsi="Arial"/>
      <w:sz w:val="24"/>
    </w:rPr>
  </w:style>
  <w:style w:type="character" w:customStyle="1" w:styleId="122">
    <w:name w:val="Char Char7"/>
    <w:qFormat/>
    <w:locked/>
    <w:uiPriority w:val="0"/>
    <w:rPr>
      <w:rFonts w:ascii="宋体" w:hAnsi="宋体" w:eastAsia="宋体"/>
      <w:kern w:val="2"/>
      <w:sz w:val="21"/>
      <w:szCs w:val="24"/>
      <w:lang w:val="en-US" w:eastAsia="zh-CN" w:bidi="ar-SA"/>
    </w:rPr>
  </w:style>
  <w:style w:type="character" w:customStyle="1" w:styleId="123">
    <w:name w:val="书籍标题1"/>
    <w:qFormat/>
    <w:uiPriority w:val="0"/>
    <w:rPr>
      <w:b/>
      <w:bCs/>
      <w:smallCaps/>
      <w:spacing w:val="5"/>
    </w:rPr>
  </w:style>
  <w:style w:type="character" w:customStyle="1" w:styleId="124">
    <w:name w:val="正文首行缩进 Char2"/>
    <w:qFormat/>
    <w:uiPriority w:val="99"/>
    <w:rPr>
      <w:rFonts w:eastAsia="宋体"/>
      <w:kern w:val="2"/>
      <w:sz w:val="21"/>
      <w:szCs w:val="24"/>
      <w:lang w:val="en-US" w:eastAsia="zh-CN" w:bidi="ar-SA"/>
    </w:rPr>
  </w:style>
  <w:style w:type="character" w:customStyle="1" w:styleId="125">
    <w:name w:val="highlight1"/>
    <w:qFormat/>
    <w:uiPriority w:val="0"/>
    <w:rPr>
      <w:sz w:val="21"/>
      <w:szCs w:val="21"/>
    </w:rPr>
  </w:style>
  <w:style w:type="character" w:customStyle="1" w:styleId="126">
    <w:name w:val="副标题 字符"/>
    <w:qFormat/>
    <w:uiPriority w:val="0"/>
    <w:rPr>
      <w:rFonts w:ascii="Cambria" w:hAnsi="Cambria" w:cs="宋体"/>
      <w:b/>
      <w:bCs/>
      <w:kern w:val="28"/>
      <w:sz w:val="32"/>
      <w:szCs w:val="32"/>
    </w:rPr>
  </w:style>
  <w:style w:type="character" w:customStyle="1" w:styleId="127">
    <w:name w:val="正文文本 Char1"/>
    <w:qFormat/>
    <w:uiPriority w:val="0"/>
    <w:rPr>
      <w:kern w:val="2"/>
      <w:sz w:val="21"/>
      <w:szCs w:val="22"/>
    </w:rPr>
  </w:style>
  <w:style w:type="character" w:customStyle="1" w:styleId="128">
    <w:name w:val="正文文本缩进 3 字符"/>
    <w:qFormat/>
    <w:uiPriority w:val="0"/>
    <w:rPr>
      <w:rFonts w:ascii="仿宋_GB2312" w:eastAsia="仿宋_GB2312"/>
      <w:bCs/>
      <w:spacing w:val="24"/>
      <w:kern w:val="2"/>
      <w:sz w:val="23"/>
      <w:szCs w:val="24"/>
    </w:rPr>
  </w:style>
  <w:style w:type="character" w:customStyle="1" w:styleId="129">
    <w:name w:val="Hyperlink.0"/>
    <w:qFormat/>
    <w:uiPriority w:val="0"/>
    <w:rPr>
      <w:color w:val="000000"/>
      <w:u w:val="none" w:color="000000"/>
    </w:rPr>
  </w:style>
  <w:style w:type="character" w:customStyle="1" w:styleId="130">
    <w:name w:val="文一 Char"/>
    <w:link w:val="131"/>
    <w:qFormat/>
    <w:uiPriority w:val="0"/>
    <w:rPr>
      <w:snapToGrid w:val="0"/>
      <w:spacing w:val="4"/>
      <w:sz w:val="24"/>
      <w:szCs w:val="24"/>
    </w:rPr>
  </w:style>
  <w:style w:type="paragraph" w:customStyle="1" w:styleId="131">
    <w:name w:val="文一"/>
    <w:basedOn w:val="1"/>
    <w:link w:val="130"/>
    <w:qFormat/>
    <w:uiPriority w:val="0"/>
    <w:pPr>
      <w:topLinePunct/>
      <w:adjustRightInd w:val="0"/>
      <w:snapToGrid w:val="0"/>
      <w:spacing w:line="360" w:lineRule="auto"/>
      <w:ind w:firstLine="200" w:firstLineChars="200"/>
    </w:pPr>
    <w:rPr>
      <w:rFonts w:ascii="Times New Roman" w:hAnsi="Times New Roman"/>
      <w:snapToGrid w:val="0"/>
      <w:spacing w:val="4"/>
      <w:kern w:val="0"/>
      <w:sz w:val="24"/>
      <w:szCs w:val="24"/>
    </w:rPr>
  </w:style>
  <w:style w:type="character" w:customStyle="1" w:styleId="132">
    <w:name w:val="批注文字 Char1"/>
    <w:qFormat/>
    <w:uiPriority w:val="0"/>
    <w:rPr>
      <w:kern w:val="2"/>
      <w:sz w:val="21"/>
      <w:szCs w:val="24"/>
    </w:rPr>
  </w:style>
  <w:style w:type="character" w:customStyle="1" w:styleId="133">
    <w:name w:val="样式 正文缩进表正文正文非缩进特点上海中望标准正文（首行缩进两字）文字正文（首行缩进两字） Char正文（首行缩进...1 Char"/>
    <w:link w:val="134"/>
    <w:qFormat/>
    <w:uiPriority w:val="0"/>
    <w:rPr>
      <w:rFonts w:ascii="华文仿宋" w:hAnsi="华文仿宋" w:eastAsia="华文仿宋" w:cs="宋体"/>
      <w:kern w:val="2"/>
      <w:sz w:val="28"/>
      <w:szCs w:val="24"/>
    </w:rPr>
  </w:style>
  <w:style w:type="paragraph" w:customStyle="1" w:styleId="134">
    <w:name w:val="样式 正文缩进表正文正文非缩进特点上海中望标准正文（首行缩进两字）文字正文（首行缩进两字） Char正文（首行缩进...1"/>
    <w:basedOn w:val="14"/>
    <w:link w:val="133"/>
    <w:qFormat/>
    <w:uiPriority w:val="0"/>
    <w:pPr>
      <w:adjustRightInd w:val="0"/>
      <w:snapToGrid w:val="0"/>
      <w:spacing w:line="360" w:lineRule="auto"/>
      <w:ind w:firstLine="560" w:firstLineChars="200"/>
    </w:pPr>
    <w:rPr>
      <w:rFonts w:ascii="华文仿宋" w:hAnsi="华文仿宋" w:eastAsia="华文仿宋" w:cs="宋体"/>
      <w:kern w:val="2"/>
      <w:sz w:val="28"/>
      <w:szCs w:val="24"/>
    </w:rPr>
  </w:style>
  <w:style w:type="character" w:customStyle="1" w:styleId="135">
    <w:name w:val="HTML 预设格式 Char1"/>
    <w:qFormat/>
    <w:uiPriority w:val="0"/>
    <w:rPr>
      <w:rFonts w:ascii="Courier New" w:hAnsi="Courier New" w:cs="Courier New"/>
      <w:kern w:val="2"/>
    </w:rPr>
  </w:style>
  <w:style w:type="character" w:customStyle="1" w:styleId="136">
    <w:name w:val="章节二 Char"/>
    <w:qFormat/>
    <w:uiPriority w:val="0"/>
    <w:rPr>
      <w:rFonts w:ascii="Verdana" w:hAnsi="Verdana" w:eastAsia="黑体"/>
      <w:b/>
      <w:i/>
      <w:iCs/>
      <w:snapToGrid w:val="0"/>
      <w:color w:val="000000"/>
      <w:spacing w:val="4"/>
      <w:kern w:val="0"/>
      <w:sz w:val="30"/>
      <w:szCs w:val="30"/>
      <w:lang w:val="en-US" w:eastAsia="zh-CN" w:bidi="ar-SA"/>
    </w:rPr>
  </w:style>
  <w:style w:type="character" w:customStyle="1" w:styleId="137">
    <w:name w:val="apple-converted-space"/>
    <w:qFormat/>
    <w:uiPriority w:val="0"/>
  </w:style>
  <w:style w:type="character" w:customStyle="1" w:styleId="138">
    <w:name w:val="批注主题 Char2"/>
    <w:semiHidden/>
    <w:qFormat/>
    <w:uiPriority w:val="99"/>
    <w:rPr>
      <w:rFonts w:ascii="Calibri" w:hAnsi="Calibri" w:eastAsia="宋体" w:cs="Times New Roman"/>
      <w:b/>
      <w:bCs/>
      <w:kern w:val="0"/>
      <w:sz w:val="20"/>
      <w:szCs w:val="20"/>
    </w:rPr>
  </w:style>
  <w:style w:type="character" w:customStyle="1" w:styleId="139">
    <w:name w:val="标题 Char"/>
    <w:link w:val="50"/>
    <w:qFormat/>
    <w:uiPriority w:val="0"/>
    <w:rPr>
      <w:rFonts w:ascii="Cambria" w:hAnsi="Cambria"/>
      <w:b/>
      <w:bCs/>
      <w:sz w:val="32"/>
      <w:szCs w:val="32"/>
    </w:rPr>
  </w:style>
  <w:style w:type="character" w:customStyle="1" w:styleId="140">
    <w:name w:val="标题 1 字符"/>
    <w:qFormat/>
    <w:uiPriority w:val="0"/>
    <w:rPr>
      <w:rFonts w:ascii="Arial" w:hAnsi="Arial"/>
      <w:bCs/>
      <w:kern w:val="44"/>
      <w:sz w:val="44"/>
      <w:szCs w:val="44"/>
    </w:rPr>
  </w:style>
  <w:style w:type="character" w:customStyle="1" w:styleId="141">
    <w:name w:val="明显强调11"/>
    <w:qFormat/>
    <w:uiPriority w:val="0"/>
    <w:rPr>
      <w:b/>
      <w:bCs/>
      <w:i/>
      <w:iCs/>
      <w:color w:val="4F81BD"/>
    </w:rPr>
  </w:style>
  <w:style w:type="character" w:customStyle="1" w:styleId="142">
    <w:name w:val="英文"/>
    <w:qFormat/>
    <w:uiPriority w:val="0"/>
    <w:rPr>
      <w:rFonts w:ascii="Lucida Fax" w:hAnsi="Lucida Fax" w:cs="Times New Roman"/>
      <w:b/>
      <w:bCs/>
    </w:rPr>
  </w:style>
  <w:style w:type="character" w:customStyle="1" w:styleId="143">
    <w:name w:val="Char Char6"/>
    <w:qFormat/>
    <w:uiPriority w:val="0"/>
    <w:rPr>
      <w:rFonts w:eastAsia="宋体"/>
      <w:kern w:val="2"/>
      <w:sz w:val="21"/>
      <w:szCs w:val="24"/>
      <w:lang w:val="en-US" w:eastAsia="zh-CN" w:bidi="ar-SA"/>
    </w:rPr>
  </w:style>
  <w:style w:type="character" w:customStyle="1" w:styleId="144">
    <w:name w:val="ggbt1"/>
    <w:qFormat/>
    <w:uiPriority w:val="0"/>
    <w:rPr>
      <w:b/>
      <w:bCs/>
      <w:sz w:val="28"/>
      <w:szCs w:val="28"/>
    </w:rPr>
  </w:style>
  <w:style w:type="character" w:customStyle="1" w:styleId="145">
    <w:name w:val="日期 字符"/>
    <w:qFormat/>
    <w:uiPriority w:val="0"/>
    <w:rPr>
      <w:rFonts w:eastAsia="黑体"/>
      <w:kern w:val="2"/>
      <w:sz w:val="28"/>
    </w:rPr>
  </w:style>
  <w:style w:type="character" w:customStyle="1" w:styleId="146">
    <w:name w:val="gonggao-downline1"/>
    <w:qFormat/>
    <w:uiPriority w:val="0"/>
    <w:rPr>
      <w:b/>
      <w:bCs/>
      <w:u w:val="single"/>
    </w:rPr>
  </w:style>
  <w:style w:type="character" w:customStyle="1" w:styleId="147">
    <w:name w:val="HTML 预设格式 字符"/>
    <w:qFormat/>
    <w:uiPriority w:val="99"/>
    <w:rPr>
      <w:rFonts w:ascii="宋体" w:hAnsi="宋体" w:cs="宋体"/>
      <w:sz w:val="24"/>
      <w:szCs w:val="24"/>
    </w:rPr>
  </w:style>
  <w:style w:type="character" w:customStyle="1" w:styleId="148">
    <w:name w:val="文档结构图 字符"/>
    <w:qFormat/>
    <w:uiPriority w:val="0"/>
    <w:rPr>
      <w:kern w:val="2"/>
      <w:sz w:val="21"/>
      <w:szCs w:val="24"/>
      <w:shd w:val="clear" w:color="auto" w:fill="000080"/>
    </w:rPr>
  </w:style>
  <w:style w:type="character" w:customStyle="1" w:styleId="149">
    <w:name w:val="111"/>
    <w:qFormat/>
    <w:uiPriority w:val="0"/>
  </w:style>
  <w:style w:type="character" w:customStyle="1" w:styleId="150">
    <w:name w:val="章节一 Char"/>
    <w:qFormat/>
    <w:uiPriority w:val="0"/>
    <w:rPr>
      <w:rFonts w:ascii="Verdana" w:hAnsi="Verdana" w:eastAsia="黑体"/>
      <w:b/>
      <w:i/>
      <w:iCs/>
      <w:snapToGrid w:val="0"/>
      <w:color w:val="000000"/>
      <w:spacing w:val="4"/>
      <w:kern w:val="0"/>
      <w:sz w:val="36"/>
      <w:szCs w:val="36"/>
      <w:lang w:val="en-US" w:eastAsia="zh-CN" w:bidi="ar-SA"/>
    </w:rPr>
  </w:style>
  <w:style w:type="character" w:customStyle="1" w:styleId="151">
    <w:name w:val="尾注文本 Char"/>
    <w:qFormat/>
    <w:uiPriority w:val="0"/>
    <w:rPr>
      <w:rFonts w:ascii="Times New Roman" w:hAnsi="Times New Roman"/>
      <w:kern w:val="2"/>
      <w:sz w:val="24"/>
      <w:szCs w:val="24"/>
    </w:rPr>
  </w:style>
  <w:style w:type="character" w:customStyle="1" w:styleId="152">
    <w:name w:val="正文文本 字符"/>
    <w:qFormat/>
    <w:uiPriority w:val="0"/>
    <w:rPr>
      <w:rFonts w:ascii="仿宋_GB2312" w:eastAsia="仿宋_GB2312"/>
      <w:kern w:val="2"/>
      <w:sz w:val="28"/>
      <w:szCs w:val="24"/>
    </w:rPr>
  </w:style>
  <w:style w:type="character" w:customStyle="1" w:styleId="153">
    <w:name w:val="正文文本缩进 字符"/>
    <w:qFormat/>
    <w:uiPriority w:val="0"/>
    <w:rPr>
      <w:rFonts w:ascii="仿宋_GB2312" w:eastAsia="仿宋_GB2312"/>
      <w:spacing w:val="7"/>
      <w:kern w:val="2"/>
      <w:sz w:val="23"/>
      <w:szCs w:val="24"/>
    </w:rPr>
  </w:style>
  <w:style w:type="character" w:customStyle="1" w:styleId="154">
    <w:name w:val="标题 字符"/>
    <w:qFormat/>
    <w:uiPriority w:val="0"/>
    <w:rPr>
      <w:rFonts w:ascii="Arial" w:hAnsi="Arial"/>
      <w:b/>
      <w:kern w:val="2"/>
      <w:sz w:val="44"/>
      <w:szCs w:val="24"/>
    </w:rPr>
  </w:style>
  <w:style w:type="character" w:customStyle="1" w:styleId="155">
    <w:name w:val="标题 2 字符"/>
    <w:qFormat/>
    <w:uiPriority w:val="0"/>
    <w:rPr>
      <w:rFonts w:ascii="Arial" w:hAnsi="Arial" w:eastAsia="仿宋_GB2312"/>
      <w:b/>
      <w:bCs/>
      <w:kern w:val="2"/>
      <w:sz w:val="32"/>
      <w:szCs w:val="32"/>
    </w:rPr>
  </w:style>
  <w:style w:type="character" w:customStyle="1" w:styleId="156">
    <w:name w:val="font1"/>
    <w:qFormat/>
    <w:uiPriority w:val="0"/>
    <w:rPr>
      <w:color w:val="000000"/>
      <w:sz w:val="18"/>
      <w:szCs w:val="18"/>
      <w:u w:val="none"/>
    </w:rPr>
  </w:style>
  <w:style w:type="character" w:customStyle="1" w:styleId="157">
    <w:name w:val="表中文字 Char"/>
    <w:qFormat/>
    <w:uiPriority w:val="0"/>
    <w:rPr>
      <w:rFonts w:eastAsia="宋体"/>
      <w:kern w:val="2"/>
      <w:sz w:val="21"/>
      <w:szCs w:val="24"/>
      <w:lang w:val="en-US" w:eastAsia="zh-CN" w:bidi="ar-SA"/>
    </w:rPr>
  </w:style>
  <w:style w:type="character" w:customStyle="1" w:styleId="158">
    <w:name w:val="Char Char101"/>
    <w:qFormat/>
    <w:uiPriority w:val="0"/>
    <w:rPr>
      <w:rFonts w:hint="eastAsia" w:ascii="宋体" w:hAnsi="Courier New" w:eastAsia="宋体"/>
      <w:kern w:val="2"/>
      <w:sz w:val="24"/>
      <w:szCs w:val="24"/>
      <w:lang w:val="en-US" w:eastAsia="zh-CN" w:bidi="ar-SA"/>
    </w:rPr>
  </w:style>
  <w:style w:type="character" w:customStyle="1" w:styleId="159">
    <w:name w:val="Char Char8"/>
    <w:qFormat/>
    <w:uiPriority w:val="0"/>
    <w:rPr>
      <w:rFonts w:ascii="Arial" w:hAnsi="Arial" w:eastAsia="宋体"/>
      <w:b/>
      <w:bCs/>
      <w:kern w:val="2"/>
      <w:sz w:val="21"/>
      <w:szCs w:val="28"/>
      <w:lang w:val="en-US" w:eastAsia="zh-CN" w:bidi="ar-SA"/>
    </w:rPr>
  </w:style>
  <w:style w:type="character" w:customStyle="1" w:styleId="160">
    <w:name w:val="Char Char91"/>
    <w:qFormat/>
    <w:uiPriority w:val="0"/>
    <w:rPr>
      <w:rFonts w:eastAsia="宋体"/>
      <w:kern w:val="2"/>
      <w:sz w:val="18"/>
      <w:szCs w:val="18"/>
      <w:lang w:val="en-US" w:eastAsia="zh-CN" w:bidi="ar-SA"/>
    </w:rPr>
  </w:style>
  <w:style w:type="character" w:customStyle="1" w:styleId="161">
    <w:name w:val="日期 Char"/>
    <w:link w:val="32"/>
    <w:qFormat/>
    <w:uiPriority w:val="0"/>
    <w:rPr>
      <w:sz w:val="24"/>
    </w:rPr>
  </w:style>
  <w:style w:type="character" w:customStyle="1" w:styleId="162">
    <w:name w:val="批注框文本 Char2"/>
    <w:semiHidden/>
    <w:qFormat/>
    <w:uiPriority w:val="99"/>
    <w:rPr>
      <w:rFonts w:ascii="Times New Roman" w:hAnsi="Times New Roman" w:eastAsia="宋体" w:cs="Times New Roman"/>
      <w:kern w:val="0"/>
      <w:sz w:val="18"/>
      <w:szCs w:val="18"/>
      <w:lang w:eastAsia="en-US"/>
    </w:rPr>
  </w:style>
  <w:style w:type="character" w:customStyle="1" w:styleId="163">
    <w:name w:val="Char Char1"/>
    <w:qFormat/>
    <w:uiPriority w:val="0"/>
    <w:rPr>
      <w:rFonts w:ascii="宋体" w:eastAsia="宋体"/>
      <w:sz w:val="22"/>
      <w:lang w:val="en-US" w:eastAsia="zh-CN" w:bidi="ar-SA"/>
    </w:rPr>
  </w:style>
  <w:style w:type="character" w:customStyle="1" w:styleId="164">
    <w:name w:val="不明显参考11"/>
    <w:qFormat/>
    <w:uiPriority w:val="0"/>
    <w:rPr>
      <w:smallCaps/>
      <w:color w:val="C0504D"/>
      <w:u w:val="single"/>
    </w:rPr>
  </w:style>
  <w:style w:type="character" w:customStyle="1" w:styleId="165">
    <w:name w:val="样式 仿宋_GB2312 四号"/>
    <w:qFormat/>
    <w:uiPriority w:val="0"/>
    <w:rPr>
      <w:rFonts w:ascii="仿宋_GB2312" w:hAnsi="仿宋_GB2312" w:eastAsia="华文仿宋" w:cs="宋体"/>
      <w:kern w:val="2"/>
      <w:sz w:val="28"/>
      <w:szCs w:val="24"/>
    </w:rPr>
  </w:style>
  <w:style w:type="character" w:customStyle="1" w:styleId="166">
    <w:name w:val="正文 1 Char1"/>
    <w:link w:val="167"/>
    <w:qFormat/>
    <w:uiPriority w:val="0"/>
    <w:rPr>
      <w:rFonts w:ascii="宋体" w:hAnsi="宋体" w:cs="宋体"/>
      <w:color w:val="000000"/>
      <w:sz w:val="24"/>
      <w:lang w:val="zh-CN"/>
    </w:rPr>
  </w:style>
  <w:style w:type="paragraph" w:customStyle="1" w:styleId="167">
    <w:name w:val="正文 1"/>
    <w:basedOn w:val="1"/>
    <w:link w:val="166"/>
    <w:qFormat/>
    <w:uiPriority w:val="0"/>
    <w:pPr>
      <w:spacing w:line="360" w:lineRule="auto"/>
      <w:ind w:left="350" w:firstLine="200"/>
    </w:pPr>
    <w:rPr>
      <w:rFonts w:ascii="宋体" w:hAnsi="宋体" w:cs="宋体"/>
      <w:color w:val="000000"/>
      <w:kern w:val="0"/>
      <w:sz w:val="24"/>
      <w:szCs w:val="20"/>
      <w:lang w:val="zh-CN"/>
    </w:rPr>
  </w:style>
  <w:style w:type="character" w:customStyle="1" w:styleId="168">
    <w:name w:val="页眉 字符"/>
    <w:qFormat/>
    <w:uiPriority w:val="0"/>
    <w:rPr>
      <w:kern w:val="2"/>
      <w:sz w:val="18"/>
      <w:szCs w:val="18"/>
    </w:rPr>
  </w:style>
  <w:style w:type="character" w:customStyle="1" w:styleId="169">
    <w:name w:val="Char Char4"/>
    <w:qFormat/>
    <w:uiPriority w:val="0"/>
    <w:rPr>
      <w:rFonts w:eastAsia="宋体"/>
      <w:kern w:val="2"/>
      <w:sz w:val="18"/>
      <w:szCs w:val="18"/>
      <w:lang w:val="en-US" w:eastAsia="zh-CN" w:bidi="ar-SA"/>
    </w:rPr>
  </w:style>
  <w:style w:type="character" w:customStyle="1" w:styleId="170">
    <w:name w:val="文档结构图 Char1"/>
    <w:qFormat/>
    <w:uiPriority w:val="0"/>
    <w:rPr>
      <w:rFonts w:ascii="宋体"/>
      <w:kern w:val="2"/>
      <w:sz w:val="18"/>
      <w:szCs w:val="18"/>
    </w:rPr>
  </w:style>
  <w:style w:type="character" w:customStyle="1" w:styleId="171">
    <w:name w:val="不明显强调1"/>
    <w:qFormat/>
    <w:uiPriority w:val="0"/>
    <w:rPr>
      <w:i/>
      <w:iCs/>
      <w:color w:val="808080"/>
    </w:rPr>
  </w:style>
  <w:style w:type="character" w:customStyle="1" w:styleId="172">
    <w:name w:val="日期 Char2"/>
    <w:qFormat/>
    <w:uiPriority w:val="0"/>
    <w:rPr>
      <w:rFonts w:ascii="Calibri" w:hAnsi="Calibri"/>
      <w:kern w:val="2"/>
      <w:sz w:val="21"/>
      <w:szCs w:val="22"/>
    </w:rPr>
  </w:style>
  <w:style w:type="character" w:customStyle="1" w:styleId="173">
    <w:name w:val="f142"/>
    <w:qFormat/>
    <w:uiPriority w:val="0"/>
    <w:rPr>
      <w:sz w:val="26"/>
      <w:szCs w:val="26"/>
    </w:rPr>
  </w:style>
  <w:style w:type="character" w:customStyle="1" w:styleId="174">
    <w:name w:val="标题 Char1"/>
    <w:qFormat/>
    <w:uiPriority w:val="0"/>
    <w:rPr>
      <w:rFonts w:ascii="Cambria" w:hAnsi="Cambria" w:cs="Times New Roman"/>
      <w:b/>
      <w:bCs/>
      <w:color w:val="000000"/>
      <w:sz w:val="32"/>
      <w:szCs w:val="32"/>
    </w:rPr>
  </w:style>
  <w:style w:type="character" w:customStyle="1" w:styleId="175">
    <w:name w:val="标题4 Char Char"/>
    <w:link w:val="176"/>
    <w:qFormat/>
    <w:uiPriority w:val="0"/>
    <w:rPr>
      <w:rFonts w:ascii="Arial" w:hAnsi="Arial"/>
      <w:b/>
      <w:bCs/>
      <w:sz w:val="24"/>
      <w:szCs w:val="32"/>
    </w:rPr>
  </w:style>
  <w:style w:type="paragraph" w:customStyle="1" w:styleId="176">
    <w:name w:val="标题4"/>
    <w:basedOn w:val="4"/>
    <w:next w:val="28"/>
    <w:link w:val="175"/>
    <w:qFormat/>
    <w:uiPriority w:val="0"/>
    <w:pPr>
      <w:spacing w:line="413" w:lineRule="auto"/>
    </w:pPr>
    <w:rPr>
      <w:rFonts w:ascii="Arial" w:hAnsi="Arial"/>
      <w:sz w:val="24"/>
      <w:lang w:val="en-US"/>
    </w:rPr>
  </w:style>
  <w:style w:type="character" w:customStyle="1" w:styleId="177">
    <w:name w:val="正文缩进 Char"/>
    <w:link w:val="14"/>
    <w:qFormat/>
    <w:uiPriority w:val="0"/>
    <w:rPr>
      <w:rFonts w:ascii="宋体" w:hAnsi="Calibri"/>
      <w:sz w:val="34"/>
    </w:rPr>
  </w:style>
  <w:style w:type="character" w:customStyle="1" w:styleId="178">
    <w:name w:val="尾注文本 Char2"/>
    <w:qFormat/>
    <w:uiPriority w:val="0"/>
    <w:rPr>
      <w:kern w:val="2"/>
      <w:sz w:val="21"/>
      <w:szCs w:val="24"/>
    </w:rPr>
  </w:style>
  <w:style w:type="character" w:customStyle="1" w:styleId="179">
    <w:name w:val="明显引用 Char"/>
    <w:link w:val="180"/>
    <w:qFormat/>
    <w:uiPriority w:val="0"/>
    <w:rPr>
      <w:b/>
      <w:bCs/>
      <w:i/>
      <w:iCs/>
      <w:color w:val="4F81BD"/>
    </w:rPr>
  </w:style>
  <w:style w:type="paragraph" w:customStyle="1" w:styleId="180">
    <w:name w:val="明显引用1"/>
    <w:basedOn w:val="1"/>
    <w:next w:val="1"/>
    <w:link w:val="179"/>
    <w:qFormat/>
    <w:uiPriority w:val="0"/>
    <w:pPr>
      <w:pBdr>
        <w:bottom w:val="single" w:color="4F81BD" w:sz="4" w:space="4"/>
      </w:pBdr>
      <w:spacing w:before="200" w:after="280"/>
      <w:ind w:left="936" w:right="936"/>
    </w:pPr>
    <w:rPr>
      <w:rFonts w:ascii="Times New Roman" w:hAnsi="Times New Roman"/>
      <w:b/>
      <w:bCs/>
      <w:i/>
      <w:iCs/>
      <w:color w:val="4F81BD"/>
      <w:kern w:val="0"/>
      <w:sz w:val="20"/>
      <w:szCs w:val="20"/>
    </w:rPr>
  </w:style>
  <w:style w:type="character" w:customStyle="1" w:styleId="181">
    <w:name w:val="引用 Char"/>
    <w:link w:val="182"/>
    <w:qFormat/>
    <w:uiPriority w:val="0"/>
    <w:rPr>
      <w:i/>
      <w:iCs/>
      <w:color w:val="000000"/>
    </w:rPr>
  </w:style>
  <w:style w:type="paragraph" w:customStyle="1" w:styleId="182">
    <w:name w:val="引用1"/>
    <w:basedOn w:val="1"/>
    <w:next w:val="1"/>
    <w:link w:val="181"/>
    <w:qFormat/>
    <w:uiPriority w:val="0"/>
    <w:rPr>
      <w:rFonts w:ascii="Times New Roman" w:hAnsi="Times New Roman"/>
      <w:i/>
      <w:iCs/>
      <w:color w:val="000000"/>
      <w:kern w:val="0"/>
      <w:sz w:val="20"/>
      <w:szCs w:val="20"/>
    </w:rPr>
  </w:style>
  <w:style w:type="character" w:customStyle="1" w:styleId="183">
    <w:name w:val="2级标题 Char"/>
    <w:link w:val="184"/>
    <w:qFormat/>
    <w:uiPriority w:val="0"/>
    <w:rPr>
      <w:rFonts w:ascii="黑体" w:hAnsi="黑体" w:eastAsia="黑体"/>
      <w:color w:val="0070C0"/>
      <w:sz w:val="30"/>
      <w:szCs w:val="32"/>
      <w:lang w:val="zh-CN"/>
    </w:rPr>
  </w:style>
  <w:style w:type="paragraph" w:customStyle="1" w:styleId="184">
    <w:name w:val="2级标题"/>
    <w:basedOn w:val="4"/>
    <w:link w:val="183"/>
    <w:qFormat/>
    <w:uiPriority w:val="0"/>
    <w:pPr>
      <w:keepNext w:val="0"/>
      <w:keepLines w:val="0"/>
      <w:tabs>
        <w:tab w:val="left" w:pos="747"/>
      </w:tabs>
      <w:spacing w:before="0" w:after="0" w:line="360" w:lineRule="auto"/>
      <w:ind w:left="1185" w:hanging="1185"/>
      <w:jc w:val="left"/>
    </w:pPr>
    <w:rPr>
      <w:rFonts w:ascii="黑体" w:hAnsi="黑体" w:eastAsia="黑体"/>
      <w:b w:val="0"/>
      <w:bCs w:val="0"/>
      <w:color w:val="0070C0"/>
      <w:sz w:val="30"/>
    </w:rPr>
  </w:style>
  <w:style w:type="character" w:customStyle="1" w:styleId="185">
    <w:name w:val="first-child"/>
    <w:qFormat/>
    <w:uiPriority w:val="0"/>
    <w:rPr>
      <w:vanish/>
    </w:rPr>
  </w:style>
  <w:style w:type="character" w:customStyle="1" w:styleId="186">
    <w:name w:val="尾注文本 Char1"/>
    <w:semiHidden/>
    <w:qFormat/>
    <w:uiPriority w:val="99"/>
    <w:rPr>
      <w:rFonts w:ascii="宋体" w:hAnsi="宋体" w:cs="宋体"/>
      <w:color w:val="000000"/>
      <w:sz w:val="21"/>
      <w:szCs w:val="24"/>
    </w:rPr>
  </w:style>
  <w:style w:type="character" w:customStyle="1" w:styleId="187">
    <w:name w:val="尾注文本 Char3"/>
    <w:link w:val="34"/>
    <w:qFormat/>
    <w:uiPriority w:val="0"/>
    <w:rPr>
      <w:szCs w:val="24"/>
    </w:rPr>
  </w:style>
  <w:style w:type="character" w:customStyle="1" w:styleId="188">
    <w:name w:val="正文文本 2 Char1"/>
    <w:semiHidden/>
    <w:qFormat/>
    <w:uiPriority w:val="99"/>
    <w:rPr>
      <w:rFonts w:ascii="Times New Roman" w:hAnsi="Times New Roman" w:eastAsia="宋体" w:cs="Times New Roman"/>
      <w:kern w:val="0"/>
      <w:sz w:val="24"/>
      <w:szCs w:val="24"/>
      <w:lang w:eastAsia="en-US"/>
    </w:rPr>
  </w:style>
  <w:style w:type="character" w:customStyle="1" w:styleId="189">
    <w:name w:val="javascript"/>
    <w:qFormat/>
    <w:uiPriority w:val="0"/>
  </w:style>
  <w:style w:type="character" w:customStyle="1" w:styleId="190">
    <w:name w:val="Char Char5"/>
    <w:qFormat/>
    <w:uiPriority w:val="0"/>
    <w:rPr>
      <w:rFonts w:eastAsia="宋体"/>
      <w:kern w:val="2"/>
      <w:sz w:val="21"/>
      <w:szCs w:val="24"/>
      <w:lang w:val="en-US" w:eastAsia="zh-CN" w:bidi="ar-SA"/>
    </w:rPr>
  </w:style>
  <w:style w:type="character" w:customStyle="1" w:styleId="191">
    <w:name w:val="称呼 Char"/>
    <w:link w:val="20"/>
    <w:qFormat/>
    <w:uiPriority w:val="0"/>
    <w:rPr>
      <w:rFonts w:ascii="宋体" w:eastAsia="仿宋_GB2312"/>
      <w:sz w:val="24"/>
    </w:rPr>
  </w:style>
  <w:style w:type="character" w:customStyle="1" w:styleId="192">
    <w:name w:val="Char Char10"/>
    <w:qFormat/>
    <w:uiPriority w:val="0"/>
    <w:rPr>
      <w:rFonts w:ascii="宋体" w:hAnsi="Courier New" w:eastAsia="宋体"/>
      <w:kern w:val="2"/>
      <w:sz w:val="24"/>
      <w:szCs w:val="24"/>
      <w:lang w:val="en-US" w:eastAsia="zh-CN" w:bidi="ar-SA"/>
    </w:rPr>
  </w:style>
  <w:style w:type="character" w:customStyle="1" w:styleId="193">
    <w:name w:val="标题3下的文字 Char"/>
    <w:link w:val="194"/>
    <w:qFormat/>
    <w:uiPriority w:val="0"/>
    <w:rPr>
      <w:sz w:val="24"/>
      <w:szCs w:val="22"/>
    </w:rPr>
  </w:style>
  <w:style w:type="paragraph" w:customStyle="1" w:styleId="194">
    <w:name w:val="标题3下的文字"/>
    <w:link w:val="193"/>
    <w:qFormat/>
    <w:uiPriority w:val="0"/>
    <w:pPr>
      <w:widowControl w:val="0"/>
      <w:adjustRightInd w:val="0"/>
      <w:snapToGrid w:val="0"/>
      <w:spacing w:line="312" w:lineRule="auto"/>
      <w:ind w:left="200" w:leftChars="200" w:firstLine="200" w:firstLineChars="200"/>
      <w:jc w:val="both"/>
    </w:pPr>
    <w:rPr>
      <w:rFonts w:ascii="Times New Roman" w:hAnsi="Times New Roman" w:eastAsia="宋体" w:cs="Times New Roman"/>
      <w:sz w:val="24"/>
      <w:szCs w:val="22"/>
      <w:lang w:val="en-US" w:eastAsia="zh-CN" w:bidi="ar-SA"/>
    </w:rPr>
  </w:style>
  <w:style w:type="character" w:customStyle="1" w:styleId="195">
    <w:name w:val="副标题 Char"/>
    <w:link w:val="40"/>
    <w:qFormat/>
    <w:uiPriority w:val="0"/>
    <w:rPr>
      <w:sz w:val="18"/>
      <w:szCs w:val="18"/>
    </w:rPr>
  </w:style>
  <w:style w:type="character" w:customStyle="1" w:styleId="196">
    <w:name w:val="引用 Char1"/>
    <w:qFormat/>
    <w:uiPriority w:val="29"/>
    <w:rPr>
      <w:rFonts w:ascii="Times New Roman" w:hAnsi="Times New Roman" w:eastAsia="宋体" w:cs="Times New Roman"/>
      <w:i/>
      <w:iCs/>
      <w:color w:val="3F3F3F"/>
      <w:sz w:val="24"/>
      <w:szCs w:val="24"/>
    </w:rPr>
  </w:style>
  <w:style w:type="character" w:customStyle="1" w:styleId="197">
    <w:name w:val="普通(网站) Char"/>
    <w:qFormat/>
    <w:uiPriority w:val="0"/>
  </w:style>
  <w:style w:type="character" w:customStyle="1" w:styleId="198">
    <w:name w:val="页脚 Char1"/>
    <w:semiHidden/>
    <w:qFormat/>
    <w:uiPriority w:val="99"/>
    <w:rPr>
      <w:rFonts w:ascii="Times New Roman" w:hAnsi="Times New Roman" w:eastAsia="宋体" w:cs="Times New Roman"/>
      <w:kern w:val="0"/>
      <w:sz w:val="18"/>
      <w:szCs w:val="18"/>
      <w:lang w:eastAsia="en-US"/>
    </w:rPr>
  </w:style>
  <w:style w:type="character" w:customStyle="1" w:styleId="199">
    <w:name w:val="h3 Char"/>
    <w:qFormat/>
    <w:uiPriority w:val="0"/>
    <w:rPr>
      <w:rFonts w:ascii="Times New Roman" w:hAnsi="Times New Roman" w:eastAsia="宋体" w:cs="Times New Roman"/>
      <w:b/>
      <w:bCs/>
      <w:sz w:val="32"/>
      <w:szCs w:val="32"/>
    </w:rPr>
  </w:style>
  <w:style w:type="character" w:customStyle="1" w:styleId="200">
    <w:name w:val="href"/>
    <w:qFormat/>
    <w:uiPriority w:val="0"/>
    <w:rPr>
      <w:color w:val="0000FF"/>
      <w:u w:val="single"/>
    </w:rPr>
  </w:style>
  <w:style w:type="character" w:customStyle="1" w:styleId="201">
    <w:name w:val="明显引用 Char1"/>
    <w:qFormat/>
    <w:uiPriority w:val="30"/>
    <w:rPr>
      <w:rFonts w:ascii="Times New Roman" w:hAnsi="Times New Roman" w:eastAsia="宋体" w:cs="Times New Roman"/>
      <w:i/>
      <w:iCs/>
      <w:color w:val="5B9BD5"/>
      <w:sz w:val="24"/>
      <w:szCs w:val="24"/>
    </w:rPr>
  </w:style>
  <w:style w:type="character" w:customStyle="1" w:styleId="202">
    <w:name w:val="纯文本 字符"/>
    <w:qFormat/>
    <w:uiPriority w:val="0"/>
    <w:rPr>
      <w:rFonts w:ascii="宋体" w:hAnsi="Courier New" w:cs="Courier New"/>
      <w:kern w:val="2"/>
      <w:sz w:val="21"/>
      <w:szCs w:val="21"/>
    </w:rPr>
  </w:style>
  <w:style w:type="character" w:customStyle="1" w:styleId="203">
    <w:name w:val="Char Char12"/>
    <w:qFormat/>
    <w:uiPriority w:val="0"/>
    <w:rPr>
      <w:rFonts w:eastAsia="宋体"/>
      <w:kern w:val="2"/>
      <w:sz w:val="18"/>
      <w:szCs w:val="18"/>
      <w:lang w:val="en-US" w:eastAsia="zh-CN" w:bidi="ar-SA"/>
    </w:rPr>
  </w:style>
  <w:style w:type="character" w:customStyle="1" w:styleId="204">
    <w:name w:val="书籍标题11"/>
    <w:qFormat/>
    <w:uiPriority w:val="0"/>
    <w:rPr>
      <w:b/>
      <w:bCs/>
      <w:smallCaps/>
      <w:spacing w:val="5"/>
    </w:rPr>
  </w:style>
  <w:style w:type="character" w:customStyle="1" w:styleId="205">
    <w:name w:val="ca-2"/>
    <w:qFormat/>
    <w:uiPriority w:val="0"/>
  </w:style>
  <w:style w:type="character" w:customStyle="1" w:styleId="206">
    <w:name w:val="style71"/>
    <w:qFormat/>
    <w:uiPriority w:val="0"/>
    <w:rPr>
      <w:sz w:val="30"/>
    </w:rPr>
  </w:style>
  <w:style w:type="character" w:customStyle="1" w:styleId="207">
    <w:name w:val="1级标题 Char"/>
    <w:link w:val="208"/>
    <w:qFormat/>
    <w:uiPriority w:val="0"/>
    <w:rPr>
      <w:rFonts w:ascii="黑体" w:hAnsi="黑体" w:eastAsia="黑体"/>
      <w:b/>
      <w:color w:val="000000"/>
      <w:sz w:val="32"/>
      <w:szCs w:val="32"/>
      <w:lang w:val="zh-CN"/>
    </w:rPr>
  </w:style>
  <w:style w:type="paragraph" w:customStyle="1" w:styleId="208">
    <w:name w:val="1级标题"/>
    <w:basedOn w:val="209"/>
    <w:link w:val="207"/>
    <w:qFormat/>
    <w:uiPriority w:val="0"/>
    <w:pPr>
      <w:tabs>
        <w:tab w:val="left" w:pos="360"/>
      </w:tabs>
      <w:spacing w:before="156" w:after="156" w:line="360" w:lineRule="auto"/>
      <w:ind w:left="885" w:hanging="885" w:firstLineChars="0"/>
      <w:jc w:val="center"/>
      <w:outlineLvl w:val="0"/>
    </w:pPr>
    <w:rPr>
      <w:rFonts w:ascii="黑体" w:hAnsi="黑体" w:eastAsia="黑体"/>
      <w:b/>
      <w:color w:val="000000"/>
      <w:kern w:val="0"/>
      <w:sz w:val="32"/>
      <w:szCs w:val="32"/>
      <w:lang w:val="zh-CN"/>
    </w:rPr>
  </w:style>
  <w:style w:type="paragraph" w:customStyle="1" w:styleId="209">
    <w:name w:val="列出段落4"/>
    <w:basedOn w:val="1"/>
    <w:qFormat/>
    <w:uiPriority w:val="0"/>
    <w:pPr>
      <w:ind w:firstLine="420" w:firstLineChars="200"/>
    </w:pPr>
  </w:style>
  <w:style w:type="character" w:customStyle="1" w:styleId="210">
    <w:name w:val="标题 9 Char"/>
    <w:link w:val="11"/>
    <w:qFormat/>
    <w:uiPriority w:val="0"/>
    <w:rPr>
      <w:rFonts w:ascii="Arial" w:hAnsi="Arial" w:eastAsia="黑体"/>
      <w:sz w:val="24"/>
    </w:rPr>
  </w:style>
  <w:style w:type="character" w:customStyle="1" w:styleId="211">
    <w:name w:val="标题 8 Char"/>
    <w:link w:val="10"/>
    <w:qFormat/>
    <w:uiPriority w:val="0"/>
    <w:rPr>
      <w:rFonts w:ascii="Arial" w:hAnsi="Arial" w:eastAsia="黑体"/>
      <w:sz w:val="24"/>
    </w:rPr>
  </w:style>
  <w:style w:type="character" w:customStyle="1" w:styleId="212">
    <w:name w:val="标题 5 Char"/>
    <w:link w:val="7"/>
    <w:qFormat/>
    <w:uiPriority w:val="0"/>
    <w:rPr>
      <w:rFonts w:ascii="Calibri" w:hAnsi="Calibri"/>
      <w:b/>
      <w:bCs/>
      <w:kern w:val="2"/>
      <w:sz w:val="28"/>
      <w:szCs w:val="28"/>
    </w:rPr>
  </w:style>
  <w:style w:type="character" w:customStyle="1" w:styleId="213">
    <w:name w:val="正文文本缩进 2 字符"/>
    <w:qFormat/>
    <w:uiPriority w:val="0"/>
    <w:rPr>
      <w:rFonts w:ascii="仿宋_GB2312" w:eastAsia="仿宋_GB2312"/>
      <w:spacing w:val="5"/>
      <w:kern w:val="2"/>
      <w:sz w:val="23"/>
      <w:szCs w:val="24"/>
    </w:rPr>
  </w:style>
  <w:style w:type="character" w:customStyle="1" w:styleId="214">
    <w:name w:val="Char Char2"/>
    <w:qFormat/>
    <w:uiPriority w:val="0"/>
    <w:rPr>
      <w:rFonts w:eastAsia="宋体"/>
      <w:kern w:val="2"/>
      <w:sz w:val="21"/>
      <w:szCs w:val="24"/>
      <w:lang w:val="en-US" w:eastAsia="zh-CN" w:bidi="ar-SA"/>
    </w:rPr>
  </w:style>
  <w:style w:type="character" w:customStyle="1" w:styleId="215">
    <w:name w:val="正文文本 3 Char"/>
    <w:link w:val="21"/>
    <w:qFormat/>
    <w:uiPriority w:val="0"/>
    <w:rPr>
      <w:rFonts w:ascii="宋体" w:hAnsi="Calibri"/>
      <w:sz w:val="24"/>
    </w:rPr>
  </w:style>
  <w:style w:type="character" w:customStyle="1" w:styleId="216">
    <w:name w:val="纯文本 Char1"/>
    <w:qFormat/>
    <w:uiPriority w:val="0"/>
    <w:rPr>
      <w:rFonts w:ascii="宋体" w:hAnsi="Courier New" w:cs="Courier New"/>
      <w:kern w:val="2"/>
      <w:sz w:val="21"/>
      <w:szCs w:val="21"/>
    </w:rPr>
  </w:style>
  <w:style w:type="character" w:customStyle="1" w:styleId="217">
    <w:name w:val="正文文本 2 Char"/>
    <w:link w:val="46"/>
    <w:qFormat/>
    <w:uiPriority w:val="0"/>
    <w:rPr>
      <w:rFonts w:ascii="Calibri" w:hAnsi="Calibri"/>
      <w:kern w:val="2"/>
      <w:sz w:val="44"/>
      <w:szCs w:val="24"/>
    </w:rPr>
  </w:style>
  <w:style w:type="character" w:customStyle="1" w:styleId="218">
    <w:name w:val="不明显强调2"/>
    <w:qFormat/>
    <w:uiPriority w:val="0"/>
    <w:rPr>
      <w:i/>
      <w:iCs/>
      <w:color w:val="808080"/>
    </w:rPr>
  </w:style>
  <w:style w:type="character" w:customStyle="1" w:styleId="219">
    <w:name w:val="正文文本缩进 2 Char1"/>
    <w:semiHidden/>
    <w:qFormat/>
    <w:uiPriority w:val="99"/>
    <w:rPr>
      <w:rFonts w:ascii="Calibri" w:hAnsi="Calibri"/>
      <w:kern w:val="2"/>
      <w:sz w:val="21"/>
      <w:szCs w:val="22"/>
    </w:rPr>
  </w:style>
  <w:style w:type="character" w:customStyle="1" w:styleId="220">
    <w:name w:val="Char Char9"/>
    <w:qFormat/>
    <w:uiPriority w:val="0"/>
    <w:rPr>
      <w:rFonts w:eastAsia="宋体"/>
      <w:b/>
      <w:bCs/>
      <w:kern w:val="2"/>
      <w:sz w:val="24"/>
      <w:szCs w:val="32"/>
      <w:lang w:val="en-US" w:eastAsia="zh-CN" w:bidi="ar-SA"/>
    </w:rPr>
  </w:style>
  <w:style w:type="character" w:customStyle="1" w:styleId="221">
    <w:name w:val="批注主题 Char1"/>
    <w:qFormat/>
    <w:uiPriority w:val="0"/>
    <w:rPr>
      <w:rFonts w:ascii="Calibri" w:hAnsi="Calibri" w:eastAsia="宋体" w:cs="Times New Roman"/>
      <w:b/>
      <w:bCs/>
      <w:kern w:val="2"/>
      <w:sz w:val="21"/>
      <w:szCs w:val="22"/>
    </w:rPr>
  </w:style>
  <w:style w:type="character" w:customStyle="1" w:styleId="222">
    <w:name w:val="正文首行缩进 Char1"/>
    <w:qFormat/>
    <w:uiPriority w:val="0"/>
    <w:rPr>
      <w:rFonts w:ascii="Calibri" w:hAnsi="Calibri"/>
      <w:kern w:val="2"/>
      <w:sz w:val="21"/>
      <w:szCs w:val="22"/>
    </w:rPr>
  </w:style>
  <w:style w:type="character" w:customStyle="1" w:styleId="223">
    <w:name w:val="批注主题 Char"/>
    <w:link w:val="51"/>
    <w:qFormat/>
    <w:uiPriority w:val="0"/>
  </w:style>
  <w:style w:type="character" w:customStyle="1" w:styleId="224">
    <w:name w:val="hover42"/>
    <w:qFormat/>
    <w:uiPriority w:val="0"/>
  </w:style>
  <w:style w:type="character" w:customStyle="1" w:styleId="225">
    <w:name w:val="times1"/>
    <w:qFormat/>
    <w:uiPriority w:val="0"/>
    <w:rPr>
      <w:color w:val="3399FF"/>
      <w:bdr w:val="single" w:color="D1EDF8" w:sz="6" w:space="0"/>
      <w:shd w:val="clear" w:color="auto" w:fill="EAF9FF"/>
    </w:rPr>
  </w:style>
  <w:style w:type="character" w:customStyle="1" w:styleId="226">
    <w:name w:val="hover40"/>
    <w:qFormat/>
    <w:uiPriority w:val="0"/>
  </w:style>
  <w:style w:type="character" w:customStyle="1" w:styleId="227">
    <w:name w:val="正文文本缩进 2 Char"/>
    <w:link w:val="33"/>
    <w:qFormat/>
    <w:uiPriority w:val="0"/>
  </w:style>
  <w:style w:type="character" w:customStyle="1" w:styleId="228">
    <w:name w:val="h3 Char1"/>
    <w:qFormat/>
    <w:uiPriority w:val="0"/>
    <w:rPr>
      <w:rFonts w:eastAsia="宋体"/>
      <w:b/>
      <w:bCs/>
      <w:kern w:val="2"/>
      <w:sz w:val="32"/>
      <w:szCs w:val="32"/>
      <w:lang w:val="en-US" w:eastAsia="zh-CN" w:bidi="ar-SA"/>
    </w:rPr>
  </w:style>
  <w:style w:type="character" w:customStyle="1" w:styleId="229">
    <w:name w:val="times"/>
    <w:qFormat/>
    <w:uiPriority w:val="0"/>
    <w:rPr>
      <w:color w:val="CDCDCD"/>
      <w:bdr w:val="single" w:color="CDCDCD" w:sz="6" w:space="0"/>
      <w:shd w:val="clear" w:color="auto" w:fill="EFEFEF"/>
    </w:rPr>
  </w:style>
  <w:style w:type="character" w:customStyle="1" w:styleId="230">
    <w:name w:val="正文首行缩进 Char"/>
    <w:link w:val="52"/>
    <w:qFormat/>
    <w:uiPriority w:val="0"/>
  </w:style>
  <w:style w:type="character" w:customStyle="1" w:styleId="231">
    <w:name w:val="纯文本 Char"/>
    <w:link w:val="2"/>
    <w:qFormat/>
    <w:uiPriority w:val="0"/>
    <w:rPr>
      <w:rFonts w:ascii="宋体" w:hAnsi="Courier New" w:eastAsia="楷体_GB2312"/>
    </w:rPr>
  </w:style>
  <w:style w:type="character" w:customStyle="1" w:styleId="232">
    <w:name w:val="标题 6 Char"/>
    <w:link w:val="8"/>
    <w:qFormat/>
    <w:uiPriority w:val="0"/>
    <w:rPr>
      <w:rFonts w:ascii="Cambria" w:hAnsi="Cambria"/>
      <w:b/>
      <w:bCs/>
      <w:sz w:val="24"/>
      <w:szCs w:val="24"/>
    </w:rPr>
  </w:style>
  <w:style w:type="character" w:customStyle="1" w:styleId="233">
    <w:name w:val="批注框文本 Char1"/>
    <w:qFormat/>
    <w:uiPriority w:val="0"/>
    <w:rPr>
      <w:kern w:val="2"/>
      <w:sz w:val="18"/>
      <w:szCs w:val="18"/>
    </w:rPr>
  </w:style>
  <w:style w:type="character" w:customStyle="1" w:styleId="234">
    <w:name w:val="标题 3 Char"/>
    <w:link w:val="5"/>
    <w:qFormat/>
    <w:uiPriority w:val="0"/>
    <w:rPr>
      <w:rFonts w:ascii="宋体" w:hAnsi="Calibri"/>
      <w:b/>
      <w:bCs/>
      <w:sz w:val="32"/>
      <w:szCs w:val="32"/>
    </w:rPr>
  </w:style>
  <w:style w:type="character" w:customStyle="1" w:styleId="235">
    <w:name w:val="标题 3 Char Char Char Char Char Char Char Char Char Char Char Char Char Char Char Char Char Char Char Char Char Char"/>
    <w:qFormat/>
    <w:uiPriority w:val="0"/>
    <w:rPr>
      <w:rFonts w:eastAsia="宋体"/>
      <w:b/>
      <w:sz w:val="32"/>
      <w:lang w:val="en-US" w:eastAsia="zh-CN" w:bidi="ar-SA"/>
    </w:rPr>
  </w:style>
  <w:style w:type="character" w:customStyle="1" w:styleId="236">
    <w:name w:val="文档结构图 Char"/>
    <w:link w:val="17"/>
    <w:qFormat/>
    <w:uiPriority w:val="99"/>
    <w:rPr>
      <w:rFonts w:ascii="宋体" w:hAnsi="Calibri" w:cs="Times New Roman"/>
      <w:kern w:val="2"/>
      <w:sz w:val="18"/>
      <w:szCs w:val="18"/>
    </w:rPr>
  </w:style>
  <w:style w:type="character" w:customStyle="1" w:styleId="237">
    <w:name w:val="textcontents"/>
    <w:qFormat/>
    <w:uiPriority w:val="0"/>
    <w:rPr>
      <w:rFonts w:cs="Times New Roman"/>
    </w:rPr>
  </w:style>
  <w:style w:type="character" w:customStyle="1" w:styleId="238">
    <w:name w:val="标题 2 Char"/>
    <w:link w:val="4"/>
    <w:qFormat/>
    <w:uiPriority w:val="9"/>
    <w:rPr>
      <w:rFonts w:ascii="Calibri Light" w:hAnsi="Calibri Light" w:eastAsia="宋体" w:cs="Times New Roman"/>
      <w:b/>
      <w:bCs/>
      <w:sz w:val="32"/>
      <w:szCs w:val="32"/>
    </w:rPr>
  </w:style>
  <w:style w:type="character" w:customStyle="1" w:styleId="239">
    <w:name w:val="页脚 Char"/>
    <w:link w:val="36"/>
    <w:qFormat/>
    <w:uiPriority w:val="99"/>
    <w:rPr>
      <w:sz w:val="18"/>
      <w:szCs w:val="18"/>
    </w:rPr>
  </w:style>
  <w:style w:type="character" w:customStyle="1" w:styleId="240">
    <w:name w:val="页眉 Char"/>
    <w:link w:val="37"/>
    <w:qFormat/>
    <w:uiPriority w:val="0"/>
    <w:rPr>
      <w:sz w:val="18"/>
      <w:szCs w:val="18"/>
    </w:rPr>
  </w:style>
  <w:style w:type="character" w:customStyle="1" w:styleId="241">
    <w:name w:val="标题4 Char"/>
    <w:qFormat/>
    <w:locked/>
    <w:uiPriority w:val="99"/>
    <w:rPr>
      <w:rFonts w:ascii="宋体" w:cs="宋体"/>
      <w:sz w:val="24"/>
      <w:szCs w:val="24"/>
    </w:rPr>
  </w:style>
  <w:style w:type="character" w:customStyle="1" w:styleId="242">
    <w:name w:val="批注框文本 字符"/>
    <w:qFormat/>
    <w:uiPriority w:val="0"/>
    <w:rPr>
      <w:kern w:val="2"/>
      <w:sz w:val="18"/>
      <w:szCs w:val="18"/>
    </w:rPr>
  </w:style>
  <w:style w:type="character" w:customStyle="1" w:styleId="243">
    <w:name w:val="正文文本 Char"/>
    <w:basedOn w:val="56"/>
    <w:link w:val="22"/>
    <w:qFormat/>
    <w:uiPriority w:val="1"/>
  </w:style>
  <w:style w:type="character" w:customStyle="1" w:styleId="244">
    <w:name w:val="标题 4 Char"/>
    <w:link w:val="6"/>
    <w:qFormat/>
    <w:uiPriority w:val="0"/>
    <w:rPr>
      <w:rFonts w:ascii="Calibri Light" w:hAnsi="Calibri Light" w:eastAsia="宋体" w:cs="Times New Roman"/>
      <w:b/>
      <w:bCs/>
      <w:sz w:val="28"/>
      <w:szCs w:val="28"/>
    </w:rPr>
  </w:style>
  <w:style w:type="character" w:customStyle="1" w:styleId="245">
    <w:name w:val="正文文本缩进 Char"/>
    <w:link w:val="23"/>
    <w:qFormat/>
    <w:uiPriority w:val="0"/>
    <w:rPr>
      <w:rFonts w:ascii="Times New Roman" w:hAnsi="Times New Roman" w:eastAsia="宋体" w:cs="Times New Roman"/>
      <w:sz w:val="28"/>
      <w:szCs w:val="24"/>
    </w:rPr>
  </w:style>
  <w:style w:type="character" w:customStyle="1" w:styleId="246">
    <w:name w:val="明显参考2"/>
    <w:qFormat/>
    <w:uiPriority w:val="0"/>
    <w:rPr>
      <w:b/>
      <w:bCs/>
      <w:smallCaps/>
      <w:color w:val="C0504D"/>
      <w:spacing w:val="5"/>
      <w:u w:val="single"/>
    </w:rPr>
  </w:style>
  <w:style w:type="character" w:customStyle="1" w:styleId="247">
    <w:name w:val="批注框文本 Char"/>
    <w:link w:val="35"/>
    <w:qFormat/>
    <w:uiPriority w:val="0"/>
    <w:rPr>
      <w:sz w:val="18"/>
      <w:szCs w:val="18"/>
    </w:rPr>
  </w:style>
  <w:style w:type="character" w:customStyle="1" w:styleId="248">
    <w:name w:val="批注文字 Char"/>
    <w:link w:val="18"/>
    <w:qFormat/>
    <w:uiPriority w:val="0"/>
    <w:rPr>
      <w:rFonts w:ascii="Calibri" w:hAnsi="Calibri" w:eastAsia="宋体" w:cs="Times New Roman"/>
    </w:rPr>
  </w:style>
  <w:style w:type="character" w:customStyle="1" w:styleId="249">
    <w:name w:val="HTML 预设格式 Char"/>
    <w:link w:val="47"/>
    <w:qFormat/>
    <w:uiPriority w:val="0"/>
    <w:rPr>
      <w:rFonts w:ascii="黑体" w:hAnsi="Courier New" w:eastAsia="黑体"/>
    </w:rPr>
  </w:style>
  <w:style w:type="character" w:customStyle="1" w:styleId="250">
    <w:name w:val="标题 2 Char1"/>
    <w:qFormat/>
    <w:uiPriority w:val="0"/>
    <w:rPr>
      <w:rFonts w:ascii="Arial" w:hAnsi="Arial" w:eastAsia="黑体"/>
      <w:b/>
      <w:bCs/>
      <w:kern w:val="2"/>
      <w:sz w:val="32"/>
      <w:szCs w:val="32"/>
      <w:lang w:val="en-US" w:eastAsia="zh-CN" w:bidi="ar-SA"/>
    </w:rPr>
  </w:style>
  <w:style w:type="character" w:customStyle="1" w:styleId="251">
    <w:name w:val="Footer Char"/>
    <w:qFormat/>
    <w:locked/>
    <w:uiPriority w:val="99"/>
    <w:rPr>
      <w:rFonts w:eastAsia="长城仿宋"/>
      <w:sz w:val="18"/>
    </w:rPr>
  </w:style>
  <w:style w:type="character" w:customStyle="1" w:styleId="252">
    <w:name w:val="标题 1 Char"/>
    <w:link w:val="3"/>
    <w:qFormat/>
    <w:uiPriority w:val="9"/>
    <w:rPr>
      <w:rFonts w:ascii="Calibri" w:hAnsi="Calibri"/>
      <w:b/>
      <w:bCs/>
      <w:kern w:val="44"/>
      <w:sz w:val="44"/>
      <w:szCs w:val="44"/>
    </w:rPr>
  </w:style>
  <w:style w:type="character" w:customStyle="1" w:styleId="253">
    <w:name w:val="正文文本缩进 3 Char"/>
    <w:link w:val="43"/>
    <w:qFormat/>
    <w:uiPriority w:val="0"/>
    <w:rPr>
      <w:rFonts w:ascii="宋体" w:hAnsi="MS Sans Serif"/>
      <w:color w:val="000000"/>
      <w:sz w:val="24"/>
    </w:rPr>
  </w:style>
  <w:style w:type="character" w:customStyle="1" w:styleId="254">
    <w:name w:val="副标题 Char2"/>
    <w:qFormat/>
    <w:uiPriority w:val="0"/>
    <w:rPr>
      <w:rFonts w:ascii="Cambria" w:hAnsi="Cambria" w:cs="Times New Roman"/>
      <w:b/>
      <w:bCs/>
      <w:kern w:val="28"/>
      <w:sz w:val="32"/>
      <w:szCs w:val="32"/>
    </w:rPr>
  </w:style>
  <w:style w:type="character" w:customStyle="1" w:styleId="255">
    <w:name w:val="Char Char14"/>
    <w:qFormat/>
    <w:uiPriority w:val="0"/>
    <w:rPr>
      <w:rFonts w:eastAsia="宋体"/>
      <w:kern w:val="2"/>
      <w:sz w:val="21"/>
      <w:szCs w:val="24"/>
      <w:lang w:val="en-US" w:eastAsia="zh-CN" w:bidi="ar-SA"/>
    </w:rPr>
  </w:style>
  <w:style w:type="character" w:customStyle="1" w:styleId="256">
    <w:name w:val="批注文字 Char Char"/>
    <w:qFormat/>
    <w:uiPriority w:val="0"/>
    <w:rPr>
      <w:rFonts w:ascii="宋体" w:hAnsi="Times New Roman" w:eastAsia="宋体" w:cs="Times New Roman"/>
      <w:sz w:val="28"/>
      <w:szCs w:val="20"/>
    </w:rPr>
  </w:style>
  <w:style w:type="character" w:customStyle="1" w:styleId="257">
    <w:name w:val="标题 7 Char"/>
    <w:link w:val="9"/>
    <w:qFormat/>
    <w:uiPriority w:val="0"/>
    <w:rPr>
      <w:b/>
      <w:sz w:val="24"/>
    </w:rPr>
  </w:style>
  <w:style w:type="character" w:customStyle="1" w:styleId="258">
    <w:name w:val="样式 标题 3  1、Heading 3 - old子系统h33rd level3H3章标题1三级标题l3CT... Char"/>
    <w:qFormat/>
    <w:uiPriority w:val="0"/>
    <w:rPr>
      <w:b/>
      <w:color w:val="000000"/>
      <w:sz w:val="32"/>
      <w:szCs w:val="32"/>
    </w:rPr>
  </w:style>
  <w:style w:type="character" w:customStyle="1" w:styleId="259">
    <w:name w:val="Char Char"/>
    <w:qFormat/>
    <w:uiPriority w:val="0"/>
    <w:rPr>
      <w:rFonts w:ascii="黑体" w:hAnsi="Courier New" w:eastAsia="黑体" w:cs="Courier New"/>
      <w:lang w:val="en-US" w:eastAsia="zh-CN" w:bidi="ar-SA"/>
    </w:rPr>
  </w:style>
  <w:style w:type="paragraph" w:customStyle="1" w:styleId="26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lang w:val="en-US"/>
    </w:rPr>
  </w:style>
  <w:style w:type="paragraph" w:customStyle="1" w:styleId="261">
    <w:name w:val="Char"/>
    <w:basedOn w:val="1"/>
    <w:qFormat/>
    <w:uiPriority w:val="0"/>
    <w:pPr>
      <w:widowControl/>
      <w:spacing w:line="400" w:lineRule="exact"/>
      <w:jc w:val="center"/>
    </w:pPr>
    <w:rPr>
      <w:rFonts w:ascii="Times New Roman" w:hAnsi="Times New Roman"/>
      <w:sz w:val="24"/>
      <w:szCs w:val="24"/>
    </w:rPr>
  </w:style>
  <w:style w:type="paragraph" w:customStyle="1" w:styleId="262">
    <w:name w:val="列出段落3"/>
    <w:basedOn w:val="1"/>
    <w:qFormat/>
    <w:uiPriority w:val="0"/>
    <w:pPr>
      <w:ind w:firstLine="420" w:firstLineChars="200"/>
    </w:pPr>
  </w:style>
  <w:style w:type="paragraph" w:customStyle="1" w:styleId="263">
    <w:name w:val="导则正文"/>
    <w:basedOn w:val="1"/>
    <w:qFormat/>
    <w:uiPriority w:val="0"/>
    <w:pPr>
      <w:ind w:firstLine="200"/>
      <w:jc w:val="left"/>
    </w:pPr>
    <w:rPr>
      <w:szCs w:val="24"/>
    </w:rPr>
  </w:style>
  <w:style w:type="paragraph" w:customStyle="1" w:styleId="264">
    <w:name w:val="标2"/>
    <w:basedOn w:val="1"/>
    <w:qFormat/>
    <w:uiPriority w:val="0"/>
    <w:pPr>
      <w:ind w:firstLine="420" w:firstLineChars="200"/>
    </w:pPr>
    <w:rPr>
      <w:rFonts w:ascii="Times New Roman" w:hAnsi="Times New Roman"/>
      <w:szCs w:val="21"/>
    </w:rPr>
  </w:style>
  <w:style w:type="paragraph" w:customStyle="1" w:styleId="265">
    <w:name w:val="文档结构图1"/>
    <w:basedOn w:val="1"/>
    <w:qFormat/>
    <w:uiPriority w:val="0"/>
    <w:rPr>
      <w:rFonts w:ascii="宋体"/>
      <w:sz w:val="18"/>
      <w:szCs w:val="18"/>
    </w:rPr>
  </w:style>
  <w:style w:type="paragraph" w:customStyle="1" w:styleId="266">
    <w:name w:val="我的正文"/>
    <w:basedOn w:val="1"/>
    <w:qFormat/>
    <w:uiPriority w:val="0"/>
    <w:rPr>
      <w:rFonts w:ascii="宋体" w:hAnsi="宋体"/>
      <w:sz w:val="24"/>
      <w:szCs w:val="24"/>
    </w:rPr>
  </w:style>
  <w:style w:type="paragraph" w:customStyle="1" w:styleId="267">
    <w:name w:val="1"/>
    <w:basedOn w:val="1"/>
    <w:qFormat/>
    <w:uiPriority w:val="0"/>
    <w:rPr>
      <w:rFonts w:ascii="Times New Roman" w:hAnsi="Times New Roman"/>
      <w:szCs w:val="20"/>
    </w:rPr>
  </w:style>
  <w:style w:type="paragraph" w:customStyle="1" w:styleId="268">
    <w:name w:val="a4"/>
    <w:basedOn w:val="1"/>
    <w:qFormat/>
    <w:uiPriority w:val="0"/>
    <w:pPr>
      <w:widowControl/>
      <w:jc w:val="left"/>
    </w:pPr>
    <w:rPr>
      <w:rFonts w:ascii="宋体" w:hAnsi="宋体" w:cs="宋体"/>
      <w:kern w:val="0"/>
      <w:sz w:val="24"/>
      <w:szCs w:val="24"/>
    </w:rPr>
  </w:style>
  <w:style w:type="paragraph" w:customStyle="1" w:styleId="269">
    <w:name w:val="TOC 标题3"/>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70">
    <w:name w:val="表头"/>
    <w:basedOn w:val="1"/>
    <w:qFormat/>
    <w:uiPriority w:val="0"/>
    <w:pPr>
      <w:widowControl/>
      <w:spacing w:line="360" w:lineRule="auto"/>
      <w:jc w:val="center"/>
    </w:pPr>
    <w:rPr>
      <w:rFonts w:ascii="黑体" w:hAnsi="Times New Roman" w:eastAsia="黑体"/>
      <w:kern w:val="0"/>
      <w:sz w:val="24"/>
      <w:szCs w:val="20"/>
    </w:rPr>
  </w:style>
  <w:style w:type="paragraph" w:customStyle="1" w:styleId="271">
    <w:name w:val="_Style 4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发文落款"/>
    <w:basedOn w:val="273"/>
    <w:qFormat/>
    <w:uiPriority w:val="0"/>
    <w:pPr>
      <w:ind w:left="4094" w:right="607" w:firstLine="0"/>
      <w:jc w:val="center"/>
    </w:pPr>
  </w:style>
  <w:style w:type="paragraph" w:customStyle="1" w:styleId="27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4">
    <w:name w:val="xl147"/>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5">
    <w:name w:val="条款节部分"/>
    <w:basedOn w:val="1"/>
    <w:qFormat/>
    <w:uiPriority w:val="0"/>
    <w:pPr>
      <w:tabs>
        <w:tab w:val="left" w:pos="2850"/>
      </w:tabs>
    </w:pPr>
    <w:rPr>
      <w:rFonts w:eastAsia="仿宋_GB2312"/>
      <w:sz w:val="32"/>
      <w:szCs w:val="32"/>
    </w:rPr>
  </w:style>
  <w:style w:type="paragraph" w:customStyle="1" w:styleId="276">
    <w:name w:val="Char Char Char Char1"/>
    <w:basedOn w:val="1"/>
    <w:qFormat/>
    <w:uiPriority w:val="0"/>
    <w:rPr>
      <w:szCs w:val="24"/>
    </w:rPr>
  </w:style>
  <w:style w:type="paragraph" w:customStyle="1" w:styleId="277">
    <w:name w:val="正文 New New New New New"/>
    <w:qFormat/>
    <w:uiPriority w:val="0"/>
    <w:pPr>
      <w:widowControl w:val="0"/>
      <w:jc w:val="both"/>
    </w:pPr>
    <w:rPr>
      <w:rFonts w:ascii="Calibri" w:hAnsi="Calibri" w:eastAsia="宋体" w:cs="Times New Roman"/>
      <w:kern w:val="2"/>
      <w:sz w:val="24"/>
      <w:szCs w:val="24"/>
      <w:lang w:val="en-US" w:eastAsia="zh-CN" w:bidi="ar-SA"/>
    </w:rPr>
  </w:style>
  <w:style w:type="paragraph" w:customStyle="1" w:styleId="278">
    <w:name w:val="1."/>
    <w:basedOn w:val="1"/>
    <w:qFormat/>
    <w:uiPriority w:val="0"/>
    <w:pPr>
      <w:tabs>
        <w:tab w:val="left" w:pos="0"/>
        <w:tab w:val="left" w:pos="426"/>
        <w:tab w:val="left" w:pos="714"/>
      </w:tabs>
      <w:adjustRightInd w:val="0"/>
      <w:snapToGrid w:val="0"/>
      <w:spacing w:before="120" w:after="120" w:line="400" w:lineRule="atLeast"/>
      <w:ind w:left="425" w:hanging="425"/>
      <w:jc w:val="center"/>
      <w:textAlignment w:val="baseline"/>
    </w:pPr>
    <w:rPr>
      <w:rFonts w:ascii="Arial" w:hAnsi="Arial"/>
      <w:b/>
      <w:bCs/>
      <w:kern w:val="0"/>
      <w:sz w:val="32"/>
      <w:szCs w:val="20"/>
    </w:rPr>
  </w:style>
  <w:style w:type="paragraph" w:customStyle="1" w:styleId="27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280">
    <w:name w:val="正题"/>
    <w:basedOn w:val="131"/>
    <w:next w:val="131"/>
    <w:qFormat/>
    <w:uiPriority w:val="0"/>
    <w:pPr>
      <w:ind w:firstLine="0" w:firstLineChars="0"/>
      <w:jc w:val="center"/>
    </w:pPr>
    <w:rPr>
      <w:rFonts w:eastAsia="黑体"/>
      <w:b/>
      <w:sz w:val="36"/>
      <w:szCs w:val="36"/>
    </w:rPr>
  </w:style>
  <w:style w:type="paragraph" w:customStyle="1" w:styleId="281">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82">
    <w:name w:val="目录 32"/>
    <w:qFormat/>
    <w:uiPriority w:val="0"/>
    <w:rPr>
      <w:rFonts w:ascii="Calibri" w:hAnsi="Calibri" w:eastAsia="Calibri" w:cs="Calibri"/>
      <w:color w:val="000000"/>
      <w:lang w:val="en-US" w:eastAsia="zh-CN" w:bidi="ar-SA"/>
    </w:rPr>
  </w:style>
  <w:style w:type="paragraph" w:customStyle="1" w:styleId="283">
    <w:name w:val="样式 标题 2 + 段前: 0.5 行 段后: 0.5 行"/>
    <w:basedOn w:val="4"/>
    <w:qFormat/>
    <w:uiPriority w:val="0"/>
    <w:pPr>
      <w:spacing w:beforeLines="50" w:afterLines="50" w:line="400" w:lineRule="exact"/>
      <w:ind w:firstLine="643" w:firstLineChars="200"/>
      <w:jc w:val="center"/>
    </w:pPr>
    <w:rPr>
      <w:rFonts w:ascii="Arial" w:hAnsi="Arial" w:eastAsia="黑体" w:cs="宋体"/>
      <w:kern w:val="2"/>
      <w:szCs w:val="20"/>
      <w:lang w:val="en-US"/>
    </w:rPr>
  </w:style>
  <w:style w:type="paragraph" w:customStyle="1" w:styleId="284">
    <w:name w:val="列出段落2"/>
    <w:basedOn w:val="1"/>
    <w:qFormat/>
    <w:uiPriority w:val="0"/>
    <w:pPr>
      <w:widowControl/>
      <w:ind w:firstLine="420" w:firstLineChars="200"/>
      <w:jc w:val="left"/>
    </w:pPr>
    <w:rPr>
      <w:kern w:val="0"/>
      <w:sz w:val="24"/>
      <w:szCs w:val="24"/>
      <w:lang w:eastAsia="en-US"/>
    </w:rPr>
  </w:style>
  <w:style w:type="paragraph" w:customStyle="1" w:styleId="285">
    <w:name w:val="目录 21"/>
    <w:qFormat/>
    <w:uiPriority w:val="0"/>
    <w:pPr>
      <w:widowControl w:val="0"/>
      <w:tabs>
        <w:tab w:val="right" w:leader="dot" w:pos="9710"/>
      </w:tabs>
      <w:ind w:left="283"/>
    </w:pPr>
    <w:rPr>
      <w:rFonts w:ascii="Times New Roman Bold" w:hAnsi="Times New Roman Bold" w:eastAsia="Times New Roman Bold" w:cs="Times New Roman Bold"/>
      <w:color w:val="000000"/>
      <w:kern w:val="2"/>
      <w:lang w:val="en-US" w:eastAsia="zh-CN" w:bidi="ar-SA"/>
    </w:rPr>
  </w:style>
  <w:style w:type="paragraph" w:customStyle="1" w:styleId="286">
    <w:name w:val="封四"/>
    <w:basedOn w:val="131"/>
    <w:next w:val="131"/>
    <w:qFormat/>
    <w:uiPriority w:val="0"/>
    <w:pPr>
      <w:jc w:val="left"/>
    </w:pPr>
    <w:rPr>
      <w:sz w:val="30"/>
      <w:szCs w:val="30"/>
    </w:rPr>
  </w:style>
  <w:style w:type="paragraph" w:customStyle="1" w:styleId="287">
    <w:name w:val="Char Char Char Char Char Char Char Char Char1 Char Char Char Char Char Char Char Char Char Char Char Char Char"/>
    <w:basedOn w:val="3"/>
    <w:qFormat/>
    <w:uiPriority w:val="0"/>
    <w:pPr>
      <w:snapToGrid w:val="0"/>
      <w:spacing w:before="240" w:after="240" w:line="348" w:lineRule="auto"/>
    </w:pPr>
    <w:rPr>
      <w:rFonts w:ascii="Times New Roman" w:hAnsi="Times New Roman"/>
      <w:lang w:val="en-US"/>
    </w:rPr>
  </w:style>
  <w:style w:type="paragraph" w:customStyle="1" w:styleId="288">
    <w:name w:val="xl99"/>
    <w:basedOn w:val="1"/>
    <w:qFormat/>
    <w:uiPriority w:val="0"/>
    <w:pPr>
      <w:widowControl/>
      <w:pBdr>
        <w:left w:val="single" w:color="auto" w:sz="4" w:space="0"/>
        <w:bottom w:val="double" w:color="auto" w:sz="6"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289">
    <w:name w:val="xl102"/>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290">
    <w:name w:val="目录 31"/>
    <w:qFormat/>
    <w:uiPriority w:val="0"/>
    <w:rPr>
      <w:rFonts w:ascii="Calibri" w:hAnsi="Calibri" w:eastAsia="Calibri" w:cs="Calibri"/>
      <w:color w:val="000000"/>
      <w:lang w:val="en-US" w:eastAsia="zh-CN" w:bidi="ar-SA"/>
    </w:rPr>
  </w:style>
  <w:style w:type="paragraph" w:customStyle="1" w:styleId="29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92">
    <w:name w:val="修订11"/>
    <w:qFormat/>
    <w:uiPriority w:val="0"/>
    <w:rPr>
      <w:rFonts w:ascii="Calibri" w:hAnsi="Calibri" w:eastAsia="宋体" w:cs="Times New Roman"/>
      <w:kern w:val="2"/>
      <w:sz w:val="21"/>
      <w:szCs w:val="24"/>
      <w:lang w:val="en-US" w:eastAsia="zh-CN" w:bidi="ar-SA"/>
    </w:rPr>
  </w:style>
  <w:style w:type="paragraph" w:customStyle="1" w:styleId="293">
    <w:name w:val="普通 (Web)"/>
    <w:basedOn w:val="1"/>
    <w:qFormat/>
    <w:uiPriority w:val="99"/>
    <w:pPr>
      <w:widowControl/>
      <w:spacing w:before="102" w:after="102" w:line="351" w:lineRule="atLeast"/>
      <w:ind w:firstLine="419"/>
      <w:jc w:val="left"/>
      <w:textAlignment w:val="baseline"/>
    </w:pPr>
    <w:rPr>
      <w:rFonts w:ascii="宋体"/>
      <w:color w:val="999999"/>
      <w:kern w:val="0"/>
      <w:sz w:val="24"/>
      <w:szCs w:val="20"/>
    </w:rPr>
  </w:style>
  <w:style w:type="paragraph" w:customStyle="1" w:styleId="294">
    <w:name w:val="标题2"/>
    <w:basedOn w:val="4"/>
    <w:next w:val="1"/>
    <w:qFormat/>
    <w:uiPriority w:val="0"/>
    <w:pPr>
      <w:spacing w:before="120" w:after="0" w:line="240" w:lineRule="auto"/>
      <w:ind w:left="284" w:firstLine="567"/>
    </w:pPr>
    <w:rPr>
      <w:rFonts w:ascii="Cambria" w:hAnsi="Cambria"/>
      <w:kern w:val="2"/>
      <w:lang w:val="en-US"/>
    </w:rPr>
  </w:style>
  <w:style w:type="paragraph" w:customStyle="1" w:styleId="295">
    <w:name w:val="默认段落字体 Para Char Char Char Char Char Char Char Char Char Char Char Char Char"/>
    <w:basedOn w:val="1"/>
    <w:qFormat/>
    <w:uiPriority w:val="0"/>
    <w:rPr>
      <w:szCs w:val="24"/>
    </w:rPr>
  </w:style>
  <w:style w:type="paragraph" w:customStyle="1" w:styleId="296">
    <w:name w:val="xl159"/>
    <w:basedOn w:val="1"/>
    <w:qFormat/>
    <w:uiPriority w:val="0"/>
    <w:pPr>
      <w:widowControl/>
      <w:pBdr>
        <w:top w:val="double" w:color="auto" w:sz="6"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297">
    <w:name w:val="List Paragraph1"/>
    <w:basedOn w:val="1"/>
    <w:qFormat/>
    <w:uiPriority w:val="0"/>
    <w:pPr>
      <w:ind w:firstLine="420" w:firstLineChars="200"/>
    </w:pPr>
    <w:rPr>
      <w:szCs w:val="20"/>
    </w:rPr>
  </w:style>
  <w:style w:type="paragraph" w:customStyle="1" w:styleId="298">
    <w:name w:val="xl74"/>
    <w:basedOn w:val="1"/>
    <w:qFormat/>
    <w:uiPriority w:val="0"/>
    <w:pPr>
      <w:widowControl/>
      <w:pBdr>
        <w:top w:val="double" w:color="auto" w:sz="6"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6"/>
      <w:szCs w:val="16"/>
    </w:rPr>
  </w:style>
  <w:style w:type="paragraph" w:customStyle="1" w:styleId="299">
    <w:name w:val="xl89"/>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3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1">
    <w:name w:val="封一"/>
    <w:basedOn w:val="1"/>
    <w:next w:val="1"/>
    <w:qFormat/>
    <w:uiPriority w:val="0"/>
    <w:pPr>
      <w:topLinePunct/>
      <w:adjustRightInd w:val="0"/>
      <w:snapToGrid w:val="0"/>
      <w:spacing w:line="360" w:lineRule="auto"/>
      <w:jc w:val="center"/>
    </w:pPr>
    <w:rPr>
      <w:rFonts w:eastAsia="黑体"/>
      <w:b/>
      <w:snapToGrid w:val="0"/>
      <w:spacing w:val="4"/>
      <w:kern w:val="0"/>
      <w:sz w:val="84"/>
      <w:szCs w:val="84"/>
    </w:rPr>
  </w:style>
  <w:style w:type="paragraph" w:customStyle="1" w:styleId="302">
    <w:name w:val="正文 + 宋体"/>
    <w:basedOn w:val="1"/>
    <w:qFormat/>
    <w:uiPriority w:val="0"/>
    <w:pPr>
      <w:snapToGrid w:val="0"/>
      <w:spacing w:after="100" w:afterAutospacing="1"/>
    </w:pPr>
    <w:rPr>
      <w:rFonts w:ascii="宋体" w:hAnsi="宋体"/>
      <w:bCs/>
      <w:spacing w:val="4"/>
      <w:sz w:val="24"/>
      <w:szCs w:val="24"/>
    </w:rPr>
  </w:style>
  <w:style w:type="paragraph" w:customStyle="1" w:styleId="303">
    <w:name w:val="xl88"/>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304">
    <w:name w:val="Char Char Char Char"/>
    <w:basedOn w:val="17"/>
    <w:qFormat/>
    <w:uiPriority w:val="0"/>
    <w:pPr>
      <w:shd w:val="clear" w:color="auto" w:fill="000080"/>
    </w:pPr>
    <w:rPr>
      <w:rFonts w:ascii="Tahoma" w:hAnsi="Tahoma"/>
      <w:kern w:val="0"/>
      <w:sz w:val="24"/>
      <w:szCs w:val="24"/>
      <w:lang w:val="en-US"/>
    </w:rPr>
  </w:style>
  <w:style w:type="paragraph" w:customStyle="1" w:styleId="305">
    <w:name w:val="正文 + 小四"/>
    <w:basedOn w:val="1"/>
    <w:qFormat/>
    <w:uiPriority w:val="0"/>
    <w:pPr>
      <w:tabs>
        <w:tab w:val="left" w:pos="960"/>
      </w:tabs>
    </w:pPr>
    <w:rPr>
      <w:sz w:val="24"/>
      <w:szCs w:val="24"/>
    </w:rPr>
  </w:style>
  <w:style w:type="paragraph" w:customStyle="1" w:styleId="306">
    <w:name w:val="Char1 Char Char Char Char Char Char"/>
    <w:basedOn w:val="17"/>
    <w:next w:val="5"/>
    <w:qFormat/>
    <w:uiPriority w:val="0"/>
    <w:pPr>
      <w:shd w:val="clear" w:color="auto" w:fill="000080"/>
      <w:adjustRightInd w:val="0"/>
      <w:spacing w:line="600" w:lineRule="exact"/>
      <w:jc w:val="center"/>
      <w:outlineLvl w:val="2"/>
    </w:pPr>
    <w:rPr>
      <w:rFonts w:ascii="Times New Roman" w:hAnsi="Times New Roman"/>
      <w:kern w:val="0"/>
      <w:sz w:val="21"/>
      <w:szCs w:val="20"/>
      <w:lang w:val="en-US"/>
    </w:rPr>
  </w:style>
  <w:style w:type="paragraph" w:customStyle="1" w:styleId="307">
    <w:name w:val="Char Char Char Char Char Char Char Char Char Char Char Char Char Char Char Char Char Char Char Char Char Char Char Char Char Char Char Char Char Char Char"/>
    <w:basedOn w:val="1"/>
    <w:qFormat/>
    <w:uiPriority w:val="0"/>
    <w:rPr>
      <w:szCs w:val="21"/>
    </w:rPr>
  </w:style>
  <w:style w:type="paragraph" w:customStyle="1" w:styleId="308">
    <w:name w:val="xl70"/>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309">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lang w:val="en-US" w:eastAsia="zh-CN" w:bidi="ar-SA"/>
    </w:rPr>
  </w:style>
  <w:style w:type="paragraph" w:customStyle="1" w:styleId="310">
    <w:name w:val="目录"/>
    <w:basedOn w:val="1"/>
    <w:qFormat/>
    <w:uiPriority w:val="0"/>
    <w:pPr>
      <w:widowControl/>
      <w:jc w:val="center"/>
    </w:pPr>
    <w:rPr>
      <w:rFonts w:ascii="宋体"/>
      <w:b/>
      <w:kern w:val="0"/>
      <w:sz w:val="36"/>
      <w:szCs w:val="20"/>
    </w:rPr>
  </w:style>
  <w:style w:type="paragraph" w:customStyle="1" w:styleId="311">
    <w:name w:val="xl1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12">
    <w:name w:val="xl165"/>
    <w:basedOn w:val="1"/>
    <w:qFormat/>
    <w:uiPriority w:val="0"/>
    <w:pPr>
      <w:widowControl/>
      <w:pBdr>
        <w:bottom w:val="double" w:color="auto" w:sz="6" w:space="0"/>
        <w:righ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313">
    <w:name w:val="xl68"/>
    <w:basedOn w:val="1"/>
    <w:qFormat/>
    <w:uiPriority w:val="0"/>
    <w:pPr>
      <w:widowControl/>
      <w:pBdr>
        <w:top w:val="single" w:color="auto" w:sz="8"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4">
    <w:name w:val="ne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5">
    <w:name w:val="Char Char Char Char Char Char Char"/>
    <w:basedOn w:val="1"/>
    <w:qFormat/>
    <w:uiPriority w:val="0"/>
    <w:pPr>
      <w:tabs>
        <w:tab w:val="right" w:leader="middleDot" w:pos="360"/>
      </w:tabs>
    </w:pPr>
    <w:rPr>
      <w:color w:val="000000"/>
      <w:kern w:val="1"/>
      <w:sz w:val="24"/>
      <w:szCs w:val="24"/>
    </w:rPr>
  </w:style>
  <w:style w:type="paragraph" w:customStyle="1" w:styleId="316">
    <w:name w:val="_Style 197"/>
    <w:qFormat/>
    <w:uiPriority w:val="99"/>
    <w:rPr>
      <w:rFonts w:ascii="Calibri" w:hAnsi="Calibri" w:eastAsia="宋体" w:cs="Times New Roman"/>
      <w:kern w:val="2"/>
      <w:sz w:val="21"/>
      <w:szCs w:val="24"/>
      <w:lang w:val="en-US" w:eastAsia="zh-CN" w:bidi="ar-SA"/>
    </w:rPr>
  </w:style>
  <w:style w:type="paragraph" w:customStyle="1" w:styleId="317">
    <w:name w:val="TOC 标题2"/>
    <w:basedOn w:val="3"/>
    <w:next w:val="1"/>
    <w:unhideWhenUsed/>
    <w:qFormat/>
    <w:uiPriority w:val="39"/>
    <w:pPr>
      <w:widowControl/>
      <w:spacing w:before="480" w:after="0" w:line="276" w:lineRule="auto"/>
      <w:jc w:val="left"/>
      <w:outlineLvl w:val="9"/>
    </w:pPr>
    <w:rPr>
      <w:rFonts w:ascii="Cambria" w:hAnsi="Cambria"/>
      <w:color w:val="365F91"/>
      <w:kern w:val="0"/>
      <w:sz w:val="28"/>
      <w:szCs w:val="28"/>
      <w:lang w:val="en-US"/>
    </w:rPr>
  </w:style>
  <w:style w:type="paragraph" w:customStyle="1" w:styleId="318">
    <w:name w:val="封三"/>
    <w:basedOn w:val="131"/>
    <w:next w:val="131"/>
    <w:qFormat/>
    <w:uiPriority w:val="0"/>
    <w:pPr>
      <w:ind w:firstLine="0" w:firstLineChars="0"/>
      <w:jc w:val="center"/>
    </w:pPr>
    <w:rPr>
      <w:sz w:val="30"/>
    </w:rPr>
  </w:style>
  <w:style w:type="paragraph" w:customStyle="1" w:styleId="319">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320">
    <w:name w:val="_Style 23"/>
    <w:basedOn w:val="1"/>
    <w:qFormat/>
    <w:uiPriority w:val="0"/>
    <w:pPr>
      <w:widowControl/>
      <w:spacing w:after="160" w:line="240" w:lineRule="exact"/>
      <w:jc w:val="left"/>
    </w:pPr>
  </w:style>
  <w:style w:type="paragraph" w:customStyle="1" w:styleId="321">
    <w:name w:val="章节三"/>
    <w:basedOn w:val="131"/>
    <w:next w:val="131"/>
    <w:qFormat/>
    <w:uiPriority w:val="0"/>
    <w:pPr>
      <w:spacing w:beforeLines="50" w:afterLines="50" w:line="240" w:lineRule="auto"/>
      <w:ind w:firstLine="0" w:firstLineChars="0"/>
      <w:jc w:val="left"/>
      <w:outlineLvl w:val="2"/>
    </w:pPr>
    <w:rPr>
      <w:rFonts w:ascii="黑体" w:hAnsi="宋体" w:eastAsia="黑体"/>
      <w:b/>
    </w:rPr>
  </w:style>
  <w:style w:type="paragraph" w:customStyle="1" w:styleId="322">
    <w:name w:val="msolist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3">
    <w:name w:val="xl14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324">
    <w:name w:val="n_p_lineheight"/>
    <w:basedOn w:val="1"/>
    <w:qFormat/>
    <w:uiPriority w:val="0"/>
    <w:pPr>
      <w:widowControl/>
      <w:jc w:val="left"/>
    </w:pPr>
    <w:rPr>
      <w:rFonts w:ascii="宋体" w:hAnsi="宋体" w:cs="宋体"/>
      <w:kern w:val="0"/>
      <w:sz w:val="24"/>
      <w:szCs w:val="24"/>
    </w:rPr>
  </w:style>
  <w:style w:type="paragraph" w:customStyle="1" w:styleId="325">
    <w:name w:val="样式 WG标题3居中 + 行距: 固定值 18 磅"/>
    <w:basedOn w:val="1"/>
    <w:qFormat/>
    <w:uiPriority w:val="0"/>
    <w:pPr>
      <w:spacing w:before="100" w:beforeAutospacing="1" w:after="100" w:afterAutospacing="1" w:line="360" w:lineRule="exact"/>
      <w:jc w:val="center"/>
      <w:outlineLvl w:val="2"/>
    </w:pPr>
    <w:rPr>
      <w:rFonts w:cs="宋体"/>
      <w:b/>
      <w:bCs/>
      <w:sz w:val="32"/>
      <w:szCs w:val="20"/>
    </w:rPr>
  </w:style>
  <w:style w:type="paragraph" w:customStyle="1" w:styleId="326">
    <w:name w:val="Char1"/>
    <w:basedOn w:val="1"/>
    <w:qFormat/>
    <w:uiPriority w:val="0"/>
    <w:rPr>
      <w:rFonts w:ascii="Tahoma" w:hAnsi="Tahoma"/>
      <w:b/>
      <w:sz w:val="28"/>
      <w:szCs w:val="28"/>
    </w:rPr>
  </w:style>
  <w:style w:type="paragraph" w:customStyle="1" w:styleId="3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328">
    <w:name w:val="List Paragraph11"/>
    <w:basedOn w:val="1"/>
    <w:qFormat/>
    <w:uiPriority w:val="34"/>
    <w:pPr>
      <w:adjustRightInd w:val="0"/>
      <w:spacing w:line="312" w:lineRule="atLeast"/>
      <w:ind w:firstLine="420" w:firstLineChars="200"/>
      <w:textAlignment w:val="baseline"/>
    </w:pPr>
    <w:rPr>
      <w:kern w:val="0"/>
      <w:szCs w:val="20"/>
    </w:rPr>
  </w:style>
  <w:style w:type="paragraph" w:customStyle="1" w:styleId="3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0">
    <w:name w:val="p0"/>
    <w:basedOn w:val="1"/>
    <w:qFormat/>
    <w:uiPriority w:val="0"/>
    <w:pPr>
      <w:widowControl/>
    </w:pPr>
    <w:rPr>
      <w:kern w:val="0"/>
      <w:szCs w:val="21"/>
    </w:rPr>
  </w:style>
  <w:style w:type="paragraph" w:customStyle="1" w:styleId="331">
    <w:name w:val="纯文本11"/>
    <w:basedOn w:val="1"/>
    <w:qFormat/>
    <w:uiPriority w:val="0"/>
    <w:pPr>
      <w:adjustRightInd w:val="0"/>
      <w:jc w:val="left"/>
      <w:textAlignment w:val="baseline"/>
    </w:pPr>
    <w:rPr>
      <w:rFonts w:ascii="宋体" w:hAnsi="Courier New"/>
      <w:sz w:val="24"/>
      <w:szCs w:val="20"/>
    </w:rPr>
  </w:style>
  <w:style w:type="paragraph" w:customStyle="1" w:styleId="3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333">
    <w:name w:val="xl112"/>
    <w:basedOn w:val="1"/>
    <w:qFormat/>
    <w:uiPriority w:val="0"/>
    <w:pPr>
      <w:widowControl/>
      <w:pBdr>
        <w:top w:val="single" w:color="auto" w:sz="4" w:space="0"/>
        <w:left w:val="single" w:color="auto" w:sz="4" w:space="0"/>
        <w:bottom w:val="double" w:color="auto" w:sz="6" w:space="0"/>
      </w:pBdr>
      <w:spacing w:before="100" w:beforeAutospacing="1" w:after="100" w:afterAutospacing="1"/>
      <w:jc w:val="left"/>
      <w:textAlignment w:val="top"/>
    </w:pPr>
    <w:rPr>
      <w:rFonts w:ascii="宋体" w:hAnsi="宋体" w:cs="宋体"/>
      <w:kern w:val="0"/>
      <w:sz w:val="16"/>
      <w:szCs w:val="16"/>
    </w:rPr>
  </w:style>
  <w:style w:type="paragraph" w:customStyle="1" w:styleId="334">
    <w:name w:val="xl8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6"/>
      <w:szCs w:val="16"/>
    </w:rPr>
  </w:style>
  <w:style w:type="paragraph" w:customStyle="1" w:styleId="335">
    <w:name w:val="xl155"/>
    <w:basedOn w:val="1"/>
    <w:qFormat/>
    <w:uiPriority w:val="0"/>
    <w:pPr>
      <w:widowControl/>
      <w:pBdr>
        <w:left w:val="single" w:color="auto" w:sz="8" w:space="0"/>
        <w:bottom w:val="double" w:color="auto" w:sz="6"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6">
    <w:name w:val="xl12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337">
    <w:name w:val="xl163"/>
    <w:basedOn w:val="1"/>
    <w:qFormat/>
    <w:uiPriority w:val="0"/>
    <w:pPr>
      <w:widowControl/>
      <w:pBdr>
        <w:top w:val="double" w:color="auto" w:sz="6" w:space="0"/>
        <w:righ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338">
    <w:name w:val="xl126"/>
    <w:basedOn w:val="1"/>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339">
    <w:name w:val="样式 标题 3  1、Heading 3 - old子系统h33rd level3H3章标题1三级标题l3CT..."/>
    <w:basedOn w:val="5"/>
    <w:qFormat/>
    <w:uiPriority w:val="0"/>
    <w:pPr>
      <w:spacing w:before="120" w:after="120" w:line="360" w:lineRule="auto"/>
    </w:pPr>
    <w:rPr>
      <w:rFonts w:ascii="Calibri"/>
      <w:bCs w:val="0"/>
      <w:color w:val="000000"/>
      <w:kern w:val="1"/>
    </w:rPr>
  </w:style>
  <w:style w:type="paragraph" w:customStyle="1" w:styleId="340">
    <w:name w:val="xl90"/>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341">
    <w:name w:val="xl132"/>
    <w:basedOn w:val="1"/>
    <w:qFormat/>
    <w:uiPriority w:val="0"/>
    <w:pPr>
      <w:widowControl/>
      <w:pBdr>
        <w:bottom w:val="single" w:color="auto" w:sz="8" w:space="0"/>
      </w:pBdr>
      <w:spacing w:before="100" w:beforeAutospacing="1" w:after="100" w:afterAutospacing="1"/>
      <w:jc w:val="left"/>
    </w:pPr>
    <w:rPr>
      <w:rFonts w:ascii="宋体" w:hAnsi="宋体" w:cs="宋体"/>
      <w:kern w:val="0"/>
      <w:sz w:val="20"/>
      <w:szCs w:val="20"/>
    </w:rPr>
  </w:style>
  <w:style w:type="paragraph" w:customStyle="1" w:styleId="342">
    <w:name w:val="xl114"/>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343">
    <w:name w:val="xl118"/>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344">
    <w:name w:val="xl141"/>
    <w:basedOn w:val="1"/>
    <w:qFormat/>
    <w:uiPriority w:val="0"/>
    <w:pPr>
      <w:widowControl/>
      <w:pBdr>
        <w:top w:val="double" w:color="auto" w:sz="6" w:space="0"/>
        <w:left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345">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346">
    <w:name w:val="xl161"/>
    <w:basedOn w:val="1"/>
    <w:qFormat/>
    <w:uiPriority w:val="0"/>
    <w:pPr>
      <w:widowControl/>
      <w:pBdr>
        <w:bottom w:val="double" w:color="auto" w:sz="6"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347">
    <w:name w:val="xl97"/>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348">
    <w:name w:val="目录 22"/>
    <w:qFormat/>
    <w:uiPriority w:val="0"/>
    <w:pPr>
      <w:widowControl w:val="0"/>
      <w:tabs>
        <w:tab w:val="right" w:leader="dot" w:pos="9710"/>
      </w:tabs>
      <w:ind w:left="283"/>
    </w:pPr>
    <w:rPr>
      <w:rFonts w:ascii="Times New Roman Bold" w:hAnsi="Times New Roman Bold" w:eastAsia="Times New Roman Bold" w:cs="Times New Roman Bold"/>
      <w:color w:val="000000"/>
      <w:kern w:val="2"/>
      <w:lang w:val="en-US" w:eastAsia="zh-CN" w:bidi="ar-SA"/>
    </w:rPr>
  </w:style>
  <w:style w:type="paragraph" w:customStyle="1" w:styleId="349">
    <w:name w:val="xl158"/>
    <w:basedOn w:val="1"/>
    <w:qFormat/>
    <w:uiPriority w:val="0"/>
    <w:pPr>
      <w:widowControl/>
      <w:pBdr>
        <w:top w:val="double" w:color="auto" w:sz="6" w:space="0"/>
        <w:lef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350">
    <w:name w:val="目录 12"/>
    <w:qFormat/>
    <w:uiPriority w:val="0"/>
    <w:pPr>
      <w:widowControl w:val="0"/>
      <w:tabs>
        <w:tab w:val="right" w:leader="dot" w:pos="9710"/>
      </w:tabs>
      <w:spacing w:line="360" w:lineRule="auto"/>
    </w:pPr>
    <w:rPr>
      <w:rFonts w:ascii="Arial Bold" w:hAnsi="Arial Bold" w:eastAsia="Arial Bold" w:cs="Arial Bold"/>
      <w:caps/>
      <w:color w:val="000000"/>
      <w:kern w:val="2"/>
      <w:sz w:val="24"/>
      <w:szCs w:val="24"/>
      <w:lang w:val="en-US" w:eastAsia="zh-CN" w:bidi="ar-SA"/>
    </w:rPr>
  </w:style>
  <w:style w:type="paragraph" w:customStyle="1" w:styleId="351">
    <w:name w:val="xl108"/>
    <w:basedOn w:val="1"/>
    <w:qFormat/>
    <w:uiPriority w:val="0"/>
    <w:pPr>
      <w:widowControl/>
      <w:pBdr>
        <w:top w:val="double" w:color="auto" w:sz="6"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352">
    <w:name w:val="CM337"/>
    <w:basedOn w:val="353"/>
    <w:next w:val="353"/>
    <w:qFormat/>
    <w:uiPriority w:val="99"/>
    <w:pPr>
      <w:autoSpaceDE w:val="0"/>
      <w:autoSpaceDN w:val="0"/>
      <w:adjustRightInd w:val="0"/>
      <w:spacing w:after="1090"/>
    </w:pPr>
    <w:rPr>
      <w:rFonts w:ascii="宋体"/>
      <w:color w:val="auto"/>
    </w:rPr>
  </w:style>
  <w:style w:type="paragraph" w:customStyle="1" w:styleId="353">
    <w:name w:val="Default"/>
    <w:qFormat/>
    <w:uiPriority w:val="0"/>
    <w:pPr>
      <w:widowControl w:val="0"/>
    </w:pPr>
    <w:rPr>
      <w:rFonts w:ascii="Calibri" w:hAnsi="Calibri" w:eastAsia="宋体" w:cs="Times New Roman"/>
      <w:color w:val="000000"/>
      <w:sz w:val="24"/>
      <w:szCs w:val="24"/>
      <w:lang w:val="en-US" w:eastAsia="zh-CN" w:bidi="ar-SA"/>
    </w:rPr>
  </w:style>
  <w:style w:type="paragraph" w:customStyle="1" w:styleId="354">
    <w:name w:val="xl123"/>
    <w:basedOn w:val="1"/>
    <w:qFormat/>
    <w:uiPriority w:val="0"/>
    <w:pPr>
      <w:widowControl/>
      <w:pBdr>
        <w:top w:val="single" w:color="auto" w:sz="8" w:space="0"/>
        <w:left w:val="single" w:color="auto" w:sz="8" w:space="0"/>
        <w:bottom w:val="double" w:color="auto" w:sz="6"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55">
    <w:name w:val="p19"/>
    <w:basedOn w:val="1"/>
    <w:qFormat/>
    <w:uiPriority w:val="0"/>
    <w:pPr>
      <w:widowControl/>
      <w:ind w:firstLine="540"/>
    </w:pPr>
    <w:rPr>
      <w:kern w:val="0"/>
      <w:sz w:val="28"/>
      <w:szCs w:val="28"/>
    </w:rPr>
  </w:style>
  <w:style w:type="paragraph" w:customStyle="1" w:styleId="356">
    <w:name w:val="1.1"/>
    <w:basedOn w:val="1"/>
    <w:next w:val="1"/>
    <w:qFormat/>
    <w:uiPriority w:val="0"/>
    <w:pPr>
      <w:adjustRightInd w:val="0"/>
      <w:snapToGrid w:val="0"/>
      <w:spacing w:before="240" w:after="240" w:line="400" w:lineRule="atLeast"/>
      <w:ind w:left="901" w:right="480" w:hanging="901" w:hangingChars="299"/>
      <w:textAlignment w:val="baseline"/>
    </w:pPr>
    <w:rPr>
      <w:rFonts w:ascii="宋体" w:hAnsi="宋体"/>
      <w:b/>
      <w:kern w:val="0"/>
      <w:sz w:val="30"/>
      <w:szCs w:val="20"/>
    </w:rPr>
  </w:style>
  <w:style w:type="paragraph" w:customStyle="1" w:styleId="357">
    <w:name w:val="xl8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358">
    <w:name w:val="默认"/>
    <w:qFormat/>
    <w:uiPriority w:val="0"/>
    <w:rPr>
      <w:rFonts w:ascii="Helvetica" w:hAnsi="Helvetica" w:eastAsia="Helvetica" w:cs="Helvetica"/>
      <w:color w:val="000000"/>
      <w:sz w:val="22"/>
      <w:szCs w:val="22"/>
      <w:lang w:val="en-US" w:eastAsia="zh-CN" w:bidi="ar-SA"/>
    </w:rPr>
  </w:style>
  <w:style w:type="paragraph" w:customStyle="1" w:styleId="359">
    <w:name w:val="小节"/>
    <w:basedOn w:val="1"/>
    <w:qFormat/>
    <w:uiPriority w:val="0"/>
    <w:pPr>
      <w:spacing w:line="360" w:lineRule="auto"/>
    </w:pPr>
    <w:rPr>
      <w:b/>
      <w:sz w:val="24"/>
      <w:szCs w:val="24"/>
    </w:rPr>
  </w:style>
  <w:style w:type="paragraph" w:customStyle="1" w:styleId="360">
    <w:name w:val="Char1 Char Char Char1 Char Char Char1"/>
    <w:basedOn w:val="1"/>
    <w:qFormat/>
    <w:uiPriority w:val="0"/>
    <w:pPr>
      <w:spacing w:line="360" w:lineRule="auto"/>
      <w:ind w:firstLine="200"/>
    </w:pPr>
    <w:rPr>
      <w:rFonts w:ascii="宋体" w:hAnsi="宋体" w:cs="宋体"/>
      <w:color w:val="000000"/>
      <w:kern w:val="1"/>
      <w:sz w:val="24"/>
      <w:szCs w:val="24"/>
    </w:rPr>
  </w:style>
  <w:style w:type="paragraph" w:customStyle="1" w:styleId="361">
    <w:name w:val="正文1"/>
    <w:qFormat/>
    <w:uiPriority w:val="0"/>
    <w:pPr>
      <w:widowControl w:val="0"/>
      <w:adjustRightInd w:val="0"/>
      <w:spacing w:line="312" w:lineRule="atLeast"/>
      <w:jc w:val="both"/>
    </w:pPr>
    <w:rPr>
      <w:rFonts w:ascii="宋体" w:hAnsi="Calibri" w:eastAsia="宋体" w:cs="Times New Roman"/>
      <w:sz w:val="34"/>
      <w:lang w:val="en-US" w:eastAsia="zh-CN" w:bidi="ar-SA"/>
    </w:rPr>
  </w:style>
  <w:style w:type="paragraph" w:customStyle="1" w:styleId="362">
    <w:name w:val="xl98"/>
    <w:basedOn w:val="1"/>
    <w:qFormat/>
    <w:uiPriority w:val="0"/>
    <w:pPr>
      <w:widowControl/>
      <w:pBdr>
        <w:top w:val="single" w:color="auto" w:sz="4" w:space="0"/>
        <w:bottom w:val="double" w:color="auto" w:sz="6"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363">
    <w:name w:val="xl12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4">
    <w:name w:val="xl7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65">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366">
    <w:name w:val="表"/>
    <w:basedOn w:val="1"/>
    <w:qFormat/>
    <w:uiPriority w:val="0"/>
    <w:pPr>
      <w:snapToGrid w:val="0"/>
      <w:ind w:firstLine="567"/>
      <w:jc w:val="center"/>
    </w:pPr>
    <w:rPr>
      <w:rFonts w:eastAsia="楷体_GB2312"/>
      <w:kern w:val="0"/>
      <w:sz w:val="24"/>
      <w:szCs w:val="20"/>
    </w:rPr>
  </w:style>
  <w:style w:type="paragraph" w:customStyle="1" w:styleId="367">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368">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369">
    <w:name w:val="顾2"/>
    <w:basedOn w:val="1"/>
    <w:qFormat/>
    <w:uiPriority w:val="0"/>
    <w:pPr>
      <w:keepNext/>
      <w:keepLines/>
      <w:spacing w:beforeLines="100" w:afterLines="100"/>
      <w:ind w:left="284" w:hanging="284"/>
      <w:outlineLvl w:val="1"/>
    </w:pPr>
    <w:rPr>
      <w:rFonts w:ascii="宋体" w:hAnsi="宋体"/>
      <w:b/>
      <w:bCs/>
      <w:w w:val="90"/>
      <w:kern w:val="0"/>
      <w:sz w:val="32"/>
      <w:szCs w:val="32"/>
    </w:rPr>
  </w:style>
  <w:style w:type="paragraph" w:customStyle="1" w:styleId="370">
    <w:name w:val="默认段落字体 Para Char Char Char Char Char Char Char"/>
    <w:basedOn w:val="1"/>
    <w:qFormat/>
    <w:uiPriority w:val="0"/>
    <w:pPr>
      <w:widowControl/>
      <w:jc w:val="left"/>
    </w:pPr>
    <w:rPr>
      <w:rFonts w:ascii="Tahoma" w:hAnsi="Tahoma"/>
      <w:kern w:val="0"/>
      <w:sz w:val="24"/>
      <w:szCs w:val="20"/>
      <w:lang w:eastAsia="en-US"/>
    </w:rPr>
  </w:style>
  <w:style w:type="paragraph" w:customStyle="1" w:styleId="371">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372">
    <w:name w:val="正文_0_0"/>
    <w:qFormat/>
    <w:uiPriority w:val="0"/>
    <w:pPr>
      <w:widowControl w:val="0"/>
      <w:jc w:val="both"/>
    </w:pPr>
    <w:rPr>
      <w:rFonts w:ascii="Calibri" w:hAnsi="Calibri" w:eastAsia="宋体" w:cs="Calibri"/>
      <w:kern w:val="2"/>
      <w:sz w:val="21"/>
      <w:szCs w:val="24"/>
      <w:lang w:val="en-US" w:eastAsia="zh-CN" w:bidi="ar-SA"/>
    </w:rPr>
  </w:style>
  <w:style w:type="paragraph" w:customStyle="1" w:styleId="373">
    <w:name w:val="xl107"/>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374">
    <w:name w:val="默认段落字体 Para Char"/>
    <w:basedOn w:val="1"/>
    <w:qFormat/>
    <w:uiPriority w:val="0"/>
    <w:rPr>
      <w:sz w:val="30"/>
      <w:szCs w:val="24"/>
    </w:rPr>
  </w:style>
  <w:style w:type="paragraph" w:customStyle="1" w:styleId="375">
    <w:name w:val="表注"/>
    <w:basedOn w:val="1"/>
    <w:qFormat/>
    <w:uiPriority w:val="0"/>
    <w:pPr>
      <w:adjustRightInd w:val="0"/>
      <w:snapToGrid w:val="0"/>
      <w:spacing w:beforeLines="50" w:line="300" w:lineRule="auto"/>
      <w:ind w:left="200" w:leftChars="8" w:hanging="200" w:hangingChars="200"/>
    </w:pPr>
    <w:rPr>
      <w:bCs/>
      <w:color w:val="000000"/>
      <w:szCs w:val="24"/>
    </w:rPr>
  </w:style>
  <w:style w:type="paragraph" w:customStyle="1" w:styleId="376">
    <w:name w:val="xl164"/>
    <w:basedOn w:val="1"/>
    <w:qFormat/>
    <w:uiPriority w:val="0"/>
    <w:pPr>
      <w:widowControl/>
      <w:pBdr>
        <w:left w:val="single" w:color="auto" w:sz="4" w:space="0"/>
        <w:bottom w:val="double" w:color="auto" w:sz="6" w:space="0"/>
      </w:pBdr>
      <w:spacing w:before="100" w:beforeAutospacing="1" w:after="100" w:afterAutospacing="1"/>
      <w:jc w:val="center"/>
    </w:pPr>
    <w:rPr>
      <w:rFonts w:ascii="宋体" w:hAnsi="宋体" w:cs="宋体"/>
      <w:color w:val="0000FF"/>
      <w:kern w:val="0"/>
      <w:sz w:val="16"/>
      <w:szCs w:val="16"/>
    </w:rPr>
  </w:style>
  <w:style w:type="paragraph" w:customStyle="1" w:styleId="37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378">
    <w:name w:val="正文 New New New New New New"/>
    <w:qFormat/>
    <w:uiPriority w:val="0"/>
    <w:pPr>
      <w:widowControl w:val="0"/>
      <w:jc w:val="both"/>
    </w:pPr>
    <w:rPr>
      <w:rFonts w:ascii="Calibri" w:hAnsi="Calibri" w:eastAsia="宋体" w:cs="Times New Roman"/>
      <w:kern w:val="2"/>
      <w:sz w:val="24"/>
      <w:szCs w:val="24"/>
      <w:lang w:val="en-US" w:eastAsia="zh-CN" w:bidi="ar-SA"/>
    </w:rPr>
  </w:style>
  <w:style w:type="paragraph" w:customStyle="1" w:styleId="379">
    <w:name w:val="Char Char Char2"/>
    <w:basedOn w:val="1"/>
    <w:qFormat/>
    <w:uiPriority w:val="0"/>
    <w:rPr>
      <w:rFonts w:ascii="Tahoma" w:hAnsi="Tahoma"/>
      <w:sz w:val="24"/>
      <w:szCs w:val="20"/>
    </w:rPr>
  </w:style>
  <w:style w:type="paragraph" w:customStyle="1" w:styleId="380">
    <w:name w:val="xl7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381">
    <w:name w:val="[基本段落]"/>
    <w:basedOn w:val="1"/>
    <w:qFormat/>
    <w:uiPriority w:val="99"/>
    <w:pPr>
      <w:spacing w:line="288" w:lineRule="auto"/>
    </w:pPr>
    <w:rPr>
      <w:rFonts w:ascii="Adobe 宋体 Std L" w:hAnsi="Adobe 宋体 Std L" w:eastAsia="Adobe 宋体 Std L" w:cs="Adobe 宋体 Std L"/>
      <w:color w:val="000000"/>
      <w:kern w:val="0"/>
      <w:sz w:val="24"/>
      <w:szCs w:val="24"/>
      <w:lang w:val="zh-CN"/>
    </w:rPr>
  </w:style>
  <w:style w:type="paragraph" w:customStyle="1" w:styleId="382">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383">
    <w:name w:val="xl129"/>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84">
    <w:name w:val="Char Char Char"/>
    <w:basedOn w:val="17"/>
    <w:next w:val="5"/>
    <w:qFormat/>
    <w:uiPriority w:val="0"/>
    <w:pPr>
      <w:shd w:val="clear" w:color="auto" w:fill="000080"/>
      <w:adjustRightInd w:val="0"/>
      <w:spacing w:line="600" w:lineRule="exact"/>
      <w:ind w:firstLine="200" w:firstLineChars="200"/>
      <w:jc w:val="center"/>
      <w:outlineLvl w:val="2"/>
    </w:pPr>
    <w:rPr>
      <w:rFonts w:ascii="Times New Roman" w:hAnsi="Times New Roman"/>
      <w:kern w:val="0"/>
      <w:sz w:val="21"/>
      <w:szCs w:val="20"/>
      <w:lang w:val="en-US"/>
    </w:rPr>
  </w:style>
  <w:style w:type="paragraph" w:customStyle="1" w:styleId="385">
    <w:name w:val="xl14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6">
    <w:name w:val="标题 1 New"/>
    <w:basedOn w:val="387"/>
    <w:next w:val="387"/>
    <w:qFormat/>
    <w:uiPriority w:val="0"/>
    <w:pPr>
      <w:keepNext/>
      <w:keepLines/>
      <w:spacing w:before="340" w:after="330" w:line="576" w:lineRule="auto"/>
      <w:outlineLvl w:val="0"/>
    </w:pPr>
    <w:rPr>
      <w:rFonts w:cs="Times New Roman"/>
      <w:b/>
      <w:color w:val="auto"/>
      <w:kern w:val="44"/>
      <w:sz w:val="44"/>
    </w:rPr>
  </w:style>
  <w:style w:type="paragraph" w:customStyle="1" w:styleId="387">
    <w:name w:val="正文 New"/>
    <w:qFormat/>
    <w:uiPriority w:val="0"/>
    <w:pPr>
      <w:widowControl w:val="0"/>
      <w:jc w:val="both"/>
    </w:pPr>
    <w:rPr>
      <w:rFonts w:ascii="Calibri" w:hAnsi="Calibri" w:eastAsia="宋体" w:cs="Calibri"/>
      <w:color w:val="000000"/>
      <w:kern w:val="1"/>
      <w:sz w:val="21"/>
      <w:lang w:val="en-US" w:eastAsia="zh-CN" w:bidi="ar-SA"/>
    </w:rPr>
  </w:style>
  <w:style w:type="paragraph" w:customStyle="1" w:styleId="388">
    <w:name w:val="xl8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389">
    <w:name w:val="样式2"/>
    <w:basedOn w:val="5"/>
    <w:qFormat/>
    <w:uiPriority w:val="0"/>
    <w:pPr>
      <w:spacing w:line="415" w:lineRule="auto"/>
      <w:ind w:firstLine="137" w:firstLineChars="49"/>
    </w:pPr>
    <w:rPr>
      <w:rFonts w:ascii="黑体" w:hAnsi="Times New Roman" w:eastAsia="黑体"/>
      <w:b w:val="0"/>
      <w:i/>
      <w:kern w:val="2"/>
      <w:sz w:val="28"/>
      <w:szCs w:val="28"/>
      <w:lang w:val="zh-CN"/>
    </w:rPr>
  </w:style>
  <w:style w:type="paragraph" w:customStyle="1" w:styleId="390">
    <w:name w:val="Char1 Char Char Char1 Char Char Char"/>
    <w:basedOn w:val="1"/>
    <w:qFormat/>
    <w:uiPriority w:val="0"/>
    <w:pPr>
      <w:spacing w:line="360" w:lineRule="auto"/>
      <w:ind w:firstLine="200"/>
    </w:pPr>
    <w:rPr>
      <w:rFonts w:ascii="宋体" w:hAnsi="宋体" w:cs="宋体"/>
      <w:color w:val="000000"/>
      <w:kern w:val="1"/>
      <w:sz w:val="24"/>
      <w:szCs w:val="24"/>
    </w:rPr>
  </w:style>
  <w:style w:type="paragraph" w:customStyle="1" w:styleId="391">
    <w:name w:val="Char Char Char Char11"/>
    <w:basedOn w:val="1"/>
    <w:next w:val="1"/>
    <w:qFormat/>
    <w:uiPriority w:val="0"/>
    <w:pPr>
      <w:spacing w:line="240" w:lineRule="atLeast"/>
      <w:ind w:left="420" w:firstLine="420"/>
      <w:jc w:val="left"/>
    </w:pPr>
    <w:rPr>
      <w:kern w:val="0"/>
      <w:szCs w:val="21"/>
    </w:rPr>
  </w:style>
  <w:style w:type="paragraph" w:customStyle="1" w:styleId="392">
    <w:name w:val="xl14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393">
    <w:name w:val="xl83"/>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394">
    <w:name w:val="xl9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395">
    <w:name w:val="Char11"/>
    <w:basedOn w:val="1"/>
    <w:qFormat/>
    <w:uiPriority w:val="0"/>
    <w:rPr>
      <w:szCs w:val="21"/>
    </w:rPr>
  </w:style>
  <w:style w:type="paragraph" w:customStyle="1" w:styleId="396">
    <w:name w:val="封二"/>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397">
    <w:name w:val="样式 WG标题2 + 行距: 固定值 18 磅1"/>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39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399">
    <w:name w:val="xl151"/>
    <w:basedOn w:val="1"/>
    <w:qFormat/>
    <w:uiPriority w:val="0"/>
    <w:pPr>
      <w:widowControl/>
      <w:pBdr>
        <w:righ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400">
    <w:name w:val="xl115"/>
    <w:basedOn w:val="1"/>
    <w:qFormat/>
    <w:uiPriority w:val="0"/>
    <w:pPr>
      <w:widowControl/>
      <w:pBdr>
        <w:top w:val="single" w:color="auto" w:sz="4" w:space="0"/>
        <w:left w:val="single" w:color="auto" w:sz="8" w:space="0"/>
        <w:bottom w:val="double" w:color="auto" w:sz="6"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401">
    <w:name w:val="表格标题"/>
    <w:basedOn w:val="1"/>
    <w:link w:val="560"/>
    <w:qFormat/>
    <w:uiPriority w:val="0"/>
    <w:pPr>
      <w:adjustRightInd w:val="0"/>
      <w:snapToGrid w:val="0"/>
      <w:spacing w:beforeLines="50" w:afterLines="50"/>
      <w:ind w:left="22" w:leftChars="8"/>
      <w:jc w:val="center"/>
    </w:pPr>
    <w:rPr>
      <w:b/>
      <w:bCs/>
      <w:color w:val="000000"/>
      <w:sz w:val="32"/>
      <w:szCs w:val="32"/>
    </w:rPr>
  </w:style>
  <w:style w:type="paragraph" w:customStyle="1" w:styleId="402">
    <w:name w:val="修订1"/>
    <w:qFormat/>
    <w:uiPriority w:val="0"/>
    <w:rPr>
      <w:rFonts w:ascii="Times New Roman" w:hAnsi="Times New Roman" w:eastAsia="宋体" w:cs="Times New Roman"/>
      <w:kern w:val="2"/>
      <w:sz w:val="21"/>
      <w:szCs w:val="24"/>
      <w:lang w:val="en-US" w:eastAsia="zh-CN" w:bidi="ar-SA"/>
    </w:rPr>
  </w:style>
  <w:style w:type="paragraph" w:customStyle="1" w:styleId="403">
    <w:name w:val="xl14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404">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05">
    <w:name w:val="xl91"/>
    <w:basedOn w:val="1"/>
    <w:qFormat/>
    <w:uiPriority w:val="0"/>
    <w:pPr>
      <w:widowControl/>
      <w:pBdr>
        <w:top w:val="double" w:color="auto" w:sz="6"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406">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407">
    <w:name w:val="xl134"/>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8">
    <w:name w:val="Char21"/>
    <w:basedOn w:val="1"/>
    <w:qFormat/>
    <w:uiPriority w:val="0"/>
    <w:rPr>
      <w:rFonts w:ascii="Tahoma" w:hAnsi="Tahoma"/>
      <w:sz w:val="24"/>
      <w:szCs w:val="20"/>
    </w:rPr>
  </w:style>
  <w:style w:type="paragraph" w:customStyle="1" w:styleId="409">
    <w:name w:val="xl14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410">
    <w:name w:val="1.1.1"/>
    <w:basedOn w:val="5"/>
    <w:qFormat/>
    <w:uiPriority w:val="0"/>
    <w:pPr>
      <w:tabs>
        <w:tab w:val="left" w:pos="1080"/>
        <w:tab w:val="left" w:pos="1260"/>
      </w:tabs>
      <w:adjustRightInd w:val="0"/>
      <w:spacing w:before="120" w:afterLines="50" w:line="440" w:lineRule="exact"/>
      <w:ind w:left="1140" w:hanging="1140"/>
      <w:jc w:val="left"/>
      <w:textAlignment w:val="baseline"/>
    </w:pPr>
    <w:rPr>
      <w:rFonts w:ascii="Times New Roman" w:hAnsi="Times New Roman"/>
      <w:bCs w:val="0"/>
      <w:kern w:val="2"/>
      <w:sz w:val="24"/>
      <w:szCs w:val="20"/>
    </w:rPr>
  </w:style>
  <w:style w:type="paragraph" w:customStyle="1" w:styleId="411">
    <w:name w:val="表格"/>
    <w:qFormat/>
    <w:uiPriority w:val="0"/>
    <w:pPr>
      <w:spacing w:before="20" w:after="20"/>
    </w:pPr>
    <w:rPr>
      <w:rFonts w:ascii="宋体" w:hAnsi="Calibri" w:eastAsia="宋体" w:cs="Times New Roman"/>
      <w:sz w:val="24"/>
      <w:lang w:val="en-US" w:eastAsia="zh-CN" w:bidi="ar-SA"/>
    </w:rPr>
  </w:style>
  <w:style w:type="paragraph" w:customStyle="1" w:styleId="412">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13">
    <w:name w:val="Char2"/>
    <w:basedOn w:val="1"/>
    <w:qFormat/>
    <w:uiPriority w:val="0"/>
    <w:rPr>
      <w:szCs w:val="24"/>
    </w:rPr>
  </w:style>
  <w:style w:type="paragraph" w:customStyle="1" w:styleId="414">
    <w:name w:val="xl80"/>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3366FF"/>
      <w:kern w:val="0"/>
      <w:sz w:val="16"/>
      <w:szCs w:val="16"/>
    </w:rPr>
  </w:style>
  <w:style w:type="paragraph" w:customStyle="1" w:styleId="415">
    <w:name w:val="xl69"/>
    <w:basedOn w:val="1"/>
    <w:qFormat/>
    <w:uiPriority w:val="0"/>
    <w:pPr>
      <w:widowControl/>
      <w:pBdr>
        <w:top w:val="single" w:color="auto" w:sz="8"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1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szCs w:val="20"/>
    </w:rPr>
  </w:style>
  <w:style w:type="paragraph" w:customStyle="1" w:styleId="41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8">
    <w:name w:val="样式3"/>
    <w:basedOn w:val="1"/>
    <w:link w:val="522"/>
    <w:qFormat/>
    <w:uiPriority w:val="0"/>
    <w:pPr>
      <w:tabs>
        <w:tab w:val="left" w:pos="720"/>
      </w:tabs>
      <w:adjustRightInd w:val="0"/>
      <w:snapToGrid w:val="0"/>
      <w:spacing w:line="360" w:lineRule="auto"/>
      <w:ind w:firstLine="420"/>
    </w:pPr>
    <w:rPr>
      <w:rFonts w:ascii="楷体_GB2312" w:hAnsi="新宋体" w:eastAsia="楷体_GB2312"/>
      <w:sz w:val="24"/>
      <w:szCs w:val="20"/>
    </w:rPr>
  </w:style>
  <w:style w:type="paragraph" w:customStyle="1" w:styleId="419">
    <w:name w:val="xl154"/>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0">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421">
    <w:name w:val="xl119"/>
    <w:basedOn w:val="1"/>
    <w:qFormat/>
    <w:uiPriority w:val="0"/>
    <w:pPr>
      <w:widowControl/>
      <w:pBdr>
        <w:top w:val="single" w:color="auto" w:sz="8" w:space="0"/>
        <w:left w:val="single" w:color="auto" w:sz="4" w:space="0"/>
        <w:bottom w:val="double" w:color="auto" w:sz="6"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422">
    <w:name w:val="CM317"/>
    <w:basedOn w:val="353"/>
    <w:next w:val="353"/>
    <w:qFormat/>
    <w:uiPriority w:val="99"/>
    <w:pPr>
      <w:autoSpaceDE w:val="0"/>
      <w:autoSpaceDN w:val="0"/>
      <w:adjustRightInd w:val="0"/>
      <w:spacing w:after="315"/>
    </w:pPr>
    <w:rPr>
      <w:rFonts w:ascii="宋体"/>
      <w:color w:val="auto"/>
    </w:rPr>
  </w:style>
  <w:style w:type="paragraph" w:customStyle="1" w:styleId="423">
    <w:name w:val="List Paragraph*"/>
    <w:basedOn w:val="1"/>
    <w:qFormat/>
    <w:uiPriority w:val="0"/>
    <w:pPr>
      <w:spacing w:line="312" w:lineRule="atLeast"/>
      <w:ind w:firstLine="420"/>
    </w:pPr>
    <w:rPr>
      <w:color w:val="000000"/>
      <w:kern w:val="0"/>
      <w:szCs w:val="20"/>
    </w:rPr>
  </w:style>
  <w:style w:type="paragraph" w:customStyle="1" w:styleId="424">
    <w:name w:val="xl11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C0C0C0"/>
      <w:kern w:val="0"/>
      <w:sz w:val="16"/>
      <w:szCs w:val="16"/>
    </w:rPr>
  </w:style>
  <w:style w:type="paragraph" w:customStyle="1" w:styleId="425">
    <w:name w:val="_Style 100"/>
    <w:basedOn w:val="1"/>
    <w:next w:val="209"/>
    <w:qFormat/>
    <w:uiPriority w:val="0"/>
    <w:pPr>
      <w:spacing w:line="312" w:lineRule="atLeast"/>
      <w:ind w:firstLine="420"/>
    </w:pPr>
    <w:rPr>
      <w:color w:val="000000"/>
      <w:kern w:val="0"/>
      <w:szCs w:val="20"/>
    </w:rPr>
  </w:style>
  <w:style w:type="paragraph" w:customStyle="1" w:styleId="426">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27">
    <w:name w:val="正文文本缩进1"/>
    <w:basedOn w:val="1"/>
    <w:qFormat/>
    <w:uiPriority w:val="0"/>
    <w:pPr>
      <w:spacing w:after="120"/>
      <w:ind w:left="420" w:leftChars="200"/>
    </w:pPr>
    <w:rPr>
      <w:rFonts w:ascii="Times New Roman" w:hAnsi="Times New Roman"/>
      <w:szCs w:val="24"/>
    </w:rPr>
  </w:style>
  <w:style w:type="paragraph" w:customStyle="1" w:styleId="428">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429">
    <w:name w:val="ST20_2"/>
    <w:basedOn w:val="1"/>
    <w:qFormat/>
    <w:uiPriority w:val="0"/>
    <w:pPr>
      <w:autoSpaceDE w:val="0"/>
      <w:autoSpaceDN w:val="0"/>
      <w:adjustRightInd w:val="0"/>
      <w:spacing w:line="312" w:lineRule="atLeast"/>
      <w:textAlignment w:val="baseline"/>
    </w:pPr>
    <w:rPr>
      <w:rFonts w:ascii="宋体" w:hAnsi="Tms Rmn"/>
      <w:kern w:val="0"/>
      <w:sz w:val="24"/>
      <w:szCs w:val="20"/>
    </w:rPr>
  </w:style>
  <w:style w:type="paragraph" w:customStyle="1" w:styleId="43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1">
    <w:name w:val="样式 正文刘兵 + 首行缩进:  2 字符"/>
    <w:basedOn w:val="1"/>
    <w:qFormat/>
    <w:uiPriority w:val="0"/>
    <w:pPr>
      <w:autoSpaceDE w:val="0"/>
      <w:autoSpaceDN w:val="0"/>
      <w:adjustRightInd w:val="0"/>
      <w:spacing w:line="520" w:lineRule="exact"/>
      <w:ind w:firstLine="480" w:firstLineChars="200"/>
      <w:jc w:val="left"/>
    </w:pPr>
    <w:rPr>
      <w:rFonts w:cs="宋体"/>
      <w:bCs/>
      <w:color w:val="000000"/>
      <w:kern w:val="0"/>
      <w:sz w:val="24"/>
      <w:szCs w:val="24"/>
      <w:lang w:val="zh-CN"/>
    </w:rPr>
  </w:style>
  <w:style w:type="paragraph" w:customStyle="1" w:styleId="432">
    <w:name w:val="xl13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433">
    <w:name w:val="TOC 标题11"/>
    <w:basedOn w:val="3"/>
    <w:next w:val="1"/>
    <w:qFormat/>
    <w:uiPriority w:val="39"/>
    <w:pPr>
      <w:widowControl/>
      <w:spacing w:before="480" w:after="0" w:line="276" w:lineRule="auto"/>
      <w:jc w:val="left"/>
      <w:outlineLvl w:val="9"/>
    </w:pPr>
    <w:rPr>
      <w:rFonts w:ascii="Cambria" w:hAnsi="Cambria"/>
      <w:color w:val="365F91"/>
      <w:kern w:val="0"/>
      <w:sz w:val="28"/>
      <w:szCs w:val="28"/>
      <w:lang w:val="en-US"/>
    </w:rPr>
  </w:style>
  <w:style w:type="paragraph" w:customStyle="1" w:styleId="434">
    <w:name w:val="_Style 35"/>
    <w:basedOn w:val="1"/>
    <w:qFormat/>
    <w:uiPriority w:val="0"/>
    <w:pPr>
      <w:widowControl/>
      <w:jc w:val="left"/>
    </w:pPr>
    <w:rPr>
      <w:rFonts w:ascii="Tahoma" w:hAnsi="Tahoma"/>
      <w:kern w:val="0"/>
      <w:sz w:val="24"/>
      <w:szCs w:val="20"/>
      <w:lang w:eastAsia="en-US"/>
    </w:rPr>
  </w:style>
  <w:style w:type="paragraph" w:customStyle="1" w:styleId="435">
    <w:name w:val="xl110"/>
    <w:basedOn w:val="1"/>
    <w:qFormat/>
    <w:uiPriority w:val="0"/>
    <w:pPr>
      <w:widowControl/>
      <w:pBdr>
        <w:top w:val="double" w:color="auto" w:sz="6" w:space="0"/>
        <w:left w:val="single" w:color="auto" w:sz="4" w:space="0"/>
        <w:bottom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436">
    <w:name w:val="xl1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437">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438">
    <w:name w:val="TOC æ ‡é¢˜"/>
    <w:basedOn w:val="1"/>
    <w:next w:val="1"/>
    <w:qFormat/>
    <w:uiPriority w:val="0"/>
    <w:pPr>
      <w:keepNext/>
      <w:keepLines/>
      <w:tabs>
        <w:tab w:val="left" w:pos="360"/>
      </w:tabs>
      <w:autoSpaceDE w:val="0"/>
      <w:autoSpaceDN w:val="0"/>
      <w:adjustRightInd w:val="0"/>
      <w:spacing w:before="480" w:line="264" w:lineRule="auto"/>
      <w:jc w:val="left"/>
    </w:pPr>
    <w:rPr>
      <w:rFonts w:ascii="宋体" w:cs="宋体"/>
      <w:b/>
      <w:bCs/>
      <w:kern w:val="0"/>
      <w:sz w:val="28"/>
      <w:szCs w:val="28"/>
      <w:lang w:val="zh-CN"/>
    </w:rPr>
  </w:style>
  <w:style w:type="paragraph" w:customStyle="1" w:styleId="43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440">
    <w:name w:val="批注主题1"/>
    <w:basedOn w:val="18"/>
    <w:next w:val="18"/>
    <w:qFormat/>
    <w:uiPriority w:val="0"/>
    <w:pPr>
      <w:jc w:val="both"/>
    </w:pPr>
    <w:rPr>
      <w:b/>
      <w:sz w:val="24"/>
      <w:lang w:val="en-US"/>
    </w:rPr>
  </w:style>
  <w:style w:type="paragraph" w:customStyle="1" w:styleId="441">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442">
    <w:name w:val="xl85"/>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6"/>
      <w:szCs w:val="16"/>
    </w:rPr>
  </w:style>
  <w:style w:type="paragraph" w:customStyle="1" w:styleId="443">
    <w:name w:val="reader-word-layer"/>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4">
    <w:name w:val="4"/>
    <w:basedOn w:val="6"/>
    <w:qFormat/>
    <w:uiPriority w:val="0"/>
    <w:pPr>
      <w:spacing w:before="60" w:after="60" w:line="300" w:lineRule="auto"/>
    </w:pPr>
    <w:rPr>
      <w:rFonts w:ascii="Arial" w:hAnsi="Arial" w:eastAsia="黑体"/>
      <w:b w:val="0"/>
      <w:bCs w:val="0"/>
      <w:kern w:val="2"/>
      <w:sz w:val="24"/>
      <w:szCs w:val="20"/>
      <w:lang w:val="en-US"/>
    </w:rPr>
  </w:style>
  <w:style w:type="paragraph" w:customStyle="1" w:styleId="44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446">
    <w:name w:val="xl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447">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kern w:val="0"/>
      <w:sz w:val="24"/>
      <w:szCs w:val="24"/>
      <w:lang w:eastAsia="en-US"/>
    </w:rPr>
  </w:style>
  <w:style w:type="paragraph" w:customStyle="1" w:styleId="448">
    <w:name w:val="xl12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color w:val="0000FF"/>
      <w:kern w:val="0"/>
      <w:sz w:val="16"/>
      <w:szCs w:val="16"/>
    </w:rPr>
  </w:style>
  <w:style w:type="paragraph" w:customStyle="1" w:styleId="449">
    <w:name w:val="纯文本1"/>
    <w:basedOn w:val="1"/>
    <w:qFormat/>
    <w:uiPriority w:val="0"/>
    <w:pPr>
      <w:adjustRightInd w:val="0"/>
      <w:jc w:val="left"/>
      <w:textAlignment w:val="baseline"/>
    </w:pPr>
    <w:rPr>
      <w:rFonts w:ascii="宋体" w:hAnsi="Courier New"/>
      <w:sz w:val="24"/>
      <w:szCs w:val="20"/>
    </w:rPr>
  </w:style>
  <w:style w:type="paragraph" w:customStyle="1" w:styleId="450">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451">
    <w:name w:val="xl153"/>
    <w:basedOn w:val="1"/>
    <w:qFormat/>
    <w:uiPriority w:val="0"/>
    <w:pPr>
      <w:widowControl/>
      <w:pBdr>
        <w:top w:val="double" w:color="auto" w:sz="6" w:space="0"/>
        <w:left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45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4">
    <w:name w:val="xl14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455">
    <w:name w:val="xl150"/>
    <w:basedOn w:val="1"/>
    <w:qFormat/>
    <w:uiPriority w:val="0"/>
    <w:pPr>
      <w:widowControl/>
      <w:pBdr>
        <w:lef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456">
    <w:name w:val="章节一"/>
    <w:basedOn w:val="1"/>
    <w:next w:val="1"/>
    <w:qFormat/>
    <w:uiPriority w:val="0"/>
    <w:pPr>
      <w:topLinePunct/>
      <w:adjustRightInd w:val="0"/>
      <w:snapToGrid w:val="0"/>
      <w:spacing w:beforeLines="50" w:afterLines="50"/>
      <w:jc w:val="center"/>
      <w:outlineLvl w:val="0"/>
    </w:pPr>
    <w:rPr>
      <w:rFonts w:eastAsia="黑体"/>
      <w:b/>
      <w:snapToGrid w:val="0"/>
      <w:spacing w:val="4"/>
      <w:kern w:val="0"/>
      <w:sz w:val="36"/>
      <w:szCs w:val="36"/>
    </w:rPr>
  </w:style>
  <w:style w:type="paragraph" w:customStyle="1" w:styleId="457">
    <w:name w:val="p17"/>
    <w:basedOn w:val="1"/>
    <w:qFormat/>
    <w:uiPriority w:val="0"/>
    <w:pPr>
      <w:widowControl/>
      <w:jc w:val="left"/>
    </w:pPr>
    <w:rPr>
      <w:rFonts w:ascii="宋体" w:hAnsi="宋体" w:cs="宋体"/>
      <w:kern w:val="0"/>
      <w:szCs w:val="21"/>
    </w:rPr>
  </w:style>
  <w:style w:type="paragraph" w:customStyle="1" w:styleId="458">
    <w:name w:val="Char Char Char1 Char"/>
    <w:basedOn w:val="17"/>
    <w:qFormat/>
    <w:uiPriority w:val="0"/>
    <w:pPr>
      <w:shd w:val="clear" w:color="auto" w:fill="000080"/>
    </w:pPr>
    <w:rPr>
      <w:rFonts w:ascii="Tahoma" w:hAnsi="Tahoma"/>
      <w:kern w:val="0"/>
      <w:sz w:val="24"/>
      <w:szCs w:val="24"/>
      <w:lang w:val="en-US"/>
    </w:rPr>
  </w:style>
  <w:style w:type="paragraph" w:customStyle="1" w:styleId="459">
    <w:name w:val="Char Char Char Char Char Char Char1"/>
    <w:basedOn w:val="1"/>
    <w:qFormat/>
    <w:uiPriority w:val="0"/>
    <w:pPr>
      <w:tabs>
        <w:tab w:val="left" w:pos="425"/>
      </w:tabs>
      <w:ind w:left="425" w:hanging="425"/>
    </w:pPr>
    <w:rPr>
      <w:rFonts w:ascii="Times New Roman" w:hAnsi="Times New Roman" w:eastAsia="仿宋_GB2312"/>
      <w:kern w:val="24"/>
      <w:sz w:val="24"/>
      <w:szCs w:val="24"/>
    </w:rPr>
  </w:style>
  <w:style w:type="paragraph" w:customStyle="1" w:styleId="460">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461">
    <w:name w:val="xl139"/>
    <w:basedOn w:val="1"/>
    <w:qFormat/>
    <w:uiPriority w:val="0"/>
    <w:pPr>
      <w:widowControl/>
      <w:pBdr>
        <w:left w:val="single" w:color="auto" w:sz="4" w:space="0"/>
      </w:pBdr>
      <w:spacing w:before="100" w:beforeAutospacing="1" w:after="100" w:afterAutospacing="1"/>
      <w:jc w:val="center"/>
    </w:pPr>
    <w:rPr>
      <w:rFonts w:ascii="宋体" w:hAnsi="宋体" w:cs="宋体"/>
      <w:kern w:val="0"/>
      <w:sz w:val="16"/>
      <w:szCs w:val="16"/>
    </w:rPr>
  </w:style>
  <w:style w:type="paragraph" w:customStyle="1" w:styleId="462">
    <w:name w:val="xl12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4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64">
    <w:name w:val="样式 正文缩进表正文正文非缩进特点上海中望标准正文（首行缩进两字）文字正文（首行缩进两字） Char正文（首行缩进..."/>
    <w:basedOn w:val="14"/>
    <w:qFormat/>
    <w:uiPriority w:val="0"/>
    <w:pPr>
      <w:ind w:firstLine="200" w:firstLineChars="200"/>
    </w:pPr>
    <w:rPr>
      <w:rFonts w:ascii="Calibri"/>
      <w:kern w:val="2"/>
      <w:sz w:val="21"/>
      <w:szCs w:val="21"/>
    </w:rPr>
  </w:style>
  <w:style w:type="paragraph" w:customStyle="1" w:styleId="465">
    <w:name w:val="_Style 155"/>
    <w:basedOn w:val="3"/>
    <w:next w:val="1"/>
    <w:qFormat/>
    <w:uiPriority w:val="39"/>
    <w:pPr>
      <w:widowControl/>
      <w:spacing w:before="480" w:after="0" w:line="276" w:lineRule="auto"/>
      <w:jc w:val="left"/>
      <w:outlineLvl w:val="9"/>
    </w:pPr>
    <w:rPr>
      <w:rFonts w:ascii="Cambria" w:hAnsi="Cambria"/>
      <w:color w:val="365F91"/>
      <w:kern w:val="0"/>
      <w:sz w:val="28"/>
      <w:szCs w:val="28"/>
      <w:lang w:val="en-US"/>
    </w:rPr>
  </w:style>
  <w:style w:type="paragraph" w:customStyle="1" w:styleId="466">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467">
    <w:name w:val="目录 11"/>
    <w:qFormat/>
    <w:uiPriority w:val="0"/>
    <w:pPr>
      <w:widowControl w:val="0"/>
      <w:tabs>
        <w:tab w:val="right" w:leader="dot" w:pos="9710"/>
      </w:tabs>
      <w:spacing w:line="360" w:lineRule="auto"/>
    </w:pPr>
    <w:rPr>
      <w:rFonts w:ascii="Arial Bold" w:hAnsi="Arial Bold" w:eastAsia="Arial Bold" w:cs="Arial Bold"/>
      <w:caps/>
      <w:color w:val="000000"/>
      <w:kern w:val="2"/>
      <w:sz w:val="24"/>
      <w:szCs w:val="24"/>
      <w:lang w:val="en-US" w:eastAsia="zh-CN" w:bidi="ar-SA"/>
    </w:rPr>
  </w:style>
  <w:style w:type="paragraph" w:customStyle="1" w:styleId="468">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469">
    <w:name w:val="Char1 Char Char Char Char Char Char1"/>
    <w:basedOn w:val="1"/>
    <w:qFormat/>
    <w:uiPriority w:val="0"/>
    <w:rPr>
      <w:szCs w:val="24"/>
    </w:rPr>
  </w:style>
  <w:style w:type="paragraph" w:customStyle="1" w:styleId="470">
    <w:name w:val="xl6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1">
    <w:name w:val="xl14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472">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473">
    <w:name w:val="xl138"/>
    <w:basedOn w:val="1"/>
    <w:qFormat/>
    <w:uiPriority w:val="0"/>
    <w:pPr>
      <w:widowControl/>
      <w:pBdr>
        <w:top w:val="double" w:color="auto" w:sz="6" w:space="0"/>
        <w:left w:val="single" w:color="auto" w:sz="4" w:space="0"/>
      </w:pBdr>
      <w:spacing w:before="100" w:beforeAutospacing="1" w:after="100" w:afterAutospacing="1"/>
      <w:jc w:val="center"/>
    </w:pPr>
    <w:rPr>
      <w:rFonts w:ascii="宋体" w:hAnsi="宋体" w:cs="宋体"/>
      <w:kern w:val="0"/>
      <w:sz w:val="16"/>
      <w:szCs w:val="16"/>
    </w:rPr>
  </w:style>
  <w:style w:type="paragraph" w:customStyle="1" w:styleId="474">
    <w:name w:val="修订12"/>
    <w:unhideWhenUsed/>
    <w:qFormat/>
    <w:uiPriority w:val="99"/>
    <w:rPr>
      <w:rFonts w:ascii="Calibri" w:hAnsi="Calibri" w:eastAsia="宋体" w:cs="Times New Roman"/>
      <w:lang w:val="en-US" w:eastAsia="zh-CN" w:bidi="ar-SA"/>
    </w:rPr>
  </w:style>
  <w:style w:type="paragraph" w:customStyle="1" w:styleId="475">
    <w:name w:val="表格文字中"/>
    <w:basedOn w:val="1"/>
    <w:qFormat/>
    <w:uiPriority w:val="0"/>
    <w:pPr>
      <w:adjustRightInd w:val="0"/>
      <w:snapToGrid w:val="0"/>
      <w:ind w:left="22" w:leftChars="8"/>
      <w:jc w:val="center"/>
    </w:pPr>
    <w:rPr>
      <w:rFonts w:ascii="宋体"/>
      <w:kern w:val="0"/>
      <w:sz w:val="34"/>
      <w:szCs w:val="20"/>
    </w:rPr>
  </w:style>
  <w:style w:type="paragraph" w:customStyle="1" w:styleId="476">
    <w:name w:val="表格文字1"/>
    <w:basedOn w:val="1"/>
    <w:qFormat/>
    <w:uiPriority w:val="0"/>
    <w:pPr>
      <w:adjustRightInd w:val="0"/>
      <w:snapToGrid w:val="0"/>
    </w:pPr>
    <w:rPr>
      <w:rFonts w:ascii="宋体" w:eastAsia="仿宋_GB2312"/>
      <w:kern w:val="0"/>
      <w:sz w:val="34"/>
      <w:szCs w:val="20"/>
    </w:rPr>
  </w:style>
  <w:style w:type="paragraph" w:customStyle="1" w:styleId="477">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kern w:val="2"/>
      <w:sz w:val="24"/>
      <w:szCs w:val="20"/>
    </w:rPr>
  </w:style>
  <w:style w:type="paragraph" w:customStyle="1" w:styleId="478">
    <w:name w:val="TOC 标题111"/>
    <w:basedOn w:val="3"/>
    <w:next w:val="1"/>
    <w:qFormat/>
    <w:uiPriority w:val="0"/>
    <w:pPr>
      <w:widowControl/>
      <w:spacing w:before="480" w:after="0" w:line="276" w:lineRule="auto"/>
      <w:jc w:val="left"/>
      <w:outlineLvl w:val="9"/>
    </w:pPr>
    <w:rPr>
      <w:rFonts w:ascii="Cambria" w:hAnsi="Cambria"/>
      <w:bCs w:val="0"/>
      <w:color w:val="365F91"/>
      <w:kern w:val="0"/>
      <w:sz w:val="28"/>
      <w:szCs w:val="20"/>
      <w:lang w:val="en-US"/>
    </w:rPr>
  </w:style>
  <w:style w:type="paragraph" w:customStyle="1" w:styleId="479">
    <w:name w:val="Table Paragraph"/>
    <w:basedOn w:val="1"/>
    <w:qFormat/>
    <w:uiPriority w:val="1"/>
    <w:pPr>
      <w:jc w:val="left"/>
    </w:pPr>
    <w:rPr>
      <w:rFonts w:ascii="宋体" w:hAnsi="宋体" w:cs="宋体"/>
      <w:kern w:val="0"/>
      <w:sz w:val="22"/>
      <w:lang w:eastAsia="en-US"/>
    </w:rPr>
  </w:style>
  <w:style w:type="paragraph" w:customStyle="1" w:styleId="480">
    <w:name w:val="TOC 标题12"/>
    <w:basedOn w:val="3"/>
    <w:next w:val="1"/>
    <w:qFormat/>
    <w:uiPriority w:val="39"/>
    <w:pPr>
      <w:widowControl/>
      <w:spacing w:before="480" w:after="0" w:line="276" w:lineRule="auto"/>
      <w:jc w:val="left"/>
      <w:outlineLvl w:val="9"/>
    </w:pPr>
    <w:rPr>
      <w:rFonts w:ascii="Cambria" w:hAnsi="Cambria"/>
      <w:color w:val="365F91"/>
      <w:kern w:val="0"/>
      <w:sz w:val="28"/>
      <w:szCs w:val="28"/>
      <w:lang w:val="en-US"/>
    </w:rPr>
  </w:style>
  <w:style w:type="paragraph" w:customStyle="1" w:styleId="481">
    <w:name w:val="表注1"/>
    <w:basedOn w:val="1"/>
    <w:qFormat/>
    <w:uiPriority w:val="0"/>
    <w:pPr>
      <w:adjustRightInd w:val="0"/>
      <w:snapToGrid w:val="0"/>
      <w:spacing w:line="300" w:lineRule="auto"/>
      <w:ind w:left="350" w:hanging="350" w:hangingChars="350"/>
    </w:pPr>
    <w:rPr>
      <w:rFonts w:ascii="宋体" w:eastAsia="仿宋_GB2312"/>
      <w:bCs/>
      <w:color w:val="000000"/>
      <w:kern w:val="0"/>
      <w:sz w:val="34"/>
      <w:szCs w:val="20"/>
    </w:rPr>
  </w:style>
  <w:style w:type="paragraph" w:customStyle="1" w:styleId="482">
    <w:name w:val="Char Char Char1"/>
    <w:basedOn w:val="1"/>
    <w:qFormat/>
    <w:uiPriority w:val="0"/>
    <w:rPr>
      <w:szCs w:val="24"/>
    </w:rPr>
  </w:style>
  <w:style w:type="paragraph" w:customStyle="1" w:styleId="483">
    <w:name w:val="xl125"/>
    <w:basedOn w:val="1"/>
    <w:qFormat/>
    <w:uiPriority w:val="0"/>
    <w:pPr>
      <w:widowControl/>
      <w:spacing w:before="100" w:beforeAutospacing="1" w:after="100" w:afterAutospacing="1"/>
      <w:jc w:val="center"/>
    </w:pPr>
    <w:rPr>
      <w:rFonts w:ascii="黑体" w:hAnsi="黑体" w:eastAsia="黑体" w:cs="宋体"/>
      <w:kern w:val="0"/>
      <w:sz w:val="28"/>
      <w:szCs w:val="28"/>
    </w:rPr>
  </w:style>
  <w:style w:type="paragraph" w:customStyle="1" w:styleId="484">
    <w:name w:val="xl6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5">
    <w:name w:val="reader-word-layer reader-word-s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6">
    <w:name w:val="样式32"/>
    <w:basedOn w:val="36"/>
    <w:qFormat/>
    <w:uiPriority w:val="0"/>
    <w:pPr>
      <w:spacing w:line="360" w:lineRule="auto"/>
      <w:ind w:firstLine="360" w:firstLineChars="200"/>
    </w:pPr>
    <w:rPr>
      <w:rFonts w:ascii="Calibri" w:hAnsi="Calibri"/>
      <w:lang w:val="en-US"/>
    </w:rPr>
  </w:style>
  <w:style w:type="paragraph" w:customStyle="1" w:styleId="487">
    <w:name w:val="列出段落1"/>
    <w:basedOn w:val="1"/>
    <w:link w:val="557"/>
    <w:qFormat/>
    <w:uiPriority w:val="0"/>
    <w:pPr>
      <w:ind w:firstLine="420" w:firstLineChars="200"/>
    </w:pPr>
  </w:style>
  <w:style w:type="paragraph" w:customStyle="1" w:styleId="488">
    <w:name w:val="xl13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89">
    <w:name w:val="修订3"/>
    <w:qFormat/>
    <w:uiPriority w:val="0"/>
    <w:rPr>
      <w:rFonts w:ascii="Times New Roman" w:hAnsi="Times New Roman" w:eastAsia="楷体_GB2312" w:cs="Times New Roman"/>
      <w:kern w:val="2"/>
      <w:sz w:val="21"/>
      <w:lang w:val="en-US" w:eastAsia="zh-CN" w:bidi="ar-SA"/>
    </w:rPr>
  </w:style>
  <w:style w:type="paragraph" w:customStyle="1" w:styleId="490">
    <w:name w:val="文二"/>
    <w:basedOn w:val="1"/>
    <w:qFormat/>
    <w:uiPriority w:val="0"/>
    <w:pPr>
      <w:jc w:val="left"/>
    </w:pPr>
    <w:rPr>
      <w:rFonts w:ascii="宋体" w:hAnsi="宋体"/>
      <w:szCs w:val="21"/>
    </w:rPr>
  </w:style>
  <w:style w:type="paragraph" w:customStyle="1" w:styleId="491">
    <w:name w:val="表格文字"/>
    <w:basedOn w:val="1"/>
    <w:qFormat/>
    <w:uiPriority w:val="0"/>
    <w:pPr>
      <w:adjustRightInd w:val="0"/>
      <w:snapToGrid w:val="0"/>
      <w:ind w:left="-57" w:right="-57"/>
      <w:jc w:val="center"/>
    </w:pPr>
    <w:rPr>
      <w:rFonts w:ascii="宋体" w:hAnsi="Times New Roman"/>
      <w:sz w:val="24"/>
      <w:szCs w:val="20"/>
    </w:rPr>
  </w:style>
  <w:style w:type="paragraph" w:customStyle="1" w:styleId="492">
    <w:name w:val="xl27"/>
    <w:basedOn w:val="1"/>
    <w:qFormat/>
    <w:uiPriority w:val="0"/>
    <w:pPr>
      <w:widowControl/>
      <w:pBdr>
        <w:left w:val="single" w:color="auto" w:sz="4" w:space="0"/>
      </w:pBdr>
      <w:spacing w:before="100" w:beforeAutospacing="1" w:after="100" w:afterAutospacing="1"/>
      <w:jc w:val="center"/>
    </w:pPr>
    <w:rPr>
      <w:rFonts w:hint="eastAsia" w:ascii="仿宋_GB2312" w:hAnsi="宋体" w:eastAsia="仿宋_GB2312"/>
      <w:kern w:val="0"/>
      <w:sz w:val="24"/>
      <w:szCs w:val="24"/>
    </w:rPr>
  </w:style>
  <w:style w:type="paragraph" w:customStyle="1" w:styleId="493">
    <w:name w:val="样式1"/>
    <w:basedOn w:val="6"/>
    <w:link w:val="563"/>
    <w:qFormat/>
    <w:uiPriority w:val="0"/>
    <w:pPr>
      <w:spacing w:before="30" w:after="0" w:line="240" w:lineRule="auto"/>
    </w:pPr>
    <w:rPr>
      <w:rFonts w:ascii="Arial" w:hAnsi="Arial" w:eastAsia="黑体"/>
      <w:b w:val="0"/>
      <w:bCs w:val="0"/>
      <w:sz w:val="21"/>
      <w:lang w:eastAsia="ja-JP"/>
    </w:rPr>
  </w:style>
  <w:style w:type="paragraph" w:customStyle="1" w:styleId="494">
    <w:name w:val="正文 A"/>
    <w:qFormat/>
    <w:uiPriority w:val="0"/>
    <w:pPr>
      <w:widowControl w:val="0"/>
      <w:jc w:val="both"/>
    </w:pPr>
    <w:rPr>
      <w:rFonts w:ascii="Calibri" w:hAnsi="Arial Unicode MS" w:eastAsia="Arial Unicode MS" w:cs="Arial Unicode MS"/>
      <w:color w:val="000000"/>
      <w:kern w:val="2"/>
      <w:sz w:val="21"/>
      <w:szCs w:val="21"/>
      <w:lang w:val="en-US" w:eastAsia="zh-CN" w:bidi="ar-SA"/>
    </w:rPr>
  </w:style>
  <w:style w:type="paragraph" w:customStyle="1" w:styleId="49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496">
    <w:name w:val="xl167"/>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sz w:val="20"/>
      <w:szCs w:val="20"/>
    </w:rPr>
  </w:style>
  <w:style w:type="paragraph" w:customStyle="1" w:styleId="497">
    <w:name w:val="段"/>
    <w:qFormat/>
    <w:uiPriority w:val="0"/>
    <w:pPr>
      <w:numPr>
        <w:ilvl w:val="0"/>
        <w:numId w:val="2"/>
      </w:numPr>
      <w:autoSpaceDE w:val="0"/>
      <w:autoSpaceDN w:val="0"/>
      <w:jc w:val="both"/>
    </w:pPr>
    <w:rPr>
      <w:rFonts w:ascii="宋体" w:hAnsi="Calibri" w:eastAsia="宋体" w:cs="Times New Roman"/>
      <w:sz w:val="21"/>
      <w:szCs w:val="22"/>
      <w:lang w:val="en-US" w:eastAsia="zh-CN" w:bidi="ar-SA"/>
    </w:rPr>
  </w:style>
  <w:style w:type="paragraph" w:customStyle="1" w:styleId="49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99">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500">
    <w:name w:val="xl1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02">
    <w:name w:val="xl160"/>
    <w:basedOn w:val="1"/>
    <w:qFormat/>
    <w:uiPriority w:val="0"/>
    <w:pPr>
      <w:widowControl/>
      <w:pBdr>
        <w:left w:val="single" w:color="auto" w:sz="4" w:space="0"/>
        <w:bottom w:val="double" w:color="auto" w:sz="6" w:space="0"/>
      </w:pBdr>
      <w:spacing w:before="100" w:beforeAutospacing="1" w:after="100" w:afterAutospacing="1"/>
      <w:jc w:val="center"/>
    </w:pPr>
    <w:rPr>
      <w:rFonts w:ascii="宋体" w:hAnsi="宋体" w:cs="宋体"/>
      <w:color w:val="000000"/>
      <w:kern w:val="0"/>
      <w:sz w:val="16"/>
      <w:szCs w:val="16"/>
    </w:rPr>
  </w:style>
  <w:style w:type="paragraph" w:customStyle="1" w:styleId="50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2"/>
      <w:sz w:val="28"/>
      <w:szCs w:val="20"/>
      <w:lang w:val="en-US"/>
    </w:rPr>
  </w:style>
  <w:style w:type="paragraph" w:customStyle="1" w:styleId="504">
    <w:name w:val="xl162"/>
    <w:basedOn w:val="1"/>
    <w:qFormat/>
    <w:uiPriority w:val="0"/>
    <w:pPr>
      <w:widowControl/>
      <w:pBdr>
        <w:top w:val="double" w:color="auto" w:sz="6" w:space="0"/>
        <w:left w:val="single" w:color="auto" w:sz="4" w:space="0"/>
      </w:pBdr>
      <w:spacing w:before="100" w:beforeAutospacing="1" w:after="100" w:afterAutospacing="1"/>
      <w:jc w:val="center"/>
    </w:pPr>
    <w:rPr>
      <w:rFonts w:ascii="宋体" w:hAnsi="宋体" w:cs="宋体"/>
      <w:color w:val="0000FF"/>
      <w:kern w:val="0"/>
      <w:sz w:val="16"/>
      <w:szCs w:val="16"/>
    </w:rPr>
  </w:style>
  <w:style w:type="paragraph" w:customStyle="1" w:styleId="505">
    <w:name w:val="xl10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66FF"/>
      <w:kern w:val="0"/>
      <w:sz w:val="16"/>
      <w:szCs w:val="16"/>
    </w:rPr>
  </w:style>
  <w:style w:type="paragraph" w:customStyle="1" w:styleId="50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07">
    <w:name w:val="Z5"/>
    <w:basedOn w:val="1"/>
    <w:qFormat/>
    <w:uiPriority w:val="0"/>
    <w:pPr>
      <w:autoSpaceDE w:val="0"/>
      <w:autoSpaceDN w:val="0"/>
      <w:adjustRightInd w:val="0"/>
      <w:spacing w:line="360" w:lineRule="auto"/>
      <w:ind w:firstLine="420" w:firstLineChars="200"/>
      <w:jc w:val="left"/>
    </w:pPr>
    <w:rPr>
      <w:rFonts w:ascii="宋体" w:cs="宋体"/>
      <w:kern w:val="0"/>
      <w:szCs w:val="21"/>
    </w:rPr>
  </w:style>
  <w:style w:type="paragraph" w:customStyle="1" w:styleId="508">
    <w:name w:val="条目2"/>
    <w:basedOn w:val="1"/>
    <w:qFormat/>
    <w:uiPriority w:val="0"/>
    <w:pPr>
      <w:tabs>
        <w:tab w:val="left" w:pos="780"/>
      </w:tabs>
      <w:overflowPunct w:val="0"/>
      <w:autoSpaceDE w:val="0"/>
      <w:autoSpaceDN w:val="0"/>
      <w:adjustRightInd w:val="0"/>
      <w:snapToGrid w:val="0"/>
      <w:spacing w:beforeLines="100" w:after="100" w:afterAutospacing="1"/>
      <w:ind w:left="780" w:hanging="360"/>
    </w:pPr>
    <w:rPr>
      <w:rFonts w:ascii="宋体" w:hAnsi="宋体"/>
      <w:kern w:val="0"/>
      <w:sz w:val="24"/>
      <w:lang w:val="fr-FR"/>
    </w:rPr>
  </w:style>
  <w:style w:type="paragraph" w:customStyle="1" w:styleId="509">
    <w:name w:val="修订2"/>
    <w:unhideWhenUsed/>
    <w:qFormat/>
    <w:uiPriority w:val="0"/>
    <w:rPr>
      <w:rFonts w:ascii="Calibri" w:hAnsi="Calibri" w:eastAsia="宋体" w:cs="Times New Roman"/>
      <w:kern w:val="2"/>
      <w:sz w:val="24"/>
      <w:szCs w:val="24"/>
      <w:lang w:val="en-US" w:eastAsia="zh-CN" w:bidi="ar-SA"/>
    </w:rPr>
  </w:style>
  <w:style w:type="paragraph" w:customStyle="1" w:styleId="510">
    <w:name w:val="无间隔11"/>
    <w:link w:val="536"/>
    <w:qFormat/>
    <w:uiPriority w:val="0"/>
    <w:pPr>
      <w:widowControl w:val="0"/>
      <w:jc w:val="both"/>
    </w:pPr>
    <w:rPr>
      <w:rFonts w:ascii="等线" w:hAnsi="等线" w:eastAsia="等线" w:cs="Times New Roman"/>
      <w:kern w:val="2"/>
      <w:sz w:val="18"/>
      <w:szCs w:val="22"/>
      <w:lang w:val="en-US" w:eastAsia="zh-CN" w:bidi="ar-SA"/>
    </w:rPr>
  </w:style>
  <w:style w:type="paragraph" w:customStyle="1" w:styleId="511">
    <w:name w:val="列出段落11"/>
    <w:basedOn w:val="1"/>
    <w:unhideWhenUsed/>
    <w:qFormat/>
    <w:uiPriority w:val="34"/>
    <w:pPr>
      <w:ind w:firstLine="420" w:firstLineChars="200"/>
    </w:pPr>
    <w:rPr>
      <w:szCs w:val="24"/>
    </w:rPr>
  </w:style>
  <w:style w:type="paragraph" w:customStyle="1" w:styleId="512">
    <w:name w:val="默认段落字体 Para Char Char Char Char"/>
    <w:basedOn w:val="1"/>
    <w:qFormat/>
    <w:uiPriority w:val="0"/>
    <w:rPr>
      <w:szCs w:val="24"/>
    </w:rPr>
  </w:style>
  <w:style w:type="paragraph" w:customStyle="1" w:styleId="513">
    <w:name w:val="xl166"/>
    <w:basedOn w:val="1"/>
    <w:qFormat/>
    <w:uiPriority w:val="0"/>
    <w:pPr>
      <w:widowControl/>
      <w:pBdr>
        <w:left w:val="single" w:color="auto" w:sz="4" w:space="0"/>
        <w:bottom w:val="single" w:color="auto" w:sz="8" w:space="0"/>
      </w:pBdr>
      <w:spacing w:before="100" w:beforeAutospacing="1" w:after="100" w:afterAutospacing="1"/>
      <w:jc w:val="center"/>
    </w:pPr>
    <w:rPr>
      <w:rFonts w:ascii="宋体" w:hAnsi="宋体" w:cs="宋体"/>
      <w:kern w:val="0"/>
      <w:sz w:val="20"/>
      <w:szCs w:val="20"/>
    </w:rPr>
  </w:style>
  <w:style w:type="paragraph" w:customStyle="1" w:styleId="514">
    <w:name w:val="Definition Term"/>
    <w:basedOn w:val="1"/>
    <w:next w:val="1"/>
    <w:qFormat/>
    <w:uiPriority w:val="0"/>
    <w:pPr>
      <w:autoSpaceDE w:val="0"/>
      <w:autoSpaceDN w:val="0"/>
      <w:adjustRightInd w:val="0"/>
      <w:jc w:val="left"/>
    </w:pPr>
    <w:rPr>
      <w:kern w:val="0"/>
      <w:sz w:val="24"/>
      <w:szCs w:val="20"/>
    </w:rPr>
  </w:style>
  <w:style w:type="paragraph" w:customStyle="1" w:styleId="51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16">
    <w:name w:val="xl1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17">
    <w:name w:val="imclear"/>
    <w:basedOn w:val="1"/>
    <w:qFormat/>
    <w:uiPriority w:val="0"/>
    <w:pPr>
      <w:widowControl/>
      <w:spacing w:before="100" w:beforeAutospacing="1" w:after="100" w:afterAutospacing="1" w:line="0" w:lineRule="atLeast"/>
      <w:jc w:val="left"/>
    </w:pPr>
    <w:rPr>
      <w:rFonts w:ascii="宋体" w:hAnsi="宋体" w:cs="宋体"/>
      <w:kern w:val="0"/>
      <w:sz w:val="2"/>
      <w:szCs w:val="2"/>
    </w:rPr>
  </w:style>
  <w:style w:type="paragraph" w:customStyle="1" w:styleId="518">
    <w:name w:val="xl113"/>
    <w:basedOn w:val="1"/>
    <w:qFormat/>
    <w:uiPriority w:val="0"/>
    <w:pPr>
      <w:widowControl/>
      <w:pBdr>
        <w:top w:val="double" w:color="auto" w:sz="6" w:space="0"/>
        <w:left w:val="single" w:color="auto" w:sz="8" w:space="0"/>
        <w:bottom w:val="single" w:color="auto" w:sz="4" w:space="0"/>
        <w:right w:val="single" w:color="auto" w:sz="8" w:space="0"/>
      </w:pBdr>
      <w:spacing w:before="100" w:beforeAutospacing="1" w:after="100" w:afterAutospacing="1"/>
      <w:jc w:val="left"/>
      <w:textAlignment w:val="top"/>
    </w:pPr>
    <w:rPr>
      <w:rFonts w:ascii="宋体" w:hAnsi="宋体" w:cs="宋体"/>
      <w:kern w:val="0"/>
      <w:sz w:val="16"/>
      <w:szCs w:val="16"/>
    </w:rPr>
  </w:style>
  <w:style w:type="table" w:customStyle="1" w:styleId="519">
    <w:name w:val="Table Normal"/>
    <w:qFormat/>
    <w:uiPriority w:val="2"/>
    <w:tblPr>
      <w:tblCellMar>
        <w:top w:w="0" w:type="dxa"/>
        <w:left w:w="0" w:type="dxa"/>
        <w:bottom w:w="0" w:type="dxa"/>
        <w:right w:w="0" w:type="dxa"/>
      </w:tblCellMar>
    </w:tblPr>
  </w:style>
  <w:style w:type="table" w:customStyle="1" w:styleId="520">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1">
    <w:name w:val="TOC 标题4"/>
    <w:basedOn w:val="3"/>
    <w:next w:val="1"/>
    <w:unhideWhenUsed/>
    <w:qFormat/>
    <w:uiPriority w:val="39"/>
    <w:pPr>
      <w:outlineLvl w:val="9"/>
    </w:pPr>
    <w:rPr>
      <w:lang w:val="en-US"/>
    </w:rPr>
  </w:style>
  <w:style w:type="character" w:customStyle="1" w:styleId="522">
    <w:name w:val="样式3 Char"/>
    <w:link w:val="418"/>
    <w:qFormat/>
    <w:uiPriority w:val="0"/>
    <w:rPr>
      <w:rFonts w:ascii="楷体_GB2312" w:hAnsi="新宋体" w:eastAsia="楷体_GB2312"/>
      <w:kern w:val="2"/>
      <w:sz w:val="24"/>
    </w:rPr>
  </w:style>
  <w:style w:type="character" w:customStyle="1" w:styleId="523">
    <w:name w:val="正文(仿)首缩 Char"/>
    <w:link w:val="524"/>
    <w:qFormat/>
    <w:locked/>
    <w:uiPriority w:val="0"/>
    <w:rPr>
      <w:rFonts w:ascii="仿宋_GB2312" w:eastAsia="仿宋_GB2312"/>
      <w:sz w:val="28"/>
    </w:rPr>
  </w:style>
  <w:style w:type="paragraph" w:customStyle="1" w:styleId="524">
    <w:name w:val="正文(仿)首缩"/>
    <w:basedOn w:val="1"/>
    <w:link w:val="523"/>
    <w:qFormat/>
    <w:uiPriority w:val="0"/>
    <w:pPr>
      <w:ind w:firstLine="554" w:firstLineChars="200"/>
    </w:pPr>
    <w:rPr>
      <w:rFonts w:ascii="仿宋_GB2312" w:eastAsia="仿宋_GB2312"/>
      <w:kern w:val="0"/>
      <w:sz w:val="28"/>
      <w:szCs w:val="20"/>
    </w:rPr>
  </w:style>
  <w:style w:type="character" w:customStyle="1" w:styleId="525">
    <w:name w:val="3eee Char"/>
    <w:link w:val="526"/>
    <w:qFormat/>
    <w:uiPriority w:val="0"/>
    <w:rPr>
      <w:rFonts w:ascii="Courier New" w:hAnsi="Courier New" w:eastAsia="Courier New"/>
      <w:sz w:val="24"/>
      <w:szCs w:val="24"/>
    </w:rPr>
  </w:style>
  <w:style w:type="paragraph" w:customStyle="1" w:styleId="526">
    <w:name w:val="3eee"/>
    <w:basedOn w:val="1"/>
    <w:link w:val="525"/>
    <w:qFormat/>
    <w:uiPriority w:val="0"/>
    <w:pPr>
      <w:spacing w:line="440" w:lineRule="exact"/>
      <w:ind w:firstLine="480" w:firstLineChars="200"/>
    </w:pPr>
    <w:rPr>
      <w:rFonts w:ascii="Courier New" w:hAnsi="Courier New" w:eastAsia="Courier New"/>
      <w:kern w:val="0"/>
      <w:sz w:val="24"/>
      <w:szCs w:val="24"/>
    </w:rPr>
  </w:style>
  <w:style w:type="character" w:customStyle="1" w:styleId="527">
    <w:name w:val="18"/>
    <w:qFormat/>
    <w:uiPriority w:val="0"/>
    <w:rPr>
      <w:rFonts w:hint="default" w:ascii="Calibri" w:hAnsi="Calibri" w:cs="Calibri"/>
      <w:b/>
      <w:bCs/>
      <w:sz w:val="30"/>
      <w:szCs w:val="30"/>
    </w:rPr>
  </w:style>
  <w:style w:type="character" w:customStyle="1" w:styleId="528">
    <w:name w:val="样式 宋体 小四 Char"/>
    <w:link w:val="529"/>
    <w:qFormat/>
    <w:uiPriority w:val="0"/>
    <w:rPr>
      <w:rFonts w:ascii="Courier New" w:hAnsi="Courier New" w:eastAsia="Courier New"/>
      <w:sz w:val="24"/>
    </w:rPr>
  </w:style>
  <w:style w:type="paragraph" w:customStyle="1" w:styleId="529">
    <w:name w:val="样式 宋体 小四"/>
    <w:basedOn w:val="1"/>
    <w:link w:val="528"/>
    <w:qFormat/>
    <w:uiPriority w:val="0"/>
    <w:pPr>
      <w:adjustRightInd w:val="0"/>
      <w:snapToGrid w:val="0"/>
      <w:spacing w:line="480" w:lineRule="exact"/>
      <w:ind w:firstLine="200" w:firstLineChars="200"/>
    </w:pPr>
    <w:rPr>
      <w:rFonts w:ascii="Courier New" w:hAnsi="Courier New" w:eastAsia="Courier New"/>
      <w:kern w:val="0"/>
      <w:sz w:val="24"/>
      <w:szCs w:val="20"/>
    </w:rPr>
  </w:style>
  <w:style w:type="character" w:customStyle="1" w:styleId="530">
    <w:name w:val="样式 小四 首行缩进:  0.85 厘米 行距: 1.5 倍行距 Char1"/>
    <w:link w:val="531"/>
    <w:qFormat/>
    <w:uiPriority w:val="0"/>
    <w:rPr>
      <w:rFonts w:ascii="Courier New" w:hAnsi="Courier New" w:eastAsia="Courier New"/>
      <w:bCs/>
      <w:sz w:val="24"/>
      <w:szCs w:val="28"/>
    </w:rPr>
  </w:style>
  <w:style w:type="paragraph" w:customStyle="1" w:styleId="531">
    <w:name w:val="样式 小四 首行缩进:  0.85 厘米 行距: 1.5 倍行距"/>
    <w:basedOn w:val="1"/>
    <w:next w:val="1"/>
    <w:link w:val="530"/>
    <w:qFormat/>
    <w:uiPriority w:val="0"/>
    <w:pPr>
      <w:spacing w:line="360" w:lineRule="auto"/>
      <w:ind w:firstLine="480"/>
    </w:pPr>
    <w:rPr>
      <w:rFonts w:ascii="Courier New" w:hAnsi="Courier New" w:eastAsia="Courier New"/>
      <w:bCs/>
      <w:kern w:val="0"/>
      <w:sz w:val="24"/>
      <w:szCs w:val="28"/>
    </w:rPr>
  </w:style>
  <w:style w:type="character" w:customStyle="1" w:styleId="532">
    <w:name w:val="19"/>
    <w:qFormat/>
    <w:uiPriority w:val="0"/>
    <w:rPr>
      <w:rFonts w:hint="default" w:ascii="Calibri" w:hAnsi="Calibri" w:cs="Calibri"/>
      <w:b/>
      <w:bCs/>
      <w:kern w:val="44"/>
      <w:sz w:val="44"/>
      <w:szCs w:val="44"/>
    </w:rPr>
  </w:style>
  <w:style w:type="character" w:customStyle="1" w:styleId="533">
    <w:name w:val="10"/>
    <w:qFormat/>
    <w:uiPriority w:val="0"/>
    <w:rPr>
      <w:rFonts w:hint="default" w:ascii="Calibri" w:hAnsi="Calibri" w:cs="Calibri"/>
    </w:rPr>
  </w:style>
  <w:style w:type="character" w:customStyle="1" w:styleId="534">
    <w:name w:val="插图名称 Char"/>
    <w:link w:val="535"/>
    <w:qFormat/>
    <w:uiPriority w:val="0"/>
    <w:rPr>
      <w:rFonts w:eastAsia="Times New Roman"/>
      <w:kern w:val="2"/>
      <w:sz w:val="21"/>
      <w:szCs w:val="24"/>
    </w:rPr>
  </w:style>
  <w:style w:type="paragraph" w:customStyle="1" w:styleId="535">
    <w:name w:val="插图名称"/>
    <w:link w:val="534"/>
    <w:qFormat/>
    <w:uiPriority w:val="0"/>
    <w:pPr>
      <w:jc w:val="center"/>
      <w:outlineLvl w:val="8"/>
    </w:pPr>
    <w:rPr>
      <w:rFonts w:ascii="Calibri" w:hAnsi="Calibri" w:eastAsia="Times New Roman" w:cs="Times New Roman"/>
      <w:kern w:val="2"/>
      <w:sz w:val="21"/>
      <w:szCs w:val="24"/>
      <w:lang w:val="en-US" w:eastAsia="zh-CN" w:bidi="ar-SA"/>
    </w:rPr>
  </w:style>
  <w:style w:type="character" w:customStyle="1" w:styleId="536">
    <w:name w:val="无间隔 Char"/>
    <w:link w:val="510"/>
    <w:qFormat/>
    <w:locked/>
    <w:uiPriority w:val="0"/>
    <w:rPr>
      <w:rFonts w:ascii="等线" w:hAnsi="等线" w:eastAsia="等线"/>
      <w:kern w:val="2"/>
      <w:sz w:val="18"/>
      <w:szCs w:val="22"/>
    </w:rPr>
  </w:style>
  <w:style w:type="character" w:customStyle="1" w:styleId="537">
    <w:name w:val="Char Char102"/>
    <w:qFormat/>
    <w:uiPriority w:val="0"/>
    <w:rPr>
      <w:rFonts w:ascii="宋体" w:hAnsi="Courier New" w:eastAsia="宋体" w:cs="Times New Roman"/>
      <w:szCs w:val="20"/>
    </w:rPr>
  </w:style>
  <w:style w:type="character" w:customStyle="1" w:styleId="538">
    <w:name w:val="表格文字 Char"/>
    <w:qFormat/>
    <w:locked/>
    <w:uiPriority w:val="0"/>
    <w:rPr>
      <w:rFonts w:ascii="宋体" w:hAnsi="Courier New"/>
    </w:rPr>
  </w:style>
  <w:style w:type="character" w:customStyle="1" w:styleId="539">
    <w:name w:val="正文首行缩进 2 Char"/>
    <w:link w:val="53"/>
    <w:qFormat/>
    <w:uiPriority w:val="0"/>
    <w:rPr>
      <w:szCs w:val="24"/>
    </w:rPr>
  </w:style>
  <w:style w:type="character" w:customStyle="1" w:styleId="540">
    <w:name w:val="表格00 Char1"/>
    <w:link w:val="541"/>
    <w:qFormat/>
    <w:uiPriority w:val="0"/>
    <w:rPr>
      <w:rFonts w:eastAsia="Times New Roman"/>
      <w:kern w:val="2"/>
      <w:sz w:val="21"/>
      <w:szCs w:val="21"/>
    </w:rPr>
  </w:style>
  <w:style w:type="paragraph" w:customStyle="1" w:styleId="541">
    <w:name w:val="表格00"/>
    <w:link w:val="540"/>
    <w:qFormat/>
    <w:uiPriority w:val="0"/>
    <w:pPr>
      <w:widowControl w:val="0"/>
      <w:adjustRightInd w:val="0"/>
      <w:spacing w:line="140" w:lineRule="atLeast"/>
      <w:jc w:val="center"/>
      <w:outlineLvl w:val="8"/>
    </w:pPr>
    <w:rPr>
      <w:rFonts w:ascii="Calibri" w:hAnsi="Calibri" w:eastAsia="Times New Roman" w:cs="Times New Roman"/>
      <w:kern w:val="2"/>
      <w:sz w:val="21"/>
      <w:szCs w:val="21"/>
      <w:lang w:val="en-US" w:eastAsia="zh-CN" w:bidi="ar-SA"/>
    </w:rPr>
  </w:style>
  <w:style w:type="character" w:customStyle="1" w:styleId="542">
    <w:name w:val="16"/>
    <w:qFormat/>
    <w:uiPriority w:val="0"/>
    <w:rPr>
      <w:rFonts w:hint="default" w:ascii="Calibri" w:hAnsi="Calibri" w:cs="Calibri"/>
      <w:color w:val="0000FF"/>
      <w:u w:val="single"/>
    </w:rPr>
  </w:style>
  <w:style w:type="character" w:customStyle="1" w:styleId="543">
    <w:name w:val="泉州师院正文 Char"/>
    <w:link w:val="544"/>
    <w:qFormat/>
    <w:uiPriority w:val="0"/>
    <w:rPr>
      <w:sz w:val="24"/>
      <w:szCs w:val="24"/>
    </w:rPr>
  </w:style>
  <w:style w:type="paragraph" w:customStyle="1" w:styleId="544">
    <w:name w:val="泉州师院正文"/>
    <w:basedOn w:val="1"/>
    <w:link w:val="543"/>
    <w:qFormat/>
    <w:uiPriority w:val="0"/>
    <w:pPr>
      <w:spacing w:line="360" w:lineRule="auto"/>
      <w:ind w:firstLine="480" w:firstLineChars="200"/>
    </w:pPr>
    <w:rPr>
      <w:kern w:val="0"/>
      <w:sz w:val="24"/>
      <w:szCs w:val="24"/>
    </w:rPr>
  </w:style>
  <w:style w:type="character" w:customStyle="1" w:styleId="545">
    <w:name w:val="一级标题 Char"/>
    <w:link w:val="546"/>
    <w:qFormat/>
    <w:uiPriority w:val="0"/>
    <w:rPr>
      <w:b/>
      <w:sz w:val="30"/>
      <w:szCs w:val="30"/>
    </w:rPr>
  </w:style>
  <w:style w:type="paragraph" w:customStyle="1" w:styleId="546">
    <w:name w:val="一级标题"/>
    <w:basedOn w:val="1"/>
    <w:link w:val="545"/>
    <w:qFormat/>
    <w:uiPriority w:val="0"/>
    <w:pPr>
      <w:spacing w:line="360" w:lineRule="auto"/>
      <w:outlineLvl w:val="0"/>
    </w:pPr>
    <w:rPr>
      <w:b/>
      <w:kern w:val="0"/>
      <w:sz w:val="30"/>
      <w:szCs w:val="30"/>
    </w:rPr>
  </w:style>
  <w:style w:type="character" w:customStyle="1" w:styleId="547">
    <w:name w:val="15"/>
    <w:qFormat/>
    <w:uiPriority w:val="0"/>
    <w:rPr>
      <w:rFonts w:hint="default" w:ascii="Calibri" w:hAnsi="Calibri" w:cs="Calibri"/>
      <w:color w:val="0000FF"/>
      <w:u w:val="single"/>
    </w:rPr>
  </w:style>
  <w:style w:type="character" w:customStyle="1" w:styleId="548">
    <w:name w:val="17"/>
    <w:qFormat/>
    <w:uiPriority w:val="0"/>
    <w:rPr>
      <w:rFonts w:hint="default" w:ascii="Calibri" w:hAnsi="Calibri" w:cs="Calibri"/>
    </w:rPr>
  </w:style>
  <w:style w:type="character" w:customStyle="1" w:styleId="549">
    <w:name w:val="正文首行缩进 2 Char1"/>
    <w:basedOn w:val="245"/>
    <w:semiHidden/>
    <w:qFormat/>
    <w:uiPriority w:val="99"/>
    <w:rPr>
      <w:rFonts w:ascii="Times New Roman" w:hAnsi="Times New Roman" w:eastAsia="宋体" w:cs="Times New Roman"/>
      <w:kern w:val="2"/>
      <w:sz w:val="21"/>
      <w:szCs w:val="22"/>
    </w:rPr>
  </w:style>
  <w:style w:type="paragraph" w:customStyle="1" w:styleId="550">
    <w:name w:val="正文图标题"/>
    <w:next w:val="1"/>
    <w:qFormat/>
    <w:uiPriority w:val="0"/>
    <w:pPr>
      <w:tabs>
        <w:tab w:val="left" w:pos="420"/>
      </w:tabs>
      <w:ind w:left="567" w:hanging="279"/>
      <w:jc w:val="center"/>
    </w:pPr>
    <w:rPr>
      <w:rFonts w:ascii="黑体" w:hAnsi="Calibri" w:eastAsia="黑体" w:cs="Times New Roman"/>
      <w:sz w:val="21"/>
      <w:lang w:val="en-US" w:eastAsia="zh-CN" w:bidi="ar-SA"/>
    </w:rPr>
  </w:style>
  <w:style w:type="paragraph" w:customStyle="1" w:styleId="551">
    <w:name w:val="CM15"/>
    <w:basedOn w:val="1"/>
    <w:next w:val="1"/>
    <w:qFormat/>
    <w:uiPriority w:val="0"/>
    <w:pPr>
      <w:autoSpaceDE w:val="0"/>
      <w:autoSpaceDN w:val="0"/>
      <w:adjustRightInd w:val="0"/>
      <w:spacing w:line="468" w:lineRule="atLeast"/>
      <w:jc w:val="left"/>
    </w:pPr>
    <w:rPr>
      <w:rFonts w:ascii="黑体" w:eastAsia="黑体"/>
      <w:kern w:val="0"/>
      <w:sz w:val="24"/>
      <w:szCs w:val="24"/>
    </w:rPr>
  </w:style>
  <w:style w:type="paragraph" w:styleId="552">
    <w:name w:val="No Spacing"/>
    <w:qFormat/>
    <w:uiPriority w:val="0"/>
    <w:pPr>
      <w:widowControl w:val="0"/>
      <w:jc w:val="both"/>
    </w:pPr>
    <w:rPr>
      <w:rFonts w:ascii="Calibri" w:hAnsi="Calibri" w:eastAsia="Times New Roman" w:cs="Times New Roman"/>
      <w:kern w:val="2"/>
      <w:sz w:val="24"/>
      <w:szCs w:val="24"/>
      <w:lang w:val="en-US" w:eastAsia="zh-CN" w:bidi="ar-SA"/>
    </w:rPr>
  </w:style>
  <w:style w:type="paragraph" w:customStyle="1" w:styleId="553">
    <w:name w:val="_Style 59"/>
    <w:qFormat/>
    <w:uiPriority w:val="0"/>
    <w:pPr>
      <w:spacing w:after="160" w:line="240" w:lineRule="exact"/>
    </w:pPr>
    <w:rPr>
      <w:rFonts w:ascii="Calibri" w:hAnsi="Calibri" w:eastAsia="宋体" w:cs="Times New Roman"/>
      <w:lang w:val="en-US" w:eastAsia="zh-CN" w:bidi="ar-SA"/>
    </w:rPr>
  </w:style>
  <w:style w:type="paragraph" w:customStyle="1" w:styleId="554">
    <w:name w:val="修订4"/>
    <w:qFormat/>
    <w:uiPriority w:val="0"/>
    <w:rPr>
      <w:rFonts w:ascii="Calibri" w:hAnsi="Calibri" w:eastAsia="宋体" w:cs="Times New Roman"/>
      <w:kern w:val="2"/>
      <w:sz w:val="21"/>
      <w:szCs w:val="24"/>
      <w:lang w:val="en-US" w:eastAsia="zh-CN" w:bidi="ar-SA"/>
    </w:rPr>
  </w:style>
  <w:style w:type="paragraph" w:styleId="555">
    <w:name w:val="List Paragraph"/>
    <w:basedOn w:val="1"/>
    <w:qFormat/>
    <w:uiPriority w:val="99"/>
    <w:pPr>
      <w:ind w:firstLine="420" w:firstLineChars="200"/>
    </w:pPr>
    <w:rPr>
      <w:szCs w:val="24"/>
    </w:rPr>
  </w:style>
  <w:style w:type="paragraph" w:customStyle="1" w:styleId="556">
    <w:name w:val="1eee"/>
    <w:basedOn w:val="3"/>
    <w:qFormat/>
    <w:uiPriority w:val="0"/>
    <w:pPr>
      <w:jc w:val="center"/>
    </w:pPr>
    <w:rPr>
      <w:rFonts w:ascii="Times New Roman" w:hAnsi="Times New Roman" w:eastAsia="黑体" w:cs="宋体"/>
      <w:b w:val="0"/>
      <w:sz w:val="30"/>
    </w:rPr>
  </w:style>
  <w:style w:type="character" w:customStyle="1" w:styleId="557">
    <w:name w:val="列出段落 Char"/>
    <w:basedOn w:val="56"/>
    <w:link w:val="487"/>
    <w:qFormat/>
    <w:uiPriority w:val="0"/>
    <w:rPr>
      <w:kern w:val="2"/>
      <w:sz w:val="21"/>
      <w:szCs w:val="22"/>
    </w:rPr>
  </w:style>
  <w:style w:type="paragraph" w:customStyle="1" w:styleId="558">
    <w:name w:val="央1"/>
    <w:basedOn w:val="1"/>
    <w:link w:val="559"/>
    <w:qFormat/>
    <w:uiPriority w:val="0"/>
    <w:pPr>
      <w:adjustRightInd w:val="0"/>
      <w:snapToGrid w:val="0"/>
      <w:spacing w:line="440" w:lineRule="exact"/>
      <w:ind w:firstLine="200" w:firstLineChars="200"/>
    </w:pPr>
    <w:rPr>
      <w:rFonts w:ascii="宋体" w:hAnsi="Times New Roman" w:cs="宋体"/>
      <w:sz w:val="24"/>
      <w:szCs w:val="24"/>
    </w:rPr>
  </w:style>
  <w:style w:type="character" w:customStyle="1" w:styleId="559">
    <w:name w:val="央1 Char Char"/>
    <w:link w:val="558"/>
    <w:qFormat/>
    <w:uiPriority w:val="0"/>
    <w:rPr>
      <w:rFonts w:ascii="宋体" w:hAnsi="Times New Roman" w:cs="宋体"/>
      <w:kern w:val="2"/>
      <w:sz w:val="24"/>
      <w:szCs w:val="24"/>
    </w:rPr>
  </w:style>
  <w:style w:type="character" w:customStyle="1" w:styleId="560">
    <w:name w:val="表格标题 Char"/>
    <w:basedOn w:val="56"/>
    <w:link w:val="401"/>
    <w:qFormat/>
    <w:uiPriority w:val="0"/>
    <w:rPr>
      <w:b/>
      <w:bCs/>
      <w:color w:val="000000"/>
      <w:kern w:val="2"/>
      <w:sz w:val="32"/>
      <w:szCs w:val="32"/>
    </w:rPr>
  </w:style>
  <w:style w:type="paragraph" w:customStyle="1" w:styleId="561">
    <w:name w:val="表格正文"/>
    <w:basedOn w:val="1"/>
    <w:link w:val="562"/>
    <w:qFormat/>
    <w:uiPriority w:val="0"/>
    <w:pPr>
      <w:widowControl/>
      <w:jc w:val="left"/>
    </w:pPr>
    <w:rPr>
      <w:rFonts w:ascii="宋体" w:hAnsi="宋体" w:cs="宋体" w:eastAsiaTheme="minorEastAsia"/>
      <w:color w:val="000000"/>
      <w:kern w:val="0"/>
      <w:sz w:val="18"/>
      <w:szCs w:val="24"/>
    </w:rPr>
  </w:style>
  <w:style w:type="character" w:customStyle="1" w:styleId="562">
    <w:name w:val="表格正文 Char"/>
    <w:basedOn w:val="56"/>
    <w:link w:val="561"/>
    <w:qFormat/>
    <w:uiPriority w:val="0"/>
    <w:rPr>
      <w:rFonts w:ascii="宋体" w:hAnsi="宋体" w:cs="宋体" w:eastAsiaTheme="minorEastAsia"/>
      <w:color w:val="000000"/>
      <w:sz w:val="18"/>
      <w:szCs w:val="24"/>
    </w:rPr>
  </w:style>
  <w:style w:type="character" w:customStyle="1" w:styleId="563">
    <w:name w:val="样式1 Char"/>
    <w:basedOn w:val="56"/>
    <w:link w:val="493"/>
    <w:qFormat/>
    <w:uiPriority w:val="0"/>
    <w:rPr>
      <w:rFonts w:ascii="Arial" w:hAnsi="Arial" w:eastAsia="黑体"/>
      <w:sz w:val="21"/>
      <w:szCs w:val="28"/>
      <w:lang w:val="zh-CN" w:eastAsia="ja-JP"/>
    </w:rPr>
  </w:style>
  <w:style w:type="character" w:customStyle="1" w:styleId="564">
    <w:name w:val="样式1 Char Char"/>
    <w:qFormat/>
    <w:uiPriority w:val="0"/>
    <w:rPr>
      <w:sz w:val="24"/>
      <w:szCs w:val="24"/>
    </w:rPr>
  </w:style>
  <w:style w:type="paragraph" w:customStyle="1" w:styleId="565">
    <w:name w:val="小四正文"/>
    <w:basedOn w:val="1"/>
    <w:link w:val="566"/>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566">
    <w:name w:val="小四正文 Char"/>
    <w:basedOn w:val="56"/>
    <w:link w:val="565"/>
    <w:qFormat/>
    <w:uiPriority w:val="0"/>
    <w:rPr>
      <w:rFonts w:asciiTheme="minorHAnsi" w:hAnsiTheme="minorHAnsi" w:eastAsiaTheme="minorEastAsia" w:cstheme="minorBidi"/>
      <w:kern w:val="2"/>
      <w:sz w:val="24"/>
      <w:szCs w:val="24"/>
    </w:rPr>
  </w:style>
  <w:style w:type="paragraph" w:customStyle="1" w:styleId="567">
    <w:name w:val="表格抬头"/>
    <w:basedOn w:val="1"/>
    <w:link w:val="568"/>
    <w:qFormat/>
    <w:uiPriority w:val="0"/>
    <w:pPr>
      <w:spacing w:line="360" w:lineRule="auto"/>
      <w:jc w:val="center"/>
    </w:pPr>
    <w:rPr>
      <w:rFonts w:asciiTheme="minorHAnsi" w:hAnsiTheme="minorHAnsi" w:eastAsiaTheme="minorEastAsia" w:cstheme="minorBidi"/>
      <w:szCs w:val="21"/>
    </w:rPr>
  </w:style>
  <w:style w:type="character" w:customStyle="1" w:styleId="568">
    <w:name w:val="表格抬头 Char"/>
    <w:basedOn w:val="56"/>
    <w:link w:val="567"/>
    <w:qFormat/>
    <w:uiPriority w:val="0"/>
    <w:rPr>
      <w:rFonts w:asciiTheme="minorHAnsi" w:hAnsiTheme="minorHAnsi" w:eastAsiaTheme="minorEastAsia" w:cstheme="minorBidi"/>
      <w:kern w:val="2"/>
      <w:sz w:val="21"/>
      <w:szCs w:val="21"/>
    </w:rPr>
  </w:style>
  <w:style w:type="character" w:customStyle="1" w:styleId="569">
    <w:name w:val="font01"/>
    <w:qFormat/>
    <w:uiPriority w:val="0"/>
    <w:rPr>
      <w:rFonts w:hint="eastAsia" w:ascii="宋体" w:hAnsi="宋体" w:eastAsia="宋体" w:cs="宋体"/>
      <w:color w:val="000000"/>
      <w:sz w:val="22"/>
      <w:szCs w:val="22"/>
      <w:u w:val="none"/>
    </w:rPr>
  </w:style>
  <w:style w:type="character" w:customStyle="1" w:styleId="570">
    <w:name w:val="title26"/>
    <w:basedOn w:val="56"/>
    <w:qFormat/>
    <w:uiPriority w:val="0"/>
  </w:style>
  <w:style w:type="character" w:customStyle="1" w:styleId="571">
    <w:name w:val="font21"/>
    <w:qFormat/>
    <w:uiPriority w:val="0"/>
    <w:rPr>
      <w:rFonts w:hint="eastAsia" w:ascii="宋体" w:hAnsi="宋体" w:eastAsia="宋体" w:cs="宋体"/>
      <w:color w:val="000000"/>
      <w:sz w:val="21"/>
      <w:szCs w:val="21"/>
      <w:u w:val="none"/>
    </w:rPr>
  </w:style>
  <w:style w:type="character" w:customStyle="1" w:styleId="572">
    <w:name w:val="正文文本 3 Char1"/>
    <w:qFormat/>
    <w:uiPriority w:val="0"/>
    <w:rPr>
      <w:rFonts w:eastAsia="Calibri"/>
      <w:sz w:val="16"/>
      <w:szCs w:val="16"/>
      <w:lang w:eastAsia="en-US"/>
    </w:rPr>
  </w:style>
  <w:style w:type="character" w:customStyle="1" w:styleId="573">
    <w:name w:val="username"/>
    <w:basedOn w:val="56"/>
    <w:qFormat/>
    <w:uiPriority w:val="0"/>
  </w:style>
  <w:style w:type="character" w:customStyle="1" w:styleId="574">
    <w:name w:val="font11"/>
    <w:qFormat/>
    <w:uiPriority w:val="0"/>
    <w:rPr>
      <w:rFonts w:hint="eastAsia" w:ascii="宋体" w:hAnsi="宋体" w:eastAsia="宋体" w:cs="宋体"/>
      <w:color w:val="000000"/>
      <w:sz w:val="21"/>
      <w:szCs w:val="21"/>
      <w:u w:val="none"/>
    </w:rPr>
  </w:style>
  <w:style w:type="paragraph" w:customStyle="1" w:styleId="575">
    <w:name w:val="_Style 50"/>
    <w:unhideWhenUsed/>
    <w:qFormat/>
    <w:uiPriority w:val="99"/>
    <w:rPr>
      <w:rFonts w:ascii="Times New Roman" w:hAnsi="Times New Roman" w:eastAsia="Calibri" w:cs="Times New Roman"/>
      <w:sz w:val="22"/>
      <w:szCs w:val="22"/>
      <w:lang w:val="en-US" w:eastAsia="en-US" w:bidi="ar-SA"/>
    </w:rPr>
  </w:style>
  <w:style w:type="paragraph" w:customStyle="1" w:styleId="57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7">
    <w:name w:val="样式 报告正文 Char Char + (西文) Arial (中文) 黑体"/>
    <w:basedOn w:val="1"/>
    <w:qFormat/>
    <w:uiPriority w:val="0"/>
    <w:pPr>
      <w:tabs>
        <w:tab w:val="left" w:pos="3020"/>
        <w:tab w:val="left" w:pos="4107"/>
      </w:tabs>
      <w:adjustRightInd w:val="0"/>
      <w:snapToGrid w:val="0"/>
      <w:spacing w:line="480" w:lineRule="auto"/>
      <w:ind w:firstLine="200" w:firstLineChars="200"/>
    </w:pPr>
    <w:rPr>
      <w:rFonts w:ascii="Arial" w:hAnsi="Arial" w:eastAsia="黑体" w:cs="宋体"/>
      <w:sz w:val="22"/>
      <w:szCs w:val="20"/>
    </w:rPr>
  </w:style>
  <w:style w:type="paragraph" w:customStyle="1" w:styleId="578">
    <w:name w:val="5"/>
    <w:basedOn w:val="1"/>
    <w:qFormat/>
    <w:uiPriority w:val="0"/>
    <w:pPr>
      <w:autoSpaceDE w:val="0"/>
      <w:autoSpaceDN w:val="0"/>
      <w:adjustRightInd w:val="0"/>
      <w:spacing w:line="360" w:lineRule="auto"/>
      <w:ind w:firstLine="420" w:firstLineChars="200"/>
      <w:jc w:val="left"/>
    </w:pPr>
    <w:rPr>
      <w:rFonts w:ascii="Times New Roman" w:hAnsi="Times New Roman" w:eastAsia="Calibri"/>
      <w:kern w:val="0"/>
      <w:sz w:val="22"/>
      <w:lang w:eastAsia="en-US"/>
    </w:rPr>
  </w:style>
  <w:style w:type="paragraph" w:customStyle="1" w:styleId="579">
    <w:name w:val="_Style 54"/>
    <w:basedOn w:val="3"/>
    <w:next w:val="1"/>
    <w:qFormat/>
    <w:uiPriority w:val="39"/>
    <w:pPr>
      <w:widowControl/>
      <w:spacing w:before="480" w:after="0" w:line="276" w:lineRule="auto"/>
      <w:jc w:val="left"/>
      <w:outlineLvl w:val="9"/>
    </w:pPr>
    <w:rPr>
      <w:rFonts w:ascii="Cambria" w:hAnsi="Cambria"/>
      <w:color w:val="365F91"/>
      <w:kern w:val="0"/>
      <w:sz w:val="28"/>
      <w:szCs w:val="28"/>
      <w:lang w:val="en-US"/>
    </w:rPr>
  </w:style>
  <w:style w:type="paragraph" w:customStyle="1" w:styleId="580">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581">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582">
    <w:name w:val="网格型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583">
    <w:name w:val="网格型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584">
    <w:name w:val="细分条文"/>
    <w:qFormat/>
    <w:uiPriority w:val="0"/>
    <w:pPr>
      <w:spacing w:line="360" w:lineRule="auto"/>
      <w:ind w:firstLine="904" w:firstLineChars="300"/>
      <w:jc w:val="both"/>
    </w:pPr>
    <w:rPr>
      <w:rFonts w:ascii="Times New Roman" w:hAnsi="Times New Roman" w:eastAsia="宋体" w:cs="Times New Roman"/>
      <w:color w:val="000000"/>
      <w:sz w:val="21"/>
      <w:szCs w:val="21"/>
      <w:lang w:val="en-US" w:eastAsia="zh-CN" w:bidi="ar-SA"/>
    </w:rPr>
  </w:style>
  <w:style w:type="paragraph" w:customStyle="1" w:styleId="585">
    <w:name w:val="表格内两端对齐"/>
    <w:qFormat/>
    <w:uiPriority w:val="0"/>
    <w:pPr>
      <w:jc w:val="both"/>
    </w:pPr>
    <w:rPr>
      <w:rFonts w:ascii="Calibri" w:hAnsi="Calibri" w:eastAsia="宋体" w:cs="Arial Unicode MS"/>
      <w:color w:val="000000"/>
      <w:sz w:val="18"/>
      <w:szCs w:val="21"/>
      <w:lang w:val="en-US" w:eastAsia="zh-CN" w:bidi="ar-SA"/>
    </w:rPr>
  </w:style>
  <w:style w:type="paragraph" w:customStyle="1" w:styleId="586">
    <w:name w:val="1/1.1/1.0.1- 三级标题"/>
    <w:basedOn w:val="1"/>
    <w:next w:val="1"/>
    <w:qFormat/>
    <w:uiPriority w:val="0"/>
    <w:pPr>
      <w:keepNext/>
      <w:keepLines/>
      <w:tabs>
        <w:tab w:val="left" w:pos="0"/>
        <w:tab w:val="left" w:pos="1500"/>
      </w:tabs>
      <w:spacing w:before="50" w:beforeLines="50" w:after="50" w:afterLines="50"/>
      <w:ind w:left="1500" w:hanging="420"/>
      <w:jc w:val="left"/>
    </w:pPr>
    <w:rPr>
      <w:rFonts w:ascii="宋体" w:hAnsi="宋体"/>
      <w:kern w:val="44"/>
    </w:rPr>
  </w:style>
  <w:style w:type="paragraph" w:customStyle="1" w:styleId="587">
    <w:name w:val="1/1.1/1.1.1- 三级标题"/>
    <w:basedOn w:val="1"/>
    <w:next w:val="1"/>
    <w:qFormat/>
    <w:uiPriority w:val="0"/>
    <w:pPr>
      <w:keepNext/>
      <w:keepLines/>
      <w:tabs>
        <w:tab w:val="left" w:pos="0"/>
        <w:tab w:val="left" w:pos="1500"/>
      </w:tabs>
      <w:spacing w:before="50" w:beforeLines="50" w:after="50" w:afterLines="50"/>
      <w:ind w:left="1500" w:hanging="420"/>
    </w:pPr>
    <w:rPr>
      <w:kern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111</Pages>
  <Words>5503</Words>
  <Characters>5835</Characters>
  <Lines>553</Lines>
  <Paragraphs>155</Paragraphs>
  <TotalTime>1</TotalTime>
  <ScaleCrop>false</ScaleCrop>
  <LinksUpToDate>false</LinksUpToDate>
  <CharactersWithSpaces>6040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2025-11-12T07:32:00Z</dcterms:created>
  <dc:creator>黄健平</dc:creator>
  <cp:lastModifiedBy>热度</cp:lastModifiedBy>
  <cp:lastPrinted>2025-11-14T10:25:00Z</cp:lastPrinted>
  <dcterms:modified xsi:type="dcterms:W3CDTF">2025-11-27T12:46:43Z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EE2DEDC813A54252AA4F843FD514C29A_13</vt:lpwstr>
  </property>
  <property fmtid="{D5CDD505-2E9C-101B-9397-08002B2CF9AE}" pid="4" name="KSOTemplateDocerSaveRecord">
    <vt:lpwstr>eyJoZGlkIjoiZGMwMThhZjNlNjIyNWEwNmY0OWFkMWEwMGE4ZGY0OWMiLCJ1c2VySWQiOiI0MTYxMTk0MTgifQ==</vt:lpwstr>
  </property>
</Properties>
</file>